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92" w:rsidRPr="006E2C57" w:rsidRDefault="003E3492" w:rsidP="003E3492">
      <w:pPr>
        <w:pStyle w:val="BodyText"/>
        <w:ind w:firstLine="720"/>
        <w:jc w:val="center"/>
        <w:rPr>
          <w:b/>
          <w:bCs/>
          <w:sz w:val="28"/>
          <w:szCs w:val="28"/>
        </w:rPr>
      </w:pPr>
      <w:bookmarkStart w:id="0" w:name="OLE_LINK1"/>
      <w:r w:rsidRPr="006E2C57">
        <w:rPr>
          <w:b/>
          <w:sz w:val="28"/>
          <w:szCs w:val="28"/>
        </w:rPr>
        <w:t>Minist</w:t>
      </w:r>
      <w:r w:rsidR="00E26237" w:rsidRPr="006E2C57">
        <w:rPr>
          <w:b/>
          <w:sz w:val="28"/>
          <w:szCs w:val="28"/>
        </w:rPr>
        <w:t>ru kabineta noteikumu projekta „V</w:t>
      </w:r>
      <w:r w:rsidRPr="006E2C57">
        <w:rPr>
          <w:b/>
          <w:sz w:val="28"/>
          <w:szCs w:val="28"/>
        </w:rPr>
        <w:t>alsts statistikas pārskatu un anketu veidlapu paraugu apstiprināšanas noteikumi”</w:t>
      </w:r>
      <w:bookmarkEnd w:id="0"/>
      <w:r w:rsidRPr="006E2C57">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6E2C57">
          <w:rPr>
            <w:b/>
            <w:sz w:val="28"/>
            <w:szCs w:val="28"/>
          </w:rPr>
          <w:t>ziņojums</w:t>
        </w:r>
      </w:smartTag>
      <w:r w:rsidRPr="006E2C57">
        <w:rPr>
          <w:b/>
          <w:sz w:val="28"/>
          <w:szCs w:val="28"/>
        </w:rPr>
        <w:t xml:space="preserve"> (anotācija)</w:t>
      </w:r>
    </w:p>
    <w:p w:rsidR="003E3492" w:rsidRPr="006E2C57" w:rsidRDefault="003E3492" w:rsidP="003E3492">
      <w:pPr>
        <w:pStyle w:val="Header"/>
        <w:tabs>
          <w:tab w:val="right" w:pos="8460"/>
        </w:tabs>
        <w:ind w:right="-154"/>
        <w:jc w:val="center"/>
        <w:rPr>
          <w:b/>
          <w:szCs w:val="24"/>
        </w:rPr>
      </w:pPr>
    </w:p>
    <w:tbl>
      <w:tblPr>
        <w:tblW w:w="9334" w:type="dxa"/>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434"/>
        <w:gridCol w:w="5374"/>
      </w:tblGrid>
      <w:tr w:rsidR="003E3492" w:rsidRPr="006E2C57" w:rsidTr="00E00905">
        <w:trPr>
          <w:tblCellSpacing w:w="0" w:type="dxa"/>
        </w:trPr>
        <w:tc>
          <w:tcPr>
            <w:tcW w:w="9334" w:type="dxa"/>
            <w:gridSpan w:val="3"/>
            <w:tcBorders>
              <w:top w:val="outset" w:sz="6" w:space="0" w:color="auto"/>
              <w:left w:val="outset" w:sz="6" w:space="0" w:color="auto"/>
              <w:bottom w:val="outset" w:sz="6" w:space="0" w:color="auto"/>
              <w:right w:val="outset" w:sz="6" w:space="0" w:color="auto"/>
            </w:tcBorders>
            <w:vAlign w:val="center"/>
          </w:tcPr>
          <w:p w:rsidR="003E3492" w:rsidRPr="006E2C57" w:rsidRDefault="003E3492" w:rsidP="0065284E">
            <w:pPr>
              <w:spacing w:before="75" w:after="75"/>
              <w:jc w:val="center"/>
            </w:pPr>
            <w:r w:rsidRPr="006E2C57">
              <w:rPr>
                <w:b/>
                <w:bCs/>
              </w:rPr>
              <w:t>I. Tiesību akta projekta izstrādes nepieciešamība</w:t>
            </w:r>
          </w:p>
        </w:tc>
      </w:tr>
      <w:tr w:rsidR="003E3492" w:rsidRPr="006E2C57" w:rsidTr="00980641">
        <w:trPr>
          <w:cantSplit/>
          <w:trHeight w:hRule="exact" w:val="3850"/>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1.</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rPr>
                <w:color w:val="000000"/>
              </w:rPr>
            </w:pPr>
            <w:r w:rsidRPr="006E2C57">
              <w:t> Pamatojums</w:t>
            </w:r>
          </w:p>
        </w:tc>
        <w:tc>
          <w:tcPr>
            <w:tcW w:w="5374" w:type="dxa"/>
            <w:tcBorders>
              <w:top w:val="outset" w:sz="6" w:space="0" w:color="auto"/>
              <w:left w:val="outset" w:sz="6" w:space="0" w:color="auto"/>
              <w:bottom w:val="outset" w:sz="6" w:space="0" w:color="auto"/>
              <w:right w:val="outset" w:sz="6" w:space="0" w:color="auto"/>
            </w:tcBorders>
          </w:tcPr>
          <w:p w:rsidR="00421FED" w:rsidRPr="006E2C57" w:rsidRDefault="00E26237" w:rsidP="00980641">
            <w:pPr>
              <w:pStyle w:val="ListParagraph"/>
              <w:numPr>
                <w:ilvl w:val="0"/>
                <w:numId w:val="19"/>
              </w:numPr>
              <w:spacing w:before="120" w:after="120"/>
              <w:jc w:val="both"/>
            </w:pPr>
            <w:proofErr w:type="spellStart"/>
            <w:r w:rsidRPr="006E2C57">
              <w:rPr>
                <w:i/>
              </w:rPr>
              <w:t>Euro</w:t>
            </w:r>
            <w:proofErr w:type="spellEnd"/>
            <w:r w:rsidRPr="006E2C57">
              <w:rPr>
                <w:i/>
              </w:rPr>
              <w:t xml:space="preserve"> </w:t>
            </w:r>
            <w:r w:rsidRPr="006E2C57">
              <w:t>ieviešanas kārtības likuma 30.panta pirmā daļa</w:t>
            </w:r>
            <w:r w:rsidR="00421FED" w:rsidRPr="006E2C57">
              <w:t>;</w:t>
            </w:r>
          </w:p>
          <w:p w:rsidR="003E3492" w:rsidRPr="006E2C57" w:rsidRDefault="00E26237" w:rsidP="00980641">
            <w:pPr>
              <w:pStyle w:val="ListParagraph"/>
              <w:numPr>
                <w:ilvl w:val="0"/>
                <w:numId w:val="19"/>
              </w:numPr>
              <w:spacing w:before="120" w:after="120"/>
              <w:jc w:val="both"/>
            </w:pPr>
            <w:r w:rsidRPr="006E2C57">
              <w:t xml:space="preserve"> </w:t>
            </w:r>
            <w:r w:rsidR="003E3492" w:rsidRPr="006E2C57">
              <w:t>Valsts statistikas likuma 5.pant</w:t>
            </w:r>
            <w:r w:rsidR="00343D90" w:rsidRPr="006E2C57">
              <w:t>a</w:t>
            </w:r>
            <w:r w:rsidR="003E3492" w:rsidRPr="006E2C57">
              <w:t xml:space="preserve"> otrās daļas 3.punkt</w:t>
            </w:r>
            <w:r w:rsidRPr="006E2C57">
              <w:t>s</w:t>
            </w:r>
            <w:r w:rsidR="003E3492" w:rsidRPr="006E2C57">
              <w:t xml:space="preserve">. </w:t>
            </w:r>
          </w:p>
          <w:p w:rsidR="00980641" w:rsidRPr="006E2C57" w:rsidRDefault="00980641" w:rsidP="00980641">
            <w:pPr>
              <w:pStyle w:val="ListParagraph"/>
              <w:numPr>
                <w:ilvl w:val="0"/>
                <w:numId w:val="19"/>
              </w:numPr>
              <w:contextualSpacing w:val="0"/>
              <w:jc w:val="both"/>
            </w:pPr>
            <w:r w:rsidRPr="006E2C57">
              <w:t xml:space="preserve">Ministru kabineta 2012.gada 27.jūnija rīkojuma Nr.282 „Par „Koncepciju par normatīvo aktu sakārtošanu saistībā ar eiro ieviešanu </w:t>
            </w:r>
            <w:r w:rsidR="0015731A">
              <w:t>Latvijā”” 7.2</w:t>
            </w:r>
            <w:r w:rsidRPr="006E2C57">
              <w:t>.apakšpunkts un 3.pielikuma 505.punkts.</w:t>
            </w:r>
          </w:p>
          <w:p w:rsidR="00980641" w:rsidRPr="006E2C57" w:rsidRDefault="00980641" w:rsidP="00980641">
            <w:pPr>
              <w:pStyle w:val="ListParagraph"/>
              <w:numPr>
                <w:ilvl w:val="0"/>
                <w:numId w:val="19"/>
              </w:numPr>
              <w:contextualSpacing w:val="0"/>
              <w:jc w:val="both"/>
            </w:pPr>
            <w:r w:rsidRPr="006E2C57">
              <w:t xml:space="preserve"> Latvijas Nacionālā</w:t>
            </w:r>
            <w:r w:rsidRPr="006E2C57">
              <w:rPr>
                <w:i/>
              </w:rPr>
              <w:t xml:space="preserve"> </w:t>
            </w:r>
            <w:proofErr w:type="spellStart"/>
            <w:r w:rsidRPr="006E2C57">
              <w:rPr>
                <w:i/>
              </w:rPr>
              <w:t>euro</w:t>
            </w:r>
            <w:proofErr w:type="spellEnd"/>
            <w:r w:rsidRPr="006E2C57">
              <w:t xml:space="preserve"> ieviešanas plāna (apstiprināts ar Ministru kabineta 2013.gada 4.aprīļa rīkojumu Nr.136) </w:t>
            </w:r>
            <w:r w:rsidR="00601697">
              <w:t>1</w:t>
            </w:r>
            <w:r w:rsidRPr="006E2C57">
              <w:t xml:space="preserve">.pielikuma J2.2. apakšpunkts.  </w:t>
            </w:r>
          </w:p>
          <w:p w:rsidR="00980641" w:rsidRPr="006E2C57" w:rsidRDefault="00980641" w:rsidP="00980641">
            <w:pPr>
              <w:spacing w:before="120" w:after="120"/>
              <w:ind w:left="360"/>
              <w:jc w:val="both"/>
            </w:pPr>
          </w:p>
        </w:tc>
      </w:tr>
      <w:tr w:rsidR="003E3492" w:rsidRPr="006E2C57" w:rsidTr="00E00905">
        <w:trPr>
          <w:trHeight w:val="472"/>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2.</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Pašreizējā situācija un problēmas</w:t>
            </w:r>
          </w:p>
        </w:tc>
        <w:tc>
          <w:tcPr>
            <w:tcW w:w="5374" w:type="dxa"/>
            <w:tcBorders>
              <w:top w:val="outset" w:sz="6" w:space="0" w:color="auto"/>
              <w:left w:val="outset" w:sz="6" w:space="0" w:color="auto"/>
              <w:bottom w:val="outset" w:sz="6" w:space="0" w:color="auto"/>
              <w:right w:val="outset" w:sz="6" w:space="0" w:color="auto"/>
            </w:tcBorders>
          </w:tcPr>
          <w:p w:rsidR="003E3492" w:rsidRPr="006E2C57" w:rsidRDefault="00E26237" w:rsidP="00D945AC">
            <w:pPr>
              <w:spacing w:after="120"/>
              <w:jc w:val="both"/>
              <w:rPr>
                <w:u w:val="single"/>
              </w:rPr>
            </w:pPr>
            <w:r w:rsidRPr="006E2C57">
              <w:t xml:space="preserve">Ņemot vērā, ka ar 2014.gada 1.janvāri Latvijā plānots ieviest </w:t>
            </w:r>
            <w:proofErr w:type="spellStart"/>
            <w:r w:rsidRPr="006E2C57">
              <w:rPr>
                <w:i/>
              </w:rPr>
              <w:t>euro</w:t>
            </w:r>
            <w:proofErr w:type="spellEnd"/>
            <w:r w:rsidR="00052F0E" w:rsidRPr="006E2C57">
              <w:t>, ir nepieciešams veikt</w:t>
            </w:r>
            <w:r w:rsidRPr="006E2C57">
              <w:t xml:space="preserve"> grozījumus </w:t>
            </w:r>
            <w:r w:rsidR="0096086F" w:rsidRPr="006E2C57">
              <w:t>Ministru kabineta 2006.gada 6.novembra noteikumos Nr.922 “Valsts statistikas pārskatu un anketu veidlapu paraugu apstiprināšanas noteikumi” (turpmāk-MK noteikumi Nr.922). MK noteikumi Nr.922 tiek grozīti arī citu jautājumu sakarā</w:t>
            </w:r>
            <w:r w:rsidR="00D945AC" w:rsidRPr="006E2C57">
              <w:t>, lai uzlabotu atsevišķu veidlapu saturu vai izpildītu Eiropas Savienības normatīvo aktu prasības</w:t>
            </w:r>
            <w:r w:rsidR="0096086F" w:rsidRPr="006E2C57">
              <w:t>.</w:t>
            </w:r>
          </w:p>
        </w:tc>
      </w:tr>
      <w:tr w:rsidR="003E3492" w:rsidRPr="006E2C57" w:rsidTr="00E00905">
        <w:trPr>
          <w:trHeight w:val="833"/>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3.</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Saistītie politikas ietekmes novērtējumi un pētījumi</w:t>
            </w:r>
          </w:p>
        </w:tc>
        <w:tc>
          <w:tcPr>
            <w:tcW w:w="5374" w:type="dxa"/>
            <w:tcBorders>
              <w:top w:val="outset" w:sz="6" w:space="0" w:color="auto"/>
              <w:left w:val="outset" w:sz="6" w:space="0" w:color="auto"/>
              <w:bottom w:val="outset" w:sz="6" w:space="0" w:color="auto"/>
              <w:right w:val="outset" w:sz="6" w:space="0" w:color="auto"/>
            </w:tcBorders>
          </w:tcPr>
          <w:p w:rsidR="003E3492" w:rsidRPr="006E2C57" w:rsidRDefault="0096086F" w:rsidP="0096086F">
            <w:pPr>
              <w:spacing w:before="75" w:after="75"/>
            </w:pPr>
            <w:r w:rsidRPr="006E2C57">
              <w:rPr>
                <w:bCs/>
              </w:rPr>
              <w:t>MK noteikumu p</w:t>
            </w:r>
            <w:r w:rsidR="003E3492" w:rsidRPr="006E2C57">
              <w:rPr>
                <w:bCs/>
              </w:rPr>
              <w:t>rojekts šo jomu neskar</w:t>
            </w:r>
            <w:r w:rsidRPr="006E2C57">
              <w:rPr>
                <w:bCs/>
              </w:rPr>
              <w:t>.</w:t>
            </w:r>
          </w:p>
        </w:tc>
      </w:tr>
      <w:tr w:rsidR="003E3492" w:rsidRPr="006E2C57" w:rsidTr="00E00905">
        <w:trPr>
          <w:trHeight w:val="384"/>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4.</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Tiesiskā regulējuma mērķis un būtība</w:t>
            </w:r>
          </w:p>
        </w:tc>
        <w:tc>
          <w:tcPr>
            <w:tcW w:w="5374" w:type="dxa"/>
            <w:tcBorders>
              <w:top w:val="outset" w:sz="6" w:space="0" w:color="auto"/>
              <w:left w:val="outset" w:sz="6" w:space="0" w:color="auto"/>
              <w:bottom w:val="outset" w:sz="6" w:space="0" w:color="auto"/>
              <w:right w:val="outset" w:sz="6" w:space="0" w:color="auto"/>
            </w:tcBorders>
          </w:tcPr>
          <w:p w:rsidR="00980641" w:rsidRPr="006E2C57" w:rsidRDefault="0096086F" w:rsidP="0096086F">
            <w:pPr>
              <w:jc w:val="both"/>
            </w:pPr>
            <w:r w:rsidRPr="006E2C57">
              <w:t>Šā MK noteikumu projekta mērķis ir</w:t>
            </w:r>
            <w:r w:rsidR="00980641" w:rsidRPr="006E2C57">
              <w:t>:</w:t>
            </w:r>
          </w:p>
          <w:p w:rsidR="00980641" w:rsidRPr="006E2C57" w:rsidRDefault="00980641" w:rsidP="00980641">
            <w:pPr>
              <w:pStyle w:val="ListParagraph"/>
              <w:numPr>
                <w:ilvl w:val="0"/>
                <w:numId w:val="31"/>
              </w:numPr>
              <w:jc w:val="both"/>
            </w:pPr>
            <w:r w:rsidRPr="006E2C57">
              <w:t>P</w:t>
            </w:r>
            <w:r w:rsidR="0096086F" w:rsidRPr="006E2C57">
              <w:t xml:space="preserve">ielāgot Centrālās statistikas pārvaldes (turpmāk-Pārvalde) valsts statistikas anketu un veidlapu paraugus </w:t>
            </w:r>
            <w:proofErr w:type="spellStart"/>
            <w:r w:rsidR="0096086F" w:rsidRPr="006E2C57">
              <w:rPr>
                <w:i/>
              </w:rPr>
              <w:t>euro</w:t>
            </w:r>
            <w:proofErr w:type="spellEnd"/>
            <w:r w:rsidR="0096086F" w:rsidRPr="006E2C57">
              <w:t xml:space="preserve"> ieviešanai, aizstājot tajā latus ar </w:t>
            </w:r>
            <w:proofErr w:type="spellStart"/>
            <w:r w:rsidR="0096086F" w:rsidRPr="006E2C57">
              <w:rPr>
                <w:i/>
              </w:rPr>
              <w:t>euro</w:t>
            </w:r>
            <w:proofErr w:type="spellEnd"/>
            <w:r w:rsidRPr="006E2C57">
              <w:t>.</w:t>
            </w:r>
          </w:p>
          <w:p w:rsidR="00980641" w:rsidRPr="006E2C57" w:rsidRDefault="00980641" w:rsidP="00980641">
            <w:pPr>
              <w:pStyle w:val="ListParagraph"/>
              <w:ind w:left="780"/>
              <w:jc w:val="both"/>
            </w:pPr>
          </w:p>
          <w:p w:rsidR="0065284E" w:rsidRPr="006E2C57" w:rsidRDefault="00980641" w:rsidP="00980641">
            <w:pPr>
              <w:pStyle w:val="ListParagraph"/>
              <w:numPr>
                <w:ilvl w:val="0"/>
                <w:numId w:val="31"/>
              </w:numPr>
              <w:jc w:val="both"/>
            </w:pPr>
            <w:r w:rsidRPr="006E2C57">
              <w:t>Veikt šādus grozījumus pēc būtības:</w:t>
            </w:r>
          </w:p>
          <w:p w:rsidR="0096086F" w:rsidRPr="006E2C57" w:rsidRDefault="0096086F" w:rsidP="0096086F">
            <w:pPr>
              <w:jc w:val="both"/>
            </w:pPr>
          </w:p>
          <w:p w:rsidR="00E00905" w:rsidRPr="006E2C57" w:rsidRDefault="002A21B4" w:rsidP="00980641">
            <w:pPr>
              <w:pStyle w:val="ListParagraph"/>
              <w:numPr>
                <w:ilvl w:val="1"/>
                <w:numId w:val="31"/>
              </w:numPr>
              <w:jc w:val="both"/>
            </w:pPr>
            <w:r w:rsidRPr="006E2C57">
              <w:t>G</w:t>
            </w:r>
            <w:r w:rsidR="00E00905" w:rsidRPr="006E2C57">
              <w:t xml:space="preserve">rozījumi </w:t>
            </w:r>
            <w:r w:rsidR="00980641" w:rsidRPr="006E2C57">
              <w:t>veidlapās un to būtība</w:t>
            </w:r>
            <w:r w:rsidR="00E00905" w:rsidRPr="006E2C57">
              <w:t>:</w:t>
            </w:r>
          </w:p>
          <w:p w:rsidR="00980641" w:rsidRPr="006E2C57" w:rsidRDefault="002A21B4" w:rsidP="00980641">
            <w:pPr>
              <w:pStyle w:val="ListParagraph"/>
              <w:numPr>
                <w:ilvl w:val="2"/>
                <w:numId w:val="31"/>
              </w:numPr>
              <w:jc w:val="both"/>
              <w:rPr>
                <w:sz w:val="22"/>
                <w:szCs w:val="22"/>
              </w:rPr>
            </w:pPr>
            <w:r w:rsidRPr="006E2C57">
              <w:t>1</w:t>
            </w:r>
            <w:r w:rsidR="00E00905" w:rsidRPr="006E2C57">
              <w:t xml:space="preserve">.pielikums – MK </w:t>
            </w:r>
            <w:r w:rsidR="005B5E26" w:rsidRPr="006E2C57">
              <w:t>noteikumu Nr.922 4.pielikums - v</w:t>
            </w:r>
            <w:r w:rsidR="00E00905" w:rsidRPr="006E2C57">
              <w:t>eidlapa papildināta ar papildu rindiņu 1290., ļaujot respondentam nepieciešamības gadījumā ierakstīt tādu izmantoto energoresursu kurināšanai, kas nav minēts veidlapā</w:t>
            </w:r>
            <w:r w:rsidR="00E00905" w:rsidRPr="006E2C57">
              <w:rPr>
                <w:sz w:val="22"/>
                <w:szCs w:val="22"/>
              </w:rPr>
              <w:t xml:space="preserve">. </w:t>
            </w:r>
            <w:r w:rsidR="00E00905" w:rsidRPr="006E2C57">
              <w:t>Norādījumos veidlapas aizpildīšanai ir minēti  piemēri šai rindai.</w:t>
            </w:r>
          </w:p>
          <w:p w:rsidR="00980641" w:rsidRPr="006E2C57" w:rsidRDefault="002A21B4" w:rsidP="00980641">
            <w:pPr>
              <w:pStyle w:val="ListParagraph"/>
              <w:numPr>
                <w:ilvl w:val="2"/>
                <w:numId w:val="31"/>
              </w:numPr>
              <w:jc w:val="both"/>
              <w:rPr>
                <w:sz w:val="22"/>
                <w:szCs w:val="22"/>
              </w:rPr>
            </w:pPr>
            <w:r w:rsidRPr="006E2C57">
              <w:rPr>
                <w:sz w:val="22"/>
                <w:szCs w:val="22"/>
              </w:rPr>
              <w:lastRenderedPageBreak/>
              <w:t xml:space="preserve"> 2.pielikums – MK noteikumu Nr.922 4</w:t>
            </w:r>
            <w:r w:rsidR="00150DC2" w:rsidRPr="006E2C57">
              <w:rPr>
                <w:sz w:val="22"/>
                <w:szCs w:val="22"/>
              </w:rPr>
              <w:t>6</w:t>
            </w:r>
            <w:r w:rsidRPr="006E2C57">
              <w:rPr>
                <w:sz w:val="22"/>
                <w:szCs w:val="22"/>
              </w:rPr>
              <w:t xml:space="preserve">.pielikums - samainītas vietām ailes D un E (lai būtu vienādi ar </w:t>
            </w:r>
            <w:proofErr w:type="spellStart"/>
            <w:r w:rsidRPr="006E2C57">
              <w:rPr>
                <w:sz w:val="22"/>
                <w:szCs w:val="22"/>
              </w:rPr>
              <w:t>priekšapsekojuma</w:t>
            </w:r>
            <w:proofErr w:type="spellEnd"/>
            <w:r w:rsidRPr="006E2C57">
              <w:rPr>
                <w:sz w:val="22"/>
                <w:szCs w:val="22"/>
              </w:rPr>
              <w:t xml:space="preserve"> pārskatu 2-rc); samazināts aiļu skaits (izņemta aile ar bāzes cenu – iepriekšējā gada decembris), taču tā parādīsies katra gada janvāra pārskatā kā iepriekšējā mēneša cena; aktualizēti formulējumi norādījumos un aiļu virsrakstos, norādītas ailes ar </w:t>
            </w:r>
            <w:proofErr w:type="spellStart"/>
            <w:r w:rsidRPr="006E2C57">
              <w:rPr>
                <w:sz w:val="22"/>
                <w:szCs w:val="22"/>
              </w:rPr>
              <w:t>priekšiedruku</w:t>
            </w:r>
            <w:proofErr w:type="spellEnd"/>
            <w:r w:rsidRPr="006E2C57">
              <w:rPr>
                <w:sz w:val="22"/>
                <w:szCs w:val="22"/>
              </w:rPr>
              <w:t>.</w:t>
            </w:r>
          </w:p>
          <w:p w:rsidR="00980641" w:rsidRPr="006E2C57" w:rsidRDefault="00F44E56" w:rsidP="00980641">
            <w:pPr>
              <w:pStyle w:val="ListParagraph"/>
              <w:numPr>
                <w:ilvl w:val="2"/>
                <w:numId w:val="31"/>
              </w:numPr>
              <w:jc w:val="both"/>
              <w:rPr>
                <w:sz w:val="22"/>
                <w:szCs w:val="22"/>
              </w:rPr>
            </w:pPr>
            <w:r w:rsidRPr="006E2C57">
              <w:rPr>
                <w:sz w:val="22"/>
                <w:szCs w:val="22"/>
              </w:rPr>
              <w:t xml:space="preserve"> 3.pielikums – MK noteikumu Nr.922 47.pielikums - </w:t>
            </w:r>
            <w:r w:rsidR="00FA4AF5" w:rsidRPr="006E2C57">
              <w:rPr>
                <w:sz w:val="22"/>
                <w:szCs w:val="22"/>
              </w:rPr>
              <w:t>lapā izņemti vārdi „ikmēneša biļetenā”, jo ikmēneša biļetenā dati vairs netiek publicēti. Pārveidoti norādījumi atbilstoši jaunajam veidlapas dizainam. C aile „preces det</w:t>
            </w:r>
            <w:r w:rsidR="005B5E26" w:rsidRPr="006E2C57">
              <w:rPr>
                <w:sz w:val="22"/>
                <w:szCs w:val="22"/>
              </w:rPr>
              <w:t>alizēts apraksts…” aizstāta ar „</w:t>
            </w:r>
            <w:r w:rsidR="00FA4AF5" w:rsidRPr="006E2C57">
              <w:rPr>
                <w:sz w:val="22"/>
                <w:szCs w:val="22"/>
              </w:rPr>
              <w:t>preces apraksts</w:t>
            </w:r>
            <w:r w:rsidR="005B5E26" w:rsidRPr="006E2C57">
              <w:rPr>
                <w:sz w:val="22"/>
                <w:szCs w:val="22"/>
              </w:rPr>
              <w:t>”</w:t>
            </w:r>
            <w:r w:rsidR="00FA4AF5" w:rsidRPr="006E2C57">
              <w:rPr>
                <w:sz w:val="22"/>
                <w:szCs w:val="22"/>
              </w:rPr>
              <w:t xml:space="preserve">, D aile „Tirgojošās valsts kods” </w:t>
            </w:r>
            <w:r w:rsidR="005B5E26" w:rsidRPr="006E2C57">
              <w:rPr>
                <w:sz w:val="22"/>
                <w:szCs w:val="22"/>
              </w:rPr>
              <w:t>aizstāts ar</w:t>
            </w:r>
            <w:r w:rsidR="00FA4AF5" w:rsidRPr="006E2C57">
              <w:rPr>
                <w:sz w:val="22"/>
                <w:szCs w:val="22"/>
              </w:rPr>
              <w:t xml:space="preserve"> „Nosūtītājvalsts kods”. </w:t>
            </w:r>
            <w:r w:rsidR="005B5E26" w:rsidRPr="006E2C57">
              <w:rPr>
                <w:sz w:val="22"/>
                <w:szCs w:val="22"/>
              </w:rPr>
              <w:t>Svītrotas</w:t>
            </w:r>
            <w:r w:rsidR="00FA4AF5" w:rsidRPr="006E2C57">
              <w:rPr>
                <w:sz w:val="22"/>
                <w:szCs w:val="22"/>
              </w:rPr>
              <w:t xml:space="preserve"> ailes „Vērtība, latos” un „Daudzums norādītajās mērvienībās”, datiem par cenām izveidotas divas apvienotas ailes par pārskata un iepriekšējā mēneša cenu.</w:t>
            </w:r>
          </w:p>
          <w:p w:rsidR="00980641" w:rsidRPr="006E2C57" w:rsidRDefault="00095DA5" w:rsidP="00980641">
            <w:pPr>
              <w:pStyle w:val="ListParagraph"/>
              <w:numPr>
                <w:ilvl w:val="2"/>
                <w:numId w:val="31"/>
              </w:numPr>
              <w:jc w:val="both"/>
              <w:rPr>
                <w:sz w:val="22"/>
                <w:szCs w:val="22"/>
              </w:rPr>
            </w:pPr>
            <w:r w:rsidRPr="006E2C57">
              <w:rPr>
                <w:sz w:val="22"/>
                <w:szCs w:val="22"/>
              </w:rPr>
              <w:t xml:space="preserve"> 4.pielikums – MK </w:t>
            </w:r>
            <w:r w:rsidR="00B33076" w:rsidRPr="006E2C57">
              <w:rPr>
                <w:sz w:val="22"/>
                <w:szCs w:val="22"/>
              </w:rPr>
              <w:t xml:space="preserve">noteikumu Nr.922 48.pielikums </w:t>
            </w:r>
            <w:r w:rsidR="00A135AA" w:rsidRPr="006E2C57">
              <w:rPr>
                <w:sz w:val="22"/>
                <w:szCs w:val="22"/>
              </w:rPr>
              <w:t>–</w:t>
            </w:r>
            <w:r w:rsidR="00B33076" w:rsidRPr="006E2C57">
              <w:rPr>
                <w:sz w:val="22"/>
                <w:szCs w:val="22"/>
              </w:rPr>
              <w:t xml:space="preserve"> </w:t>
            </w:r>
            <w:r w:rsidR="00A135AA" w:rsidRPr="006E2C57">
              <w:rPr>
                <w:sz w:val="22"/>
                <w:szCs w:val="22"/>
              </w:rPr>
              <w:t>papildināti aizpildīšanas norādījumi.</w:t>
            </w:r>
          </w:p>
          <w:p w:rsidR="00980641" w:rsidRPr="006E2C57" w:rsidRDefault="00095DA5" w:rsidP="00980641">
            <w:pPr>
              <w:pStyle w:val="ListParagraph"/>
              <w:numPr>
                <w:ilvl w:val="2"/>
                <w:numId w:val="31"/>
              </w:numPr>
              <w:jc w:val="both"/>
              <w:rPr>
                <w:sz w:val="22"/>
                <w:szCs w:val="22"/>
              </w:rPr>
            </w:pPr>
            <w:r w:rsidRPr="006E2C57">
              <w:rPr>
                <w:sz w:val="22"/>
                <w:szCs w:val="22"/>
              </w:rPr>
              <w:t>5.pielikums – MK no</w:t>
            </w:r>
            <w:r w:rsidR="00B95D04" w:rsidRPr="006E2C57">
              <w:rPr>
                <w:sz w:val="22"/>
                <w:szCs w:val="22"/>
              </w:rPr>
              <w:t>teikumu Nr.922 58.pielikums - i</w:t>
            </w:r>
            <w:r w:rsidRPr="006E2C57">
              <w:rPr>
                <w:sz w:val="22"/>
                <w:szCs w:val="22"/>
              </w:rPr>
              <w:t>r mainīta veidlapas struktūra – iedalīta divās lielās sadaļās. Tika mainīti un papildināti  norādījumi veidlapas aizpildīšanai.</w:t>
            </w:r>
            <w:r w:rsidR="00980641" w:rsidRPr="006E2C57">
              <w:rPr>
                <w:sz w:val="22"/>
                <w:szCs w:val="22"/>
              </w:rPr>
              <w:t xml:space="preserve"> </w:t>
            </w:r>
            <w:r w:rsidRPr="006E2C57">
              <w:rPr>
                <w:sz w:val="22"/>
                <w:szCs w:val="22"/>
              </w:rPr>
              <w:t>Sakarā ar būvniecības modeļu aktualizēšanu no veidlapas izņemtas 15 rindas. Resursa kods „101180 Krāsas, lakas”  ir iedalīts divās pozīcijās.</w:t>
            </w:r>
          </w:p>
          <w:p w:rsidR="00980641" w:rsidRPr="006E2C57" w:rsidRDefault="00D4478A" w:rsidP="00980641">
            <w:pPr>
              <w:pStyle w:val="ListParagraph"/>
              <w:numPr>
                <w:ilvl w:val="2"/>
                <w:numId w:val="31"/>
              </w:numPr>
              <w:jc w:val="both"/>
              <w:rPr>
                <w:sz w:val="22"/>
                <w:szCs w:val="22"/>
              </w:rPr>
            </w:pPr>
            <w:r w:rsidRPr="006E2C57">
              <w:rPr>
                <w:sz w:val="22"/>
                <w:szCs w:val="22"/>
              </w:rPr>
              <w:t xml:space="preserve">6.pielikums – MK noteikumu Nr.922 74.pielikums - 1. 2. un 3.tabulās mainīti aiļu nosaukumi (eksports uz </w:t>
            </w:r>
            <w:proofErr w:type="spellStart"/>
            <w:r w:rsidRPr="006E2C57">
              <w:rPr>
                <w:i/>
                <w:sz w:val="22"/>
                <w:szCs w:val="22"/>
              </w:rPr>
              <w:t>e</w:t>
            </w:r>
            <w:r w:rsidR="00B95D04" w:rsidRPr="006E2C57">
              <w:rPr>
                <w:i/>
                <w:sz w:val="22"/>
                <w:szCs w:val="22"/>
              </w:rPr>
              <w:t>u</w:t>
            </w:r>
            <w:r w:rsidRPr="006E2C57">
              <w:rPr>
                <w:i/>
                <w:sz w:val="22"/>
                <w:szCs w:val="22"/>
              </w:rPr>
              <w:t>ro</w:t>
            </w:r>
            <w:proofErr w:type="spellEnd"/>
            <w:r w:rsidRPr="006E2C57">
              <w:rPr>
                <w:sz w:val="22"/>
                <w:szCs w:val="22"/>
              </w:rPr>
              <w:t xml:space="preserve"> zon</w:t>
            </w:r>
            <w:r w:rsidR="00B95D04" w:rsidRPr="006E2C57">
              <w:rPr>
                <w:sz w:val="22"/>
                <w:szCs w:val="22"/>
              </w:rPr>
              <w:t xml:space="preserve">as valstīm, eksports uz ārpus </w:t>
            </w:r>
            <w:proofErr w:type="spellStart"/>
            <w:r w:rsidR="00B95D04" w:rsidRPr="006E2C57">
              <w:rPr>
                <w:i/>
                <w:sz w:val="22"/>
                <w:szCs w:val="22"/>
              </w:rPr>
              <w:t>eu</w:t>
            </w:r>
            <w:r w:rsidRPr="006E2C57">
              <w:rPr>
                <w:i/>
                <w:sz w:val="22"/>
                <w:szCs w:val="22"/>
              </w:rPr>
              <w:t>ro</w:t>
            </w:r>
            <w:proofErr w:type="spellEnd"/>
            <w:r w:rsidRPr="006E2C57">
              <w:rPr>
                <w:sz w:val="22"/>
                <w:szCs w:val="22"/>
              </w:rPr>
              <w:t xml:space="preserve"> zonas valstīm). 2.tabulā informācija ir </w:t>
            </w:r>
            <w:proofErr w:type="spellStart"/>
            <w:r w:rsidRPr="006E2C57">
              <w:rPr>
                <w:sz w:val="22"/>
                <w:szCs w:val="22"/>
              </w:rPr>
              <w:t>priekšiedruka</w:t>
            </w:r>
            <w:proofErr w:type="spellEnd"/>
            <w:r w:rsidRPr="006E2C57">
              <w:rPr>
                <w:sz w:val="22"/>
                <w:szCs w:val="22"/>
              </w:rPr>
              <w:t>, 3.tabulā sadalījums būs jānorāda respondentam. Aktualizēti formulējumi norādījumos un aiļu virsrakstos</w:t>
            </w:r>
            <w:r w:rsidR="008D3D43" w:rsidRPr="006E2C57">
              <w:rPr>
                <w:sz w:val="22"/>
                <w:szCs w:val="22"/>
              </w:rPr>
              <w:t>.</w:t>
            </w:r>
          </w:p>
          <w:p w:rsidR="00980641" w:rsidRPr="006E2C57" w:rsidRDefault="008D3D43" w:rsidP="00980641">
            <w:pPr>
              <w:pStyle w:val="ListParagraph"/>
              <w:numPr>
                <w:ilvl w:val="2"/>
                <w:numId w:val="31"/>
              </w:numPr>
              <w:jc w:val="both"/>
              <w:rPr>
                <w:sz w:val="22"/>
                <w:szCs w:val="22"/>
              </w:rPr>
            </w:pPr>
            <w:r w:rsidRPr="006E2C57">
              <w:rPr>
                <w:sz w:val="22"/>
                <w:szCs w:val="22"/>
              </w:rPr>
              <w:t xml:space="preserve">7.pielikums – MK noteikumu </w:t>
            </w:r>
            <w:r w:rsidR="00CA524A" w:rsidRPr="006E2C57">
              <w:t xml:space="preserve">Nr.922 </w:t>
            </w:r>
            <w:r w:rsidRPr="006E2C57">
              <w:rPr>
                <w:sz w:val="22"/>
                <w:szCs w:val="22"/>
              </w:rPr>
              <w:t xml:space="preserve">75.pielikums </w:t>
            </w:r>
            <w:r w:rsidR="00B95D04" w:rsidRPr="006E2C57">
              <w:rPr>
                <w:sz w:val="22"/>
                <w:szCs w:val="22"/>
              </w:rPr>
              <w:t>–</w:t>
            </w:r>
            <w:r w:rsidRPr="006E2C57">
              <w:rPr>
                <w:sz w:val="22"/>
                <w:szCs w:val="22"/>
              </w:rPr>
              <w:t xml:space="preserve"> </w:t>
            </w:r>
            <w:r w:rsidR="00B95D04" w:rsidRPr="006E2C57">
              <w:t xml:space="preserve">svītroti </w:t>
            </w:r>
            <w:r w:rsidRPr="006E2C57">
              <w:t>vārdi „ikmēneša biļetenā”, jo ikmēneša biļetenā dati vairs netiek publicēti. Vienkāršoti norādījumi 2. tabulas aizpildīšanai. Tabulas galv</w:t>
            </w:r>
            <w:r w:rsidR="00B95D04" w:rsidRPr="006E2C57">
              <w:t>enē</w:t>
            </w:r>
            <w:r w:rsidRPr="006E2C57">
              <w:t xml:space="preserve"> precizēti aiļu nosaukumi.</w:t>
            </w:r>
          </w:p>
          <w:p w:rsidR="00980641" w:rsidRPr="006E2C57" w:rsidRDefault="00CA524A" w:rsidP="00645169">
            <w:pPr>
              <w:pStyle w:val="ListParagraph"/>
              <w:numPr>
                <w:ilvl w:val="2"/>
                <w:numId w:val="31"/>
              </w:numPr>
              <w:jc w:val="both"/>
              <w:rPr>
                <w:sz w:val="22"/>
                <w:szCs w:val="22"/>
              </w:rPr>
            </w:pPr>
            <w:r w:rsidRPr="006E2C57">
              <w:t xml:space="preserve">8.pielikums – MK noteikumu Nr.922 79.pielikums – </w:t>
            </w:r>
            <w:r w:rsidR="00645169" w:rsidRPr="00645169">
              <w:t>veidlap</w:t>
            </w:r>
            <w:r w:rsidR="00645169">
              <w:t>a</w:t>
            </w:r>
            <w:r w:rsidR="00645169" w:rsidRPr="00645169">
              <w:t xml:space="preserve">s nosaukums </w:t>
            </w:r>
            <w:r w:rsidR="00645169" w:rsidRPr="00645169">
              <w:lastRenderedPageBreak/>
              <w:t>papildināts ar norādi uz gadu, par kuru respondentam jāsniedz informācija</w:t>
            </w:r>
            <w:r w:rsidRPr="006E2C57">
              <w:t>.</w:t>
            </w:r>
          </w:p>
          <w:p w:rsidR="00980641" w:rsidRPr="006E2C57" w:rsidRDefault="009C6BED" w:rsidP="00980641">
            <w:pPr>
              <w:pStyle w:val="ListParagraph"/>
              <w:numPr>
                <w:ilvl w:val="2"/>
                <w:numId w:val="31"/>
              </w:numPr>
              <w:jc w:val="both"/>
              <w:rPr>
                <w:sz w:val="22"/>
                <w:szCs w:val="22"/>
              </w:rPr>
            </w:pPr>
            <w:r w:rsidRPr="006E2C57">
              <w:t xml:space="preserve">9.pielikums – MK noteikumu Nr.922 91.pielikums - </w:t>
            </w:r>
            <w:r w:rsidR="00B95D04" w:rsidRPr="006E2C57">
              <w:t>p</w:t>
            </w:r>
            <w:r w:rsidR="007C2A59" w:rsidRPr="006E2C57">
              <w:t>ārskata saturs nemainās, tiek papildināts veidlapas nosaukums un aizpildīšanas instrukcija, lai lietotāji labāk varētu izprast, kādu nepieciešamo informāciju pārskats ietver.</w:t>
            </w:r>
          </w:p>
          <w:p w:rsidR="00980641" w:rsidRPr="006E2C57" w:rsidRDefault="00F72D9C" w:rsidP="00980641">
            <w:pPr>
              <w:pStyle w:val="ListParagraph"/>
              <w:numPr>
                <w:ilvl w:val="2"/>
                <w:numId w:val="31"/>
              </w:numPr>
              <w:jc w:val="both"/>
              <w:rPr>
                <w:sz w:val="22"/>
                <w:szCs w:val="22"/>
              </w:rPr>
            </w:pPr>
            <w:r w:rsidRPr="006E2C57">
              <w:t xml:space="preserve">10.pielikums – MK noteikumu Nr.922 93.pielikums – sakarā ar to, ka katru gadu rudenī tiek pieņemta regula, ar kuru aktualizē rādītāju loku– daļa rādītāju tiek izņemti un to vietā iekļauti jauni (apmēram 15%), katru gadu tiek grozīts šis pielikums. Šī iemesla dēļ, pielikumā ir norādīts, ka summas jāuzrāda latos, jo šo pielikumu respondenti iesniegs līdz 2014.gada 15.februārim par 2013.gadu. Grozot šo pielikumu 2014.gada nogalē, vārds „ lati” tiks aizstāts ar vārdu „ </w:t>
            </w:r>
            <w:proofErr w:type="spellStart"/>
            <w:r w:rsidRPr="006E2C57">
              <w:rPr>
                <w:i/>
              </w:rPr>
              <w:t>euro</w:t>
            </w:r>
            <w:proofErr w:type="spellEnd"/>
            <w:r w:rsidRPr="006E2C57">
              <w:rPr>
                <w:i/>
              </w:rPr>
              <w:t>” .</w:t>
            </w:r>
            <w:r w:rsidRPr="006E2C57">
              <w:t xml:space="preserve"> </w:t>
            </w:r>
          </w:p>
          <w:p w:rsidR="00980641" w:rsidRPr="006E2C57" w:rsidRDefault="00C4363E" w:rsidP="00980641">
            <w:pPr>
              <w:pStyle w:val="ListParagraph"/>
              <w:numPr>
                <w:ilvl w:val="2"/>
                <w:numId w:val="31"/>
              </w:numPr>
              <w:jc w:val="both"/>
              <w:rPr>
                <w:sz w:val="22"/>
                <w:szCs w:val="22"/>
              </w:rPr>
            </w:pPr>
            <w:r w:rsidRPr="006E2C57">
              <w:t xml:space="preserve">11.pielikums – MK noteikumu Nr.922 95.pielikums - </w:t>
            </w:r>
            <w:r w:rsidR="00B67C97" w:rsidRPr="006E2C57">
              <w:t>r</w:t>
            </w:r>
            <w:r w:rsidRPr="006E2C57">
              <w:t>ādītājiem 1410 un 1420 izņemts nozaru dalījums. Tiek precizēts 1600 rādītāja nosaukums.</w:t>
            </w:r>
          </w:p>
          <w:p w:rsidR="00980641" w:rsidRPr="006E2C57" w:rsidRDefault="007C37A3" w:rsidP="00980641">
            <w:pPr>
              <w:pStyle w:val="ListParagraph"/>
              <w:numPr>
                <w:ilvl w:val="2"/>
                <w:numId w:val="31"/>
              </w:numPr>
              <w:jc w:val="both"/>
              <w:rPr>
                <w:sz w:val="22"/>
                <w:szCs w:val="22"/>
              </w:rPr>
            </w:pPr>
            <w:r w:rsidRPr="006E2C57">
              <w:t xml:space="preserve">12.pielikums – MK noteikumu Nr.922 97.pielikums </w:t>
            </w:r>
            <w:r w:rsidR="00CD1BCC" w:rsidRPr="006E2C57">
              <w:t>–</w:t>
            </w:r>
            <w:r w:rsidRPr="006E2C57">
              <w:t xml:space="preserve"> </w:t>
            </w:r>
            <w:r w:rsidR="00A135AA" w:rsidRPr="006E2C57">
              <w:t>nākusi klāt papildu informācija veidlapas aizpildīšanai, kā arī precizēti veidlapas rindu nosaukumi/apraksti, lai respondentiem atvieglotu veidlapas aizpildīšanu. Pēc būtības rindu kodi un to saturs nav mainīti.</w:t>
            </w:r>
          </w:p>
          <w:p w:rsidR="00980641" w:rsidRPr="006E2C57" w:rsidRDefault="00CD1BCC" w:rsidP="00980641">
            <w:pPr>
              <w:pStyle w:val="ListParagraph"/>
              <w:numPr>
                <w:ilvl w:val="2"/>
                <w:numId w:val="31"/>
              </w:numPr>
              <w:jc w:val="both"/>
              <w:rPr>
                <w:sz w:val="22"/>
                <w:szCs w:val="22"/>
              </w:rPr>
            </w:pPr>
            <w:r w:rsidRPr="006E2C57">
              <w:t>13.pielikums – MK noteikumu Nr.922 105.pielikums – labojumi n</w:t>
            </w:r>
            <w:r w:rsidRPr="006E2C57">
              <w:rPr>
                <w:rFonts w:eastAsia="Calibri"/>
              </w:rPr>
              <w:t>odrošina detalizētāku finanšu instrumentu dalījumu un finanšu instrumentu termiņa dalījumu un izņemti rādītāji, kas pieejami no citiem avotiem</w:t>
            </w:r>
            <w:r w:rsidRPr="006E2C57">
              <w:rPr>
                <w:i/>
              </w:rPr>
              <w:t>.</w:t>
            </w:r>
            <w:r w:rsidR="00A02707" w:rsidRPr="006E2C57">
              <w:t xml:space="preserve"> Papildināts ar Latvijas Bankai nepieciešamo informāciju.</w:t>
            </w:r>
          </w:p>
          <w:p w:rsidR="00980641" w:rsidRPr="006E2C57" w:rsidRDefault="00BB0127" w:rsidP="00980641">
            <w:pPr>
              <w:pStyle w:val="ListParagraph"/>
              <w:numPr>
                <w:ilvl w:val="2"/>
                <w:numId w:val="31"/>
              </w:numPr>
              <w:jc w:val="both"/>
              <w:rPr>
                <w:sz w:val="22"/>
                <w:szCs w:val="22"/>
              </w:rPr>
            </w:pPr>
            <w:r w:rsidRPr="006E2C57">
              <w:rPr>
                <w:sz w:val="22"/>
                <w:szCs w:val="22"/>
              </w:rPr>
              <w:t>14.pielikums – MK noteikumu Nr.922 107.pielikums – labojumi n</w:t>
            </w:r>
            <w:r w:rsidRPr="006E2C57">
              <w:rPr>
                <w:rFonts w:eastAsia="Calibri"/>
              </w:rPr>
              <w:t>odrošina detalizētāku dalījumu (rezidenti/nerezidenti) un izņemti atsevišķi rādītāji.</w:t>
            </w:r>
          </w:p>
          <w:p w:rsidR="00980641" w:rsidRPr="006E2C57" w:rsidRDefault="00451A1D" w:rsidP="00980641">
            <w:pPr>
              <w:pStyle w:val="ListParagraph"/>
              <w:numPr>
                <w:ilvl w:val="2"/>
                <w:numId w:val="31"/>
              </w:numPr>
              <w:jc w:val="both"/>
              <w:rPr>
                <w:sz w:val="22"/>
                <w:szCs w:val="22"/>
              </w:rPr>
            </w:pPr>
            <w:r w:rsidRPr="006E2C57">
              <w:rPr>
                <w:rFonts w:eastAsia="Calibri"/>
              </w:rPr>
              <w:t xml:space="preserve">15.pielikums – MK noteikumu </w:t>
            </w:r>
            <w:r w:rsidRPr="006E2C57">
              <w:rPr>
                <w:rFonts w:eastAsia="Calibri"/>
              </w:rPr>
              <w:lastRenderedPageBreak/>
              <w:t>Nr.922 10</w:t>
            </w:r>
            <w:r w:rsidR="00645169">
              <w:rPr>
                <w:rFonts w:eastAsia="Calibri"/>
              </w:rPr>
              <w:t>8</w:t>
            </w:r>
            <w:r w:rsidRPr="006E2C57">
              <w:rPr>
                <w:rFonts w:eastAsia="Calibri"/>
              </w:rPr>
              <w:t xml:space="preserve">.pielikums - </w:t>
            </w:r>
            <w:r w:rsidR="002118AA" w:rsidRPr="006E2C57">
              <w:rPr>
                <w:color w:val="000000"/>
              </w:rPr>
              <w:t>s</w:t>
            </w:r>
            <w:r w:rsidRPr="006E2C57">
              <w:rPr>
                <w:color w:val="000000"/>
              </w:rPr>
              <w:t xml:space="preserve">akarā ar pāreju no ESA95 uz ESA2010 pārskatā mainīts un papildināts </w:t>
            </w:r>
            <w:proofErr w:type="spellStart"/>
            <w:r w:rsidRPr="006E2C57">
              <w:t>pretsektoru</w:t>
            </w:r>
            <w:proofErr w:type="spellEnd"/>
            <w:r w:rsidRPr="006E2C57">
              <w:rPr>
                <w:color w:val="000000"/>
              </w:rPr>
              <w:t xml:space="preserve"> dalījums atbilstoši ESA2010. </w:t>
            </w:r>
            <w:r w:rsidRPr="006E2C57">
              <w:rPr>
                <w:rFonts w:eastAsia="Calibri"/>
              </w:rPr>
              <w:t>Nodrošināts detalizētāks dalījums atsevišķiem rādītājiem.</w:t>
            </w:r>
          </w:p>
          <w:p w:rsidR="00980641" w:rsidRPr="006E2C57" w:rsidRDefault="009B37B4" w:rsidP="00980641">
            <w:pPr>
              <w:pStyle w:val="ListParagraph"/>
              <w:numPr>
                <w:ilvl w:val="2"/>
                <w:numId w:val="31"/>
              </w:numPr>
              <w:jc w:val="both"/>
              <w:rPr>
                <w:sz w:val="22"/>
                <w:szCs w:val="22"/>
              </w:rPr>
            </w:pPr>
            <w:r w:rsidRPr="006E2C57">
              <w:rPr>
                <w:rFonts w:eastAsia="Calibri"/>
              </w:rPr>
              <w:t xml:space="preserve">16.pielikums – MK noteikumu Nr.922 109.pielikums - </w:t>
            </w:r>
            <w:r w:rsidR="002118AA" w:rsidRPr="006E2C57">
              <w:rPr>
                <w:color w:val="000000"/>
              </w:rPr>
              <w:t>s</w:t>
            </w:r>
            <w:r w:rsidRPr="006E2C57">
              <w:rPr>
                <w:color w:val="000000"/>
              </w:rPr>
              <w:t xml:space="preserve">akarā ar pāreju no ESA95 uz ESA2010 pārskatā mainīts un papildināts </w:t>
            </w:r>
            <w:proofErr w:type="spellStart"/>
            <w:r w:rsidRPr="006E2C57">
              <w:t>pretsektoru</w:t>
            </w:r>
            <w:proofErr w:type="spellEnd"/>
            <w:r w:rsidRPr="006E2C57">
              <w:rPr>
                <w:color w:val="000000"/>
              </w:rPr>
              <w:t xml:space="preserve"> dalījums atbilstoši ESA2010.</w:t>
            </w:r>
          </w:p>
          <w:p w:rsidR="00980641" w:rsidRPr="006E2C57" w:rsidRDefault="00F3279F" w:rsidP="00980641">
            <w:pPr>
              <w:pStyle w:val="ListParagraph"/>
              <w:numPr>
                <w:ilvl w:val="2"/>
                <w:numId w:val="31"/>
              </w:numPr>
              <w:jc w:val="both"/>
              <w:rPr>
                <w:sz w:val="22"/>
                <w:szCs w:val="22"/>
              </w:rPr>
            </w:pPr>
            <w:r w:rsidRPr="006E2C57">
              <w:rPr>
                <w:color w:val="000000"/>
              </w:rPr>
              <w:t>17.pielikums – MK noteikumu Nr.922 112.pielikums - v</w:t>
            </w:r>
            <w:r w:rsidRPr="006E2C57">
              <w:t>eidlapa papildināta ar papildus rindiņu, ļaujot respondentam nepieciešamības gadījumā ierakstīt energoresursu, kas nav minēts veidlapā</w:t>
            </w:r>
            <w:r w:rsidRPr="006E2C57">
              <w:rPr>
                <w:sz w:val="22"/>
                <w:szCs w:val="22"/>
              </w:rPr>
              <w:t>.</w:t>
            </w:r>
          </w:p>
          <w:p w:rsidR="00980641" w:rsidRPr="006E2C57" w:rsidRDefault="00E82761" w:rsidP="00980641">
            <w:pPr>
              <w:pStyle w:val="ListParagraph"/>
              <w:numPr>
                <w:ilvl w:val="2"/>
                <w:numId w:val="31"/>
              </w:numPr>
              <w:jc w:val="both"/>
              <w:rPr>
                <w:sz w:val="22"/>
                <w:szCs w:val="22"/>
              </w:rPr>
            </w:pPr>
            <w:r w:rsidRPr="006E2C57">
              <w:rPr>
                <w:sz w:val="22"/>
                <w:szCs w:val="22"/>
              </w:rPr>
              <w:t>18.</w:t>
            </w:r>
            <w:r w:rsidR="00A135AA" w:rsidRPr="006E2C57">
              <w:rPr>
                <w:sz w:val="22"/>
                <w:szCs w:val="22"/>
              </w:rPr>
              <w:t xml:space="preserve"> un 19.</w:t>
            </w:r>
            <w:r w:rsidRPr="006E2C57">
              <w:rPr>
                <w:sz w:val="22"/>
                <w:szCs w:val="22"/>
              </w:rPr>
              <w:t>pielikums – MK noteikumu Nr.922 135.</w:t>
            </w:r>
            <w:r w:rsidR="00A135AA" w:rsidRPr="006E2C57">
              <w:rPr>
                <w:sz w:val="22"/>
                <w:szCs w:val="22"/>
              </w:rPr>
              <w:t xml:space="preserve"> un 136.</w:t>
            </w:r>
            <w:r w:rsidRPr="006E2C57">
              <w:rPr>
                <w:sz w:val="22"/>
                <w:szCs w:val="22"/>
              </w:rPr>
              <w:t xml:space="preserve">pielikums </w:t>
            </w:r>
            <w:r w:rsidR="00ED2B64" w:rsidRPr="006E2C57">
              <w:rPr>
                <w:sz w:val="22"/>
                <w:szCs w:val="22"/>
              </w:rPr>
              <w:t>–</w:t>
            </w:r>
            <w:r w:rsidRPr="006E2C57">
              <w:rPr>
                <w:sz w:val="22"/>
                <w:szCs w:val="22"/>
              </w:rPr>
              <w:t xml:space="preserve"> </w:t>
            </w:r>
            <w:r w:rsidR="00A135AA" w:rsidRPr="006E2C57">
              <w:rPr>
                <w:sz w:val="22"/>
                <w:szCs w:val="22"/>
              </w:rPr>
              <w:t>svītroti vairāki jautājumi un papildināts ar jaunu jautājumu bloku.</w:t>
            </w:r>
          </w:p>
          <w:p w:rsidR="00980641" w:rsidRPr="006E2C57" w:rsidRDefault="00A275C2" w:rsidP="00980641">
            <w:pPr>
              <w:pStyle w:val="ListParagraph"/>
              <w:numPr>
                <w:ilvl w:val="2"/>
                <w:numId w:val="31"/>
              </w:numPr>
              <w:jc w:val="both"/>
              <w:rPr>
                <w:sz w:val="22"/>
                <w:szCs w:val="22"/>
              </w:rPr>
            </w:pPr>
            <w:r w:rsidRPr="006E2C57">
              <w:rPr>
                <w:sz w:val="22"/>
                <w:szCs w:val="22"/>
              </w:rPr>
              <w:t>20.pielikums – MK noteikumu Nr.922 1</w:t>
            </w:r>
            <w:r w:rsidR="00645169">
              <w:rPr>
                <w:sz w:val="22"/>
                <w:szCs w:val="22"/>
              </w:rPr>
              <w:t>43</w:t>
            </w:r>
            <w:r w:rsidRPr="006E2C57">
              <w:rPr>
                <w:sz w:val="22"/>
                <w:szCs w:val="22"/>
              </w:rPr>
              <w:t xml:space="preserve">.pielikums </w:t>
            </w:r>
            <w:r w:rsidR="0006139E" w:rsidRPr="006E2C57">
              <w:rPr>
                <w:sz w:val="22"/>
                <w:szCs w:val="22"/>
              </w:rPr>
              <w:t>–</w:t>
            </w:r>
            <w:r w:rsidRPr="006E2C57">
              <w:rPr>
                <w:sz w:val="22"/>
                <w:szCs w:val="22"/>
              </w:rPr>
              <w:t xml:space="preserve"> </w:t>
            </w:r>
            <w:r w:rsidR="0006139E" w:rsidRPr="006E2C57">
              <w:rPr>
                <w:sz w:val="22"/>
                <w:szCs w:val="22"/>
              </w:rPr>
              <w:t xml:space="preserve">iekļauti </w:t>
            </w:r>
            <w:r w:rsidR="0006139E" w:rsidRPr="006E2C57">
              <w:t>p</w:t>
            </w:r>
            <w:r w:rsidR="00FA01B2" w:rsidRPr="006E2C57">
              <w:t xml:space="preserve">apildjautājumi, kuri saskaņā ar  </w:t>
            </w:r>
            <w:r w:rsidR="00FD1F15" w:rsidRPr="006E2C57">
              <w:t>Eiropas Parlamenta un Padomes 2011.gada 6.jūlija</w:t>
            </w:r>
            <w:r w:rsidR="00FA01B2" w:rsidRPr="006E2C57">
              <w:t xml:space="preserve"> Regulu</w:t>
            </w:r>
            <w:r w:rsidR="00FD1F15" w:rsidRPr="006E2C57">
              <w:t xml:space="preserve"> (ES) </w:t>
            </w:r>
            <w:proofErr w:type="spellStart"/>
            <w:r w:rsidR="00FD1F15" w:rsidRPr="006E2C57">
              <w:t>Nr</w:t>
            </w:r>
            <w:proofErr w:type="spellEnd"/>
            <w:r w:rsidR="00FD1F15" w:rsidRPr="006E2C57">
              <w:t>.</w:t>
            </w:r>
            <w:r w:rsidR="00FA01B2" w:rsidRPr="006E2C57">
              <w:t xml:space="preserve"> 692/2011 ir jāiekļauj veidlapā vienu reizi trijos gados, (pirmais atskaites periods ir 2014.gads)</w:t>
            </w:r>
            <w:r w:rsidR="00A3591D" w:rsidRPr="006E2C57">
              <w:t>.</w:t>
            </w:r>
          </w:p>
          <w:p w:rsidR="00980641" w:rsidRPr="006E2C57" w:rsidRDefault="00A3591D" w:rsidP="00980641">
            <w:pPr>
              <w:pStyle w:val="ListParagraph"/>
              <w:numPr>
                <w:ilvl w:val="2"/>
                <w:numId w:val="31"/>
              </w:numPr>
              <w:jc w:val="both"/>
              <w:rPr>
                <w:sz w:val="22"/>
                <w:szCs w:val="22"/>
              </w:rPr>
            </w:pPr>
            <w:r w:rsidRPr="006E2C57">
              <w:t>21.</w:t>
            </w:r>
            <w:r w:rsidR="00347172" w:rsidRPr="006E2C57">
              <w:t>, 22. un 23.</w:t>
            </w:r>
            <w:r w:rsidRPr="006E2C57">
              <w:t>pielikums – MK noteikumu Nr.922 144.</w:t>
            </w:r>
            <w:r w:rsidR="00347172" w:rsidRPr="006E2C57">
              <w:t xml:space="preserve">, 145. </w:t>
            </w:r>
            <w:r w:rsidR="002F5689" w:rsidRPr="006E2C57">
              <w:t>u</w:t>
            </w:r>
            <w:r w:rsidR="00347172" w:rsidRPr="006E2C57">
              <w:t>n 146.</w:t>
            </w:r>
            <w:r w:rsidRPr="006E2C57">
              <w:t xml:space="preserve">pielikums - </w:t>
            </w:r>
            <w:r w:rsidRPr="006E2C57">
              <w:rPr>
                <w:sz w:val="22"/>
              </w:rPr>
              <w:t>nepieciešamība aktualizēt anketu atbilstoši tam, ka ir mainījusies nepieciešamība pēc atsevišķiem mainīgajiem; izmaiņas COICOP 5 zīmju līmeņa klasifikatorā 2012.gada versijā; papildu prasības saistībā ar pāreju no papīra anketas 1-MBA uz</w:t>
            </w:r>
            <w:r w:rsidR="0006139E" w:rsidRPr="006E2C57">
              <w:rPr>
                <w:sz w:val="22"/>
              </w:rPr>
              <w:t xml:space="preserve"> Pārvaldes elektronisko sistēmas</w:t>
            </w:r>
            <w:r w:rsidRPr="006E2C57">
              <w:rPr>
                <w:sz w:val="22"/>
              </w:rPr>
              <w:t xml:space="preserve"> ISDAVS CASIS ievada aplikāciju.</w:t>
            </w:r>
          </w:p>
          <w:p w:rsidR="00980641" w:rsidRPr="006E2C57" w:rsidRDefault="002F5689" w:rsidP="00980641">
            <w:pPr>
              <w:pStyle w:val="ListParagraph"/>
              <w:numPr>
                <w:ilvl w:val="2"/>
                <w:numId w:val="31"/>
              </w:numPr>
              <w:jc w:val="both"/>
              <w:rPr>
                <w:sz w:val="22"/>
                <w:szCs w:val="22"/>
              </w:rPr>
            </w:pPr>
            <w:r w:rsidRPr="006E2C57">
              <w:rPr>
                <w:sz w:val="22"/>
              </w:rPr>
              <w:t xml:space="preserve">24.pielikums – MK noteikumu nr.922 147.pielikums - </w:t>
            </w:r>
            <w:r w:rsidR="0006139E" w:rsidRPr="006E2C57">
              <w:rPr>
                <w:sz w:val="22"/>
              </w:rPr>
              <w:t>a</w:t>
            </w:r>
            <w:r w:rsidR="00E52830" w:rsidRPr="006E2C57">
              <w:t xml:space="preserve">nketā ir veiktas redakcionālas izmaiņas atbilstoši dokumentam EU-SILC 065 (2013 </w:t>
            </w:r>
            <w:proofErr w:type="spellStart"/>
            <w:r w:rsidR="00E52830" w:rsidRPr="006E2C57">
              <w:t>operation</w:t>
            </w:r>
            <w:proofErr w:type="spellEnd"/>
            <w:r w:rsidR="00E52830" w:rsidRPr="006E2C57">
              <w:t>) „</w:t>
            </w:r>
            <w:proofErr w:type="spellStart"/>
            <w:r w:rsidR="00E52830" w:rsidRPr="006E2C57">
              <w:rPr>
                <w:i/>
              </w:rPr>
              <w:t>Description</w:t>
            </w:r>
            <w:proofErr w:type="spellEnd"/>
            <w:r w:rsidR="00E52830" w:rsidRPr="006E2C57">
              <w:rPr>
                <w:i/>
              </w:rPr>
              <w:t xml:space="preserve"> </w:t>
            </w:r>
            <w:proofErr w:type="spellStart"/>
            <w:r w:rsidR="00E52830" w:rsidRPr="006E2C57">
              <w:rPr>
                <w:i/>
              </w:rPr>
              <w:t>of</w:t>
            </w:r>
            <w:proofErr w:type="spellEnd"/>
            <w:r w:rsidR="00E52830" w:rsidRPr="006E2C57">
              <w:rPr>
                <w:i/>
              </w:rPr>
              <w:t xml:space="preserve"> </w:t>
            </w:r>
            <w:proofErr w:type="spellStart"/>
            <w:r w:rsidR="00E52830" w:rsidRPr="006E2C57">
              <w:rPr>
                <w:i/>
              </w:rPr>
              <w:t>Target</w:t>
            </w:r>
            <w:proofErr w:type="spellEnd"/>
            <w:r w:rsidR="00E52830" w:rsidRPr="006E2C57">
              <w:rPr>
                <w:i/>
              </w:rPr>
              <w:t xml:space="preserve"> </w:t>
            </w:r>
            <w:proofErr w:type="spellStart"/>
            <w:r w:rsidR="00E52830" w:rsidRPr="006E2C57">
              <w:rPr>
                <w:i/>
              </w:rPr>
              <w:t>Variables</w:t>
            </w:r>
            <w:proofErr w:type="spellEnd"/>
            <w:r w:rsidR="00E52830" w:rsidRPr="006E2C57">
              <w:rPr>
                <w:i/>
              </w:rPr>
              <w:t xml:space="preserve">: </w:t>
            </w:r>
            <w:proofErr w:type="spellStart"/>
            <w:r w:rsidR="00E52830" w:rsidRPr="006E2C57">
              <w:rPr>
                <w:i/>
              </w:rPr>
              <w:t>Cross-sectional</w:t>
            </w:r>
            <w:proofErr w:type="spellEnd"/>
            <w:r w:rsidR="00E52830" w:rsidRPr="006E2C57">
              <w:rPr>
                <w:i/>
              </w:rPr>
              <w:t xml:space="preserve"> </w:t>
            </w:r>
            <w:proofErr w:type="spellStart"/>
            <w:r w:rsidR="00E52830" w:rsidRPr="006E2C57">
              <w:rPr>
                <w:i/>
              </w:rPr>
              <w:t>and</w:t>
            </w:r>
            <w:proofErr w:type="spellEnd"/>
            <w:r w:rsidR="00E52830" w:rsidRPr="006E2C57">
              <w:rPr>
                <w:i/>
              </w:rPr>
              <w:t xml:space="preserve"> </w:t>
            </w:r>
            <w:proofErr w:type="spellStart"/>
            <w:r w:rsidR="00E52830" w:rsidRPr="006E2C57">
              <w:rPr>
                <w:i/>
              </w:rPr>
              <w:t>Longitudinal</w:t>
            </w:r>
            <w:proofErr w:type="spellEnd"/>
            <w:r w:rsidR="00E52830" w:rsidRPr="006E2C57">
              <w:t>”</w:t>
            </w:r>
            <w:r w:rsidR="00247C93" w:rsidRPr="006E2C57">
              <w:t>.</w:t>
            </w:r>
          </w:p>
          <w:p w:rsidR="00980641" w:rsidRPr="006E2C57" w:rsidRDefault="001E2751" w:rsidP="00980641">
            <w:pPr>
              <w:pStyle w:val="ListParagraph"/>
              <w:numPr>
                <w:ilvl w:val="2"/>
                <w:numId w:val="31"/>
              </w:numPr>
              <w:jc w:val="both"/>
              <w:rPr>
                <w:sz w:val="22"/>
                <w:szCs w:val="22"/>
              </w:rPr>
            </w:pPr>
            <w:r w:rsidRPr="006E2C57">
              <w:t xml:space="preserve">25.pielikums – MK noteikumu nr.922 148.pielikums </w:t>
            </w:r>
            <w:r w:rsidR="00F807C8" w:rsidRPr="006E2C57">
              <w:t>–</w:t>
            </w:r>
            <w:r w:rsidRPr="006E2C57">
              <w:t xml:space="preserve"> </w:t>
            </w:r>
            <w:r w:rsidR="00F807C8" w:rsidRPr="006E2C57">
              <w:t xml:space="preserve">precizēts </w:t>
            </w:r>
            <w:r w:rsidRPr="006E2C57">
              <w:t>respondentu lok</w:t>
            </w:r>
            <w:r w:rsidR="00F807C8" w:rsidRPr="006E2C57">
              <w:t>s</w:t>
            </w:r>
            <w:r w:rsidRPr="006E2C57">
              <w:t xml:space="preserve">, uz kuriem attiecas jautājumi par pašvaldību </w:t>
            </w:r>
            <w:r w:rsidRPr="006E2C57">
              <w:lastRenderedPageBreak/>
              <w:t>piešķirt</w:t>
            </w:r>
            <w:r w:rsidR="00F807C8" w:rsidRPr="006E2C57">
              <w:t>aj</w:t>
            </w:r>
            <w:r w:rsidRPr="006E2C57">
              <w:t>iem pabalstiem.</w:t>
            </w:r>
          </w:p>
          <w:p w:rsidR="00980641" w:rsidRPr="006E2C57" w:rsidRDefault="00D90231" w:rsidP="00980641">
            <w:pPr>
              <w:pStyle w:val="ListParagraph"/>
              <w:numPr>
                <w:ilvl w:val="2"/>
                <w:numId w:val="31"/>
              </w:numPr>
              <w:jc w:val="both"/>
              <w:rPr>
                <w:sz w:val="22"/>
                <w:szCs w:val="22"/>
              </w:rPr>
            </w:pPr>
            <w:r w:rsidRPr="006E2C57">
              <w:t xml:space="preserve">26.pielikums – MK noteikumu Nr.922 149.pielikums - </w:t>
            </w:r>
            <w:r w:rsidR="00F807C8" w:rsidRPr="006E2C57">
              <w:t>v</w:t>
            </w:r>
            <w:r w:rsidRPr="006E2C57">
              <w:t>eidlapu ir nepieciešams grozīt sakarā ar</w:t>
            </w:r>
            <w:r w:rsidR="00645169">
              <w:t>:</w:t>
            </w:r>
            <w:r w:rsidRPr="006E2C57">
              <w:t xml:space="preserve"> </w:t>
            </w:r>
            <w:r w:rsidR="00F807C8" w:rsidRPr="006E2C57">
              <w:t>1</w:t>
            </w:r>
            <w:r w:rsidRPr="006E2C57">
              <w:t>) respondentu loka precizēšanu, uz kuriem attiecas jautājumi par pašvaldību piešķirt</w:t>
            </w:r>
            <w:r w:rsidR="00F807C8" w:rsidRPr="006E2C57">
              <w:t>aj</w:t>
            </w:r>
            <w:r w:rsidRPr="006E2C57">
              <w:t xml:space="preserve">iem pabalstiem; </w:t>
            </w:r>
            <w:r w:rsidR="00F807C8" w:rsidRPr="006E2C57">
              <w:t>2</w:t>
            </w:r>
            <w:r w:rsidRPr="006E2C57">
              <w:t xml:space="preserve">) apsekojuma metodoloģijas pielāgošanu jaunākām izmaiņām pabalstu jomā (sakarā ar komersantu nodarbināto mobilitātes pabalsta ieviešanu); </w:t>
            </w:r>
            <w:r w:rsidR="00F807C8" w:rsidRPr="006E2C57">
              <w:t>3</w:t>
            </w:r>
            <w:r w:rsidRPr="006E2C57">
              <w:t>) esošās anketas redakcijas uzlabošanu.</w:t>
            </w:r>
          </w:p>
          <w:p w:rsidR="00980641" w:rsidRPr="006E2C57" w:rsidRDefault="003518B5" w:rsidP="00980641">
            <w:pPr>
              <w:pStyle w:val="ListParagraph"/>
              <w:numPr>
                <w:ilvl w:val="2"/>
                <w:numId w:val="31"/>
              </w:numPr>
              <w:jc w:val="both"/>
              <w:rPr>
                <w:sz w:val="22"/>
                <w:szCs w:val="22"/>
              </w:rPr>
            </w:pPr>
            <w:r w:rsidRPr="006E2C57">
              <w:t xml:space="preserve">27.pielikums – MK noteikumu Nr.922 151.pielikums - </w:t>
            </w:r>
            <w:r w:rsidR="00F807C8" w:rsidRPr="006E2C57">
              <w:t>s</w:t>
            </w:r>
            <w:r w:rsidRPr="006E2C57">
              <w:t xml:space="preserve">vītrota sadaļa E „Meža produkcija pārskata gadā”. Vietējo lietotāju vajadzībām ir iekļauti 2 papildu rādītāji – kaņepju sēkla un stiebri. </w:t>
            </w:r>
            <w:proofErr w:type="spellStart"/>
            <w:r w:rsidRPr="006E2C57">
              <w:t>Eurostat</w:t>
            </w:r>
            <w:proofErr w:type="spellEnd"/>
            <w:r w:rsidRPr="006E2C57">
              <w:t xml:space="preserve"> (</w:t>
            </w:r>
            <w:proofErr w:type="spellStart"/>
            <w:r w:rsidRPr="006E2C57">
              <w:rPr>
                <w:i/>
              </w:rPr>
              <w:t>Gentlemen</w:t>
            </w:r>
            <w:proofErr w:type="spellEnd"/>
            <w:r w:rsidRPr="006E2C57">
              <w:rPr>
                <w:i/>
              </w:rPr>
              <w:t xml:space="preserve"> </w:t>
            </w:r>
            <w:proofErr w:type="spellStart"/>
            <w:r w:rsidRPr="006E2C57">
              <w:rPr>
                <w:i/>
              </w:rPr>
              <w:t>agreement</w:t>
            </w:r>
            <w:proofErr w:type="spellEnd"/>
            <w:r w:rsidRPr="006E2C57">
              <w:t>) vajadzībām: nomātās lauksaimniecības zemes platība un nomas maksa</w:t>
            </w:r>
            <w:r w:rsidR="00011D32" w:rsidRPr="006E2C57">
              <w:t>.</w:t>
            </w:r>
          </w:p>
          <w:p w:rsidR="00980641" w:rsidRPr="006E2C57" w:rsidRDefault="00011D32" w:rsidP="00980641">
            <w:pPr>
              <w:pStyle w:val="ListParagraph"/>
              <w:numPr>
                <w:ilvl w:val="2"/>
                <w:numId w:val="31"/>
              </w:numPr>
              <w:jc w:val="both"/>
              <w:rPr>
                <w:sz w:val="22"/>
                <w:szCs w:val="22"/>
              </w:rPr>
            </w:pPr>
            <w:r w:rsidRPr="006E2C57">
              <w:t xml:space="preserve">28.pielikums – MK noteikumu Nr.922 153.pielikums - </w:t>
            </w:r>
            <w:r w:rsidRPr="006E2C57">
              <w:rPr>
                <w:color w:val="000000"/>
              </w:rPr>
              <w:t>jautājum</w:t>
            </w:r>
            <w:r w:rsidR="00F807C8" w:rsidRPr="006E2C57">
              <w:rPr>
                <w:color w:val="000000"/>
              </w:rPr>
              <w:t>a</w:t>
            </w:r>
            <w:r w:rsidRPr="006E2C57">
              <w:rPr>
                <w:color w:val="000000"/>
              </w:rPr>
              <w:t xml:space="preserve"> N'122  atbildē G ir </w:t>
            </w:r>
            <w:r w:rsidR="00F807C8" w:rsidRPr="006E2C57">
              <w:rPr>
                <w:color w:val="000000"/>
              </w:rPr>
              <w:t>svītrots</w:t>
            </w:r>
            <w:r w:rsidRPr="006E2C57">
              <w:rPr>
                <w:color w:val="000000"/>
              </w:rPr>
              <w:t xml:space="preserve"> paskaidrojošais teksts </w:t>
            </w:r>
            <w:r w:rsidRPr="006E2C57">
              <w:rPr>
                <w:i/>
                <w:iCs/>
                <w:color w:val="000000"/>
              </w:rPr>
              <w:t xml:space="preserve">(bezdarbnieka 100 lati). </w:t>
            </w:r>
            <w:r w:rsidR="00F807C8" w:rsidRPr="006E2C57">
              <w:rPr>
                <w:color w:val="000000"/>
              </w:rPr>
              <w:t>Svītrots jautājums T'124o</w:t>
            </w:r>
            <w:r w:rsidRPr="006E2C57">
              <w:rPr>
                <w:color w:val="000000"/>
              </w:rPr>
              <w:t>.Labojums ir anketas 1.daļas jautāj</w:t>
            </w:r>
            <w:r w:rsidR="0002051A" w:rsidRPr="006E2C57">
              <w:rPr>
                <w:color w:val="000000"/>
              </w:rPr>
              <w:t xml:space="preserve">uma A'05 B atbildes formulējumā; </w:t>
            </w:r>
            <w:r w:rsidRPr="006E2C57">
              <w:rPr>
                <w:color w:val="000000"/>
              </w:rPr>
              <w:t>izglītības jautājum</w:t>
            </w:r>
            <w:r w:rsidR="00F807C8" w:rsidRPr="006E2C57">
              <w:rPr>
                <w:color w:val="000000"/>
              </w:rPr>
              <w:t>u</w:t>
            </w:r>
            <w:r w:rsidRPr="006E2C57">
              <w:rPr>
                <w:color w:val="000000"/>
              </w:rPr>
              <w:t xml:space="preserve"> L'103 un L'108</w:t>
            </w:r>
            <w:r w:rsidR="00F807C8" w:rsidRPr="006E2C57">
              <w:rPr>
                <w:color w:val="000000"/>
              </w:rPr>
              <w:t xml:space="preserve"> formulējumos</w:t>
            </w:r>
            <w:r w:rsidR="0002051A" w:rsidRPr="006E2C57">
              <w:rPr>
                <w:color w:val="000000"/>
              </w:rPr>
              <w:t xml:space="preserve">; </w:t>
            </w:r>
            <w:r w:rsidRPr="006E2C57">
              <w:rPr>
                <w:color w:val="000000"/>
              </w:rPr>
              <w:t>darba samaksas jautājum</w:t>
            </w:r>
            <w:r w:rsidR="00F807C8" w:rsidRPr="006E2C57">
              <w:rPr>
                <w:color w:val="000000"/>
              </w:rPr>
              <w:t>a</w:t>
            </w:r>
            <w:r w:rsidRPr="006E2C57">
              <w:rPr>
                <w:color w:val="000000"/>
              </w:rPr>
              <w:t xml:space="preserve"> N'121a</w:t>
            </w:r>
            <w:r w:rsidR="00F807C8" w:rsidRPr="006E2C57">
              <w:rPr>
                <w:color w:val="000000"/>
              </w:rPr>
              <w:t xml:space="preserve"> formulējumā</w:t>
            </w:r>
            <w:r w:rsidRPr="006E2C57">
              <w:rPr>
                <w:color w:val="000000"/>
              </w:rPr>
              <w:t xml:space="preserve">. </w:t>
            </w:r>
          </w:p>
          <w:p w:rsidR="00980641" w:rsidRPr="006E2C57" w:rsidRDefault="009A57CF" w:rsidP="00980641">
            <w:pPr>
              <w:pStyle w:val="ListParagraph"/>
              <w:numPr>
                <w:ilvl w:val="2"/>
                <w:numId w:val="31"/>
              </w:numPr>
              <w:jc w:val="both"/>
              <w:rPr>
                <w:sz w:val="22"/>
                <w:szCs w:val="22"/>
              </w:rPr>
            </w:pPr>
            <w:r w:rsidRPr="006E2C57">
              <w:t xml:space="preserve">29.pielikums – MK noteikumu Nr.922 169.pielikums - Pēc 2008.gada veselības apsekojuma Eiropas Savienības statistikas birojs </w:t>
            </w:r>
            <w:proofErr w:type="spellStart"/>
            <w:r w:rsidRPr="006E2C57">
              <w:rPr>
                <w:i/>
              </w:rPr>
              <w:t>Eurostat</w:t>
            </w:r>
            <w:proofErr w:type="spellEnd"/>
            <w:r w:rsidRPr="006E2C57">
              <w:t xml:space="preserve"> pārstrādāja apsekojuma veidlapu, to saīsinot, lai samazinātu slogu uz dalībvalstīm, kuras atteicās mainīt nacionālo apsekojuma veidlapu. Dažu jautājumu blokus (fiziskās aktivitātes, psihiskās veselības, veselības aprūpes pieejamības jautājumus un alkohola patēriņa jautājumi) pievienoja klāt kā jaunus.</w:t>
            </w:r>
          </w:p>
          <w:p w:rsidR="00980641" w:rsidRPr="006E2C57" w:rsidRDefault="00C55BB9" w:rsidP="00980641">
            <w:pPr>
              <w:pStyle w:val="ListParagraph"/>
              <w:numPr>
                <w:ilvl w:val="2"/>
                <w:numId w:val="31"/>
              </w:numPr>
              <w:jc w:val="both"/>
              <w:rPr>
                <w:sz w:val="22"/>
                <w:szCs w:val="22"/>
              </w:rPr>
            </w:pPr>
            <w:r w:rsidRPr="006E2C57">
              <w:t>30.pielikums – MK noteikumu Nr.922 187.pielikums - precizēts 1600 rādītāja nosaukums.</w:t>
            </w:r>
          </w:p>
          <w:p w:rsidR="00980641" w:rsidRPr="006E2C57" w:rsidRDefault="00617E29" w:rsidP="00980641">
            <w:pPr>
              <w:pStyle w:val="ListParagraph"/>
              <w:numPr>
                <w:ilvl w:val="2"/>
                <w:numId w:val="31"/>
              </w:numPr>
              <w:jc w:val="both"/>
              <w:rPr>
                <w:sz w:val="22"/>
                <w:szCs w:val="22"/>
              </w:rPr>
            </w:pPr>
            <w:r w:rsidRPr="006E2C57">
              <w:t xml:space="preserve">31.pielikums – MK noteikumu Nr.922 195.pielikums - </w:t>
            </w:r>
            <w:r w:rsidR="007177E7" w:rsidRPr="006E2C57">
              <w:t>r</w:t>
            </w:r>
            <w:r w:rsidRPr="006E2C57">
              <w:t xml:space="preserve">ādītāju </w:t>
            </w:r>
            <w:r w:rsidRPr="006E2C57">
              <w:lastRenderedPageBreak/>
              <w:t>samazināšana un formulējuma precizēšana (ailes 1. un 2.).</w:t>
            </w:r>
          </w:p>
          <w:p w:rsidR="00262810" w:rsidRPr="006E2C57" w:rsidRDefault="00262810" w:rsidP="00980641">
            <w:pPr>
              <w:pStyle w:val="ListParagraph"/>
              <w:numPr>
                <w:ilvl w:val="2"/>
                <w:numId w:val="31"/>
              </w:numPr>
              <w:jc w:val="both"/>
              <w:rPr>
                <w:sz w:val="22"/>
                <w:szCs w:val="22"/>
              </w:rPr>
            </w:pPr>
            <w:r w:rsidRPr="006E2C57">
              <w:t xml:space="preserve">32.pielikums – MK noteikumu Nr.922 197.pielikums - </w:t>
            </w:r>
            <w:r w:rsidR="000D49C9" w:rsidRPr="006E2C57">
              <w:t>pēc jautājuma ar rindas kodu 100 tiek pievienoti divi jautājumi ar rindas kodiem 101 un 102, kas ļaus noskaidrot vai ir notikusi uzņēmuma pamatdarbības veida maiņa un ja tā ir notikusi, tad kad tas ir noticis, rezultātā tiek noskaidrots vai SUR ir jāmaina ne tikai aktuālais NACE, bet arī ceturkšņa NACE un/vai gada NACE.</w:t>
            </w:r>
          </w:p>
          <w:p w:rsidR="007177E7" w:rsidRPr="006E2C57" w:rsidRDefault="007177E7" w:rsidP="007177E7">
            <w:pPr>
              <w:pStyle w:val="ListParagraph"/>
              <w:ind w:left="1080"/>
              <w:jc w:val="both"/>
            </w:pPr>
          </w:p>
          <w:p w:rsidR="007177E7" w:rsidRPr="006E2C57" w:rsidRDefault="00980641" w:rsidP="00980641">
            <w:pPr>
              <w:pStyle w:val="ListParagraph"/>
              <w:numPr>
                <w:ilvl w:val="1"/>
                <w:numId w:val="31"/>
              </w:numPr>
              <w:jc w:val="both"/>
            </w:pPr>
            <w:r w:rsidRPr="006E2C57">
              <w:t>Jauni pielikumi un to nepieciešamība</w:t>
            </w:r>
            <w:r w:rsidR="007177E7" w:rsidRPr="006E2C57">
              <w:t>:</w:t>
            </w:r>
          </w:p>
          <w:p w:rsidR="00980641" w:rsidRPr="006E2C57" w:rsidRDefault="007D75C1" w:rsidP="00980641">
            <w:pPr>
              <w:pStyle w:val="ListParagraph"/>
              <w:numPr>
                <w:ilvl w:val="2"/>
                <w:numId w:val="31"/>
              </w:numPr>
              <w:jc w:val="both"/>
            </w:pPr>
            <w:r w:rsidRPr="006E2C57">
              <w:t xml:space="preserve">33.pielikums – MK noteikumu Nr.922 203.pielikums – tiek iekļauts sakarā ar jaunās regulas prasību izpildi - </w:t>
            </w:r>
            <w:r w:rsidRPr="006E2C57">
              <w:rPr>
                <w:rFonts w:cs="EUAlbertina"/>
                <w:bCs/>
                <w:color w:val="000000"/>
              </w:rPr>
              <w:t>K</w:t>
            </w:r>
            <w:r w:rsidR="00876223" w:rsidRPr="006E2C57">
              <w:rPr>
                <w:rFonts w:cs="EUAlbertina"/>
                <w:bCs/>
                <w:color w:val="000000"/>
              </w:rPr>
              <w:t>omisijas</w:t>
            </w:r>
            <w:r w:rsidRPr="006E2C57">
              <w:rPr>
                <w:rFonts w:cs="EUAlbertina"/>
                <w:bCs/>
                <w:color w:val="000000"/>
              </w:rPr>
              <w:t xml:space="preserve"> R</w:t>
            </w:r>
            <w:r w:rsidR="00876223" w:rsidRPr="006E2C57">
              <w:rPr>
                <w:rFonts w:cs="EUAlbertina"/>
                <w:bCs/>
                <w:color w:val="000000"/>
              </w:rPr>
              <w:t>egula</w:t>
            </w:r>
            <w:r w:rsidRPr="006E2C57">
              <w:rPr>
                <w:rFonts w:cs="EUAlbertina"/>
                <w:bCs/>
                <w:color w:val="000000"/>
              </w:rPr>
              <w:t xml:space="preserve"> (ES) </w:t>
            </w:r>
            <w:proofErr w:type="spellStart"/>
            <w:r w:rsidRPr="006E2C57">
              <w:rPr>
                <w:rFonts w:cs="EUAlbertina"/>
                <w:bCs/>
                <w:color w:val="000000"/>
              </w:rPr>
              <w:t>Nr</w:t>
            </w:r>
            <w:proofErr w:type="spellEnd"/>
            <w:r w:rsidRPr="006E2C57">
              <w:rPr>
                <w:rFonts w:cs="EUAlbertina"/>
                <w:bCs/>
                <w:color w:val="000000"/>
              </w:rPr>
              <w:t xml:space="preserve">. 112/2013  (2013. gada 7. februāris),  ar ko attiecībā uz to sekundāro mērķa mainīgo lielumu 2014. gada sarakstu, kuri attiecas uz materiālo nenodrošinātību, īsteno Eiropas Parlamenta un Padomes Regulu (EK) </w:t>
            </w:r>
            <w:proofErr w:type="spellStart"/>
            <w:r w:rsidRPr="006E2C57">
              <w:rPr>
                <w:rFonts w:cs="EUAlbertina"/>
                <w:bCs/>
                <w:color w:val="000000"/>
              </w:rPr>
              <w:t>Nr</w:t>
            </w:r>
            <w:proofErr w:type="spellEnd"/>
            <w:r w:rsidRPr="006E2C57">
              <w:rPr>
                <w:rFonts w:cs="EUAlbertina"/>
                <w:bCs/>
                <w:color w:val="000000"/>
              </w:rPr>
              <w:t>. 1177/2003 par Kopienas statistiku attiecībā uz ienākumiem un dzīves apstākļiem (</w:t>
            </w:r>
            <w:r w:rsidRPr="006E2C57">
              <w:rPr>
                <w:rFonts w:cs="EUAlbertina"/>
                <w:bCs/>
                <w:i/>
                <w:iCs/>
                <w:color w:val="000000"/>
              </w:rPr>
              <w:t>EU-SILC</w:t>
            </w:r>
            <w:r w:rsidRPr="006E2C57">
              <w:rPr>
                <w:rFonts w:cs="EUAlbertina"/>
                <w:bCs/>
                <w:color w:val="000000"/>
              </w:rPr>
              <w:t>) pielikums</w:t>
            </w:r>
            <w:r w:rsidR="00436F42" w:rsidRPr="006E2C57">
              <w:rPr>
                <w:rFonts w:cs="EUAlbertina"/>
                <w:bCs/>
                <w:color w:val="000000"/>
              </w:rPr>
              <w:t>.</w:t>
            </w:r>
          </w:p>
          <w:p w:rsidR="00436F42" w:rsidRPr="006E2C57" w:rsidRDefault="00436F42" w:rsidP="00980641">
            <w:pPr>
              <w:pStyle w:val="ListParagraph"/>
              <w:numPr>
                <w:ilvl w:val="2"/>
                <w:numId w:val="31"/>
              </w:numPr>
              <w:jc w:val="both"/>
            </w:pPr>
            <w:r w:rsidRPr="006E2C57">
              <w:rPr>
                <w:rFonts w:cs="EUAlbertina"/>
                <w:bCs/>
                <w:color w:val="000000"/>
              </w:rPr>
              <w:t xml:space="preserve">34.pielikums – MK noteikumu Nr.922 204.pielikums </w:t>
            </w:r>
            <w:r w:rsidR="00876223" w:rsidRPr="006E2C57">
              <w:rPr>
                <w:rFonts w:cs="EUAlbertina"/>
                <w:bCs/>
                <w:color w:val="000000"/>
              </w:rPr>
              <w:t>–</w:t>
            </w:r>
            <w:r w:rsidRPr="006E2C57">
              <w:rPr>
                <w:rFonts w:cs="EUAlbertina"/>
                <w:bCs/>
                <w:color w:val="000000"/>
              </w:rPr>
              <w:t xml:space="preserve"> </w:t>
            </w:r>
            <w:r w:rsidR="00876223" w:rsidRPr="006E2C57">
              <w:rPr>
                <w:rFonts w:cs="EUAlbertina"/>
                <w:bCs/>
                <w:color w:val="000000"/>
              </w:rPr>
              <w:t xml:space="preserve">tiek iekļauts sakarā ar jaunās regulas prasību izpildi - </w:t>
            </w:r>
            <w:r w:rsidR="00876223" w:rsidRPr="006E2C57">
              <w:rPr>
                <w:rStyle w:val="Strong"/>
                <w:b w:val="0"/>
              </w:rPr>
              <w:t xml:space="preserve">Komisijas 2012.gada 26.oktobra Īstenošanas regula (ES) </w:t>
            </w:r>
            <w:proofErr w:type="spellStart"/>
            <w:r w:rsidR="00876223" w:rsidRPr="006E2C57">
              <w:rPr>
                <w:rStyle w:val="Strong"/>
                <w:b w:val="0"/>
              </w:rPr>
              <w:t>Nr</w:t>
            </w:r>
            <w:proofErr w:type="spellEnd"/>
            <w:r w:rsidR="00876223" w:rsidRPr="006E2C57">
              <w:rPr>
                <w:rStyle w:val="Strong"/>
                <w:b w:val="0"/>
              </w:rPr>
              <w:t xml:space="preserve">. 995/2012, ar ko pieņem sīki izstrādātus noteikumus par to, kā īstenojams Eiropas Parlamenta un Padomes Lēmums </w:t>
            </w:r>
            <w:proofErr w:type="spellStart"/>
            <w:r w:rsidR="00876223" w:rsidRPr="006E2C57">
              <w:rPr>
                <w:rStyle w:val="Strong"/>
                <w:b w:val="0"/>
              </w:rPr>
              <w:t>Nr</w:t>
            </w:r>
            <w:proofErr w:type="spellEnd"/>
            <w:r w:rsidR="00876223" w:rsidRPr="006E2C57">
              <w:rPr>
                <w:rStyle w:val="Strong"/>
                <w:b w:val="0"/>
              </w:rPr>
              <w:t>. 1608/2003/EK par Kopienas zinātnes un tehnoloģijas statistikas izstrādāšanu un pilnveidošanu.</w:t>
            </w:r>
          </w:p>
          <w:p w:rsidR="002F5689" w:rsidRPr="006E2C57" w:rsidRDefault="002F5689" w:rsidP="00E52830">
            <w:pPr>
              <w:pStyle w:val="ListParagraph"/>
              <w:ind w:left="1080"/>
              <w:jc w:val="both"/>
            </w:pPr>
          </w:p>
          <w:p w:rsidR="00E44981" w:rsidRPr="006E2C57" w:rsidRDefault="00980641" w:rsidP="00980641">
            <w:pPr>
              <w:pStyle w:val="ListParagraph"/>
              <w:numPr>
                <w:ilvl w:val="1"/>
                <w:numId w:val="31"/>
              </w:numPr>
              <w:jc w:val="both"/>
            </w:pPr>
            <w:r w:rsidRPr="006E2C57">
              <w:t>J</w:t>
            </w:r>
            <w:r w:rsidR="00F64B6F" w:rsidRPr="006E2C57">
              <w:t>aun</w:t>
            </w:r>
            <w:r w:rsidRPr="006E2C57">
              <w:t>i</w:t>
            </w:r>
            <w:r w:rsidR="00F64B6F" w:rsidRPr="006E2C57">
              <w:t xml:space="preserve"> punkti</w:t>
            </w:r>
            <w:r w:rsidRPr="006E2C57">
              <w:t xml:space="preserve"> un to nepieciešamība</w:t>
            </w:r>
            <w:r w:rsidR="00E44981" w:rsidRPr="006E2C57">
              <w:t>:</w:t>
            </w:r>
          </w:p>
          <w:p w:rsidR="00980641" w:rsidRPr="006E2C57" w:rsidRDefault="00E44981" w:rsidP="00980641">
            <w:pPr>
              <w:pStyle w:val="ListParagraph"/>
              <w:numPr>
                <w:ilvl w:val="2"/>
                <w:numId w:val="31"/>
              </w:numPr>
              <w:jc w:val="both"/>
            </w:pPr>
            <w:r w:rsidRPr="006E2C57">
              <w:t xml:space="preserve">5.punkts - </w:t>
            </w:r>
            <w:r w:rsidR="00F64B6F" w:rsidRPr="006E2C57">
              <w:t xml:space="preserve"> nepiecie</w:t>
            </w:r>
            <w:r w:rsidRPr="006E2C57">
              <w:t>šams</w:t>
            </w:r>
            <w:r w:rsidR="00F64B6F" w:rsidRPr="006E2C57">
              <w:t>, lai noteiktu, kādā valūtā tiks uzrādītas summas, aizpildot veidlapas (gada, pusgada, ceturkšņa un mēneša) par 2013.gadu, kuras iesniedz 2014.gad</w:t>
            </w:r>
            <w:r w:rsidRPr="006E2C57">
              <w:t>ā;</w:t>
            </w:r>
          </w:p>
          <w:p w:rsidR="00980641" w:rsidRPr="006E2C57" w:rsidRDefault="00E44981" w:rsidP="00980641">
            <w:pPr>
              <w:pStyle w:val="ListParagraph"/>
              <w:numPr>
                <w:ilvl w:val="2"/>
                <w:numId w:val="31"/>
              </w:numPr>
              <w:jc w:val="both"/>
            </w:pPr>
            <w:r w:rsidRPr="006E2C57">
              <w:t xml:space="preserve">6.punkts – tā kā veidlapa paredz atskaitīties par </w:t>
            </w:r>
            <w:r w:rsidR="00645169">
              <w:t>kārtējo</w:t>
            </w:r>
            <w:r w:rsidRPr="006E2C57">
              <w:t xml:space="preserve"> gadu un </w:t>
            </w:r>
            <w:r w:rsidRPr="006E2C57">
              <w:lastRenderedPageBreak/>
              <w:t xml:space="preserve">diviem iepriekšējiem gadiem, tad </w:t>
            </w:r>
            <w:r w:rsidR="00351336" w:rsidRPr="006E2C57">
              <w:t>2014.gadā šajās veidlapās būs jāsniedz dati par 2013. un 2012.gadu, bet</w:t>
            </w:r>
            <w:r w:rsidRPr="006E2C57">
              <w:t xml:space="preserve"> 2015.gadā par 2013.gadu. Līdz ar to ir nepieciešams noteikt, ka datus par 2012. un 2013.gadu norāda latos;</w:t>
            </w:r>
          </w:p>
          <w:p w:rsidR="00E44981" w:rsidRPr="006E2C57" w:rsidRDefault="00E44981" w:rsidP="00980641">
            <w:pPr>
              <w:pStyle w:val="ListParagraph"/>
              <w:numPr>
                <w:ilvl w:val="2"/>
                <w:numId w:val="31"/>
              </w:numPr>
              <w:jc w:val="both"/>
            </w:pPr>
            <w:r w:rsidRPr="006E2C57">
              <w:t>7.punkts – mājsaimniecību budžeta apsekojums balstās uz nedēļas izlases principa, tas nozīmē, ka pirmajās divās 2014.gada nedēļās izlasē iekļaut</w:t>
            </w:r>
            <w:r w:rsidR="00645169">
              <w:t>ās</w:t>
            </w:r>
            <w:r w:rsidRPr="006E2C57">
              <w:t xml:space="preserve"> mājsaimniecīb</w:t>
            </w:r>
            <w:r w:rsidR="00645169">
              <w:t>as, aizpildot anketu</w:t>
            </w:r>
            <w:r w:rsidRPr="006E2C57">
              <w:t>,</w:t>
            </w:r>
            <w:r w:rsidR="00645169">
              <w:t xml:space="preserve"> var</w:t>
            </w:r>
            <w:r w:rsidRPr="006E2C57">
              <w:t xml:space="preserve"> summas norād</w:t>
            </w:r>
            <w:r w:rsidR="003027F6">
              <w:t>ī</w:t>
            </w:r>
            <w:r w:rsidRPr="006E2C57">
              <w:t>t latos.</w:t>
            </w:r>
          </w:p>
          <w:p w:rsidR="00351336" w:rsidRPr="006E2C57" w:rsidRDefault="00351336" w:rsidP="00351336">
            <w:pPr>
              <w:pStyle w:val="ListParagraph"/>
              <w:ind w:left="1080"/>
              <w:jc w:val="both"/>
            </w:pPr>
          </w:p>
          <w:p w:rsidR="00E00905" w:rsidRDefault="000C4C40" w:rsidP="000C4C40">
            <w:pPr>
              <w:pStyle w:val="ListParagraph"/>
              <w:numPr>
                <w:ilvl w:val="1"/>
                <w:numId w:val="31"/>
              </w:numPr>
              <w:jc w:val="both"/>
            </w:pPr>
            <w:r w:rsidRPr="000C4C40">
              <w:t>Tiek svītroti 2</w:t>
            </w:r>
            <w:r w:rsidR="00741545">
              <w:t xml:space="preserve">5 </w:t>
            </w:r>
            <w:r w:rsidRPr="000C4C40">
              <w:t>pielikumi, kas nozīmē, ka šād</w:t>
            </w:r>
            <w:r w:rsidR="003027F6">
              <w:t>as</w:t>
            </w:r>
            <w:r w:rsidRPr="000C4C40">
              <w:t xml:space="preserve"> veidlapas  vairs netiks lietotas, jo datus var iegūt no citiem informācijas avotiem, vai arī šādi dati vairs nav aktuāli.</w:t>
            </w:r>
          </w:p>
          <w:p w:rsidR="00C37D7F" w:rsidRDefault="00C37D7F" w:rsidP="00C37D7F">
            <w:pPr>
              <w:pStyle w:val="ListParagraph"/>
              <w:ind w:left="1080"/>
              <w:jc w:val="both"/>
            </w:pPr>
          </w:p>
          <w:p w:rsidR="00C37D7F" w:rsidRDefault="00C37D7F" w:rsidP="00C37D7F">
            <w:pPr>
              <w:pStyle w:val="ListParagraph"/>
              <w:numPr>
                <w:ilvl w:val="0"/>
                <w:numId w:val="31"/>
              </w:numPr>
              <w:jc w:val="both"/>
            </w:pPr>
            <w:r>
              <w:t>MK noteikumu projekta 3.-5.punkts ir nepieciešami šādu iemeslu dēļ:</w:t>
            </w:r>
          </w:p>
          <w:p w:rsidR="00C37D7F" w:rsidRDefault="00C37D7F" w:rsidP="00C37D7F">
            <w:pPr>
              <w:pStyle w:val="ListParagraph"/>
              <w:numPr>
                <w:ilvl w:val="1"/>
                <w:numId w:val="31"/>
              </w:numPr>
              <w:jc w:val="both"/>
            </w:pPr>
            <w:r>
              <w:t xml:space="preserve"> 3.punkts – 2014.gada janvārī nepieciešams apkopot informāciju, izmantojot veidlapu ar pašlaik spēkā esošo redakciju (MK noteikumu Nr.922 </w:t>
            </w:r>
            <w:r w:rsidR="00856A25">
              <w:t>143</w:t>
            </w:r>
            <w:r>
              <w:t>.pielikums</w:t>
            </w:r>
            <w:r w:rsidR="00856A25">
              <w:t>),</w:t>
            </w:r>
            <w:r w:rsidR="001B7F1F">
              <w:t xml:space="preserve"> apkopojot informāciju par 2013.gadu</w:t>
            </w:r>
            <w:r>
              <w:t xml:space="preserve">. </w:t>
            </w:r>
            <w:r w:rsidR="001B7F1F">
              <w:t xml:space="preserve">Līdz ar to šajā brīdī veidlapā nav nepieciešams aizstāt latus ar </w:t>
            </w:r>
            <w:proofErr w:type="spellStart"/>
            <w:r w:rsidR="001B7F1F">
              <w:rPr>
                <w:i/>
              </w:rPr>
              <w:t>euro</w:t>
            </w:r>
            <w:proofErr w:type="spellEnd"/>
            <w:r w:rsidR="001B7F1F">
              <w:rPr>
                <w:i/>
              </w:rPr>
              <w:t>.</w:t>
            </w:r>
            <w:r>
              <w:t xml:space="preserve"> Tajā pašā laikā veidlapā ir arī vairāki grozīju</w:t>
            </w:r>
            <w:r w:rsidR="00856A25">
              <w:t xml:space="preserve">mi pēc būtības, kuriem jāstājas </w:t>
            </w:r>
            <w:r>
              <w:t xml:space="preserve">spēkā 01.02.2014., jo veidlapu šādā redakcijā apkopos, sākot ar 2014.gada februāri. Tādēļ MK noteikumu projektā ir </w:t>
            </w:r>
            <w:r w:rsidR="00856A25">
              <w:t xml:space="preserve">iekļauts </w:t>
            </w:r>
            <w:r>
              <w:t xml:space="preserve">1.52.apakšpunkts, kas izsaka MK noteikumu Nr.922 </w:t>
            </w:r>
            <w:r w:rsidR="00856A25">
              <w:t>143</w:t>
            </w:r>
            <w:r>
              <w:t>.pielikumu jaunā redakcijā,</w:t>
            </w:r>
            <w:r w:rsidR="001B7F1F">
              <w:t xml:space="preserve"> tai skaitā aizstāj latus ar </w:t>
            </w:r>
            <w:proofErr w:type="spellStart"/>
            <w:r w:rsidR="001B7F1F">
              <w:rPr>
                <w:i/>
              </w:rPr>
              <w:t>euro</w:t>
            </w:r>
            <w:proofErr w:type="spellEnd"/>
            <w:r w:rsidR="001B7F1F">
              <w:rPr>
                <w:i/>
              </w:rPr>
              <w:t xml:space="preserve">, </w:t>
            </w:r>
            <w:r>
              <w:t xml:space="preserve"> bet 3.punkts nosaka tā spēkā stāšanās brīdi.</w:t>
            </w:r>
          </w:p>
          <w:p w:rsidR="00C37D7F" w:rsidRDefault="00C37D7F" w:rsidP="00826C94">
            <w:pPr>
              <w:pStyle w:val="ListParagraph"/>
              <w:numPr>
                <w:ilvl w:val="1"/>
                <w:numId w:val="31"/>
              </w:numPr>
              <w:jc w:val="both"/>
            </w:pPr>
            <w:r>
              <w:t xml:space="preserve"> 4.punkts – MK noteikumu Nr.922 151.pielikumu jaunajā redakcijā</w:t>
            </w:r>
            <w:r w:rsidR="00826C94">
              <w:t xml:space="preserve">, tai skaitā kurā lati ir aizstāti ar </w:t>
            </w:r>
            <w:proofErr w:type="spellStart"/>
            <w:r w:rsidR="00826C94">
              <w:rPr>
                <w:i/>
              </w:rPr>
              <w:t>euro</w:t>
            </w:r>
            <w:proofErr w:type="spellEnd"/>
            <w:r w:rsidR="00826C94">
              <w:rPr>
                <w:i/>
              </w:rPr>
              <w:t xml:space="preserve">, </w:t>
            </w:r>
            <w:r>
              <w:t xml:space="preserve"> Pārvalde plāno apkopot jau ar 2013.gada novembri, izņemot to, ka par 2013.gada novembri un decembri, dati būs jāsniedz latos. L</w:t>
            </w:r>
            <w:r w:rsidR="00826C94">
              <w:t>īdz ar to MK noteikumu projektā ir iekļauts 4.punkts, kas nosaka, ka MK noteikumu projekta 1.59.punkts stājas spēkā 2013.gada 1.novem</w:t>
            </w:r>
            <w:r w:rsidR="00741545">
              <w:t>b</w:t>
            </w:r>
            <w:r w:rsidR="00826C94">
              <w:t>rī, bet informācija par 2013.gada attiecīgo periodu norāda latos.</w:t>
            </w:r>
          </w:p>
          <w:p w:rsidR="00826C94" w:rsidRPr="006E2C57" w:rsidRDefault="00741545" w:rsidP="00826C94">
            <w:pPr>
              <w:pStyle w:val="ListParagraph"/>
              <w:numPr>
                <w:ilvl w:val="1"/>
                <w:numId w:val="31"/>
              </w:numPr>
              <w:jc w:val="both"/>
            </w:pPr>
            <w:r>
              <w:t xml:space="preserve"> </w:t>
            </w:r>
            <w:bookmarkStart w:id="1" w:name="_GoBack"/>
            <w:bookmarkEnd w:id="1"/>
            <w:r w:rsidR="00826C94">
              <w:t xml:space="preserve">5.punkts – MK noteikumu Nr.922 197.pielikums nesatur norādes uz latiem. Grozījumiem šajā veidlapā ir jāstājas spēkā ar brīdi, kad MK noteikumi stājas spēkā, jo </w:t>
            </w:r>
            <w:r w:rsidR="00826C94">
              <w:lastRenderedPageBreak/>
              <w:t>šo veidlapu ir paredzēts izsūtīt respondentiem nekavējoties.</w:t>
            </w:r>
          </w:p>
        </w:tc>
      </w:tr>
      <w:tr w:rsidR="003E3492" w:rsidRPr="006E2C57" w:rsidTr="00E00905">
        <w:trPr>
          <w:trHeight w:val="476"/>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lastRenderedPageBreak/>
              <w:t> 5.</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Projekta izstrādē iesaistītās institūcijas</w:t>
            </w:r>
          </w:p>
        </w:tc>
        <w:tc>
          <w:tcPr>
            <w:tcW w:w="53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jc w:val="both"/>
            </w:pPr>
            <w:r w:rsidRPr="006E2C57">
              <w:t>CSP konsultējās ar šādām institūcijām:</w:t>
            </w:r>
          </w:p>
          <w:p w:rsidR="003E3492" w:rsidRPr="006E2C57" w:rsidRDefault="00A02707" w:rsidP="003E3492">
            <w:pPr>
              <w:numPr>
                <w:ilvl w:val="0"/>
                <w:numId w:val="6"/>
              </w:numPr>
              <w:spacing w:before="75" w:after="75"/>
              <w:jc w:val="both"/>
            </w:pPr>
            <w:r w:rsidRPr="006E2C57">
              <w:t>Latvijas Banka</w:t>
            </w:r>
            <w:r w:rsidR="003E3492" w:rsidRPr="006E2C57">
              <w:t>- par MK noteikumu projekta 13.</w:t>
            </w:r>
            <w:r w:rsidR="00BB0127" w:rsidRPr="006E2C57">
              <w:t>, 14.</w:t>
            </w:r>
            <w:r w:rsidR="003E3492" w:rsidRPr="006E2C57">
              <w:t>pielikumu.</w:t>
            </w:r>
          </w:p>
          <w:p w:rsidR="003E3492" w:rsidRPr="006E2C57" w:rsidRDefault="00C300EB" w:rsidP="003E3492">
            <w:pPr>
              <w:numPr>
                <w:ilvl w:val="0"/>
                <w:numId w:val="6"/>
              </w:numPr>
              <w:spacing w:before="75" w:after="75"/>
              <w:jc w:val="both"/>
            </w:pPr>
            <w:r w:rsidRPr="006E2C57">
              <w:t>Tieslietu ministrija</w:t>
            </w:r>
            <w:r w:rsidR="003E3492" w:rsidRPr="006E2C57">
              <w:t xml:space="preserve"> </w:t>
            </w:r>
            <w:r w:rsidRPr="006E2C57">
              <w:t>(Normatīvo aktu kvalitātes nodrošināšanas nodaļa</w:t>
            </w:r>
            <w:r w:rsidR="0052055C" w:rsidRPr="006E2C57">
              <w:t>:</w:t>
            </w:r>
            <w:r w:rsidR="00091404" w:rsidRPr="006E2C57">
              <w:t xml:space="preserve"> </w:t>
            </w:r>
            <w:proofErr w:type="spellStart"/>
            <w:r w:rsidR="00091404" w:rsidRPr="006E2C57">
              <w:t>I.Brazauska</w:t>
            </w:r>
            <w:proofErr w:type="spellEnd"/>
            <w:r w:rsidRPr="006E2C57">
              <w:t>)</w:t>
            </w:r>
            <w:r w:rsidRPr="006E2C57">
              <w:rPr>
                <w:rFonts w:ascii="Arial" w:hAnsi="Arial" w:cs="Arial"/>
                <w:sz w:val="20"/>
                <w:szCs w:val="20"/>
              </w:rPr>
              <w:t xml:space="preserve"> </w:t>
            </w:r>
            <w:r w:rsidR="003E3492" w:rsidRPr="006E2C57">
              <w:t>–</w:t>
            </w:r>
            <w:r w:rsidRPr="006E2C57">
              <w:t xml:space="preserve"> par MK noteikumu projekta 1.</w:t>
            </w:r>
            <w:r w:rsidR="00BC5B64" w:rsidRPr="006E2C57">
              <w:t>2</w:t>
            </w:r>
            <w:r w:rsidR="00CC4818">
              <w:t>3</w:t>
            </w:r>
            <w:r w:rsidRPr="006E2C57">
              <w:t>.</w:t>
            </w:r>
            <w:r w:rsidR="005558B0">
              <w:t xml:space="preserve">apakšpunktu, 2., </w:t>
            </w:r>
            <w:r w:rsidR="00091404" w:rsidRPr="006E2C57">
              <w:t>3.</w:t>
            </w:r>
            <w:r w:rsidR="005558B0">
              <w:t>, 4. un 5.</w:t>
            </w:r>
            <w:r w:rsidRPr="006E2C57">
              <w:t>punktu.</w:t>
            </w:r>
          </w:p>
          <w:p w:rsidR="00C300EB" w:rsidRPr="006E2C57" w:rsidRDefault="00C300EB" w:rsidP="003E3492">
            <w:pPr>
              <w:numPr>
                <w:ilvl w:val="0"/>
                <w:numId w:val="6"/>
              </w:numPr>
              <w:spacing w:before="75" w:after="75"/>
              <w:jc w:val="both"/>
            </w:pPr>
            <w:r w:rsidRPr="006E2C57">
              <w:t xml:space="preserve">Valsts kanceleja </w:t>
            </w:r>
            <w:r w:rsidR="00091404" w:rsidRPr="006E2C57">
              <w:t>(</w:t>
            </w:r>
            <w:r w:rsidR="0052055C" w:rsidRPr="006E2C57">
              <w:t xml:space="preserve">Tiesību aktu redakcijas departaments: </w:t>
            </w:r>
            <w:r w:rsidR="00091404" w:rsidRPr="006E2C57">
              <w:t xml:space="preserve">D.Vaivare) </w:t>
            </w:r>
            <w:r w:rsidRPr="006E2C57">
              <w:t>– par MK noteikumu projekta 1.1. un 1.2.apakšpunktu.</w:t>
            </w:r>
          </w:p>
          <w:p w:rsidR="003E3492" w:rsidRPr="006E2C57" w:rsidRDefault="003E3492" w:rsidP="0065284E">
            <w:pPr>
              <w:spacing w:before="75" w:after="75"/>
              <w:rPr>
                <w:i/>
              </w:rPr>
            </w:pPr>
          </w:p>
        </w:tc>
      </w:tr>
      <w:tr w:rsidR="003E3492" w:rsidRPr="006E2C57" w:rsidTr="00E00905">
        <w:trPr>
          <w:trHeight w:val="773"/>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6.</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Iemesli, kādēļ netika nodrošināta sabiedrības līdzdalība</w:t>
            </w:r>
          </w:p>
        </w:tc>
        <w:tc>
          <w:tcPr>
            <w:tcW w:w="53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jc w:val="both"/>
            </w:pPr>
            <w:r w:rsidRPr="006E2C57">
              <w:t>Pārējos gadījumos sabiedrības līdzdalība netika nodrošināta šādu iemeslu dēļ:</w:t>
            </w:r>
          </w:p>
          <w:p w:rsidR="003E3492" w:rsidRPr="006E2C57" w:rsidRDefault="003E3492" w:rsidP="003E3492">
            <w:pPr>
              <w:numPr>
                <w:ilvl w:val="0"/>
                <w:numId w:val="3"/>
              </w:numPr>
              <w:spacing w:before="75" w:after="75"/>
              <w:jc w:val="both"/>
            </w:pPr>
            <w:r w:rsidRPr="006E2C57">
              <w:t>veiktās izmaiņas nemaina veidlapu saturu (neuzliek respondentiem papildu pienākumus), bet ir saistītas ar izmaiņām likumdošanā, kā arī ir veikti tehniski uzlabojumi veidlapu saturā;</w:t>
            </w:r>
          </w:p>
          <w:p w:rsidR="003E3492" w:rsidRPr="006E2C57" w:rsidRDefault="003E3492" w:rsidP="003E3492">
            <w:pPr>
              <w:numPr>
                <w:ilvl w:val="0"/>
                <w:numId w:val="3"/>
              </w:numPr>
              <w:spacing w:before="75" w:after="75"/>
              <w:jc w:val="both"/>
            </w:pPr>
            <w:r w:rsidRPr="006E2C57">
              <w:t xml:space="preserve">veidlapām, kuru respondentu loks ir no vairākiem simtiem līdz vairākiem tūkstošiem, sabiedrības līdzdalību nav iespējams nodrošināt, lai nepatērētu nesamērīgi daudz finanšu un cilvēku resursus. </w:t>
            </w:r>
          </w:p>
          <w:p w:rsidR="003E3492" w:rsidRPr="006E2C57" w:rsidRDefault="003E3492" w:rsidP="0065284E">
            <w:pPr>
              <w:spacing w:before="75" w:after="75"/>
              <w:ind w:left="360"/>
              <w:jc w:val="both"/>
            </w:pPr>
          </w:p>
        </w:tc>
      </w:tr>
      <w:tr w:rsidR="003E3492" w:rsidRPr="006E2C57" w:rsidTr="00E00905">
        <w:trPr>
          <w:tblCellSpacing w:w="0" w:type="dxa"/>
        </w:trPr>
        <w:tc>
          <w:tcPr>
            <w:tcW w:w="526"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7.</w:t>
            </w:r>
          </w:p>
        </w:tc>
        <w:tc>
          <w:tcPr>
            <w:tcW w:w="343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pPr>
            <w:r w:rsidRPr="006E2C57">
              <w:t> Cita informācija</w:t>
            </w:r>
          </w:p>
        </w:tc>
        <w:tc>
          <w:tcPr>
            <w:tcW w:w="53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75"/>
              <w:ind w:left="360"/>
            </w:pPr>
            <w:r w:rsidRPr="006E2C57">
              <w:t>Nav</w:t>
            </w:r>
          </w:p>
        </w:tc>
      </w:tr>
    </w:tbl>
    <w:p w:rsidR="003E3492" w:rsidRPr="006E2C57" w:rsidRDefault="003E3492" w:rsidP="003E3492"/>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1"/>
        <w:gridCol w:w="3274"/>
        <w:gridCol w:w="5400"/>
      </w:tblGrid>
      <w:tr w:rsidR="003E3492" w:rsidRPr="006E2C57" w:rsidTr="0065284E">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3E3492" w:rsidRPr="006E2C57" w:rsidRDefault="003E3492" w:rsidP="0065284E">
            <w:pPr>
              <w:pStyle w:val="naisnod"/>
            </w:pPr>
            <w:r w:rsidRPr="006E2C57">
              <w:t> II. Tiesību akta projekta ietekme uz sabiedrību</w:t>
            </w:r>
          </w:p>
        </w:tc>
      </w:tr>
      <w:tr w:rsidR="003E3492" w:rsidRPr="006E2C57" w:rsidTr="0065284E">
        <w:trPr>
          <w:trHeight w:val="46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1.</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Sabiedrības mērķa grupa</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FC4B2D">
            <w:pPr>
              <w:numPr>
                <w:ilvl w:val="0"/>
                <w:numId w:val="8"/>
              </w:numPr>
              <w:jc w:val="both"/>
            </w:pPr>
            <w:r w:rsidRPr="006E2C57">
              <w:t>MK noteikumu projekta:</w:t>
            </w:r>
          </w:p>
          <w:p w:rsidR="003E3492" w:rsidRPr="006E2C57" w:rsidRDefault="002C1BA2" w:rsidP="00FC4B2D">
            <w:pPr>
              <w:numPr>
                <w:ilvl w:val="0"/>
                <w:numId w:val="8"/>
              </w:numPr>
              <w:jc w:val="both"/>
            </w:pPr>
            <w:r w:rsidRPr="006E2C57">
              <w:t>1</w:t>
            </w:r>
            <w:r w:rsidR="003E3492" w:rsidRPr="006E2C57">
              <w:t xml:space="preserve">.pielikums – </w:t>
            </w:r>
            <w:r w:rsidR="00296BFB" w:rsidRPr="006E2C57">
              <w:t>aptuveni 5500 ekonomiski aktīvu komercuzņēmumu, budžeta iestāžu, zemnieku un zvejnieku saimniecību</w:t>
            </w:r>
            <w:r w:rsidR="003E3492" w:rsidRPr="006E2C57">
              <w:t>;</w:t>
            </w:r>
          </w:p>
          <w:p w:rsidR="00F44E56" w:rsidRPr="006E2C57" w:rsidRDefault="002C1BA2" w:rsidP="00FC4B2D">
            <w:pPr>
              <w:numPr>
                <w:ilvl w:val="0"/>
                <w:numId w:val="8"/>
              </w:numPr>
              <w:jc w:val="both"/>
            </w:pPr>
            <w:r w:rsidRPr="006E2C57">
              <w:t>2.pielikums – aptuveni 700 rūpniecības uzņēmumi (NACE 2.red B-E sadaļas);</w:t>
            </w:r>
          </w:p>
          <w:p w:rsidR="00F44E56" w:rsidRPr="006E2C57" w:rsidRDefault="00F44E56" w:rsidP="00FC4B2D">
            <w:pPr>
              <w:numPr>
                <w:ilvl w:val="0"/>
                <w:numId w:val="8"/>
              </w:numPr>
              <w:jc w:val="both"/>
            </w:pPr>
            <w:r w:rsidRPr="006E2C57">
              <w:t>3.pielikums – 250 uzņēmumi, kuri</w:t>
            </w:r>
            <w:r w:rsidR="00E6479C" w:rsidRPr="006E2C57">
              <w:t xml:space="preserve"> regulāri lielā apjomā importē </w:t>
            </w:r>
            <w:r w:rsidR="00183342" w:rsidRPr="006E2C57">
              <w:t>(</w:t>
            </w:r>
            <w:r w:rsidRPr="006E2C57">
              <w:t>vai ieved no ES dalībvalstīm</w:t>
            </w:r>
            <w:r w:rsidR="00183342" w:rsidRPr="006E2C57">
              <w:t>)</w:t>
            </w:r>
            <w:r w:rsidRPr="006E2C57">
              <w:t xml:space="preserve"> preces IVVI aprēķināšanai nozīmīgās KN pozīcijās.</w:t>
            </w:r>
          </w:p>
          <w:p w:rsidR="002C1BA2" w:rsidRPr="006E2C57" w:rsidRDefault="009C609D" w:rsidP="00FC4B2D">
            <w:pPr>
              <w:numPr>
                <w:ilvl w:val="0"/>
                <w:numId w:val="8"/>
              </w:numPr>
              <w:jc w:val="both"/>
            </w:pPr>
            <w:r w:rsidRPr="006E2C57">
              <w:t xml:space="preserve">4.pielikums – 1300 ekonomiski aktīvie uzņēmumi, ja to pamatdarbība vai sekundārā darbība ir rūpniecība, atbilstoši Saimniecisko darbību statistiskajai klasifikācijai NACE 2.red. 08., 10., 11., 15., 16.,18., 22., 23., 31., 32., 33., 35., 36. nodaļai un 38.3 grupai un, kur rūpnieciskajā ražošanā nodarbināti 20 un vairāk cilvēku vai iepriekšējā gada rūpniecības </w:t>
            </w:r>
            <w:r w:rsidRPr="006E2C57">
              <w:lastRenderedPageBreak/>
              <w:t xml:space="preserve">apgrozījums bijis 300 </w:t>
            </w:r>
            <w:proofErr w:type="spellStart"/>
            <w:r w:rsidRPr="006E2C57">
              <w:t>tūkst.</w:t>
            </w:r>
            <w:r w:rsidR="00B77395">
              <w:t>Ls</w:t>
            </w:r>
            <w:proofErr w:type="spellEnd"/>
            <w:r w:rsidR="00B77395">
              <w:t>.</w:t>
            </w:r>
          </w:p>
          <w:p w:rsidR="009C609D" w:rsidRPr="006E2C57" w:rsidRDefault="009C609D" w:rsidP="00FC4B2D">
            <w:pPr>
              <w:numPr>
                <w:ilvl w:val="0"/>
                <w:numId w:val="8"/>
              </w:numPr>
              <w:jc w:val="both"/>
            </w:pPr>
            <w:r w:rsidRPr="006E2C57">
              <w:t>5.pielikums – 200 uzņēmumi, kuru galvenais ekonomiskās darbības veids pēc Saimniecisko darbību statistiskās klasifikācijas NACE 2.red ir 41.10 līdz 43.99 (F sadaļa), 46.69, 46.73, 46.74, 47.52 līdz 47.54.</w:t>
            </w:r>
          </w:p>
          <w:p w:rsidR="004A4F0F" w:rsidRPr="006E2C57" w:rsidRDefault="004A4F0F" w:rsidP="00FC4B2D">
            <w:pPr>
              <w:numPr>
                <w:ilvl w:val="0"/>
                <w:numId w:val="8"/>
              </w:numPr>
              <w:jc w:val="both"/>
            </w:pPr>
            <w:r w:rsidRPr="006E2C57">
              <w:t>6.pielikums – 100 Rūpniecības uzņēmumi (NACE 2.red B-E sadaļas).</w:t>
            </w:r>
          </w:p>
          <w:p w:rsidR="00A511B4" w:rsidRPr="006E2C57" w:rsidRDefault="005F61D8" w:rsidP="00FC4B2D">
            <w:pPr>
              <w:numPr>
                <w:ilvl w:val="0"/>
                <w:numId w:val="8"/>
              </w:numPr>
              <w:jc w:val="both"/>
            </w:pPr>
            <w:r w:rsidRPr="006E2C57">
              <w:t>7.pielikums – 40 uzņēmumi, kuri regulāri lielā apjomā importē (vai ieved no ES dalībvalstīm) preces IVVI aprēķināšanai nozīmīgās KN pozīcijās.</w:t>
            </w:r>
          </w:p>
          <w:p w:rsidR="00C32CE1" w:rsidRPr="006E2C57" w:rsidRDefault="00A511B4" w:rsidP="00FC4B2D">
            <w:pPr>
              <w:numPr>
                <w:ilvl w:val="0"/>
                <w:numId w:val="8"/>
              </w:numPr>
              <w:jc w:val="both"/>
            </w:pPr>
            <w:r w:rsidRPr="006E2C57">
              <w:t xml:space="preserve">8.pielikums – apmēram 800 respondentu - ~230 uzņēmumi un ~570 fiziskās personas. Mežu īpašnieki, kuru mežu platība ir lielāka vai vienāda ar 50 ha un/vai kuru galvenais darbības veids pēc Saimniecisko darbību statistiskās klasifikācijas NACE 2. </w:t>
            </w:r>
            <w:proofErr w:type="spellStart"/>
            <w:r w:rsidRPr="006E2C57">
              <w:t>red</w:t>
            </w:r>
            <w:proofErr w:type="spellEnd"/>
            <w:r w:rsidRPr="006E2C57">
              <w:t xml:space="preserve">. ir klasifikatora kods 0210 vai 0220, un gada neto apgrozījums ir lielāks vai vienāds ar 10000 Ls. Izlasē iekļauti tikai tie mežu īpašnieki, kuri 20__. gada beigās bija uzskatāmi kā ekonomiski aktīvi. </w:t>
            </w:r>
          </w:p>
          <w:p w:rsidR="00EC4923" w:rsidRPr="006E2C57" w:rsidRDefault="00C32CE1" w:rsidP="00FC4B2D">
            <w:pPr>
              <w:numPr>
                <w:ilvl w:val="0"/>
                <w:numId w:val="8"/>
              </w:numPr>
              <w:jc w:val="both"/>
            </w:pPr>
            <w:r w:rsidRPr="006E2C57">
              <w:t xml:space="preserve">9.pielikums – aptuveni 2600 ekonomiski aktīvie uzņēmumi, kur rūpnieciskajā ražošanā nodarbināti 10 un vairāk cilvēku. Nozarēs ar mazu strādājošo skaitu, bet lielu apgrozījumu, tiek iekļauti uzņēmumi, kur nodarbināto skaits mazāks kā 10, lai iegūtu vismaz 90% no </w:t>
            </w:r>
            <w:proofErr w:type="spellStart"/>
            <w:r w:rsidRPr="006E2C57">
              <w:t>no</w:t>
            </w:r>
            <w:proofErr w:type="spellEnd"/>
            <w:r w:rsidRPr="006E2C57">
              <w:t xml:space="preserve"> valsts ražošanas pārskata gadā katrā NACE 2. </w:t>
            </w:r>
            <w:proofErr w:type="spellStart"/>
            <w:r w:rsidRPr="006E2C57">
              <w:t>red</w:t>
            </w:r>
            <w:proofErr w:type="spellEnd"/>
            <w:r w:rsidRPr="006E2C57">
              <w:t xml:space="preserve">. klasē, Apsekojumam ir jānodrošina precīzi populācijas rādītāju novērtējumi pa rūpniecības produkcijas veidiem, kas atbilst NACE 2. </w:t>
            </w:r>
            <w:proofErr w:type="spellStart"/>
            <w:r w:rsidRPr="006E2C57">
              <w:t>red</w:t>
            </w:r>
            <w:proofErr w:type="spellEnd"/>
            <w:r w:rsidRPr="006E2C57">
              <w:t>. B, C sadaļai un E sadaļas 38.32 klasei.</w:t>
            </w:r>
          </w:p>
          <w:p w:rsidR="00B77395" w:rsidRDefault="00B77395" w:rsidP="00B77395">
            <w:pPr>
              <w:numPr>
                <w:ilvl w:val="0"/>
                <w:numId w:val="8"/>
              </w:numPr>
              <w:jc w:val="both"/>
            </w:pPr>
            <w:r>
              <w:t>10.pielikums – 4000 ekonomiskie aktīvie uzņēmumi uz 01.01.2013 ar darbinieku skaitu 10 un vairāk, sekojošās NACE 2.red..nozarēs: 10-33, 35-39, 41-43, 45-47, 49-53, 55-56, 58-63, 68, 69-74, 77-82, 95.1.</w:t>
            </w:r>
          </w:p>
          <w:p w:rsidR="00B77395" w:rsidRDefault="00B77395" w:rsidP="00B77395">
            <w:pPr>
              <w:numPr>
                <w:ilvl w:val="0"/>
                <w:numId w:val="8"/>
              </w:numPr>
              <w:jc w:val="both"/>
            </w:pPr>
            <w:r>
              <w:t xml:space="preserve">11.pielikums – 8900 ekonomiski aktīvās </w:t>
            </w:r>
            <w:proofErr w:type="spellStart"/>
            <w:r>
              <w:t>komercsektora</w:t>
            </w:r>
            <w:proofErr w:type="spellEnd"/>
            <w:r>
              <w:t xml:space="preserve"> vienības 2013.gadā:</w:t>
            </w:r>
          </w:p>
          <w:p w:rsidR="00B77395" w:rsidRDefault="00B77395" w:rsidP="00B77395">
            <w:pPr>
              <w:numPr>
                <w:ilvl w:val="0"/>
                <w:numId w:val="8"/>
              </w:numPr>
              <w:jc w:val="both"/>
            </w:pPr>
            <w:r>
              <w:t>1) ekonomiski aktīvi  komersanti;</w:t>
            </w:r>
          </w:p>
          <w:p w:rsidR="00B77395" w:rsidRDefault="00B77395" w:rsidP="00B77395">
            <w:pPr>
              <w:numPr>
                <w:ilvl w:val="0"/>
                <w:numId w:val="8"/>
              </w:numPr>
              <w:jc w:val="both"/>
            </w:pPr>
            <w:r>
              <w:t>2) zemnieku/zvejnieku saimniecības, kurām galvenā darbība nav NACE 2.red. 01, 02, 03.</w:t>
            </w:r>
          </w:p>
          <w:p w:rsidR="00B77395" w:rsidRDefault="00B77395" w:rsidP="00B77395">
            <w:pPr>
              <w:numPr>
                <w:ilvl w:val="0"/>
                <w:numId w:val="8"/>
              </w:numPr>
              <w:jc w:val="both"/>
            </w:pPr>
            <w:r>
              <w:t xml:space="preserve">Apsekojuma populācijā netiek iekļautas budžeta iestādes, sabiedriskās organizācijas, pašnodarbinātas fiziskas personas.                                                                                                                                                                                                                                                                               Neiekļauj uzņēmumus, ja NACE 2.red. kods ir 641, 651, 652, 653, 663.                                 </w:t>
            </w:r>
          </w:p>
          <w:p w:rsidR="00B77395" w:rsidRDefault="00B77395" w:rsidP="00B77395">
            <w:pPr>
              <w:numPr>
                <w:ilvl w:val="0"/>
                <w:numId w:val="8"/>
              </w:numPr>
              <w:jc w:val="both"/>
            </w:pPr>
            <w:r>
              <w:t>12.pielikums – 1570 Komersanti, finanšu korporācijas, valsts un pašvaldību budžeta iestādes.</w:t>
            </w:r>
          </w:p>
          <w:p w:rsidR="00B77395" w:rsidRDefault="00B77395" w:rsidP="00B77395">
            <w:pPr>
              <w:numPr>
                <w:ilvl w:val="0"/>
                <w:numId w:val="8"/>
              </w:numPr>
              <w:jc w:val="both"/>
            </w:pPr>
            <w:r>
              <w:lastRenderedPageBreak/>
              <w:t>13.pielikums – 5800 uzņēmumi (NACE 2.red. A-S, izņemot K un valsts un pašvaldību finansētus un kontrolētus uzņēmumus (ESA 95 sektors = S130130, S130330).</w:t>
            </w:r>
          </w:p>
          <w:p w:rsidR="00B77395" w:rsidRDefault="00B77395" w:rsidP="00B77395">
            <w:pPr>
              <w:numPr>
                <w:ilvl w:val="0"/>
                <w:numId w:val="8"/>
              </w:numPr>
              <w:jc w:val="both"/>
            </w:pPr>
            <w:r>
              <w:t>14.pielikums – 130 valsts un pašvaldību finansēti un kontrolēti uzņēmumi (ESA 95 sektors = S130130, S130330).</w:t>
            </w:r>
          </w:p>
          <w:p w:rsidR="00B77395" w:rsidRDefault="00B77395" w:rsidP="00B77395">
            <w:pPr>
              <w:numPr>
                <w:ilvl w:val="0"/>
                <w:numId w:val="8"/>
              </w:numPr>
              <w:jc w:val="both"/>
            </w:pPr>
            <w:r>
              <w:t>15.pielikums -– 700 NACE 2.red. K sadaļas 64. un 66.nodaļas uzņēmumi, izņemot individuālos komersantus.</w:t>
            </w:r>
          </w:p>
          <w:p w:rsidR="00B77395" w:rsidRDefault="00B77395" w:rsidP="00B77395">
            <w:pPr>
              <w:numPr>
                <w:ilvl w:val="0"/>
                <w:numId w:val="8"/>
              </w:numPr>
              <w:jc w:val="both"/>
            </w:pPr>
            <w:r>
              <w:t>16.pielikums –  21 uzņēmums, kuru pamatdarbības veids ir „Finanšu noma” (NACE 2.red. 6491).</w:t>
            </w:r>
          </w:p>
          <w:p w:rsidR="00B77395" w:rsidRDefault="00B77395" w:rsidP="00B77395">
            <w:pPr>
              <w:numPr>
                <w:ilvl w:val="0"/>
                <w:numId w:val="8"/>
              </w:numPr>
              <w:jc w:val="both"/>
            </w:pPr>
            <w:r>
              <w:t xml:space="preserve">17.pielikums –2 respondenti, uzņēmumi, kas nodarbojas ar elektroenerģijas ražošanu, importu un eksportu. </w:t>
            </w:r>
          </w:p>
          <w:p w:rsidR="00B77395" w:rsidRDefault="00B77395" w:rsidP="00B77395">
            <w:pPr>
              <w:numPr>
                <w:ilvl w:val="0"/>
                <w:numId w:val="8"/>
              </w:numPr>
              <w:jc w:val="both"/>
            </w:pPr>
            <w:r>
              <w:t xml:space="preserve">18.pielikums – 3,5 tūkstoši mājsaimniecību, kurās dzīvo vismaz viena persona vecumā no 16 līdz 74 gadiem. </w:t>
            </w:r>
          </w:p>
          <w:p w:rsidR="00B77395" w:rsidRDefault="00B77395" w:rsidP="00B77395">
            <w:pPr>
              <w:numPr>
                <w:ilvl w:val="0"/>
                <w:numId w:val="8"/>
              </w:numPr>
              <w:jc w:val="both"/>
            </w:pPr>
            <w:r>
              <w:t xml:space="preserve">19.pielikums – personas vecumā no 16 līdz 74 gadiem no 3,5 tūkstošiem mājsaimniecību (aptuveni 7 </w:t>
            </w:r>
            <w:proofErr w:type="spellStart"/>
            <w:r>
              <w:t>tūkst</w:t>
            </w:r>
            <w:proofErr w:type="spellEnd"/>
            <w:r>
              <w:t xml:space="preserve">. personu). </w:t>
            </w:r>
          </w:p>
          <w:p w:rsidR="000E6435" w:rsidRPr="006E2C57" w:rsidRDefault="000E6435" w:rsidP="00B77395">
            <w:pPr>
              <w:numPr>
                <w:ilvl w:val="0"/>
                <w:numId w:val="8"/>
              </w:numPr>
              <w:jc w:val="both"/>
            </w:pPr>
            <w:r w:rsidRPr="006E2C57">
              <w:t>20.pielikums - 12000 mājsaimniecības gadā.</w:t>
            </w:r>
          </w:p>
          <w:p w:rsidR="004048C4" w:rsidRPr="006E2C57" w:rsidRDefault="004048C4" w:rsidP="00FC4B2D">
            <w:pPr>
              <w:numPr>
                <w:ilvl w:val="0"/>
                <w:numId w:val="8"/>
              </w:numPr>
              <w:jc w:val="both"/>
            </w:pPr>
            <w:r w:rsidRPr="006E2C57">
              <w:t>21</w:t>
            </w:r>
            <w:r w:rsidR="00347172" w:rsidRPr="006E2C57">
              <w:t>., 22. un 23</w:t>
            </w:r>
            <w:r w:rsidRPr="006E2C57">
              <w:t>.pielikums - 11000 privātās mājsaimniecības.</w:t>
            </w:r>
          </w:p>
          <w:p w:rsidR="007309F9" w:rsidRPr="006E2C57" w:rsidRDefault="007309F9" w:rsidP="00FC4B2D">
            <w:pPr>
              <w:numPr>
                <w:ilvl w:val="0"/>
                <w:numId w:val="8"/>
              </w:numPr>
              <w:jc w:val="both"/>
            </w:pPr>
            <w:r w:rsidRPr="006E2C57">
              <w:t>24.</w:t>
            </w:r>
            <w:r w:rsidR="001E2751" w:rsidRPr="006E2C57">
              <w:t xml:space="preserve">, 25. </w:t>
            </w:r>
            <w:r w:rsidRPr="006E2C57">
              <w:t>pielikums - septiņi tūkstoši (par mājsaimniecību kopumā atbildīgie) respondenti vecumā 16 +</w:t>
            </w:r>
            <w:r w:rsidR="001E2751" w:rsidRPr="006E2C57">
              <w:t>.</w:t>
            </w:r>
          </w:p>
          <w:p w:rsidR="00B20193" w:rsidRPr="006E2C57" w:rsidRDefault="00B20193" w:rsidP="00FC4B2D">
            <w:pPr>
              <w:numPr>
                <w:ilvl w:val="0"/>
                <w:numId w:val="8"/>
              </w:numPr>
              <w:jc w:val="both"/>
            </w:pPr>
            <w:r w:rsidRPr="006E2C57">
              <w:t>26.pielikums - četrpadsmit tūkstoši mājsaimniecības locekļi 16 +</w:t>
            </w:r>
          </w:p>
          <w:p w:rsidR="003518B5" w:rsidRPr="006E2C57" w:rsidRDefault="003518B5" w:rsidP="00FC4B2D">
            <w:pPr>
              <w:numPr>
                <w:ilvl w:val="0"/>
                <w:numId w:val="8"/>
              </w:numPr>
              <w:jc w:val="both"/>
            </w:pPr>
            <w:r w:rsidRPr="006E2C57">
              <w:t>27.pielikums – 1240 lauku saimniecības, kuru standarta izlaide ir &gt; 50 000 eiro.</w:t>
            </w:r>
          </w:p>
          <w:p w:rsidR="00C319F1" w:rsidRPr="006E2C57" w:rsidRDefault="00C319F1" w:rsidP="00FC4B2D">
            <w:pPr>
              <w:numPr>
                <w:ilvl w:val="0"/>
                <w:numId w:val="8"/>
              </w:numPr>
              <w:jc w:val="both"/>
            </w:pPr>
            <w:r w:rsidRPr="006E2C57">
              <w:t>28.pielikums -    44 000 iedzīvotāju.</w:t>
            </w:r>
          </w:p>
          <w:p w:rsidR="008A76F4" w:rsidRPr="006E2C57" w:rsidRDefault="008A76F4" w:rsidP="00FC4B2D">
            <w:pPr>
              <w:numPr>
                <w:ilvl w:val="0"/>
                <w:numId w:val="8"/>
              </w:numPr>
              <w:jc w:val="both"/>
            </w:pPr>
            <w:r w:rsidRPr="006E2C57">
              <w:t xml:space="preserve">29.pielikums – ne mazāk par 4555 respondentiem. Apsekojuma </w:t>
            </w:r>
            <w:proofErr w:type="spellStart"/>
            <w:r w:rsidRPr="006E2C57">
              <w:t>mērķpopulācija</w:t>
            </w:r>
            <w:proofErr w:type="spellEnd"/>
            <w:r w:rsidRPr="006E2C57">
              <w:t xml:space="preserve"> ir Latvijas iedzīvotāji, kuri dzīvo privātajās mājsaimniecībās, vecumā 15+.</w:t>
            </w:r>
          </w:p>
          <w:p w:rsidR="007530D7" w:rsidRPr="006E2C57" w:rsidRDefault="007530D7" w:rsidP="00FC4B2D">
            <w:pPr>
              <w:numPr>
                <w:ilvl w:val="0"/>
                <w:numId w:val="8"/>
              </w:numPr>
              <w:jc w:val="both"/>
            </w:pPr>
            <w:r w:rsidRPr="006E2C57">
              <w:t xml:space="preserve">30.pielikums – 4400 ekonomiski aktīvās </w:t>
            </w:r>
            <w:proofErr w:type="spellStart"/>
            <w:r w:rsidRPr="006E2C57">
              <w:t>komercsektora</w:t>
            </w:r>
            <w:proofErr w:type="spellEnd"/>
            <w:r w:rsidRPr="006E2C57">
              <w:t xml:space="preserve"> vienības 2013.gadā:</w:t>
            </w:r>
          </w:p>
          <w:p w:rsidR="007530D7" w:rsidRPr="006E2C57" w:rsidRDefault="007530D7" w:rsidP="00FC4B2D">
            <w:pPr>
              <w:ind w:left="720"/>
              <w:jc w:val="both"/>
            </w:pPr>
            <w:r w:rsidRPr="006E2C57">
              <w:t>1) ekonomiski aktīvi  komersanti;</w:t>
            </w:r>
          </w:p>
          <w:p w:rsidR="007530D7" w:rsidRPr="006E2C57" w:rsidRDefault="007530D7" w:rsidP="00FC4B2D">
            <w:pPr>
              <w:ind w:left="720"/>
              <w:jc w:val="both"/>
            </w:pPr>
            <w:r w:rsidRPr="006E2C57">
              <w:t xml:space="preserve">2) zemnieku/zvejnieku saimniecības, kurām galvenā darbība nav NACE </w:t>
            </w:r>
            <w:r w:rsidR="00046AC7">
              <w:t>2red.</w:t>
            </w:r>
            <w:r w:rsidRPr="006E2C57">
              <w:t>01, 02, 03.</w:t>
            </w:r>
          </w:p>
          <w:p w:rsidR="00EF48F1" w:rsidRPr="006E2C57" w:rsidRDefault="00FC4B2D" w:rsidP="00EF48F1">
            <w:pPr>
              <w:numPr>
                <w:ilvl w:val="0"/>
                <w:numId w:val="8"/>
              </w:numPr>
              <w:jc w:val="both"/>
            </w:pPr>
            <w:r w:rsidRPr="006E2C57">
              <w:t>31.pielikums – 200 uzņēmumi, kuri sniedz biznesa pakalpojumus.</w:t>
            </w:r>
          </w:p>
          <w:p w:rsidR="00EF48F1" w:rsidRPr="006E2C57" w:rsidRDefault="000D49C9" w:rsidP="00EF48F1">
            <w:pPr>
              <w:numPr>
                <w:ilvl w:val="0"/>
                <w:numId w:val="8"/>
              </w:numPr>
              <w:jc w:val="both"/>
            </w:pPr>
            <w:r w:rsidRPr="006E2C57">
              <w:t xml:space="preserve">32.pielikums - </w:t>
            </w:r>
            <w:r w:rsidR="00EF48F1" w:rsidRPr="006E2C57">
              <w:t>gadā apsekoto respondentu skaits tiek plānots apmēram 100</w:t>
            </w:r>
            <w:r w:rsidR="00046AC7">
              <w:t>0</w:t>
            </w:r>
            <w:r w:rsidR="00EF48F1" w:rsidRPr="006E2C57">
              <w:t xml:space="preserve">, aptauja tiek sūtīta tiem respondentiem, kuriem SUR norādīto NACE 2.red. kodu nepieciešams precizēt. </w:t>
            </w:r>
          </w:p>
          <w:p w:rsidR="0052055C" w:rsidRPr="006E2C57" w:rsidRDefault="007172F7" w:rsidP="0052055C">
            <w:pPr>
              <w:numPr>
                <w:ilvl w:val="0"/>
                <w:numId w:val="8"/>
              </w:numPr>
              <w:jc w:val="both"/>
            </w:pPr>
            <w:r w:rsidRPr="006E2C57">
              <w:t>33.pielikums - 14 tūkstoši respondenti vecumā 16 +</w:t>
            </w:r>
            <w:r w:rsidR="0052055C" w:rsidRPr="006E2C57">
              <w:t>.</w:t>
            </w:r>
          </w:p>
          <w:p w:rsidR="0052055C" w:rsidRPr="006E2C57" w:rsidRDefault="0052055C" w:rsidP="0052055C">
            <w:pPr>
              <w:numPr>
                <w:ilvl w:val="0"/>
                <w:numId w:val="8"/>
              </w:numPr>
              <w:jc w:val="both"/>
            </w:pPr>
            <w:r w:rsidRPr="006E2C57">
              <w:lastRenderedPageBreak/>
              <w:t xml:space="preserve">34.pielikums – 1500 </w:t>
            </w:r>
            <w:r w:rsidRPr="006E2C57">
              <w:rPr>
                <w:color w:val="000000"/>
              </w:rPr>
              <w:t>uzņēmumi NACE 2.red. B,C,D,E,H,J,K sadaļā un 46.,71.,72.,73.nodaļā ar nodarbināto skaitu 10 un vairāk.</w:t>
            </w:r>
          </w:p>
          <w:p w:rsidR="0052055C" w:rsidRPr="006E2C57" w:rsidRDefault="0052055C" w:rsidP="0052055C">
            <w:pPr>
              <w:ind w:left="720"/>
              <w:jc w:val="both"/>
            </w:pPr>
          </w:p>
          <w:p w:rsidR="003E3492" w:rsidRPr="006E2C57" w:rsidRDefault="003E3492" w:rsidP="00EF48F1">
            <w:pPr>
              <w:ind w:left="720"/>
              <w:jc w:val="both"/>
            </w:pPr>
          </w:p>
        </w:tc>
      </w:tr>
      <w:tr w:rsidR="003E3492" w:rsidRPr="006E2C57" w:rsidTr="0065284E">
        <w:trPr>
          <w:trHeight w:val="523"/>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lastRenderedPageBreak/>
              <w:t> 2.</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Citas sabiedrības grupas (bez mērķa grupas), kuras tiesiskais regulējums arī ietekmē vai varētu ietekmēt</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10"/>
            </w:pPr>
            <w:r w:rsidRPr="006E2C57">
              <w:t> </w:t>
            </w:r>
            <w:r w:rsidRPr="006E2C57">
              <w:rPr>
                <w:bCs/>
              </w:rPr>
              <w:t>Projekts šo jomu neskar</w:t>
            </w:r>
          </w:p>
        </w:tc>
      </w:tr>
      <w:tr w:rsidR="003E3492" w:rsidRPr="006E2C57" w:rsidTr="0065284E">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3.</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Tiesiskā regulējuma finansiālā ietekme</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10"/>
              <w:jc w:val="both"/>
            </w:pPr>
            <w:r w:rsidRPr="006E2C57">
              <w:rPr>
                <w:bCs/>
              </w:rPr>
              <w:t>Projekts šo jomu neskar</w:t>
            </w:r>
          </w:p>
        </w:tc>
      </w:tr>
      <w:tr w:rsidR="003E3492" w:rsidRPr="006E2C57" w:rsidTr="0065284E">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4.</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Tiesiskā regulējuma nefinansiālā ietekme</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52055C">
            <w:pPr>
              <w:pStyle w:val="naiskr"/>
              <w:ind w:left="-10"/>
              <w:jc w:val="both"/>
            </w:pPr>
            <w:r w:rsidRPr="006E2C57">
              <w:t> MK noteikumu projekts jaunas tiesības nerada un jaunus pienākumus neuzliek, izņemot ar MK noteikumu projektu apstiprinātās jaunās veidlapas (</w:t>
            </w:r>
            <w:r w:rsidR="00DE791E" w:rsidRPr="006E2C57">
              <w:t>20</w:t>
            </w:r>
            <w:r w:rsidR="0052055C" w:rsidRPr="006E2C57">
              <w:t>3</w:t>
            </w:r>
            <w:r w:rsidR="00DE791E" w:rsidRPr="006E2C57">
              <w:t>. un 20</w:t>
            </w:r>
            <w:r w:rsidR="0052055C" w:rsidRPr="006E2C57">
              <w:t>4</w:t>
            </w:r>
            <w:r w:rsidRPr="006E2C57">
              <w:t xml:space="preserve">.pielikums). </w:t>
            </w:r>
          </w:p>
        </w:tc>
      </w:tr>
      <w:tr w:rsidR="003E3492" w:rsidRPr="006E2C57" w:rsidTr="0065284E">
        <w:trPr>
          <w:trHeight w:val="531"/>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5.</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Administratīvās procedūras raksturojums</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10"/>
              <w:jc w:val="both"/>
            </w:pPr>
            <w:r w:rsidRPr="006E2C57">
              <w:t> Indivīds savas tiesības varēs aizstāvēt normatīvajos aktos noteiktajā kārtībā (Administratīvā procesa likums).</w:t>
            </w:r>
          </w:p>
          <w:p w:rsidR="003E3492" w:rsidRPr="006E2C57" w:rsidRDefault="003E3492" w:rsidP="0065284E">
            <w:pPr>
              <w:pStyle w:val="naiskr"/>
              <w:ind w:left="-10"/>
              <w:jc w:val="both"/>
            </w:pPr>
            <w:r w:rsidRPr="006E2C57">
              <w:t>MK noteikumu projekts paredz, ka respondenti sniegs savu darbību raksturojošus individuālos statistisko datus. CSP individuālos statistisko datus uzglabā statistiskās informācijas sistēmā, kas sastāv no statistiskajiem reģistriem un datu bāzēm, kuras uzturēšanu nodrošina CSP.</w:t>
            </w:r>
          </w:p>
          <w:p w:rsidR="003E3492" w:rsidRPr="006E2C57" w:rsidRDefault="003E3492" w:rsidP="0065284E">
            <w:pPr>
              <w:pStyle w:val="naiskr"/>
              <w:ind w:left="-10"/>
              <w:jc w:val="both"/>
            </w:pPr>
            <w:r w:rsidRPr="006E2C57">
              <w:t xml:space="preserve">CSP ir noslēgtas starpresoru vienošanās ar Valsts ieņēmumu dienestu, Valsts sociālās apdrošināšanas aģentūru, Pilsonības un migrācijas lietu pārvaldi </w:t>
            </w:r>
            <w:proofErr w:type="spellStart"/>
            <w:r w:rsidRPr="006E2C57">
              <w:t>u.c</w:t>
            </w:r>
            <w:proofErr w:type="spellEnd"/>
            <w:r w:rsidRPr="006E2C57">
              <w:t>. institūcijām, taču to rīcībā nav visa informācija, kas nepieciešama, lai apkopotu informāciju, kas nepieciešama MK noteikumu projekta izpildei.</w:t>
            </w:r>
          </w:p>
        </w:tc>
      </w:tr>
      <w:tr w:rsidR="003E3492" w:rsidRPr="006E2C57" w:rsidTr="0065284E">
        <w:trPr>
          <w:trHeight w:val="357"/>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6.</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10"/>
            </w:pPr>
            <w:r w:rsidRPr="006E2C57">
              <w:t> </w:t>
            </w:r>
            <w:r w:rsidRPr="006E2C57">
              <w:rPr>
                <w:bCs/>
              </w:rPr>
              <w:t>Projekts šo jomu neskar</w:t>
            </w:r>
          </w:p>
        </w:tc>
      </w:tr>
      <w:tr w:rsidR="003E3492" w:rsidRPr="006E2C57" w:rsidTr="0065284E">
        <w:trPr>
          <w:tblCellSpacing w:w="0" w:type="dxa"/>
        </w:trPr>
        <w:tc>
          <w:tcPr>
            <w:tcW w:w="521"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7.</w:t>
            </w:r>
          </w:p>
        </w:tc>
        <w:tc>
          <w:tcPr>
            <w:tcW w:w="3274"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Cita informācija</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10"/>
            </w:pPr>
            <w:r w:rsidRPr="006E2C57">
              <w:t>Nav</w:t>
            </w:r>
          </w:p>
        </w:tc>
      </w:tr>
    </w:tbl>
    <w:p w:rsidR="003E3492" w:rsidRPr="006E2C57" w:rsidRDefault="003E3492" w:rsidP="003E349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1007"/>
        <w:gridCol w:w="1306"/>
        <w:gridCol w:w="1391"/>
        <w:gridCol w:w="1391"/>
        <w:gridCol w:w="1389"/>
      </w:tblGrid>
      <w:tr w:rsidR="00EC334F" w:rsidRPr="006E2C57" w:rsidTr="00991AB0">
        <w:trPr>
          <w:trHeight w:val="652"/>
          <w:jc w:val="center"/>
        </w:trPr>
        <w:tc>
          <w:tcPr>
            <w:tcW w:w="5000" w:type="pct"/>
            <w:gridSpan w:val="6"/>
          </w:tcPr>
          <w:p w:rsidR="00EC334F" w:rsidRPr="006E2C57" w:rsidRDefault="00EC334F" w:rsidP="00991AB0">
            <w:pPr>
              <w:pStyle w:val="naisnod"/>
              <w:spacing w:before="0" w:after="0"/>
              <w:rPr>
                <w:i/>
                <w:color w:val="000000" w:themeColor="text1"/>
              </w:rPr>
            </w:pPr>
            <w:r w:rsidRPr="006E2C57">
              <w:rPr>
                <w:color w:val="000000" w:themeColor="text1"/>
              </w:rPr>
              <w:br w:type="page"/>
              <w:t>III. Tiesību akta projekta ietekme uz valsts budžetu un pašvaldību budžetiem</w:t>
            </w:r>
          </w:p>
        </w:tc>
      </w:tr>
      <w:tr w:rsidR="00EC334F" w:rsidRPr="006E2C57" w:rsidTr="00991AB0">
        <w:trPr>
          <w:jc w:val="center"/>
        </w:trPr>
        <w:tc>
          <w:tcPr>
            <w:tcW w:w="1509" w:type="pct"/>
            <w:vMerge w:val="restart"/>
            <w:vAlign w:val="center"/>
          </w:tcPr>
          <w:p w:rsidR="00EC334F" w:rsidRPr="006E2C57" w:rsidRDefault="00EC334F" w:rsidP="00991AB0">
            <w:pPr>
              <w:pStyle w:val="naisf"/>
              <w:spacing w:before="0" w:after="0"/>
              <w:ind w:firstLine="0"/>
              <w:jc w:val="center"/>
              <w:rPr>
                <w:b/>
                <w:color w:val="000000" w:themeColor="text1"/>
              </w:rPr>
            </w:pPr>
            <w:r w:rsidRPr="006E2C57">
              <w:rPr>
                <w:b/>
                <w:color w:val="000000" w:themeColor="text1"/>
              </w:rPr>
              <w:t>Rādītāji</w:t>
            </w:r>
          </w:p>
        </w:tc>
        <w:tc>
          <w:tcPr>
            <w:tcW w:w="1245" w:type="pct"/>
            <w:gridSpan w:val="2"/>
            <w:vMerge w:val="restart"/>
            <w:vAlign w:val="center"/>
          </w:tcPr>
          <w:p w:rsidR="00EC334F" w:rsidRPr="006E2C57" w:rsidRDefault="00EC334F" w:rsidP="00991AB0">
            <w:pPr>
              <w:pStyle w:val="naisf"/>
              <w:spacing w:before="0" w:after="0"/>
              <w:ind w:firstLine="0"/>
              <w:jc w:val="center"/>
              <w:rPr>
                <w:b/>
                <w:color w:val="000000" w:themeColor="text1"/>
              </w:rPr>
            </w:pPr>
            <w:r w:rsidRPr="006E2C57">
              <w:rPr>
                <w:b/>
                <w:color w:val="000000" w:themeColor="text1"/>
              </w:rPr>
              <w:t>2013.gads</w:t>
            </w:r>
          </w:p>
        </w:tc>
        <w:tc>
          <w:tcPr>
            <w:tcW w:w="2246" w:type="pct"/>
            <w:gridSpan w:val="3"/>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Turpmākie trīs gadi (</w:t>
            </w:r>
            <w:proofErr w:type="spellStart"/>
            <w:r w:rsidRPr="006E2C57">
              <w:rPr>
                <w:color w:val="000000" w:themeColor="text1"/>
              </w:rPr>
              <w:t>tūkst</w:t>
            </w:r>
            <w:proofErr w:type="spellEnd"/>
            <w:r w:rsidRPr="006E2C57">
              <w:rPr>
                <w:color w:val="000000" w:themeColor="text1"/>
              </w:rPr>
              <w:t xml:space="preserve">. </w:t>
            </w:r>
            <w:proofErr w:type="spellStart"/>
            <w:r w:rsidRPr="006E2C57">
              <w:rPr>
                <w:i/>
                <w:color w:val="000000" w:themeColor="text1"/>
              </w:rPr>
              <w:t>euro</w:t>
            </w:r>
            <w:proofErr w:type="spellEnd"/>
            <w:r w:rsidRPr="006E2C57">
              <w:rPr>
                <w:color w:val="000000" w:themeColor="text1"/>
              </w:rPr>
              <w:t>)</w:t>
            </w:r>
          </w:p>
        </w:tc>
      </w:tr>
      <w:tr w:rsidR="00EC334F" w:rsidRPr="006E2C57" w:rsidTr="00991AB0">
        <w:trPr>
          <w:trHeight w:val="360"/>
          <w:jc w:val="center"/>
        </w:trPr>
        <w:tc>
          <w:tcPr>
            <w:tcW w:w="1509" w:type="pct"/>
            <w:vMerge/>
            <w:vAlign w:val="center"/>
          </w:tcPr>
          <w:p w:rsidR="00EC334F" w:rsidRPr="006E2C57" w:rsidRDefault="00EC334F" w:rsidP="00991AB0">
            <w:pPr>
              <w:pStyle w:val="naisf"/>
              <w:spacing w:before="0" w:after="0"/>
              <w:ind w:firstLine="0"/>
              <w:jc w:val="center"/>
              <w:rPr>
                <w:b/>
                <w:i/>
                <w:color w:val="000000" w:themeColor="text1"/>
              </w:rPr>
            </w:pPr>
          </w:p>
        </w:tc>
        <w:tc>
          <w:tcPr>
            <w:tcW w:w="1245" w:type="pct"/>
            <w:gridSpan w:val="2"/>
            <w:vMerge/>
            <w:vAlign w:val="center"/>
          </w:tcPr>
          <w:p w:rsidR="00EC334F" w:rsidRPr="006E2C57" w:rsidRDefault="00EC334F" w:rsidP="00991AB0">
            <w:pPr>
              <w:pStyle w:val="naisf"/>
              <w:spacing w:before="0" w:after="0"/>
              <w:ind w:firstLine="0"/>
              <w:jc w:val="center"/>
              <w:rPr>
                <w:b/>
                <w:i/>
                <w:color w:val="000000" w:themeColor="text1"/>
              </w:rPr>
            </w:pPr>
          </w:p>
        </w:tc>
        <w:tc>
          <w:tcPr>
            <w:tcW w:w="749" w:type="pct"/>
            <w:vAlign w:val="center"/>
          </w:tcPr>
          <w:p w:rsidR="00EC334F" w:rsidRPr="006E2C57" w:rsidRDefault="00EC334F" w:rsidP="00991AB0">
            <w:pPr>
              <w:pStyle w:val="naisf"/>
              <w:spacing w:before="0" w:after="0"/>
              <w:ind w:firstLine="0"/>
              <w:jc w:val="center"/>
              <w:rPr>
                <w:b/>
                <w:i/>
                <w:color w:val="000000" w:themeColor="text1"/>
              </w:rPr>
            </w:pPr>
            <w:r w:rsidRPr="006E2C57">
              <w:rPr>
                <w:b/>
                <w:color w:val="000000" w:themeColor="text1"/>
              </w:rPr>
              <w:t>2014.gads</w:t>
            </w:r>
          </w:p>
        </w:tc>
        <w:tc>
          <w:tcPr>
            <w:tcW w:w="749" w:type="pct"/>
            <w:vAlign w:val="center"/>
          </w:tcPr>
          <w:p w:rsidR="00EC334F" w:rsidRPr="006E2C57" w:rsidRDefault="00EC334F" w:rsidP="00991AB0">
            <w:pPr>
              <w:pStyle w:val="naisf"/>
              <w:spacing w:before="0" w:after="0"/>
              <w:ind w:firstLine="0"/>
              <w:jc w:val="center"/>
              <w:rPr>
                <w:b/>
                <w:i/>
                <w:color w:val="000000" w:themeColor="text1"/>
              </w:rPr>
            </w:pPr>
            <w:r w:rsidRPr="006E2C57">
              <w:rPr>
                <w:b/>
                <w:color w:val="000000" w:themeColor="text1"/>
              </w:rPr>
              <w:t>2015.gads</w:t>
            </w:r>
          </w:p>
        </w:tc>
        <w:tc>
          <w:tcPr>
            <w:tcW w:w="748" w:type="pct"/>
            <w:vAlign w:val="center"/>
          </w:tcPr>
          <w:p w:rsidR="00EC334F" w:rsidRPr="006E2C57" w:rsidRDefault="00EC334F" w:rsidP="00991AB0">
            <w:pPr>
              <w:pStyle w:val="naisf"/>
              <w:spacing w:before="0" w:after="0"/>
              <w:ind w:firstLine="0"/>
              <w:jc w:val="center"/>
              <w:rPr>
                <w:b/>
                <w:i/>
                <w:color w:val="000000" w:themeColor="text1"/>
              </w:rPr>
            </w:pPr>
            <w:r w:rsidRPr="006E2C57">
              <w:rPr>
                <w:b/>
                <w:color w:val="000000" w:themeColor="text1"/>
              </w:rPr>
              <w:t>2016.gads</w:t>
            </w:r>
          </w:p>
        </w:tc>
      </w:tr>
      <w:tr w:rsidR="00EC334F" w:rsidRPr="006E2C57" w:rsidTr="00991AB0">
        <w:trPr>
          <w:jc w:val="center"/>
        </w:trPr>
        <w:tc>
          <w:tcPr>
            <w:tcW w:w="1509" w:type="pct"/>
            <w:vMerge/>
            <w:vAlign w:val="center"/>
          </w:tcPr>
          <w:p w:rsidR="00EC334F" w:rsidRPr="006E2C57" w:rsidRDefault="00EC334F" w:rsidP="00991AB0">
            <w:pPr>
              <w:pStyle w:val="naisf"/>
              <w:spacing w:before="0" w:after="0"/>
              <w:ind w:firstLine="0"/>
              <w:jc w:val="center"/>
              <w:rPr>
                <w:b/>
                <w:i/>
                <w:color w:val="000000" w:themeColor="text1"/>
              </w:rPr>
            </w:pPr>
          </w:p>
        </w:tc>
        <w:tc>
          <w:tcPr>
            <w:tcW w:w="542" w:type="pct"/>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Saskaņā ar valsts budžetu kārtējam gadam</w:t>
            </w:r>
          </w:p>
        </w:tc>
        <w:tc>
          <w:tcPr>
            <w:tcW w:w="703" w:type="pct"/>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Izmaiņas kārtējā gadā, salīdzinot ar budžetu kārtējam gadam</w:t>
            </w:r>
          </w:p>
        </w:tc>
        <w:tc>
          <w:tcPr>
            <w:tcW w:w="749" w:type="pct"/>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Izmaiņas, salīdzinot ar kārtējo 2013.gadu</w:t>
            </w:r>
          </w:p>
        </w:tc>
        <w:tc>
          <w:tcPr>
            <w:tcW w:w="749" w:type="pct"/>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Izmaiņas, salīdzinot ar kārtējo 2013.gadu</w:t>
            </w:r>
          </w:p>
        </w:tc>
        <w:tc>
          <w:tcPr>
            <w:tcW w:w="748" w:type="pct"/>
            <w:vAlign w:val="center"/>
          </w:tcPr>
          <w:p w:rsidR="00EC334F" w:rsidRPr="006E2C57" w:rsidRDefault="00EC334F" w:rsidP="00991AB0">
            <w:pPr>
              <w:pStyle w:val="naisf"/>
              <w:spacing w:before="0" w:after="0"/>
              <w:ind w:firstLine="0"/>
              <w:jc w:val="center"/>
              <w:rPr>
                <w:b/>
                <w:i/>
                <w:color w:val="000000" w:themeColor="text1"/>
              </w:rPr>
            </w:pPr>
            <w:r w:rsidRPr="006E2C57">
              <w:rPr>
                <w:color w:val="000000" w:themeColor="text1"/>
              </w:rPr>
              <w:t>Izmaiņas, salīdzinot ar kārtējo 2013.gadu</w:t>
            </w:r>
          </w:p>
        </w:tc>
      </w:tr>
      <w:tr w:rsidR="00EC334F" w:rsidRPr="006E2C57" w:rsidTr="00991AB0">
        <w:trPr>
          <w:jc w:val="center"/>
        </w:trPr>
        <w:tc>
          <w:tcPr>
            <w:tcW w:w="1509"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1</w:t>
            </w:r>
          </w:p>
        </w:tc>
        <w:tc>
          <w:tcPr>
            <w:tcW w:w="542"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2</w:t>
            </w:r>
          </w:p>
        </w:tc>
        <w:tc>
          <w:tcPr>
            <w:tcW w:w="703"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3</w:t>
            </w:r>
          </w:p>
        </w:tc>
        <w:tc>
          <w:tcPr>
            <w:tcW w:w="749"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4</w:t>
            </w:r>
          </w:p>
        </w:tc>
        <w:tc>
          <w:tcPr>
            <w:tcW w:w="749"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5</w:t>
            </w:r>
          </w:p>
        </w:tc>
        <w:tc>
          <w:tcPr>
            <w:tcW w:w="748" w:type="pct"/>
            <w:vAlign w:val="center"/>
          </w:tcPr>
          <w:p w:rsidR="00EC334F" w:rsidRPr="006E2C57" w:rsidRDefault="00EC334F" w:rsidP="00991AB0">
            <w:pPr>
              <w:pStyle w:val="naisf"/>
              <w:spacing w:before="0" w:after="0"/>
              <w:ind w:firstLine="0"/>
              <w:jc w:val="center"/>
              <w:rPr>
                <w:bCs/>
                <w:color w:val="000000" w:themeColor="text1"/>
              </w:rPr>
            </w:pPr>
            <w:r w:rsidRPr="006E2C57">
              <w:rPr>
                <w:bCs/>
                <w:color w:val="000000" w:themeColor="text1"/>
              </w:rPr>
              <w:t>6</w:t>
            </w:r>
          </w:p>
        </w:tc>
      </w:tr>
      <w:tr w:rsidR="00EC334F" w:rsidRPr="006E2C57" w:rsidTr="00991AB0">
        <w:trPr>
          <w:jc w:val="center"/>
        </w:trPr>
        <w:tc>
          <w:tcPr>
            <w:tcW w:w="1509" w:type="pct"/>
          </w:tcPr>
          <w:p w:rsidR="00EC334F" w:rsidRPr="006E2C57" w:rsidRDefault="00EC334F" w:rsidP="00991AB0">
            <w:pPr>
              <w:pStyle w:val="naisf"/>
              <w:spacing w:before="0" w:after="0"/>
              <w:ind w:firstLine="0"/>
              <w:rPr>
                <w:i/>
                <w:color w:val="000000" w:themeColor="text1"/>
              </w:rPr>
            </w:pPr>
            <w:r w:rsidRPr="006E2C57">
              <w:rPr>
                <w:color w:val="000000" w:themeColor="text1"/>
              </w:rPr>
              <w:lastRenderedPageBreak/>
              <w:t>1. Budžeta ieņēmumi:</w:t>
            </w:r>
          </w:p>
        </w:tc>
        <w:tc>
          <w:tcPr>
            <w:tcW w:w="542"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pStyle w:val="naisf"/>
              <w:spacing w:before="0" w:after="0"/>
              <w:ind w:firstLine="0"/>
              <w:rPr>
                <w:i/>
                <w:color w:val="000000" w:themeColor="text1"/>
              </w:rPr>
            </w:pPr>
            <w:r w:rsidRPr="006E2C57">
              <w:rPr>
                <w:color w:val="000000" w:themeColor="text1"/>
              </w:rPr>
              <w:t>1.1. valsts pamatbudžets, tai skaitā ieņēmumi no maksas pakalpojumiem un citi pašu ieņēmumi</w:t>
            </w:r>
          </w:p>
        </w:tc>
        <w:tc>
          <w:tcPr>
            <w:tcW w:w="542"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pStyle w:val="naisf"/>
              <w:spacing w:before="0" w:after="0"/>
              <w:ind w:firstLine="0"/>
              <w:rPr>
                <w:i/>
                <w:color w:val="000000" w:themeColor="text1"/>
              </w:rPr>
            </w:pPr>
            <w:r w:rsidRPr="006E2C57">
              <w:rPr>
                <w:color w:val="000000" w:themeColor="text1"/>
              </w:rPr>
              <w:t>1.2. valsts speciālais budžets</w:t>
            </w:r>
          </w:p>
        </w:tc>
        <w:tc>
          <w:tcPr>
            <w:tcW w:w="542" w:type="pct"/>
          </w:tcPr>
          <w:p w:rsidR="00EC334F" w:rsidRPr="006E2C57" w:rsidRDefault="00EC334F" w:rsidP="00991AB0">
            <w:pPr>
              <w:pStyle w:val="naisf"/>
              <w:spacing w:before="0" w:after="0"/>
              <w:ind w:firstLine="0"/>
              <w:rPr>
                <w:b/>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tcPr>
          <w:p w:rsidR="00EC334F" w:rsidRPr="006E2C57" w:rsidRDefault="00EC334F" w:rsidP="00991AB0">
            <w:pPr>
              <w:pStyle w:val="naisf"/>
              <w:spacing w:before="0" w:after="0"/>
              <w:ind w:firstLine="0"/>
              <w:rPr>
                <w:i/>
                <w:color w:val="000000" w:themeColor="text1"/>
              </w:rPr>
            </w:pPr>
            <w:r w:rsidRPr="006E2C57">
              <w:rPr>
                <w:color w:val="000000" w:themeColor="text1"/>
              </w:rPr>
              <w:t>1.3. pašvaldību budžets</w:t>
            </w:r>
          </w:p>
        </w:tc>
        <w:tc>
          <w:tcPr>
            <w:tcW w:w="542" w:type="pct"/>
          </w:tcPr>
          <w:p w:rsidR="00EC334F" w:rsidRPr="006E2C57" w:rsidRDefault="00EC334F" w:rsidP="00991AB0">
            <w:pPr>
              <w:pStyle w:val="naisf"/>
              <w:spacing w:before="0" w:after="0"/>
              <w:ind w:firstLine="0"/>
              <w:rPr>
                <w:b/>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2. Budžeta izdevumi:</w:t>
            </w:r>
          </w:p>
        </w:tc>
        <w:tc>
          <w:tcPr>
            <w:tcW w:w="542"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2.1. valsts pamatbudžets</w:t>
            </w:r>
          </w:p>
        </w:tc>
        <w:tc>
          <w:tcPr>
            <w:tcW w:w="542"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2.2. valsts speciālais budžets</w:t>
            </w:r>
          </w:p>
        </w:tc>
        <w:tc>
          <w:tcPr>
            <w:tcW w:w="542" w:type="pct"/>
          </w:tcPr>
          <w:p w:rsidR="00EC334F" w:rsidRPr="006E2C57" w:rsidRDefault="00EC334F" w:rsidP="00991AB0">
            <w:pPr>
              <w:pStyle w:val="naisf"/>
              <w:spacing w:before="0" w:after="0"/>
              <w:ind w:firstLine="0"/>
              <w:rPr>
                <w:b/>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 xml:space="preserve">2.3. pašvaldību budžets </w:t>
            </w:r>
          </w:p>
        </w:tc>
        <w:tc>
          <w:tcPr>
            <w:tcW w:w="542" w:type="pct"/>
          </w:tcPr>
          <w:p w:rsidR="00EC334F" w:rsidRPr="006E2C57" w:rsidRDefault="00EC334F" w:rsidP="00991AB0">
            <w:pPr>
              <w:pStyle w:val="naisf"/>
              <w:spacing w:before="0" w:after="0"/>
              <w:ind w:firstLine="0"/>
              <w:rPr>
                <w:b/>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3. Finansiālā ietekme:</w:t>
            </w:r>
          </w:p>
        </w:tc>
        <w:tc>
          <w:tcPr>
            <w:tcW w:w="542" w:type="pct"/>
            <w:shd w:val="clear" w:color="auto" w:fill="auto"/>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3.1. valsts pamatbudžets</w:t>
            </w:r>
          </w:p>
        </w:tc>
        <w:tc>
          <w:tcPr>
            <w:tcW w:w="542" w:type="pct"/>
            <w:shd w:val="clear" w:color="auto" w:fill="auto"/>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3.2. speciālais budžets</w:t>
            </w:r>
          </w:p>
        </w:tc>
        <w:tc>
          <w:tcPr>
            <w:tcW w:w="542" w:type="pct"/>
            <w:shd w:val="clear" w:color="auto" w:fill="auto"/>
          </w:tcPr>
          <w:p w:rsidR="00EC334F" w:rsidRPr="006E2C57" w:rsidRDefault="00EC334F" w:rsidP="00991AB0">
            <w:pPr>
              <w:pStyle w:val="naisf"/>
              <w:spacing w:before="0" w:after="0"/>
              <w:ind w:firstLine="0"/>
              <w:rPr>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 xml:space="preserve">3.3. pašvaldību budžets </w:t>
            </w:r>
          </w:p>
        </w:tc>
        <w:tc>
          <w:tcPr>
            <w:tcW w:w="542" w:type="pct"/>
            <w:shd w:val="clear" w:color="auto" w:fill="auto"/>
          </w:tcPr>
          <w:p w:rsidR="00EC334F" w:rsidRPr="006E2C57" w:rsidRDefault="00EC334F" w:rsidP="00991AB0">
            <w:pPr>
              <w:pStyle w:val="naisf"/>
              <w:spacing w:before="0" w:after="0"/>
              <w:ind w:firstLine="0"/>
              <w:rPr>
                <w:i/>
                <w:color w:val="000000" w:themeColor="text1"/>
              </w:rPr>
            </w:pPr>
          </w:p>
        </w:tc>
        <w:tc>
          <w:tcPr>
            <w:tcW w:w="703"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9" w:type="pct"/>
          </w:tcPr>
          <w:p w:rsidR="00EC334F" w:rsidRPr="006E2C57" w:rsidRDefault="00EC334F" w:rsidP="00991AB0">
            <w:pPr>
              <w:pStyle w:val="naisf"/>
              <w:spacing w:before="0" w:after="0"/>
              <w:ind w:firstLine="0"/>
              <w:rPr>
                <w:b/>
                <w:i/>
                <w:color w:val="000000" w:themeColor="text1"/>
              </w:rPr>
            </w:pPr>
          </w:p>
        </w:tc>
        <w:tc>
          <w:tcPr>
            <w:tcW w:w="748" w:type="pct"/>
          </w:tcPr>
          <w:p w:rsidR="00EC334F" w:rsidRPr="006E2C57" w:rsidRDefault="00EC334F" w:rsidP="00991AB0">
            <w:pPr>
              <w:pStyle w:val="naisf"/>
              <w:spacing w:before="0" w:after="0"/>
              <w:ind w:firstLine="0"/>
              <w:rPr>
                <w:b/>
                <w:i/>
                <w:color w:val="000000" w:themeColor="text1"/>
              </w:rPr>
            </w:pPr>
          </w:p>
        </w:tc>
      </w:tr>
      <w:tr w:rsidR="00EC334F" w:rsidRPr="006E2C57" w:rsidTr="00991AB0">
        <w:trPr>
          <w:jc w:val="center"/>
        </w:trPr>
        <w:tc>
          <w:tcPr>
            <w:tcW w:w="1509" w:type="pct"/>
            <w:vMerge w:val="restart"/>
          </w:tcPr>
          <w:p w:rsidR="00EC334F" w:rsidRPr="006E2C57" w:rsidRDefault="00EC334F" w:rsidP="00991AB0">
            <w:pPr>
              <w:jc w:val="both"/>
              <w:rPr>
                <w:color w:val="000000" w:themeColor="text1"/>
              </w:rPr>
            </w:pPr>
            <w:r w:rsidRPr="006E2C57">
              <w:rPr>
                <w:color w:val="000000" w:themeColor="text1"/>
              </w:rPr>
              <w:t>4. Finanšu līdzekļi papildu izde</w:t>
            </w:r>
            <w:r w:rsidRPr="006E2C57">
              <w:rPr>
                <w:color w:val="000000" w:themeColor="text1"/>
              </w:rPr>
              <w:softHyphen/>
              <w:t>vumu finansēšanai (kompensējošu izdevumu samazinājumu norāda ar "+" zīmi)</w:t>
            </w:r>
          </w:p>
        </w:tc>
        <w:tc>
          <w:tcPr>
            <w:tcW w:w="542" w:type="pct"/>
            <w:vMerge w:val="restart"/>
          </w:tcPr>
          <w:p w:rsidR="00EC334F" w:rsidRPr="006E2C57" w:rsidRDefault="00EC334F" w:rsidP="00991AB0">
            <w:pPr>
              <w:pStyle w:val="naisf"/>
              <w:spacing w:before="0" w:after="0"/>
              <w:ind w:firstLine="0"/>
              <w:jc w:val="center"/>
              <w:rPr>
                <w:i/>
                <w:color w:val="000000" w:themeColor="text1"/>
              </w:rPr>
            </w:pPr>
            <w:r w:rsidRPr="006E2C57">
              <w:rPr>
                <w:color w:val="000000" w:themeColor="text1"/>
              </w:rPr>
              <w:t>X</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vMerge/>
          </w:tcPr>
          <w:p w:rsidR="00EC334F" w:rsidRPr="006E2C57" w:rsidRDefault="00EC334F" w:rsidP="00991AB0">
            <w:pPr>
              <w:jc w:val="both"/>
              <w:rPr>
                <w:color w:val="000000" w:themeColor="text1"/>
              </w:rPr>
            </w:pPr>
          </w:p>
        </w:tc>
        <w:tc>
          <w:tcPr>
            <w:tcW w:w="542" w:type="pct"/>
            <w:vMerge/>
          </w:tcPr>
          <w:p w:rsidR="00EC334F" w:rsidRPr="006E2C57" w:rsidRDefault="00EC334F" w:rsidP="00991AB0">
            <w:pPr>
              <w:pStyle w:val="naisf"/>
              <w:spacing w:before="0" w:after="0"/>
              <w:ind w:firstLine="0"/>
              <w:jc w:val="center"/>
              <w:rPr>
                <w:i/>
                <w:color w:val="000000" w:themeColor="text1"/>
              </w:rPr>
            </w:pPr>
          </w:p>
        </w:tc>
        <w:tc>
          <w:tcPr>
            <w:tcW w:w="703" w:type="pct"/>
          </w:tcPr>
          <w:p w:rsidR="00EC334F" w:rsidRPr="006E2C57" w:rsidRDefault="00EC334F" w:rsidP="00991AB0">
            <w:pPr>
              <w:pStyle w:val="naisf"/>
              <w:spacing w:before="0" w:after="0"/>
              <w:ind w:firstLine="0"/>
              <w:jc w:val="left"/>
              <w:rPr>
                <w:b/>
                <w:i/>
                <w:color w:val="000000" w:themeColor="text1"/>
              </w:rPr>
            </w:pPr>
          </w:p>
        </w:tc>
        <w:tc>
          <w:tcPr>
            <w:tcW w:w="749" w:type="pct"/>
          </w:tcPr>
          <w:p w:rsidR="00EC334F" w:rsidRPr="006E2C57" w:rsidRDefault="00EC334F" w:rsidP="00991AB0">
            <w:pPr>
              <w:pStyle w:val="naisf"/>
              <w:spacing w:before="0" w:after="0"/>
              <w:ind w:firstLine="0"/>
              <w:jc w:val="left"/>
              <w:rPr>
                <w:b/>
                <w:i/>
                <w:color w:val="000000" w:themeColor="text1"/>
              </w:rPr>
            </w:pPr>
          </w:p>
        </w:tc>
        <w:tc>
          <w:tcPr>
            <w:tcW w:w="749" w:type="pct"/>
          </w:tcPr>
          <w:p w:rsidR="00EC334F" w:rsidRPr="006E2C57" w:rsidRDefault="00EC334F" w:rsidP="00991AB0">
            <w:pPr>
              <w:pStyle w:val="naisf"/>
              <w:spacing w:before="0" w:after="0"/>
              <w:ind w:firstLine="0"/>
              <w:jc w:val="left"/>
              <w:rPr>
                <w:b/>
                <w:i/>
                <w:color w:val="000000" w:themeColor="text1"/>
              </w:rPr>
            </w:pPr>
          </w:p>
        </w:tc>
        <w:tc>
          <w:tcPr>
            <w:tcW w:w="748" w:type="pct"/>
          </w:tcPr>
          <w:p w:rsidR="00EC334F" w:rsidRPr="006E2C57" w:rsidRDefault="00EC334F" w:rsidP="00991AB0">
            <w:pPr>
              <w:pStyle w:val="naisf"/>
              <w:spacing w:before="0" w:after="0"/>
              <w:ind w:firstLine="0"/>
              <w:jc w:val="left"/>
              <w:rPr>
                <w:b/>
                <w:i/>
                <w:color w:val="000000" w:themeColor="text1"/>
              </w:rPr>
            </w:pPr>
          </w:p>
        </w:tc>
      </w:tr>
      <w:tr w:rsidR="00EC334F" w:rsidRPr="006E2C57" w:rsidTr="00991AB0">
        <w:trPr>
          <w:jc w:val="center"/>
        </w:trPr>
        <w:tc>
          <w:tcPr>
            <w:tcW w:w="1509" w:type="pct"/>
            <w:vMerge/>
          </w:tcPr>
          <w:p w:rsidR="00EC334F" w:rsidRPr="006E2C57" w:rsidRDefault="00EC334F" w:rsidP="00991AB0">
            <w:pPr>
              <w:jc w:val="both"/>
              <w:rPr>
                <w:color w:val="000000" w:themeColor="text1"/>
              </w:rPr>
            </w:pPr>
          </w:p>
        </w:tc>
        <w:tc>
          <w:tcPr>
            <w:tcW w:w="542" w:type="pct"/>
            <w:vMerge/>
          </w:tcPr>
          <w:p w:rsidR="00EC334F" w:rsidRPr="006E2C57" w:rsidRDefault="00EC334F" w:rsidP="00991AB0">
            <w:pPr>
              <w:pStyle w:val="naisf"/>
              <w:spacing w:before="0" w:after="0"/>
              <w:ind w:firstLine="0"/>
              <w:jc w:val="center"/>
              <w:rPr>
                <w:i/>
                <w:color w:val="000000" w:themeColor="text1"/>
              </w:rPr>
            </w:pPr>
          </w:p>
        </w:tc>
        <w:tc>
          <w:tcPr>
            <w:tcW w:w="703" w:type="pct"/>
          </w:tcPr>
          <w:p w:rsidR="00EC334F" w:rsidRPr="006E2C57" w:rsidRDefault="00EC334F" w:rsidP="00991AB0">
            <w:pPr>
              <w:pStyle w:val="naisf"/>
              <w:spacing w:before="0" w:after="0"/>
              <w:ind w:firstLine="0"/>
              <w:jc w:val="left"/>
              <w:rPr>
                <w:b/>
                <w:i/>
                <w:color w:val="000000" w:themeColor="text1"/>
              </w:rPr>
            </w:pPr>
          </w:p>
        </w:tc>
        <w:tc>
          <w:tcPr>
            <w:tcW w:w="749" w:type="pct"/>
          </w:tcPr>
          <w:p w:rsidR="00EC334F" w:rsidRPr="006E2C57" w:rsidRDefault="00EC334F" w:rsidP="00991AB0">
            <w:pPr>
              <w:pStyle w:val="naisf"/>
              <w:spacing w:before="0" w:after="0"/>
              <w:ind w:firstLine="0"/>
              <w:jc w:val="left"/>
              <w:rPr>
                <w:b/>
                <w:i/>
                <w:color w:val="000000" w:themeColor="text1"/>
              </w:rPr>
            </w:pPr>
          </w:p>
        </w:tc>
        <w:tc>
          <w:tcPr>
            <w:tcW w:w="749" w:type="pct"/>
          </w:tcPr>
          <w:p w:rsidR="00EC334F" w:rsidRPr="006E2C57" w:rsidRDefault="00EC334F" w:rsidP="00991AB0">
            <w:pPr>
              <w:pStyle w:val="naisf"/>
              <w:spacing w:before="0" w:after="0"/>
              <w:ind w:firstLine="0"/>
              <w:jc w:val="left"/>
              <w:rPr>
                <w:b/>
                <w:i/>
                <w:color w:val="000000" w:themeColor="text1"/>
              </w:rPr>
            </w:pPr>
          </w:p>
        </w:tc>
        <w:tc>
          <w:tcPr>
            <w:tcW w:w="748" w:type="pct"/>
          </w:tcPr>
          <w:p w:rsidR="00EC334F" w:rsidRPr="006E2C57" w:rsidRDefault="00EC334F" w:rsidP="00991AB0">
            <w:pPr>
              <w:pStyle w:val="naisf"/>
              <w:spacing w:before="0" w:after="0"/>
              <w:ind w:firstLine="0"/>
              <w:jc w:val="left"/>
              <w:rPr>
                <w:b/>
                <w:i/>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5. Precizēta finansiālā ietekme:</w:t>
            </w:r>
          </w:p>
        </w:tc>
        <w:tc>
          <w:tcPr>
            <w:tcW w:w="542" w:type="pct"/>
            <w:vMerge w:val="restart"/>
          </w:tcPr>
          <w:p w:rsidR="00EC334F" w:rsidRPr="006E2C57" w:rsidRDefault="00EC334F" w:rsidP="00991AB0">
            <w:pPr>
              <w:pStyle w:val="naisf"/>
              <w:spacing w:before="0" w:after="0"/>
              <w:ind w:firstLine="0"/>
              <w:jc w:val="center"/>
              <w:rPr>
                <w:i/>
                <w:color w:val="000000" w:themeColor="text1"/>
              </w:rPr>
            </w:pPr>
            <w:r w:rsidRPr="006E2C57">
              <w:rPr>
                <w:color w:val="000000" w:themeColor="text1"/>
              </w:rPr>
              <w:t>X</w:t>
            </w: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5.1. valsts pamatbudžets</w:t>
            </w:r>
          </w:p>
        </w:tc>
        <w:tc>
          <w:tcPr>
            <w:tcW w:w="542" w:type="pct"/>
            <w:vMerge/>
            <w:vAlign w:val="center"/>
          </w:tcPr>
          <w:p w:rsidR="00EC334F" w:rsidRPr="006E2C57" w:rsidRDefault="00EC334F" w:rsidP="00991AB0">
            <w:pPr>
              <w:pStyle w:val="naisf"/>
              <w:spacing w:before="0" w:after="0"/>
              <w:ind w:firstLine="0"/>
              <w:jc w:val="center"/>
              <w:rPr>
                <w:i/>
                <w:color w:val="000000" w:themeColor="text1"/>
              </w:rPr>
            </w:pPr>
          </w:p>
        </w:tc>
        <w:tc>
          <w:tcPr>
            <w:tcW w:w="703"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9"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c>
          <w:tcPr>
            <w:tcW w:w="748" w:type="pct"/>
          </w:tcPr>
          <w:p w:rsidR="00EC334F" w:rsidRPr="006E2C57" w:rsidRDefault="00EC334F" w:rsidP="00991AB0">
            <w:pPr>
              <w:pStyle w:val="naisf"/>
              <w:spacing w:before="0" w:after="0"/>
              <w:ind w:firstLine="0"/>
              <w:jc w:val="center"/>
              <w:rPr>
                <w:color w:val="000000" w:themeColor="text1"/>
              </w:rPr>
            </w:pPr>
            <w:r w:rsidRPr="006E2C57">
              <w:rPr>
                <w:color w:val="000000" w:themeColor="text1"/>
              </w:rPr>
              <w:t>0</w:t>
            </w: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5.2. speciālais budžets</w:t>
            </w:r>
          </w:p>
        </w:tc>
        <w:tc>
          <w:tcPr>
            <w:tcW w:w="542" w:type="pct"/>
            <w:vMerge/>
            <w:vAlign w:val="center"/>
          </w:tcPr>
          <w:p w:rsidR="00EC334F" w:rsidRPr="006E2C57" w:rsidRDefault="00EC334F" w:rsidP="00991AB0">
            <w:pPr>
              <w:pStyle w:val="naisf"/>
              <w:spacing w:before="0" w:after="0"/>
              <w:ind w:firstLine="0"/>
              <w:jc w:val="center"/>
              <w:rPr>
                <w:i/>
                <w:color w:val="000000" w:themeColor="text1"/>
              </w:rPr>
            </w:pPr>
          </w:p>
        </w:tc>
        <w:tc>
          <w:tcPr>
            <w:tcW w:w="703" w:type="pct"/>
          </w:tcPr>
          <w:p w:rsidR="00EC334F" w:rsidRPr="006E2C57" w:rsidRDefault="00EC334F" w:rsidP="00991AB0">
            <w:pPr>
              <w:pStyle w:val="naisf"/>
              <w:spacing w:before="0" w:after="0"/>
              <w:ind w:firstLine="0"/>
              <w:jc w:val="center"/>
              <w:rPr>
                <w:color w:val="000000" w:themeColor="text1"/>
              </w:rPr>
            </w:pPr>
          </w:p>
        </w:tc>
        <w:tc>
          <w:tcPr>
            <w:tcW w:w="749" w:type="pct"/>
          </w:tcPr>
          <w:p w:rsidR="00EC334F" w:rsidRPr="006E2C57" w:rsidRDefault="00EC334F" w:rsidP="00991AB0">
            <w:pPr>
              <w:pStyle w:val="naisf"/>
              <w:spacing w:before="0" w:after="0"/>
              <w:ind w:firstLine="0"/>
              <w:jc w:val="center"/>
              <w:rPr>
                <w:color w:val="000000" w:themeColor="text1"/>
              </w:rPr>
            </w:pPr>
          </w:p>
        </w:tc>
        <w:tc>
          <w:tcPr>
            <w:tcW w:w="749" w:type="pct"/>
          </w:tcPr>
          <w:p w:rsidR="00EC334F" w:rsidRPr="006E2C57" w:rsidRDefault="00EC334F" w:rsidP="00991AB0">
            <w:pPr>
              <w:pStyle w:val="naisf"/>
              <w:spacing w:before="0" w:after="0"/>
              <w:ind w:firstLine="0"/>
              <w:jc w:val="center"/>
              <w:rPr>
                <w:color w:val="000000" w:themeColor="text1"/>
              </w:rPr>
            </w:pPr>
          </w:p>
        </w:tc>
        <w:tc>
          <w:tcPr>
            <w:tcW w:w="748" w:type="pct"/>
          </w:tcPr>
          <w:p w:rsidR="00EC334F" w:rsidRPr="006E2C57" w:rsidRDefault="00EC334F" w:rsidP="00991AB0">
            <w:pPr>
              <w:pStyle w:val="naisf"/>
              <w:spacing w:before="0" w:after="0"/>
              <w:ind w:firstLine="0"/>
              <w:jc w:val="center"/>
              <w:rPr>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 xml:space="preserve">5.3. pašvaldību budžets </w:t>
            </w:r>
          </w:p>
        </w:tc>
        <w:tc>
          <w:tcPr>
            <w:tcW w:w="542" w:type="pct"/>
            <w:vMerge/>
            <w:vAlign w:val="center"/>
          </w:tcPr>
          <w:p w:rsidR="00EC334F" w:rsidRPr="006E2C57" w:rsidRDefault="00EC334F" w:rsidP="00991AB0">
            <w:pPr>
              <w:pStyle w:val="naisf"/>
              <w:spacing w:before="0" w:after="0"/>
              <w:ind w:firstLine="0"/>
              <w:jc w:val="center"/>
              <w:rPr>
                <w:i/>
                <w:color w:val="000000" w:themeColor="text1"/>
              </w:rPr>
            </w:pPr>
          </w:p>
        </w:tc>
        <w:tc>
          <w:tcPr>
            <w:tcW w:w="703" w:type="pct"/>
          </w:tcPr>
          <w:p w:rsidR="00EC334F" w:rsidRPr="006E2C57" w:rsidRDefault="00EC334F" w:rsidP="00991AB0">
            <w:pPr>
              <w:pStyle w:val="naisf"/>
              <w:spacing w:before="0" w:after="0"/>
              <w:ind w:firstLine="0"/>
              <w:jc w:val="center"/>
              <w:rPr>
                <w:color w:val="000000" w:themeColor="text1"/>
              </w:rPr>
            </w:pPr>
          </w:p>
        </w:tc>
        <w:tc>
          <w:tcPr>
            <w:tcW w:w="749" w:type="pct"/>
          </w:tcPr>
          <w:p w:rsidR="00EC334F" w:rsidRPr="006E2C57" w:rsidRDefault="00EC334F" w:rsidP="00991AB0">
            <w:pPr>
              <w:pStyle w:val="naisf"/>
              <w:spacing w:before="0" w:after="0"/>
              <w:ind w:firstLine="0"/>
              <w:jc w:val="center"/>
              <w:rPr>
                <w:color w:val="000000" w:themeColor="text1"/>
              </w:rPr>
            </w:pPr>
          </w:p>
        </w:tc>
        <w:tc>
          <w:tcPr>
            <w:tcW w:w="749" w:type="pct"/>
          </w:tcPr>
          <w:p w:rsidR="00EC334F" w:rsidRPr="006E2C57" w:rsidRDefault="00EC334F" w:rsidP="00991AB0">
            <w:pPr>
              <w:pStyle w:val="naisf"/>
              <w:spacing w:before="0" w:after="0"/>
              <w:ind w:firstLine="0"/>
              <w:jc w:val="center"/>
              <w:rPr>
                <w:color w:val="000000" w:themeColor="text1"/>
              </w:rPr>
            </w:pPr>
          </w:p>
        </w:tc>
        <w:tc>
          <w:tcPr>
            <w:tcW w:w="748" w:type="pct"/>
          </w:tcPr>
          <w:p w:rsidR="00EC334F" w:rsidRPr="006E2C57" w:rsidRDefault="00EC334F" w:rsidP="00991AB0">
            <w:pPr>
              <w:pStyle w:val="naisf"/>
              <w:spacing w:before="0" w:after="0"/>
              <w:ind w:firstLine="0"/>
              <w:jc w:val="center"/>
              <w:rPr>
                <w:color w:val="000000" w:themeColor="text1"/>
              </w:rPr>
            </w:pPr>
          </w:p>
        </w:tc>
      </w:tr>
      <w:tr w:rsidR="00EC334F" w:rsidRPr="006E2C57" w:rsidTr="00991AB0">
        <w:trPr>
          <w:trHeight w:val="2661"/>
          <w:jc w:val="center"/>
        </w:trPr>
        <w:tc>
          <w:tcPr>
            <w:tcW w:w="1509" w:type="pct"/>
          </w:tcPr>
          <w:p w:rsidR="00EC334F" w:rsidRPr="006E2C57" w:rsidRDefault="00EC334F" w:rsidP="00991AB0">
            <w:pPr>
              <w:jc w:val="both"/>
              <w:rPr>
                <w:color w:val="000000" w:themeColor="text1"/>
              </w:rPr>
            </w:pPr>
            <w:r w:rsidRPr="006E2C57">
              <w:rPr>
                <w:color w:val="000000" w:themeColor="text1"/>
              </w:rPr>
              <w:t>6. Detalizēts ieņēmumu un izdevu</w:t>
            </w:r>
            <w:r w:rsidRPr="006E2C57">
              <w:rPr>
                <w:color w:val="000000" w:themeColor="text1"/>
              </w:rPr>
              <w:softHyphen/>
              <w:t>mu aprēķins (ja nepieciešams, detalizētu ieņēmumu un izdevumu aprēķinu var pievienot anotācijas pielikumā):</w:t>
            </w:r>
          </w:p>
        </w:tc>
        <w:tc>
          <w:tcPr>
            <w:tcW w:w="3491" w:type="pct"/>
            <w:gridSpan w:val="5"/>
          </w:tcPr>
          <w:p w:rsidR="00EC334F" w:rsidRPr="006E2C57" w:rsidRDefault="00EC334F" w:rsidP="00991AB0">
            <w:pPr>
              <w:pStyle w:val="naisf"/>
              <w:spacing w:before="0" w:after="0"/>
              <w:ind w:firstLine="0"/>
              <w:rPr>
                <w:color w:val="000000" w:themeColor="text1"/>
              </w:rPr>
            </w:pPr>
          </w:p>
        </w:tc>
      </w:tr>
      <w:tr w:rsidR="00EC334F" w:rsidRPr="006E2C57" w:rsidTr="00991AB0">
        <w:trPr>
          <w:jc w:val="center"/>
        </w:trPr>
        <w:tc>
          <w:tcPr>
            <w:tcW w:w="1509" w:type="pct"/>
          </w:tcPr>
          <w:p w:rsidR="00EC334F" w:rsidRPr="006E2C57" w:rsidRDefault="00EC334F" w:rsidP="00991AB0">
            <w:pPr>
              <w:jc w:val="both"/>
              <w:rPr>
                <w:color w:val="000000" w:themeColor="text1"/>
              </w:rPr>
            </w:pPr>
            <w:r w:rsidRPr="006E2C57">
              <w:rPr>
                <w:color w:val="000000" w:themeColor="text1"/>
              </w:rPr>
              <w:t>7. Cita informācija</w:t>
            </w:r>
          </w:p>
        </w:tc>
        <w:tc>
          <w:tcPr>
            <w:tcW w:w="3491" w:type="pct"/>
            <w:gridSpan w:val="5"/>
          </w:tcPr>
          <w:p w:rsidR="00EC334F" w:rsidRPr="006E2C57" w:rsidRDefault="00EC334F" w:rsidP="00991AB0">
            <w:pPr>
              <w:pStyle w:val="naisf"/>
              <w:spacing w:before="0" w:after="0"/>
              <w:ind w:firstLine="0"/>
              <w:rPr>
                <w:color w:val="000000" w:themeColor="text1"/>
              </w:rPr>
            </w:pPr>
            <w:r w:rsidRPr="006E2C57">
              <w:rPr>
                <w:color w:val="000000" w:themeColor="text1"/>
              </w:rPr>
              <w:t>Projektam nav ietekmes uz valsts budžetu, jo tas neparedz veikt pārskaitījumus uz vai no valsts budžeta.</w:t>
            </w:r>
          </w:p>
        </w:tc>
      </w:tr>
    </w:tbl>
    <w:p w:rsidR="00EC334F" w:rsidRPr="006E2C57" w:rsidRDefault="00EC334F" w:rsidP="003E3492"/>
    <w:p w:rsidR="00EC334F" w:rsidRPr="006E2C57" w:rsidRDefault="00EC334F" w:rsidP="003E3492"/>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40"/>
        <w:gridCol w:w="2755"/>
        <w:gridCol w:w="5400"/>
      </w:tblGrid>
      <w:tr w:rsidR="003E3492" w:rsidRPr="006E2C57" w:rsidTr="0065284E">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nod"/>
            </w:pPr>
            <w:r w:rsidRPr="006E2C57">
              <w:t> V. Tiesību akta projekta atbilstība Latvijas Republikas starptautiskajām saistībām</w:t>
            </w:r>
          </w:p>
        </w:tc>
      </w:tr>
      <w:tr w:rsidR="003E3492" w:rsidRPr="006E2C57"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1.</w:t>
            </w:r>
          </w:p>
        </w:tc>
        <w:tc>
          <w:tcPr>
            <w:tcW w:w="2755"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Saistības pret Eiropas Savienību</w:t>
            </w:r>
          </w:p>
        </w:tc>
        <w:tc>
          <w:tcPr>
            <w:tcW w:w="5400" w:type="dxa"/>
            <w:tcBorders>
              <w:top w:val="outset" w:sz="6" w:space="0" w:color="auto"/>
              <w:left w:val="outset" w:sz="6" w:space="0" w:color="auto"/>
              <w:bottom w:val="outset" w:sz="6" w:space="0" w:color="auto"/>
              <w:right w:val="outset" w:sz="6" w:space="0" w:color="auto"/>
            </w:tcBorders>
          </w:tcPr>
          <w:p w:rsidR="003A0230" w:rsidRPr="006E2C57" w:rsidRDefault="00E10BDA" w:rsidP="007172F7">
            <w:pPr>
              <w:pStyle w:val="tv213"/>
              <w:numPr>
                <w:ilvl w:val="0"/>
                <w:numId w:val="29"/>
              </w:numPr>
              <w:jc w:val="both"/>
            </w:pPr>
            <w:r w:rsidRPr="006E2C57">
              <w:rPr>
                <w:rFonts w:cs="EUAlbertina"/>
                <w:bCs/>
                <w:color w:val="000000"/>
              </w:rPr>
              <w:t xml:space="preserve">Komisijas 2013.gada 19.februāra Regulas (ES) </w:t>
            </w:r>
            <w:proofErr w:type="spellStart"/>
            <w:r w:rsidRPr="006E2C57">
              <w:rPr>
                <w:rFonts w:cs="EUAlbertina"/>
                <w:bCs/>
                <w:color w:val="000000"/>
              </w:rPr>
              <w:t>Nr</w:t>
            </w:r>
            <w:proofErr w:type="spellEnd"/>
            <w:r w:rsidRPr="006E2C57">
              <w:rPr>
                <w:rFonts w:cs="EUAlbertina"/>
                <w:bCs/>
                <w:color w:val="000000"/>
              </w:rPr>
              <w:t>. 141/2013 ar ko attiecībā uz statistiku, kas balstīta uz Eiropas veselības apsekojuma (</w:t>
            </w:r>
            <w:r w:rsidRPr="006E2C57">
              <w:rPr>
                <w:rFonts w:cs="EUAlbertina"/>
                <w:bCs/>
                <w:i/>
                <w:iCs/>
                <w:color w:val="000000"/>
              </w:rPr>
              <w:t>EHIS</w:t>
            </w:r>
            <w:r w:rsidRPr="006E2C57">
              <w:rPr>
                <w:rFonts w:cs="EUAlbertina"/>
                <w:bCs/>
                <w:color w:val="000000"/>
              </w:rPr>
              <w:t xml:space="preserve">), īsteno Eiropas Parlamenta un Padomes Regulu (EK) </w:t>
            </w:r>
            <w:proofErr w:type="spellStart"/>
            <w:r w:rsidRPr="006E2C57">
              <w:rPr>
                <w:rFonts w:cs="EUAlbertina"/>
                <w:bCs/>
                <w:color w:val="000000"/>
              </w:rPr>
              <w:t>Nr</w:t>
            </w:r>
            <w:proofErr w:type="spellEnd"/>
            <w:r w:rsidRPr="006E2C57">
              <w:rPr>
                <w:rFonts w:cs="EUAlbertina"/>
                <w:bCs/>
                <w:color w:val="000000"/>
              </w:rPr>
              <w:t>. 1338/2008 attiecībā uz Kopienas statistiku par sabiedrības veselību un veselības aizsardzību un drošību darbā</w:t>
            </w:r>
            <w:r w:rsidR="007172F7" w:rsidRPr="006E2C57">
              <w:rPr>
                <w:rFonts w:cs="EUAlbertina"/>
                <w:bCs/>
                <w:color w:val="000000"/>
              </w:rPr>
              <w:t>.</w:t>
            </w:r>
          </w:p>
          <w:p w:rsidR="007172F7" w:rsidRPr="006E2C57" w:rsidRDefault="007172F7" w:rsidP="007172F7">
            <w:pPr>
              <w:pStyle w:val="tv213"/>
              <w:numPr>
                <w:ilvl w:val="0"/>
                <w:numId w:val="29"/>
              </w:numPr>
              <w:jc w:val="both"/>
            </w:pPr>
            <w:r w:rsidRPr="006E2C57">
              <w:t xml:space="preserve">Komisijas 2013.gada 7.februāra Regulas (ES) </w:t>
            </w:r>
            <w:proofErr w:type="spellStart"/>
            <w:r w:rsidRPr="006E2C57">
              <w:lastRenderedPageBreak/>
              <w:t>Nr</w:t>
            </w:r>
            <w:proofErr w:type="spellEnd"/>
            <w:r w:rsidRPr="006E2C57">
              <w:t xml:space="preserve">. 112/2013,  ar ko attiecībā uz to sekundāro mērķa mainīgo lielumu 2014. gada sarakstu, kuri attiecas uz materiālo nenodrošinātību, īsteno Eiropas Parlamenta un Padomes Regulu (EK) </w:t>
            </w:r>
            <w:proofErr w:type="spellStart"/>
            <w:r w:rsidRPr="006E2C57">
              <w:t>Nr</w:t>
            </w:r>
            <w:proofErr w:type="spellEnd"/>
            <w:r w:rsidRPr="006E2C57">
              <w:t>. 1177/2003 par Kopienas statistiku attiecībā uz ienākumiem un dzīves apstākļiem (EU-SILC) pielikums.</w:t>
            </w:r>
          </w:p>
          <w:p w:rsidR="00540B26" w:rsidRPr="006E2C57" w:rsidRDefault="00540B26" w:rsidP="00345ED8">
            <w:pPr>
              <w:pStyle w:val="tv213"/>
              <w:numPr>
                <w:ilvl w:val="0"/>
                <w:numId w:val="29"/>
              </w:numPr>
              <w:jc w:val="both"/>
            </w:pPr>
            <w:bookmarkStart w:id="2" w:name="content"/>
            <w:r w:rsidRPr="006E2C57">
              <w:rPr>
                <w:rStyle w:val="Strong"/>
                <w:b w:val="0"/>
              </w:rPr>
              <w:t xml:space="preserve">Komisijas 2012.gada 26.oktobra Īstenošanas regula (ES) </w:t>
            </w:r>
            <w:proofErr w:type="spellStart"/>
            <w:r w:rsidRPr="006E2C57">
              <w:rPr>
                <w:rStyle w:val="Strong"/>
                <w:b w:val="0"/>
              </w:rPr>
              <w:t>Nr</w:t>
            </w:r>
            <w:proofErr w:type="spellEnd"/>
            <w:r w:rsidRPr="006E2C57">
              <w:rPr>
                <w:rStyle w:val="Strong"/>
                <w:b w:val="0"/>
              </w:rPr>
              <w:t xml:space="preserve">. 995/2012, ar ko pieņem sīki izstrādātus noteikumus par to, kā īstenojams Eiropas Parlamenta un Padomes Lēmums </w:t>
            </w:r>
            <w:proofErr w:type="spellStart"/>
            <w:r w:rsidRPr="006E2C57">
              <w:rPr>
                <w:rStyle w:val="Strong"/>
                <w:b w:val="0"/>
              </w:rPr>
              <w:t>Nr</w:t>
            </w:r>
            <w:proofErr w:type="spellEnd"/>
            <w:r w:rsidRPr="006E2C57">
              <w:rPr>
                <w:rStyle w:val="Strong"/>
                <w:b w:val="0"/>
              </w:rPr>
              <w:t>. 1608/2003/EK par Kopienas zinātnes un tehnoloģijas statistikas izstrādāšanu un pilnveidošanu</w:t>
            </w:r>
            <w:bookmarkEnd w:id="2"/>
            <w:r w:rsidRPr="006E2C57">
              <w:rPr>
                <w:rStyle w:val="Strong"/>
                <w:b w:val="0"/>
              </w:rPr>
              <w:t>.</w:t>
            </w:r>
          </w:p>
        </w:tc>
      </w:tr>
      <w:tr w:rsidR="003E3492" w:rsidRPr="006E2C57"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lastRenderedPageBreak/>
              <w:t> 2.</w:t>
            </w:r>
          </w:p>
        </w:tc>
        <w:tc>
          <w:tcPr>
            <w:tcW w:w="2755"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Citas starptautiskās saistības</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59"/>
            </w:pPr>
            <w:r w:rsidRPr="006E2C57">
              <w:t> </w:t>
            </w:r>
            <w:r w:rsidRPr="006E2C57">
              <w:rPr>
                <w:bCs/>
              </w:rPr>
              <w:t>Projekts šo jomu neskar</w:t>
            </w:r>
          </w:p>
        </w:tc>
      </w:tr>
      <w:tr w:rsidR="003E3492" w:rsidRPr="006E2C57" w:rsidTr="0065284E">
        <w:trPr>
          <w:tblCellSpacing w:w="0" w:type="dxa"/>
        </w:trPr>
        <w:tc>
          <w:tcPr>
            <w:tcW w:w="104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3.</w:t>
            </w:r>
          </w:p>
        </w:tc>
        <w:tc>
          <w:tcPr>
            <w:tcW w:w="2755"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pPr>
            <w:r w:rsidRPr="006E2C57">
              <w:t> Cita informācija</w:t>
            </w:r>
          </w:p>
        </w:tc>
        <w:tc>
          <w:tcPr>
            <w:tcW w:w="5400" w:type="dxa"/>
            <w:tcBorders>
              <w:top w:val="outset" w:sz="6" w:space="0" w:color="auto"/>
              <w:left w:val="outset" w:sz="6" w:space="0" w:color="auto"/>
              <w:bottom w:val="outset" w:sz="6" w:space="0" w:color="auto"/>
              <w:right w:val="outset" w:sz="6" w:space="0" w:color="auto"/>
            </w:tcBorders>
          </w:tcPr>
          <w:p w:rsidR="003E3492" w:rsidRPr="006E2C57" w:rsidRDefault="003E3492" w:rsidP="0065284E">
            <w:pPr>
              <w:pStyle w:val="naiskr"/>
              <w:ind w:left="59"/>
              <w:jc w:val="both"/>
            </w:pPr>
            <w:r w:rsidRPr="006E2C57">
              <w:t xml:space="preserve"> Nav</w:t>
            </w:r>
          </w:p>
        </w:tc>
      </w:tr>
    </w:tbl>
    <w:p w:rsidR="003E3492" w:rsidRPr="006E2C57" w:rsidRDefault="003E3492" w:rsidP="003E3492"/>
    <w:tbl>
      <w:tblPr>
        <w:tblW w:w="965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4"/>
        <w:gridCol w:w="2764"/>
        <w:gridCol w:w="230"/>
        <w:gridCol w:w="2468"/>
        <w:gridCol w:w="2476"/>
        <w:gridCol w:w="1192"/>
        <w:gridCol w:w="305"/>
      </w:tblGrid>
      <w:tr w:rsidR="003E3492" w:rsidRPr="006E2C57" w:rsidTr="00702AB2">
        <w:trPr>
          <w:gridBefore w:val="1"/>
          <w:wBefore w:w="224" w:type="dxa"/>
          <w:trHeight w:val="523"/>
          <w:jc w:val="center"/>
        </w:trPr>
        <w:tc>
          <w:tcPr>
            <w:tcW w:w="9435" w:type="dxa"/>
            <w:gridSpan w:val="6"/>
            <w:vAlign w:val="center"/>
          </w:tcPr>
          <w:p w:rsidR="003E3492" w:rsidRPr="006E2C57" w:rsidRDefault="003E3492" w:rsidP="0065284E">
            <w:pPr>
              <w:pStyle w:val="naisnod"/>
              <w:spacing w:before="0" w:after="0"/>
            </w:pPr>
            <w:r w:rsidRPr="006E2C57">
              <w:t xml:space="preserve">1.tabula </w:t>
            </w:r>
          </w:p>
          <w:p w:rsidR="003E3492" w:rsidRPr="006E2C57" w:rsidRDefault="003E3492" w:rsidP="0065284E">
            <w:pPr>
              <w:pStyle w:val="naisnod"/>
              <w:spacing w:before="0" w:after="0"/>
              <w:rPr>
                <w:i/>
              </w:rPr>
            </w:pPr>
            <w:r w:rsidRPr="006E2C57">
              <w:t>Tiesību akta projekta atbilstība ES tiesību aktiem</w:t>
            </w:r>
          </w:p>
        </w:tc>
      </w:tr>
      <w:tr w:rsidR="003E3492" w:rsidRPr="006E2C57" w:rsidTr="00702AB2">
        <w:trPr>
          <w:gridBefore w:val="1"/>
          <w:wBefore w:w="224" w:type="dxa"/>
          <w:trHeight w:val="1058"/>
          <w:jc w:val="center"/>
        </w:trPr>
        <w:tc>
          <w:tcPr>
            <w:tcW w:w="2764" w:type="dxa"/>
            <w:vAlign w:val="center"/>
          </w:tcPr>
          <w:p w:rsidR="003E3492" w:rsidRPr="006E2C57" w:rsidRDefault="003E3492" w:rsidP="0065284E">
            <w:pPr>
              <w:pStyle w:val="naiskr"/>
              <w:spacing w:before="0" w:after="0"/>
              <w:ind w:hanging="10"/>
              <w:jc w:val="center"/>
            </w:pPr>
            <w:r w:rsidRPr="006E2C57">
              <w:t>Attiecīgā ES tiesību akta datums, numurs un nosaukums</w:t>
            </w:r>
          </w:p>
        </w:tc>
        <w:tc>
          <w:tcPr>
            <w:tcW w:w="6671" w:type="dxa"/>
            <w:gridSpan w:val="5"/>
            <w:vAlign w:val="center"/>
          </w:tcPr>
          <w:p w:rsidR="003E3492" w:rsidRPr="006E2C57" w:rsidRDefault="003E3492" w:rsidP="0065284E">
            <w:pPr>
              <w:pStyle w:val="naiskr"/>
              <w:spacing w:before="0" w:after="0"/>
              <w:jc w:val="center"/>
            </w:pPr>
            <w:r w:rsidRPr="006E2C57">
              <w:t>Aizpilda, ja ar projektu tiek pārņemts vai ieviests vairāk nekā viens ES tiesību akts – jānorāda tā pati informācija, kas prasīta instrukcijas 55.1.apakšpunktā un jau tikusi norādīta arī V sadaļas 1.punkta ietvaros</w:t>
            </w:r>
          </w:p>
        </w:tc>
      </w:tr>
      <w:tr w:rsidR="003E3492" w:rsidRPr="006E2C57" w:rsidTr="00702AB2">
        <w:trPr>
          <w:gridBefore w:val="1"/>
          <w:wBefore w:w="224" w:type="dxa"/>
          <w:trHeight w:val="163"/>
          <w:jc w:val="center"/>
        </w:trPr>
        <w:tc>
          <w:tcPr>
            <w:tcW w:w="9435" w:type="dxa"/>
            <w:gridSpan w:val="6"/>
            <w:vAlign w:val="center"/>
          </w:tcPr>
          <w:p w:rsidR="003E3492" w:rsidRPr="006E2C57" w:rsidRDefault="003E3492" w:rsidP="0065284E">
            <w:pPr>
              <w:pStyle w:val="naiskr"/>
              <w:spacing w:before="0" w:after="0"/>
              <w:jc w:val="center"/>
              <w:rPr>
                <w:bCs/>
                <w:iCs/>
              </w:rPr>
            </w:pPr>
          </w:p>
        </w:tc>
      </w:tr>
      <w:tr w:rsidR="003E3492" w:rsidRPr="006E2C57" w:rsidTr="00702AB2">
        <w:trPr>
          <w:gridBefore w:val="1"/>
          <w:wBefore w:w="224" w:type="dxa"/>
          <w:trHeight w:val="165"/>
          <w:jc w:val="center"/>
        </w:trPr>
        <w:tc>
          <w:tcPr>
            <w:tcW w:w="2764" w:type="dxa"/>
            <w:vAlign w:val="center"/>
          </w:tcPr>
          <w:p w:rsidR="003E3492" w:rsidRPr="006E2C57" w:rsidRDefault="003E3492" w:rsidP="0065284E">
            <w:pPr>
              <w:pStyle w:val="naiskr"/>
              <w:spacing w:before="0" w:after="0"/>
              <w:jc w:val="center"/>
            </w:pPr>
            <w:r w:rsidRPr="006E2C57">
              <w:t>A</w:t>
            </w:r>
          </w:p>
        </w:tc>
        <w:tc>
          <w:tcPr>
            <w:tcW w:w="2698" w:type="dxa"/>
            <w:gridSpan w:val="2"/>
            <w:vAlign w:val="center"/>
          </w:tcPr>
          <w:p w:rsidR="003E3492" w:rsidRPr="006E2C57" w:rsidRDefault="003E3492" w:rsidP="0065284E">
            <w:pPr>
              <w:pStyle w:val="naiskr"/>
              <w:spacing w:before="0" w:after="0"/>
              <w:jc w:val="center"/>
            </w:pPr>
            <w:r w:rsidRPr="006E2C57">
              <w:t>B</w:t>
            </w:r>
          </w:p>
        </w:tc>
        <w:tc>
          <w:tcPr>
            <w:tcW w:w="2476" w:type="dxa"/>
            <w:vAlign w:val="center"/>
          </w:tcPr>
          <w:p w:rsidR="003E3492" w:rsidRPr="006E2C57" w:rsidRDefault="003E3492" w:rsidP="0065284E">
            <w:pPr>
              <w:pStyle w:val="naiskr"/>
              <w:spacing w:before="0" w:after="0"/>
              <w:jc w:val="center"/>
            </w:pPr>
            <w:r w:rsidRPr="006E2C57">
              <w:t>C</w:t>
            </w:r>
          </w:p>
        </w:tc>
        <w:tc>
          <w:tcPr>
            <w:tcW w:w="1497" w:type="dxa"/>
            <w:gridSpan w:val="2"/>
            <w:vAlign w:val="center"/>
          </w:tcPr>
          <w:p w:rsidR="003E3492" w:rsidRPr="006E2C57" w:rsidRDefault="003E3492" w:rsidP="0065284E">
            <w:pPr>
              <w:pStyle w:val="naiskr"/>
              <w:spacing w:before="0" w:after="0"/>
              <w:jc w:val="center"/>
            </w:pPr>
            <w:r w:rsidRPr="006E2C57">
              <w:t>D</w:t>
            </w:r>
          </w:p>
        </w:tc>
      </w:tr>
      <w:tr w:rsidR="003E3492" w:rsidRPr="006E2C57" w:rsidTr="00702AB2">
        <w:trPr>
          <w:gridBefore w:val="1"/>
          <w:wBefore w:w="224" w:type="dxa"/>
          <w:trHeight w:val="4708"/>
          <w:jc w:val="center"/>
        </w:trPr>
        <w:tc>
          <w:tcPr>
            <w:tcW w:w="2764" w:type="dxa"/>
          </w:tcPr>
          <w:p w:rsidR="003E3492" w:rsidRPr="006E2C57" w:rsidRDefault="003E3492" w:rsidP="0065284E">
            <w:pPr>
              <w:pStyle w:val="naiskr"/>
              <w:spacing w:before="0" w:after="0"/>
              <w:jc w:val="both"/>
            </w:pPr>
            <w:r w:rsidRPr="006E2C57">
              <w:rPr>
                <w:color w:val="000000"/>
              </w:rPr>
              <w:t>Attiecīgā ES tiesību akta panta numurs (uzskaitot katru tiesību akta</w:t>
            </w:r>
            <w:r w:rsidRPr="006E2C57">
              <w:rPr>
                <w:color w:val="000000"/>
              </w:rPr>
              <w:br/>
              <w:t>vienību – pantu, daļu, punktu, apakšpunktu)</w:t>
            </w:r>
          </w:p>
        </w:tc>
        <w:tc>
          <w:tcPr>
            <w:tcW w:w="2698" w:type="dxa"/>
            <w:gridSpan w:val="2"/>
          </w:tcPr>
          <w:p w:rsidR="003E3492" w:rsidRPr="006E2C57" w:rsidRDefault="003E3492" w:rsidP="0065284E">
            <w:pPr>
              <w:pStyle w:val="naiskr"/>
              <w:spacing w:before="0" w:after="0"/>
              <w:jc w:val="both"/>
              <w:rPr>
                <w:u w:val="single"/>
              </w:rPr>
            </w:pPr>
            <w:r w:rsidRPr="006E2C57">
              <w:rPr>
                <w:color w:val="000000"/>
              </w:rPr>
              <w:t>Projekta vienība, kas pārņem vai ievieš katru šīs tabulas A ailē minēto ES tiesību akta vienību</w:t>
            </w:r>
          </w:p>
        </w:tc>
        <w:tc>
          <w:tcPr>
            <w:tcW w:w="2476" w:type="dxa"/>
          </w:tcPr>
          <w:p w:rsidR="003E3492" w:rsidRPr="006E2C57" w:rsidRDefault="003E3492" w:rsidP="0065284E">
            <w:pPr>
              <w:spacing w:before="100" w:beforeAutospacing="1" w:after="100" w:afterAutospacing="1"/>
              <w:jc w:val="both"/>
              <w:rPr>
                <w:color w:val="000000"/>
              </w:rPr>
            </w:pPr>
            <w:r w:rsidRPr="006E2C57">
              <w:rPr>
                <w:color w:val="000000"/>
              </w:rPr>
              <w:t>Informācija par to, vai šīs tabulas A ailē minētās ES tiesību akta vienības tiek pārņemtas vai ieviestas pilnībā vai daļēji.</w:t>
            </w:r>
          </w:p>
          <w:p w:rsidR="003E3492" w:rsidRPr="006E2C57" w:rsidRDefault="003E3492" w:rsidP="0065284E">
            <w:pPr>
              <w:spacing w:before="100" w:beforeAutospacing="1" w:after="100" w:afterAutospacing="1"/>
              <w:jc w:val="both"/>
              <w:rPr>
                <w:color w:val="000000"/>
              </w:rPr>
            </w:pPr>
            <w:r w:rsidRPr="006E2C57">
              <w:rPr>
                <w:color w:val="000000"/>
              </w:rPr>
              <w:t>Ja attiecīgā ES tiesību akta vienība tiek pārņemta vai ieviesta daļēji, – sniedz attiecīgu skaidrojumu, kā arī precīzi norāda, kad un kādā veidā ES tiesību akta vienība tiks pārņemta vai ieviesta pilnībā.</w:t>
            </w:r>
          </w:p>
          <w:p w:rsidR="003E3492" w:rsidRPr="006E2C57" w:rsidRDefault="003E3492" w:rsidP="0065284E">
            <w:pPr>
              <w:pStyle w:val="naiskr"/>
              <w:spacing w:before="0" w:after="0"/>
              <w:jc w:val="both"/>
            </w:pPr>
            <w:r w:rsidRPr="006E2C57">
              <w:rPr>
                <w:color w:val="000000"/>
              </w:rPr>
              <w:t>Norāda institūciju, kas ir atbildīga par šo saistību izpildi pilnībā</w:t>
            </w:r>
          </w:p>
        </w:tc>
        <w:tc>
          <w:tcPr>
            <w:tcW w:w="1497" w:type="dxa"/>
            <w:gridSpan w:val="2"/>
          </w:tcPr>
          <w:p w:rsidR="003E3492" w:rsidRPr="006E2C57" w:rsidRDefault="003E3492" w:rsidP="0065284E">
            <w:pPr>
              <w:spacing w:before="100" w:beforeAutospacing="1" w:after="100" w:afterAutospacing="1"/>
              <w:jc w:val="both"/>
              <w:rPr>
                <w:color w:val="000000"/>
              </w:rPr>
            </w:pPr>
            <w:r w:rsidRPr="006E2C57">
              <w:rPr>
                <w:color w:val="000000"/>
              </w:rPr>
              <w:t>Informācija par to, vai šīs tabulas B ailē minētās projekta vienības paredz stingrākas prasības nekā šīs tabulas A ailē minētās ES tiesību akta vienības.</w:t>
            </w:r>
          </w:p>
          <w:p w:rsidR="003E3492" w:rsidRPr="006E2C57" w:rsidRDefault="003E3492" w:rsidP="0065284E">
            <w:pPr>
              <w:spacing w:before="100" w:beforeAutospacing="1" w:after="100" w:afterAutospacing="1"/>
              <w:jc w:val="both"/>
              <w:rPr>
                <w:color w:val="000000"/>
              </w:rPr>
            </w:pPr>
            <w:r w:rsidRPr="006E2C57">
              <w:rPr>
                <w:color w:val="000000"/>
              </w:rPr>
              <w:t xml:space="preserve">Ja projekts satur stingrākas prasības nekā attiecīgais ES tiesību akts, – norāda pamatojumu </w:t>
            </w:r>
            <w:r w:rsidRPr="006E2C57">
              <w:rPr>
                <w:color w:val="000000"/>
              </w:rPr>
              <w:lastRenderedPageBreak/>
              <w:t>un samērīgumu.</w:t>
            </w:r>
          </w:p>
          <w:p w:rsidR="003E3492" w:rsidRPr="006E2C57" w:rsidRDefault="003E3492" w:rsidP="0065284E">
            <w:pPr>
              <w:pStyle w:val="naiskr"/>
              <w:spacing w:before="0" w:after="0"/>
              <w:jc w:val="both"/>
            </w:pPr>
            <w:r w:rsidRPr="006E2C57">
              <w:rPr>
                <w:color w:val="000000"/>
              </w:rPr>
              <w:t>Norāda iespējamās alternatīvas (</w:t>
            </w:r>
            <w:proofErr w:type="spellStart"/>
            <w:r w:rsidRPr="006E2C57">
              <w:rPr>
                <w:color w:val="000000"/>
              </w:rPr>
              <w:t>t.sk</w:t>
            </w:r>
            <w:proofErr w:type="spellEnd"/>
            <w:r w:rsidRPr="006E2C57">
              <w:rPr>
                <w:color w:val="000000"/>
              </w:rPr>
              <w:t>. alternatīvas, kas neparedz tiesiskā regulējuma izstrādi) – kādos gadījumos būtu iespējams izvairīties no stingrāku prasību noteikšanas, nekā paredzēts attiecīgajos ES tiesību aktos</w:t>
            </w:r>
          </w:p>
        </w:tc>
      </w:tr>
      <w:tr w:rsidR="00C121B3" w:rsidRPr="006E2C57" w:rsidTr="00702AB2">
        <w:trPr>
          <w:gridBefore w:val="1"/>
          <w:wBefore w:w="224" w:type="dxa"/>
          <w:trHeight w:val="191"/>
          <w:jc w:val="center"/>
        </w:trPr>
        <w:tc>
          <w:tcPr>
            <w:tcW w:w="2764" w:type="dxa"/>
            <w:vAlign w:val="center"/>
          </w:tcPr>
          <w:p w:rsidR="00C121B3" w:rsidRPr="006E2C57" w:rsidRDefault="00345ED8" w:rsidP="00345ED8">
            <w:pPr>
              <w:pStyle w:val="naiskr"/>
              <w:spacing w:before="0" w:after="0"/>
              <w:jc w:val="both"/>
            </w:pPr>
            <w:r w:rsidRPr="006E2C57">
              <w:rPr>
                <w:rStyle w:val="Strong"/>
                <w:b w:val="0"/>
              </w:rPr>
              <w:lastRenderedPageBreak/>
              <w:t xml:space="preserve">Komisijas 2012.gada 26.oktobra Īstenošanas regula (ES) </w:t>
            </w:r>
            <w:proofErr w:type="spellStart"/>
            <w:r w:rsidRPr="006E2C57">
              <w:rPr>
                <w:rStyle w:val="Strong"/>
                <w:b w:val="0"/>
              </w:rPr>
              <w:t>Nr</w:t>
            </w:r>
            <w:proofErr w:type="spellEnd"/>
            <w:r w:rsidRPr="006E2C57">
              <w:rPr>
                <w:rStyle w:val="Strong"/>
                <w:b w:val="0"/>
              </w:rPr>
              <w:t xml:space="preserve">. 995/2012, ar ko pieņem sīki izstrādātus noteikumus par to, kā īstenojams Eiropas Parlamenta un Padomes Lēmums </w:t>
            </w:r>
            <w:proofErr w:type="spellStart"/>
            <w:r w:rsidRPr="006E2C57">
              <w:rPr>
                <w:rStyle w:val="Strong"/>
                <w:b w:val="0"/>
              </w:rPr>
              <w:t>Nr</w:t>
            </w:r>
            <w:proofErr w:type="spellEnd"/>
            <w:r w:rsidRPr="006E2C57">
              <w:rPr>
                <w:rStyle w:val="Strong"/>
                <w:b w:val="0"/>
              </w:rPr>
              <w:t>. 1608/2003/EK par Kopienas zinātnes un tehnoloģijas statistikas izstrādāšanu un pilnveidošanu</w:t>
            </w:r>
            <w:r>
              <w:rPr>
                <w:rStyle w:val="Strong"/>
                <w:b w:val="0"/>
              </w:rPr>
              <w:t xml:space="preserve"> (turpmāk-Īstenošanas regula Nr.995/2012) 2.pants, </w:t>
            </w:r>
            <w:r>
              <w:rPr>
                <w:sz w:val="22"/>
                <w:szCs w:val="22"/>
              </w:rPr>
              <w:t>I un II pielikums.</w:t>
            </w:r>
          </w:p>
        </w:tc>
        <w:tc>
          <w:tcPr>
            <w:tcW w:w="2698" w:type="dxa"/>
            <w:gridSpan w:val="2"/>
            <w:vAlign w:val="center"/>
          </w:tcPr>
          <w:p w:rsidR="00C121B3" w:rsidRPr="006E2C57" w:rsidRDefault="00C121B3" w:rsidP="00345ED8">
            <w:pPr>
              <w:pStyle w:val="naiskr"/>
              <w:spacing w:before="0" w:after="0"/>
              <w:jc w:val="center"/>
              <w:rPr>
                <w:sz w:val="22"/>
                <w:szCs w:val="22"/>
              </w:rPr>
            </w:pPr>
            <w:r w:rsidRPr="006E2C57">
              <w:rPr>
                <w:sz w:val="22"/>
                <w:szCs w:val="22"/>
              </w:rPr>
              <w:t>1.1</w:t>
            </w:r>
            <w:r w:rsidR="00F32337">
              <w:rPr>
                <w:sz w:val="22"/>
                <w:szCs w:val="22"/>
              </w:rPr>
              <w:t>4</w:t>
            </w:r>
            <w:r w:rsidRPr="006E2C57">
              <w:rPr>
                <w:sz w:val="22"/>
                <w:szCs w:val="22"/>
              </w:rPr>
              <w:t>.</w:t>
            </w:r>
            <w:r w:rsidR="00F32337">
              <w:rPr>
                <w:sz w:val="22"/>
                <w:szCs w:val="22"/>
              </w:rPr>
              <w:t xml:space="preserve"> un 1.81.</w:t>
            </w:r>
            <w:r w:rsidRPr="006E2C57">
              <w:rPr>
                <w:sz w:val="22"/>
                <w:szCs w:val="22"/>
              </w:rPr>
              <w:t>apakšpunkts</w:t>
            </w:r>
          </w:p>
        </w:tc>
        <w:tc>
          <w:tcPr>
            <w:tcW w:w="2476" w:type="dxa"/>
            <w:vAlign w:val="center"/>
          </w:tcPr>
          <w:p w:rsidR="00C121B3" w:rsidRPr="006E2C57" w:rsidRDefault="00345ED8" w:rsidP="00345ED8">
            <w:pPr>
              <w:pStyle w:val="naiskr"/>
              <w:spacing w:before="0" w:after="0"/>
              <w:jc w:val="both"/>
              <w:rPr>
                <w:sz w:val="22"/>
                <w:szCs w:val="22"/>
              </w:rPr>
            </w:pPr>
            <w:r>
              <w:rPr>
                <w:sz w:val="22"/>
                <w:szCs w:val="22"/>
              </w:rPr>
              <w:t>Pilnībā n</w:t>
            </w:r>
            <w:r w:rsidR="00C121B3" w:rsidRPr="006E2C57">
              <w:rPr>
                <w:sz w:val="22"/>
                <w:szCs w:val="22"/>
              </w:rPr>
              <w:t>odrošina Īst</w:t>
            </w:r>
            <w:r>
              <w:rPr>
                <w:sz w:val="22"/>
                <w:szCs w:val="22"/>
              </w:rPr>
              <w:t xml:space="preserve">enošanas regulas Nr.995/2012 </w:t>
            </w:r>
            <w:r w:rsidR="00C121B3" w:rsidRPr="006E2C57">
              <w:rPr>
                <w:sz w:val="22"/>
                <w:szCs w:val="22"/>
              </w:rPr>
              <w:t>2.panta, I un II pielikuma prasību piemērošanu</w:t>
            </w:r>
            <w:r>
              <w:rPr>
                <w:sz w:val="22"/>
                <w:szCs w:val="22"/>
              </w:rPr>
              <w:t>.</w:t>
            </w:r>
          </w:p>
        </w:tc>
        <w:tc>
          <w:tcPr>
            <w:tcW w:w="1497" w:type="dxa"/>
            <w:gridSpan w:val="2"/>
            <w:vAlign w:val="center"/>
          </w:tcPr>
          <w:p w:rsidR="00C121B3" w:rsidRPr="006E2C57" w:rsidRDefault="00C121B3" w:rsidP="00345ED8">
            <w:pPr>
              <w:pStyle w:val="naiskr"/>
              <w:spacing w:before="0" w:after="0"/>
              <w:jc w:val="center"/>
              <w:rPr>
                <w:sz w:val="22"/>
                <w:szCs w:val="22"/>
              </w:rPr>
            </w:pPr>
            <w:r w:rsidRPr="006E2C57">
              <w:rPr>
                <w:sz w:val="22"/>
                <w:szCs w:val="22"/>
              </w:rPr>
              <w:t>NAV</w:t>
            </w:r>
          </w:p>
        </w:tc>
      </w:tr>
      <w:tr w:rsidR="00F915D8" w:rsidRPr="006E2C57" w:rsidTr="00702AB2">
        <w:trPr>
          <w:gridBefore w:val="1"/>
          <w:wBefore w:w="224" w:type="dxa"/>
          <w:trHeight w:val="191"/>
          <w:jc w:val="center"/>
        </w:trPr>
        <w:tc>
          <w:tcPr>
            <w:tcW w:w="2764" w:type="dxa"/>
            <w:vAlign w:val="center"/>
          </w:tcPr>
          <w:p w:rsidR="00F915D8" w:rsidRPr="006E2C57" w:rsidRDefault="00345ED8" w:rsidP="00345ED8">
            <w:pPr>
              <w:pStyle w:val="naiskr"/>
              <w:spacing w:before="0" w:after="0"/>
              <w:jc w:val="both"/>
              <w:rPr>
                <w:bCs/>
              </w:rPr>
            </w:pPr>
            <w:r w:rsidRPr="006E2C57">
              <w:rPr>
                <w:rFonts w:cs="EUAlbertina"/>
                <w:bCs/>
                <w:color w:val="000000"/>
              </w:rPr>
              <w:t xml:space="preserve">Komisijas 2013.gada 19.februāra Regulas (ES) </w:t>
            </w:r>
            <w:proofErr w:type="spellStart"/>
            <w:r w:rsidRPr="006E2C57">
              <w:rPr>
                <w:rFonts w:cs="EUAlbertina"/>
                <w:bCs/>
                <w:color w:val="000000"/>
              </w:rPr>
              <w:t>Nr</w:t>
            </w:r>
            <w:proofErr w:type="spellEnd"/>
            <w:r w:rsidRPr="006E2C57">
              <w:rPr>
                <w:rFonts w:cs="EUAlbertina"/>
                <w:bCs/>
                <w:color w:val="000000"/>
              </w:rPr>
              <w:t>. 141/2013 ar ko attiecībā uz statistiku, kas balstīta uz Eiropas veselības apsekojuma (</w:t>
            </w:r>
            <w:r w:rsidRPr="006E2C57">
              <w:rPr>
                <w:rFonts w:cs="EUAlbertina"/>
                <w:bCs/>
                <w:i/>
                <w:iCs/>
                <w:color w:val="000000"/>
              </w:rPr>
              <w:t>EHIS</w:t>
            </w:r>
            <w:r w:rsidRPr="006E2C57">
              <w:rPr>
                <w:rFonts w:cs="EUAlbertina"/>
                <w:bCs/>
                <w:color w:val="000000"/>
              </w:rPr>
              <w:t xml:space="preserve">), īsteno Eiropas Parlamenta un Padomes Regulu (EK) </w:t>
            </w:r>
            <w:proofErr w:type="spellStart"/>
            <w:r w:rsidRPr="006E2C57">
              <w:rPr>
                <w:rFonts w:cs="EUAlbertina"/>
                <w:bCs/>
                <w:color w:val="000000"/>
              </w:rPr>
              <w:t>Nr</w:t>
            </w:r>
            <w:proofErr w:type="spellEnd"/>
            <w:r w:rsidRPr="006E2C57">
              <w:rPr>
                <w:rFonts w:cs="EUAlbertina"/>
                <w:bCs/>
                <w:color w:val="000000"/>
              </w:rPr>
              <w:t>. 1338/2008 attiecībā uz Kopienas statistiku par sabiedrības veselību un veselības aizsardzību un drošību darbā</w:t>
            </w:r>
            <w:r>
              <w:rPr>
                <w:rFonts w:cs="EUAlbertina"/>
                <w:bCs/>
                <w:color w:val="000000"/>
              </w:rPr>
              <w:t xml:space="preserve"> (turpmāk-Komisijas Regula </w:t>
            </w:r>
            <w:r>
              <w:rPr>
                <w:rFonts w:cs="EUAlbertina"/>
                <w:bCs/>
                <w:color w:val="000000"/>
              </w:rPr>
              <w:lastRenderedPageBreak/>
              <w:t xml:space="preserve">Nr.141/2013) </w:t>
            </w:r>
            <w:r w:rsidR="00760FCC">
              <w:rPr>
                <w:rFonts w:cs="EUAlbertina"/>
                <w:bCs/>
                <w:color w:val="000000"/>
              </w:rPr>
              <w:t xml:space="preserve">3.panta 1.punkts un </w:t>
            </w:r>
            <w:r>
              <w:rPr>
                <w:rFonts w:cs="EUAlbertina"/>
                <w:bCs/>
                <w:color w:val="000000"/>
              </w:rPr>
              <w:t>I pielikums.</w:t>
            </w:r>
          </w:p>
        </w:tc>
        <w:tc>
          <w:tcPr>
            <w:tcW w:w="2698" w:type="dxa"/>
            <w:gridSpan w:val="2"/>
            <w:vAlign w:val="center"/>
          </w:tcPr>
          <w:p w:rsidR="00F915D8" w:rsidRPr="006E2C57" w:rsidRDefault="00C121B3" w:rsidP="00F32337">
            <w:pPr>
              <w:pStyle w:val="naiskr"/>
              <w:spacing w:before="0" w:after="0"/>
              <w:jc w:val="center"/>
              <w:rPr>
                <w:sz w:val="22"/>
                <w:szCs w:val="22"/>
              </w:rPr>
            </w:pPr>
            <w:r w:rsidRPr="006E2C57">
              <w:rPr>
                <w:sz w:val="22"/>
                <w:szCs w:val="22"/>
              </w:rPr>
              <w:lastRenderedPageBreak/>
              <w:t>1.</w:t>
            </w:r>
            <w:r w:rsidR="00075BA9">
              <w:rPr>
                <w:sz w:val="22"/>
                <w:szCs w:val="22"/>
              </w:rPr>
              <w:t>2</w:t>
            </w:r>
            <w:r w:rsidR="00F32337">
              <w:rPr>
                <w:sz w:val="22"/>
                <w:szCs w:val="22"/>
              </w:rPr>
              <w:t>2</w:t>
            </w:r>
            <w:r w:rsidRPr="006E2C57">
              <w:rPr>
                <w:sz w:val="22"/>
                <w:szCs w:val="22"/>
              </w:rPr>
              <w:t>.</w:t>
            </w:r>
            <w:r w:rsidR="00F32337">
              <w:rPr>
                <w:sz w:val="22"/>
                <w:szCs w:val="22"/>
              </w:rPr>
              <w:t xml:space="preserve"> un 1.67.</w:t>
            </w:r>
            <w:r w:rsidRPr="006E2C57">
              <w:rPr>
                <w:sz w:val="22"/>
                <w:szCs w:val="22"/>
              </w:rPr>
              <w:t>apakšpunkts</w:t>
            </w:r>
          </w:p>
        </w:tc>
        <w:tc>
          <w:tcPr>
            <w:tcW w:w="2476" w:type="dxa"/>
            <w:vAlign w:val="center"/>
          </w:tcPr>
          <w:p w:rsidR="00F915D8" w:rsidRPr="006E2C57" w:rsidRDefault="00345ED8" w:rsidP="00345ED8">
            <w:pPr>
              <w:pStyle w:val="naiskr"/>
              <w:spacing w:before="0" w:after="0"/>
              <w:jc w:val="both"/>
              <w:rPr>
                <w:sz w:val="22"/>
                <w:szCs w:val="22"/>
              </w:rPr>
            </w:pPr>
            <w:r>
              <w:rPr>
                <w:sz w:val="22"/>
                <w:szCs w:val="22"/>
              </w:rPr>
              <w:t>Pilnībā n</w:t>
            </w:r>
            <w:r w:rsidR="00E10BDA" w:rsidRPr="006E2C57">
              <w:rPr>
                <w:sz w:val="22"/>
                <w:szCs w:val="22"/>
              </w:rPr>
              <w:t xml:space="preserve">odrošina </w:t>
            </w:r>
            <w:r w:rsidR="00E10BDA" w:rsidRPr="006E2C57">
              <w:rPr>
                <w:rFonts w:cs="EUAlbertina"/>
                <w:bCs/>
                <w:color w:val="000000"/>
              </w:rPr>
              <w:t xml:space="preserve">Komisijas Regula Nr.141/2013 </w:t>
            </w:r>
            <w:r w:rsidR="00760FCC">
              <w:rPr>
                <w:rFonts w:cs="EUAlbertina"/>
                <w:bCs/>
                <w:color w:val="000000"/>
              </w:rPr>
              <w:t xml:space="preserve">3.panta 1.punkta un </w:t>
            </w:r>
            <w:r w:rsidR="00E10BDA" w:rsidRPr="006E2C57">
              <w:rPr>
                <w:rFonts w:cs="EUAlbertina"/>
                <w:bCs/>
                <w:color w:val="000000"/>
              </w:rPr>
              <w:t>I pielikuma prasību piemērošanu</w:t>
            </w:r>
            <w:r w:rsidR="00760FCC">
              <w:rPr>
                <w:rFonts w:cs="EUAlbertina"/>
                <w:bCs/>
                <w:color w:val="000000"/>
              </w:rPr>
              <w:t>.</w:t>
            </w:r>
          </w:p>
        </w:tc>
        <w:tc>
          <w:tcPr>
            <w:tcW w:w="1497" w:type="dxa"/>
            <w:gridSpan w:val="2"/>
            <w:vAlign w:val="center"/>
          </w:tcPr>
          <w:p w:rsidR="00F915D8" w:rsidRPr="006E2C57" w:rsidRDefault="00E10BDA" w:rsidP="00345ED8">
            <w:pPr>
              <w:pStyle w:val="naiskr"/>
              <w:spacing w:before="0" w:after="0"/>
              <w:jc w:val="center"/>
              <w:rPr>
                <w:sz w:val="22"/>
                <w:szCs w:val="22"/>
              </w:rPr>
            </w:pPr>
            <w:r w:rsidRPr="006E2C57">
              <w:rPr>
                <w:sz w:val="22"/>
                <w:szCs w:val="22"/>
              </w:rPr>
              <w:t>NAV</w:t>
            </w:r>
          </w:p>
        </w:tc>
      </w:tr>
      <w:tr w:rsidR="00296BFB" w:rsidRPr="006E2C57" w:rsidTr="00702AB2">
        <w:trPr>
          <w:gridBefore w:val="1"/>
          <w:wBefore w:w="224" w:type="dxa"/>
          <w:trHeight w:val="191"/>
          <w:jc w:val="center"/>
        </w:trPr>
        <w:tc>
          <w:tcPr>
            <w:tcW w:w="2764" w:type="dxa"/>
            <w:vAlign w:val="center"/>
          </w:tcPr>
          <w:p w:rsidR="00345ED8" w:rsidRPr="006E2C57" w:rsidRDefault="00345ED8" w:rsidP="00345ED8">
            <w:pPr>
              <w:pStyle w:val="tv213"/>
              <w:jc w:val="both"/>
            </w:pPr>
            <w:r w:rsidRPr="006E2C57">
              <w:lastRenderedPageBreak/>
              <w:t xml:space="preserve">Komisijas 2013.gada 7.februāra Regulas (ES) </w:t>
            </w:r>
            <w:proofErr w:type="spellStart"/>
            <w:r w:rsidRPr="006E2C57">
              <w:t>Nr</w:t>
            </w:r>
            <w:proofErr w:type="spellEnd"/>
            <w:r w:rsidRPr="006E2C57">
              <w:t xml:space="preserve">. 112/2013,  ar ko attiecībā uz to sekundāro mērķa mainīgo lielumu 2014. gada sarakstu, kuri attiecas uz materiālo nenodrošinātību, īsteno Eiropas Parlamenta un Padomes Regulu (EK) </w:t>
            </w:r>
            <w:proofErr w:type="spellStart"/>
            <w:r w:rsidRPr="006E2C57">
              <w:t>Nr</w:t>
            </w:r>
            <w:proofErr w:type="spellEnd"/>
            <w:r w:rsidRPr="006E2C57">
              <w:t>. 1177/2003 par Kopienas statistiku attiecībā uz ienākumiem un dzīves apstākļiem (EU-SILC) pielikums</w:t>
            </w:r>
            <w:r w:rsidR="00760FCC">
              <w:t xml:space="preserve"> (turpmāk-Komisijas Regula 112/2013)  </w:t>
            </w:r>
            <w:r w:rsidR="00760827">
              <w:t>P</w:t>
            </w:r>
            <w:r w:rsidR="00760FCC">
              <w:t>ielikums</w:t>
            </w:r>
            <w:r w:rsidRPr="006E2C57">
              <w:t>.</w:t>
            </w:r>
          </w:p>
          <w:p w:rsidR="00296BFB" w:rsidRPr="006E2C57" w:rsidRDefault="00296BFB" w:rsidP="0065284E">
            <w:pPr>
              <w:pStyle w:val="naiskr"/>
              <w:spacing w:before="0" w:after="0"/>
              <w:jc w:val="center"/>
              <w:rPr>
                <w:rStyle w:val="Strong"/>
                <w:b w:val="0"/>
              </w:rPr>
            </w:pPr>
          </w:p>
        </w:tc>
        <w:tc>
          <w:tcPr>
            <w:tcW w:w="2698" w:type="dxa"/>
            <w:gridSpan w:val="2"/>
            <w:vAlign w:val="center"/>
          </w:tcPr>
          <w:p w:rsidR="00296BFB" w:rsidRPr="006E2C57" w:rsidRDefault="00C121B3" w:rsidP="00F32337">
            <w:pPr>
              <w:pStyle w:val="naiskr"/>
              <w:spacing w:before="0" w:after="0"/>
              <w:jc w:val="center"/>
              <w:rPr>
                <w:sz w:val="22"/>
                <w:szCs w:val="22"/>
              </w:rPr>
            </w:pPr>
            <w:r w:rsidRPr="006E2C57">
              <w:rPr>
                <w:sz w:val="22"/>
                <w:szCs w:val="22"/>
              </w:rPr>
              <w:t>1.2</w:t>
            </w:r>
            <w:r w:rsidR="00F32337">
              <w:rPr>
                <w:sz w:val="22"/>
                <w:szCs w:val="22"/>
              </w:rPr>
              <w:t>4</w:t>
            </w:r>
            <w:r w:rsidRPr="006E2C57">
              <w:rPr>
                <w:sz w:val="22"/>
                <w:szCs w:val="22"/>
              </w:rPr>
              <w:t>.</w:t>
            </w:r>
            <w:r w:rsidR="00F32337">
              <w:rPr>
                <w:sz w:val="22"/>
                <w:szCs w:val="22"/>
              </w:rPr>
              <w:t xml:space="preserve"> un 1.83.</w:t>
            </w:r>
            <w:r w:rsidRPr="006E2C57">
              <w:rPr>
                <w:sz w:val="22"/>
                <w:szCs w:val="22"/>
              </w:rPr>
              <w:t>apakšpunkts</w:t>
            </w:r>
          </w:p>
        </w:tc>
        <w:tc>
          <w:tcPr>
            <w:tcW w:w="2476" w:type="dxa"/>
            <w:vAlign w:val="center"/>
          </w:tcPr>
          <w:p w:rsidR="00296BFB" w:rsidRPr="006E2C57" w:rsidRDefault="00DF249B" w:rsidP="00760827">
            <w:pPr>
              <w:pStyle w:val="naiskr"/>
              <w:spacing w:before="0" w:after="0"/>
              <w:jc w:val="both"/>
              <w:rPr>
                <w:sz w:val="22"/>
                <w:szCs w:val="22"/>
              </w:rPr>
            </w:pPr>
            <w:r>
              <w:rPr>
                <w:sz w:val="22"/>
                <w:szCs w:val="22"/>
              </w:rPr>
              <w:t>Pilnībā n</w:t>
            </w:r>
            <w:r w:rsidR="00E6479C" w:rsidRPr="006E2C57">
              <w:rPr>
                <w:sz w:val="22"/>
                <w:szCs w:val="22"/>
              </w:rPr>
              <w:t>odrošina Komisijas Regulas 112/2013 Pielikuma prasību piemērošanu</w:t>
            </w:r>
          </w:p>
        </w:tc>
        <w:tc>
          <w:tcPr>
            <w:tcW w:w="1497" w:type="dxa"/>
            <w:gridSpan w:val="2"/>
            <w:vAlign w:val="center"/>
          </w:tcPr>
          <w:p w:rsidR="00296BFB" w:rsidRPr="006E2C57" w:rsidRDefault="00E6479C" w:rsidP="0065284E">
            <w:pPr>
              <w:pStyle w:val="naiskr"/>
              <w:spacing w:before="0" w:after="0"/>
              <w:jc w:val="center"/>
              <w:rPr>
                <w:sz w:val="22"/>
                <w:szCs w:val="22"/>
              </w:rPr>
            </w:pPr>
            <w:r w:rsidRPr="006E2C57">
              <w:rPr>
                <w:sz w:val="22"/>
                <w:szCs w:val="22"/>
              </w:rPr>
              <w:t>NAV</w:t>
            </w:r>
          </w:p>
        </w:tc>
      </w:tr>
      <w:tr w:rsidR="003E3492" w:rsidRPr="006E2C57" w:rsidTr="00702AB2">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305" w:type="dxa"/>
        </w:trPr>
        <w:tc>
          <w:tcPr>
            <w:tcW w:w="3218" w:type="dxa"/>
            <w:gridSpan w:val="3"/>
            <w:tcBorders>
              <w:top w:val="outset" w:sz="6" w:space="0" w:color="auto"/>
              <w:bottom w:val="outset" w:sz="6" w:space="0" w:color="auto"/>
              <w:right w:val="outset" w:sz="6" w:space="0" w:color="auto"/>
            </w:tcBorders>
          </w:tcPr>
          <w:p w:rsidR="003E3492" w:rsidRPr="006E2C57" w:rsidRDefault="003E3492" w:rsidP="0065284E">
            <w:r w:rsidRPr="006E2C57">
              <w:t xml:space="preserve">Kā ir izmantota ES tiesību aktā paredzētā rīcības brīvība dalībvalstij pārņemt vai ieviest noteiktas ES tiesību akta normas? </w:t>
            </w:r>
          </w:p>
          <w:p w:rsidR="003E3492" w:rsidRPr="006E2C57" w:rsidRDefault="003E3492" w:rsidP="0065284E">
            <w:pPr>
              <w:spacing w:before="68" w:after="68"/>
              <w:ind w:firstLine="340"/>
              <w:jc w:val="both"/>
            </w:pPr>
            <w:r w:rsidRPr="006E2C57">
              <w:t>Kādēļ?</w:t>
            </w:r>
          </w:p>
        </w:tc>
        <w:tc>
          <w:tcPr>
            <w:tcW w:w="6136" w:type="dxa"/>
            <w:gridSpan w:val="3"/>
            <w:tcBorders>
              <w:top w:val="outset" w:sz="6" w:space="0" w:color="auto"/>
              <w:left w:val="outset" w:sz="6" w:space="0" w:color="auto"/>
              <w:bottom w:val="outset" w:sz="6" w:space="0" w:color="auto"/>
            </w:tcBorders>
          </w:tcPr>
          <w:p w:rsidR="003E3492" w:rsidRPr="006E2C57" w:rsidRDefault="003E3492" w:rsidP="00D945AC">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pPr>
          </w:p>
        </w:tc>
      </w:tr>
      <w:tr w:rsidR="003E3492" w:rsidRPr="006E2C57" w:rsidTr="00702AB2">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305" w:type="dxa"/>
        </w:trPr>
        <w:tc>
          <w:tcPr>
            <w:tcW w:w="3218" w:type="dxa"/>
            <w:gridSpan w:val="3"/>
            <w:tcBorders>
              <w:top w:val="outset" w:sz="6" w:space="0" w:color="auto"/>
              <w:bottom w:val="outset" w:sz="6" w:space="0" w:color="auto"/>
              <w:right w:val="outset" w:sz="6" w:space="0" w:color="auto"/>
            </w:tcBorders>
          </w:tcPr>
          <w:p w:rsidR="003E3492" w:rsidRPr="006E2C57" w:rsidRDefault="003E3492" w:rsidP="0065284E">
            <w:r w:rsidRPr="006E2C5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6" w:type="dxa"/>
            <w:gridSpan w:val="3"/>
            <w:tcBorders>
              <w:top w:val="outset" w:sz="6" w:space="0" w:color="auto"/>
              <w:left w:val="outset" w:sz="6" w:space="0" w:color="auto"/>
              <w:bottom w:val="outset" w:sz="6" w:space="0" w:color="auto"/>
            </w:tcBorders>
          </w:tcPr>
          <w:p w:rsidR="003E3492" w:rsidRPr="006E2C57" w:rsidRDefault="003E3492" w:rsidP="0065284E">
            <w:pPr>
              <w:ind w:firstLine="111"/>
            </w:pPr>
            <w:r w:rsidRPr="006E2C57">
              <w:rPr>
                <w:bCs/>
              </w:rPr>
              <w:t>Projekts šo jomu neskar</w:t>
            </w:r>
          </w:p>
        </w:tc>
      </w:tr>
      <w:tr w:rsidR="003E3492" w:rsidRPr="006E2C57" w:rsidTr="00702AB2">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305" w:type="dxa"/>
        </w:trPr>
        <w:tc>
          <w:tcPr>
            <w:tcW w:w="3218" w:type="dxa"/>
            <w:gridSpan w:val="3"/>
            <w:tcBorders>
              <w:top w:val="outset" w:sz="6" w:space="0" w:color="auto"/>
              <w:bottom w:val="outset" w:sz="6" w:space="0" w:color="auto"/>
              <w:right w:val="outset" w:sz="6" w:space="0" w:color="auto"/>
            </w:tcBorders>
          </w:tcPr>
          <w:p w:rsidR="003E3492" w:rsidRPr="006E2C57" w:rsidRDefault="003E3492" w:rsidP="0065284E">
            <w:r w:rsidRPr="006E2C57">
              <w:t>Cita informācija</w:t>
            </w:r>
          </w:p>
        </w:tc>
        <w:tc>
          <w:tcPr>
            <w:tcW w:w="6136" w:type="dxa"/>
            <w:gridSpan w:val="3"/>
            <w:tcBorders>
              <w:top w:val="outset" w:sz="6" w:space="0" w:color="auto"/>
              <w:left w:val="outset" w:sz="6" w:space="0" w:color="auto"/>
              <w:bottom w:val="outset" w:sz="6" w:space="0" w:color="auto"/>
            </w:tcBorders>
          </w:tcPr>
          <w:p w:rsidR="003E3492" w:rsidRPr="006E2C57" w:rsidRDefault="003E3492" w:rsidP="0065284E">
            <w:pPr>
              <w:spacing w:before="68" w:after="68"/>
              <w:ind w:firstLine="111"/>
              <w:jc w:val="both"/>
            </w:pPr>
            <w:r w:rsidRPr="006E2C57">
              <w:t>Nav</w:t>
            </w:r>
          </w:p>
        </w:tc>
      </w:tr>
    </w:tbl>
    <w:p w:rsidR="003E3492" w:rsidRPr="006E2C57" w:rsidRDefault="003E3492" w:rsidP="003E3492"/>
    <w:tbl>
      <w:tblPr>
        <w:tblW w:w="5035" w:type="pct"/>
        <w:tblInd w:w="-9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65"/>
        <w:gridCol w:w="219"/>
        <w:gridCol w:w="3259"/>
        <w:gridCol w:w="774"/>
        <w:gridCol w:w="4678"/>
      </w:tblGrid>
      <w:tr w:rsidR="003E3492" w:rsidRPr="006E2C57" w:rsidTr="00E6006C">
        <w:trPr>
          <w:gridBefore w:val="1"/>
          <w:wBefore w:w="144" w:type="pct"/>
          <w:trHeight w:val="15"/>
        </w:trPr>
        <w:tc>
          <w:tcPr>
            <w:tcW w:w="4856" w:type="pct"/>
            <w:gridSpan w:val="4"/>
            <w:tcBorders>
              <w:top w:val="outset" w:sz="6" w:space="0" w:color="auto"/>
              <w:bottom w:val="outset" w:sz="6" w:space="0" w:color="auto"/>
            </w:tcBorders>
            <w:vAlign w:val="center"/>
          </w:tcPr>
          <w:p w:rsidR="003E3492" w:rsidRPr="006E2C57" w:rsidRDefault="003E3492" w:rsidP="0065284E">
            <w:pPr>
              <w:spacing w:before="68" w:after="68" w:line="15" w:lineRule="atLeast"/>
              <w:jc w:val="center"/>
            </w:pPr>
            <w:r w:rsidRPr="006E2C57">
              <w:rPr>
                <w:b/>
                <w:bCs/>
              </w:rPr>
              <w:t>2.tabula</w:t>
            </w:r>
            <w:r w:rsidRPr="006E2C57">
              <w:rPr>
                <w:b/>
                <w:bCs/>
              </w:rPr>
              <w:br/>
              <w:t>Ar tiesību akta projektu izpildītās vai uzņemtās saistības, kas izriet no starptautiskajiem tiesību aktiem vai starptautiskas institūcijas vai organizācijas dokumentiem.</w:t>
            </w:r>
            <w:r w:rsidRPr="006E2C57">
              <w:rPr>
                <w:b/>
                <w:bCs/>
              </w:rPr>
              <w:br/>
              <w:t>Pasākumi šo saistību izpildei</w:t>
            </w:r>
          </w:p>
        </w:tc>
      </w:tr>
      <w:tr w:rsidR="003E3492" w:rsidRPr="006E2C57" w:rsidTr="00E6006C">
        <w:trPr>
          <w:gridBefore w:val="1"/>
          <w:wBefore w:w="144" w:type="pct"/>
          <w:trHeight w:val="15"/>
        </w:trPr>
        <w:tc>
          <w:tcPr>
            <w:tcW w:w="2312" w:type="pct"/>
            <w:gridSpan w:val="3"/>
            <w:tcBorders>
              <w:top w:val="outset" w:sz="6" w:space="0" w:color="auto"/>
              <w:bottom w:val="outset" w:sz="6" w:space="0" w:color="auto"/>
              <w:right w:val="outset" w:sz="6" w:space="0" w:color="auto"/>
            </w:tcBorders>
            <w:vAlign w:val="center"/>
          </w:tcPr>
          <w:p w:rsidR="003E3492" w:rsidRPr="006E2C57" w:rsidRDefault="003E3492" w:rsidP="0065284E">
            <w:pPr>
              <w:spacing w:line="15" w:lineRule="atLeast"/>
            </w:pPr>
            <w:r w:rsidRPr="006E2C57">
              <w:t>Attiecīgā starptautiskā tiesību akta vai starptautiskas institūcijas vai organizācijas dokumenta (turpmāk – starptautiskais dokuments) datums, numurs un nosaukums</w:t>
            </w:r>
          </w:p>
        </w:tc>
        <w:tc>
          <w:tcPr>
            <w:tcW w:w="2544" w:type="pct"/>
            <w:tcBorders>
              <w:top w:val="outset" w:sz="6" w:space="0" w:color="auto"/>
              <w:left w:val="outset" w:sz="6" w:space="0" w:color="auto"/>
              <w:bottom w:val="outset" w:sz="6" w:space="0" w:color="auto"/>
            </w:tcBorders>
          </w:tcPr>
          <w:p w:rsidR="003E3492" w:rsidRPr="006E2C57" w:rsidRDefault="003E3492" w:rsidP="0065284E">
            <w:pPr>
              <w:spacing w:line="15" w:lineRule="atLeast"/>
              <w:ind w:firstLine="111"/>
            </w:pPr>
            <w:r w:rsidRPr="006E2C57">
              <w:rPr>
                <w:bCs/>
              </w:rPr>
              <w:t>Projekts šo jomu neskar</w:t>
            </w:r>
          </w:p>
        </w:tc>
      </w:tr>
      <w:tr w:rsidR="003E3492" w:rsidRPr="006E2C57" w:rsidTr="00E6006C">
        <w:trPr>
          <w:gridBefore w:val="1"/>
          <w:wBefore w:w="144" w:type="pct"/>
          <w:trHeight w:val="15"/>
        </w:trPr>
        <w:tc>
          <w:tcPr>
            <w:tcW w:w="2312" w:type="pct"/>
            <w:gridSpan w:val="3"/>
            <w:tcBorders>
              <w:top w:val="outset" w:sz="6" w:space="0" w:color="auto"/>
              <w:bottom w:val="outset" w:sz="6" w:space="0" w:color="auto"/>
              <w:right w:val="outset" w:sz="6" w:space="0" w:color="auto"/>
            </w:tcBorders>
          </w:tcPr>
          <w:p w:rsidR="003E3492" w:rsidRPr="006E2C57" w:rsidRDefault="003E3492" w:rsidP="0065284E">
            <w:pPr>
              <w:spacing w:line="15" w:lineRule="atLeast"/>
            </w:pPr>
            <w:r w:rsidRPr="006E2C57">
              <w:t xml:space="preserve">Vai starptautiskajā dokumentā paredzētās saistības nav pretrunā ar jau esošajām </w:t>
            </w:r>
            <w:r w:rsidRPr="006E2C57">
              <w:lastRenderedPageBreak/>
              <w:t>Latvijas Republikas starptautiskajām saistībām</w:t>
            </w:r>
          </w:p>
        </w:tc>
        <w:tc>
          <w:tcPr>
            <w:tcW w:w="2544" w:type="pct"/>
            <w:tcBorders>
              <w:top w:val="outset" w:sz="6" w:space="0" w:color="auto"/>
              <w:left w:val="outset" w:sz="6" w:space="0" w:color="auto"/>
              <w:bottom w:val="outset" w:sz="6" w:space="0" w:color="auto"/>
            </w:tcBorders>
          </w:tcPr>
          <w:p w:rsidR="003E3492" w:rsidRPr="006E2C57" w:rsidRDefault="003E3492" w:rsidP="0065284E">
            <w:pPr>
              <w:spacing w:line="15" w:lineRule="atLeast"/>
              <w:ind w:firstLine="111"/>
            </w:pPr>
            <w:r w:rsidRPr="006E2C57">
              <w:rPr>
                <w:bCs/>
              </w:rPr>
              <w:lastRenderedPageBreak/>
              <w:t>Projekts šo jomu neskar</w:t>
            </w:r>
          </w:p>
        </w:tc>
      </w:tr>
      <w:tr w:rsidR="003E3492" w:rsidRPr="006E2C57" w:rsidTr="00E6006C">
        <w:trPr>
          <w:gridBefore w:val="1"/>
          <w:wBefore w:w="144" w:type="pct"/>
          <w:trHeight w:val="15"/>
        </w:trPr>
        <w:tc>
          <w:tcPr>
            <w:tcW w:w="2312" w:type="pct"/>
            <w:gridSpan w:val="3"/>
            <w:tcBorders>
              <w:top w:val="outset" w:sz="6" w:space="0" w:color="auto"/>
              <w:bottom w:val="outset" w:sz="6" w:space="0" w:color="auto"/>
              <w:right w:val="outset" w:sz="6" w:space="0" w:color="auto"/>
            </w:tcBorders>
          </w:tcPr>
          <w:p w:rsidR="003E3492" w:rsidRPr="006E2C57" w:rsidRDefault="003E3492" w:rsidP="0065284E">
            <w:pPr>
              <w:spacing w:line="15" w:lineRule="atLeast"/>
            </w:pPr>
            <w:r w:rsidRPr="006E2C57">
              <w:lastRenderedPageBreak/>
              <w:t>Cita informācija</w:t>
            </w:r>
          </w:p>
        </w:tc>
        <w:tc>
          <w:tcPr>
            <w:tcW w:w="2544" w:type="pct"/>
            <w:tcBorders>
              <w:top w:val="outset" w:sz="6" w:space="0" w:color="auto"/>
              <w:left w:val="outset" w:sz="6" w:space="0" w:color="auto"/>
              <w:bottom w:val="outset" w:sz="6" w:space="0" w:color="auto"/>
            </w:tcBorders>
          </w:tcPr>
          <w:p w:rsidR="003E3492" w:rsidRPr="006E2C57" w:rsidRDefault="003E3492" w:rsidP="0065284E">
            <w:pPr>
              <w:spacing w:before="68" w:after="68" w:line="15" w:lineRule="atLeast"/>
              <w:ind w:firstLine="111"/>
              <w:jc w:val="both"/>
            </w:pPr>
            <w:r w:rsidRPr="006E2C57">
              <w:t>Nav</w:t>
            </w:r>
          </w:p>
        </w:tc>
      </w:tr>
      <w:tr w:rsidR="003E3492" w:rsidRPr="006E2C57" w:rsidTr="00E6006C">
        <w:tblPrEx>
          <w:tblCellSpacing w:w="0" w:type="dxa"/>
          <w:tblCellMar>
            <w:top w:w="0" w:type="dxa"/>
            <w:left w:w="0" w:type="dxa"/>
            <w:bottom w:w="0" w:type="dxa"/>
            <w:right w:w="0" w:type="dxa"/>
          </w:tblCellMar>
        </w:tblPrEx>
        <w:trPr>
          <w:tblCellSpacing w:w="0" w:type="dxa"/>
        </w:trPr>
        <w:tc>
          <w:tcPr>
            <w:tcW w:w="5000" w:type="pct"/>
            <w:gridSpan w:val="5"/>
            <w:tcBorders>
              <w:top w:val="outset" w:sz="6" w:space="0" w:color="auto"/>
              <w:bottom w:val="outset" w:sz="6" w:space="0" w:color="auto"/>
            </w:tcBorders>
          </w:tcPr>
          <w:p w:rsidR="003E3492" w:rsidRPr="006E2C57" w:rsidRDefault="003E3492" w:rsidP="0065284E">
            <w:pPr>
              <w:spacing w:before="75" w:after="75"/>
              <w:jc w:val="center"/>
              <w:rPr>
                <w:b/>
                <w:bCs/>
              </w:rPr>
            </w:pPr>
            <w:r w:rsidRPr="006E2C57">
              <w:rPr>
                <w:b/>
                <w:bCs/>
              </w:rPr>
              <w:t>VII. Tiesību akta projekta izpildes nodrošināšana un tās ietekme uz institūcijām</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1.</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pPr>
            <w:r w:rsidRPr="006E2C57">
              <w:t>Projekta izpildē iesaistītās institūcijas</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pPr>
            <w:r w:rsidRPr="006E2C57">
              <w:t>Centrālā statistikas pārvalde.</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2.</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pPr>
            <w:r w:rsidRPr="006E2C57">
              <w:t>Projekta izpildes ietekme uz pārvaldes funkcijām</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jc w:val="both"/>
            </w:pPr>
            <w:r w:rsidRPr="006E2C57">
              <w:rPr>
                <w:color w:val="000000"/>
              </w:rPr>
              <w:t xml:space="preserve">MK noteikumu projekts nemaina CSP kompetenci un funkcijas.  </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3.</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pPr>
            <w:r w:rsidRPr="006E2C57">
              <w:t>Projekta izpildes ietekme uz pārvaldes institucionālo struktūru.</w:t>
            </w:r>
          </w:p>
          <w:p w:rsidR="003E3492" w:rsidRPr="006E2C57" w:rsidRDefault="003E3492" w:rsidP="0065284E">
            <w:pPr>
              <w:spacing w:before="75"/>
            </w:pPr>
            <w:r w:rsidRPr="006E2C57">
              <w:t>Jaunu institūciju izveide</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pPr>
            <w:r w:rsidRPr="006E2C57">
              <w:rPr>
                <w:color w:val="000000"/>
              </w:rPr>
              <w:t>Jaunu institūciju izveide netiek paredzēta.</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4.</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pPr>
            <w:r w:rsidRPr="006E2C57">
              <w:t>Projekta izpildes ietekme uz pārvaldes institucionālo struktūru.</w:t>
            </w:r>
          </w:p>
          <w:p w:rsidR="003E3492" w:rsidRPr="006E2C57" w:rsidRDefault="003E3492" w:rsidP="0065284E">
            <w:pPr>
              <w:spacing w:before="75"/>
            </w:pPr>
            <w:r w:rsidRPr="006E2C57">
              <w:t>Esošu institūciju likvidācija</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pPr>
            <w:r w:rsidRPr="006E2C57">
              <w:rPr>
                <w:color w:val="000000"/>
              </w:rPr>
              <w:t>Institūcijas netiek likvidētas.</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5.</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pPr>
            <w:r w:rsidRPr="006E2C57">
              <w:t>Projekta izpildes ietekme uz pārvaldes institucionālo struktūru.</w:t>
            </w:r>
          </w:p>
          <w:p w:rsidR="003E3492" w:rsidRPr="006E2C57" w:rsidRDefault="003E3492" w:rsidP="0065284E">
            <w:pPr>
              <w:spacing w:before="75"/>
            </w:pPr>
            <w:r w:rsidRPr="006E2C57">
              <w:t>Esošu institūciju reorganizācija</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pPr>
            <w:r w:rsidRPr="006E2C57">
              <w:rPr>
                <w:color w:val="000000"/>
              </w:rPr>
              <w:t>Institūcijas netiek reorganizētas.</w:t>
            </w:r>
          </w:p>
        </w:tc>
      </w:tr>
      <w:tr w:rsidR="003E3492" w:rsidRPr="006E2C57" w:rsidTr="00E6006C">
        <w:tblPrEx>
          <w:tblCellSpacing w:w="0" w:type="dxa"/>
          <w:tblCellMar>
            <w:top w:w="0" w:type="dxa"/>
            <w:left w:w="0" w:type="dxa"/>
            <w:bottom w:w="0" w:type="dxa"/>
            <w:right w:w="0" w:type="dxa"/>
          </w:tblCellMar>
        </w:tblPrEx>
        <w:trPr>
          <w:tblCellSpacing w:w="0" w:type="dxa"/>
        </w:trPr>
        <w:tc>
          <w:tcPr>
            <w:tcW w:w="263" w:type="pct"/>
            <w:gridSpan w:val="2"/>
            <w:tcBorders>
              <w:top w:val="outset" w:sz="6" w:space="0" w:color="auto"/>
              <w:bottom w:val="outset" w:sz="6" w:space="0" w:color="auto"/>
              <w:right w:val="outset" w:sz="6" w:space="0" w:color="auto"/>
            </w:tcBorders>
          </w:tcPr>
          <w:p w:rsidR="003E3492" w:rsidRPr="006E2C57" w:rsidRDefault="003E3492" w:rsidP="0065284E">
            <w:pPr>
              <w:spacing w:before="75"/>
            </w:pPr>
            <w:r w:rsidRPr="006E2C57">
              <w:t>6.</w:t>
            </w:r>
          </w:p>
        </w:tc>
        <w:tc>
          <w:tcPr>
            <w:tcW w:w="1772" w:type="pct"/>
            <w:tcBorders>
              <w:top w:val="outset" w:sz="6" w:space="0" w:color="auto"/>
              <w:left w:val="outset" w:sz="6" w:space="0" w:color="auto"/>
              <w:bottom w:val="outset" w:sz="6" w:space="0" w:color="auto"/>
              <w:right w:val="outset" w:sz="6" w:space="0" w:color="auto"/>
            </w:tcBorders>
          </w:tcPr>
          <w:p w:rsidR="003E3492" w:rsidRPr="006E2C57" w:rsidRDefault="003E3492" w:rsidP="0065284E">
            <w:pPr>
              <w:spacing w:before="75" w:after="120"/>
            </w:pPr>
            <w:r w:rsidRPr="006E2C57">
              <w:t>Cita informācija</w:t>
            </w:r>
          </w:p>
        </w:tc>
        <w:tc>
          <w:tcPr>
            <w:tcW w:w="2965" w:type="pct"/>
            <w:gridSpan w:val="2"/>
            <w:tcBorders>
              <w:top w:val="outset" w:sz="6" w:space="0" w:color="auto"/>
              <w:left w:val="outset" w:sz="6" w:space="0" w:color="auto"/>
              <w:bottom w:val="outset" w:sz="6" w:space="0" w:color="auto"/>
            </w:tcBorders>
          </w:tcPr>
          <w:p w:rsidR="003E3492" w:rsidRPr="006E2C57" w:rsidRDefault="003E3492" w:rsidP="0065284E">
            <w:pPr>
              <w:spacing w:before="75" w:after="120"/>
            </w:pPr>
            <w:r w:rsidRPr="006E2C57">
              <w:t>Nav.</w:t>
            </w:r>
          </w:p>
        </w:tc>
      </w:tr>
    </w:tbl>
    <w:p w:rsidR="00931182" w:rsidRPr="006E2C57" w:rsidRDefault="00931182" w:rsidP="003E3492">
      <w:pPr>
        <w:pStyle w:val="Header"/>
        <w:tabs>
          <w:tab w:val="clear" w:pos="4153"/>
          <w:tab w:val="clear" w:pos="8306"/>
          <w:tab w:val="center" w:pos="0"/>
          <w:tab w:val="right" w:pos="142"/>
        </w:tabs>
        <w:ind w:right="-153"/>
        <w:rPr>
          <w:sz w:val="28"/>
          <w:szCs w:val="28"/>
        </w:rPr>
      </w:pPr>
    </w:p>
    <w:p w:rsidR="003E3492" w:rsidRPr="006E2C57" w:rsidRDefault="003E3492" w:rsidP="003E3492">
      <w:pPr>
        <w:pStyle w:val="Header"/>
        <w:tabs>
          <w:tab w:val="clear" w:pos="4153"/>
          <w:tab w:val="clear" w:pos="8306"/>
          <w:tab w:val="center" w:pos="0"/>
          <w:tab w:val="right" w:pos="142"/>
        </w:tabs>
        <w:ind w:right="-153"/>
        <w:rPr>
          <w:sz w:val="28"/>
          <w:szCs w:val="28"/>
        </w:rPr>
      </w:pPr>
      <w:r w:rsidRPr="006E2C57">
        <w:rPr>
          <w:sz w:val="28"/>
          <w:szCs w:val="28"/>
        </w:rPr>
        <w:t xml:space="preserve">Anotācijas </w:t>
      </w:r>
      <w:r w:rsidR="00EC334F" w:rsidRPr="006E2C57">
        <w:rPr>
          <w:sz w:val="28"/>
          <w:szCs w:val="28"/>
        </w:rPr>
        <w:t>IV un</w:t>
      </w:r>
      <w:r w:rsidRPr="006E2C57">
        <w:rPr>
          <w:sz w:val="28"/>
          <w:szCs w:val="28"/>
        </w:rPr>
        <w:t xml:space="preserve"> VI sadaļa – </w:t>
      </w:r>
      <w:r w:rsidRPr="006E2C57">
        <w:rPr>
          <w:bCs/>
          <w:sz w:val="28"/>
          <w:szCs w:val="28"/>
        </w:rPr>
        <w:t>projekts šīs jomas neskar</w:t>
      </w:r>
      <w:r w:rsidRPr="006E2C57">
        <w:rPr>
          <w:sz w:val="28"/>
          <w:szCs w:val="28"/>
        </w:rPr>
        <w:t>.</w:t>
      </w:r>
    </w:p>
    <w:p w:rsidR="003E3492" w:rsidRPr="006E2C57" w:rsidRDefault="003E3492" w:rsidP="003E3492">
      <w:pPr>
        <w:pStyle w:val="Header"/>
        <w:tabs>
          <w:tab w:val="clear" w:pos="4153"/>
          <w:tab w:val="clear" w:pos="8306"/>
          <w:tab w:val="center" w:pos="0"/>
          <w:tab w:val="right" w:pos="142"/>
        </w:tabs>
        <w:ind w:right="-153"/>
        <w:rPr>
          <w:sz w:val="28"/>
          <w:szCs w:val="28"/>
        </w:rPr>
      </w:pPr>
    </w:p>
    <w:p w:rsidR="003E3492" w:rsidRPr="006E2C57" w:rsidRDefault="003E3492" w:rsidP="003E3492">
      <w:pPr>
        <w:pStyle w:val="Header"/>
        <w:tabs>
          <w:tab w:val="clear" w:pos="4153"/>
          <w:tab w:val="clear" w:pos="8306"/>
          <w:tab w:val="center" w:pos="0"/>
          <w:tab w:val="right" w:pos="142"/>
        </w:tabs>
        <w:ind w:right="-153"/>
        <w:rPr>
          <w:sz w:val="28"/>
          <w:szCs w:val="28"/>
        </w:rPr>
      </w:pPr>
      <w:r w:rsidRPr="006E2C57">
        <w:rPr>
          <w:sz w:val="28"/>
          <w:szCs w:val="28"/>
        </w:rPr>
        <w:t>Ekonomikas ministrs</w:t>
      </w:r>
      <w:r w:rsidRPr="006E2C57">
        <w:rPr>
          <w:sz w:val="28"/>
          <w:szCs w:val="28"/>
        </w:rPr>
        <w:tab/>
      </w:r>
      <w:r w:rsidRPr="006E2C57">
        <w:rPr>
          <w:sz w:val="28"/>
          <w:szCs w:val="28"/>
        </w:rPr>
        <w:tab/>
      </w:r>
      <w:r w:rsidRPr="006E2C57">
        <w:rPr>
          <w:sz w:val="28"/>
          <w:szCs w:val="28"/>
        </w:rPr>
        <w:tab/>
      </w:r>
      <w:r w:rsidRPr="006E2C57">
        <w:rPr>
          <w:sz w:val="28"/>
          <w:szCs w:val="28"/>
        </w:rPr>
        <w:tab/>
      </w:r>
      <w:r w:rsidRPr="006E2C57">
        <w:rPr>
          <w:sz w:val="28"/>
          <w:szCs w:val="28"/>
        </w:rPr>
        <w:tab/>
      </w:r>
      <w:r w:rsidRPr="006E2C57">
        <w:rPr>
          <w:sz w:val="28"/>
          <w:szCs w:val="28"/>
        </w:rPr>
        <w:tab/>
      </w:r>
      <w:proofErr w:type="spellStart"/>
      <w:r w:rsidR="00B867AD" w:rsidRPr="006E2C57">
        <w:rPr>
          <w:sz w:val="28"/>
          <w:szCs w:val="28"/>
        </w:rPr>
        <w:t>D.Pavļuts</w:t>
      </w:r>
      <w:proofErr w:type="spellEnd"/>
    </w:p>
    <w:p w:rsidR="003E3492" w:rsidRPr="006E2C57" w:rsidRDefault="003E3492" w:rsidP="003E3492">
      <w:pPr>
        <w:pStyle w:val="Header"/>
        <w:tabs>
          <w:tab w:val="clear" w:pos="4153"/>
          <w:tab w:val="clear" w:pos="8306"/>
          <w:tab w:val="center" w:pos="0"/>
          <w:tab w:val="right" w:pos="142"/>
        </w:tabs>
        <w:ind w:right="-153"/>
        <w:rPr>
          <w:sz w:val="28"/>
          <w:szCs w:val="28"/>
        </w:rPr>
      </w:pPr>
    </w:p>
    <w:p w:rsidR="003E3492" w:rsidRPr="006E2C57" w:rsidRDefault="003E3492" w:rsidP="003E3492">
      <w:pPr>
        <w:pStyle w:val="BodyTextIndent"/>
        <w:ind w:firstLine="0"/>
        <w:jc w:val="both"/>
        <w:rPr>
          <w:sz w:val="28"/>
          <w:szCs w:val="28"/>
        </w:rPr>
      </w:pPr>
      <w:r w:rsidRPr="006E2C57">
        <w:rPr>
          <w:sz w:val="28"/>
          <w:szCs w:val="28"/>
        </w:rPr>
        <w:t>Vīz</w:t>
      </w:r>
      <w:r w:rsidR="00E95CD1" w:rsidRPr="006E2C57">
        <w:rPr>
          <w:sz w:val="28"/>
          <w:szCs w:val="28"/>
        </w:rPr>
        <w:t>ē: V</w:t>
      </w:r>
      <w:r w:rsidRPr="006E2C57">
        <w:rPr>
          <w:sz w:val="28"/>
          <w:szCs w:val="28"/>
        </w:rPr>
        <w:t>alsts sekretārs</w:t>
      </w:r>
      <w:r w:rsidRPr="006E2C57">
        <w:rPr>
          <w:sz w:val="28"/>
          <w:szCs w:val="28"/>
        </w:rPr>
        <w:tab/>
      </w:r>
      <w:r w:rsidRPr="006E2C57">
        <w:rPr>
          <w:sz w:val="28"/>
          <w:szCs w:val="28"/>
        </w:rPr>
        <w:tab/>
      </w:r>
      <w:r w:rsidRPr="006E2C57">
        <w:rPr>
          <w:sz w:val="28"/>
          <w:szCs w:val="28"/>
        </w:rPr>
        <w:tab/>
      </w:r>
      <w:r w:rsidRPr="006E2C57">
        <w:rPr>
          <w:sz w:val="28"/>
          <w:szCs w:val="28"/>
        </w:rPr>
        <w:tab/>
      </w:r>
      <w:r w:rsidRPr="006E2C57">
        <w:rPr>
          <w:sz w:val="28"/>
          <w:szCs w:val="28"/>
        </w:rPr>
        <w:tab/>
      </w:r>
      <w:r w:rsidRPr="006E2C57">
        <w:rPr>
          <w:sz w:val="28"/>
          <w:szCs w:val="28"/>
        </w:rPr>
        <w:tab/>
        <w:t>J. Pūce</w:t>
      </w:r>
    </w:p>
    <w:p w:rsidR="003E3492" w:rsidRDefault="003E3492" w:rsidP="003E3492">
      <w:pPr>
        <w:pStyle w:val="BodyTextIndent"/>
        <w:ind w:firstLine="0"/>
        <w:jc w:val="both"/>
        <w:rPr>
          <w:sz w:val="28"/>
          <w:szCs w:val="28"/>
        </w:rPr>
      </w:pPr>
    </w:p>
    <w:p w:rsidR="00B1680D" w:rsidRDefault="00B1680D" w:rsidP="003E3492">
      <w:pPr>
        <w:pStyle w:val="BodyTextIndent"/>
        <w:ind w:firstLine="0"/>
        <w:jc w:val="both"/>
        <w:rPr>
          <w:sz w:val="28"/>
          <w:szCs w:val="28"/>
        </w:rPr>
      </w:pPr>
    </w:p>
    <w:p w:rsidR="00B1680D" w:rsidRPr="006E2C57" w:rsidRDefault="00B1680D" w:rsidP="003E3492">
      <w:pPr>
        <w:pStyle w:val="BodyTextIndent"/>
        <w:ind w:firstLine="0"/>
        <w:jc w:val="both"/>
        <w:rPr>
          <w:sz w:val="28"/>
          <w:szCs w:val="28"/>
        </w:rPr>
      </w:pPr>
    </w:p>
    <w:p w:rsidR="003E3492" w:rsidRPr="006E2C57" w:rsidRDefault="00CC4818" w:rsidP="003E3492">
      <w:pPr>
        <w:pStyle w:val="NormalLatvian"/>
        <w:spacing w:after="0"/>
      </w:pPr>
      <w:r>
        <w:t>22</w:t>
      </w:r>
      <w:r w:rsidR="00E6479C" w:rsidRPr="006E2C57">
        <w:t>.</w:t>
      </w:r>
      <w:r w:rsidR="00351616">
        <w:t>08</w:t>
      </w:r>
      <w:r w:rsidR="00E6479C" w:rsidRPr="006E2C57">
        <w:t>.2013</w:t>
      </w:r>
      <w:r w:rsidR="003E3492" w:rsidRPr="006E2C57">
        <w:t>. 1</w:t>
      </w:r>
      <w:r w:rsidR="00351616">
        <w:t>0</w:t>
      </w:r>
      <w:r w:rsidR="003E3492" w:rsidRPr="006E2C57">
        <w:t>:</w:t>
      </w:r>
      <w:r w:rsidR="00F32337">
        <w:t>3</w:t>
      </w:r>
      <w:r w:rsidR="00601697">
        <w:t>6</w:t>
      </w:r>
    </w:p>
    <w:p w:rsidR="003E3492" w:rsidRPr="006E2C57" w:rsidRDefault="003E3492" w:rsidP="003E3492">
      <w:pPr>
        <w:ind w:right="40"/>
        <w:jc w:val="both"/>
        <w:rPr>
          <w:sz w:val="28"/>
          <w:szCs w:val="28"/>
        </w:rPr>
      </w:pPr>
      <w:r w:rsidRPr="006E2C57">
        <w:rPr>
          <w:sz w:val="28"/>
          <w:szCs w:val="28"/>
        </w:rPr>
        <w:fldChar w:fldCharType="begin"/>
      </w:r>
      <w:r w:rsidRPr="006E2C57">
        <w:rPr>
          <w:sz w:val="28"/>
          <w:szCs w:val="28"/>
        </w:rPr>
        <w:instrText xml:space="preserve"> NUMWORDS   \* MERGEFORMAT </w:instrText>
      </w:r>
      <w:r w:rsidRPr="006E2C57">
        <w:rPr>
          <w:sz w:val="28"/>
          <w:szCs w:val="28"/>
        </w:rPr>
        <w:fldChar w:fldCharType="separate"/>
      </w:r>
      <w:r w:rsidR="00601697">
        <w:rPr>
          <w:noProof/>
          <w:sz w:val="28"/>
          <w:szCs w:val="28"/>
        </w:rPr>
        <w:t>3465</w:t>
      </w:r>
      <w:r w:rsidRPr="006E2C57">
        <w:rPr>
          <w:sz w:val="28"/>
          <w:szCs w:val="28"/>
        </w:rPr>
        <w:fldChar w:fldCharType="end"/>
      </w:r>
      <w:r w:rsidRPr="006E2C57">
        <w:rPr>
          <w:sz w:val="28"/>
          <w:szCs w:val="28"/>
        </w:rPr>
        <w:fldChar w:fldCharType="begin"/>
      </w:r>
      <w:r w:rsidRPr="006E2C57">
        <w:rPr>
          <w:sz w:val="28"/>
          <w:szCs w:val="28"/>
        </w:rPr>
        <w:instrText xml:space="preserve"> NUMWORDS   \* MERGEFORMAT </w:instrText>
      </w:r>
      <w:r w:rsidRPr="006E2C57">
        <w:rPr>
          <w:sz w:val="28"/>
          <w:szCs w:val="28"/>
        </w:rPr>
        <w:fldChar w:fldCharType="end"/>
      </w:r>
    </w:p>
    <w:p w:rsidR="000176B3" w:rsidRPr="00314971" w:rsidRDefault="003E3492" w:rsidP="003F356E">
      <w:pPr>
        <w:pStyle w:val="NormalLatvian"/>
        <w:spacing w:after="0"/>
      </w:pPr>
      <w:proofErr w:type="spellStart"/>
      <w:r w:rsidRPr="006E2C57">
        <w:t>Začeste</w:t>
      </w:r>
      <w:proofErr w:type="spellEnd"/>
      <w:r w:rsidR="00A51C28" w:rsidRPr="006E2C57">
        <w:t xml:space="preserve">, </w:t>
      </w:r>
      <w:r w:rsidRPr="006E2C57">
        <w:t xml:space="preserve">67366897, </w:t>
      </w:r>
      <w:hyperlink r:id="rId9" w:history="1">
        <w:r w:rsidRPr="006E2C57">
          <w:rPr>
            <w:rStyle w:val="Hyperlink"/>
          </w:rPr>
          <w:t>ieva.zaceste@csb.gov.lv</w:t>
        </w:r>
      </w:hyperlink>
      <w:r w:rsidRPr="00314971">
        <w:t xml:space="preserve"> </w:t>
      </w:r>
    </w:p>
    <w:sectPr w:rsidR="000176B3" w:rsidRPr="00314971" w:rsidSect="0065284E">
      <w:headerReference w:type="even" r:id="rId10"/>
      <w:headerReference w:type="default" r:id="rId11"/>
      <w:footerReference w:type="default" r:id="rId12"/>
      <w:footerReference w:type="first" r:id="rId13"/>
      <w:pgSz w:w="11906" w:h="16838" w:code="9"/>
      <w:pgMar w:top="899" w:right="1134"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7D" w:rsidRDefault="005E417D">
      <w:r>
        <w:separator/>
      </w:r>
    </w:p>
  </w:endnote>
  <w:endnote w:type="continuationSeparator" w:id="0">
    <w:p w:rsidR="005E417D" w:rsidRDefault="005E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57" w:rsidRPr="00740092" w:rsidRDefault="006E2C57" w:rsidP="006E2C57">
    <w:pPr>
      <w:pStyle w:val="Footer"/>
      <w:jc w:val="both"/>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741545">
      <w:rPr>
        <w:noProof/>
        <w:sz w:val="20"/>
        <w:szCs w:val="20"/>
      </w:rPr>
      <w:t>EMAnot_220813_veidlapas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011D32" w:rsidRPr="00C14C82" w:rsidRDefault="00011D3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32" w:rsidRPr="00740092" w:rsidRDefault="00011D32" w:rsidP="0065284E">
    <w:pPr>
      <w:pStyle w:val="Footer"/>
      <w:jc w:val="both"/>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741545">
      <w:rPr>
        <w:noProof/>
        <w:sz w:val="20"/>
        <w:szCs w:val="20"/>
      </w:rPr>
      <w:t>EMAnot_220813_veidlapas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011D32" w:rsidRPr="00C14C82" w:rsidRDefault="00011D32" w:rsidP="0065284E">
    <w:pPr>
      <w:pStyle w:val="Footer"/>
      <w:rPr>
        <w:sz w:val="20"/>
        <w:szCs w:val="20"/>
      </w:rPr>
    </w:pPr>
  </w:p>
  <w:p w:rsidR="00011D32" w:rsidRDefault="00011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7D" w:rsidRDefault="005E417D">
      <w:r>
        <w:separator/>
      </w:r>
    </w:p>
  </w:footnote>
  <w:footnote w:type="continuationSeparator" w:id="0">
    <w:p w:rsidR="005E417D" w:rsidRDefault="005E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32" w:rsidRDefault="00011D32" w:rsidP="00652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11D32" w:rsidRDefault="00011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32" w:rsidRDefault="00011D32" w:rsidP="00652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545">
      <w:rPr>
        <w:rStyle w:val="PageNumber"/>
        <w:noProof/>
      </w:rPr>
      <w:t>16</w:t>
    </w:r>
    <w:r>
      <w:rPr>
        <w:rStyle w:val="PageNumber"/>
      </w:rPr>
      <w:fldChar w:fldCharType="end"/>
    </w:r>
  </w:p>
  <w:p w:rsidR="00011D32" w:rsidRDefault="00011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C99"/>
    <w:multiLevelType w:val="hybridMultilevel"/>
    <w:tmpl w:val="E42A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133"/>
    <w:multiLevelType w:val="hybridMultilevel"/>
    <w:tmpl w:val="35C888BE"/>
    <w:lvl w:ilvl="0" w:tplc="4808EE80">
      <w:start w:val="1"/>
      <w:numFmt w:val="decimal"/>
      <w:lvlText w:val="%1."/>
      <w:lvlJc w:val="left"/>
      <w:pPr>
        <w:ind w:left="720" w:hanging="360"/>
      </w:pPr>
      <w:rPr>
        <w:rFonts w:cs="EUAlbertin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1A6873"/>
    <w:multiLevelType w:val="hybridMultilevel"/>
    <w:tmpl w:val="C3BC7DB8"/>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
    <w:nsid w:val="16295F3E"/>
    <w:multiLevelType w:val="hybridMultilevel"/>
    <w:tmpl w:val="D1FAF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FC45AE"/>
    <w:multiLevelType w:val="hybridMultilevel"/>
    <w:tmpl w:val="DDBAE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C270DC"/>
    <w:multiLevelType w:val="hybridMultilevel"/>
    <w:tmpl w:val="E950410E"/>
    <w:lvl w:ilvl="0" w:tplc="0426000F">
      <w:start w:val="1"/>
      <w:numFmt w:val="decimal"/>
      <w:lvlText w:val="%1."/>
      <w:lvlJc w:val="left"/>
      <w:pPr>
        <w:tabs>
          <w:tab w:val="num" w:pos="779"/>
        </w:tabs>
        <w:ind w:left="779" w:hanging="360"/>
      </w:pPr>
    </w:lvl>
    <w:lvl w:ilvl="1" w:tplc="04260019" w:tentative="1">
      <w:start w:val="1"/>
      <w:numFmt w:val="lowerLetter"/>
      <w:lvlText w:val="%2."/>
      <w:lvlJc w:val="left"/>
      <w:pPr>
        <w:tabs>
          <w:tab w:val="num" w:pos="1499"/>
        </w:tabs>
        <w:ind w:left="1499" w:hanging="360"/>
      </w:pPr>
    </w:lvl>
    <w:lvl w:ilvl="2" w:tplc="0426001B" w:tentative="1">
      <w:start w:val="1"/>
      <w:numFmt w:val="lowerRoman"/>
      <w:lvlText w:val="%3."/>
      <w:lvlJc w:val="right"/>
      <w:pPr>
        <w:tabs>
          <w:tab w:val="num" w:pos="2219"/>
        </w:tabs>
        <w:ind w:left="2219" w:hanging="180"/>
      </w:pPr>
    </w:lvl>
    <w:lvl w:ilvl="3" w:tplc="0426000F" w:tentative="1">
      <w:start w:val="1"/>
      <w:numFmt w:val="decimal"/>
      <w:lvlText w:val="%4."/>
      <w:lvlJc w:val="left"/>
      <w:pPr>
        <w:tabs>
          <w:tab w:val="num" w:pos="2939"/>
        </w:tabs>
        <w:ind w:left="2939" w:hanging="360"/>
      </w:pPr>
    </w:lvl>
    <w:lvl w:ilvl="4" w:tplc="04260019" w:tentative="1">
      <w:start w:val="1"/>
      <w:numFmt w:val="lowerLetter"/>
      <w:lvlText w:val="%5."/>
      <w:lvlJc w:val="left"/>
      <w:pPr>
        <w:tabs>
          <w:tab w:val="num" w:pos="3659"/>
        </w:tabs>
        <w:ind w:left="3659" w:hanging="360"/>
      </w:pPr>
    </w:lvl>
    <w:lvl w:ilvl="5" w:tplc="0426001B" w:tentative="1">
      <w:start w:val="1"/>
      <w:numFmt w:val="lowerRoman"/>
      <w:lvlText w:val="%6."/>
      <w:lvlJc w:val="right"/>
      <w:pPr>
        <w:tabs>
          <w:tab w:val="num" w:pos="4379"/>
        </w:tabs>
        <w:ind w:left="4379" w:hanging="180"/>
      </w:pPr>
    </w:lvl>
    <w:lvl w:ilvl="6" w:tplc="0426000F" w:tentative="1">
      <w:start w:val="1"/>
      <w:numFmt w:val="decimal"/>
      <w:lvlText w:val="%7."/>
      <w:lvlJc w:val="left"/>
      <w:pPr>
        <w:tabs>
          <w:tab w:val="num" w:pos="5099"/>
        </w:tabs>
        <w:ind w:left="5099" w:hanging="360"/>
      </w:pPr>
    </w:lvl>
    <w:lvl w:ilvl="7" w:tplc="04260019" w:tentative="1">
      <w:start w:val="1"/>
      <w:numFmt w:val="lowerLetter"/>
      <w:lvlText w:val="%8."/>
      <w:lvlJc w:val="left"/>
      <w:pPr>
        <w:tabs>
          <w:tab w:val="num" w:pos="5819"/>
        </w:tabs>
        <w:ind w:left="5819" w:hanging="360"/>
      </w:pPr>
    </w:lvl>
    <w:lvl w:ilvl="8" w:tplc="0426001B" w:tentative="1">
      <w:start w:val="1"/>
      <w:numFmt w:val="lowerRoman"/>
      <w:lvlText w:val="%9."/>
      <w:lvlJc w:val="right"/>
      <w:pPr>
        <w:tabs>
          <w:tab w:val="num" w:pos="6539"/>
        </w:tabs>
        <w:ind w:left="6539" w:hanging="180"/>
      </w:pPr>
    </w:lvl>
  </w:abstractNum>
  <w:abstractNum w:abstractNumId="6">
    <w:nsid w:val="27A17966"/>
    <w:multiLevelType w:val="hybridMultilevel"/>
    <w:tmpl w:val="3FC4A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3516D1"/>
    <w:multiLevelType w:val="hybridMultilevel"/>
    <w:tmpl w:val="6212B022"/>
    <w:lvl w:ilvl="0" w:tplc="75AE2D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27867C0"/>
    <w:multiLevelType w:val="hybridMultilevel"/>
    <w:tmpl w:val="D7183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BB7BE9"/>
    <w:multiLevelType w:val="hybridMultilevel"/>
    <w:tmpl w:val="CF3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45647"/>
    <w:multiLevelType w:val="hybridMultilevel"/>
    <w:tmpl w:val="7578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E1616"/>
    <w:multiLevelType w:val="hybridMultilevel"/>
    <w:tmpl w:val="16B2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2674E"/>
    <w:multiLevelType w:val="multilevel"/>
    <w:tmpl w:val="2D22EA52"/>
    <w:lvl w:ilvl="0">
      <w:start w:val="1"/>
      <w:numFmt w:val="decimal"/>
      <w:lvlText w:val="%1."/>
      <w:lvlJc w:val="left"/>
      <w:pPr>
        <w:ind w:left="72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3">
    <w:nsid w:val="4262649F"/>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9DD71A6"/>
    <w:multiLevelType w:val="hybridMultilevel"/>
    <w:tmpl w:val="35C888BE"/>
    <w:lvl w:ilvl="0" w:tplc="4808EE80">
      <w:start w:val="1"/>
      <w:numFmt w:val="decimal"/>
      <w:lvlText w:val="%1."/>
      <w:lvlJc w:val="left"/>
      <w:pPr>
        <w:ind w:left="720" w:hanging="360"/>
      </w:pPr>
      <w:rPr>
        <w:rFonts w:cs="EUAlbertin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183433"/>
    <w:multiLevelType w:val="hybridMultilevel"/>
    <w:tmpl w:val="F360548E"/>
    <w:lvl w:ilvl="0" w:tplc="E61EC9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F7F0132"/>
    <w:multiLevelType w:val="hybridMultilevel"/>
    <w:tmpl w:val="1E028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17127C"/>
    <w:multiLevelType w:val="hybridMultilevel"/>
    <w:tmpl w:val="B10A7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432904"/>
    <w:multiLevelType w:val="multilevel"/>
    <w:tmpl w:val="2D22EA52"/>
    <w:lvl w:ilvl="0">
      <w:start w:val="1"/>
      <w:numFmt w:val="decimal"/>
      <w:lvlText w:val="%1."/>
      <w:lvlJc w:val="left"/>
      <w:pPr>
        <w:ind w:left="72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0">
    <w:nsid w:val="595C5C3D"/>
    <w:multiLevelType w:val="hybridMultilevel"/>
    <w:tmpl w:val="91AA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BE2156"/>
    <w:multiLevelType w:val="multilevel"/>
    <w:tmpl w:val="046C0CEC"/>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22">
    <w:nsid w:val="5AE420D3"/>
    <w:multiLevelType w:val="hybridMultilevel"/>
    <w:tmpl w:val="D8166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5B470523"/>
    <w:multiLevelType w:val="hybridMultilevel"/>
    <w:tmpl w:val="5A9ED1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284AD2"/>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85A0610"/>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27">
    <w:nsid w:val="722F3C8D"/>
    <w:multiLevelType w:val="hybridMultilevel"/>
    <w:tmpl w:val="BCC0B630"/>
    <w:lvl w:ilvl="0" w:tplc="AA76FE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2BA1FCE"/>
    <w:multiLevelType w:val="hybridMultilevel"/>
    <w:tmpl w:val="C7C445F0"/>
    <w:lvl w:ilvl="0" w:tplc="0426000F">
      <w:start w:val="1"/>
      <w:numFmt w:val="decimal"/>
      <w:lvlText w:val="%1."/>
      <w:lvlJc w:val="left"/>
      <w:pPr>
        <w:tabs>
          <w:tab w:val="num" w:pos="720"/>
        </w:tabs>
        <w:ind w:left="720" w:hanging="360"/>
      </w:pPr>
    </w:lvl>
    <w:lvl w:ilvl="1" w:tplc="37E01EA0">
      <w:start w:val="1"/>
      <w:numFmt w:val="bullet"/>
      <w:lvlText w:val=""/>
      <w:lvlJc w:val="left"/>
      <w:pPr>
        <w:tabs>
          <w:tab w:val="num" w:pos="1440"/>
        </w:tabs>
        <w:ind w:left="1440" w:hanging="360"/>
      </w:pPr>
      <w:rPr>
        <w:rFonts w:ascii="Symbol" w:hAnsi="Symbol"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2E4698B"/>
    <w:multiLevelType w:val="multilevel"/>
    <w:tmpl w:val="2D22EA52"/>
    <w:lvl w:ilvl="0">
      <w:start w:val="1"/>
      <w:numFmt w:val="decimal"/>
      <w:lvlText w:val="%1."/>
      <w:lvlJc w:val="left"/>
      <w:pPr>
        <w:ind w:left="72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30">
    <w:nsid w:val="737D4419"/>
    <w:multiLevelType w:val="hybridMultilevel"/>
    <w:tmpl w:val="8856C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9832D4"/>
    <w:multiLevelType w:val="hybridMultilevel"/>
    <w:tmpl w:val="6D082E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8"/>
  </w:num>
  <w:num w:numId="3">
    <w:abstractNumId w:val="7"/>
  </w:num>
  <w:num w:numId="4">
    <w:abstractNumId w:val="5"/>
  </w:num>
  <w:num w:numId="5">
    <w:abstractNumId w:val="13"/>
  </w:num>
  <w:num w:numId="6">
    <w:abstractNumId w:val="11"/>
  </w:num>
  <w:num w:numId="7">
    <w:abstractNumId w:val="8"/>
  </w:num>
  <w:num w:numId="8">
    <w:abstractNumId w:val="0"/>
  </w:num>
  <w:num w:numId="9">
    <w:abstractNumId w:val="20"/>
  </w:num>
  <w:num w:numId="10">
    <w:abstractNumId w:val="24"/>
  </w:num>
  <w:num w:numId="11">
    <w:abstractNumId w:val="2"/>
  </w:num>
  <w:num w:numId="12">
    <w:abstractNumId w:val="16"/>
  </w:num>
  <w:num w:numId="13">
    <w:abstractNumId w:val="9"/>
  </w:num>
  <w:num w:numId="14">
    <w:abstractNumId w:val="15"/>
  </w:num>
  <w:num w:numId="15">
    <w:abstractNumId w:val="25"/>
  </w:num>
  <w:num w:numId="16">
    <w:abstractNumId w:val="31"/>
  </w:num>
  <w:num w:numId="17">
    <w:abstractNumId w:val="10"/>
  </w:num>
  <w:num w:numId="18">
    <w:abstractNumId w:val="23"/>
  </w:num>
  <w:num w:numId="19">
    <w:abstractNumId w:val="18"/>
  </w:num>
  <w:num w:numId="20">
    <w:abstractNumId w:val="17"/>
  </w:num>
  <w:num w:numId="21">
    <w:abstractNumId w:val="30"/>
  </w:num>
  <w:num w:numId="22">
    <w:abstractNumId w:val="19"/>
  </w:num>
  <w:num w:numId="23">
    <w:abstractNumId w:val="27"/>
  </w:num>
  <w:num w:numId="24">
    <w:abstractNumId w:val="29"/>
  </w:num>
  <w:num w:numId="25">
    <w:abstractNumId w:val="6"/>
  </w:num>
  <w:num w:numId="26">
    <w:abstractNumId w:val="3"/>
  </w:num>
  <w:num w:numId="27">
    <w:abstractNumId w:val="12"/>
  </w:num>
  <w:num w:numId="28">
    <w:abstractNumId w:val="22"/>
  </w:num>
  <w:num w:numId="29">
    <w:abstractNumId w:val="14"/>
  </w:num>
  <w:num w:numId="30">
    <w:abstractNumId w:val="4"/>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92"/>
    <w:rsid w:val="00011D32"/>
    <w:rsid w:val="000176B3"/>
    <w:rsid w:val="0002051A"/>
    <w:rsid w:val="00024773"/>
    <w:rsid w:val="00037C1E"/>
    <w:rsid w:val="00041B69"/>
    <w:rsid w:val="000460A0"/>
    <w:rsid w:val="0004660D"/>
    <w:rsid w:val="00046AC7"/>
    <w:rsid w:val="000509FC"/>
    <w:rsid w:val="00052E16"/>
    <w:rsid w:val="00052F0E"/>
    <w:rsid w:val="00053BEE"/>
    <w:rsid w:val="0006139E"/>
    <w:rsid w:val="0007584B"/>
    <w:rsid w:val="00075BA9"/>
    <w:rsid w:val="00091404"/>
    <w:rsid w:val="000916B7"/>
    <w:rsid w:val="00091E6E"/>
    <w:rsid w:val="0009299E"/>
    <w:rsid w:val="00093EE0"/>
    <w:rsid w:val="00095DA5"/>
    <w:rsid w:val="000A09C7"/>
    <w:rsid w:val="000B3406"/>
    <w:rsid w:val="000C4C40"/>
    <w:rsid w:val="000C5DA0"/>
    <w:rsid w:val="000D49C9"/>
    <w:rsid w:val="000E6435"/>
    <w:rsid w:val="001061C5"/>
    <w:rsid w:val="001071B0"/>
    <w:rsid w:val="001103D6"/>
    <w:rsid w:val="00130548"/>
    <w:rsid w:val="0014288C"/>
    <w:rsid w:val="00150DC2"/>
    <w:rsid w:val="00151D55"/>
    <w:rsid w:val="0015731A"/>
    <w:rsid w:val="0017672F"/>
    <w:rsid w:val="00181A9B"/>
    <w:rsid w:val="00183342"/>
    <w:rsid w:val="001A5A10"/>
    <w:rsid w:val="001A5AE0"/>
    <w:rsid w:val="001A7949"/>
    <w:rsid w:val="001B5B21"/>
    <w:rsid w:val="001B7F1F"/>
    <w:rsid w:val="001D3328"/>
    <w:rsid w:val="001E2751"/>
    <w:rsid w:val="001F3EBE"/>
    <w:rsid w:val="002118AA"/>
    <w:rsid w:val="00214655"/>
    <w:rsid w:val="0022054F"/>
    <w:rsid w:val="0023591D"/>
    <w:rsid w:val="00247C93"/>
    <w:rsid w:val="00262810"/>
    <w:rsid w:val="002656C3"/>
    <w:rsid w:val="00266D9A"/>
    <w:rsid w:val="002762F5"/>
    <w:rsid w:val="002836A5"/>
    <w:rsid w:val="00294F2C"/>
    <w:rsid w:val="00296BFB"/>
    <w:rsid w:val="0029770D"/>
    <w:rsid w:val="002A21B4"/>
    <w:rsid w:val="002C06D7"/>
    <w:rsid w:val="002C1BA2"/>
    <w:rsid w:val="002C237E"/>
    <w:rsid w:val="002C60FD"/>
    <w:rsid w:val="002D41A0"/>
    <w:rsid w:val="002D7387"/>
    <w:rsid w:val="002F5689"/>
    <w:rsid w:val="0030275B"/>
    <w:rsid w:val="003027F6"/>
    <w:rsid w:val="0030728C"/>
    <w:rsid w:val="00314971"/>
    <w:rsid w:val="00323481"/>
    <w:rsid w:val="00330589"/>
    <w:rsid w:val="003402C2"/>
    <w:rsid w:val="00340C6B"/>
    <w:rsid w:val="00343D90"/>
    <w:rsid w:val="00345ED8"/>
    <w:rsid w:val="00347172"/>
    <w:rsid w:val="00351336"/>
    <w:rsid w:val="00351616"/>
    <w:rsid w:val="003518B5"/>
    <w:rsid w:val="00371689"/>
    <w:rsid w:val="003744C0"/>
    <w:rsid w:val="003A0230"/>
    <w:rsid w:val="003A3CAD"/>
    <w:rsid w:val="003A61BA"/>
    <w:rsid w:val="003B679E"/>
    <w:rsid w:val="003D1D4A"/>
    <w:rsid w:val="003E3492"/>
    <w:rsid w:val="003E377C"/>
    <w:rsid w:val="003F356E"/>
    <w:rsid w:val="004048C4"/>
    <w:rsid w:val="00421FED"/>
    <w:rsid w:val="00433500"/>
    <w:rsid w:val="00436F42"/>
    <w:rsid w:val="004428DD"/>
    <w:rsid w:val="00451A1D"/>
    <w:rsid w:val="004672EA"/>
    <w:rsid w:val="00483EDD"/>
    <w:rsid w:val="004909AA"/>
    <w:rsid w:val="00493920"/>
    <w:rsid w:val="00493E88"/>
    <w:rsid w:val="00495C62"/>
    <w:rsid w:val="004A4F0F"/>
    <w:rsid w:val="004C1CED"/>
    <w:rsid w:val="004C3A7F"/>
    <w:rsid w:val="004E15E1"/>
    <w:rsid w:val="004E2009"/>
    <w:rsid w:val="0052055C"/>
    <w:rsid w:val="00540B26"/>
    <w:rsid w:val="00555119"/>
    <w:rsid w:val="005558B0"/>
    <w:rsid w:val="00584BF9"/>
    <w:rsid w:val="005A5DF2"/>
    <w:rsid w:val="005B1337"/>
    <w:rsid w:val="005B5E26"/>
    <w:rsid w:val="005B5E36"/>
    <w:rsid w:val="005C0466"/>
    <w:rsid w:val="005C11A0"/>
    <w:rsid w:val="005E417D"/>
    <w:rsid w:val="005E4479"/>
    <w:rsid w:val="005F197D"/>
    <w:rsid w:val="005F4865"/>
    <w:rsid w:val="005F61D8"/>
    <w:rsid w:val="00601697"/>
    <w:rsid w:val="00603B52"/>
    <w:rsid w:val="00603C7F"/>
    <w:rsid w:val="00613ECF"/>
    <w:rsid w:val="00617E29"/>
    <w:rsid w:val="00634A00"/>
    <w:rsid w:val="00645169"/>
    <w:rsid w:val="0065284E"/>
    <w:rsid w:val="00653BD0"/>
    <w:rsid w:val="0065541F"/>
    <w:rsid w:val="006556FA"/>
    <w:rsid w:val="00664C94"/>
    <w:rsid w:val="006651BE"/>
    <w:rsid w:val="00666A0C"/>
    <w:rsid w:val="00685EC7"/>
    <w:rsid w:val="0069075A"/>
    <w:rsid w:val="006958A3"/>
    <w:rsid w:val="006961DE"/>
    <w:rsid w:val="006A17AF"/>
    <w:rsid w:val="006B2140"/>
    <w:rsid w:val="006C2FD3"/>
    <w:rsid w:val="006D3FCC"/>
    <w:rsid w:val="006E2C57"/>
    <w:rsid w:val="00702AB2"/>
    <w:rsid w:val="00705554"/>
    <w:rsid w:val="007172F7"/>
    <w:rsid w:val="007177E7"/>
    <w:rsid w:val="00721906"/>
    <w:rsid w:val="007219B1"/>
    <w:rsid w:val="0072321E"/>
    <w:rsid w:val="00727D56"/>
    <w:rsid w:val="007309F9"/>
    <w:rsid w:val="0073190D"/>
    <w:rsid w:val="00735C5A"/>
    <w:rsid w:val="00737818"/>
    <w:rsid w:val="00741545"/>
    <w:rsid w:val="007530D7"/>
    <w:rsid w:val="007548C1"/>
    <w:rsid w:val="007565D0"/>
    <w:rsid w:val="00760827"/>
    <w:rsid w:val="00760A84"/>
    <w:rsid w:val="00760FCC"/>
    <w:rsid w:val="00790DFA"/>
    <w:rsid w:val="00795612"/>
    <w:rsid w:val="007B0D9D"/>
    <w:rsid w:val="007C02F0"/>
    <w:rsid w:val="007C2A59"/>
    <w:rsid w:val="007C37A3"/>
    <w:rsid w:val="007D1592"/>
    <w:rsid w:val="007D5E92"/>
    <w:rsid w:val="007D6F5B"/>
    <w:rsid w:val="007D75C1"/>
    <w:rsid w:val="00810700"/>
    <w:rsid w:val="008255CB"/>
    <w:rsid w:val="00826C94"/>
    <w:rsid w:val="00831855"/>
    <w:rsid w:val="008326A0"/>
    <w:rsid w:val="00856A25"/>
    <w:rsid w:val="00876223"/>
    <w:rsid w:val="008814B7"/>
    <w:rsid w:val="00887D78"/>
    <w:rsid w:val="008A568B"/>
    <w:rsid w:val="008A655F"/>
    <w:rsid w:val="008A76F4"/>
    <w:rsid w:val="008B0359"/>
    <w:rsid w:val="008D3D43"/>
    <w:rsid w:val="008E5262"/>
    <w:rsid w:val="008E6C6A"/>
    <w:rsid w:val="008E78F0"/>
    <w:rsid w:val="00931182"/>
    <w:rsid w:val="00945608"/>
    <w:rsid w:val="00951307"/>
    <w:rsid w:val="0096086F"/>
    <w:rsid w:val="00962FD1"/>
    <w:rsid w:val="0096387E"/>
    <w:rsid w:val="00980641"/>
    <w:rsid w:val="0098263C"/>
    <w:rsid w:val="009A2F73"/>
    <w:rsid w:val="009A57CF"/>
    <w:rsid w:val="009B37B4"/>
    <w:rsid w:val="009C609D"/>
    <w:rsid w:val="009C6BED"/>
    <w:rsid w:val="009D3D5A"/>
    <w:rsid w:val="009E2B14"/>
    <w:rsid w:val="00A02707"/>
    <w:rsid w:val="00A135AA"/>
    <w:rsid w:val="00A24E11"/>
    <w:rsid w:val="00A275C2"/>
    <w:rsid w:val="00A3591D"/>
    <w:rsid w:val="00A511B4"/>
    <w:rsid w:val="00A51C28"/>
    <w:rsid w:val="00A555E1"/>
    <w:rsid w:val="00A566FE"/>
    <w:rsid w:val="00A64248"/>
    <w:rsid w:val="00A64D98"/>
    <w:rsid w:val="00A64EE9"/>
    <w:rsid w:val="00A66F1A"/>
    <w:rsid w:val="00A84318"/>
    <w:rsid w:val="00AA5CB8"/>
    <w:rsid w:val="00AB63F9"/>
    <w:rsid w:val="00AC2A22"/>
    <w:rsid w:val="00AD7FCE"/>
    <w:rsid w:val="00AE49FF"/>
    <w:rsid w:val="00B01CF2"/>
    <w:rsid w:val="00B043A3"/>
    <w:rsid w:val="00B04CC1"/>
    <w:rsid w:val="00B16024"/>
    <w:rsid w:val="00B1680D"/>
    <w:rsid w:val="00B20193"/>
    <w:rsid w:val="00B33076"/>
    <w:rsid w:val="00B54B1E"/>
    <w:rsid w:val="00B67C97"/>
    <w:rsid w:val="00B77395"/>
    <w:rsid w:val="00B825D1"/>
    <w:rsid w:val="00B867AD"/>
    <w:rsid w:val="00B95D04"/>
    <w:rsid w:val="00B969BB"/>
    <w:rsid w:val="00BA7D48"/>
    <w:rsid w:val="00BB0127"/>
    <w:rsid w:val="00BC1E75"/>
    <w:rsid w:val="00BC5B64"/>
    <w:rsid w:val="00C121B3"/>
    <w:rsid w:val="00C1314A"/>
    <w:rsid w:val="00C300EB"/>
    <w:rsid w:val="00C319F1"/>
    <w:rsid w:val="00C32CE1"/>
    <w:rsid w:val="00C37AE2"/>
    <w:rsid w:val="00C37D7F"/>
    <w:rsid w:val="00C4363E"/>
    <w:rsid w:val="00C50904"/>
    <w:rsid w:val="00C53FA6"/>
    <w:rsid w:val="00C55BB9"/>
    <w:rsid w:val="00C57B2D"/>
    <w:rsid w:val="00C847FB"/>
    <w:rsid w:val="00C86AA9"/>
    <w:rsid w:val="00C95E39"/>
    <w:rsid w:val="00CA0A11"/>
    <w:rsid w:val="00CA524A"/>
    <w:rsid w:val="00CA64EF"/>
    <w:rsid w:val="00CA7C62"/>
    <w:rsid w:val="00CC057F"/>
    <w:rsid w:val="00CC145A"/>
    <w:rsid w:val="00CC4818"/>
    <w:rsid w:val="00CC5B53"/>
    <w:rsid w:val="00CD1BCC"/>
    <w:rsid w:val="00CD470A"/>
    <w:rsid w:val="00CE2037"/>
    <w:rsid w:val="00D4478A"/>
    <w:rsid w:val="00D50654"/>
    <w:rsid w:val="00D651A1"/>
    <w:rsid w:val="00D700CE"/>
    <w:rsid w:val="00D779F2"/>
    <w:rsid w:val="00D90231"/>
    <w:rsid w:val="00D93A0D"/>
    <w:rsid w:val="00D945AC"/>
    <w:rsid w:val="00D96DF7"/>
    <w:rsid w:val="00DA2DA5"/>
    <w:rsid w:val="00DB1CA1"/>
    <w:rsid w:val="00DE168A"/>
    <w:rsid w:val="00DE38F0"/>
    <w:rsid w:val="00DE791E"/>
    <w:rsid w:val="00DF249B"/>
    <w:rsid w:val="00E00905"/>
    <w:rsid w:val="00E10BDA"/>
    <w:rsid w:val="00E16224"/>
    <w:rsid w:val="00E26237"/>
    <w:rsid w:val="00E27042"/>
    <w:rsid w:val="00E30A04"/>
    <w:rsid w:val="00E44981"/>
    <w:rsid w:val="00E52830"/>
    <w:rsid w:val="00E54328"/>
    <w:rsid w:val="00E55723"/>
    <w:rsid w:val="00E6006C"/>
    <w:rsid w:val="00E6479C"/>
    <w:rsid w:val="00E65DD3"/>
    <w:rsid w:val="00E802BE"/>
    <w:rsid w:val="00E82761"/>
    <w:rsid w:val="00E9017C"/>
    <w:rsid w:val="00E94404"/>
    <w:rsid w:val="00E95CD1"/>
    <w:rsid w:val="00E97E97"/>
    <w:rsid w:val="00EA1FCB"/>
    <w:rsid w:val="00EA2371"/>
    <w:rsid w:val="00EA4016"/>
    <w:rsid w:val="00EC334F"/>
    <w:rsid w:val="00EC4923"/>
    <w:rsid w:val="00ED2B64"/>
    <w:rsid w:val="00EF48F1"/>
    <w:rsid w:val="00F06643"/>
    <w:rsid w:val="00F07CD3"/>
    <w:rsid w:val="00F20234"/>
    <w:rsid w:val="00F269CE"/>
    <w:rsid w:val="00F26A76"/>
    <w:rsid w:val="00F32337"/>
    <w:rsid w:val="00F3279F"/>
    <w:rsid w:val="00F44C2D"/>
    <w:rsid w:val="00F44E56"/>
    <w:rsid w:val="00F55361"/>
    <w:rsid w:val="00F64B6F"/>
    <w:rsid w:val="00F72D9C"/>
    <w:rsid w:val="00F76FB6"/>
    <w:rsid w:val="00F807C8"/>
    <w:rsid w:val="00F86C8A"/>
    <w:rsid w:val="00F915D8"/>
    <w:rsid w:val="00FA01B2"/>
    <w:rsid w:val="00FA4AF5"/>
    <w:rsid w:val="00FA57AC"/>
    <w:rsid w:val="00FA694E"/>
    <w:rsid w:val="00FB1921"/>
    <w:rsid w:val="00FC4B2D"/>
    <w:rsid w:val="00F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2"/>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96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492"/>
    <w:pPr>
      <w:tabs>
        <w:tab w:val="center" w:pos="4153"/>
        <w:tab w:val="right" w:pos="8306"/>
      </w:tabs>
      <w:jc w:val="both"/>
    </w:pPr>
    <w:rPr>
      <w:szCs w:val="20"/>
      <w:lang w:eastAsia="en-US"/>
    </w:rPr>
  </w:style>
  <w:style w:type="character" w:customStyle="1" w:styleId="HeaderChar">
    <w:name w:val="Header Char"/>
    <w:basedOn w:val="DefaultParagraphFont"/>
    <w:link w:val="Header"/>
    <w:rsid w:val="003E3492"/>
    <w:rPr>
      <w:rFonts w:ascii="Times New Roman" w:eastAsia="Times New Roman" w:hAnsi="Times New Roman" w:cs="Times New Roman"/>
      <w:sz w:val="24"/>
      <w:szCs w:val="20"/>
      <w:lang w:val="lv-LV"/>
    </w:rPr>
  </w:style>
  <w:style w:type="character" w:styleId="PageNumber">
    <w:name w:val="page number"/>
    <w:basedOn w:val="DefaultParagraphFont"/>
    <w:rsid w:val="003E3492"/>
  </w:style>
  <w:style w:type="paragraph" w:styleId="BodyTextIndent">
    <w:name w:val="Body Text Indent"/>
    <w:basedOn w:val="Normal"/>
    <w:link w:val="BodyTextIndentChar"/>
    <w:semiHidden/>
    <w:rsid w:val="003E3492"/>
    <w:pPr>
      <w:autoSpaceDE w:val="0"/>
      <w:autoSpaceDN w:val="0"/>
      <w:adjustRightInd w:val="0"/>
      <w:ind w:firstLine="720"/>
    </w:pPr>
    <w:rPr>
      <w:szCs w:val="20"/>
      <w:lang w:eastAsia="en-US"/>
    </w:rPr>
  </w:style>
  <w:style w:type="character" w:customStyle="1" w:styleId="BodyTextIndentChar">
    <w:name w:val="Body Text Indent Char"/>
    <w:basedOn w:val="DefaultParagraphFont"/>
    <w:link w:val="BodyTextIndent"/>
    <w:semiHidden/>
    <w:rsid w:val="003E3492"/>
    <w:rPr>
      <w:rFonts w:ascii="Times New Roman" w:eastAsia="Times New Roman" w:hAnsi="Times New Roman" w:cs="Times New Roman"/>
      <w:sz w:val="24"/>
      <w:szCs w:val="20"/>
      <w:lang w:val="lv-LV"/>
    </w:rPr>
  </w:style>
  <w:style w:type="paragraph" w:customStyle="1" w:styleId="NormalLatvian">
    <w:name w:val="Normal – Latvian"/>
    <w:basedOn w:val="Normal"/>
    <w:rsid w:val="003E3492"/>
    <w:pPr>
      <w:tabs>
        <w:tab w:val="left" w:pos="1829"/>
      </w:tabs>
      <w:spacing w:after="120"/>
      <w:jc w:val="both"/>
    </w:pPr>
    <w:rPr>
      <w:sz w:val="28"/>
      <w:szCs w:val="28"/>
      <w:lang w:eastAsia="en-US"/>
    </w:rPr>
  </w:style>
  <w:style w:type="character" w:styleId="Hyperlink">
    <w:name w:val="Hyperlink"/>
    <w:semiHidden/>
    <w:rsid w:val="003E3492"/>
    <w:rPr>
      <w:color w:val="AA1317"/>
      <w:u w:val="single"/>
    </w:rPr>
  </w:style>
  <w:style w:type="paragraph" w:styleId="Footer">
    <w:name w:val="footer"/>
    <w:basedOn w:val="Normal"/>
    <w:link w:val="FooterChar"/>
    <w:rsid w:val="003E3492"/>
    <w:pPr>
      <w:tabs>
        <w:tab w:val="center" w:pos="4153"/>
        <w:tab w:val="right" w:pos="8306"/>
      </w:tabs>
    </w:pPr>
  </w:style>
  <w:style w:type="character" w:customStyle="1" w:styleId="FooterChar">
    <w:name w:val="Footer Char"/>
    <w:basedOn w:val="DefaultParagraphFont"/>
    <w:link w:val="Footer"/>
    <w:rsid w:val="003E3492"/>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E3492"/>
    <w:pPr>
      <w:spacing w:after="120"/>
    </w:pPr>
  </w:style>
  <w:style w:type="character" w:customStyle="1" w:styleId="BodyTextChar">
    <w:name w:val="Body Text Char"/>
    <w:basedOn w:val="DefaultParagraphFont"/>
    <w:link w:val="BodyText"/>
    <w:rsid w:val="003E3492"/>
    <w:rPr>
      <w:rFonts w:ascii="Times New Roman" w:eastAsia="Times New Roman" w:hAnsi="Times New Roman" w:cs="Times New Roman"/>
      <w:sz w:val="24"/>
      <w:szCs w:val="24"/>
      <w:lang w:val="lv-LV" w:eastAsia="lv-LV"/>
    </w:rPr>
  </w:style>
  <w:style w:type="paragraph" w:customStyle="1" w:styleId="naisnod">
    <w:name w:val="naisnod"/>
    <w:basedOn w:val="Normal"/>
    <w:rsid w:val="003E3492"/>
    <w:pPr>
      <w:spacing w:before="150" w:after="150"/>
      <w:jc w:val="center"/>
    </w:pPr>
    <w:rPr>
      <w:b/>
      <w:bCs/>
    </w:rPr>
  </w:style>
  <w:style w:type="paragraph" w:customStyle="1" w:styleId="naiskr">
    <w:name w:val="naiskr"/>
    <w:basedOn w:val="Normal"/>
    <w:rsid w:val="003E3492"/>
    <w:pPr>
      <w:spacing w:before="75" w:after="75"/>
    </w:pPr>
  </w:style>
  <w:style w:type="character" w:styleId="CommentReference">
    <w:name w:val="annotation reference"/>
    <w:rsid w:val="003E3492"/>
    <w:rPr>
      <w:sz w:val="16"/>
      <w:szCs w:val="16"/>
    </w:rPr>
  </w:style>
  <w:style w:type="paragraph" w:styleId="CommentText">
    <w:name w:val="annotation text"/>
    <w:basedOn w:val="Normal"/>
    <w:link w:val="CommentTextChar"/>
    <w:rsid w:val="003E3492"/>
    <w:rPr>
      <w:sz w:val="20"/>
      <w:szCs w:val="20"/>
    </w:rPr>
  </w:style>
  <w:style w:type="character" w:customStyle="1" w:styleId="CommentTextChar">
    <w:name w:val="Comment Text Char"/>
    <w:basedOn w:val="DefaultParagraphFont"/>
    <w:link w:val="CommentText"/>
    <w:rsid w:val="003E3492"/>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3E3492"/>
    <w:rPr>
      <w:rFonts w:ascii="Tahoma" w:hAnsi="Tahoma" w:cs="Tahoma"/>
      <w:sz w:val="16"/>
      <w:szCs w:val="16"/>
    </w:rPr>
  </w:style>
  <w:style w:type="character" w:customStyle="1" w:styleId="BalloonTextChar">
    <w:name w:val="Balloon Text Char"/>
    <w:basedOn w:val="DefaultParagraphFont"/>
    <w:link w:val="BalloonText"/>
    <w:uiPriority w:val="99"/>
    <w:semiHidden/>
    <w:rsid w:val="003E3492"/>
    <w:rPr>
      <w:rFonts w:ascii="Tahoma" w:eastAsia="Times New Roman" w:hAnsi="Tahoma" w:cs="Tahoma"/>
      <w:sz w:val="16"/>
      <w:szCs w:val="16"/>
      <w:lang w:val="lv-LV" w:eastAsia="lv-LV"/>
    </w:rPr>
  </w:style>
  <w:style w:type="paragraph" w:styleId="ListParagraph">
    <w:name w:val="List Paragraph"/>
    <w:basedOn w:val="Normal"/>
    <w:uiPriority w:val="99"/>
    <w:qFormat/>
    <w:rsid w:val="000509FC"/>
    <w:pPr>
      <w:ind w:left="720"/>
      <w:contextualSpacing/>
    </w:pPr>
  </w:style>
  <w:style w:type="paragraph" w:styleId="CommentSubject">
    <w:name w:val="annotation subject"/>
    <w:basedOn w:val="CommentText"/>
    <w:next w:val="CommentText"/>
    <w:link w:val="CommentSubjectChar"/>
    <w:uiPriority w:val="99"/>
    <w:semiHidden/>
    <w:unhideWhenUsed/>
    <w:rsid w:val="002656C3"/>
    <w:rPr>
      <w:b/>
      <w:bCs/>
    </w:rPr>
  </w:style>
  <w:style w:type="character" w:customStyle="1" w:styleId="CommentSubjectChar">
    <w:name w:val="Comment Subject Char"/>
    <w:basedOn w:val="CommentTextChar"/>
    <w:link w:val="CommentSubject"/>
    <w:uiPriority w:val="99"/>
    <w:semiHidden/>
    <w:rsid w:val="002656C3"/>
    <w:rPr>
      <w:rFonts w:ascii="Times New Roman" w:eastAsia="Times New Roman" w:hAnsi="Times New Roman" w:cs="Times New Roman"/>
      <w:b/>
      <w:bCs/>
      <w:sz w:val="20"/>
      <w:szCs w:val="20"/>
      <w:lang w:val="lv-LV" w:eastAsia="lv-LV"/>
    </w:rPr>
  </w:style>
  <w:style w:type="paragraph" w:customStyle="1" w:styleId="tv213">
    <w:name w:val="tv213"/>
    <w:basedOn w:val="Normal"/>
    <w:rsid w:val="003A0230"/>
    <w:pPr>
      <w:spacing w:before="100" w:beforeAutospacing="1" w:after="100" w:afterAutospacing="1"/>
    </w:pPr>
  </w:style>
  <w:style w:type="character" w:styleId="Strong">
    <w:name w:val="Strong"/>
    <w:basedOn w:val="DefaultParagraphFont"/>
    <w:uiPriority w:val="22"/>
    <w:qFormat/>
    <w:rsid w:val="00F915D8"/>
    <w:rPr>
      <w:b/>
      <w:bCs/>
    </w:rPr>
  </w:style>
  <w:style w:type="character" w:customStyle="1" w:styleId="Heading1Char">
    <w:name w:val="Heading 1 Char"/>
    <w:basedOn w:val="DefaultParagraphFont"/>
    <w:link w:val="Heading1"/>
    <w:uiPriority w:val="9"/>
    <w:rsid w:val="00296BFB"/>
    <w:rPr>
      <w:rFonts w:asciiTheme="majorHAnsi" w:eastAsiaTheme="majorEastAsia" w:hAnsiTheme="majorHAnsi" w:cstheme="majorBidi"/>
      <w:b/>
      <w:bCs/>
      <w:color w:val="365F91" w:themeColor="accent1" w:themeShade="BF"/>
      <w:sz w:val="28"/>
      <w:szCs w:val="28"/>
      <w:lang w:val="lv-LV" w:eastAsia="lv-LV"/>
    </w:rPr>
  </w:style>
  <w:style w:type="paragraph" w:customStyle="1" w:styleId="naisf">
    <w:name w:val="naisf"/>
    <w:basedOn w:val="Normal"/>
    <w:rsid w:val="00EC334F"/>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2"/>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96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492"/>
    <w:pPr>
      <w:tabs>
        <w:tab w:val="center" w:pos="4153"/>
        <w:tab w:val="right" w:pos="8306"/>
      </w:tabs>
      <w:jc w:val="both"/>
    </w:pPr>
    <w:rPr>
      <w:szCs w:val="20"/>
      <w:lang w:eastAsia="en-US"/>
    </w:rPr>
  </w:style>
  <w:style w:type="character" w:customStyle="1" w:styleId="HeaderChar">
    <w:name w:val="Header Char"/>
    <w:basedOn w:val="DefaultParagraphFont"/>
    <w:link w:val="Header"/>
    <w:rsid w:val="003E3492"/>
    <w:rPr>
      <w:rFonts w:ascii="Times New Roman" w:eastAsia="Times New Roman" w:hAnsi="Times New Roman" w:cs="Times New Roman"/>
      <w:sz w:val="24"/>
      <w:szCs w:val="20"/>
      <w:lang w:val="lv-LV"/>
    </w:rPr>
  </w:style>
  <w:style w:type="character" w:styleId="PageNumber">
    <w:name w:val="page number"/>
    <w:basedOn w:val="DefaultParagraphFont"/>
    <w:rsid w:val="003E3492"/>
  </w:style>
  <w:style w:type="paragraph" w:styleId="BodyTextIndent">
    <w:name w:val="Body Text Indent"/>
    <w:basedOn w:val="Normal"/>
    <w:link w:val="BodyTextIndentChar"/>
    <w:semiHidden/>
    <w:rsid w:val="003E3492"/>
    <w:pPr>
      <w:autoSpaceDE w:val="0"/>
      <w:autoSpaceDN w:val="0"/>
      <w:adjustRightInd w:val="0"/>
      <w:ind w:firstLine="720"/>
    </w:pPr>
    <w:rPr>
      <w:szCs w:val="20"/>
      <w:lang w:eastAsia="en-US"/>
    </w:rPr>
  </w:style>
  <w:style w:type="character" w:customStyle="1" w:styleId="BodyTextIndentChar">
    <w:name w:val="Body Text Indent Char"/>
    <w:basedOn w:val="DefaultParagraphFont"/>
    <w:link w:val="BodyTextIndent"/>
    <w:semiHidden/>
    <w:rsid w:val="003E3492"/>
    <w:rPr>
      <w:rFonts w:ascii="Times New Roman" w:eastAsia="Times New Roman" w:hAnsi="Times New Roman" w:cs="Times New Roman"/>
      <w:sz w:val="24"/>
      <w:szCs w:val="20"/>
      <w:lang w:val="lv-LV"/>
    </w:rPr>
  </w:style>
  <w:style w:type="paragraph" w:customStyle="1" w:styleId="NormalLatvian">
    <w:name w:val="Normal – Latvian"/>
    <w:basedOn w:val="Normal"/>
    <w:rsid w:val="003E3492"/>
    <w:pPr>
      <w:tabs>
        <w:tab w:val="left" w:pos="1829"/>
      </w:tabs>
      <w:spacing w:after="120"/>
      <w:jc w:val="both"/>
    </w:pPr>
    <w:rPr>
      <w:sz w:val="28"/>
      <w:szCs w:val="28"/>
      <w:lang w:eastAsia="en-US"/>
    </w:rPr>
  </w:style>
  <w:style w:type="character" w:styleId="Hyperlink">
    <w:name w:val="Hyperlink"/>
    <w:semiHidden/>
    <w:rsid w:val="003E3492"/>
    <w:rPr>
      <w:color w:val="AA1317"/>
      <w:u w:val="single"/>
    </w:rPr>
  </w:style>
  <w:style w:type="paragraph" w:styleId="Footer">
    <w:name w:val="footer"/>
    <w:basedOn w:val="Normal"/>
    <w:link w:val="FooterChar"/>
    <w:rsid w:val="003E3492"/>
    <w:pPr>
      <w:tabs>
        <w:tab w:val="center" w:pos="4153"/>
        <w:tab w:val="right" w:pos="8306"/>
      </w:tabs>
    </w:pPr>
  </w:style>
  <w:style w:type="character" w:customStyle="1" w:styleId="FooterChar">
    <w:name w:val="Footer Char"/>
    <w:basedOn w:val="DefaultParagraphFont"/>
    <w:link w:val="Footer"/>
    <w:rsid w:val="003E3492"/>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E3492"/>
    <w:pPr>
      <w:spacing w:after="120"/>
    </w:pPr>
  </w:style>
  <w:style w:type="character" w:customStyle="1" w:styleId="BodyTextChar">
    <w:name w:val="Body Text Char"/>
    <w:basedOn w:val="DefaultParagraphFont"/>
    <w:link w:val="BodyText"/>
    <w:rsid w:val="003E3492"/>
    <w:rPr>
      <w:rFonts w:ascii="Times New Roman" w:eastAsia="Times New Roman" w:hAnsi="Times New Roman" w:cs="Times New Roman"/>
      <w:sz w:val="24"/>
      <w:szCs w:val="24"/>
      <w:lang w:val="lv-LV" w:eastAsia="lv-LV"/>
    </w:rPr>
  </w:style>
  <w:style w:type="paragraph" w:customStyle="1" w:styleId="naisnod">
    <w:name w:val="naisnod"/>
    <w:basedOn w:val="Normal"/>
    <w:rsid w:val="003E3492"/>
    <w:pPr>
      <w:spacing w:before="150" w:after="150"/>
      <w:jc w:val="center"/>
    </w:pPr>
    <w:rPr>
      <w:b/>
      <w:bCs/>
    </w:rPr>
  </w:style>
  <w:style w:type="paragraph" w:customStyle="1" w:styleId="naiskr">
    <w:name w:val="naiskr"/>
    <w:basedOn w:val="Normal"/>
    <w:rsid w:val="003E3492"/>
    <w:pPr>
      <w:spacing w:before="75" w:after="75"/>
    </w:pPr>
  </w:style>
  <w:style w:type="character" w:styleId="CommentReference">
    <w:name w:val="annotation reference"/>
    <w:rsid w:val="003E3492"/>
    <w:rPr>
      <w:sz w:val="16"/>
      <w:szCs w:val="16"/>
    </w:rPr>
  </w:style>
  <w:style w:type="paragraph" w:styleId="CommentText">
    <w:name w:val="annotation text"/>
    <w:basedOn w:val="Normal"/>
    <w:link w:val="CommentTextChar"/>
    <w:rsid w:val="003E3492"/>
    <w:rPr>
      <w:sz w:val="20"/>
      <w:szCs w:val="20"/>
    </w:rPr>
  </w:style>
  <w:style w:type="character" w:customStyle="1" w:styleId="CommentTextChar">
    <w:name w:val="Comment Text Char"/>
    <w:basedOn w:val="DefaultParagraphFont"/>
    <w:link w:val="CommentText"/>
    <w:rsid w:val="003E3492"/>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3E3492"/>
    <w:rPr>
      <w:rFonts w:ascii="Tahoma" w:hAnsi="Tahoma" w:cs="Tahoma"/>
      <w:sz w:val="16"/>
      <w:szCs w:val="16"/>
    </w:rPr>
  </w:style>
  <w:style w:type="character" w:customStyle="1" w:styleId="BalloonTextChar">
    <w:name w:val="Balloon Text Char"/>
    <w:basedOn w:val="DefaultParagraphFont"/>
    <w:link w:val="BalloonText"/>
    <w:uiPriority w:val="99"/>
    <w:semiHidden/>
    <w:rsid w:val="003E3492"/>
    <w:rPr>
      <w:rFonts w:ascii="Tahoma" w:eastAsia="Times New Roman" w:hAnsi="Tahoma" w:cs="Tahoma"/>
      <w:sz w:val="16"/>
      <w:szCs w:val="16"/>
      <w:lang w:val="lv-LV" w:eastAsia="lv-LV"/>
    </w:rPr>
  </w:style>
  <w:style w:type="paragraph" w:styleId="ListParagraph">
    <w:name w:val="List Paragraph"/>
    <w:basedOn w:val="Normal"/>
    <w:uiPriority w:val="99"/>
    <w:qFormat/>
    <w:rsid w:val="000509FC"/>
    <w:pPr>
      <w:ind w:left="720"/>
      <w:contextualSpacing/>
    </w:pPr>
  </w:style>
  <w:style w:type="paragraph" w:styleId="CommentSubject">
    <w:name w:val="annotation subject"/>
    <w:basedOn w:val="CommentText"/>
    <w:next w:val="CommentText"/>
    <w:link w:val="CommentSubjectChar"/>
    <w:uiPriority w:val="99"/>
    <w:semiHidden/>
    <w:unhideWhenUsed/>
    <w:rsid w:val="002656C3"/>
    <w:rPr>
      <w:b/>
      <w:bCs/>
    </w:rPr>
  </w:style>
  <w:style w:type="character" w:customStyle="1" w:styleId="CommentSubjectChar">
    <w:name w:val="Comment Subject Char"/>
    <w:basedOn w:val="CommentTextChar"/>
    <w:link w:val="CommentSubject"/>
    <w:uiPriority w:val="99"/>
    <w:semiHidden/>
    <w:rsid w:val="002656C3"/>
    <w:rPr>
      <w:rFonts w:ascii="Times New Roman" w:eastAsia="Times New Roman" w:hAnsi="Times New Roman" w:cs="Times New Roman"/>
      <w:b/>
      <w:bCs/>
      <w:sz w:val="20"/>
      <w:szCs w:val="20"/>
      <w:lang w:val="lv-LV" w:eastAsia="lv-LV"/>
    </w:rPr>
  </w:style>
  <w:style w:type="paragraph" w:customStyle="1" w:styleId="tv213">
    <w:name w:val="tv213"/>
    <w:basedOn w:val="Normal"/>
    <w:rsid w:val="003A0230"/>
    <w:pPr>
      <w:spacing w:before="100" w:beforeAutospacing="1" w:after="100" w:afterAutospacing="1"/>
    </w:pPr>
  </w:style>
  <w:style w:type="character" w:styleId="Strong">
    <w:name w:val="Strong"/>
    <w:basedOn w:val="DefaultParagraphFont"/>
    <w:uiPriority w:val="22"/>
    <w:qFormat/>
    <w:rsid w:val="00F915D8"/>
    <w:rPr>
      <w:b/>
      <w:bCs/>
    </w:rPr>
  </w:style>
  <w:style w:type="character" w:customStyle="1" w:styleId="Heading1Char">
    <w:name w:val="Heading 1 Char"/>
    <w:basedOn w:val="DefaultParagraphFont"/>
    <w:link w:val="Heading1"/>
    <w:uiPriority w:val="9"/>
    <w:rsid w:val="00296BFB"/>
    <w:rPr>
      <w:rFonts w:asciiTheme="majorHAnsi" w:eastAsiaTheme="majorEastAsia" w:hAnsiTheme="majorHAnsi" w:cstheme="majorBidi"/>
      <w:b/>
      <w:bCs/>
      <w:color w:val="365F91" w:themeColor="accent1" w:themeShade="BF"/>
      <w:sz w:val="28"/>
      <w:szCs w:val="28"/>
      <w:lang w:val="lv-LV" w:eastAsia="lv-LV"/>
    </w:rPr>
  </w:style>
  <w:style w:type="paragraph" w:customStyle="1" w:styleId="naisf">
    <w:name w:val="naisf"/>
    <w:basedOn w:val="Normal"/>
    <w:rsid w:val="00EC334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zacest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51AB-472B-4263-8726-C02AEF00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17112</Words>
  <Characters>9755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6.novembra noteikumos Nr.922 “Valsts statistikas pārskatu un anketu veidlapu paraugu apstiprināšanas noteikumi”” sākotnējās ietekmes novērtējuma ziņojums (anotācija)</vt:lpstr>
    </vt:vector>
  </TitlesOfParts>
  <Company>LR CSP</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6.novembra noteikumos Nr.922 “Valsts statistikas pārskatu un anketu veidlapu paraugu apstiprināšanas noteikumi”” sākotnējās ietekmes novērtējuma ziņojums (anotācija)</dc:title>
  <dc:subject>sākotnējās ietekmes novērtējuma ziņojums (anotācija)</dc:subject>
  <dc:creator>Ieva Zaceste</dc:creator>
  <dc:description>ieva.zaceste@csb.gov.lv_x000d_
67366897</dc:description>
  <cp:lastModifiedBy>Jānis Ušpelis</cp:lastModifiedBy>
  <cp:revision>2</cp:revision>
  <cp:lastPrinted>2013-09-24T08:48:00Z</cp:lastPrinted>
  <dcterms:created xsi:type="dcterms:W3CDTF">2013-09-24T08:52:00Z</dcterms:created>
  <dcterms:modified xsi:type="dcterms:W3CDTF">2013-09-24T08:52:00Z</dcterms:modified>
</cp:coreProperties>
</file>