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0C" w:rsidRPr="00527E2C" w:rsidRDefault="009622AF" w:rsidP="00527E2C">
      <w:pPr>
        <w:jc w:val="both"/>
        <w:rPr>
          <w:b/>
          <w:sz w:val="28"/>
          <w:szCs w:val="28"/>
        </w:rPr>
      </w:pPr>
      <w:bookmarkStart w:id="0" w:name="OLE_LINK1"/>
      <w:bookmarkStart w:id="1" w:name="OLE_LINK2"/>
      <w:r w:rsidRPr="00527E2C">
        <w:rPr>
          <w:b/>
          <w:bCs/>
          <w:sz w:val="28"/>
          <w:szCs w:val="28"/>
        </w:rPr>
        <w:t xml:space="preserve">Ministru kabineta </w:t>
      </w:r>
      <w:r w:rsidR="00527E2C" w:rsidRPr="00527E2C">
        <w:rPr>
          <w:b/>
          <w:bCs/>
          <w:sz w:val="28"/>
          <w:szCs w:val="28"/>
        </w:rPr>
        <w:t>rīkojuma</w:t>
      </w:r>
      <w:r w:rsidR="0089380C" w:rsidRPr="00527E2C">
        <w:rPr>
          <w:b/>
          <w:bCs/>
          <w:sz w:val="28"/>
          <w:szCs w:val="28"/>
        </w:rPr>
        <w:t xml:space="preserve"> projekta</w:t>
      </w:r>
      <w:r w:rsidRPr="00527E2C">
        <w:rPr>
          <w:b/>
          <w:bCs/>
          <w:sz w:val="28"/>
          <w:szCs w:val="28"/>
        </w:rPr>
        <w:t xml:space="preserve"> „</w:t>
      </w:r>
      <w:r w:rsidR="00527E2C" w:rsidRPr="00527E2C">
        <w:rPr>
          <w:b/>
          <w:bCs/>
          <w:sz w:val="28"/>
          <w:szCs w:val="28"/>
        </w:rPr>
        <w:t>Par akciju sab</w:t>
      </w:r>
      <w:r w:rsidR="0095646E">
        <w:rPr>
          <w:b/>
          <w:bCs/>
          <w:sz w:val="28"/>
          <w:szCs w:val="28"/>
        </w:rPr>
        <w:t xml:space="preserve">iedrības "Augstsprieguma tīkls" akciju </w:t>
      </w:r>
      <w:r w:rsidR="00527E2C" w:rsidRPr="00527E2C">
        <w:rPr>
          <w:b/>
          <w:bCs/>
          <w:sz w:val="28"/>
          <w:szCs w:val="28"/>
        </w:rPr>
        <w:t xml:space="preserve">pirkšanu un </w:t>
      </w:r>
      <w:r w:rsidR="0095646E">
        <w:rPr>
          <w:b/>
          <w:bCs/>
          <w:sz w:val="28"/>
          <w:szCs w:val="28"/>
        </w:rPr>
        <w:t>akciju</w:t>
      </w:r>
      <w:r w:rsidR="00527E2C" w:rsidRPr="00527E2C">
        <w:rPr>
          <w:b/>
          <w:bCs/>
          <w:sz w:val="28"/>
          <w:szCs w:val="28"/>
        </w:rPr>
        <w:t xml:space="preserve"> turētāju</w:t>
      </w:r>
      <w:r w:rsidR="00527E2C">
        <w:rPr>
          <w:b/>
          <w:bCs/>
          <w:sz w:val="28"/>
          <w:szCs w:val="28"/>
        </w:rPr>
        <w:t>”</w:t>
      </w:r>
      <w:bookmarkEnd w:id="0"/>
      <w:bookmarkEnd w:id="1"/>
      <w:r w:rsidR="00527E2C" w:rsidRPr="00527E2C">
        <w:rPr>
          <w:b/>
          <w:bCs/>
          <w:sz w:val="28"/>
          <w:szCs w:val="28"/>
        </w:rPr>
        <w:t xml:space="preserve"> </w:t>
      </w:r>
      <w:r w:rsidR="0089380C" w:rsidRPr="00527E2C">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0089380C" w:rsidRPr="00527E2C">
          <w:rPr>
            <w:b/>
            <w:bCs/>
            <w:sz w:val="28"/>
            <w:szCs w:val="28"/>
          </w:rPr>
          <w:t>ziņojums</w:t>
        </w:r>
      </w:smartTag>
      <w:r w:rsidR="0089380C" w:rsidRPr="00527E2C">
        <w:rPr>
          <w:b/>
          <w:bCs/>
          <w:sz w:val="28"/>
          <w:szCs w:val="28"/>
        </w:rPr>
        <w:t xml:space="preserve"> (anotācija)</w:t>
      </w:r>
    </w:p>
    <w:p w:rsidR="00774214" w:rsidRPr="00E40368" w:rsidRDefault="00774214" w:rsidP="00774214">
      <w:pPr>
        <w:pStyle w:val="naisnod"/>
        <w:spacing w:before="0" w:beforeAutospacing="0" w:after="0" w:afterAutospacing="0"/>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5542"/>
      </w:tblGrid>
      <w:tr w:rsidR="0089380C" w:rsidRPr="00E40368" w:rsidTr="00444F3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E40368" w:rsidRDefault="0089380C" w:rsidP="00C051AD">
            <w:pPr>
              <w:pStyle w:val="naisc"/>
              <w:jc w:val="center"/>
              <w:rPr>
                <w:sz w:val="28"/>
                <w:szCs w:val="28"/>
              </w:rPr>
            </w:pPr>
            <w:r w:rsidRPr="00E40368">
              <w:rPr>
                <w:b/>
                <w:bCs/>
                <w:sz w:val="28"/>
                <w:szCs w:val="28"/>
              </w:rPr>
              <w:t>I. Tiesību akta projekta izstrādes nepieciešamība</w:t>
            </w:r>
          </w:p>
        </w:tc>
      </w:tr>
      <w:tr w:rsidR="0089380C" w:rsidRPr="00E40368" w:rsidTr="000D7D82">
        <w:trPr>
          <w:trHeight w:val="630"/>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lab"/>
              <w:jc w:val="both"/>
              <w:rPr>
                <w:sz w:val="28"/>
                <w:szCs w:val="28"/>
              </w:rPr>
            </w:pPr>
            <w:r w:rsidRPr="00E40368">
              <w:rPr>
                <w:sz w:val="28"/>
                <w:szCs w:val="28"/>
              </w:rPr>
              <w:t> Pamatojums</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187797" w:rsidP="007040BF">
            <w:pPr>
              <w:pStyle w:val="naislab"/>
              <w:spacing w:before="0" w:after="0"/>
              <w:jc w:val="both"/>
              <w:rPr>
                <w:sz w:val="28"/>
                <w:szCs w:val="28"/>
              </w:rPr>
            </w:pPr>
            <w:r>
              <w:rPr>
                <w:sz w:val="28"/>
                <w:szCs w:val="28"/>
              </w:rPr>
              <w:t>Ministru kabineta 2011.gada 12.janvāra rīkojuma Nr.12 „</w:t>
            </w:r>
            <w:r w:rsidRPr="00D72D4D">
              <w:rPr>
                <w:bCs/>
                <w:sz w:val="28"/>
                <w:szCs w:val="28"/>
              </w:rPr>
              <w:t xml:space="preserve">Par Koncepciju par nepieciešamajām darbībām Eiropas Parlamenta un Padomes 2009.gada 13.jūlija Direktīvā 2009/72/EK par kopīgiem noteikumiem attiecībā uz elektroenerģijas iekšējo tirgu un par Direktīvas 2003/54/EK atcelšanu noteiktajai elektroenerģijas pārvades </w:t>
            </w:r>
            <w:r>
              <w:rPr>
                <w:bCs/>
                <w:sz w:val="28"/>
                <w:szCs w:val="28"/>
              </w:rPr>
              <w:t>sistēmas operatora nodalīšanai” 5.punkts</w:t>
            </w:r>
          </w:p>
        </w:tc>
      </w:tr>
      <w:tr w:rsidR="0089380C" w:rsidRPr="00E40368" w:rsidTr="00131719">
        <w:trPr>
          <w:trHeight w:val="47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Pašreizējā situācija un problēmas</w:t>
            </w:r>
          </w:p>
        </w:tc>
        <w:tc>
          <w:tcPr>
            <w:tcW w:w="5542" w:type="dxa"/>
            <w:tcBorders>
              <w:top w:val="outset" w:sz="6" w:space="0" w:color="auto"/>
              <w:left w:val="outset" w:sz="6" w:space="0" w:color="auto"/>
              <w:bottom w:val="outset" w:sz="6" w:space="0" w:color="auto"/>
              <w:right w:val="outset" w:sz="6" w:space="0" w:color="auto"/>
            </w:tcBorders>
          </w:tcPr>
          <w:p w:rsidR="00764D5D" w:rsidRPr="00D72D4D" w:rsidRDefault="008A3446" w:rsidP="00764D5D">
            <w:pPr>
              <w:pStyle w:val="naiskr"/>
              <w:jc w:val="both"/>
              <w:rPr>
                <w:sz w:val="28"/>
                <w:szCs w:val="28"/>
              </w:rPr>
            </w:pPr>
            <w:r w:rsidRPr="00D72D4D">
              <w:rPr>
                <w:sz w:val="28"/>
                <w:szCs w:val="28"/>
              </w:rPr>
              <w:t>Ministru kabinet</w:t>
            </w:r>
            <w:r w:rsidR="007040BF">
              <w:rPr>
                <w:sz w:val="28"/>
                <w:szCs w:val="28"/>
              </w:rPr>
              <w:t>s ar 2011.gada 12.janvāra</w:t>
            </w:r>
            <w:r w:rsidRPr="00D72D4D">
              <w:rPr>
                <w:sz w:val="28"/>
                <w:szCs w:val="28"/>
              </w:rPr>
              <w:t xml:space="preserve"> rīkojumu Nr.12 „</w:t>
            </w:r>
            <w:r w:rsidRPr="00D72D4D">
              <w:rPr>
                <w:bCs/>
                <w:sz w:val="28"/>
                <w:szCs w:val="28"/>
              </w:rPr>
              <w:t xml:space="preserve">Par Koncepciju par nepieciešamajām darbībām Eiropas Parlamenta un Padomes 2009.gada 13.jūlija Direktīvā 2009/72/EK par kopīgiem noteikumiem attiecībā uz elektroenerģijas iekšējo tirgu un par Direktīvas 2003/54/EK atcelšanu noteiktajai elektroenerģijas pārvades </w:t>
            </w:r>
            <w:r w:rsidR="005D2283">
              <w:rPr>
                <w:bCs/>
                <w:sz w:val="28"/>
                <w:szCs w:val="28"/>
              </w:rPr>
              <w:t xml:space="preserve">sistēmas operatora nodalīšanai” atbalstīja augstāk minētajā koncepcijā paredzēto 2.risinājumu, </w:t>
            </w:r>
            <w:r w:rsidRPr="00D72D4D">
              <w:rPr>
                <w:bCs/>
                <w:sz w:val="28"/>
                <w:szCs w:val="28"/>
              </w:rPr>
              <w:t xml:space="preserve"> </w:t>
            </w:r>
            <w:r w:rsidR="00DB08E1" w:rsidRPr="00D72D4D">
              <w:rPr>
                <w:bCs/>
                <w:sz w:val="28"/>
                <w:szCs w:val="28"/>
              </w:rPr>
              <w:t>uzdod</w:t>
            </w:r>
            <w:r w:rsidR="005D2283">
              <w:rPr>
                <w:bCs/>
                <w:sz w:val="28"/>
                <w:szCs w:val="28"/>
              </w:rPr>
              <w:t>ot</w:t>
            </w:r>
            <w:r w:rsidR="00DB08E1" w:rsidRPr="00D72D4D">
              <w:rPr>
                <w:sz w:val="28"/>
                <w:szCs w:val="28"/>
              </w:rPr>
              <w:t xml:space="preserve"> </w:t>
            </w:r>
            <w:r w:rsidR="00D72D4D" w:rsidRPr="00D72D4D">
              <w:rPr>
                <w:sz w:val="28"/>
                <w:szCs w:val="28"/>
              </w:rPr>
              <w:t xml:space="preserve">izveidot neatkarīgu sistēmas operatoru un nodrošināt Eiropas Parlamenta </w:t>
            </w:r>
            <w:r w:rsidR="00D72D4D" w:rsidRPr="00D72D4D">
              <w:rPr>
                <w:bCs/>
                <w:sz w:val="28"/>
                <w:szCs w:val="28"/>
              </w:rPr>
              <w:t>un Padomes 2009.gada 13.jūlija Direktīv</w:t>
            </w:r>
            <w:r w:rsidR="00187797">
              <w:rPr>
                <w:bCs/>
                <w:sz w:val="28"/>
                <w:szCs w:val="28"/>
              </w:rPr>
              <w:t>as</w:t>
            </w:r>
            <w:r w:rsidR="00D72D4D" w:rsidRPr="00D72D4D">
              <w:rPr>
                <w:bCs/>
                <w:sz w:val="28"/>
                <w:szCs w:val="28"/>
              </w:rPr>
              <w:t xml:space="preserve"> 2009/72/EK par kopīgiem noteikumiem attiecībā uz elektroenerģijas iekšējo tirgu un par Direktīvas 2003/54/EK atcelšanu (turpmāk – direktīva)</w:t>
            </w:r>
            <w:r w:rsidR="00D72D4D" w:rsidRPr="00D72D4D">
              <w:rPr>
                <w:sz w:val="28"/>
                <w:szCs w:val="28"/>
              </w:rPr>
              <w:t xml:space="preserve"> noteiktās prasības attiecībā uz </w:t>
            </w:r>
            <w:r w:rsidR="005D2283">
              <w:rPr>
                <w:sz w:val="28"/>
                <w:szCs w:val="28"/>
              </w:rPr>
              <w:t>elektroenerģijas pārvades sistēmas</w:t>
            </w:r>
            <w:r w:rsidR="00D72D4D" w:rsidRPr="00D72D4D">
              <w:rPr>
                <w:sz w:val="28"/>
                <w:szCs w:val="28"/>
              </w:rPr>
              <w:t xml:space="preserve"> operatora un pārvades sistēmas īpašnieka neatkarību</w:t>
            </w:r>
            <w:r w:rsidR="00D72D4D">
              <w:rPr>
                <w:sz w:val="28"/>
                <w:szCs w:val="28"/>
              </w:rPr>
              <w:t>.</w:t>
            </w:r>
          </w:p>
          <w:p w:rsidR="00D72D4D" w:rsidRDefault="0048600E" w:rsidP="00527E2C">
            <w:pPr>
              <w:pStyle w:val="naiskr"/>
              <w:spacing w:before="0" w:beforeAutospacing="0" w:after="0" w:afterAutospacing="0"/>
              <w:jc w:val="both"/>
              <w:rPr>
                <w:bCs/>
                <w:sz w:val="28"/>
                <w:szCs w:val="28"/>
              </w:rPr>
            </w:pPr>
            <w:r>
              <w:rPr>
                <w:sz w:val="28"/>
                <w:szCs w:val="28"/>
              </w:rPr>
              <w:t>Turpinot</w:t>
            </w:r>
            <w:r w:rsidR="00187797">
              <w:rPr>
                <w:sz w:val="28"/>
                <w:szCs w:val="28"/>
              </w:rPr>
              <w:t xml:space="preserve"> Latvijas izvēlētā pārvades sistēmas operatora nodalīšanas veida – neatkarīgā sistēmas operatora izveidošana (2.modelis) ieviešanu, Saeima pieņēma grozījumus Elektroenerģijas tirgus likumā, kas stājās spēkā 2011.gada 11.augustā.</w:t>
            </w:r>
          </w:p>
          <w:p w:rsidR="00C051AD" w:rsidRDefault="00187797" w:rsidP="00B45AEB">
            <w:pPr>
              <w:pStyle w:val="naiskr"/>
              <w:jc w:val="both"/>
              <w:rPr>
                <w:bCs/>
                <w:sz w:val="28"/>
                <w:szCs w:val="28"/>
              </w:rPr>
            </w:pPr>
            <w:r>
              <w:rPr>
                <w:bCs/>
                <w:sz w:val="28"/>
                <w:szCs w:val="28"/>
              </w:rPr>
              <w:t xml:space="preserve">Tā kā AS „Latvenergo” ir gan elektroenerģijas </w:t>
            </w:r>
            <w:r>
              <w:rPr>
                <w:bCs/>
                <w:sz w:val="28"/>
                <w:szCs w:val="28"/>
              </w:rPr>
              <w:lastRenderedPageBreak/>
              <w:t xml:space="preserve">sistēmas īpašnieka (AS „Latvijas elektriskie tīkli”) </w:t>
            </w:r>
            <w:r w:rsidR="0095646E">
              <w:rPr>
                <w:bCs/>
                <w:sz w:val="28"/>
                <w:szCs w:val="28"/>
              </w:rPr>
              <w:t>akciju</w:t>
            </w:r>
            <w:r>
              <w:rPr>
                <w:bCs/>
                <w:sz w:val="28"/>
                <w:szCs w:val="28"/>
              </w:rPr>
              <w:t xml:space="preserve"> turētājs, gan sadales sistēmas operatora (AS „Sadales tīkls”) </w:t>
            </w:r>
            <w:r w:rsidR="0095646E">
              <w:rPr>
                <w:bCs/>
                <w:sz w:val="28"/>
                <w:szCs w:val="28"/>
              </w:rPr>
              <w:t>akciju</w:t>
            </w:r>
            <w:r>
              <w:rPr>
                <w:bCs/>
                <w:sz w:val="28"/>
                <w:szCs w:val="28"/>
              </w:rPr>
              <w:t xml:space="preserve"> turētājs, tad, lai ievērotu Elektroenerģijas tirgus likuma prasības, ir nepieciešams atsavināt pārvades sistēmas operatora AS „Augstsprieguma tīkls” </w:t>
            </w:r>
            <w:r w:rsidR="0095646E">
              <w:rPr>
                <w:bCs/>
                <w:sz w:val="28"/>
                <w:szCs w:val="28"/>
              </w:rPr>
              <w:t>akcijas</w:t>
            </w:r>
            <w:r w:rsidR="00B800AE">
              <w:rPr>
                <w:bCs/>
                <w:sz w:val="28"/>
                <w:szCs w:val="28"/>
              </w:rPr>
              <w:t>, tādejādi izbeidzot</w:t>
            </w:r>
            <w:r w:rsidR="0048600E">
              <w:rPr>
                <w:bCs/>
                <w:sz w:val="28"/>
                <w:szCs w:val="28"/>
              </w:rPr>
              <w:t xml:space="preserve"> AS „Latvenergo”</w:t>
            </w:r>
            <w:r w:rsidR="00B800AE">
              <w:rPr>
                <w:bCs/>
                <w:sz w:val="28"/>
                <w:szCs w:val="28"/>
              </w:rPr>
              <w:t xml:space="preserve"> līdzdalību AS „Augstsprieguma tīkls”.</w:t>
            </w:r>
          </w:p>
          <w:p w:rsidR="008A3446" w:rsidRPr="00C051AD" w:rsidRDefault="00B800AE" w:rsidP="00B45AEB">
            <w:pPr>
              <w:pStyle w:val="naiskr"/>
              <w:jc w:val="both"/>
              <w:rPr>
                <w:bCs/>
                <w:sz w:val="28"/>
                <w:szCs w:val="28"/>
              </w:rPr>
            </w:pPr>
            <w:r>
              <w:rPr>
                <w:sz w:val="28"/>
                <w:szCs w:val="28"/>
              </w:rPr>
              <w:t xml:space="preserve">AS  </w:t>
            </w:r>
            <w:r w:rsidRPr="0053551C">
              <w:rPr>
                <w:sz w:val="28"/>
                <w:szCs w:val="28"/>
              </w:rPr>
              <w:t>"</w:t>
            </w:r>
            <w:r>
              <w:rPr>
                <w:sz w:val="28"/>
                <w:szCs w:val="28"/>
              </w:rPr>
              <w:t>Latvenergo</w:t>
            </w:r>
            <w:r w:rsidRPr="0053551C">
              <w:rPr>
                <w:sz w:val="28"/>
                <w:szCs w:val="28"/>
              </w:rPr>
              <w:t>"</w:t>
            </w:r>
            <w:r>
              <w:rPr>
                <w:sz w:val="28"/>
                <w:szCs w:val="28"/>
              </w:rPr>
              <w:t xml:space="preserve"> valde ar 2011.gada 30.</w:t>
            </w:r>
            <w:r w:rsidR="0048600E">
              <w:rPr>
                <w:sz w:val="28"/>
                <w:szCs w:val="28"/>
              </w:rPr>
              <w:t>augusta</w:t>
            </w:r>
            <w:r w:rsidR="00737603">
              <w:rPr>
                <w:sz w:val="28"/>
                <w:szCs w:val="28"/>
              </w:rPr>
              <w:t xml:space="preserve"> </w:t>
            </w:r>
            <w:r>
              <w:rPr>
                <w:sz w:val="28"/>
                <w:szCs w:val="28"/>
              </w:rPr>
              <w:t>lēmumu Nr.</w:t>
            </w:r>
            <w:r w:rsidR="00B45AEB">
              <w:rPr>
                <w:sz w:val="28"/>
                <w:szCs w:val="28"/>
              </w:rPr>
              <w:t>210/46</w:t>
            </w:r>
            <w:r>
              <w:rPr>
                <w:sz w:val="28"/>
                <w:szCs w:val="28"/>
              </w:rPr>
              <w:t xml:space="preserve"> piekritusi tai piederošo </w:t>
            </w:r>
            <w:r w:rsidRPr="0041132F">
              <w:rPr>
                <w:sz w:val="28"/>
                <w:szCs w:val="28"/>
              </w:rPr>
              <w:t>akciju sabiedrīb</w:t>
            </w:r>
            <w:r>
              <w:rPr>
                <w:sz w:val="28"/>
                <w:szCs w:val="28"/>
              </w:rPr>
              <w:t>as</w:t>
            </w:r>
            <w:r w:rsidRPr="0041132F">
              <w:rPr>
                <w:sz w:val="28"/>
                <w:szCs w:val="28"/>
              </w:rPr>
              <w:t xml:space="preserve"> "</w:t>
            </w:r>
            <w:r w:rsidR="00B45AEB">
              <w:rPr>
                <w:sz w:val="28"/>
                <w:szCs w:val="28"/>
              </w:rPr>
              <w:t>Augstsprieguma tīkls</w:t>
            </w:r>
            <w:r w:rsidRPr="0041132F">
              <w:rPr>
                <w:sz w:val="28"/>
                <w:szCs w:val="28"/>
              </w:rPr>
              <w:t>"</w:t>
            </w:r>
            <w:r>
              <w:rPr>
                <w:sz w:val="28"/>
                <w:szCs w:val="28"/>
              </w:rPr>
              <w:t xml:space="preserve"> akciju pārdošanai valstij</w:t>
            </w:r>
            <w:r w:rsidR="00B45AEB">
              <w:rPr>
                <w:sz w:val="28"/>
                <w:szCs w:val="28"/>
              </w:rPr>
              <w:t>.</w:t>
            </w:r>
          </w:p>
          <w:p w:rsidR="00B45AEB" w:rsidRPr="00E40368" w:rsidRDefault="00B45AEB" w:rsidP="0095646E">
            <w:pPr>
              <w:pStyle w:val="naiskr"/>
              <w:jc w:val="both"/>
              <w:rPr>
                <w:sz w:val="28"/>
                <w:szCs w:val="28"/>
              </w:rPr>
            </w:pPr>
            <w:r>
              <w:rPr>
                <w:sz w:val="28"/>
                <w:szCs w:val="28"/>
              </w:rPr>
              <w:t xml:space="preserve">2011.gada 7.septembrī AS „Latvenergo” akcionāru sapulce piekrita AS „Augstsprieguma tīkls” </w:t>
            </w:r>
            <w:r w:rsidR="0095646E">
              <w:rPr>
                <w:sz w:val="28"/>
                <w:szCs w:val="28"/>
              </w:rPr>
              <w:t>akciju</w:t>
            </w:r>
            <w:r>
              <w:rPr>
                <w:sz w:val="28"/>
                <w:szCs w:val="28"/>
              </w:rPr>
              <w:t xml:space="preserve"> atsavināšanai un ierosinājumam, atbilstoši likuma „Par valsts un pašvaldību kapitāla daļām un kapitālsabiedrībām</w:t>
            </w:r>
            <w:r w:rsidRPr="003E63FD">
              <w:rPr>
                <w:sz w:val="28"/>
                <w:szCs w:val="28"/>
              </w:rPr>
              <w:t>"</w:t>
            </w:r>
            <w:r>
              <w:rPr>
                <w:sz w:val="28"/>
                <w:szCs w:val="28"/>
              </w:rPr>
              <w:t xml:space="preserve"> 8.panta otr</w:t>
            </w:r>
            <w:r w:rsidR="0048600E">
              <w:rPr>
                <w:sz w:val="28"/>
                <w:szCs w:val="28"/>
              </w:rPr>
              <w:t>ajai</w:t>
            </w:r>
            <w:r>
              <w:rPr>
                <w:sz w:val="28"/>
                <w:szCs w:val="28"/>
              </w:rPr>
              <w:t xml:space="preserve"> daļ</w:t>
            </w:r>
            <w:r w:rsidR="0048600E">
              <w:rPr>
                <w:sz w:val="28"/>
                <w:szCs w:val="28"/>
              </w:rPr>
              <w:t>ai</w:t>
            </w:r>
            <w:r>
              <w:rPr>
                <w:sz w:val="28"/>
                <w:szCs w:val="28"/>
              </w:rPr>
              <w:t>, 98.panta treš</w:t>
            </w:r>
            <w:r w:rsidR="0048600E">
              <w:rPr>
                <w:sz w:val="28"/>
                <w:szCs w:val="28"/>
              </w:rPr>
              <w:t>ajai</w:t>
            </w:r>
            <w:r>
              <w:rPr>
                <w:sz w:val="28"/>
                <w:szCs w:val="28"/>
              </w:rPr>
              <w:t xml:space="preserve"> daļ</w:t>
            </w:r>
            <w:r w:rsidR="0048600E">
              <w:rPr>
                <w:sz w:val="28"/>
                <w:szCs w:val="28"/>
              </w:rPr>
              <w:t>ai</w:t>
            </w:r>
            <w:r>
              <w:rPr>
                <w:sz w:val="28"/>
                <w:szCs w:val="28"/>
              </w:rPr>
              <w:t xml:space="preserve">, saņemt Ministru kabineta piekrišanu AS „Latvenergo”  līdzdalības izbeigšanai AS „Augstsprieguma tīkls”, atsavinot Latvijas Republikai visas AS „Latvenergo” īpašumā esošās AS „Augstsprieguma tīkls” </w:t>
            </w:r>
            <w:r w:rsidR="0095646E">
              <w:rPr>
                <w:sz w:val="28"/>
                <w:szCs w:val="28"/>
              </w:rPr>
              <w:t>akcijas</w:t>
            </w:r>
            <w:r>
              <w:rPr>
                <w:sz w:val="28"/>
                <w:szCs w:val="28"/>
              </w:rPr>
              <w:t>.</w:t>
            </w:r>
          </w:p>
        </w:tc>
      </w:tr>
      <w:tr w:rsidR="0089380C" w:rsidRPr="00E40368" w:rsidTr="00187797">
        <w:trPr>
          <w:trHeight w:val="657"/>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lastRenderedPageBreak/>
              <w:t> 3.</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Saistītie politikas ietekmes novērtējumi un pētījumi</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1A6C2B" w:rsidP="00EA18F1">
            <w:pPr>
              <w:pStyle w:val="naiskr"/>
              <w:rPr>
                <w:sz w:val="28"/>
                <w:szCs w:val="28"/>
              </w:rPr>
            </w:pPr>
            <w:r w:rsidRPr="00E40368">
              <w:rPr>
                <w:sz w:val="28"/>
                <w:szCs w:val="28"/>
              </w:rPr>
              <w:t> </w:t>
            </w:r>
            <w:r w:rsidR="00EA18F1">
              <w:rPr>
                <w:sz w:val="28"/>
                <w:szCs w:val="28"/>
              </w:rPr>
              <w:t>Projekts šo jomu neskar.</w:t>
            </w:r>
          </w:p>
        </w:tc>
      </w:tr>
      <w:tr w:rsidR="0089380C" w:rsidRPr="00E40368" w:rsidTr="00187797">
        <w:trPr>
          <w:trHeight w:val="384"/>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Tiesiskā regulējuma mērķis un būtība</w:t>
            </w:r>
          </w:p>
        </w:tc>
        <w:tc>
          <w:tcPr>
            <w:tcW w:w="5542" w:type="dxa"/>
            <w:tcBorders>
              <w:top w:val="outset" w:sz="6" w:space="0" w:color="auto"/>
              <w:left w:val="outset" w:sz="6" w:space="0" w:color="auto"/>
              <w:bottom w:val="outset" w:sz="6" w:space="0" w:color="auto"/>
              <w:right w:val="outset" w:sz="6" w:space="0" w:color="auto"/>
            </w:tcBorders>
          </w:tcPr>
          <w:p w:rsidR="00FF555E" w:rsidRDefault="00EA18F1" w:rsidP="00EA18F1">
            <w:pPr>
              <w:pStyle w:val="Header"/>
              <w:tabs>
                <w:tab w:val="left" w:pos="720"/>
              </w:tabs>
              <w:jc w:val="both"/>
              <w:rPr>
                <w:sz w:val="28"/>
                <w:szCs w:val="28"/>
              </w:rPr>
            </w:pPr>
            <w:r w:rsidRPr="00523B4E">
              <w:rPr>
                <w:sz w:val="28"/>
                <w:szCs w:val="28"/>
              </w:rPr>
              <w:t>Ar rīkojuma projektu paredzēts</w:t>
            </w:r>
            <w:r>
              <w:rPr>
                <w:sz w:val="28"/>
                <w:szCs w:val="28"/>
              </w:rPr>
              <w:t xml:space="preserve"> </w:t>
            </w:r>
            <w:r w:rsidR="00FF555E">
              <w:rPr>
                <w:sz w:val="28"/>
                <w:szCs w:val="28"/>
              </w:rPr>
              <w:t>atļaut</w:t>
            </w:r>
            <w:r>
              <w:rPr>
                <w:sz w:val="28"/>
                <w:szCs w:val="28"/>
              </w:rPr>
              <w:t xml:space="preserve"> Finanšu</w:t>
            </w:r>
            <w:r w:rsidRPr="003A7CAC">
              <w:rPr>
                <w:sz w:val="28"/>
                <w:szCs w:val="28"/>
              </w:rPr>
              <w:t xml:space="preserve"> ministrijai</w:t>
            </w:r>
            <w:r w:rsidR="00FF555E">
              <w:rPr>
                <w:sz w:val="28"/>
                <w:szCs w:val="28"/>
              </w:rPr>
              <w:t xml:space="preserve"> valsts vārdā</w:t>
            </w:r>
            <w:r w:rsidRPr="003A7CAC">
              <w:rPr>
                <w:sz w:val="28"/>
                <w:szCs w:val="28"/>
              </w:rPr>
              <w:t xml:space="preserve"> pirkt </w:t>
            </w:r>
            <w:r>
              <w:rPr>
                <w:sz w:val="28"/>
                <w:szCs w:val="28"/>
              </w:rPr>
              <w:t>AS</w:t>
            </w:r>
            <w:r w:rsidRPr="003A7CAC">
              <w:rPr>
                <w:sz w:val="28"/>
                <w:szCs w:val="28"/>
              </w:rPr>
              <w:t xml:space="preserve"> "</w:t>
            </w:r>
            <w:r>
              <w:rPr>
                <w:sz w:val="28"/>
                <w:szCs w:val="28"/>
              </w:rPr>
              <w:t>Augstsprieguma tīkls</w:t>
            </w:r>
            <w:r w:rsidRPr="003A7CAC">
              <w:rPr>
                <w:sz w:val="28"/>
                <w:szCs w:val="28"/>
              </w:rPr>
              <w:t>"</w:t>
            </w:r>
            <w:r>
              <w:rPr>
                <w:sz w:val="28"/>
                <w:szCs w:val="28"/>
              </w:rPr>
              <w:t xml:space="preserve"> </w:t>
            </w:r>
            <w:r w:rsidR="0095646E">
              <w:rPr>
                <w:sz w:val="28"/>
                <w:szCs w:val="28"/>
              </w:rPr>
              <w:t>akcijas</w:t>
            </w:r>
            <w:r>
              <w:rPr>
                <w:sz w:val="28"/>
                <w:szCs w:val="28"/>
              </w:rPr>
              <w:t xml:space="preserve"> </w:t>
            </w:r>
            <w:r w:rsidR="00FF555E">
              <w:rPr>
                <w:sz w:val="28"/>
                <w:szCs w:val="28"/>
              </w:rPr>
              <w:t xml:space="preserve">par </w:t>
            </w:r>
            <w:r w:rsidR="00FF555E" w:rsidRPr="00A82F99">
              <w:rPr>
                <w:b/>
                <w:sz w:val="28"/>
                <w:szCs w:val="28"/>
              </w:rPr>
              <w:t>3 900 000</w:t>
            </w:r>
            <w:r w:rsidR="00FF555E" w:rsidRPr="00440C9B">
              <w:rPr>
                <w:sz w:val="28"/>
                <w:szCs w:val="28"/>
              </w:rPr>
              <w:t xml:space="preserve"> lat</w:t>
            </w:r>
            <w:r w:rsidR="00FF555E">
              <w:rPr>
                <w:sz w:val="28"/>
                <w:szCs w:val="28"/>
              </w:rPr>
              <w:t xml:space="preserve">iem </w:t>
            </w:r>
            <w:r>
              <w:rPr>
                <w:sz w:val="28"/>
                <w:szCs w:val="28"/>
              </w:rPr>
              <w:t xml:space="preserve">un slēgt ar AS </w:t>
            </w:r>
            <w:r w:rsidRPr="003A7CAC">
              <w:rPr>
                <w:sz w:val="28"/>
                <w:szCs w:val="28"/>
              </w:rPr>
              <w:t>"</w:t>
            </w:r>
            <w:r>
              <w:rPr>
                <w:sz w:val="28"/>
                <w:szCs w:val="28"/>
              </w:rPr>
              <w:t>Latvenergo</w:t>
            </w:r>
            <w:r w:rsidRPr="003A7CAC">
              <w:rPr>
                <w:sz w:val="28"/>
                <w:szCs w:val="28"/>
              </w:rPr>
              <w:t>"</w:t>
            </w:r>
            <w:r>
              <w:rPr>
                <w:sz w:val="28"/>
                <w:szCs w:val="28"/>
              </w:rPr>
              <w:t xml:space="preserve"> </w:t>
            </w:r>
            <w:r w:rsidRPr="003A7CAC">
              <w:rPr>
                <w:sz w:val="28"/>
                <w:szCs w:val="28"/>
              </w:rPr>
              <w:t>attiecīgu pirkuma līgumu</w:t>
            </w:r>
            <w:r w:rsidR="00B86FA2">
              <w:rPr>
                <w:sz w:val="28"/>
                <w:szCs w:val="28"/>
              </w:rPr>
              <w:t xml:space="preserve">, tādējādi iegūstot valsts izšķirošo ietekmi </w:t>
            </w:r>
            <w:r w:rsidR="00B86FA2" w:rsidRPr="00DC4017">
              <w:rPr>
                <w:sz w:val="28"/>
                <w:szCs w:val="28"/>
              </w:rPr>
              <w:t>akciju sabiedrīb</w:t>
            </w:r>
            <w:r w:rsidR="00B86FA2">
              <w:rPr>
                <w:sz w:val="28"/>
                <w:szCs w:val="28"/>
              </w:rPr>
              <w:t>ā</w:t>
            </w:r>
            <w:r w:rsidR="00B86FA2" w:rsidRPr="00DC4017">
              <w:rPr>
                <w:sz w:val="28"/>
                <w:szCs w:val="28"/>
              </w:rPr>
              <w:t xml:space="preserve"> ”</w:t>
            </w:r>
            <w:r w:rsidR="00B86FA2" w:rsidRPr="00DC4017">
              <w:rPr>
                <w:bCs/>
                <w:sz w:val="28"/>
                <w:szCs w:val="28"/>
              </w:rPr>
              <w:t>Augstsprieguma tīkls</w:t>
            </w:r>
            <w:r w:rsidR="00B86FA2">
              <w:rPr>
                <w:bCs/>
                <w:sz w:val="28"/>
                <w:szCs w:val="28"/>
              </w:rPr>
              <w:t>.</w:t>
            </w:r>
          </w:p>
          <w:p w:rsidR="00FF555E" w:rsidRDefault="00FF555E" w:rsidP="00EA18F1">
            <w:pPr>
              <w:pStyle w:val="Header"/>
              <w:tabs>
                <w:tab w:val="left" w:pos="720"/>
              </w:tabs>
              <w:jc w:val="both"/>
              <w:rPr>
                <w:sz w:val="28"/>
                <w:szCs w:val="28"/>
              </w:rPr>
            </w:pPr>
          </w:p>
          <w:p w:rsidR="00CE1E40" w:rsidRDefault="00FF555E" w:rsidP="00EA18F1">
            <w:pPr>
              <w:pStyle w:val="Header"/>
              <w:tabs>
                <w:tab w:val="left" w:pos="720"/>
              </w:tabs>
              <w:jc w:val="both"/>
              <w:rPr>
                <w:sz w:val="28"/>
                <w:szCs w:val="28"/>
              </w:rPr>
            </w:pPr>
            <w:r>
              <w:rPr>
                <w:sz w:val="28"/>
                <w:szCs w:val="28"/>
              </w:rPr>
              <w:t xml:space="preserve">Finanšu ministrija </w:t>
            </w:r>
            <w:r w:rsidR="00EA18F1">
              <w:rPr>
                <w:sz w:val="28"/>
                <w:szCs w:val="28"/>
              </w:rPr>
              <w:t xml:space="preserve">saskaņā ar likuma </w:t>
            </w:r>
            <w:r w:rsidR="00EA18F1" w:rsidRPr="003E63FD">
              <w:rPr>
                <w:sz w:val="28"/>
                <w:szCs w:val="28"/>
              </w:rPr>
              <w:t>"</w:t>
            </w:r>
            <w:r w:rsidR="00EA18F1">
              <w:rPr>
                <w:sz w:val="28"/>
                <w:szCs w:val="28"/>
              </w:rPr>
              <w:t>Par valsts un pašvaldību kapitāla daļām un kapitālsabiedrībām</w:t>
            </w:r>
            <w:r w:rsidR="00EA18F1" w:rsidRPr="003E63FD">
              <w:rPr>
                <w:sz w:val="28"/>
                <w:szCs w:val="28"/>
              </w:rPr>
              <w:t>"</w:t>
            </w:r>
            <w:r w:rsidR="00EA18F1">
              <w:rPr>
                <w:sz w:val="28"/>
                <w:szCs w:val="28"/>
              </w:rPr>
              <w:t xml:space="preserve"> </w:t>
            </w:r>
            <w:r w:rsidR="00EA18F1" w:rsidRPr="00535426">
              <w:rPr>
                <w:sz w:val="28"/>
                <w:szCs w:val="28"/>
              </w:rPr>
              <w:t>10.panta pirmās daļas 1.punktu</w:t>
            </w:r>
            <w:r w:rsidR="00EA18F1">
              <w:rPr>
                <w:sz w:val="28"/>
                <w:szCs w:val="28"/>
              </w:rPr>
              <w:t xml:space="preserve"> </w:t>
            </w:r>
            <w:r>
              <w:rPr>
                <w:sz w:val="28"/>
                <w:szCs w:val="28"/>
              </w:rPr>
              <w:t>tiek iecelta</w:t>
            </w:r>
            <w:r w:rsidR="00EA18F1">
              <w:rPr>
                <w:sz w:val="28"/>
                <w:szCs w:val="28"/>
              </w:rPr>
              <w:t xml:space="preserve"> par valsts </w:t>
            </w:r>
            <w:r w:rsidR="0095646E">
              <w:rPr>
                <w:sz w:val="28"/>
                <w:szCs w:val="28"/>
              </w:rPr>
              <w:t>akciju</w:t>
            </w:r>
            <w:r w:rsidR="00EA18F1">
              <w:rPr>
                <w:sz w:val="28"/>
                <w:szCs w:val="28"/>
              </w:rPr>
              <w:t xml:space="preserve"> turētāju AS </w:t>
            </w:r>
            <w:r w:rsidR="00EA18F1" w:rsidRPr="003E63FD">
              <w:rPr>
                <w:sz w:val="28"/>
                <w:szCs w:val="28"/>
              </w:rPr>
              <w:t>"</w:t>
            </w:r>
            <w:r w:rsidR="00EA18F1">
              <w:rPr>
                <w:sz w:val="28"/>
                <w:szCs w:val="28"/>
              </w:rPr>
              <w:t>Augstsprieguma tīkls</w:t>
            </w:r>
            <w:r w:rsidR="00EA18F1" w:rsidRPr="003E63FD">
              <w:rPr>
                <w:sz w:val="28"/>
                <w:szCs w:val="28"/>
              </w:rPr>
              <w:t>"</w:t>
            </w:r>
            <w:r>
              <w:rPr>
                <w:sz w:val="28"/>
                <w:szCs w:val="28"/>
              </w:rPr>
              <w:t>.</w:t>
            </w:r>
            <w:r w:rsidR="00EA18F1">
              <w:rPr>
                <w:sz w:val="28"/>
                <w:szCs w:val="28"/>
              </w:rPr>
              <w:t xml:space="preserve"> </w:t>
            </w:r>
          </w:p>
          <w:p w:rsidR="00FF555E" w:rsidRDefault="00AC6102" w:rsidP="00EA18F1">
            <w:pPr>
              <w:pStyle w:val="Header"/>
              <w:tabs>
                <w:tab w:val="left" w:pos="720"/>
              </w:tabs>
              <w:jc w:val="both"/>
              <w:rPr>
                <w:sz w:val="28"/>
                <w:szCs w:val="28"/>
              </w:rPr>
            </w:pPr>
            <w:r w:rsidRPr="00AC6102">
              <w:rPr>
                <w:sz w:val="28"/>
                <w:szCs w:val="28"/>
              </w:rPr>
              <w:t xml:space="preserve">Saskaņā ar Ministru kabineta 2011.gada 1.novembra sēdes protokola Nr.62, 57.§ 18.punktu likumprojektā „Par valsts budžetu 2012.gadam” AS „Latvenergo” ieskaita pamatbudžeta ieņēmumos maksājumus par valsts kapitāla izmantošanu (ieņēmumus no dividendēm) 90 procentu apmērā no valsts akciju sabiedrības rīcībā palikušās tīrās peļņas, bet ne vairāk kā 36 000 </w:t>
            </w:r>
            <w:proofErr w:type="spellStart"/>
            <w:r w:rsidRPr="00AC6102">
              <w:rPr>
                <w:sz w:val="28"/>
                <w:szCs w:val="28"/>
              </w:rPr>
              <w:t>000</w:t>
            </w:r>
            <w:proofErr w:type="spellEnd"/>
            <w:r w:rsidRPr="00AC6102">
              <w:rPr>
                <w:sz w:val="28"/>
                <w:szCs w:val="28"/>
              </w:rPr>
              <w:t xml:space="preserve"> latu.</w:t>
            </w:r>
          </w:p>
          <w:p w:rsidR="00AC6102" w:rsidRDefault="00AC6102" w:rsidP="00EA18F1">
            <w:pPr>
              <w:pStyle w:val="Header"/>
              <w:tabs>
                <w:tab w:val="left" w:pos="720"/>
              </w:tabs>
              <w:jc w:val="both"/>
              <w:rPr>
                <w:sz w:val="28"/>
                <w:szCs w:val="28"/>
              </w:rPr>
            </w:pPr>
          </w:p>
          <w:p w:rsidR="00CE1E40" w:rsidRDefault="00231EE5" w:rsidP="00CE1E40">
            <w:pPr>
              <w:pStyle w:val="Header"/>
              <w:tabs>
                <w:tab w:val="left" w:pos="720"/>
              </w:tabs>
              <w:jc w:val="both"/>
              <w:rPr>
                <w:sz w:val="28"/>
                <w:szCs w:val="28"/>
              </w:rPr>
            </w:pPr>
            <w:r>
              <w:rPr>
                <w:sz w:val="28"/>
                <w:szCs w:val="28"/>
              </w:rPr>
              <w:t xml:space="preserve">Rīkojuma projekta </w:t>
            </w:r>
            <w:proofErr w:type="spellStart"/>
            <w:r>
              <w:rPr>
                <w:sz w:val="28"/>
                <w:szCs w:val="28"/>
              </w:rPr>
              <w:t>protokollēmuma</w:t>
            </w:r>
            <w:proofErr w:type="spellEnd"/>
            <w:r>
              <w:rPr>
                <w:sz w:val="28"/>
                <w:szCs w:val="28"/>
              </w:rPr>
              <w:t xml:space="preserve"> projekts paredz, likumprojektā „Par valsts budžetu 2012.gadam”</w:t>
            </w:r>
            <w:r w:rsidRPr="001B2CFB">
              <w:rPr>
                <w:sz w:val="28"/>
                <w:szCs w:val="28"/>
              </w:rPr>
              <w:t xml:space="preserve"> </w:t>
            </w:r>
            <w:r>
              <w:rPr>
                <w:sz w:val="28"/>
                <w:szCs w:val="28"/>
              </w:rPr>
              <w:t xml:space="preserve">ir jāiekļauj norma, ka </w:t>
            </w:r>
            <w:r w:rsidR="00FF555E" w:rsidRPr="001B2CFB">
              <w:rPr>
                <w:sz w:val="28"/>
                <w:szCs w:val="28"/>
              </w:rPr>
              <w:t>akciju sab</w:t>
            </w:r>
            <w:r w:rsidR="00FF555E">
              <w:rPr>
                <w:sz w:val="28"/>
                <w:szCs w:val="28"/>
              </w:rPr>
              <w:t>iedrības „Latvenergo” maksājuma</w:t>
            </w:r>
            <w:r w:rsidR="00FF555E" w:rsidRPr="001B2CFB">
              <w:rPr>
                <w:sz w:val="28"/>
                <w:szCs w:val="28"/>
              </w:rPr>
              <w:t xml:space="preserve"> par valsts kapitāla izmantošanu (dividen</w:t>
            </w:r>
            <w:r w:rsidR="00FF555E">
              <w:rPr>
                <w:sz w:val="28"/>
                <w:szCs w:val="28"/>
              </w:rPr>
              <w:t xml:space="preserve">žu) </w:t>
            </w:r>
            <w:r w:rsidR="00FF555E" w:rsidRPr="001B2CFB">
              <w:rPr>
                <w:sz w:val="28"/>
                <w:szCs w:val="28"/>
              </w:rPr>
              <w:t>apmēr</w:t>
            </w:r>
            <w:r w:rsidR="00FF555E">
              <w:rPr>
                <w:sz w:val="28"/>
                <w:szCs w:val="28"/>
              </w:rPr>
              <w:t xml:space="preserve">s ir </w:t>
            </w:r>
            <w:r>
              <w:rPr>
                <w:sz w:val="28"/>
                <w:szCs w:val="28"/>
              </w:rPr>
              <w:t>jāpalielina par 3 9</w:t>
            </w:r>
            <w:r w:rsidR="00FF555E">
              <w:rPr>
                <w:sz w:val="28"/>
                <w:szCs w:val="28"/>
              </w:rPr>
              <w:t>00 000 lat</w:t>
            </w:r>
            <w:r w:rsidR="00AC6102">
              <w:rPr>
                <w:sz w:val="28"/>
                <w:szCs w:val="28"/>
              </w:rPr>
              <w:t>iem</w:t>
            </w:r>
            <w:r>
              <w:rPr>
                <w:sz w:val="28"/>
                <w:szCs w:val="28"/>
              </w:rPr>
              <w:t xml:space="preserve">, kas atbilst </w:t>
            </w:r>
            <w:r w:rsidRPr="005E5231">
              <w:rPr>
                <w:bCs/>
                <w:sz w:val="28"/>
                <w:szCs w:val="28"/>
              </w:rPr>
              <w:t>AS „</w:t>
            </w:r>
            <w:r w:rsidRPr="005E5231">
              <w:rPr>
                <w:sz w:val="28"/>
                <w:szCs w:val="28"/>
              </w:rPr>
              <w:t>Augstsprieguma tīkls”</w:t>
            </w:r>
            <w:r>
              <w:rPr>
                <w:sz w:val="28"/>
                <w:szCs w:val="28"/>
              </w:rPr>
              <w:t xml:space="preserve"> akciju vērtībai</w:t>
            </w:r>
            <w:r w:rsidR="00FF555E">
              <w:rPr>
                <w:sz w:val="28"/>
                <w:szCs w:val="28"/>
              </w:rPr>
              <w:t xml:space="preserve">.  </w:t>
            </w:r>
          </w:p>
          <w:p w:rsidR="00231EE5" w:rsidRDefault="00231EE5" w:rsidP="00CE1E40">
            <w:pPr>
              <w:pStyle w:val="Header"/>
              <w:tabs>
                <w:tab w:val="left" w:pos="720"/>
              </w:tabs>
              <w:jc w:val="both"/>
              <w:rPr>
                <w:sz w:val="28"/>
                <w:szCs w:val="28"/>
              </w:rPr>
            </w:pPr>
          </w:p>
          <w:p w:rsidR="00231EE5" w:rsidRDefault="00231EE5" w:rsidP="00CE1E40">
            <w:pPr>
              <w:pStyle w:val="Header"/>
              <w:tabs>
                <w:tab w:val="left" w:pos="720"/>
              </w:tabs>
              <w:jc w:val="both"/>
              <w:rPr>
                <w:sz w:val="28"/>
                <w:szCs w:val="28"/>
              </w:rPr>
            </w:pPr>
            <w:r>
              <w:rPr>
                <w:sz w:val="28"/>
                <w:szCs w:val="28"/>
              </w:rPr>
              <w:t xml:space="preserve">Tāpat rīkojuma projekta </w:t>
            </w:r>
            <w:proofErr w:type="spellStart"/>
            <w:r>
              <w:rPr>
                <w:sz w:val="28"/>
                <w:szCs w:val="28"/>
              </w:rPr>
              <w:t>protokollēmuma</w:t>
            </w:r>
            <w:proofErr w:type="spellEnd"/>
            <w:r>
              <w:rPr>
                <w:sz w:val="28"/>
                <w:szCs w:val="28"/>
              </w:rPr>
              <w:t xml:space="preserve"> projekts  nosaka, ka </w:t>
            </w:r>
            <w:r w:rsidRPr="00443959">
              <w:rPr>
                <w:sz w:val="28"/>
                <w:szCs w:val="28"/>
              </w:rPr>
              <w:t xml:space="preserve">Finanšu ministrijas budžetā 2012.gadam </w:t>
            </w:r>
            <w:r w:rsidR="007A3C67">
              <w:rPr>
                <w:sz w:val="28"/>
                <w:szCs w:val="28"/>
              </w:rPr>
              <w:t>jāpalielina</w:t>
            </w:r>
            <w:r w:rsidRPr="00443959">
              <w:rPr>
                <w:sz w:val="28"/>
                <w:szCs w:val="28"/>
              </w:rPr>
              <w:t xml:space="preserve"> resurs</w:t>
            </w:r>
            <w:r w:rsidR="007A3C67">
              <w:rPr>
                <w:sz w:val="28"/>
                <w:szCs w:val="28"/>
              </w:rPr>
              <w:t>i</w:t>
            </w:r>
            <w:r w:rsidRPr="00443959">
              <w:rPr>
                <w:sz w:val="28"/>
                <w:szCs w:val="28"/>
              </w:rPr>
              <w:t xml:space="preserve"> (dotāciju no vispārējiem ieņēmumiem) 3 900 000 latu apmērā, lai nodrošinātu akciju sabiedrības  „Augstsprieguma tīkls”  akciju iegādi valsts īpašumā</w:t>
            </w:r>
            <w:r w:rsidR="007A3C67">
              <w:rPr>
                <w:sz w:val="28"/>
                <w:szCs w:val="28"/>
              </w:rPr>
              <w:t xml:space="preserve">. </w:t>
            </w:r>
          </w:p>
          <w:p w:rsidR="00231EE5" w:rsidRDefault="00231EE5" w:rsidP="00CE1E40">
            <w:pPr>
              <w:pStyle w:val="Header"/>
              <w:tabs>
                <w:tab w:val="left" w:pos="720"/>
              </w:tabs>
              <w:jc w:val="both"/>
              <w:rPr>
                <w:sz w:val="28"/>
                <w:szCs w:val="28"/>
              </w:rPr>
            </w:pPr>
          </w:p>
          <w:p w:rsidR="009D2285" w:rsidRDefault="009D2285" w:rsidP="009D2285">
            <w:pPr>
              <w:pStyle w:val="BodyTextIndent"/>
              <w:ind w:left="0"/>
              <w:jc w:val="both"/>
              <w:rPr>
                <w:sz w:val="28"/>
                <w:szCs w:val="28"/>
              </w:rPr>
            </w:pPr>
            <w:r w:rsidRPr="009D2285">
              <w:rPr>
                <w:sz w:val="28"/>
                <w:szCs w:val="28"/>
              </w:rPr>
              <w:t>Ministru kabineta rīkojuma projekts tiek virzīts kopā ar Ministru kabineta rīkojuma projektu "</w:t>
            </w:r>
            <w:r w:rsidRPr="009D2285">
              <w:rPr>
                <w:bCs/>
                <w:sz w:val="28"/>
                <w:szCs w:val="28"/>
              </w:rPr>
              <w:t>Par akciju sabiedrības "Latvenergo" izšķirošās ietekmes izbeigšanu akciju sabiedrībā „Augstsprieguma tīkls</w:t>
            </w:r>
            <w:r w:rsidR="00FF555E">
              <w:rPr>
                <w:bCs/>
                <w:sz w:val="28"/>
                <w:szCs w:val="28"/>
              </w:rPr>
              <w:t>””</w:t>
            </w:r>
            <w:r w:rsidRPr="009D2285">
              <w:rPr>
                <w:sz w:val="28"/>
                <w:szCs w:val="28"/>
              </w:rPr>
              <w:t>.</w:t>
            </w:r>
          </w:p>
          <w:p w:rsidR="009D2285" w:rsidRDefault="003D4DAF" w:rsidP="0048600E">
            <w:pPr>
              <w:jc w:val="both"/>
              <w:rPr>
                <w:sz w:val="28"/>
                <w:szCs w:val="28"/>
              </w:rPr>
            </w:pPr>
            <w:r>
              <w:rPr>
                <w:sz w:val="28"/>
                <w:szCs w:val="28"/>
              </w:rPr>
              <w:t>K</w:t>
            </w:r>
            <w:r w:rsidR="000E690F" w:rsidRPr="000E690F">
              <w:rPr>
                <w:sz w:val="28"/>
                <w:szCs w:val="28"/>
              </w:rPr>
              <w:t>opā ar</w:t>
            </w:r>
            <w:r w:rsidR="009D2285" w:rsidRPr="000E690F">
              <w:rPr>
                <w:sz w:val="28"/>
                <w:szCs w:val="28"/>
              </w:rPr>
              <w:t xml:space="preserve"> augstāk minētajiem Ministru kabineta rīkojum</w:t>
            </w:r>
            <w:r>
              <w:rPr>
                <w:sz w:val="28"/>
                <w:szCs w:val="28"/>
              </w:rPr>
              <w:t>u</w:t>
            </w:r>
            <w:r w:rsidR="009D2285" w:rsidRPr="000E690F">
              <w:rPr>
                <w:sz w:val="28"/>
                <w:szCs w:val="28"/>
              </w:rPr>
              <w:t xml:space="preserve"> projektiem</w:t>
            </w:r>
            <w:r w:rsidR="000E690F" w:rsidRPr="000E690F">
              <w:rPr>
                <w:sz w:val="28"/>
                <w:szCs w:val="28"/>
              </w:rPr>
              <w:t xml:space="preserve">, Ministru kabinetam tiek nosūtīts Ekonomikas ministrijas informatīvais ziņojums „Par tālākajām darbībām, lai nodalītu elektroenerģijas pārvades sistēmas operatoru - akciju sabiedrību "Augstsprieguma tīkls" un par paredzamo šīs akciju sabiedrības  </w:t>
            </w:r>
            <w:r w:rsidR="0095646E">
              <w:rPr>
                <w:sz w:val="28"/>
                <w:szCs w:val="28"/>
              </w:rPr>
              <w:t>akciju</w:t>
            </w:r>
            <w:r w:rsidR="000E690F" w:rsidRPr="000E690F">
              <w:rPr>
                <w:sz w:val="28"/>
                <w:szCs w:val="28"/>
              </w:rPr>
              <w:t xml:space="preserve"> turētāju</w:t>
            </w:r>
            <w:r w:rsidR="000E690F">
              <w:rPr>
                <w:sz w:val="28"/>
                <w:szCs w:val="28"/>
              </w:rPr>
              <w:t>”</w:t>
            </w:r>
            <w:r w:rsidR="000E690F" w:rsidRPr="000E690F">
              <w:rPr>
                <w:sz w:val="28"/>
                <w:szCs w:val="28"/>
              </w:rPr>
              <w:t>.</w:t>
            </w:r>
          </w:p>
          <w:p w:rsidR="0048600E" w:rsidRPr="0048600E" w:rsidRDefault="0048600E" w:rsidP="0048600E">
            <w:pPr>
              <w:jc w:val="both"/>
              <w:rPr>
                <w:sz w:val="28"/>
                <w:szCs w:val="28"/>
                <w:u w:val="single"/>
              </w:rPr>
            </w:pPr>
          </w:p>
          <w:p w:rsidR="0075376F" w:rsidRPr="009D2285" w:rsidRDefault="003D4DAF" w:rsidP="0095646E">
            <w:pPr>
              <w:pStyle w:val="BodyTextIndent"/>
              <w:ind w:left="0"/>
              <w:jc w:val="both"/>
              <w:rPr>
                <w:bCs/>
                <w:sz w:val="28"/>
                <w:szCs w:val="28"/>
              </w:rPr>
            </w:pPr>
            <w:r>
              <w:rPr>
                <w:bCs/>
                <w:sz w:val="28"/>
                <w:szCs w:val="28"/>
              </w:rPr>
              <w:t>P</w:t>
            </w:r>
            <w:r w:rsidR="0048600E">
              <w:rPr>
                <w:bCs/>
                <w:sz w:val="28"/>
                <w:szCs w:val="28"/>
              </w:rPr>
              <w:t xml:space="preserve">apildus </w:t>
            </w:r>
            <w:r w:rsidR="0075376F">
              <w:rPr>
                <w:bCs/>
                <w:sz w:val="28"/>
                <w:szCs w:val="28"/>
              </w:rPr>
              <w:t xml:space="preserve">rīkojuma projektam Ekonomikas ministrija pievieno un nosūta </w:t>
            </w:r>
            <w:r w:rsidR="0095646E">
              <w:rPr>
                <w:bCs/>
                <w:sz w:val="28"/>
                <w:szCs w:val="28"/>
              </w:rPr>
              <w:t>akciju</w:t>
            </w:r>
            <w:r w:rsidR="0075376F">
              <w:rPr>
                <w:bCs/>
                <w:sz w:val="28"/>
                <w:szCs w:val="28"/>
              </w:rPr>
              <w:t xml:space="preserve"> pirkuma līguma projektu</w:t>
            </w:r>
            <w:r w:rsidR="0048600E">
              <w:rPr>
                <w:bCs/>
                <w:sz w:val="28"/>
                <w:szCs w:val="28"/>
              </w:rPr>
              <w:t xml:space="preserve"> un </w:t>
            </w:r>
            <w:r w:rsidR="0048600E">
              <w:rPr>
                <w:sz w:val="28"/>
                <w:szCs w:val="28"/>
              </w:rPr>
              <w:t>2011.gada 25.augusta SIA „</w:t>
            </w:r>
            <w:proofErr w:type="spellStart"/>
            <w:r w:rsidR="0048600E">
              <w:rPr>
                <w:sz w:val="28"/>
                <w:szCs w:val="28"/>
              </w:rPr>
              <w:t>Ernst&amp;Young</w:t>
            </w:r>
            <w:proofErr w:type="spellEnd"/>
            <w:r w:rsidR="0048600E">
              <w:rPr>
                <w:sz w:val="28"/>
                <w:szCs w:val="28"/>
              </w:rPr>
              <w:t xml:space="preserve"> </w:t>
            </w:r>
            <w:proofErr w:type="spellStart"/>
            <w:r w:rsidR="0048600E">
              <w:rPr>
                <w:sz w:val="28"/>
                <w:szCs w:val="28"/>
              </w:rPr>
              <w:t>Baltic</w:t>
            </w:r>
            <w:proofErr w:type="spellEnd"/>
            <w:r w:rsidR="0048600E">
              <w:rPr>
                <w:sz w:val="28"/>
                <w:szCs w:val="28"/>
              </w:rPr>
              <w:t xml:space="preserve">”  sagatavoto vērtējumu „AS „Augstsprieguma tīkls” 100% akciju novērtējums” visas (4 000 000) </w:t>
            </w:r>
            <w:r w:rsidR="0048600E" w:rsidRPr="005E5231">
              <w:rPr>
                <w:bCs/>
                <w:sz w:val="28"/>
                <w:szCs w:val="28"/>
              </w:rPr>
              <w:t>AS „</w:t>
            </w:r>
            <w:r w:rsidR="0048600E" w:rsidRPr="005E5231">
              <w:rPr>
                <w:sz w:val="28"/>
                <w:szCs w:val="28"/>
              </w:rPr>
              <w:t>Augstsprieguma tīkls”</w:t>
            </w:r>
            <w:r w:rsidR="0048600E">
              <w:rPr>
                <w:sz w:val="28"/>
                <w:szCs w:val="28"/>
              </w:rPr>
              <w:t>, kas satur ierobežotas pieejamības informāciju.</w:t>
            </w:r>
          </w:p>
        </w:tc>
      </w:tr>
      <w:tr w:rsidR="0089380C" w:rsidRPr="00E40368" w:rsidTr="00187797">
        <w:trPr>
          <w:trHeight w:val="476"/>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izstrādē iesaistītās institūcijas</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1D1B66" w:rsidP="007A3C67">
            <w:pPr>
              <w:pStyle w:val="naiskr"/>
              <w:jc w:val="both"/>
              <w:rPr>
                <w:sz w:val="28"/>
                <w:szCs w:val="28"/>
              </w:rPr>
            </w:pPr>
            <w:r w:rsidRPr="00E40368">
              <w:rPr>
                <w:sz w:val="28"/>
                <w:szCs w:val="28"/>
              </w:rPr>
              <w:t xml:space="preserve">Projekta sagatavošanā </w:t>
            </w:r>
            <w:r w:rsidR="007A3C67">
              <w:rPr>
                <w:sz w:val="28"/>
                <w:szCs w:val="28"/>
              </w:rPr>
              <w:t>tika iesaistītas Finanšu ministrija, Tieslietu ministrija, kā arī AS „Latvenergo”.</w:t>
            </w:r>
          </w:p>
        </w:tc>
      </w:tr>
      <w:tr w:rsidR="0089380C" w:rsidRPr="00E40368" w:rsidTr="00187797">
        <w:trPr>
          <w:trHeight w:val="65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Iemesli, kādēļ netika nodrošināta sabiedrības līdzdalība</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5E5231" w:rsidP="000B2F14">
            <w:pPr>
              <w:pStyle w:val="naiskr"/>
              <w:jc w:val="both"/>
              <w:rPr>
                <w:sz w:val="28"/>
                <w:szCs w:val="28"/>
              </w:rPr>
            </w:pPr>
            <w:r>
              <w:rPr>
                <w:sz w:val="28"/>
                <w:szCs w:val="28"/>
              </w:rPr>
              <w:t>Projekts šo jomu neskar.</w:t>
            </w:r>
          </w:p>
        </w:tc>
      </w:tr>
      <w:tr w:rsidR="0089380C" w:rsidRPr="00E40368" w:rsidTr="00187797">
        <w:trPr>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E5231">
              <w:rPr>
                <w:sz w:val="28"/>
                <w:szCs w:val="28"/>
              </w:rPr>
              <w:t>Projekts šo jomu neskar.</w:t>
            </w:r>
          </w:p>
        </w:tc>
      </w:tr>
    </w:tbl>
    <w:p w:rsidR="0089380C" w:rsidRPr="00E40368" w:rsidRDefault="0089380C" w:rsidP="00C051AD">
      <w:pPr>
        <w:pStyle w:val="naisf"/>
        <w:spacing w:before="0" w:beforeAutospacing="0" w:after="0" w:afterAutospacing="0"/>
        <w:rPr>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19"/>
        <w:gridCol w:w="1477"/>
        <w:gridCol w:w="1138"/>
        <w:gridCol w:w="425"/>
        <w:gridCol w:w="992"/>
        <w:gridCol w:w="1560"/>
        <w:gridCol w:w="878"/>
        <w:gridCol w:w="2112"/>
      </w:tblGrid>
      <w:tr w:rsidR="0089380C" w:rsidRPr="00E40368" w:rsidTr="001D7FF5">
        <w:trPr>
          <w:tblCellSpacing w:w="0" w:type="dxa"/>
        </w:trPr>
        <w:tc>
          <w:tcPr>
            <w:tcW w:w="9101" w:type="dxa"/>
            <w:gridSpan w:val="8"/>
            <w:tcBorders>
              <w:top w:val="outset" w:sz="6" w:space="0" w:color="auto"/>
              <w:left w:val="outset" w:sz="6" w:space="0" w:color="auto"/>
              <w:bottom w:val="outset" w:sz="6" w:space="0" w:color="auto"/>
              <w:right w:val="outset" w:sz="6" w:space="0" w:color="auto"/>
            </w:tcBorders>
            <w:vAlign w:val="center"/>
          </w:tcPr>
          <w:p w:rsidR="0089380C" w:rsidRPr="00E40368" w:rsidRDefault="0089380C" w:rsidP="00C051AD">
            <w:pPr>
              <w:pStyle w:val="naisnod"/>
              <w:jc w:val="center"/>
              <w:rPr>
                <w:b/>
                <w:sz w:val="28"/>
                <w:szCs w:val="28"/>
              </w:rPr>
            </w:pPr>
            <w:r w:rsidRPr="00E40368">
              <w:rPr>
                <w:b/>
                <w:sz w:val="28"/>
                <w:szCs w:val="28"/>
              </w:rPr>
              <w:t>II. Tiesību akta projekta ietekme uz sabiedrību</w:t>
            </w:r>
          </w:p>
        </w:tc>
      </w:tr>
      <w:tr w:rsidR="0089380C" w:rsidRPr="00E40368" w:rsidTr="001D7FF5">
        <w:trPr>
          <w:trHeight w:val="46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0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Sabiedrības mērķgrupa</w:t>
            </w:r>
          </w:p>
        </w:tc>
        <w:tc>
          <w:tcPr>
            <w:tcW w:w="5542" w:type="dxa"/>
            <w:gridSpan w:val="4"/>
            <w:tcBorders>
              <w:top w:val="outset" w:sz="6" w:space="0" w:color="auto"/>
              <w:left w:val="outset" w:sz="6" w:space="0" w:color="auto"/>
              <w:bottom w:val="outset" w:sz="6" w:space="0" w:color="auto"/>
              <w:right w:val="outset" w:sz="6" w:space="0" w:color="auto"/>
            </w:tcBorders>
          </w:tcPr>
          <w:p w:rsidR="0089380C" w:rsidRPr="00E40368" w:rsidRDefault="00722569" w:rsidP="003D4DAF">
            <w:pPr>
              <w:pStyle w:val="naiskr"/>
              <w:spacing w:before="0" w:after="0"/>
              <w:ind w:hanging="57"/>
              <w:jc w:val="both"/>
              <w:rPr>
                <w:sz w:val="28"/>
                <w:szCs w:val="28"/>
              </w:rPr>
            </w:pPr>
            <w:r>
              <w:rPr>
                <w:sz w:val="28"/>
                <w:szCs w:val="28"/>
              </w:rPr>
              <w:t> </w:t>
            </w:r>
            <w:r w:rsidR="005E5231">
              <w:rPr>
                <w:iCs/>
                <w:sz w:val="28"/>
                <w:szCs w:val="28"/>
              </w:rPr>
              <w:t>Rīkojuma</w:t>
            </w:r>
            <w:r w:rsidR="008323C5" w:rsidRPr="00E40368">
              <w:rPr>
                <w:iCs/>
                <w:sz w:val="28"/>
                <w:szCs w:val="28"/>
              </w:rPr>
              <w:t xml:space="preserve"> projekts </w:t>
            </w:r>
            <w:r w:rsidR="001F1A2E">
              <w:rPr>
                <w:iCs/>
                <w:sz w:val="28"/>
                <w:szCs w:val="28"/>
              </w:rPr>
              <w:t xml:space="preserve">attieksies uz </w:t>
            </w:r>
            <w:r w:rsidR="003D4DAF">
              <w:rPr>
                <w:iCs/>
                <w:sz w:val="28"/>
                <w:szCs w:val="28"/>
              </w:rPr>
              <w:t xml:space="preserve">AS </w:t>
            </w:r>
            <w:r w:rsidR="00AD7DC7">
              <w:rPr>
                <w:iCs/>
                <w:sz w:val="28"/>
                <w:szCs w:val="28"/>
              </w:rPr>
              <w:t>„Latvenergo”</w:t>
            </w:r>
            <w:r w:rsidR="003D4DAF">
              <w:rPr>
                <w:iCs/>
                <w:sz w:val="28"/>
                <w:szCs w:val="28"/>
              </w:rPr>
              <w:t>,</w:t>
            </w:r>
            <w:r w:rsidR="005E5231">
              <w:rPr>
                <w:iCs/>
                <w:sz w:val="28"/>
                <w:szCs w:val="28"/>
              </w:rPr>
              <w:t xml:space="preserve"> AS „Augstsprieguma tīkls” un Finanšu ministriju.</w:t>
            </w:r>
          </w:p>
        </w:tc>
      </w:tr>
      <w:tr w:rsidR="0089380C" w:rsidRPr="00E40368" w:rsidTr="001D7FF5">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0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Citas sabiedrības grupas (bez mērķgrupas), kuras tiesiskais regulējums arī ietekmē vai varētu ietekmēt</w:t>
            </w:r>
          </w:p>
        </w:tc>
        <w:tc>
          <w:tcPr>
            <w:tcW w:w="5542" w:type="dxa"/>
            <w:gridSpan w:val="4"/>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E5231">
              <w:rPr>
                <w:sz w:val="28"/>
                <w:szCs w:val="28"/>
              </w:rPr>
              <w:t>Projekts šo jomu neskar.</w:t>
            </w:r>
          </w:p>
        </w:tc>
      </w:tr>
      <w:tr w:rsidR="0089380C" w:rsidRPr="00E40368" w:rsidTr="001D7FF5">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30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Tiesiskā regulējuma finansiālā ietekme</w:t>
            </w:r>
          </w:p>
        </w:tc>
        <w:tc>
          <w:tcPr>
            <w:tcW w:w="5542" w:type="dxa"/>
            <w:gridSpan w:val="4"/>
            <w:tcBorders>
              <w:top w:val="outset" w:sz="6" w:space="0" w:color="auto"/>
              <w:left w:val="outset" w:sz="6" w:space="0" w:color="auto"/>
              <w:bottom w:val="outset" w:sz="6" w:space="0" w:color="auto"/>
              <w:right w:val="outset" w:sz="6" w:space="0" w:color="auto"/>
            </w:tcBorders>
          </w:tcPr>
          <w:p w:rsidR="007A3C67" w:rsidRDefault="005E5231" w:rsidP="00CE1E40">
            <w:pPr>
              <w:pStyle w:val="Header"/>
              <w:tabs>
                <w:tab w:val="left" w:pos="720"/>
              </w:tabs>
              <w:jc w:val="both"/>
              <w:rPr>
                <w:sz w:val="28"/>
                <w:szCs w:val="28"/>
              </w:rPr>
            </w:pPr>
            <w:r w:rsidRPr="005E5231">
              <w:rPr>
                <w:sz w:val="28"/>
                <w:szCs w:val="28"/>
              </w:rPr>
              <w:t xml:space="preserve">AS „Augstsprieguma tīkls” </w:t>
            </w:r>
            <w:r w:rsidR="0095646E">
              <w:rPr>
                <w:sz w:val="28"/>
                <w:szCs w:val="28"/>
              </w:rPr>
              <w:t>akciju</w:t>
            </w:r>
            <w:r w:rsidRPr="005E5231">
              <w:rPr>
                <w:sz w:val="28"/>
                <w:szCs w:val="28"/>
              </w:rPr>
              <w:t xml:space="preserve"> apmaksu plānots veikt no </w:t>
            </w:r>
            <w:r w:rsidR="007A3C67">
              <w:rPr>
                <w:sz w:val="28"/>
                <w:szCs w:val="28"/>
              </w:rPr>
              <w:t>2012.gada pamatbudžeta līdzekļiem. Ar rīkojuma projektu tiek noteikts,  likumprojektā „Par valsts budžetu 2012.gadam” AS „Latvenergo” valsts budžetā maksājamo dividenžu ampērs tiek palielināts par 3 900 000 latiem, kas atbilsts AS „Augstsprieguma  tīkls” akciju vērtībai.</w:t>
            </w:r>
          </w:p>
          <w:p w:rsidR="007A3C67" w:rsidRDefault="007A3C67" w:rsidP="00CE1E40">
            <w:pPr>
              <w:pStyle w:val="Header"/>
              <w:tabs>
                <w:tab w:val="left" w:pos="720"/>
              </w:tabs>
              <w:jc w:val="both"/>
              <w:rPr>
                <w:sz w:val="28"/>
                <w:szCs w:val="28"/>
              </w:rPr>
            </w:pPr>
          </w:p>
          <w:p w:rsidR="007A3C67" w:rsidRDefault="007A3C67" w:rsidP="00CE1E40">
            <w:pPr>
              <w:pStyle w:val="Header"/>
              <w:tabs>
                <w:tab w:val="left" w:pos="720"/>
              </w:tabs>
              <w:jc w:val="both"/>
              <w:rPr>
                <w:sz w:val="28"/>
                <w:szCs w:val="28"/>
              </w:rPr>
            </w:pPr>
            <w:r>
              <w:rPr>
                <w:sz w:val="28"/>
                <w:szCs w:val="28"/>
              </w:rPr>
              <w:t xml:space="preserve">Vienlaikus par 3 900 000 latiem tiek </w:t>
            </w:r>
            <w:r w:rsidRPr="00443959">
              <w:rPr>
                <w:sz w:val="28"/>
                <w:szCs w:val="28"/>
              </w:rPr>
              <w:t>palielinā</w:t>
            </w:r>
            <w:r>
              <w:rPr>
                <w:sz w:val="28"/>
                <w:szCs w:val="28"/>
              </w:rPr>
              <w:t xml:space="preserve">ti </w:t>
            </w:r>
            <w:r w:rsidRPr="00443959">
              <w:rPr>
                <w:sz w:val="28"/>
                <w:szCs w:val="28"/>
              </w:rPr>
              <w:t xml:space="preserve">Finanšu </w:t>
            </w:r>
            <w:r>
              <w:rPr>
                <w:sz w:val="28"/>
                <w:szCs w:val="28"/>
              </w:rPr>
              <w:t>ministrijas budžeta</w:t>
            </w:r>
            <w:r w:rsidRPr="00443959">
              <w:rPr>
                <w:sz w:val="28"/>
                <w:szCs w:val="28"/>
              </w:rPr>
              <w:t xml:space="preserve"> resu</w:t>
            </w:r>
            <w:r>
              <w:rPr>
                <w:sz w:val="28"/>
                <w:szCs w:val="28"/>
              </w:rPr>
              <w:t xml:space="preserve">rsi </w:t>
            </w:r>
            <w:r w:rsidRPr="00443959">
              <w:rPr>
                <w:sz w:val="28"/>
                <w:szCs w:val="28"/>
              </w:rPr>
              <w:t>(dotā</w:t>
            </w:r>
            <w:r>
              <w:rPr>
                <w:sz w:val="28"/>
                <w:szCs w:val="28"/>
              </w:rPr>
              <w:t>cija no vispārējiem ieņēmumiem) 2012.gadam</w:t>
            </w:r>
            <w:r w:rsidRPr="00443959">
              <w:rPr>
                <w:sz w:val="28"/>
                <w:szCs w:val="28"/>
              </w:rPr>
              <w:t xml:space="preserve">, </w:t>
            </w:r>
            <w:r>
              <w:rPr>
                <w:sz w:val="28"/>
                <w:szCs w:val="28"/>
              </w:rPr>
              <w:t xml:space="preserve">tādejādi, </w:t>
            </w:r>
            <w:r w:rsidRPr="00443959">
              <w:rPr>
                <w:sz w:val="28"/>
                <w:szCs w:val="28"/>
              </w:rPr>
              <w:t>nodrošin</w:t>
            </w:r>
            <w:r w:rsidR="00256DF4">
              <w:rPr>
                <w:sz w:val="28"/>
                <w:szCs w:val="28"/>
              </w:rPr>
              <w:t>ot</w:t>
            </w:r>
            <w:r w:rsidRPr="00443959">
              <w:rPr>
                <w:sz w:val="28"/>
                <w:szCs w:val="28"/>
              </w:rPr>
              <w:t xml:space="preserve"> </w:t>
            </w:r>
            <w:r w:rsidR="00AC6102">
              <w:rPr>
                <w:sz w:val="28"/>
                <w:szCs w:val="28"/>
              </w:rPr>
              <w:t xml:space="preserve">resursu pietiekamību </w:t>
            </w:r>
            <w:r w:rsidRPr="00443959">
              <w:rPr>
                <w:sz w:val="28"/>
                <w:szCs w:val="28"/>
              </w:rPr>
              <w:t>akciju sabiedrības  „Augstsprieguma tīkls”  akciju iegād</w:t>
            </w:r>
            <w:r w:rsidR="00AC6102">
              <w:rPr>
                <w:sz w:val="28"/>
                <w:szCs w:val="28"/>
              </w:rPr>
              <w:t>ei</w:t>
            </w:r>
            <w:r w:rsidRPr="00443959">
              <w:rPr>
                <w:sz w:val="28"/>
                <w:szCs w:val="28"/>
              </w:rPr>
              <w:t xml:space="preserve"> valsts īpašumā</w:t>
            </w:r>
            <w:r w:rsidR="00256DF4">
              <w:rPr>
                <w:sz w:val="28"/>
                <w:szCs w:val="28"/>
              </w:rPr>
              <w:t>.</w:t>
            </w:r>
          </w:p>
          <w:p w:rsidR="00CE1E40" w:rsidRDefault="00CE1E40" w:rsidP="005E5231">
            <w:pPr>
              <w:jc w:val="both"/>
              <w:rPr>
                <w:sz w:val="28"/>
                <w:szCs w:val="28"/>
              </w:rPr>
            </w:pPr>
          </w:p>
          <w:p w:rsidR="005E5231" w:rsidRDefault="00BA71FF" w:rsidP="005E5231">
            <w:pPr>
              <w:jc w:val="both"/>
              <w:rPr>
                <w:sz w:val="28"/>
                <w:szCs w:val="28"/>
              </w:rPr>
            </w:pPr>
            <w:r>
              <w:rPr>
                <w:sz w:val="28"/>
                <w:szCs w:val="28"/>
              </w:rPr>
              <w:t xml:space="preserve">2011.gada 25.augustā </w:t>
            </w:r>
            <w:r w:rsidR="005E5231">
              <w:rPr>
                <w:sz w:val="28"/>
                <w:szCs w:val="28"/>
              </w:rPr>
              <w:t>SIA „</w:t>
            </w:r>
            <w:proofErr w:type="spellStart"/>
            <w:r w:rsidR="005E5231">
              <w:rPr>
                <w:sz w:val="28"/>
                <w:szCs w:val="28"/>
              </w:rPr>
              <w:t>Ernst&amp;Young</w:t>
            </w:r>
            <w:proofErr w:type="spellEnd"/>
            <w:r w:rsidR="005E5231">
              <w:rPr>
                <w:sz w:val="28"/>
                <w:szCs w:val="28"/>
              </w:rPr>
              <w:t xml:space="preserve"> </w:t>
            </w:r>
            <w:proofErr w:type="spellStart"/>
            <w:r w:rsidR="005E5231">
              <w:rPr>
                <w:sz w:val="28"/>
                <w:szCs w:val="28"/>
              </w:rPr>
              <w:t>Baltic</w:t>
            </w:r>
            <w:proofErr w:type="spellEnd"/>
            <w:r w:rsidR="005E5231">
              <w:rPr>
                <w:sz w:val="28"/>
                <w:szCs w:val="28"/>
              </w:rPr>
              <w:t xml:space="preserve">” </w:t>
            </w:r>
            <w:r>
              <w:rPr>
                <w:sz w:val="28"/>
                <w:szCs w:val="28"/>
              </w:rPr>
              <w:t>vērtējumā</w:t>
            </w:r>
            <w:r w:rsidR="005E5231">
              <w:rPr>
                <w:sz w:val="28"/>
                <w:szCs w:val="28"/>
              </w:rPr>
              <w:t xml:space="preserve"> „AS „Augstsprieguma tīkls” 100% akciju novērtējums”</w:t>
            </w:r>
            <w:r>
              <w:rPr>
                <w:sz w:val="28"/>
                <w:szCs w:val="28"/>
              </w:rPr>
              <w:t xml:space="preserve"> visas (4 000 000) </w:t>
            </w:r>
            <w:r w:rsidRPr="005E5231">
              <w:rPr>
                <w:bCs/>
                <w:sz w:val="28"/>
                <w:szCs w:val="28"/>
              </w:rPr>
              <w:t>AS „</w:t>
            </w:r>
            <w:r w:rsidRPr="005E5231">
              <w:rPr>
                <w:sz w:val="28"/>
                <w:szCs w:val="28"/>
              </w:rPr>
              <w:t>Augstsprieguma tīkls”</w:t>
            </w:r>
            <w:r>
              <w:rPr>
                <w:sz w:val="28"/>
                <w:szCs w:val="28"/>
              </w:rPr>
              <w:t xml:space="preserve"> </w:t>
            </w:r>
            <w:r w:rsidR="0095646E">
              <w:rPr>
                <w:sz w:val="28"/>
                <w:szCs w:val="28"/>
              </w:rPr>
              <w:t>akcijas</w:t>
            </w:r>
            <w:r>
              <w:rPr>
                <w:sz w:val="28"/>
                <w:szCs w:val="28"/>
              </w:rPr>
              <w:t xml:space="preserve"> tika novērtētas par 3 900 000 latiem.</w:t>
            </w:r>
          </w:p>
          <w:p w:rsidR="00C051AD" w:rsidRDefault="00C051AD" w:rsidP="003D4DAF">
            <w:pPr>
              <w:jc w:val="both"/>
              <w:rPr>
                <w:sz w:val="28"/>
                <w:szCs w:val="28"/>
              </w:rPr>
            </w:pPr>
          </w:p>
          <w:p w:rsidR="00C051AD" w:rsidRPr="00E40368" w:rsidRDefault="00C051AD" w:rsidP="0095646E">
            <w:pPr>
              <w:jc w:val="both"/>
              <w:rPr>
                <w:sz w:val="28"/>
                <w:szCs w:val="28"/>
              </w:rPr>
            </w:pPr>
            <w:r w:rsidRPr="005E5231">
              <w:rPr>
                <w:sz w:val="28"/>
                <w:szCs w:val="28"/>
              </w:rPr>
              <w:t xml:space="preserve">AS „Augstsprieguma tīkls” </w:t>
            </w:r>
            <w:r w:rsidR="0095646E">
              <w:rPr>
                <w:sz w:val="28"/>
                <w:szCs w:val="28"/>
              </w:rPr>
              <w:t>akciju</w:t>
            </w:r>
            <w:r>
              <w:rPr>
                <w:sz w:val="28"/>
                <w:szCs w:val="28"/>
              </w:rPr>
              <w:t xml:space="preserve"> atsavināšanas ietekme uz AS „Latvenergo” ir analizēta ar Ministru kabineta 2011.gada 12.janvāra rīkojumu  Nr.12 „</w:t>
            </w:r>
            <w:r w:rsidRPr="00D72D4D">
              <w:rPr>
                <w:bCs/>
                <w:sz w:val="28"/>
                <w:szCs w:val="28"/>
              </w:rPr>
              <w:t xml:space="preserve">Par Koncepciju par nepieciešamajām darbībām Eiropas Parlamenta un Padomes 2009.gada 13.jūlija Direktīvā 2009/72/EK par kopīgiem noteikumiem attiecībā uz elektroenerģijas iekšējo tirgu un par Direktīvas 2003/54/EK atcelšanu noteiktajai elektroenerģijas pārvades </w:t>
            </w:r>
            <w:r>
              <w:rPr>
                <w:bCs/>
                <w:sz w:val="28"/>
                <w:szCs w:val="28"/>
              </w:rPr>
              <w:t>sistēmas operatora nodalīšanai” apstiprinātajā koncepcijā.</w:t>
            </w:r>
          </w:p>
        </w:tc>
      </w:tr>
      <w:tr w:rsidR="0089380C" w:rsidRPr="00E40368" w:rsidTr="001D7FF5">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30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Tiesiskā regulējuma nefinansiālā ietekme</w:t>
            </w:r>
          </w:p>
        </w:tc>
        <w:tc>
          <w:tcPr>
            <w:tcW w:w="5542" w:type="dxa"/>
            <w:gridSpan w:val="4"/>
            <w:tcBorders>
              <w:top w:val="outset" w:sz="6" w:space="0" w:color="auto"/>
              <w:left w:val="outset" w:sz="6" w:space="0" w:color="auto"/>
              <w:bottom w:val="outset" w:sz="6" w:space="0" w:color="auto"/>
              <w:right w:val="outset" w:sz="6" w:space="0" w:color="auto"/>
            </w:tcBorders>
          </w:tcPr>
          <w:p w:rsidR="0089380C" w:rsidRPr="00E40368" w:rsidRDefault="0089380C" w:rsidP="0012248A">
            <w:pPr>
              <w:pStyle w:val="naiskr"/>
              <w:jc w:val="both"/>
              <w:rPr>
                <w:sz w:val="28"/>
                <w:szCs w:val="28"/>
              </w:rPr>
            </w:pPr>
            <w:r w:rsidRPr="00E40368">
              <w:rPr>
                <w:sz w:val="28"/>
                <w:szCs w:val="28"/>
              </w:rPr>
              <w:t> </w:t>
            </w:r>
            <w:r w:rsidR="00722569">
              <w:rPr>
                <w:sz w:val="28"/>
                <w:szCs w:val="28"/>
              </w:rPr>
              <w:t>Projekts šo jomu neskar.</w:t>
            </w:r>
          </w:p>
        </w:tc>
      </w:tr>
      <w:tr w:rsidR="0089380C" w:rsidRPr="00E40368" w:rsidTr="001D7FF5">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30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Administratīvās procedūras raksturojums</w:t>
            </w:r>
          </w:p>
        </w:tc>
        <w:tc>
          <w:tcPr>
            <w:tcW w:w="5542" w:type="dxa"/>
            <w:gridSpan w:val="4"/>
            <w:tcBorders>
              <w:top w:val="outset" w:sz="6" w:space="0" w:color="auto"/>
              <w:left w:val="outset" w:sz="6" w:space="0" w:color="auto"/>
              <w:bottom w:val="outset" w:sz="6" w:space="0" w:color="auto"/>
              <w:right w:val="outset" w:sz="6" w:space="0" w:color="auto"/>
            </w:tcBorders>
          </w:tcPr>
          <w:p w:rsidR="0089380C" w:rsidRPr="00E40368" w:rsidRDefault="0089380C" w:rsidP="007A7613">
            <w:pPr>
              <w:pStyle w:val="naiskr"/>
              <w:jc w:val="both"/>
              <w:rPr>
                <w:sz w:val="28"/>
                <w:szCs w:val="28"/>
              </w:rPr>
            </w:pPr>
            <w:r w:rsidRPr="00E40368">
              <w:rPr>
                <w:sz w:val="28"/>
                <w:szCs w:val="28"/>
              </w:rPr>
              <w:t> </w:t>
            </w:r>
            <w:r w:rsidR="00722569">
              <w:rPr>
                <w:sz w:val="28"/>
                <w:szCs w:val="28"/>
              </w:rPr>
              <w:t>Projekts šo jomu neskar.</w:t>
            </w:r>
          </w:p>
        </w:tc>
      </w:tr>
      <w:tr w:rsidR="0089380C" w:rsidRPr="00E40368" w:rsidTr="001D7FF5">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30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Administratīvo izmaksu monetārs novērtējums</w:t>
            </w:r>
          </w:p>
        </w:tc>
        <w:tc>
          <w:tcPr>
            <w:tcW w:w="5542" w:type="dxa"/>
            <w:gridSpan w:val="4"/>
            <w:tcBorders>
              <w:top w:val="outset" w:sz="6" w:space="0" w:color="auto"/>
              <w:left w:val="outset" w:sz="6" w:space="0" w:color="auto"/>
              <w:bottom w:val="outset" w:sz="6" w:space="0" w:color="auto"/>
              <w:right w:val="outset" w:sz="6" w:space="0" w:color="auto"/>
            </w:tcBorders>
          </w:tcPr>
          <w:p w:rsidR="0089380C" w:rsidRPr="00E40368" w:rsidRDefault="0089380C" w:rsidP="00EE2530">
            <w:pPr>
              <w:pStyle w:val="naiskr"/>
              <w:jc w:val="both"/>
              <w:rPr>
                <w:sz w:val="28"/>
                <w:szCs w:val="28"/>
              </w:rPr>
            </w:pPr>
            <w:r w:rsidRPr="00E40368">
              <w:rPr>
                <w:sz w:val="28"/>
                <w:szCs w:val="28"/>
              </w:rPr>
              <w:t> </w:t>
            </w:r>
            <w:r w:rsidR="00722569">
              <w:rPr>
                <w:sz w:val="28"/>
                <w:szCs w:val="28"/>
              </w:rPr>
              <w:t>Projekts šo jomu neskar.</w:t>
            </w:r>
          </w:p>
        </w:tc>
      </w:tr>
      <w:tr w:rsidR="0089380C" w:rsidRPr="00E40368" w:rsidTr="001D7FF5">
        <w:trPr>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30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Cita informācija</w:t>
            </w:r>
          </w:p>
        </w:tc>
        <w:tc>
          <w:tcPr>
            <w:tcW w:w="5542" w:type="dxa"/>
            <w:gridSpan w:val="4"/>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722569">
              <w:rPr>
                <w:sz w:val="28"/>
                <w:szCs w:val="28"/>
              </w:rPr>
              <w:t>Projekts šo jomu neskar.</w:t>
            </w:r>
          </w:p>
        </w:tc>
      </w:tr>
      <w:tr w:rsidR="00C447D9" w:rsidRPr="00992741" w:rsidTr="001D7FF5">
        <w:trPr>
          <w:tblCellSpacing w:w="0" w:type="dxa"/>
        </w:trPr>
        <w:tc>
          <w:tcPr>
            <w:tcW w:w="9101" w:type="dxa"/>
            <w:gridSpan w:val="8"/>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center"/>
              <w:rPr>
                <w:b/>
                <w:sz w:val="28"/>
                <w:szCs w:val="28"/>
              </w:rPr>
            </w:pPr>
            <w:r w:rsidRPr="00C447D9">
              <w:rPr>
                <w:b/>
                <w:sz w:val="28"/>
                <w:szCs w:val="28"/>
              </w:rPr>
              <w:t>III. Tiesību akta projekta ietekme uz valsts budžetu un pašvaldību budžetiem</w:t>
            </w:r>
          </w:p>
        </w:tc>
      </w:tr>
      <w:tr w:rsidR="00C447D9" w:rsidRPr="007C0F2C" w:rsidTr="001D7FF5">
        <w:trPr>
          <w:trHeight w:val="135"/>
          <w:tblCellSpacing w:w="0" w:type="dxa"/>
        </w:trPr>
        <w:tc>
          <w:tcPr>
            <w:tcW w:w="1996" w:type="dxa"/>
            <w:gridSpan w:val="2"/>
            <w:vMerge w:val="restart"/>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center"/>
              <w:rPr>
                <w:sz w:val="28"/>
                <w:szCs w:val="28"/>
              </w:rPr>
            </w:pPr>
            <w:r w:rsidRPr="00C447D9">
              <w:rPr>
                <w:b/>
                <w:sz w:val="28"/>
                <w:szCs w:val="28"/>
              </w:rPr>
              <w:t>Rādītāji</w:t>
            </w:r>
          </w:p>
        </w:tc>
        <w:tc>
          <w:tcPr>
            <w:tcW w:w="2555" w:type="dxa"/>
            <w:gridSpan w:val="3"/>
            <w:vMerge w:val="restart"/>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b/>
                <w:sz w:val="28"/>
                <w:szCs w:val="28"/>
              </w:rPr>
              <w:t>2011.gads</w:t>
            </w:r>
          </w:p>
        </w:tc>
        <w:tc>
          <w:tcPr>
            <w:tcW w:w="4550" w:type="dxa"/>
            <w:gridSpan w:val="3"/>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center"/>
              <w:rPr>
                <w:sz w:val="28"/>
                <w:szCs w:val="28"/>
              </w:rPr>
            </w:pPr>
            <w:r w:rsidRPr="00C447D9">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C447D9">
                <w:rPr>
                  <w:sz w:val="28"/>
                  <w:szCs w:val="28"/>
                </w:rPr>
                <w:t>. latu</w:t>
              </w:r>
            </w:smartTag>
            <w:r w:rsidRPr="00C447D9">
              <w:rPr>
                <w:sz w:val="28"/>
                <w:szCs w:val="28"/>
              </w:rPr>
              <w:t>)</w:t>
            </w:r>
          </w:p>
        </w:tc>
      </w:tr>
      <w:tr w:rsidR="00C447D9" w:rsidRPr="007C0F2C" w:rsidTr="001D7FF5">
        <w:trPr>
          <w:trHeight w:val="135"/>
          <w:tblCellSpacing w:w="0" w:type="dxa"/>
        </w:trPr>
        <w:tc>
          <w:tcPr>
            <w:tcW w:w="1996" w:type="dxa"/>
            <w:gridSpan w:val="2"/>
            <w:vMerge/>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rPr>
                <w:b/>
                <w:sz w:val="28"/>
                <w:szCs w:val="28"/>
              </w:rPr>
            </w:pPr>
          </w:p>
        </w:tc>
        <w:tc>
          <w:tcPr>
            <w:tcW w:w="2555" w:type="dxa"/>
            <w:gridSpan w:val="3"/>
            <w:vMerge/>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b/>
                <w:sz w:val="28"/>
                <w:szCs w:val="28"/>
              </w:rPr>
            </w:pP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rPr>
                <w:sz w:val="28"/>
                <w:szCs w:val="28"/>
              </w:rPr>
            </w:pPr>
            <w:r>
              <w:rPr>
                <w:b/>
                <w:bCs/>
                <w:sz w:val="28"/>
                <w:szCs w:val="28"/>
              </w:rPr>
              <w:t>2012</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rPr>
                <w:sz w:val="28"/>
                <w:szCs w:val="28"/>
              </w:rPr>
            </w:pPr>
            <w:r>
              <w:rPr>
                <w:b/>
                <w:bCs/>
                <w:sz w:val="28"/>
                <w:szCs w:val="28"/>
              </w:rPr>
              <w:t>2013</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rPr>
                <w:sz w:val="28"/>
                <w:szCs w:val="28"/>
              </w:rPr>
            </w:pPr>
            <w:r>
              <w:rPr>
                <w:b/>
                <w:bCs/>
                <w:sz w:val="28"/>
                <w:szCs w:val="28"/>
              </w:rPr>
              <w:t>2014</w:t>
            </w:r>
          </w:p>
        </w:tc>
      </w:tr>
      <w:tr w:rsidR="00C447D9" w:rsidRPr="007C0F2C" w:rsidTr="001D7FF5">
        <w:trPr>
          <w:tblCellSpacing w:w="0" w:type="dxa"/>
        </w:trPr>
        <w:tc>
          <w:tcPr>
            <w:tcW w:w="1996" w:type="dxa"/>
            <w:gridSpan w:val="2"/>
            <w:vMerge/>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rPr>
                <w:b/>
                <w:sz w:val="28"/>
                <w:szCs w:val="28"/>
              </w:rPr>
            </w:pP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both"/>
              <w:rPr>
                <w:sz w:val="28"/>
                <w:szCs w:val="28"/>
              </w:rPr>
            </w:pPr>
            <w:r w:rsidRPr="00C447D9">
              <w:rPr>
                <w:sz w:val="28"/>
                <w:szCs w:val="28"/>
              </w:rPr>
              <w:t>Saskaņā ar valsts budžetu kārtējam gadam</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both"/>
              <w:rPr>
                <w:sz w:val="28"/>
                <w:szCs w:val="28"/>
              </w:rPr>
            </w:pPr>
            <w:r w:rsidRPr="00C447D9">
              <w:rPr>
                <w:sz w:val="28"/>
                <w:szCs w:val="28"/>
              </w:rPr>
              <w:t>Izmaiņas kārtējā gadā, salīdzinot ar budžetu kārtējam gadam</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both"/>
              <w:rPr>
                <w:sz w:val="28"/>
                <w:szCs w:val="28"/>
              </w:rPr>
            </w:pPr>
            <w:r w:rsidRPr="00C447D9">
              <w:rPr>
                <w:sz w:val="28"/>
                <w:szCs w:val="28"/>
              </w:rPr>
              <w:t>Izmaiņas, salīdzinot ar kārtējo (n) gadu</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both"/>
              <w:rPr>
                <w:sz w:val="28"/>
                <w:szCs w:val="28"/>
              </w:rPr>
            </w:pPr>
            <w:r w:rsidRPr="00C447D9">
              <w:rPr>
                <w:sz w:val="28"/>
                <w:szCs w:val="28"/>
              </w:rPr>
              <w:t>Izmaiņas, salīdzinot ar kārtējo (n) gadu</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both"/>
              <w:rPr>
                <w:sz w:val="28"/>
                <w:szCs w:val="28"/>
              </w:rPr>
            </w:pPr>
            <w:r w:rsidRPr="00C447D9">
              <w:rPr>
                <w:sz w:val="28"/>
                <w:szCs w:val="28"/>
              </w:rPr>
              <w:t>Izmaiņas, salīdzinot ar kārtējo (n) gadu</w:t>
            </w:r>
          </w:p>
        </w:tc>
      </w:tr>
      <w:tr w:rsidR="00C447D9" w:rsidRPr="007C0F2C"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b/>
                <w:sz w:val="28"/>
                <w:szCs w:val="28"/>
              </w:rPr>
            </w:pPr>
            <w:r w:rsidRPr="00C447D9">
              <w:rPr>
                <w:b/>
                <w:sz w:val="28"/>
                <w:szCs w:val="28"/>
              </w:rPr>
              <w:t>1</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b/>
                <w:sz w:val="28"/>
                <w:szCs w:val="28"/>
              </w:rPr>
            </w:pPr>
            <w:r w:rsidRPr="00C447D9">
              <w:rPr>
                <w:b/>
                <w:sz w:val="28"/>
                <w:szCs w:val="28"/>
              </w:rPr>
              <w:t>2</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b/>
                <w:sz w:val="28"/>
                <w:szCs w:val="28"/>
              </w:rPr>
            </w:pPr>
            <w:r w:rsidRPr="00C447D9">
              <w:rPr>
                <w:b/>
                <w:sz w:val="28"/>
                <w:szCs w:val="28"/>
              </w:rPr>
              <w:t>3</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b/>
                <w:sz w:val="28"/>
                <w:szCs w:val="28"/>
              </w:rPr>
            </w:pPr>
            <w:r w:rsidRPr="00C447D9">
              <w:rPr>
                <w:b/>
                <w:sz w:val="28"/>
                <w:szCs w:val="28"/>
              </w:rPr>
              <w:t>4</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b/>
                <w:sz w:val="28"/>
                <w:szCs w:val="28"/>
              </w:rPr>
            </w:pPr>
            <w:r w:rsidRPr="00C447D9">
              <w:rPr>
                <w:b/>
                <w:sz w:val="28"/>
                <w:szCs w:val="28"/>
              </w:rPr>
              <w:t>5</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b/>
                <w:sz w:val="28"/>
                <w:szCs w:val="28"/>
              </w:rPr>
            </w:pPr>
            <w:r w:rsidRPr="00C447D9">
              <w:rPr>
                <w:b/>
                <w:sz w:val="28"/>
                <w:szCs w:val="28"/>
              </w:rPr>
              <w:t>6</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both"/>
              <w:rPr>
                <w:b/>
                <w:sz w:val="28"/>
                <w:szCs w:val="28"/>
              </w:rPr>
            </w:pPr>
            <w:r w:rsidRPr="00C447D9">
              <w:rPr>
                <w:sz w:val="28"/>
                <w:szCs w:val="28"/>
              </w:rPr>
              <w:t>1. Budžeta ieņēmumi:</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AC6102" w:rsidP="00890660">
            <w:pPr>
              <w:pStyle w:val="naiskr"/>
              <w:jc w:val="center"/>
              <w:rPr>
                <w:sz w:val="28"/>
                <w:szCs w:val="28"/>
              </w:rPr>
            </w:pPr>
            <w:r>
              <w:rPr>
                <w:sz w:val="28"/>
                <w:szCs w:val="28"/>
              </w:rPr>
              <w:t>3900</w:t>
            </w:r>
            <w:r w:rsidR="001D7FF5">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1.1. valsts pamatbudžets, tai skaitā ieņēmumi no maksas pakalpojumiem un citi pašu ieņēmumi</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AC6102" w:rsidP="00890660">
            <w:pPr>
              <w:pStyle w:val="naiskr"/>
              <w:jc w:val="center"/>
              <w:rPr>
                <w:sz w:val="28"/>
                <w:szCs w:val="28"/>
              </w:rPr>
            </w:pPr>
            <w:r>
              <w:rPr>
                <w:sz w:val="28"/>
                <w:szCs w:val="28"/>
              </w:rPr>
              <w:t>3900</w:t>
            </w:r>
            <w:r w:rsidR="001D7FF5">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1.2. valsts speciālais 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1.3. pašvaldību 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2. Budžeta izdevumi:</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2.1. valsts pamatbudžets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1D7FF5">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2.2. valsts speciālais 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2.3. pašvaldību 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3. Finansiālā ietekme:</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390</w:t>
            </w:r>
            <w:r w:rsidR="00AC6102">
              <w:rPr>
                <w:sz w:val="28"/>
                <w:szCs w:val="28"/>
              </w:rPr>
              <w:t>0</w:t>
            </w: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3.1. valsts pamatbudžets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390</w:t>
            </w:r>
            <w:r w:rsidR="00AC6102">
              <w:rPr>
                <w:sz w:val="28"/>
                <w:szCs w:val="28"/>
              </w:rPr>
              <w:t>0</w:t>
            </w: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3.2. speciālais 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3.3. pašvaldību budžets</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0</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4. Finanšu līdzekļi papildu izde</w:t>
            </w:r>
            <w:r w:rsidRPr="00C447D9">
              <w:rPr>
                <w:sz w:val="28"/>
                <w:szCs w:val="28"/>
              </w:rPr>
              <w:softHyphen/>
              <w:t>vumu finansēšanai (kompensējošu izdevumu samazinājumu norāda ar "+" zīmi)</w:t>
            </w:r>
          </w:p>
        </w:tc>
        <w:tc>
          <w:tcPr>
            <w:tcW w:w="113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r w:rsidRPr="00C447D9">
              <w:rPr>
                <w:sz w:val="28"/>
                <w:szCs w:val="28"/>
              </w:rPr>
              <w:t>X</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5. Precizēta finansiālā ietekme:</w:t>
            </w:r>
          </w:p>
        </w:tc>
        <w:tc>
          <w:tcPr>
            <w:tcW w:w="1138" w:type="dxa"/>
            <w:vMerge w:val="restart"/>
            <w:tcBorders>
              <w:top w:val="outset" w:sz="6" w:space="0" w:color="auto"/>
              <w:left w:val="outset" w:sz="6" w:space="0" w:color="auto"/>
              <w:right w:val="outset" w:sz="6" w:space="0" w:color="auto"/>
            </w:tcBorders>
          </w:tcPr>
          <w:p w:rsidR="00C447D9" w:rsidRPr="00C447D9" w:rsidRDefault="00C447D9" w:rsidP="00890660">
            <w:pPr>
              <w:pStyle w:val="naiskr"/>
              <w:jc w:val="center"/>
              <w:rPr>
                <w:sz w:val="28"/>
                <w:szCs w:val="28"/>
              </w:rPr>
            </w:pPr>
            <w:r w:rsidRPr="00C447D9">
              <w:rPr>
                <w:sz w:val="28"/>
                <w:szCs w:val="28"/>
              </w:rPr>
              <w:t>X</w:t>
            </w: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5.1. valsts pamatbudžets</w:t>
            </w:r>
          </w:p>
        </w:tc>
        <w:tc>
          <w:tcPr>
            <w:tcW w:w="1138" w:type="dxa"/>
            <w:vMerge/>
            <w:tcBorders>
              <w:left w:val="outset" w:sz="6" w:space="0" w:color="auto"/>
              <w:right w:val="outset" w:sz="6" w:space="0" w:color="auto"/>
            </w:tcBorders>
          </w:tcPr>
          <w:p w:rsidR="00C447D9" w:rsidRPr="00C447D9" w:rsidRDefault="00C447D9" w:rsidP="00890660">
            <w:pPr>
              <w:pStyle w:val="naiskr"/>
              <w:jc w:val="center"/>
              <w:rPr>
                <w:sz w:val="28"/>
                <w:szCs w:val="28"/>
              </w:rPr>
            </w:pP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D44B8">
            <w:pPr>
              <w:pStyle w:val="naiskr"/>
              <w:jc w:val="both"/>
              <w:rPr>
                <w:sz w:val="28"/>
                <w:szCs w:val="28"/>
              </w:rPr>
            </w:pPr>
            <w:r w:rsidRPr="00C447D9">
              <w:rPr>
                <w:sz w:val="28"/>
                <w:szCs w:val="28"/>
              </w:rPr>
              <w:t>5.2. speciālais budžets</w:t>
            </w:r>
          </w:p>
        </w:tc>
        <w:tc>
          <w:tcPr>
            <w:tcW w:w="1138" w:type="dxa"/>
            <w:vMerge/>
            <w:tcBorders>
              <w:left w:val="outset" w:sz="6" w:space="0" w:color="auto"/>
              <w:right w:val="outset" w:sz="6" w:space="0" w:color="auto"/>
            </w:tcBorders>
          </w:tcPr>
          <w:p w:rsidR="00C447D9" w:rsidRPr="00C447D9" w:rsidRDefault="00C447D9" w:rsidP="00890660">
            <w:pPr>
              <w:pStyle w:val="naiskr"/>
              <w:jc w:val="center"/>
              <w:rPr>
                <w:sz w:val="28"/>
                <w:szCs w:val="28"/>
              </w:rPr>
            </w:pP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both"/>
              <w:rPr>
                <w:sz w:val="28"/>
                <w:szCs w:val="28"/>
              </w:rPr>
            </w:pPr>
            <w:r w:rsidRPr="00C447D9">
              <w:rPr>
                <w:sz w:val="28"/>
                <w:szCs w:val="28"/>
              </w:rPr>
              <w:t>5.3. pašvaldību budžets</w:t>
            </w:r>
          </w:p>
        </w:tc>
        <w:tc>
          <w:tcPr>
            <w:tcW w:w="1138" w:type="dxa"/>
            <w:vMerge/>
            <w:tcBorders>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1417"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1560"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878"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c>
          <w:tcPr>
            <w:tcW w:w="2112" w:type="dxa"/>
            <w:tcBorders>
              <w:top w:val="outset" w:sz="6" w:space="0" w:color="auto"/>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both"/>
              <w:rPr>
                <w:sz w:val="28"/>
                <w:szCs w:val="28"/>
              </w:rPr>
            </w:pPr>
            <w:r w:rsidRPr="00C447D9">
              <w:rPr>
                <w:sz w:val="28"/>
                <w:szCs w:val="28"/>
              </w:rPr>
              <w:t>6. Detalizēts ieņēmumu un izdevu</w:t>
            </w:r>
            <w:r w:rsidRPr="00C447D9">
              <w:rPr>
                <w:sz w:val="28"/>
                <w:szCs w:val="28"/>
              </w:rPr>
              <w:softHyphen/>
              <w:t>mu aprēķins (ja nepieciešams, detalizētu ieņēmumu un izdevumu aprēķinu var pievienot anotācijas pielikumā):</w:t>
            </w:r>
          </w:p>
        </w:tc>
        <w:tc>
          <w:tcPr>
            <w:tcW w:w="7105" w:type="dxa"/>
            <w:gridSpan w:val="6"/>
            <w:vMerge w:val="restart"/>
            <w:tcBorders>
              <w:top w:val="outset" w:sz="6" w:space="0" w:color="auto"/>
              <w:left w:val="outset" w:sz="6" w:space="0" w:color="auto"/>
              <w:right w:val="outset" w:sz="6" w:space="0" w:color="auto"/>
            </w:tcBorders>
          </w:tcPr>
          <w:p w:rsidR="00C447D9" w:rsidRPr="00C447D9" w:rsidRDefault="001D7FF5" w:rsidP="00890660">
            <w:pPr>
              <w:pStyle w:val="naiskr"/>
              <w:jc w:val="center"/>
              <w:rPr>
                <w:sz w:val="28"/>
                <w:szCs w:val="28"/>
              </w:rPr>
            </w:pPr>
            <w:r>
              <w:rPr>
                <w:sz w:val="28"/>
                <w:szCs w:val="28"/>
              </w:rPr>
              <w:t>Projekts šo jomu neskar</w:t>
            </w: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both"/>
              <w:rPr>
                <w:sz w:val="28"/>
                <w:szCs w:val="28"/>
              </w:rPr>
            </w:pPr>
            <w:r w:rsidRPr="00C447D9">
              <w:rPr>
                <w:sz w:val="28"/>
                <w:szCs w:val="28"/>
              </w:rPr>
              <w:t>6.1. detalizēts ieņēmumu aprēķins</w:t>
            </w:r>
          </w:p>
        </w:tc>
        <w:tc>
          <w:tcPr>
            <w:tcW w:w="7105" w:type="dxa"/>
            <w:gridSpan w:val="6"/>
            <w:vMerge/>
            <w:tcBorders>
              <w:left w:val="outset" w:sz="6" w:space="0" w:color="auto"/>
              <w:right w:val="outset" w:sz="6" w:space="0" w:color="auto"/>
            </w:tcBorders>
          </w:tcPr>
          <w:p w:rsidR="00C447D9" w:rsidRPr="00C447D9" w:rsidRDefault="00C447D9" w:rsidP="00890660">
            <w:pPr>
              <w:pStyle w:val="naiskr"/>
              <w:jc w:val="center"/>
              <w:rPr>
                <w:sz w:val="28"/>
                <w:szCs w:val="28"/>
              </w:rPr>
            </w:pP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both"/>
              <w:rPr>
                <w:sz w:val="28"/>
                <w:szCs w:val="28"/>
              </w:rPr>
            </w:pPr>
            <w:r w:rsidRPr="00C447D9">
              <w:rPr>
                <w:sz w:val="28"/>
                <w:szCs w:val="28"/>
              </w:rPr>
              <w:t>6.2. detalizēts izdevumu aprēķins</w:t>
            </w:r>
          </w:p>
        </w:tc>
        <w:tc>
          <w:tcPr>
            <w:tcW w:w="7105" w:type="dxa"/>
            <w:gridSpan w:val="6"/>
            <w:vMerge/>
            <w:tcBorders>
              <w:left w:val="outset" w:sz="6" w:space="0" w:color="auto"/>
              <w:bottom w:val="outset" w:sz="6" w:space="0" w:color="auto"/>
              <w:right w:val="outset" w:sz="6" w:space="0" w:color="auto"/>
            </w:tcBorders>
          </w:tcPr>
          <w:p w:rsidR="00C447D9" w:rsidRPr="00C447D9" w:rsidRDefault="00C447D9" w:rsidP="00890660">
            <w:pPr>
              <w:pStyle w:val="naiskr"/>
              <w:jc w:val="center"/>
              <w:rPr>
                <w:sz w:val="28"/>
                <w:szCs w:val="28"/>
              </w:rPr>
            </w:pPr>
          </w:p>
        </w:tc>
      </w:tr>
      <w:tr w:rsidR="00C447D9" w:rsidTr="001D7FF5">
        <w:trPr>
          <w:tblCellSpacing w:w="0" w:type="dxa"/>
        </w:trPr>
        <w:tc>
          <w:tcPr>
            <w:tcW w:w="1996" w:type="dxa"/>
            <w:gridSpan w:val="2"/>
            <w:tcBorders>
              <w:top w:val="outset" w:sz="6" w:space="0" w:color="auto"/>
              <w:left w:val="outset" w:sz="6" w:space="0" w:color="auto"/>
              <w:bottom w:val="outset" w:sz="6" w:space="0" w:color="auto"/>
              <w:right w:val="outset" w:sz="6" w:space="0" w:color="auto"/>
            </w:tcBorders>
          </w:tcPr>
          <w:p w:rsidR="00C447D9" w:rsidRPr="00C447D9" w:rsidRDefault="00C447D9" w:rsidP="00C447D9">
            <w:pPr>
              <w:pStyle w:val="naiskr"/>
              <w:jc w:val="both"/>
              <w:rPr>
                <w:sz w:val="28"/>
                <w:szCs w:val="28"/>
              </w:rPr>
            </w:pPr>
            <w:r w:rsidRPr="00C447D9">
              <w:rPr>
                <w:sz w:val="28"/>
                <w:szCs w:val="28"/>
              </w:rPr>
              <w:t>7. Cita informācija</w:t>
            </w:r>
          </w:p>
        </w:tc>
        <w:tc>
          <w:tcPr>
            <w:tcW w:w="7105" w:type="dxa"/>
            <w:gridSpan w:val="6"/>
            <w:tcBorders>
              <w:top w:val="outset" w:sz="6" w:space="0" w:color="auto"/>
              <w:left w:val="outset" w:sz="6" w:space="0" w:color="auto"/>
              <w:bottom w:val="outset" w:sz="6" w:space="0" w:color="auto"/>
              <w:right w:val="outset" w:sz="6" w:space="0" w:color="auto"/>
            </w:tcBorders>
          </w:tcPr>
          <w:p w:rsidR="00C447D9" w:rsidRPr="00C447D9" w:rsidRDefault="001D7FF5" w:rsidP="00890660">
            <w:pPr>
              <w:pStyle w:val="naiskr"/>
              <w:spacing w:before="0" w:after="0"/>
              <w:jc w:val="both"/>
              <w:rPr>
                <w:sz w:val="28"/>
                <w:szCs w:val="28"/>
              </w:rPr>
            </w:pPr>
            <w:r>
              <w:rPr>
                <w:sz w:val="28"/>
                <w:szCs w:val="28"/>
              </w:rPr>
              <w:t>Finanšu ministrija veiks akciju iegādi AS „Augstsprieguma tīkls”  no piešķirtās dotācijas no vispārējiem ieņēmumiem no AS „Latvenergo” valsts budžetā iemaksātās maksas par valsts kapitāla izmantošanu (ieņēmumi no dividendēm).</w:t>
            </w:r>
            <w:r w:rsidRPr="00153ADE">
              <w:rPr>
                <w:color w:val="1F497D"/>
              </w:rPr>
              <w:t xml:space="preserve"> </w:t>
            </w:r>
            <w:r w:rsidRPr="00153ADE">
              <w:rPr>
                <w:sz w:val="28"/>
                <w:szCs w:val="28"/>
              </w:rPr>
              <w:t xml:space="preserve"> Darījuma plānošanai un uzskaitei  tiek pielietota finansēšanas klasifikācijas kategorijas (</w:t>
            </w:r>
            <w:r w:rsidRPr="001D7FF5">
              <w:rPr>
                <w:sz w:val="28"/>
                <w:szCs w:val="28"/>
              </w:rPr>
              <w:t>kodi F 50010000</w:t>
            </w:r>
            <w:bookmarkStart w:id="2" w:name="_GoBack"/>
            <w:bookmarkEnd w:id="2"/>
            <w:r w:rsidRPr="001D7FF5">
              <w:rPr>
                <w:sz w:val="28"/>
                <w:szCs w:val="28"/>
              </w:rPr>
              <w:t>)  „Akcijas un cita līdzdalība komersantu pašu kapitālā</w:t>
            </w:r>
            <w:r w:rsidRPr="00153ADE">
              <w:rPr>
                <w:sz w:val="28"/>
                <w:szCs w:val="28"/>
              </w:rPr>
              <w:t>”</w:t>
            </w:r>
            <w:r>
              <w:rPr>
                <w:sz w:val="28"/>
                <w:szCs w:val="28"/>
              </w:rPr>
              <w:t>.</w:t>
            </w:r>
            <w:r w:rsidRPr="00153ADE">
              <w:rPr>
                <w:sz w:val="28"/>
                <w:szCs w:val="28"/>
              </w:rPr>
              <w:t> </w:t>
            </w:r>
          </w:p>
        </w:tc>
      </w:tr>
    </w:tbl>
    <w:p w:rsidR="0048600E" w:rsidRDefault="0048600E" w:rsidP="00C051AD">
      <w:pPr>
        <w:pStyle w:val="naisf"/>
        <w:spacing w:before="0" w:beforeAutospacing="0" w:after="0" w:afterAutospacing="0"/>
        <w:rPr>
          <w:sz w:val="28"/>
          <w:szCs w:val="28"/>
        </w:rPr>
      </w:pPr>
    </w:p>
    <w:p w:rsidR="00C447D9" w:rsidRDefault="00C447D9" w:rsidP="00C051AD">
      <w:pPr>
        <w:pStyle w:val="naisf"/>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481"/>
        <w:gridCol w:w="5117"/>
      </w:tblGrid>
      <w:tr w:rsidR="00D8433F" w:rsidRPr="00E40368" w:rsidTr="00527E2C">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D8433F" w:rsidRPr="00D8433F" w:rsidRDefault="00D8433F" w:rsidP="00C051AD">
            <w:pPr>
              <w:pStyle w:val="naisc"/>
              <w:jc w:val="center"/>
              <w:rPr>
                <w:sz w:val="28"/>
                <w:szCs w:val="28"/>
              </w:rPr>
            </w:pPr>
            <w:r w:rsidRPr="00D8433F">
              <w:rPr>
                <w:b/>
                <w:bCs/>
                <w:sz w:val="28"/>
                <w:szCs w:val="28"/>
              </w:rPr>
              <w:t>IV. Tiesību akta projekta ietekme uz spēkā esošo tiesību normu sistēmu</w:t>
            </w:r>
          </w:p>
        </w:tc>
      </w:tr>
      <w:tr w:rsidR="00D8433F" w:rsidRPr="00E40368" w:rsidTr="00527E2C">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D8433F" w:rsidRPr="00E40368" w:rsidRDefault="00D8433F" w:rsidP="00256DF4">
            <w:pPr>
              <w:pStyle w:val="naiskr"/>
              <w:rPr>
                <w:sz w:val="28"/>
                <w:szCs w:val="28"/>
              </w:rPr>
            </w:pPr>
            <w:r w:rsidRPr="00E40368">
              <w:rPr>
                <w:sz w:val="28"/>
                <w:szCs w:val="28"/>
              </w:rPr>
              <w:t> 1.</w:t>
            </w:r>
          </w:p>
        </w:tc>
        <w:tc>
          <w:tcPr>
            <w:tcW w:w="3481" w:type="dxa"/>
            <w:tcBorders>
              <w:top w:val="outset" w:sz="6" w:space="0" w:color="auto"/>
              <w:left w:val="outset" w:sz="6" w:space="0" w:color="auto"/>
              <w:bottom w:val="outset" w:sz="6" w:space="0" w:color="auto"/>
              <w:right w:val="outset" w:sz="6" w:space="0" w:color="auto"/>
            </w:tcBorders>
          </w:tcPr>
          <w:p w:rsidR="00D8433F" w:rsidRPr="00D8433F" w:rsidRDefault="00D8433F" w:rsidP="00D8433F">
            <w:pPr>
              <w:pStyle w:val="naiskr"/>
              <w:jc w:val="both"/>
              <w:rPr>
                <w:sz w:val="28"/>
                <w:szCs w:val="28"/>
              </w:rPr>
            </w:pPr>
            <w:r w:rsidRPr="00D8433F">
              <w:rPr>
                <w:sz w:val="28"/>
                <w:szCs w:val="28"/>
              </w:rPr>
              <w:t> Nepieciešamie saistītie tiesību aktu projekti</w:t>
            </w:r>
          </w:p>
        </w:tc>
        <w:tc>
          <w:tcPr>
            <w:tcW w:w="5117" w:type="dxa"/>
            <w:tcBorders>
              <w:top w:val="outset" w:sz="6" w:space="0" w:color="auto"/>
              <w:left w:val="outset" w:sz="6" w:space="0" w:color="auto"/>
              <w:bottom w:val="outset" w:sz="6" w:space="0" w:color="auto"/>
              <w:right w:val="outset" w:sz="6" w:space="0" w:color="auto"/>
            </w:tcBorders>
          </w:tcPr>
          <w:p w:rsidR="00D8433F" w:rsidRDefault="00D8433F" w:rsidP="003D4DAF">
            <w:pPr>
              <w:pStyle w:val="naiskr"/>
              <w:jc w:val="both"/>
              <w:rPr>
                <w:bCs/>
                <w:iCs/>
                <w:sz w:val="28"/>
                <w:szCs w:val="28"/>
              </w:rPr>
            </w:pPr>
            <w:r>
              <w:rPr>
                <w:sz w:val="28"/>
                <w:szCs w:val="28"/>
              </w:rPr>
              <w:t xml:space="preserve">Ņemot vērā, ka rīkojuma projekts paredz iecelt Finanšu ministriju par valsts </w:t>
            </w:r>
            <w:r w:rsidR="0095646E">
              <w:rPr>
                <w:sz w:val="28"/>
                <w:szCs w:val="28"/>
              </w:rPr>
              <w:t xml:space="preserve">akciju </w:t>
            </w:r>
            <w:r>
              <w:rPr>
                <w:sz w:val="28"/>
                <w:szCs w:val="28"/>
              </w:rPr>
              <w:t xml:space="preserve">turētāju akciju sabiedrībā </w:t>
            </w:r>
            <w:r w:rsidRPr="003E63FD">
              <w:rPr>
                <w:sz w:val="28"/>
                <w:szCs w:val="28"/>
              </w:rPr>
              <w:t>"</w:t>
            </w:r>
            <w:r>
              <w:rPr>
                <w:sz w:val="28"/>
                <w:szCs w:val="28"/>
              </w:rPr>
              <w:t>Augstsprieguma tīkls</w:t>
            </w:r>
            <w:r w:rsidRPr="003E63FD">
              <w:rPr>
                <w:sz w:val="28"/>
                <w:szCs w:val="28"/>
              </w:rPr>
              <w:t>"</w:t>
            </w:r>
            <w:r w:rsidR="003D4DAF">
              <w:rPr>
                <w:sz w:val="28"/>
                <w:szCs w:val="28"/>
              </w:rPr>
              <w:t>,</w:t>
            </w:r>
            <w:r w:rsidR="0095646E">
              <w:rPr>
                <w:sz w:val="28"/>
                <w:szCs w:val="28"/>
              </w:rPr>
              <w:t xml:space="preserve"> </w:t>
            </w:r>
            <w:r>
              <w:rPr>
                <w:sz w:val="28"/>
                <w:szCs w:val="28"/>
              </w:rPr>
              <w:t xml:space="preserve">pēc akciju sabiedrības </w:t>
            </w:r>
            <w:r w:rsidRPr="003E63FD">
              <w:rPr>
                <w:sz w:val="28"/>
                <w:szCs w:val="28"/>
              </w:rPr>
              <w:t>"</w:t>
            </w:r>
            <w:r>
              <w:rPr>
                <w:sz w:val="28"/>
                <w:szCs w:val="28"/>
              </w:rPr>
              <w:t>Augstsprieguma tīkls</w:t>
            </w:r>
            <w:r w:rsidRPr="003E63FD">
              <w:rPr>
                <w:sz w:val="28"/>
                <w:szCs w:val="28"/>
              </w:rPr>
              <w:t>"</w:t>
            </w:r>
            <w:r>
              <w:rPr>
                <w:sz w:val="28"/>
                <w:szCs w:val="28"/>
              </w:rPr>
              <w:t xml:space="preserve"> </w:t>
            </w:r>
            <w:r w:rsidR="0095646E">
              <w:rPr>
                <w:sz w:val="28"/>
                <w:szCs w:val="28"/>
              </w:rPr>
              <w:t>akciju</w:t>
            </w:r>
            <w:r>
              <w:rPr>
                <w:sz w:val="28"/>
                <w:szCs w:val="28"/>
              </w:rPr>
              <w:t xml:space="preserve"> iegūšanas valsts īpašumā ir nepieciešams veikt </w:t>
            </w:r>
            <w:r w:rsidRPr="00D8433F">
              <w:rPr>
                <w:sz w:val="28"/>
                <w:szCs w:val="28"/>
              </w:rPr>
              <w:t>grozījumus Ministru kabineta 2003.gada 29.aprīļa noteikumos Nr.</w:t>
            </w:r>
            <w:r w:rsidRPr="00D8433F">
              <w:rPr>
                <w:bCs/>
                <w:iCs/>
                <w:sz w:val="28"/>
                <w:szCs w:val="28"/>
              </w:rPr>
              <w:t>239 „Finanšu ministrijas nolikums”</w:t>
            </w:r>
            <w:r>
              <w:rPr>
                <w:bCs/>
                <w:iCs/>
                <w:sz w:val="28"/>
                <w:szCs w:val="28"/>
              </w:rPr>
              <w:t>.</w:t>
            </w:r>
          </w:p>
          <w:p w:rsidR="00AC6102" w:rsidRPr="00E40368" w:rsidRDefault="00AC6102" w:rsidP="003D4DAF">
            <w:pPr>
              <w:pStyle w:val="naiskr"/>
              <w:jc w:val="both"/>
              <w:rPr>
                <w:sz w:val="28"/>
                <w:szCs w:val="28"/>
              </w:rPr>
            </w:pPr>
            <w:r>
              <w:rPr>
                <w:bCs/>
                <w:iCs/>
                <w:sz w:val="28"/>
                <w:szCs w:val="28"/>
              </w:rPr>
              <w:t xml:space="preserve">Finanšu ministrijai tālāk virzot likumprojektu </w:t>
            </w:r>
            <w:r>
              <w:rPr>
                <w:sz w:val="28"/>
                <w:szCs w:val="28"/>
              </w:rPr>
              <w:t xml:space="preserve">„Par valsts budžetu 2012.gadam”, jāņem vērā, ka </w:t>
            </w:r>
            <w:r w:rsidR="003D3EE6">
              <w:rPr>
                <w:sz w:val="28"/>
                <w:szCs w:val="28"/>
              </w:rPr>
              <w:t xml:space="preserve">likumprojekts ir jāpapildina ar normu, ka </w:t>
            </w:r>
            <w:r>
              <w:rPr>
                <w:sz w:val="28"/>
                <w:szCs w:val="28"/>
              </w:rPr>
              <w:t>valsts budžetā maksājamo dividenžu apjoms</w:t>
            </w:r>
            <w:r w:rsidR="003D3EE6">
              <w:rPr>
                <w:sz w:val="28"/>
                <w:szCs w:val="28"/>
              </w:rPr>
              <w:t>, ko maksā AS „Latvenergo”</w:t>
            </w:r>
            <w:r>
              <w:rPr>
                <w:sz w:val="28"/>
                <w:szCs w:val="28"/>
              </w:rPr>
              <w:t xml:space="preserve"> ir jāpalielina par 3 900 000 latiem.</w:t>
            </w:r>
          </w:p>
        </w:tc>
      </w:tr>
      <w:tr w:rsidR="00D8433F" w:rsidRPr="00E40368" w:rsidTr="00527E2C">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D8433F" w:rsidRPr="00E40368" w:rsidRDefault="00D8433F" w:rsidP="00256DF4">
            <w:pPr>
              <w:pStyle w:val="naiskr"/>
              <w:rPr>
                <w:sz w:val="28"/>
                <w:szCs w:val="28"/>
              </w:rPr>
            </w:pPr>
            <w:r w:rsidRPr="00E40368">
              <w:rPr>
                <w:sz w:val="28"/>
                <w:szCs w:val="28"/>
              </w:rPr>
              <w:t> 2.</w:t>
            </w:r>
          </w:p>
        </w:tc>
        <w:tc>
          <w:tcPr>
            <w:tcW w:w="3481" w:type="dxa"/>
            <w:tcBorders>
              <w:top w:val="outset" w:sz="6" w:space="0" w:color="auto"/>
              <w:left w:val="outset" w:sz="6" w:space="0" w:color="auto"/>
              <w:bottom w:val="outset" w:sz="6" w:space="0" w:color="auto"/>
              <w:right w:val="outset" w:sz="6" w:space="0" w:color="auto"/>
            </w:tcBorders>
          </w:tcPr>
          <w:p w:rsidR="00D8433F" w:rsidRPr="00D8433F" w:rsidRDefault="00D8433F" w:rsidP="00256DF4">
            <w:pPr>
              <w:pStyle w:val="naiskr"/>
              <w:rPr>
                <w:sz w:val="28"/>
                <w:szCs w:val="28"/>
              </w:rPr>
            </w:pPr>
            <w:r w:rsidRPr="00D8433F">
              <w:rPr>
                <w:sz w:val="28"/>
                <w:szCs w:val="28"/>
              </w:rPr>
              <w:t> Cita informācija</w:t>
            </w:r>
          </w:p>
        </w:tc>
        <w:tc>
          <w:tcPr>
            <w:tcW w:w="5117" w:type="dxa"/>
            <w:tcBorders>
              <w:top w:val="outset" w:sz="6" w:space="0" w:color="auto"/>
              <w:left w:val="outset" w:sz="6" w:space="0" w:color="auto"/>
              <w:bottom w:val="outset" w:sz="6" w:space="0" w:color="auto"/>
              <w:right w:val="outset" w:sz="6" w:space="0" w:color="auto"/>
            </w:tcBorders>
          </w:tcPr>
          <w:p w:rsidR="00D8433F" w:rsidRPr="00E40368" w:rsidRDefault="00D8433F" w:rsidP="00256DF4">
            <w:pPr>
              <w:pStyle w:val="naiskr"/>
              <w:jc w:val="both"/>
              <w:rPr>
                <w:sz w:val="28"/>
                <w:szCs w:val="28"/>
              </w:rPr>
            </w:pPr>
            <w:r>
              <w:rPr>
                <w:sz w:val="28"/>
                <w:szCs w:val="28"/>
              </w:rPr>
              <w:t>Projekts šo jomu neskar.</w:t>
            </w:r>
          </w:p>
        </w:tc>
      </w:tr>
    </w:tbl>
    <w:p w:rsidR="0048600E" w:rsidRPr="00E40368" w:rsidRDefault="0048600E" w:rsidP="00C051AD">
      <w:pPr>
        <w:pStyle w:val="naisf"/>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5"/>
        <w:gridCol w:w="3896"/>
        <w:gridCol w:w="4700"/>
      </w:tblGrid>
      <w:tr w:rsidR="0089380C" w:rsidRPr="00E4036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C051AD">
            <w:pPr>
              <w:pStyle w:val="naisc"/>
              <w:jc w:val="center"/>
              <w:rPr>
                <w:sz w:val="28"/>
                <w:szCs w:val="28"/>
              </w:rPr>
            </w:pPr>
            <w:r w:rsidRPr="00E40368">
              <w:rPr>
                <w:b/>
                <w:bCs/>
                <w:sz w:val="28"/>
                <w:szCs w:val="28"/>
              </w:rPr>
              <w:t>VII. Tiesību akta projekta izpildes nodrošināšana un tās ietekme uz institūcijām</w:t>
            </w:r>
          </w:p>
        </w:tc>
      </w:tr>
      <w:tr w:rsidR="0089380C" w:rsidRPr="00E4036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3D4DAF" w:rsidP="003D4DAF">
            <w:pPr>
              <w:pStyle w:val="naiskr"/>
              <w:jc w:val="both"/>
              <w:rPr>
                <w:sz w:val="28"/>
                <w:szCs w:val="28"/>
              </w:rPr>
            </w:pPr>
            <w:r>
              <w:rPr>
                <w:iCs/>
                <w:sz w:val="28"/>
                <w:szCs w:val="28"/>
              </w:rPr>
              <w:t xml:space="preserve">AS </w:t>
            </w:r>
            <w:r w:rsidR="00722569">
              <w:rPr>
                <w:iCs/>
                <w:sz w:val="28"/>
                <w:szCs w:val="28"/>
              </w:rPr>
              <w:t>„Latvenergo”</w:t>
            </w:r>
            <w:r>
              <w:rPr>
                <w:iCs/>
                <w:sz w:val="28"/>
                <w:szCs w:val="28"/>
              </w:rPr>
              <w:t>,</w:t>
            </w:r>
            <w:r w:rsidR="00722569">
              <w:rPr>
                <w:iCs/>
                <w:sz w:val="28"/>
                <w:szCs w:val="28"/>
              </w:rPr>
              <w:t xml:space="preserve"> AS „Augstsprieguma tīkls” un Finanšu ministrija.</w:t>
            </w:r>
          </w:p>
        </w:tc>
      </w:tr>
      <w:tr w:rsidR="0089380C" w:rsidRPr="00E4036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F7768" w:rsidP="0095646E">
            <w:pPr>
              <w:pStyle w:val="naiskr"/>
              <w:jc w:val="both"/>
              <w:rPr>
                <w:sz w:val="28"/>
                <w:szCs w:val="28"/>
              </w:rPr>
            </w:pPr>
            <w:r w:rsidRPr="00E40368">
              <w:rPr>
                <w:sz w:val="28"/>
                <w:szCs w:val="28"/>
              </w:rPr>
              <w:t xml:space="preserve">Jaunas valsts institūcijas netiks radītas, </w:t>
            </w:r>
            <w:r w:rsidR="003D4DAF">
              <w:rPr>
                <w:sz w:val="28"/>
                <w:szCs w:val="28"/>
              </w:rPr>
              <w:t xml:space="preserve"> Finanšu ministrija kļūs par AS „Augstsprieguma tīkls” valsts </w:t>
            </w:r>
            <w:r w:rsidR="0095646E">
              <w:rPr>
                <w:sz w:val="28"/>
                <w:szCs w:val="28"/>
              </w:rPr>
              <w:t>akciju</w:t>
            </w:r>
            <w:r w:rsidR="003D4DAF">
              <w:rPr>
                <w:sz w:val="28"/>
                <w:szCs w:val="28"/>
              </w:rPr>
              <w:t xml:space="preserve"> turētāju</w:t>
            </w:r>
            <w:r w:rsidR="0061285C" w:rsidRPr="00E40368">
              <w:rPr>
                <w:sz w:val="28"/>
                <w:szCs w:val="28"/>
              </w:rPr>
              <w:t>.</w:t>
            </w:r>
          </w:p>
        </w:tc>
      </w:tr>
      <w:tr w:rsidR="0089380C" w:rsidRPr="00E4036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5F499B" w:rsidP="0095646E">
            <w:pPr>
              <w:pStyle w:val="naiskr"/>
              <w:jc w:val="both"/>
              <w:rPr>
                <w:sz w:val="28"/>
                <w:szCs w:val="28"/>
              </w:rPr>
            </w:pPr>
            <w:r w:rsidRPr="00E40368">
              <w:rPr>
                <w:iCs/>
                <w:sz w:val="28"/>
                <w:szCs w:val="28"/>
              </w:rPr>
              <w:t>Jaunas institūcijas netiks veidotas.</w:t>
            </w:r>
            <w:r w:rsidR="0048600E">
              <w:rPr>
                <w:iCs/>
                <w:sz w:val="28"/>
                <w:szCs w:val="28"/>
              </w:rPr>
              <w:t xml:space="preserve"> Finanšu ministrija tiks iecelta par AS „Augstsprieguma tīkls” valsts </w:t>
            </w:r>
            <w:r w:rsidR="0095646E">
              <w:rPr>
                <w:iCs/>
                <w:sz w:val="28"/>
                <w:szCs w:val="28"/>
              </w:rPr>
              <w:t>akciju</w:t>
            </w:r>
            <w:r w:rsidR="0048600E">
              <w:rPr>
                <w:iCs/>
                <w:sz w:val="28"/>
                <w:szCs w:val="28"/>
              </w:rPr>
              <w:t xml:space="preserve"> turētāju</w:t>
            </w:r>
          </w:p>
        </w:tc>
      </w:tr>
      <w:tr w:rsidR="0089380C" w:rsidRPr="00E4036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5F499B">
            <w:pPr>
              <w:pStyle w:val="naiskr"/>
              <w:rPr>
                <w:sz w:val="28"/>
                <w:szCs w:val="28"/>
              </w:rPr>
            </w:pPr>
            <w:r w:rsidRPr="00E40368">
              <w:rPr>
                <w:iCs/>
                <w:sz w:val="28"/>
                <w:szCs w:val="28"/>
              </w:rPr>
              <w:t>Esošās institūcijas netiks likvidētas.</w:t>
            </w:r>
          </w:p>
        </w:tc>
      </w:tr>
      <w:tr w:rsidR="0089380C" w:rsidRPr="00E4036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5F499B">
            <w:pPr>
              <w:pStyle w:val="naiskr"/>
              <w:rPr>
                <w:sz w:val="28"/>
                <w:szCs w:val="28"/>
              </w:rPr>
            </w:pPr>
            <w:r w:rsidRPr="00E40368">
              <w:rPr>
                <w:iCs/>
                <w:sz w:val="28"/>
                <w:szCs w:val="28"/>
              </w:rPr>
              <w:t>Esošās institūcijas netiks reorganizētas.</w:t>
            </w:r>
          </w:p>
        </w:tc>
      </w:tr>
      <w:tr w:rsidR="0089380C" w:rsidRPr="00E4036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sz w:val="28"/>
                <w:szCs w:val="28"/>
              </w:rPr>
              <w:t>Nav.</w:t>
            </w:r>
          </w:p>
        </w:tc>
      </w:tr>
    </w:tbl>
    <w:p w:rsidR="00435C4E" w:rsidRPr="00C051AD" w:rsidRDefault="00435C4E" w:rsidP="00527E2C">
      <w:pPr>
        <w:pStyle w:val="naisf"/>
        <w:tabs>
          <w:tab w:val="left" w:pos="5760"/>
        </w:tabs>
        <w:spacing w:before="0" w:after="0"/>
      </w:pPr>
      <w:r w:rsidRPr="00C051AD">
        <w:t>Anotācijas V un VI sadaļa – nav attiecinām</w:t>
      </w:r>
      <w:r w:rsidR="00E40368" w:rsidRPr="00C051AD">
        <w:t>a</w:t>
      </w:r>
      <w:r w:rsidRPr="00C051AD">
        <w:t>s.</w:t>
      </w:r>
    </w:p>
    <w:p w:rsidR="00590919" w:rsidRPr="00944DBB" w:rsidRDefault="00590919" w:rsidP="00590919">
      <w:pPr>
        <w:spacing w:after="120"/>
        <w:jc w:val="both"/>
        <w:rPr>
          <w:sz w:val="28"/>
          <w:szCs w:val="28"/>
        </w:rPr>
      </w:pPr>
      <w:r w:rsidRPr="00944DBB">
        <w:rPr>
          <w:sz w:val="28"/>
          <w:szCs w:val="28"/>
        </w:rPr>
        <w:t>Ministru pr</w:t>
      </w:r>
      <w:r>
        <w:rPr>
          <w:sz w:val="28"/>
          <w:szCs w:val="28"/>
        </w:rPr>
        <w:t xml:space="preserve">ezidents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944DBB">
        <w:rPr>
          <w:sz w:val="28"/>
          <w:szCs w:val="28"/>
        </w:rPr>
        <w:t>V.Dombrovskis</w:t>
      </w:r>
      <w:proofErr w:type="spellEnd"/>
    </w:p>
    <w:p w:rsidR="00590919" w:rsidRPr="00944DBB" w:rsidRDefault="00590919" w:rsidP="00590919">
      <w:pPr>
        <w:rPr>
          <w:bCs/>
          <w:sz w:val="28"/>
          <w:szCs w:val="28"/>
        </w:rPr>
      </w:pPr>
      <w:r w:rsidRPr="00944DBB">
        <w:rPr>
          <w:bCs/>
          <w:sz w:val="28"/>
          <w:szCs w:val="28"/>
        </w:rPr>
        <w:t>E</w:t>
      </w:r>
      <w:r>
        <w:rPr>
          <w:bCs/>
          <w:sz w:val="28"/>
          <w:szCs w:val="28"/>
        </w:rPr>
        <w:t xml:space="preserve">konomikas ministra </w:t>
      </w:r>
    </w:p>
    <w:p w:rsidR="00590919" w:rsidRPr="00944DBB" w:rsidRDefault="00590919" w:rsidP="00590919">
      <w:pPr>
        <w:rPr>
          <w:bCs/>
          <w:sz w:val="28"/>
          <w:szCs w:val="28"/>
        </w:rPr>
      </w:pPr>
      <w:r w:rsidRPr="00944DBB">
        <w:rPr>
          <w:bCs/>
          <w:sz w:val="28"/>
          <w:szCs w:val="28"/>
        </w:rPr>
        <w:t>pienākumu izpildītāja</w:t>
      </w:r>
      <w:r>
        <w:rPr>
          <w:bCs/>
          <w:sz w:val="28"/>
          <w:szCs w:val="28"/>
        </w:rPr>
        <w:t xml:space="preserve">  - </w:t>
      </w:r>
    </w:p>
    <w:p w:rsidR="00590919" w:rsidRPr="00030B41" w:rsidRDefault="00590919" w:rsidP="00590919">
      <w:pPr>
        <w:rPr>
          <w:bCs/>
          <w:sz w:val="28"/>
          <w:szCs w:val="28"/>
        </w:rPr>
      </w:pPr>
      <w:r w:rsidRPr="00944DBB">
        <w:rPr>
          <w:bCs/>
          <w:sz w:val="28"/>
          <w:szCs w:val="28"/>
        </w:rPr>
        <w:t xml:space="preserve">kultūras ministre                                                               </w:t>
      </w:r>
      <w:r>
        <w:rPr>
          <w:bCs/>
          <w:sz w:val="28"/>
          <w:szCs w:val="28"/>
        </w:rPr>
        <w:t xml:space="preserve">       </w:t>
      </w:r>
      <w:proofErr w:type="spellStart"/>
      <w:r w:rsidRPr="00944DBB">
        <w:rPr>
          <w:bCs/>
          <w:sz w:val="28"/>
          <w:szCs w:val="28"/>
        </w:rPr>
        <w:t>Ž.</w:t>
      </w:r>
      <w:r w:rsidRPr="00944DBB">
        <w:rPr>
          <w:sz w:val="28"/>
          <w:szCs w:val="28"/>
        </w:rPr>
        <w:t>Jaunzeme-Grende</w:t>
      </w:r>
      <w:proofErr w:type="spellEnd"/>
      <w:r w:rsidRPr="00944DBB">
        <w:rPr>
          <w:bCs/>
          <w:sz w:val="28"/>
          <w:szCs w:val="28"/>
        </w:rPr>
        <w:t xml:space="preserve">            </w:t>
      </w:r>
    </w:p>
    <w:p w:rsidR="00590919" w:rsidRPr="00944DBB" w:rsidRDefault="00590919" w:rsidP="00590919">
      <w:pPr>
        <w:spacing w:before="120"/>
        <w:rPr>
          <w:sz w:val="28"/>
          <w:szCs w:val="28"/>
        </w:rPr>
      </w:pPr>
      <w:r w:rsidRPr="00944DBB">
        <w:rPr>
          <w:sz w:val="28"/>
          <w:szCs w:val="28"/>
        </w:rPr>
        <w:t xml:space="preserve">Iesniedzējs: </w:t>
      </w:r>
    </w:p>
    <w:p w:rsidR="00590919" w:rsidRPr="00944DBB" w:rsidRDefault="00590919" w:rsidP="00590919">
      <w:pPr>
        <w:rPr>
          <w:bCs/>
          <w:sz w:val="28"/>
          <w:szCs w:val="28"/>
        </w:rPr>
      </w:pPr>
      <w:r w:rsidRPr="00944DBB">
        <w:rPr>
          <w:bCs/>
          <w:sz w:val="28"/>
          <w:szCs w:val="28"/>
        </w:rPr>
        <w:t xml:space="preserve">Ekonomikas ministra </w:t>
      </w:r>
    </w:p>
    <w:p w:rsidR="00590919" w:rsidRDefault="00590919" w:rsidP="00590919">
      <w:pPr>
        <w:rPr>
          <w:bCs/>
          <w:sz w:val="28"/>
          <w:szCs w:val="28"/>
        </w:rPr>
      </w:pPr>
      <w:r w:rsidRPr="00944DBB">
        <w:rPr>
          <w:bCs/>
          <w:sz w:val="28"/>
          <w:szCs w:val="28"/>
        </w:rPr>
        <w:t>pienākumu izpildītāja</w:t>
      </w:r>
      <w:r>
        <w:rPr>
          <w:bCs/>
          <w:sz w:val="28"/>
          <w:szCs w:val="28"/>
        </w:rPr>
        <w:t xml:space="preserve"> - </w:t>
      </w:r>
    </w:p>
    <w:p w:rsidR="00590919" w:rsidRDefault="00590919" w:rsidP="00590919">
      <w:pPr>
        <w:rPr>
          <w:bCs/>
          <w:sz w:val="28"/>
          <w:szCs w:val="28"/>
        </w:rPr>
      </w:pPr>
      <w:r w:rsidRPr="00944DBB">
        <w:rPr>
          <w:bCs/>
          <w:sz w:val="28"/>
          <w:szCs w:val="28"/>
        </w:rPr>
        <w:t xml:space="preserve">kultūras ministre                                                               </w:t>
      </w:r>
      <w:r>
        <w:rPr>
          <w:bCs/>
          <w:sz w:val="28"/>
          <w:szCs w:val="28"/>
        </w:rPr>
        <w:t xml:space="preserve">       </w:t>
      </w:r>
      <w:proofErr w:type="spellStart"/>
      <w:r w:rsidRPr="00944DBB">
        <w:rPr>
          <w:bCs/>
          <w:sz w:val="28"/>
          <w:szCs w:val="28"/>
        </w:rPr>
        <w:t>Ž.</w:t>
      </w:r>
      <w:r w:rsidRPr="00944DBB">
        <w:rPr>
          <w:sz w:val="28"/>
          <w:szCs w:val="28"/>
        </w:rPr>
        <w:t>Jaunzeme-Grende</w:t>
      </w:r>
      <w:proofErr w:type="spellEnd"/>
      <w:r w:rsidRPr="00944DBB">
        <w:rPr>
          <w:bCs/>
          <w:sz w:val="28"/>
          <w:szCs w:val="28"/>
        </w:rPr>
        <w:t xml:space="preserve">            </w:t>
      </w:r>
    </w:p>
    <w:p w:rsidR="00590919" w:rsidRPr="00030B41" w:rsidRDefault="00590919" w:rsidP="00590919">
      <w:pPr>
        <w:spacing w:before="120"/>
        <w:rPr>
          <w:bCs/>
          <w:sz w:val="28"/>
          <w:szCs w:val="28"/>
        </w:rPr>
      </w:pPr>
      <w:r w:rsidRPr="00944DBB">
        <w:rPr>
          <w:sz w:val="28"/>
          <w:szCs w:val="28"/>
        </w:rPr>
        <w:t xml:space="preserve">Vizē: Valsts sekretārs                                                     </w:t>
      </w:r>
      <w:r>
        <w:rPr>
          <w:sz w:val="28"/>
          <w:szCs w:val="28"/>
        </w:rPr>
        <w:t xml:space="preserve">         </w:t>
      </w:r>
      <w:r w:rsidRPr="00944DBB">
        <w:rPr>
          <w:sz w:val="28"/>
          <w:szCs w:val="28"/>
        </w:rPr>
        <w:t>J.Pūce</w:t>
      </w:r>
    </w:p>
    <w:p w:rsidR="00590919" w:rsidRDefault="00590919" w:rsidP="001D1B66">
      <w:pPr>
        <w:rPr>
          <w:sz w:val="20"/>
          <w:szCs w:val="20"/>
        </w:rPr>
      </w:pPr>
    </w:p>
    <w:p w:rsidR="001D1B66" w:rsidRPr="00E40368" w:rsidRDefault="00590919" w:rsidP="001D1B66">
      <w:pPr>
        <w:rPr>
          <w:sz w:val="20"/>
          <w:szCs w:val="20"/>
        </w:rPr>
      </w:pPr>
      <w:r>
        <w:rPr>
          <w:sz w:val="20"/>
          <w:szCs w:val="20"/>
        </w:rPr>
        <w:t>23</w:t>
      </w:r>
      <w:r w:rsidR="00527E2C">
        <w:rPr>
          <w:sz w:val="20"/>
          <w:szCs w:val="20"/>
        </w:rPr>
        <w:t>.</w:t>
      </w:r>
      <w:r w:rsidR="00AC6102">
        <w:rPr>
          <w:sz w:val="20"/>
          <w:szCs w:val="20"/>
        </w:rPr>
        <w:t>11</w:t>
      </w:r>
      <w:r w:rsidR="001D1B66" w:rsidRPr="00E40368">
        <w:rPr>
          <w:sz w:val="20"/>
          <w:szCs w:val="20"/>
        </w:rPr>
        <w:t xml:space="preserve">.2011. </w:t>
      </w:r>
      <w:r w:rsidR="007B24DE">
        <w:rPr>
          <w:sz w:val="20"/>
          <w:szCs w:val="20"/>
        </w:rPr>
        <w:t>1</w:t>
      </w:r>
      <w:r w:rsidR="001D7FF5">
        <w:rPr>
          <w:sz w:val="20"/>
          <w:szCs w:val="20"/>
        </w:rPr>
        <w:t>5</w:t>
      </w:r>
      <w:r w:rsidR="003D3EE6">
        <w:rPr>
          <w:sz w:val="20"/>
          <w:szCs w:val="20"/>
        </w:rPr>
        <w:t>:</w:t>
      </w:r>
      <w:r w:rsidR="001D7FF5">
        <w:rPr>
          <w:sz w:val="20"/>
          <w:szCs w:val="20"/>
        </w:rPr>
        <w:t>02</w:t>
      </w:r>
    </w:p>
    <w:p w:rsidR="001D1B66" w:rsidRPr="00E40368" w:rsidRDefault="00203446" w:rsidP="000C624C">
      <w:pPr>
        <w:tabs>
          <w:tab w:val="left" w:pos="5972"/>
        </w:tabs>
        <w:rPr>
          <w:sz w:val="20"/>
          <w:szCs w:val="20"/>
        </w:rPr>
      </w:pPr>
      <w:r>
        <w:rPr>
          <w:sz w:val="20"/>
          <w:szCs w:val="20"/>
        </w:rPr>
        <w:t>1</w:t>
      </w:r>
      <w:r w:rsidR="001D7FF5">
        <w:rPr>
          <w:sz w:val="20"/>
          <w:szCs w:val="20"/>
        </w:rPr>
        <w:t>377</w:t>
      </w:r>
      <w:r w:rsidR="000C624C">
        <w:rPr>
          <w:sz w:val="20"/>
          <w:szCs w:val="20"/>
        </w:rPr>
        <w:tab/>
      </w:r>
    </w:p>
    <w:p w:rsidR="001D1B66" w:rsidRPr="00E40368" w:rsidRDefault="001D1B66" w:rsidP="001D1B66">
      <w:pPr>
        <w:rPr>
          <w:sz w:val="20"/>
          <w:szCs w:val="20"/>
        </w:rPr>
      </w:pPr>
      <w:r w:rsidRPr="00E40368">
        <w:rPr>
          <w:sz w:val="20"/>
          <w:szCs w:val="20"/>
        </w:rPr>
        <w:t>J.Bunkovskis</w:t>
      </w:r>
    </w:p>
    <w:p w:rsidR="00435C4E" w:rsidRPr="00C051AD" w:rsidRDefault="001D1B66" w:rsidP="00D751B0">
      <w:pPr>
        <w:rPr>
          <w:sz w:val="20"/>
          <w:szCs w:val="20"/>
        </w:rPr>
      </w:pPr>
      <w:r w:rsidRPr="00E40368">
        <w:rPr>
          <w:sz w:val="20"/>
          <w:szCs w:val="20"/>
        </w:rPr>
        <w:t xml:space="preserve">67013170, </w:t>
      </w:r>
      <w:hyperlink r:id="rId7" w:history="1">
        <w:r w:rsidRPr="00E40368">
          <w:rPr>
            <w:rStyle w:val="Hyperlink"/>
            <w:sz w:val="20"/>
            <w:szCs w:val="20"/>
          </w:rPr>
          <w:t>janis.bunkovskis@em.gov.lv</w:t>
        </w:r>
      </w:hyperlink>
    </w:p>
    <w:sectPr w:rsidR="00435C4E" w:rsidRPr="00C051AD" w:rsidSect="0091683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5C9" w:rsidRDefault="009665C9">
      <w:r>
        <w:separator/>
      </w:r>
    </w:p>
  </w:endnote>
  <w:endnote w:type="continuationSeparator" w:id="0">
    <w:p w:rsidR="009665C9" w:rsidRDefault="00966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F4" w:rsidRPr="00722D04" w:rsidRDefault="00256DF4" w:rsidP="00722D04">
    <w:pPr>
      <w:pStyle w:val="BodyTextIndent"/>
      <w:ind w:left="0"/>
      <w:jc w:val="both"/>
      <w:rPr>
        <w:bCs/>
        <w:sz w:val="20"/>
        <w:szCs w:val="20"/>
      </w:rPr>
    </w:pPr>
    <w:r>
      <w:rPr>
        <w:sz w:val="20"/>
        <w:szCs w:val="20"/>
      </w:rPr>
      <w:t>EMAnot_</w:t>
    </w:r>
    <w:r w:rsidR="00590919">
      <w:rPr>
        <w:sz w:val="20"/>
        <w:szCs w:val="20"/>
      </w:rPr>
      <w:t>23</w:t>
    </w:r>
    <w:r>
      <w:rPr>
        <w:sz w:val="20"/>
        <w:szCs w:val="20"/>
      </w:rPr>
      <w:t>11</w:t>
    </w:r>
    <w:r w:rsidRPr="00722D04">
      <w:rPr>
        <w:sz w:val="20"/>
        <w:szCs w:val="20"/>
      </w:rPr>
      <w:t>11_ASTakc; Ministru kabineta rīkojuma projekta „</w:t>
    </w:r>
    <w:r w:rsidRPr="00722D04">
      <w:rPr>
        <w:bCs/>
        <w:sz w:val="20"/>
        <w:szCs w:val="20"/>
      </w:rPr>
      <w:t xml:space="preserve">Par akciju sabiedrības "Augstsprieguma tīkls" </w:t>
    </w:r>
    <w:r w:rsidR="0095646E">
      <w:rPr>
        <w:bCs/>
        <w:sz w:val="20"/>
        <w:szCs w:val="20"/>
      </w:rPr>
      <w:t>akciju</w:t>
    </w:r>
    <w:r>
      <w:rPr>
        <w:bCs/>
        <w:sz w:val="20"/>
        <w:szCs w:val="20"/>
      </w:rPr>
      <w:t xml:space="preserve"> </w:t>
    </w:r>
    <w:r w:rsidRPr="00722D04">
      <w:rPr>
        <w:bCs/>
        <w:sz w:val="20"/>
        <w:szCs w:val="20"/>
      </w:rPr>
      <w:t xml:space="preserve">pirkšanu un </w:t>
    </w:r>
    <w:r w:rsidR="0095646E">
      <w:rPr>
        <w:bCs/>
        <w:sz w:val="20"/>
        <w:szCs w:val="20"/>
      </w:rPr>
      <w:t>akciju</w:t>
    </w:r>
    <w:r w:rsidRPr="00722D04">
      <w:rPr>
        <w:bCs/>
        <w:sz w:val="20"/>
        <w:szCs w:val="20"/>
      </w:rPr>
      <w:t xml:space="preserve"> turētāju</w:t>
    </w:r>
    <w:r w:rsidR="0095646E">
      <w:rPr>
        <w:bCs/>
        <w:sz w:val="20"/>
        <w:szCs w:val="20"/>
      </w:rPr>
      <w:t xml:space="preserve">” </w:t>
    </w:r>
    <w:r w:rsidRPr="00722D04">
      <w:rPr>
        <w:sz w:val="20"/>
        <w:szCs w:val="20"/>
      </w:rPr>
      <w:t xml:space="preserve">sākotnējās ietekmes novērtējuma </w:t>
    </w:r>
    <w:smartTag w:uri="schemas-tilde-lv/tildestengine" w:element="veidnes">
      <w:smartTagPr>
        <w:attr w:name="id" w:val="-1"/>
        <w:attr w:name="baseform" w:val="ziņojums"/>
        <w:attr w:name="text" w:val="ziņojums"/>
      </w:smartTagPr>
      <w:r w:rsidRPr="00722D04">
        <w:rPr>
          <w:sz w:val="20"/>
          <w:szCs w:val="20"/>
        </w:rPr>
        <w:t>ziņojums</w:t>
      </w:r>
    </w:smartTag>
    <w:r w:rsidRPr="00722D04">
      <w:rPr>
        <w:sz w:val="20"/>
        <w:szCs w:val="20"/>
      </w:rPr>
      <w:t xml:space="preserve"> (anotācija)</w:t>
    </w:r>
  </w:p>
  <w:p w:rsidR="00256DF4" w:rsidRPr="00607FC1" w:rsidRDefault="00256DF4">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F4" w:rsidRPr="00722D04" w:rsidRDefault="00256DF4" w:rsidP="0095646E">
    <w:pPr>
      <w:pStyle w:val="BodyTextIndent"/>
      <w:ind w:left="0"/>
      <w:jc w:val="both"/>
      <w:rPr>
        <w:bCs/>
        <w:sz w:val="20"/>
        <w:szCs w:val="20"/>
      </w:rPr>
    </w:pPr>
    <w:r w:rsidRPr="00722D04">
      <w:rPr>
        <w:sz w:val="20"/>
        <w:szCs w:val="20"/>
      </w:rPr>
      <w:t>EMAnot_</w:t>
    </w:r>
    <w:r w:rsidR="00590919">
      <w:rPr>
        <w:sz w:val="20"/>
        <w:szCs w:val="20"/>
      </w:rPr>
      <w:t>23</w:t>
    </w:r>
    <w:r>
      <w:rPr>
        <w:sz w:val="20"/>
        <w:szCs w:val="20"/>
      </w:rPr>
      <w:t>11</w:t>
    </w:r>
    <w:r w:rsidRPr="00722D04">
      <w:rPr>
        <w:sz w:val="20"/>
        <w:szCs w:val="20"/>
      </w:rPr>
      <w:t>11_ASTakc; Ministru kabineta rīkojuma projekta „</w:t>
    </w:r>
    <w:r w:rsidRPr="00722D04">
      <w:rPr>
        <w:bCs/>
        <w:sz w:val="20"/>
        <w:szCs w:val="20"/>
      </w:rPr>
      <w:t xml:space="preserve">Par akciju sabiedrības "Augstsprieguma tīkls" </w:t>
    </w:r>
    <w:r w:rsidR="0095646E">
      <w:rPr>
        <w:bCs/>
        <w:sz w:val="20"/>
        <w:szCs w:val="20"/>
      </w:rPr>
      <w:t xml:space="preserve">akciju </w:t>
    </w:r>
    <w:r w:rsidRPr="00722D04">
      <w:rPr>
        <w:bCs/>
        <w:sz w:val="20"/>
        <w:szCs w:val="20"/>
      </w:rPr>
      <w:t xml:space="preserve">pirkšanu </w:t>
    </w:r>
    <w:r>
      <w:rPr>
        <w:bCs/>
        <w:sz w:val="20"/>
        <w:szCs w:val="20"/>
      </w:rPr>
      <w:t xml:space="preserve"> </w:t>
    </w:r>
    <w:r w:rsidRPr="00722D04">
      <w:rPr>
        <w:bCs/>
        <w:sz w:val="20"/>
        <w:szCs w:val="20"/>
      </w:rPr>
      <w:t xml:space="preserve">un </w:t>
    </w:r>
    <w:r w:rsidR="0095646E">
      <w:rPr>
        <w:bCs/>
        <w:sz w:val="20"/>
        <w:szCs w:val="20"/>
      </w:rPr>
      <w:t>akciju</w:t>
    </w:r>
    <w:r w:rsidRPr="00722D04">
      <w:rPr>
        <w:bCs/>
        <w:sz w:val="20"/>
        <w:szCs w:val="20"/>
      </w:rPr>
      <w:t xml:space="preserve"> </w:t>
    </w:r>
    <w:proofErr w:type="spellStart"/>
    <w:r w:rsidRPr="00722D04">
      <w:rPr>
        <w:bCs/>
        <w:sz w:val="20"/>
        <w:szCs w:val="20"/>
      </w:rPr>
      <w:t>turētāju</w:t>
    </w:r>
    <w:r>
      <w:rPr>
        <w:bCs/>
        <w:sz w:val="20"/>
        <w:szCs w:val="20"/>
      </w:rPr>
      <w:t>”</w:t>
    </w:r>
    <w:r w:rsidRPr="00722D04">
      <w:rPr>
        <w:sz w:val="20"/>
        <w:szCs w:val="20"/>
      </w:rPr>
      <w:t>sākotnējās</w:t>
    </w:r>
    <w:proofErr w:type="spellEnd"/>
    <w:r w:rsidRPr="00722D04">
      <w:rPr>
        <w:sz w:val="20"/>
        <w:szCs w:val="20"/>
      </w:rPr>
      <w:t xml:space="preserve"> ietekmes novērtējuma </w:t>
    </w:r>
    <w:smartTag w:uri="schemas-tilde-lv/tildestengine" w:element="veidnes">
      <w:smartTagPr>
        <w:attr w:name="id" w:val="-1"/>
        <w:attr w:name="baseform" w:val="ziņojums"/>
        <w:attr w:name="text" w:val="ziņojums"/>
      </w:smartTagPr>
      <w:r w:rsidRPr="00722D04">
        <w:rPr>
          <w:sz w:val="20"/>
          <w:szCs w:val="20"/>
        </w:rPr>
        <w:t>ziņojums</w:t>
      </w:r>
    </w:smartTag>
    <w:r w:rsidRPr="00722D04">
      <w:rPr>
        <w:sz w:val="20"/>
        <w:szCs w:val="20"/>
      </w:rPr>
      <w:t xml:space="preserve"> (anotācija)</w:t>
    </w:r>
  </w:p>
  <w:p w:rsidR="00256DF4" w:rsidRDefault="00256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5C9" w:rsidRDefault="009665C9">
      <w:r>
        <w:separator/>
      </w:r>
    </w:p>
  </w:footnote>
  <w:footnote w:type="continuationSeparator" w:id="0">
    <w:p w:rsidR="009665C9" w:rsidRDefault="0096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391"/>
      <w:docPartObj>
        <w:docPartGallery w:val="Page Numbers (Top of Page)"/>
        <w:docPartUnique/>
      </w:docPartObj>
    </w:sdtPr>
    <w:sdtContent>
      <w:p w:rsidR="00256DF4" w:rsidRDefault="0071237D">
        <w:pPr>
          <w:pStyle w:val="Header"/>
          <w:jc w:val="center"/>
        </w:pPr>
        <w:fldSimple w:instr=" PAGE   \* MERGEFORMAT ">
          <w:r w:rsidR="001D7FF5">
            <w:rPr>
              <w:noProof/>
            </w:rPr>
            <w:t>8</w:t>
          </w:r>
        </w:fldSimple>
      </w:p>
    </w:sdtContent>
  </w:sdt>
  <w:p w:rsidR="00256DF4" w:rsidRDefault="00256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01C27"/>
    <w:rsid w:val="00015274"/>
    <w:rsid w:val="00023BE0"/>
    <w:rsid w:val="00030E08"/>
    <w:rsid w:val="00072428"/>
    <w:rsid w:val="0008083E"/>
    <w:rsid w:val="00083D0E"/>
    <w:rsid w:val="00085923"/>
    <w:rsid w:val="00092EC2"/>
    <w:rsid w:val="000B2F14"/>
    <w:rsid w:val="000C372C"/>
    <w:rsid w:val="000C3A7F"/>
    <w:rsid w:val="000C5C51"/>
    <w:rsid w:val="000C624C"/>
    <w:rsid w:val="000D7D82"/>
    <w:rsid w:val="000E690F"/>
    <w:rsid w:val="000F0035"/>
    <w:rsid w:val="0012248A"/>
    <w:rsid w:val="00131719"/>
    <w:rsid w:val="00144309"/>
    <w:rsid w:val="00146184"/>
    <w:rsid w:val="00147B5F"/>
    <w:rsid w:val="00150802"/>
    <w:rsid w:val="0015761D"/>
    <w:rsid w:val="00171B35"/>
    <w:rsid w:val="00183897"/>
    <w:rsid w:val="00187797"/>
    <w:rsid w:val="001A6C2B"/>
    <w:rsid w:val="001A72AA"/>
    <w:rsid w:val="001B4DC7"/>
    <w:rsid w:val="001D1B66"/>
    <w:rsid w:val="001D7FF5"/>
    <w:rsid w:val="001F1A2E"/>
    <w:rsid w:val="001F72E1"/>
    <w:rsid w:val="00203446"/>
    <w:rsid w:val="00205F55"/>
    <w:rsid w:val="00212C50"/>
    <w:rsid w:val="00213A4F"/>
    <w:rsid w:val="00230712"/>
    <w:rsid w:val="00231EE5"/>
    <w:rsid w:val="00256DF4"/>
    <w:rsid w:val="00270CBA"/>
    <w:rsid w:val="0028250F"/>
    <w:rsid w:val="002830FC"/>
    <w:rsid w:val="002872A1"/>
    <w:rsid w:val="00292262"/>
    <w:rsid w:val="002B708A"/>
    <w:rsid w:val="002D7C67"/>
    <w:rsid w:val="002E584A"/>
    <w:rsid w:val="0030164A"/>
    <w:rsid w:val="003018A4"/>
    <w:rsid w:val="003128D9"/>
    <w:rsid w:val="00322ACC"/>
    <w:rsid w:val="00325030"/>
    <w:rsid w:val="003255EE"/>
    <w:rsid w:val="00342B06"/>
    <w:rsid w:val="00346EE8"/>
    <w:rsid w:val="00355EED"/>
    <w:rsid w:val="00374BAD"/>
    <w:rsid w:val="00377D1F"/>
    <w:rsid w:val="003938D5"/>
    <w:rsid w:val="00394B91"/>
    <w:rsid w:val="003D3EE6"/>
    <w:rsid w:val="003D4DAF"/>
    <w:rsid w:val="003D68A1"/>
    <w:rsid w:val="003F7923"/>
    <w:rsid w:val="0043460D"/>
    <w:rsid w:val="00435C4E"/>
    <w:rsid w:val="00441F85"/>
    <w:rsid w:val="00444F36"/>
    <w:rsid w:val="00470C42"/>
    <w:rsid w:val="0048600E"/>
    <w:rsid w:val="00491DFA"/>
    <w:rsid w:val="004A7C3C"/>
    <w:rsid w:val="004C27A3"/>
    <w:rsid w:val="004E0B88"/>
    <w:rsid w:val="004F7CE2"/>
    <w:rsid w:val="00510E71"/>
    <w:rsid w:val="00515281"/>
    <w:rsid w:val="00516161"/>
    <w:rsid w:val="00525153"/>
    <w:rsid w:val="00527E2C"/>
    <w:rsid w:val="005502A9"/>
    <w:rsid w:val="005674CF"/>
    <w:rsid w:val="005716FF"/>
    <w:rsid w:val="00574B0D"/>
    <w:rsid w:val="005905EA"/>
    <w:rsid w:val="00590919"/>
    <w:rsid w:val="005D2283"/>
    <w:rsid w:val="005D52E5"/>
    <w:rsid w:val="005E166E"/>
    <w:rsid w:val="005E5231"/>
    <w:rsid w:val="005F499B"/>
    <w:rsid w:val="00606F0F"/>
    <w:rsid w:val="006070AD"/>
    <w:rsid w:val="00607FC1"/>
    <w:rsid w:val="0061285C"/>
    <w:rsid w:val="006153C6"/>
    <w:rsid w:val="0063700E"/>
    <w:rsid w:val="006375C8"/>
    <w:rsid w:val="006647BA"/>
    <w:rsid w:val="00667AC4"/>
    <w:rsid w:val="00683362"/>
    <w:rsid w:val="00684126"/>
    <w:rsid w:val="0069091D"/>
    <w:rsid w:val="00693AC9"/>
    <w:rsid w:val="006A06DE"/>
    <w:rsid w:val="006A7797"/>
    <w:rsid w:val="006B5BA5"/>
    <w:rsid w:val="006B6539"/>
    <w:rsid w:val="006B7369"/>
    <w:rsid w:val="006C6203"/>
    <w:rsid w:val="006E4BB6"/>
    <w:rsid w:val="006E56FB"/>
    <w:rsid w:val="006F320B"/>
    <w:rsid w:val="007040BF"/>
    <w:rsid w:val="0071237D"/>
    <w:rsid w:val="007135F5"/>
    <w:rsid w:val="007213EE"/>
    <w:rsid w:val="00722569"/>
    <w:rsid w:val="00722D04"/>
    <w:rsid w:val="00726DBD"/>
    <w:rsid w:val="00731681"/>
    <w:rsid w:val="00737603"/>
    <w:rsid w:val="007423D7"/>
    <w:rsid w:val="00752EA8"/>
    <w:rsid w:val="0075376F"/>
    <w:rsid w:val="00764D5D"/>
    <w:rsid w:val="00774214"/>
    <w:rsid w:val="007A2129"/>
    <w:rsid w:val="007A3C67"/>
    <w:rsid w:val="007A4CFE"/>
    <w:rsid w:val="007A72E5"/>
    <w:rsid w:val="007A7613"/>
    <w:rsid w:val="007B24DE"/>
    <w:rsid w:val="007F11D4"/>
    <w:rsid w:val="00814312"/>
    <w:rsid w:val="008323C5"/>
    <w:rsid w:val="00840817"/>
    <w:rsid w:val="00871475"/>
    <w:rsid w:val="0089380C"/>
    <w:rsid w:val="008A2240"/>
    <w:rsid w:val="008A3446"/>
    <w:rsid w:val="008C222E"/>
    <w:rsid w:val="008D44B8"/>
    <w:rsid w:val="008D6852"/>
    <w:rsid w:val="008F7768"/>
    <w:rsid w:val="00911250"/>
    <w:rsid w:val="00916830"/>
    <w:rsid w:val="009352A5"/>
    <w:rsid w:val="00944E33"/>
    <w:rsid w:val="00946975"/>
    <w:rsid w:val="009515C4"/>
    <w:rsid w:val="0095646E"/>
    <w:rsid w:val="0095727B"/>
    <w:rsid w:val="009622AF"/>
    <w:rsid w:val="009665C9"/>
    <w:rsid w:val="009B0D25"/>
    <w:rsid w:val="009D2285"/>
    <w:rsid w:val="009F588C"/>
    <w:rsid w:val="00A45F8E"/>
    <w:rsid w:val="00A75B93"/>
    <w:rsid w:val="00AA2854"/>
    <w:rsid w:val="00AA2F10"/>
    <w:rsid w:val="00AB40C1"/>
    <w:rsid w:val="00AC55C7"/>
    <w:rsid w:val="00AC6102"/>
    <w:rsid w:val="00AD12E3"/>
    <w:rsid w:val="00AD7DC7"/>
    <w:rsid w:val="00AE2232"/>
    <w:rsid w:val="00B061C4"/>
    <w:rsid w:val="00B21B97"/>
    <w:rsid w:val="00B21FD7"/>
    <w:rsid w:val="00B27AAD"/>
    <w:rsid w:val="00B302B4"/>
    <w:rsid w:val="00B45AEB"/>
    <w:rsid w:val="00B56B89"/>
    <w:rsid w:val="00B800AE"/>
    <w:rsid w:val="00B8600D"/>
    <w:rsid w:val="00B86FA2"/>
    <w:rsid w:val="00B91CA0"/>
    <w:rsid w:val="00BA71FF"/>
    <w:rsid w:val="00BD4304"/>
    <w:rsid w:val="00C01056"/>
    <w:rsid w:val="00C051AD"/>
    <w:rsid w:val="00C447D9"/>
    <w:rsid w:val="00C52054"/>
    <w:rsid w:val="00C63108"/>
    <w:rsid w:val="00CA4C33"/>
    <w:rsid w:val="00CA6B76"/>
    <w:rsid w:val="00CB4654"/>
    <w:rsid w:val="00CE1E40"/>
    <w:rsid w:val="00D04B59"/>
    <w:rsid w:val="00D34BD0"/>
    <w:rsid w:val="00D35394"/>
    <w:rsid w:val="00D70509"/>
    <w:rsid w:val="00D72D4D"/>
    <w:rsid w:val="00D751B0"/>
    <w:rsid w:val="00D8433F"/>
    <w:rsid w:val="00D85761"/>
    <w:rsid w:val="00DA7022"/>
    <w:rsid w:val="00DB08E1"/>
    <w:rsid w:val="00DC23B0"/>
    <w:rsid w:val="00DC2918"/>
    <w:rsid w:val="00DC7B61"/>
    <w:rsid w:val="00DD528A"/>
    <w:rsid w:val="00DF6CBF"/>
    <w:rsid w:val="00E04040"/>
    <w:rsid w:val="00E40368"/>
    <w:rsid w:val="00E6657E"/>
    <w:rsid w:val="00E84FF7"/>
    <w:rsid w:val="00EA18F1"/>
    <w:rsid w:val="00EC4F25"/>
    <w:rsid w:val="00ED708F"/>
    <w:rsid w:val="00EE1FDB"/>
    <w:rsid w:val="00EE2530"/>
    <w:rsid w:val="00F17D87"/>
    <w:rsid w:val="00F20DA3"/>
    <w:rsid w:val="00F25D11"/>
    <w:rsid w:val="00F25D4D"/>
    <w:rsid w:val="00F3698F"/>
    <w:rsid w:val="00F40385"/>
    <w:rsid w:val="00F41EFF"/>
    <w:rsid w:val="00F421D7"/>
    <w:rsid w:val="00F54A75"/>
    <w:rsid w:val="00F72E13"/>
    <w:rsid w:val="00F813D1"/>
    <w:rsid w:val="00F87FA1"/>
    <w:rsid w:val="00FB4700"/>
    <w:rsid w:val="00FD02B2"/>
    <w:rsid w:val="00FF55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99"/>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s>
</file>

<file path=word/webSettings.xml><?xml version="1.0" encoding="utf-8"?>
<w:webSettings xmlns:r="http://schemas.openxmlformats.org/officeDocument/2006/relationships" xmlns:w="http://schemas.openxmlformats.org/wordprocessingml/2006/main">
  <w:divs>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bunkovski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7243</Words>
  <Characters>4129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akciju sabiedrības "Augstsprieguma tīkls" kapitāla daļu pirkšanu un kapitāla daļu turētāju”</vt:lpstr>
    </vt:vector>
  </TitlesOfParts>
  <Company>Ārlietu ministrija</Company>
  <LinksUpToDate>false</LinksUpToDate>
  <CharactersWithSpaces>11350</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akciju sabiedrības "Augstsprieguma tīkls" akciju pirkšanu un akciju turētāju”</dc:title>
  <dc:subject>Sākotnējās ietekmes novērtējuma ziņotājs (anotācija)</dc:subject>
  <dc:creator>Jānis Bunkovskis</dc:creator>
  <cp:keywords/>
  <dc:description>janis.bunkovskis@em.gov.lv
67013170</dc:description>
  <cp:lastModifiedBy>BunkovskisJ</cp:lastModifiedBy>
  <cp:revision>10</cp:revision>
  <cp:lastPrinted>2011-03-03T08:10:00Z</cp:lastPrinted>
  <dcterms:created xsi:type="dcterms:W3CDTF">2011-11-22T10:35:00Z</dcterms:created>
  <dcterms:modified xsi:type="dcterms:W3CDTF">2011-11-23T13:02:00Z</dcterms:modified>
</cp:coreProperties>
</file>