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8C" w:rsidRPr="00DE28A0" w:rsidRDefault="00D07CDB" w:rsidP="00CE5A53">
      <w:pPr>
        <w:jc w:val="center"/>
        <w:outlineLvl w:val="0"/>
        <w:rPr>
          <w:rFonts w:eastAsia="Times New Roman"/>
          <w:b/>
          <w:sz w:val="24"/>
          <w:szCs w:val="24"/>
          <w:lang w:val="lv-LV" w:eastAsia="lv-LV"/>
        </w:rPr>
      </w:pPr>
      <w:bookmarkStart w:id="0" w:name="OLE_LINK6"/>
      <w:bookmarkStart w:id="1" w:name="OLE_LINK7"/>
      <w:bookmarkStart w:id="2" w:name="OLE_LINK5"/>
      <w:bookmarkStart w:id="3" w:name="OLE_LINK8"/>
      <w:bookmarkStart w:id="4" w:name="OLE_LINK10"/>
      <w:bookmarkStart w:id="5" w:name="OLE_LINK3"/>
      <w:bookmarkStart w:id="6" w:name="OLE_LINK1"/>
      <w:bookmarkStart w:id="7" w:name="OLE_LINK2"/>
      <w:r w:rsidRPr="00DE28A0">
        <w:rPr>
          <w:rFonts w:eastAsia="Times New Roman"/>
          <w:b/>
          <w:sz w:val="24"/>
          <w:szCs w:val="24"/>
          <w:lang w:val="lv-LV" w:eastAsia="lv-LV"/>
        </w:rPr>
        <w:t>Ministru kabineta noteikumu projekta</w:t>
      </w:r>
      <w:bookmarkStart w:id="8" w:name="OLE_LINK4"/>
      <w:r w:rsidR="00DB3BCB" w:rsidRPr="00DE28A0">
        <w:rPr>
          <w:rFonts w:eastAsia="Times New Roman"/>
          <w:b/>
          <w:sz w:val="24"/>
          <w:szCs w:val="24"/>
          <w:lang w:val="lv-LV" w:eastAsia="lv-LV"/>
        </w:rPr>
        <w:t xml:space="preserve"> </w:t>
      </w:r>
      <w:r w:rsidRPr="00DE28A0">
        <w:rPr>
          <w:rFonts w:eastAsia="Times New Roman"/>
          <w:b/>
          <w:sz w:val="24"/>
          <w:szCs w:val="24"/>
          <w:lang w:val="lv-LV" w:eastAsia="lv-LV"/>
        </w:rPr>
        <w:t>„</w:t>
      </w:r>
      <w:r w:rsidR="00DE28A0" w:rsidRPr="00DE28A0">
        <w:rPr>
          <w:b/>
          <w:sz w:val="24"/>
          <w:szCs w:val="24"/>
          <w:lang w:val="lv-LV"/>
        </w:rPr>
        <w:t>Grozījumi Ministru kabineta 2009.gada 17.februāra noteikumos Nr.164 „Noteikumi par aizdevumiem komersantu konkurētspējas uzlabošanai”</w:t>
      </w:r>
      <w:r w:rsidR="007E5D4D" w:rsidRPr="00DE28A0">
        <w:rPr>
          <w:rFonts w:eastAsia="Times New Roman"/>
          <w:b/>
          <w:sz w:val="24"/>
          <w:szCs w:val="24"/>
          <w:lang w:val="lv-LV" w:eastAsia="lv-LV"/>
        </w:rPr>
        <w:t>” sākotnējās ietekmes novērtējuma ziņojums (anotācija)</w:t>
      </w:r>
      <w:bookmarkEnd w:id="0"/>
      <w:bookmarkEnd w:id="1"/>
      <w:bookmarkEnd w:id="8"/>
    </w:p>
    <w:bookmarkEnd w:id="2"/>
    <w:bookmarkEnd w:id="3"/>
    <w:bookmarkEnd w:id="4"/>
    <w:p w:rsidR="004B638C" w:rsidRDefault="004B638C" w:rsidP="00CE5A53">
      <w:pPr>
        <w:jc w:val="center"/>
        <w:rPr>
          <w:rFonts w:eastAsia="Times New Roman"/>
          <w:b/>
          <w:sz w:val="24"/>
          <w:szCs w:val="24"/>
          <w:lang w:val="lv-LV" w:eastAsia="lv-LV"/>
        </w:rPr>
      </w:pPr>
    </w:p>
    <w:p w:rsidR="00585D8F" w:rsidRPr="00DE28A0" w:rsidRDefault="00585D8F" w:rsidP="00CE5A53">
      <w:pPr>
        <w:jc w:val="center"/>
        <w:rPr>
          <w:rFonts w:eastAsia="Times New Roman"/>
          <w:b/>
          <w:sz w:val="24"/>
          <w:szCs w:val="24"/>
          <w:lang w:val="lv-LV" w:eastAsia="lv-LV"/>
        </w:rPr>
      </w:pPr>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261"/>
        <w:gridCol w:w="6095"/>
      </w:tblGrid>
      <w:tr w:rsidR="00BB09C5" w:rsidRPr="0063775D" w:rsidTr="007A2BA3">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bookmarkEnd w:id="5"/>
          <w:bookmarkEnd w:id="6"/>
          <w:bookmarkEnd w:id="7"/>
          <w:p w:rsidR="00BB09C5" w:rsidRPr="00DE28A0" w:rsidRDefault="00E73425" w:rsidP="00CE5A53">
            <w:pPr>
              <w:jc w:val="center"/>
              <w:rPr>
                <w:rFonts w:eastAsia="Times New Roman"/>
                <w:b/>
                <w:sz w:val="24"/>
                <w:szCs w:val="24"/>
                <w:lang w:val="lv-LV" w:eastAsia="lv-LV"/>
              </w:rPr>
            </w:pPr>
            <w:r w:rsidRPr="00DE28A0">
              <w:rPr>
                <w:rFonts w:eastAsia="Times New Roman"/>
                <w:b/>
                <w:sz w:val="24"/>
                <w:szCs w:val="24"/>
                <w:lang w:val="lv-LV" w:eastAsia="lv-LV"/>
              </w:rPr>
              <w:t xml:space="preserve">I.Tiesību akta projekta izstrādes </w:t>
            </w:r>
            <w:r w:rsidR="007E5D4D" w:rsidRPr="00DE28A0">
              <w:rPr>
                <w:rFonts w:eastAsia="Times New Roman"/>
                <w:b/>
                <w:sz w:val="24"/>
                <w:szCs w:val="24"/>
                <w:lang w:val="lv-LV" w:eastAsia="lv-LV"/>
              </w:rPr>
              <w:t>nepieciešamība</w:t>
            </w:r>
          </w:p>
        </w:tc>
      </w:tr>
      <w:tr w:rsidR="00BB09C5" w:rsidRPr="00B32A63" w:rsidTr="007A2BA3">
        <w:tc>
          <w:tcPr>
            <w:tcW w:w="3261" w:type="dxa"/>
            <w:tcBorders>
              <w:top w:val="thickThinLargeGap" w:sz="6" w:space="0" w:color="C0C0C0"/>
              <w:left w:val="thickThinLargeGap" w:sz="6" w:space="0" w:color="C0C0C0"/>
              <w:bottom w:val="thickThinLargeGap" w:sz="6" w:space="0" w:color="C0C0C0"/>
              <w:right w:val="thickThinLargeGap" w:sz="6" w:space="0" w:color="C0C0C0"/>
            </w:tcBorders>
          </w:tcPr>
          <w:p w:rsidR="00BB09C5" w:rsidRPr="00305C42" w:rsidRDefault="00BB09C5" w:rsidP="00CE5A53">
            <w:pPr>
              <w:rPr>
                <w:rFonts w:eastAsia="Times New Roman"/>
                <w:sz w:val="24"/>
                <w:szCs w:val="24"/>
                <w:lang w:val="lv-LV" w:eastAsia="lv-LV"/>
              </w:rPr>
            </w:pPr>
            <w:r w:rsidRPr="00305C42">
              <w:rPr>
                <w:rFonts w:eastAsia="Times New Roman"/>
                <w:sz w:val="24"/>
                <w:szCs w:val="24"/>
                <w:lang w:val="lv-LV" w:eastAsia="lv-LV"/>
              </w:rPr>
              <w:t>1</w:t>
            </w:r>
            <w:r w:rsidR="00F15932" w:rsidRPr="00305C42">
              <w:rPr>
                <w:rFonts w:eastAsia="Times New Roman"/>
                <w:sz w:val="24"/>
                <w:szCs w:val="24"/>
                <w:lang w:val="lv-LV" w:eastAsia="lv-LV"/>
              </w:rPr>
              <w:t>. 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EF0674" w:rsidRPr="00B32A63" w:rsidRDefault="00700070" w:rsidP="00B32A63">
            <w:pPr>
              <w:ind w:firstLine="567"/>
              <w:jc w:val="both"/>
              <w:rPr>
                <w:sz w:val="24"/>
                <w:szCs w:val="24"/>
                <w:lang w:val="lv-LV"/>
              </w:rPr>
            </w:pPr>
            <w:r w:rsidRPr="00B32A63">
              <w:rPr>
                <w:sz w:val="24"/>
                <w:szCs w:val="24"/>
                <w:lang w:val="lv-LV"/>
              </w:rPr>
              <w:t xml:space="preserve">Noteikumu projekts sagatavots, pamatojoties uz </w:t>
            </w:r>
            <w:r w:rsidR="00B32A63" w:rsidRPr="00B32A63">
              <w:rPr>
                <w:sz w:val="24"/>
                <w:szCs w:val="24"/>
                <w:lang w:val="lv-LV"/>
              </w:rPr>
              <w:t>Ministru kabineta iekārtas likuma 31.panta pirmās daļas 3.punktu</w:t>
            </w:r>
            <w:r w:rsidRPr="00B32A63">
              <w:rPr>
                <w:sz w:val="24"/>
                <w:szCs w:val="24"/>
                <w:lang w:val="lv-LV"/>
              </w:rPr>
              <w:t>.</w:t>
            </w:r>
          </w:p>
        </w:tc>
      </w:tr>
      <w:tr w:rsidR="00BB09C5" w:rsidRPr="0063775D" w:rsidTr="007A2BA3">
        <w:trPr>
          <w:trHeight w:val="360"/>
        </w:trPr>
        <w:tc>
          <w:tcPr>
            <w:tcW w:w="3261" w:type="dxa"/>
            <w:tcBorders>
              <w:top w:val="thickThinLargeGap" w:sz="6" w:space="0" w:color="C0C0C0"/>
              <w:left w:val="thickThinLargeGap" w:sz="6" w:space="0" w:color="C0C0C0"/>
              <w:bottom w:val="thickThinLargeGap" w:sz="6" w:space="0" w:color="C0C0C0"/>
              <w:right w:val="thickThinLargeGap" w:sz="6" w:space="0" w:color="C0C0C0"/>
            </w:tcBorders>
          </w:tcPr>
          <w:p w:rsidR="00BB09C5" w:rsidRPr="00305C42" w:rsidRDefault="00BB09C5" w:rsidP="00CE5A53">
            <w:pPr>
              <w:rPr>
                <w:rFonts w:eastAsia="Times New Roman"/>
                <w:sz w:val="24"/>
                <w:szCs w:val="24"/>
                <w:lang w:val="lv-LV" w:eastAsia="lv-LV"/>
              </w:rPr>
            </w:pPr>
            <w:r w:rsidRPr="00305C42">
              <w:rPr>
                <w:rFonts w:eastAsia="Times New Roman"/>
                <w:sz w:val="24"/>
                <w:szCs w:val="24"/>
                <w:lang w:val="lv-LV" w:eastAsia="lv-LV"/>
              </w:rPr>
              <w:t>2</w:t>
            </w:r>
            <w:r w:rsidR="00F15932" w:rsidRPr="00305C42">
              <w:rPr>
                <w:rFonts w:eastAsia="Times New Roman"/>
                <w:sz w:val="24"/>
                <w:szCs w:val="24"/>
                <w:lang w:val="lv-LV" w:eastAsia="lv-LV"/>
              </w:rPr>
              <w:t>. Pašreizējā situācija un problēma</w:t>
            </w:r>
            <w:r w:rsidR="007E5D4D" w:rsidRPr="00305C42">
              <w:rPr>
                <w:rFonts w:eastAsia="Times New Roman"/>
                <w:sz w:val="24"/>
                <w:szCs w:val="24"/>
                <w:lang w:val="lv-LV" w:eastAsia="lv-LV"/>
              </w:rPr>
              <w:t>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32A63" w:rsidRPr="004342AD" w:rsidRDefault="002120AC" w:rsidP="00397428">
            <w:pPr>
              <w:ind w:firstLine="567"/>
              <w:jc w:val="both"/>
              <w:rPr>
                <w:rFonts w:eastAsia="Times New Roman"/>
                <w:bCs/>
                <w:sz w:val="24"/>
                <w:szCs w:val="24"/>
                <w:lang w:val="lv-LV" w:eastAsia="lv-LV"/>
              </w:rPr>
            </w:pPr>
            <w:r w:rsidRPr="004342AD">
              <w:rPr>
                <w:sz w:val="24"/>
                <w:szCs w:val="24"/>
                <w:lang w:val="lv-LV"/>
              </w:rPr>
              <w:t xml:space="preserve">Grozījumi </w:t>
            </w:r>
            <w:r w:rsidR="00B32A63" w:rsidRPr="004342AD">
              <w:rPr>
                <w:sz w:val="24"/>
                <w:szCs w:val="24"/>
                <w:lang w:val="lv-LV"/>
              </w:rPr>
              <w:t xml:space="preserve">2009.gada 17.februāra noteikumos Nr.164 „Noteikumi par aizdevumiem komersantu konkurētspējas uzlabošanai” </w:t>
            </w:r>
            <w:r w:rsidRPr="004342AD">
              <w:rPr>
                <w:rFonts w:eastAsia="Times New Roman"/>
                <w:bCs/>
                <w:sz w:val="24"/>
                <w:szCs w:val="24"/>
                <w:lang w:val="lv-LV" w:eastAsia="lv-LV"/>
              </w:rPr>
              <w:t>(turpmāk – MK noteikumi Nr.</w:t>
            </w:r>
            <w:r w:rsidR="00B32A63" w:rsidRPr="004342AD">
              <w:rPr>
                <w:rFonts w:eastAsia="Times New Roman"/>
                <w:bCs/>
                <w:sz w:val="24"/>
                <w:szCs w:val="24"/>
                <w:lang w:val="lv-LV" w:eastAsia="lv-LV"/>
              </w:rPr>
              <w:t>164</w:t>
            </w:r>
            <w:r w:rsidRPr="004342AD">
              <w:rPr>
                <w:rFonts w:eastAsia="Times New Roman"/>
                <w:bCs/>
                <w:sz w:val="24"/>
                <w:szCs w:val="24"/>
                <w:lang w:val="lv-LV" w:eastAsia="lv-LV"/>
              </w:rPr>
              <w:t xml:space="preserve">) ir nepieciešami, lai nodrošinātu </w:t>
            </w:r>
            <w:r w:rsidR="00397428">
              <w:rPr>
                <w:rFonts w:eastAsia="Times New Roman"/>
                <w:bCs/>
                <w:sz w:val="24"/>
                <w:szCs w:val="24"/>
                <w:lang w:val="lv-LV" w:eastAsia="lv-LV"/>
              </w:rPr>
              <w:t xml:space="preserve">mērķtiecīgu valsts atbalsta sniegšanu komersantiem </w:t>
            </w:r>
            <w:r w:rsidR="00397428" w:rsidRPr="004342AD">
              <w:rPr>
                <w:rFonts w:eastAsia="Times New Roman"/>
                <w:bCs/>
                <w:sz w:val="24"/>
                <w:szCs w:val="24"/>
                <w:lang w:val="lv-LV" w:eastAsia="lv-LV"/>
              </w:rPr>
              <w:t xml:space="preserve">finansējuma </w:t>
            </w:r>
            <w:r w:rsidR="00397428">
              <w:rPr>
                <w:rFonts w:eastAsia="Times New Roman"/>
                <w:bCs/>
                <w:sz w:val="24"/>
                <w:szCs w:val="24"/>
                <w:lang w:val="lv-LV" w:eastAsia="lv-LV"/>
              </w:rPr>
              <w:t>pieejamības jomā un savlaicīgu līdzekļu apguvi</w:t>
            </w:r>
            <w:r w:rsidR="00397428" w:rsidRPr="004342AD">
              <w:rPr>
                <w:rFonts w:eastAsia="Times New Roman"/>
                <w:bCs/>
                <w:sz w:val="24"/>
                <w:szCs w:val="24"/>
                <w:lang w:val="lv-LV" w:eastAsia="lv-LV"/>
              </w:rPr>
              <w:t xml:space="preserve">, ierobežotos finanšu līdzekļus novirzot </w:t>
            </w:r>
            <w:r w:rsidR="00397428">
              <w:rPr>
                <w:rFonts w:eastAsia="Times New Roman"/>
                <w:bCs/>
                <w:sz w:val="24"/>
                <w:szCs w:val="24"/>
                <w:lang w:val="lv-LV" w:eastAsia="lv-LV"/>
              </w:rPr>
              <w:t>mikro, mazo un vidējo</w:t>
            </w:r>
            <w:r w:rsidR="00397428" w:rsidRPr="004342AD">
              <w:rPr>
                <w:rFonts w:eastAsia="Times New Roman"/>
                <w:bCs/>
                <w:sz w:val="24"/>
                <w:szCs w:val="24"/>
                <w:lang w:val="lv-LV" w:eastAsia="lv-LV"/>
              </w:rPr>
              <w:t xml:space="preserve"> komersantu grupu finansēšanai</w:t>
            </w:r>
            <w:r w:rsidR="00397428">
              <w:rPr>
                <w:rFonts w:eastAsia="Times New Roman"/>
                <w:bCs/>
                <w:sz w:val="24"/>
                <w:szCs w:val="24"/>
                <w:lang w:val="lv-LV" w:eastAsia="lv-LV"/>
              </w:rPr>
              <w:t>.</w:t>
            </w:r>
            <w:r w:rsidR="00B32A63" w:rsidRPr="004342AD">
              <w:rPr>
                <w:rFonts w:eastAsia="Times New Roman"/>
                <w:bCs/>
                <w:sz w:val="24"/>
                <w:szCs w:val="24"/>
                <w:lang w:val="lv-LV" w:eastAsia="lv-LV"/>
              </w:rPr>
              <w:t xml:space="preserve">  </w:t>
            </w:r>
            <w:r w:rsidRPr="004342AD">
              <w:rPr>
                <w:rFonts w:eastAsia="Times New Roman"/>
                <w:bCs/>
                <w:sz w:val="24"/>
                <w:szCs w:val="24"/>
                <w:lang w:val="lv-LV" w:eastAsia="lv-LV"/>
              </w:rPr>
              <w:t xml:space="preserve"> </w:t>
            </w:r>
          </w:p>
          <w:p w:rsidR="00366CFC" w:rsidRPr="003D6B3A" w:rsidRDefault="004342AD" w:rsidP="003D6B3A">
            <w:pPr>
              <w:ind w:firstLine="720"/>
              <w:jc w:val="both"/>
              <w:rPr>
                <w:sz w:val="28"/>
                <w:szCs w:val="28"/>
              </w:rPr>
            </w:pPr>
            <w:r w:rsidRPr="004342AD">
              <w:rPr>
                <w:rFonts w:eastAsia="Times New Roman"/>
                <w:bCs/>
                <w:sz w:val="24"/>
                <w:szCs w:val="24"/>
                <w:lang w:val="lv-LV" w:eastAsia="lv-LV"/>
              </w:rPr>
              <w:t xml:space="preserve">2009.gada 21.aprīlī </w:t>
            </w:r>
            <w:r w:rsidR="002538B5">
              <w:rPr>
                <w:rFonts w:eastAsia="Times New Roman"/>
                <w:bCs/>
                <w:sz w:val="24"/>
                <w:szCs w:val="24"/>
                <w:lang w:val="lv-LV" w:eastAsia="lv-LV"/>
              </w:rPr>
              <w:t xml:space="preserve">Latvijas </w:t>
            </w:r>
            <w:r w:rsidRPr="004342AD">
              <w:rPr>
                <w:rFonts w:eastAsia="Times New Roman"/>
                <w:bCs/>
                <w:sz w:val="24"/>
                <w:szCs w:val="24"/>
                <w:lang w:val="lv-LV" w:eastAsia="lv-LV"/>
              </w:rPr>
              <w:t xml:space="preserve">Hipotēku </w:t>
            </w:r>
            <w:r w:rsidR="002538B5">
              <w:rPr>
                <w:rFonts w:eastAsia="Times New Roman"/>
                <w:bCs/>
                <w:sz w:val="24"/>
                <w:szCs w:val="24"/>
                <w:lang w:val="lv-LV" w:eastAsia="lv-LV"/>
              </w:rPr>
              <w:t xml:space="preserve">un zemes </w:t>
            </w:r>
            <w:r w:rsidRPr="004342AD">
              <w:rPr>
                <w:rFonts w:eastAsia="Times New Roman"/>
                <w:bCs/>
                <w:sz w:val="24"/>
                <w:szCs w:val="24"/>
                <w:lang w:val="lv-LV" w:eastAsia="lv-LV"/>
              </w:rPr>
              <w:t>banka</w:t>
            </w:r>
            <w:r w:rsidR="002538B5">
              <w:rPr>
                <w:rFonts w:eastAsia="Times New Roman"/>
                <w:bCs/>
                <w:sz w:val="24"/>
                <w:szCs w:val="24"/>
                <w:lang w:val="lv-LV" w:eastAsia="lv-LV"/>
              </w:rPr>
              <w:t xml:space="preserve"> (turpmāk – Hipotēku banka)</w:t>
            </w:r>
            <w:r w:rsidRPr="004342AD">
              <w:rPr>
                <w:rFonts w:eastAsia="Times New Roman"/>
                <w:bCs/>
                <w:sz w:val="24"/>
                <w:szCs w:val="24"/>
                <w:lang w:val="lv-LV" w:eastAsia="lv-LV"/>
              </w:rPr>
              <w:t xml:space="preserve"> un Ekonomikas ministrija noslēdza līgumu par komersantu konkurētspējas uzlabošanas aizdevumu īstenošanas nosacījumiem </w:t>
            </w:r>
            <w:r w:rsidR="00886123">
              <w:rPr>
                <w:rFonts w:eastAsia="Times New Roman"/>
                <w:bCs/>
                <w:sz w:val="24"/>
                <w:szCs w:val="24"/>
                <w:lang w:val="lv-LV" w:eastAsia="lv-LV"/>
              </w:rPr>
              <w:t xml:space="preserve">(turpmāk – Konkurētspējas programma) </w:t>
            </w:r>
            <w:r w:rsidRPr="004342AD">
              <w:rPr>
                <w:rFonts w:eastAsia="Times New Roman"/>
                <w:bCs/>
                <w:sz w:val="24"/>
                <w:szCs w:val="24"/>
                <w:lang w:val="lv-LV" w:eastAsia="lv-LV"/>
              </w:rPr>
              <w:t xml:space="preserve">un kārtību, piesaistot </w:t>
            </w:r>
            <w:r>
              <w:rPr>
                <w:rFonts w:eastAsia="Times New Roman"/>
                <w:bCs/>
                <w:sz w:val="24"/>
                <w:szCs w:val="24"/>
                <w:lang w:val="lv-LV" w:eastAsia="lv-LV"/>
              </w:rPr>
              <w:t xml:space="preserve">Eiropas Reģionālās attīstības fonda (turpmāk – </w:t>
            </w:r>
            <w:r w:rsidRPr="004342AD">
              <w:rPr>
                <w:rFonts w:eastAsia="Times New Roman"/>
                <w:bCs/>
                <w:sz w:val="24"/>
                <w:szCs w:val="24"/>
                <w:lang w:val="lv-LV" w:eastAsia="lv-LV"/>
              </w:rPr>
              <w:t>ERAF</w:t>
            </w:r>
            <w:r>
              <w:rPr>
                <w:rFonts w:eastAsia="Times New Roman"/>
                <w:bCs/>
                <w:sz w:val="24"/>
                <w:szCs w:val="24"/>
                <w:lang w:val="lv-LV" w:eastAsia="lv-LV"/>
              </w:rPr>
              <w:t>)</w:t>
            </w:r>
            <w:r w:rsidRPr="004342AD">
              <w:rPr>
                <w:rFonts w:eastAsia="Times New Roman"/>
                <w:bCs/>
                <w:sz w:val="24"/>
                <w:szCs w:val="24"/>
                <w:lang w:val="lv-LV" w:eastAsia="lv-LV"/>
              </w:rPr>
              <w:t xml:space="preserve"> līdzfinansējumu. Līgums nosaka, ka, atbilstoši ES prasībām, aizdevumu izsniegšanai no ERAF līdzekļiem tiek izveidots Aizdevumu fonds.</w:t>
            </w:r>
            <w:r w:rsidR="00366CFC">
              <w:rPr>
                <w:rFonts w:eastAsia="Times New Roman"/>
                <w:bCs/>
                <w:sz w:val="24"/>
                <w:szCs w:val="24"/>
                <w:lang w:val="lv-LV" w:eastAsia="lv-LV"/>
              </w:rPr>
              <w:t xml:space="preserve"> </w:t>
            </w:r>
            <w:r w:rsidR="006755E5" w:rsidRPr="003D6B3A">
              <w:rPr>
                <w:rFonts w:eastAsia="Times New Roman"/>
                <w:bCs/>
                <w:sz w:val="24"/>
                <w:szCs w:val="24"/>
                <w:lang w:val="lv-LV" w:eastAsia="lv-LV"/>
              </w:rPr>
              <w:t>Ministru kabineta 2009.gada 10.marta noteikumi Nr.238 „Par darbības programmas “Uzņēmējdarbība un inovācijas” papildinājuma 2.2.1.4.</w:t>
            </w:r>
            <w:r w:rsidR="00AC63DA">
              <w:rPr>
                <w:rFonts w:eastAsia="Times New Roman"/>
                <w:bCs/>
                <w:sz w:val="24"/>
                <w:szCs w:val="24"/>
                <w:lang w:val="lv-LV" w:eastAsia="lv-LV"/>
              </w:rPr>
              <w:t>1.</w:t>
            </w:r>
            <w:r w:rsidR="006755E5" w:rsidRPr="003D6B3A">
              <w:rPr>
                <w:rFonts w:eastAsia="Times New Roman"/>
                <w:bCs/>
                <w:sz w:val="24"/>
                <w:szCs w:val="24"/>
                <w:lang w:val="lv-LV" w:eastAsia="lv-LV"/>
              </w:rPr>
              <w:t xml:space="preserve">aktivitāti “Aizdevumi komersantu konkurētspējas uzlabošanai”” nosaka kārtību, kā komersantu konkurētspējas uzlabošanas aizdevumiem tiks piesaistīti </w:t>
            </w:r>
            <w:r w:rsidR="006755E5">
              <w:rPr>
                <w:rFonts w:eastAsia="Times New Roman"/>
                <w:bCs/>
                <w:sz w:val="24"/>
                <w:szCs w:val="24"/>
                <w:lang w:val="lv-LV" w:eastAsia="lv-LV"/>
              </w:rPr>
              <w:t xml:space="preserve">ERAF </w:t>
            </w:r>
            <w:r w:rsidR="006755E5" w:rsidRPr="003D6B3A">
              <w:rPr>
                <w:rFonts w:eastAsia="Times New Roman"/>
                <w:bCs/>
                <w:sz w:val="24"/>
                <w:szCs w:val="24"/>
                <w:lang w:val="lv-LV" w:eastAsia="lv-LV"/>
              </w:rPr>
              <w:t xml:space="preserve">un valsts līdzekļi 43.3 milj. LVL apmērā. </w:t>
            </w:r>
            <w:r w:rsidR="006755E5">
              <w:rPr>
                <w:rFonts w:eastAsia="Times New Roman"/>
                <w:bCs/>
                <w:sz w:val="24"/>
                <w:szCs w:val="24"/>
                <w:lang w:val="lv-LV" w:eastAsia="lv-LV"/>
              </w:rPr>
              <w:t xml:space="preserve">Papildus </w:t>
            </w:r>
            <w:r w:rsidR="006755E5" w:rsidRPr="00DC5207">
              <w:rPr>
                <w:rFonts w:eastAsia="Times New Roman"/>
                <w:bCs/>
                <w:sz w:val="24"/>
                <w:szCs w:val="24"/>
                <w:lang w:val="lv-LV" w:eastAsia="lv-LV"/>
              </w:rPr>
              <w:t xml:space="preserve">Hipotēku banka </w:t>
            </w:r>
            <w:r w:rsidR="006755E5">
              <w:rPr>
                <w:rFonts w:eastAsia="Times New Roman"/>
                <w:bCs/>
                <w:sz w:val="24"/>
                <w:szCs w:val="24"/>
                <w:lang w:val="lv-LV" w:eastAsia="lv-LV"/>
              </w:rPr>
              <w:t>ir piesaistījusi Ziemeļu Investīciju bankas finansējumu</w:t>
            </w:r>
            <w:r w:rsidR="00162EB9">
              <w:rPr>
                <w:rFonts w:eastAsia="Times New Roman"/>
                <w:bCs/>
                <w:sz w:val="24"/>
                <w:szCs w:val="24"/>
                <w:lang w:val="lv-LV" w:eastAsia="lv-LV"/>
              </w:rPr>
              <w:t xml:space="preserve"> 70 milj. LVL apmērā. </w:t>
            </w:r>
            <w:r w:rsidR="00B05C43" w:rsidRPr="00B05C43">
              <w:rPr>
                <w:rFonts w:eastAsia="Times New Roman"/>
                <w:bCs/>
                <w:sz w:val="24"/>
                <w:szCs w:val="24"/>
                <w:lang w:val="lv-LV" w:eastAsia="lv-LV"/>
              </w:rPr>
              <w:t>Tāpat komersantu kreditēšanai plānots izmantot Eiropas Investīciju bankas aizdevuma līdzekļus, kas saskaņā ar Likumu par valsts budžetu 2009.gadam paredzēti komercdarbības veicināšanas aizdevumiem.</w:t>
            </w:r>
            <w:r w:rsidR="00B05C43">
              <w:rPr>
                <w:rFonts w:eastAsia="Times New Roman"/>
                <w:bCs/>
                <w:sz w:val="24"/>
                <w:szCs w:val="24"/>
                <w:lang w:val="lv-LV" w:eastAsia="lv-LV"/>
              </w:rPr>
              <w:t xml:space="preserve"> </w:t>
            </w:r>
            <w:r w:rsidR="00162EB9">
              <w:rPr>
                <w:rFonts w:eastAsia="Times New Roman"/>
                <w:bCs/>
                <w:sz w:val="24"/>
                <w:szCs w:val="24"/>
                <w:lang w:val="lv-LV" w:eastAsia="lv-LV"/>
              </w:rPr>
              <w:t>L</w:t>
            </w:r>
            <w:r w:rsidR="006755E5" w:rsidRPr="00DC5207">
              <w:rPr>
                <w:rFonts w:eastAsia="Times New Roman"/>
                <w:bCs/>
                <w:sz w:val="24"/>
                <w:szCs w:val="24"/>
                <w:lang w:val="lv-LV" w:eastAsia="lv-LV"/>
              </w:rPr>
              <w:t xml:space="preserve">īdz 2013.gada decembrim </w:t>
            </w:r>
            <w:r w:rsidR="006755E5">
              <w:rPr>
                <w:rFonts w:eastAsia="Times New Roman"/>
                <w:bCs/>
                <w:sz w:val="24"/>
                <w:szCs w:val="24"/>
                <w:lang w:val="lv-LV" w:eastAsia="lv-LV"/>
              </w:rPr>
              <w:t xml:space="preserve">plānots </w:t>
            </w:r>
            <w:r w:rsidR="006755E5" w:rsidRPr="00DC5207">
              <w:rPr>
                <w:rFonts w:eastAsia="Times New Roman"/>
                <w:bCs/>
                <w:sz w:val="24"/>
                <w:szCs w:val="24"/>
                <w:lang w:val="lv-LV" w:eastAsia="lv-LV"/>
              </w:rPr>
              <w:t>izsnieg</w:t>
            </w:r>
            <w:r w:rsidR="006755E5">
              <w:rPr>
                <w:rFonts w:eastAsia="Times New Roman"/>
                <w:bCs/>
                <w:sz w:val="24"/>
                <w:szCs w:val="24"/>
                <w:lang w:val="lv-LV" w:eastAsia="lv-LV"/>
              </w:rPr>
              <w:t>t</w:t>
            </w:r>
            <w:r w:rsidR="006755E5" w:rsidRPr="00DC5207">
              <w:rPr>
                <w:rFonts w:eastAsia="Times New Roman"/>
                <w:bCs/>
                <w:sz w:val="24"/>
                <w:szCs w:val="24"/>
                <w:lang w:val="lv-LV" w:eastAsia="lv-LV"/>
              </w:rPr>
              <w:t xml:space="preserve"> aizdevumus komersantiem konkurētspējas uzlabošanai </w:t>
            </w:r>
            <w:proofErr w:type="spellStart"/>
            <w:r w:rsidR="00162EB9">
              <w:rPr>
                <w:rFonts w:eastAsia="Times New Roman"/>
                <w:bCs/>
                <w:sz w:val="24"/>
                <w:szCs w:val="24"/>
                <w:lang w:val="lv-LV" w:eastAsia="lv-LV"/>
              </w:rPr>
              <w:t>vēļ</w:t>
            </w:r>
            <w:proofErr w:type="spellEnd"/>
            <w:r w:rsidR="00162EB9">
              <w:rPr>
                <w:rFonts w:eastAsia="Times New Roman"/>
                <w:bCs/>
                <w:sz w:val="24"/>
                <w:szCs w:val="24"/>
                <w:lang w:val="lv-LV" w:eastAsia="lv-LV"/>
              </w:rPr>
              <w:t xml:space="preserve"> </w:t>
            </w:r>
            <w:r w:rsidR="00A86DD1">
              <w:rPr>
                <w:rFonts w:eastAsia="Times New Roman"/>
                <w:bCs/>
                <w:sz w:val="24"/>
                <w:szCs w:val="24"/>
                <w:lang w:val="lv-LV" w:eastAsia="lv-LV"/>
              </w:rPr>
              <w:t xml:space="preserve">aptuveni </w:t>
            </w:r>
            <w:r w:rsidR="00162EB9">
              <w:rPr>
                <w:rFonts w:eastAsia="Times New Roman"/>
                <w:bCs/>
                <w:sz w:val="24"/>
                <w:szCs w:val="24"/>
                <w:lang w:val="lv-LV" w:eastAsia="lv-LV"/>
              </w:rPr>
              <w:t>15</w:t>
            </w:r>
            <w:r w:rsidR="006755E5" w:rsidRPr="00DC5207">
              <w:rPr>
                <w:rFonts w:eastAsia="Times New Roman"/>
                <w:bCs/>
                <w:sz w:val="24"/>
                <w:szCs w:val="24"/>
                <w:lang w:val="lv-LV" w:eastAsia="lv-LV"/>
              </w:rPr>
              <w:t xml:space="preserve"> </w:t>
            </w:r>
            <w:proofErr w:type="spellStart"/>
            <w:r w:rsidR="006755E5" w:rsidRPr="00DC5207">
              <w:rPr>
                <w:rFonts w:eastAsia="Times New Roman"/>
                <w:bCs/>
                <w:sz w:val="24"/>
                <w:szCs w:val="24"/>
                <w:lang w:val="lv-LV" w:eastAsia="lv-LV"/>
              </w:rPr>
              <w:t>milj</w:t>
            </w:r>
            <w:proofErr w:type="spellEnd"/>
            <w:r w:rsidR="006755E5" w:rsidRPr="00DC5207">
              <w:rPr>
                <w:rFonts w:eastAsia="Times New Roman"/>
                <w:bCs/>
                <w:sz w:val="24"/>
                <w:szCs w:val="24"/>
                <w:lang w:val="lv-LV" w:eastAsia="lv-LV"/>
              </w:rPr>
              <w:t>. LVL apmērā</w:t>
            </w:r>
            <w:r w:rsidR="006755E5">
              <w:rPr>
                <w:rFonts w:eastAsia="Times New Roman"/>
                <w:bCs/>
                <w:sz w:val="24"/>
                <w:szCs w:val="24"/>
                <w:lang w:val="lv-LV" w:eastAsia="lv-LV"/>
              </w:rPr>
              <w:t xml:space="preserve"> (ieskaitot ERAF finansējumu).</w:t>
            </w:r>
          </w:p>
          <w:p w:rsidR="00366CFC" w:rsidRDefault="00AB28AF">
            <w:pPr>
              <w:ind w:firstLine="567"/>
              <w:jc w:val="both"/>
              <w:rPr>
                <w:rFonts w:eastAsia="Times New Roman"/>
                <w:bCs/>
                <w:sz w:val="24"/>
                <w:szCs w:val="24"/>
                <w:lang w:val="lv-LV" w:eastAsia="lv-LV"/>
              </w:rPr>
            </w:pPr>
            <w:r w:rsidRPr="003D6B3A">
              <w:rPr>
                <w:rFonts w:eastAsia="Times New Roman"/>
                <w:bCs/>
                <w:sz w:val="24"/>
                <w:szCs w:val="24"/>
                <w:lang w:val="lv-LV" w:eastAsia="lv-LV"/>
              </w:rPr>
              <w:t>No prog</w:t>
            </w:r>
            <w:r w:rsidR="00D03A8E">
              <w:rPr>
                <w:rFonts w:eastAsia="Times New Roman"/>
                <w:bCs/>
                <w:sz w:val="24"/>
                <w:szCs w:val="24"/>
                <w:lang w:val="lv-LV" w:eastAsia="lv-LV"/>
              </w:rPr>
              <w:t>rammas darbības sākuma līdz 2012</w:t>
            </w:r>
            <w:r w:rsidRPr="003D6B3A">
              <w:rPr>
                <w:rFonts w:eastAsia="Times New Roman"/>
                <w:bCs/>
                <w:sz w:val="24"/>
                <w:szCs w:val="24"/>
                <w:lang w:val="lv-LV" w:eastAsia="lv-LV"/>
              </w:rPr>
              <w:t>. gada 1</w:t>
            </w:r>
            <w:r w:rsidR="00D03A8E">
              <w:rPr>
                <w:rFonts w:eastAsia="Times New Roman"/>
                <w:bCs/>
                <w:sz w:val="24"/>
                <w:szCs w:val="24"/>
                <w:lang w:val="lv-LV" w:eastAsia="lv-LV"/>
              </w:rPr>
              <w:t>3.decembrim</w:t>
            </w:r>
            <w:r w:rsidRPr="003D6B3A">
              <w:rPr>
                <w:rFonts w:eastAsia="Times New Roman"/>
                <w:bCs/>
                <w:sz w:val="24"/>
                <w:szCs w:val="24"/>
                <w:lang w:val="lv-LV" w:eastAsia="lv-LV"/>
              </w:rPr>
              <w:t xml:space="preserve"> programmas ietvaros banka piešķīrusi 399 aizdevumus par kopējo summu 172.3 milj. LVL</w:t>
            </w:r>
            <w:r>
              <w:rPr>
                <w:rFonts w:eastAsia="Times New Roman"/>
                <w:bCs/>
                <w:sz w:val="24"/>
                <w:szCs w:val="24"/>
                <w:lang w:val="lv-LV" w:eastAsia="lv-LV"/>
              </w:rPr>
              <w:t>. No ERAF l</w:t>
            </w:r>
            <w:r w:rsidR="00D03A8E">
              <w:rPr>
                <w:rFonts w:eastAsia="Times New Roman"/>
                <w:bCs/>
                <w:sz w:val="24"/>
                <w:szCs w:val="24"/>
                <w:lang w:val="lv-LV" w:eastAsia="lv-LV"/>
              </w:rPr>
              <w:t>īdzekļiem</w:t>
            </w:r>
            <w:r w:rsidR="00366CFC">
              <w:rPr>
                <w:rFonts w:eastAsia="Times New Roman"/>
                <w:bCs/>
                <w:sz w:val="24"/>
                <w:szCs w:val="24"/>
                <w:lang w:val="lv-LV" w:eastAsia="lv-LV"/>
              </w:rPr>
              <w:t xml:space="preserve"> Konkurētspējas programmas ietvaros ir izsniegti 63 aizdevumi par kopējo summu 46.7 milj. latu. </w:t>
            </w:r>
            <w:r w:rsidR="00B55E8E">
              <w:rPr>
                <w:rFonts w:eastAsia="Times New Roman"/>
                <w:bCs/>
                <w:sz w:val="24"/>
                <w:szCs w:val="24"/>
                <w:lang w:val="lv-LV" w:eastAsia="lv-LV"/>
              </w:rPr>
              <w:t xml:space="preserve">2012.gada nogalē ir </w:t>
            </w:r>
            <w:r w:rsidR="00B55E8E" w:rsidRPr="003D6B3A">
              <w:rPr>
                <w:rFonts w:eastAsia="Times New Roman"/>
                <w:bCs/>
                <w:sz w:val="24"/>
                <w:szCs w:val="24"/>
                <w:lang w:val="lv-LV" w:eastAsia="lv-LV"/>
              </w:rPr>
              <w:t>sniegts valsts galvojums Hipotēku bankas aizņēmumam no Eiropas Investīciju bankas LVL 70 milj. LVL apmērā.</w:t>
            </w:r>
          </w:p>
          <w:p w:rsidR="00F1031D" w:rsidRDefault="004342AD" w:rsidP="00F1031D">
            <w:pPr>
              <w:ind w:firstLine="567"/>
              <w:jc w:val="both"/>
              <w:rPr>
                <w:rFonts w:eastAsia="Times New Roman"/>
                <w:bCs/>
                <w:sz w:val="24"/>
                <w:szCs w:val="24"/>
                <w:lang w:val="lv-LV" w:eastAsia="lv-LV"/>
              </w:rPr>
            </w:pPr>
            <w:r>
              <w:rPr>
                <w:rFonts w:eastAsia="Times New Roman"/>
                <w:bCs/>
                <w:sz w:val="24"/>
                <w:szCs w:val="24"/>
                <w:lang w:val="lv-LV" w:eastAsia="lv-LV"/>
              </w:rPr>
              <w:t xml:space="preserve">Saskaņā ar MK noteikumiem Nr.164 </w:t>
            </w:r>
            <w:r w:rsidR="00886123">
              <w:rPr>
                <w:rFonts w:eastAsia="Times New Roman"/>
                <w:bCs/>
                <w:sz w:val="24"/>
                <w:szCs w:val="24"/>
                <w:lang w:val="lv-LV" w:eastAsia="lv-LV"/>
              </w:rPr>
              <w:t xml:space="preserve">Konkurētspējas </w:t>
            </w:r>
            <w:r w:rsidR="00886123">
              <w:rPr>
                <w:rFonts w:eastAsia="Times New Roman"/>
                <w:bCs/>
                <w:sz w:val="24"/>
                <w:szCs w:val="24"/>
                <w:lang w:val="lv-LV" w:eastAsia="lv-LV"/>
              </w:rPr>
              <w:lastRenderedPageBreak/>
              <w:t xml:space="preserve">programmā </w:t>
            </w:r>
            <w:r>
              <w:rPr>
                <w:rFonts w:eastAsia="Times New Roman"/>
                <w:bCs/>
                <w:sz w:val="24"/>
                <w:szCs w:val="24"/>
                <w:lang w:val="lv-LV" w:eastAsia="lv-LV"/>
              </w:rPr>
              <w:t>tiek izsniegti apgrozāmo līdzekļu un investīciju aizdevumi mazajiem un vidējiem komersantiem, kā arī apstrādes rūpniecības nozares komersantiem neatkarīgi no komersantu lieluma. Saskaņā ar pašreizējiem programmas nosacījumiem vienam komersantam piešķirto aizdevumu apjoms nevar pārsniegt 7.5 milj. latus, un apgrozāmo līdzekļu aizdevumu apjoms ir no 100 000 latiem līdz 2.5 milj. latu, savukārt investīciju aizdevumu apjoms ir no 200 000 latiem līdz 5 milj. latu. Jāņem vērā, ka šī valsts atbalsta programma tika izstrādāta 2008.-2009.gadā, lai risinātu ekonomiskās krīzes radīt</w:t>
            </w:r>
            <w:r w:rsidR="00DA4E50">
              <w:rPr>
                <w:rFonts w:eastAsia="Times New Roman"/>
                <w:bCs/>
                <w:sz w:val="24"/>
                <w:szCs w:val="24"/>
                <w:lang w:val="lv-LV" w:eastAsia="lv-LV"/>
              </w:rPr>
              <w:t xml:space="preserve">ās problēmas, kas programmas izstrādes laikā un turpmākajos gados galvenokārt bija saistītas ar </w:t>
            </w:r>
            <w:r w:rsidR="00397428">
              <w:rPr>
                <w:rFonts w:eastAsia="Times New Roman"/>
                <w:bCs/>
                <w:sz w:val="24"/>
                <w:szCs w:val="24"/>
                <w:lang w:val="lv-LV" w:eastAsia="lv-LV"/>
              </w:rPr>
              <w:t xml:space="preserve">komercbanku </w:t>
            </w:r>
            <w:r w:rsidR="00DA4E50">
              <w:rPr>
                <w:rFonts w:eastAsia="Times New Roman"/>
                <w:bCs/>
                <w:sz w:val="24"/>
                <w:szCs w:val="24"/>
                <w:lang w:val="lv-LV" w:eastAsia="lv-LV"/>
              </w:rPr>
              <w:t xml:space="preserve">likviditāti. </w:t>
            </w:r>
            <w:r w:rsidR="004E12D3">
              <w:rPr>
                <w:rFonts w:eastAsia="Times New Roman"/>
                <w:bCs/>
                <w:sz w:val="24"/>
                <w:szCs w:val="24"/>
                <w:lang w:val="lv-LV" w:eastAsia="lv-LV"/>
              </w:rPr>
              <w:t xml:space="preserve">Ņemot vērā, ka šobrīd situācija finanšu tirgū un komersantu kreditēšanā ir mainījusies un </w:t>
            </w:r>
            <w:r w:rsidR="00305C42">
              <w:rPr>
                <w:rFonts w:eastAsia="Times New Roman"/>
                <w:bCs/>
                <w:sz w:val="24"/>
                <w:szCs w:val="24"/>
                <w:lang w:val="lv-LV" w:eastAsia="lv-LV"/>
              </w:rPr>
              <w:t>lielajiem komersantiem ir piekļuve komercbanku piedāvātajiem aizdevumiem</w:t>
            </w:r>
            <w:r w:rsidR="00397428">
              <w:rPr>
                <w:rFonts w:eastAsia="Times New Roman"/>
                <w:bCs/>
                <w:sz w:val="24"/>
                <w:szCs w:val="24"/>
                <w:lang w:val="lv-LV" w:eastAsia="lv-LV"/>
              </w:rPr>
              <w:t xml:space="preserve"> dzīvotspējīgu projektu finansēšanai</w:t>
            </w:r>
            <w:r w:rsidR="00305C42">
              <w:rPr>
                <w:rFonts w:eastAsia="Times New Roman"/>
                <w:bCs/>
                <w:sz w:val="24"/>
                <w:szCs w:val="24"/>
                <w:lang w:val="lv-LV" w:eastAsia="lv-LV"/>
              </w:rPr>
              <w:t xml:space="preserve">, nepieciešams publisko finansējumu novirzīt uz tiem tirgus segmentiem, kuros vērojamas lielākas tirgus nepilnības un sarežģītāka pieeja finansējumam, proti, </w:t>
            </w:r>
            <w:r w:rsidR="00397428" w:rsidRPr="00305C42">
              <w:rPr>
                <w:rFonts w:eastAsia="Times New Roman"/>
                <w:bCs/>
                <w:sz w:val="24"/>
                <w:szCs w:val="24"/>
                <w:lang w:val="lv-LV" w:eastAsia="lv-LV"/>
              </w:rPr>
              <w:t>mikro</w:t>
            </w:r>
            <w:r w:rsidR="00397428">
              <w:rPr>
                <w:rFonts w:eastAsia="Times New Roman"/>
                <w:bCs/>
                <w:sz w:val="24"/>
                <w:szCs w:val="24"/>
                <w:lang w:val="lv-LV" w:eastAsia="lv-LV"/>
              </w:rPr>
              <w:t xml:space="preserve">, maziem un vidējiem komersantiem, jaundibinātiem komersantiem un ātri augošiem komersantiem. </w:t>
            </w:r>
          </w:p>
          <w:p w:rsidR="00CC16E3" w:rsidRPr="00F1031D" w:rsidRDefault="00CC16E3" w:rsidP="00F1031D">
            <w:pPr>
              <w:ind w:firstLine="567"/>
              <w:jc w:val="both"/>
              <w:rPr>
                <w:rFonts w:eastAsia="Times New Roman"/>
                <w:bCs/>
                <w:sz w:val="24"/>
                <w:szCs w:val="24"/>
                <w:lang w:val="lv-LV" w:eastAsia="lv-LV"/>
              </w:rPr>
            </w:pPr>
            <w:r>
              <w:rPr>
                <w:rFonts w:eastAsia="Times New Roman"/>
                <w:bCs/>
                <w:sz w:val="24"/>
                <w:szCs w:val="24"/>
                <w:lang w:val="lv-LV" w:eastAsia="lv-LV"/>
              </w:rPr>
              <w:t>Lai arī saskaņā ar Eiropas Savienības fondu ieviešanas regulām atbalsta savienošana nav aizliegta, tomēr, ņemot vērā Eiropas Komisijas pausto viedokli (Eiropas Komisijas 2012.gada 29.marta vēstule „</w:t>
            </w:r>
            <w:proofErr w:type="spellStart"/>
            <w:r>
              <w:rPr>
                <w:rFonts w:eastAsia="Times New Roman"/>
                <w:bCs/>
                <w:sz w:val="24"/>
                <w:szCs w:val="24"/>
                <w:lang w:val="lv-LV" w:eastAsia="lv-LV"/>
              </w:rPr>
              <w:t>Irregularly</w:t>
            </w:r>
            <w:proofErr w:type="spellEnd"/>
            <w:r>
              <w:rPr>
                <w:rFonts w:eastAsia="Times New Roman"/>
                <w:bCs/>
                <w:sz w:val="24"/>
                <w:szCs w:val="24"/>
                <w:lang w:val="lv-LV" w:eastAsia="lv-LV"/>
              </w:rPr>
              <w:t xml:space="preserve"> </w:t>
            </w:r>
            <w:proofErr w:type="spellStart"/>
            <w:r>
              <w:rPr>
                <w:rFonts w:eastAsia="Times New Roman"/>
                <w:bCs/>
                <w:sz w:val="24"/>
                <w:szCs w:val="24"/>
                <w:lang w:val="lv-LV" w:eastAsia="lv-LV"/>
              </w:rPr>
              <w:t>issued</w:t>
            </w:r>
            <w:proofErr w:type="spellEnd"/>
            <w:r>
              <w:rPr>
                <w:rFonts w:eastAsia="Times New Roman"/>
                <w:bCs/>
                <w:sz w:val="24"/>
                <w:szCs w:val="24"/>
                <w:lang w:val="lv-LV" w:eastAsia="lv-LV"/>
              </w:rPr>
              <w:t xml:space="preserve"> </w:t>
            </w:r>
            <w:proofErr w:type="spellStart"/>
            <w:r>
              <w:rPr>
                <w:rFonts w:eastAsia="Times New Roman"/>
                <w:bCs/>
                <w:sz w:val="24"/>
                <w:szCs w:val="24"/>
                <w:lang w:val="lv-LV" w:eastAsia="lv-LV"/>
              </w:rPr>
              <w:t>loan</w:t>
            </w:r>
            <w:proofErr w:type="spellEnd"/>
            <w:r>
              <w:rPr>
                <w:rFonts w:eastAsia="Times New Roman"/>
                <w:bCs/>
                <w:sz w:val="24"/>
                <w:szCs w:val="24"/>
                <w:lang w:val="lv-LV" w:eastAsia="lv-LV"/>
              </w:rPr>
              <w:t xml:space="preserve"> </w:t>
            </w:r>
            <w:proofErr w:type="spellStart"/>
            <w:r>
              <w:rPr>
                <w:rFonts w:eastAsia="Times New Roman"/>
                <w:bCs/>
                <w:sz w:val="24"/>
                <w:szCs w:val="24"/>
                <w:lang w:val="lv-LV" w:eastAsia="lv-LV"/>
              </w:rPr>
              <w:t>and</w:t>
            </w:r>
            <w:proofErr w:type="spellEnd"/>
            <w:r>
              <w:rPr>
                <w:rFonts w:eastAsia="Times New Roman"/>
                <w:bCs/>
                <w:sz w:val="24"/>
                <w:szCs w:val="24"/>
                <w:lang w:val="lv-LV" w:eastAsia="lv-LV"/>
              </w:rPr>
              <w:t xml:space="preserve"> </w:t>
            </w:r>
            <w:proofErr w:type="spellStart"/>
            <w:r>
              <w:rPr>
                <w:rFonts w:eastAsia="Times New Roman"/>
                <w:bCs/>
                <w:sz w:val="24"/>
                <w:szCs w:val="24"/>
                <w:lang w:val="lv-LV" w:eastAsia="lv-LV"/>
              </w:rPr>
              <w:t>guarantee</w:t>
            </w:r>
            <w:proofErr w:type="spellEnd"/>
            <w:r>
              <w:rPr>
                <w:rFonts w:eastAsia="Times New Roman"/>
                <w:bCs/>
                <w:sz w:val="24"/>
                <w:szCs w:val="24"/>
                <w:lang w:val="lv-LV" w:eastAsia="lv-LV"/>
              </w:rPr>
              <w:t xml:space="preserve"> </w:t>
            </w:r>
            <w:proofErr w:type="spellStart"/>
            <w:r>
              <w:rPr>
                <w:rFonts w:eastAsia="Times New Roman"/>
                <w:bCs/>
                <w:sz w:val="24"/>
                <w:szCs w:val="24"/>
                <w:lang w:val="lv-LV" w:eastAsia="lv-LV"/>
              </w:rPr>
              <w:t>return</w:t>
            </w:r>
            <w:proofErr w:type="spellEnd"/>
            <w:r>
              <w:rPr>
                <w:rFonts w:eastAsia="Times New Roman"/>
                <w:bCs/>
                <w:sz w:val="24"/>
                <w:szCs w:val="24"/>
                <w:lang w:val="lv-LV" w:eastAsia="lv-LV"/>
              </w:rPr>
              <w:t xml:space="preserve"> to </w:t>
            </w:r>
            <w:proofErr w:type="spellStart"/>
            <w:r>
              <w:rPr>
                <w:rFonts w:eastAsia="Times New Roman"/>
                <w:bCs/>
                <w:sz w:val="24"/>
                <w:szCs w:val="24"/>
                <w:lang w:val="lv-LV" w:eastAsia="lv-LV"/>
              </w:rPr>
              <w:t>European</w:t>
            </w:r>
            <w:proofErr w:type="spellEnd"/>
            <w:r>
              <w:rPr>
                <w:rFonts w:eastAsia="Times New Roman"/>
                <w:bCs/>
                <w:sz w:val="24"/>
                <w:szCs w:val="24"/>
                <w:lang w:val="lv-LV" w:eastAsia="lv-LV"/>
              </w:rPr>
              <w:t xml:space="preserve"> </w:t>
            </w:r>
            <w:proofErr w:type="spellStart"/>
            <w:r>
              <w:rPr>
                <w:rFonts w:eastAsia="Times New Roman"/>
                <w:bCs/>
                <w:sz w:val="24"/>
                <w:szCs w:val="24"/>
                <w:lang w:val="lv-LV" w:eastAsia="lv-LV"/>
              </w:rPr>
              <w:t>Regional</w:t>
            </w:r>
            <w:proofErr w:type="spellEnd"/>
            <w:r>
              <w:rPr>
                <w:rFonts w:eastAsia="Times New Roman"/>
                <w:bCs/>
                <w:sz w:val="24"/>
                <w:szCs w:val="24"/>
                <w:lang w:val="lv-LV" w:eastAsia="lv-LV"/>
              </w:rPr>
              <w:t xml:space="preserve"> </w:t>
            </w:r>
            <w:proofErr w:type="spellStart"/>
            <w:r>
              <w:rPr>
                <w:rFonts w:eastAsia="Times New Roman"/>
                <w:bCs/>
                <w:sz w:val="24"/>
                <w:szCs w:val="24"/>
                <w:lang w:val="lv-LV" w:eastAsia="lv-LV"/>
              </w:rPr>
              <w:t>Development</w:t>
            </w:r>
            <w:proofErr w:type="spellEnd"/>
            <w:r>
              <w:rPr>
                <w:rFonts w:eastAsia="Times New Roman"/>
                <w:bCs/>
                <w:sz w:val="24"/>
                <w:szCs w:val="24"/>
                <w:lang w:val="lv-LV" w:eastAsia="lv-LV"/>
              </w:rPr>
              <w:t xml:space="preserve"> </w:t>
            </w:r>
            <w:proofErr w:type="spellStart"/>
            <w:r>
              <w:rPr>
                <w:rFonts w:eastAsia="Times New Roman"/>
                <w:bCs/>
                <w:sz w:val="24"/>
                <w:szCs w:val="24"/>
                <w:lang w:val="lv-LV" w:eastAsia="lv-LV"/>
              </w:rPr>
              <w:t>Fund</w:t>
            </w:r>
            <w:proofErr w:type="spellEnd"/>
            <w:r>
              <w:rPr>
                <w:rFonts w:eastAsia="Times New Roman"/>
                <w:bCs/>
                <w:sz w:val="24"/>
                <w:szCs w:val="24"/>
                <w:lang w:val="lv-LV" w:eastAsia="lv-LV"/>
              </w:rPr>
              <w:t xml:space="preserve"> (ERDF) / </w:t>
            </w:r>
            <w:proofErr w:type="spellStart"/>
            <w:r>
              <w:rPr>
                <w:rFonts w:eastAsia="Times New Roman"/>
                <w:bCs/>
                <w:sz w:val="24"/>
                <w:szCs w:val="24"/>
                <w:lang w:val="lv-LV" w:eastAsia="lv-LV"/>
              </w:rPr>
              <w:t>Combination</w:t>
            </w:r>
            <w:proofErr w:type="spellEnd"/>
            <w:r>
              <w:rPr>
                <w:rFonts w:eastAsia="Times New Roman"/>
                <w:bCs/>
                <w:sz w:val="24"/>
                <w:szCs w:val="24"/>
                <w:lang w:val="lv-LV" w:eastAsia="lv-LV"/>
              </w:rPr>
              <w:t xml:space="preserve"> </w:t>
            </w:r>
            <w:proofErr w:type="spellStart"/>
            <w:r>
              <w:rPr>
                <w:rFonts w:eastAsia="Times New Roman"/>
                <w:bCs/>
                <w:sz w:val="24"/>
                <w:szCs w:val="24"/>
                <w:lang w:val="lv-LV" w:eastAsia="lv-LV"/>
              </w:rPr>
              <w:t>of</w:t>
            </w:r>
            <w:proofErr w:type="spellEnd"/>
            <w:r>
              <w:rPr>
                <w:rFonts w:eastAsia="Times New Roman"/>
                <w:bCs/>
                <w:sz w:val="24"/>
                <w:szCs w:val="24"/>
                <w:lang w:val="lv-LV" w:eastAsia="lv-LV"/>
              </w:rPr>
              <w:t xml:space="preserve"> grants </w:t>
            </w:r>
            <w:proofErr w:type="spellStart"/>
            <w:r>
              <w:rPr>
                <w:rFonts w:eastAsia="Times New Roman"/>
                <w:bCs/>
                <w:sz w:val="24"/>
                <w:szCs w:val="24"/>
                <w:lang w:val="lv-LV" w:eastAsia="lv-LV"/>
              </w:rPr>
              <w:t>with</w:t>
            </w:r>
            <w:proofErr w:type="spellEnd"/>
            <w:r>
              <w:rPr>
                <w:rFonts w:eastAsia="Times New Roman"/>
                <w:bCs/>
                <w:sz w:val="24"/>
                <w:szCs w:val="24"/>
                <w:lang w:val="lv-LV" w:eastAsia="lv-LV"/>
              </w:rPr>
              <w:t xml:space="preserve"> </w:t>
            </w:r>
            <w:proofErr w:type="spellStart"/>
            <w:r>
              <w:rPr>
                <w:rFonts w:eastAsia="Times New Roman"/>
                <w:bCs/>
                <w:sz w:val="24"/>
                <w:szCs w:val="24"/>
                <w:lang w:val="lv-LV" w:eastAsia="lv-LV"/>
              </w:rPr>
              <w:t>financial</w:t>
            </w:r>
            <w:proofErr w:type="spellEnd"/>
            <w:r>
              <w:rPr>
                <w:rFonts w:eastAsia="Times New Roman"/>
                <w:bCs/>
                <w:sz w:val="24"/>
                <w:szCs w:val="24"/>
                <w:lang w:val="lv-LV" w:eastAsia="lv-LV"/>
              </w:rPr>
              <w:t xml:space="preserve"> </w:t>
            </w:r>
            <w:proofErr w:type="spellStart"/>
            <w:r>
              <w:rPr>
                <w:rFonts w:eastAsia="Times New Roman"/>
                <w:bCs/>
                <w:sz w:val="24"/>
                <w:szCs w:val="24"/>
                <w:lang w:val="lv-LV" w:eastAsia="lv-LV"/>
              </w:rPr>
              <w:t>engineering</w:t>
            </w:r>
            <w:proofErr w:type="spellEnd"/>
            <w:r>
              <w:rPr>
                <w:rFonts w:eastAsia="Times New Roman"/>
                <w:bCs/>
                <w:sz w:val="24"/>
                <w:szCs w:val="24"/>
                <w:lang w:val="lv-LV" w:eastAsia="lv-LV"/>
              </w:rPr>
              <w:t xml:space="preserve"> instruments”) par Eiropas Savienības fondu līdzfinansēto aktivitāšu ieviešanu, proti, ka nav atbalstāma atbalsta apvienošana, kas sniegta dažādu ES fondu atbalsta programmu ietvaros, vienām un tām pašām attiecināmajām izmaksām, un lai mazinātu neatbilstoši veiktu izdevumu riskus nākotnē, kamēr nav saņemta vienota Eiropas Komisijas nostāja šajā jautājumā, Ekonomikas ministrija ierosina veikt grozījumus MK noteikumos Nr.164, nosakot, ka atbalstu aizdevumu veidā par tām pašām attiecināmajām izmaksām nedrīkst apvienot ar atbalstu citu programmu ietvaros, ja šāds atbalsts tiek finansēts no Eiropas Savienības struktūrfondu līdzekļiem. Šīs izmaiņas attiecas uz aizdevumu pieteikumiem, kas tiks iesniegti Hipotēku bankā pēc šo grozījumu spēkā stāšanās dienas, un nemaina nosacījumus līdz šim izsniegtajiem aizdevumiem. </w:t>
            </w:r>
            <w:r w:rsidRPr="00B05C43">
              <w:rPr>
                <w:rFonts w:eastAsia="Times New Roman"/>
                <w:bCs/>
                <w:sz w:val="24"/>
                <w:szCs w:val="24"/>
                <w:lang w:val="lv-LV" w:eastAsia="lv-LV"/>
              </w:rPr>
              <w:t xml:space="preserve">Ņemot vērā, ka Eiropas Savienības valsts atbalsta regulējums neaizliedz atbalsta savienošanu, ja tas finansēts no valsts vai citiem līdzekļiem, Hipotēku banka turpmāk var sniegt aizdevumus projektiem, kuri saņēmusi citu atbalstu ES fondu atbalsta programmu ietvaros, finansējot tās no Hipotēku bankai pieejamā finansējuma, kas nav piešķirts 2007.–2013.gada Eiropas Savienības fondu plānošanas perioda ietvaros darbības programmas "Uzņēmējdarbība un inovācijas" </w:t>
            </w:r>
            <w:r w:rsidRPr="00B05C43">
              <w:rPr>
                <w:rFonts w:eastAsia="Times New Roman"/>
                <w:bCs/>
                <w:sz w:val="24"/>
                <w:szCs w:val="24"/>
                <w:lang w:val="lv-LV" w:eastAsia="lv-LV"/>
              </w:rPr>
              <w:lastRenderedPageBreak/>
              <w:t>2.2.1.4.1.aktivitātes īstenošanai</w:t>
            </w:r>
            <w:r w:rsidR="00B05C43">
              <w:rPr>
                <w:rFonts w:eastAsia="Times New Roman"/>
                <w:bCs/>
                <w:sz w:val="24"/>
                <w:szCs w:val="24"/>
                <w:lang w:val="lv-LV" w:eastAsia="lv-LV"/>
              </w:rPr>
              <w:t xml:space="preserve">, </w:t>
            </w:r>
            <w:r w:rsidR="00B05C43" w:rsidRPr="00B05C43">
              <w:rPr>
                <w:rFonts w:eastAsia="Times New Roman"/>
                <w:bCs/>
                <w:sz w:val="24"/>
                <w:szCs w:val="24"/>
                <w:lang w:val="lv-LV" w:eastAsia="lv-LV"/>
              </w:rPr>
              <w:t>tai skaitā no valsts galvotā Eiropas Investīciju bankas aizdevuma līdzekļiem, kas piešķirts Hipotēku bankai 2009. gadā.</w:t>
            </w:r>
          </w:p>
          <w:p w:rsidR="00366CFC" w:rsidRDefault="00366CFC" w:rsidP="002120AC">
            <w:pPr>
              <w:ind w:firstLine="567"/>
              <w:jc w:val="both"/>
              <w:rPr>
                <w:rFonts w:eastAsia="Times New Roman"/>
                <w:bCs/>
                <w:sz w:val="24"/>
                <w:szCs w:val="24"/>
                <w:lang w:val="lv-LV" w:eastAsia="lv-LV"/>
              </w:rPr>
            </w:pPr>
            <w:r>
              <w:rPr>
                <w:rFonts w:eastAsia="Times New Roman"/>
                <w:bCs/>
                <w:sz w:val="24"/>
                <w:szCs w:val="24"/>
                <w:lang w:val="lv-LV" w:eastAsia="lv-LV"/>
              </w:rPr>
              <w:t xml:space="preserve">Ekonomikas ministrija </w:t>
            </w:r>
            <w:r w:rsidR="004147A8">
              <w:rPr>
                <w:rFonts w:eastAsia="Times New Roman"/>
                <w:bCs/>
                <w:sz w:val="24"/>
                <w:szCs w:val="24"/>
                <w:lang w:val="lv-LV" w:eastAsia="lv-LV"/>
              </w:rPr>
              <w:t xml:space="preserve">šobrīd </w:t>
            </w:r>
            <w:r>
              <w:rPr>
                <w:rFonts w:eastAsia="Times New Roman"/>
                <w:bCs/>
                <w:sz w:val="24"/>
                <w:szCs w:val="24"/>
                <w:lang w:val="lv-LV" w:eastAsia="lv-LV"/>
              </w:rPr>
              <w:t xml:space="preserve">izstrādā tirgus nepilnību novērtējumu </w:t>
            </w:r>
            <w:r w:rsidRPr="00366CFC">
              <w:rPr>
                <w:rFonts w:eastAsia="Times New Roman"/>
                <w:bCs/>
                <w:sz w:val="24"/>
                <w:szCs w:val="24"/>
                <w:lang w:val="lv-LV" w:eastAsia="lv-LV"/>
              </w:rPr>
              <w:t>finansējuma pieejamības jomā</w:t>
            </w:r>
            <w:r>
              <w:rPr>
                <w:rFonts w:eastAsia="Times New Roman"/>
                <w:bCs/>
                <w:sz w:val="24"/>
                <w:szCs w:val="24"/>
                <w:lang w:val="lv-LV" w:eastAsia="lv-LV"/>
              </w:rPr>
              <w:t xml:space="preserve">, lai būtu iespējams plānot to, kāda veida atbalsta instrumentus un kādā apjomā komersantiem būs nepieciešams sniegt jaunveidojamās Attīstības finanšu institūcijas ietvaros, galvenokārt 2014.-2020.gada ES fondu plānošanas perioda ietvaros. Tādēļ, lai arī tirgus nepilnību novērtējuma ziņojums vēl nav pabeigts, Ekonomikas ministrija pēc konsultācijām ar tirgus dalībniekiem (komercbankām) ir guvusi apstiprinājumu tam, ka būtiskas nepilnības ir tieši finansējuma pieejamībā jaundibinātiem komersantiem un strauji augošiem komersantiem, kam paaugstināta riska novērtējuma dēļ ir ierobežotas iespējas saņemt finansējumu komercbankās. </w:t>
            </w:r>
            <w:r w:rsidR="009D142C">
              <w:rPr>
                <w:rFonts w:eastAsia="Times New Roman"/>
                <w:bCs/>
                <w:sz w:val="24"/>
                <w:szCs w:val="24"/>
                <w:lang w:val="lv-LV" w:eastAsia="lv-LV"/>
              </w:rPr>
              <w:t xml:space="preserve">Tādēļ Ekonomikas ministrija uzskata, ka lietderīgi ir veikt grozījumus Konkurētspējas programmā pēc iespējas ātrāk, lai risinātu šīs tirgus nepilnības līdz brīdim, kamēr nav izstrādāti citi atbalsta instrumenti nākamā ES fondu plānošanas perioda ietvaros. </w:t>
            </w:r>
          </w:p>
          <w:p w:rsidR="00F00E71" w:rsidRDefault="00475B7C" w:rsidP="002120AC">
            <w:pPr>
              <w:ind w:firstLine="567"/>
              <w:jc w:val="both"/>
              <w:rPr>
                <w:rFonts w:eastAsia="Times New Roman"/>
                <w:bCs/>
                <w:sz w:val="24"/>
                <w:szCs w:val="24"/>
                <w:lang w:val="lv-LV" w:eastAsia="lv-LV"/>
              </w:rPr>
            </w:pPr>
            <w:r>
              <w:rPr>
                <w:rFonts w:eastAsia="Times New Roman"/>
                <w:bCs/>
                <w:sz w:val="24"/>
                <w:szCs w:val="24"/>
                <w:lang w:val="lv-LV" w:eastAsia="lv-LV"/>
              </w:rPr>
              <w:t xml:space="preserve">Lai nodrošinātu </w:t>
            </w:r>
            <w:r w:rsidR="00CF0F69">
              <w:rPr>
                <w:rFonts w:eastAsia="Times New Roman"/>
                <w:bCs/>
                <w:sz w:val="24"/>
                <w:szCs w:val="24"/>
                <w:lang w:val="lv-LV" w:eastAsia="lv-LV"/>
              </w:rPr>
              <w:t xml:space="preserve">efektīvu finansējuma izlietojumu, </w:t>
            </w:r>
            <w:r w:rsidR="00F00E71">
              <w:rPr>
                <w:rFonts w:eastAsia="Times New Roman"/>
                <w:bCs/>
                <w:sz w:val="24"/>
                <w:szCs w:val="24"/>
                <w:lang w:val="lv-LV" w:eastAsia="lv-LV"/>
              </w:rPr>
              <w:t xml:space="preserve">Ekonomikas ministrija ierosina veikt izmaiņas </w:t>
            </w:r>
            <w:r w:rsidR="00886123">
              <w:rPr>
                <w:rFonts w:eastAsia="Times New Roman"/>
                <w:bCs/>
                <w:sz w:val="24"/>
                <w:szCs w:val="24"/>
                <w:lang w:val="lv-LV" w:eastAsia="lv-LV"/>
              </w:rPr>
              <w:t xml:space="preserve">Konkurētspējas </w:t>
            </w:r>
            <w:r w:rsidR="00F00E71">
              <w:rPr>
                <w:rFonts w:eastAsia="Times New Roman"/>
                <w:bCs/>
                <w:sz w:val="24"/>
                <w:szCs w:val="24"/>
                <w:lang w:val="lv-LV" w:eastAsia="lv-LV"/>
              </w:rPr>
              <w:t>programmas ieviešanas nosacījumos, nosakot, ka atbalstu var saņemt mikro, mazie un vidējie komersanti, kā arī samazināt vienam komersantam pieejamo aizdevumu apjomu līdz 1 miljonam latu</w:t>
            </w:r>
            <w:r w:rsidR="002538B5">
              <w:rPr>
                <w:rFonts w:eastAsia="Times New Roman"/>
                <w:bCs/>
                <w:sz w:val="24"/>
                <w:szCs w:val="24"/>
                <w:lang w:val="lv-LV" w:eastAsia="lv-LV"/>
              </w:rPr>
              <w:t xml:space="preserve"> investīciju aizdevumiem un 0.5 milj. latu apgrozāmo līdzekļu aizdevumiem. </w:t>
            </w:r>
          </w:p>
          <w:p w:rsidR="009D142C" w:rsidRDefault="009D142C" w:rsidP="002120AC">
            <w:pPr>
              <w:ind w:firstLine="567"/>
              <w:jc w:val="both"/>
              <w:rPr>
                <w:rFonts w:eastAsia="Times New Roman"/>
                <w:bCs/>
                <w:sz w:val="24"/>
                <w:szCs w:val="24"/>
                <w:lang w:val="lv-LV" w:eastAsia="lv-LV"/>
              </w:rPr>
            </w:pPr>
            <w:r>
              <w:rPr>
                <w:rFonts w:eastAsia="Times New Roman"/>
                <w:bCs/>
                <w:sz w:val="24"/>
                <w:szCs w:val="24"/>
                <w:lang w:val="lv-LV" w:eastAsia="lv-LV"/>
              </w:rPr>
              <w:t xml:space="preserve">Pēc Latvijas Komercbanku asociācijas </w:t>
            </w:r>
            <w:r w:rsidR="00397428">
              <w:rPr>
                <w:rFonts w:eastAsia="Times New Roman"/>
                <w:bCs/>
                <w:sz w:val="24"/>
                <w:szCs w:val="24"/>
                <w:lang w:val="lv-LV" w:eastAsia="lv-LV"/>
              </w:rPr>
              <w:t xml:space="preserve">biedru </w:t>
            </w:r>
            <w:r>
              <w:rPr>
                <w:rFonts w:eastAsia="Times New Roman"/>
                <w:bCs/>
                <w:sz w:val="24"/>
                <w:szCs w:val="24"/>
                <w:lang w:val="lv-LV" w:eastAsia="lv-LV"/>
              </w:rPr>
              <w:t>sniegtās informācijas,</w:t>
            </w:r>
            <w:r w:rsidR="00F00E71">
              <w:rPr>
                <w:rFonts w:eastAsia="Times New Roman"/>
                <w:bCs/>
                <w:sz w:val="24"/>
                <w:szCs w:val="24"/>
                <w:lang w:val="lv-LV" w:eastAsia="lv-LV"/>
              </w:rPr>
              <w:t xml:space="preserve"> pieņemt</w:t>
            </w:r>
            <w:r>
              <w:rPr>
                <w:rFonts w:eastAsia="Times New Roman"/>
                <w:bCs/>
                <w:sz w:val="24"/>
                <w:szCs w:val="24"/>
                <w:lang w:val="lv-LV" w:eastAsia="lv-LV"/>
              </w:rPr>
              <w:t>ā</w:t>
            </w:r>
            <w:r w:rsidR="00F00E71">
              <w:rPr>
                <w:rFonts w:eastAsia="Times New Roman"/>
                <w:bCs/>
                <w:sz w:val="24"/>
                <w:szCs w:val="24"/>
                <w:lang w:val="lv-LV" w:eastAsia="lv-LV"/>
              </w:rPr>
              <w:t xml:space="preserve"> praks</w:t>
            </w:r>
            <w:r>
              <w:rPr>
                <w:rFonts w:eastAsia="Times New Roman"/>
                <w:bCs/>
                <w:sz w:val="24"/>
                <w:szCs w:val="24"/>
                <w:lang w:val="lv-LV" w:eastAsia="lv-LV"/>
              </w:rPr>
              <w:t>e</w:t>
            </w:r>
            <w:r w:rsidR="00F00E71">
              <w:rPr>
                <w:rFonts w:eastAsia="Times New Roman"/>
                <w:bCs/>
                <w:sz w:val="24"/>
                <w:szCs w:val="24"/>
                <w:lang w:val="lv-LV" w:eastAsia="lv-LV"/>
              </w:rPr>
              <w:t xml:space="preserve"> par kredītriska novērtēšanu</w:t>
            </w:r>
            <w:r>
              <w:rPr>
                <w:rFonts w:eastAsia="Times New Roman"/>
                <w:bCs/>
                <w:sz w:val="24"/>
                <w:szCs w:val="24"/>
                <w:lang w:val="lv-LV" w:eastAsia="lv-LV"/>
              </w:rPr>
              <w:t xml:space="preserve"> ir tāda, ka</w:t>
            </w:r>
            <w:r w:rsidR="00EC5645">
              <w:rPr>
                <w:rFonts w:eastAsia="Times New Roman"/>
                <w:bCs/>
                <w:sz w:val="24"/>
                <w:szCs w:val="24"/>
                <w:lang w:val="lv-LV" w:eastAsia="lv-LV"/>
              </w:rPr>
              <w:t xml:space="preserve"> aizdevumiem līdz 0.35 milj. latu komersanti un aizdevumu pieteikumi tiek vērtēti pēc vienotas metodikas, nevērtējot katru gadījumu individuāli, savukārt aizdevumi, kas pārsniedz 0.35 milj. latu, tiek vērtēti individuāli</w:t>
            </w:r>
            <w:r>
              <w:rPr>
                <w:rFonts w:eastAsia="Times New Roman"/>
                <w:bCs/>
                <w:sz w:val="24"/>
                <w:szCs w:val="24"/>
                <w:lang w:val="lv-LV" w:eastAsia="lv-LV"/>
              </w:rPr>
              <w:t>. Ir atsevišķi gadījumi, kuros komersantiem, kuri pretendē uz aizdevumiem, kas pārsniedz 0.35 milj. latu</w:t>
            </w:r>
            <w:r w:rsidR="00F04A68">
              <w:rPr>
                <w:rFonts w:eastAsia="Times New Roman"/>
                <w:bCs/>
                <w:sz w:val="24"/>
                <w:szCs w:val="24"/>
                <w:lang w:val="lv-LV" w:eastAsia="lv-LV"/>
              </w:rPr>
              <w:t xml:space="preserve">, netiek piešķirts finansējums komercbankās – bieži tie ir jaundibināti vai strauji augoši komersanti ar paaugstinātu riska novērtējumu, un šādos gadījumos valsts atbalsts </w:t>
            </w:r>
            <w:r w:rsidR="00397428">
              <w:rPr>
                <w:rFonts w:eastAsia="Times New Roman"/>
                <w:bCs/>
                <w:sz w:val="24"/>
                <w:szCs w:val="24"/>
                <w:lang w:val="lv-LV" w:eastAsia="lv-LV"/>
              </w:rPr>
              <w:t>ir</w:t>
            </w:r>
            <w:r w:rsidR="00F04A68">
              <w:rPr>
                <w:rFonts w:eastAsia="Times New Roman"/>
                <w:bCs/>
                <w:sz w:val="24"/>
                <w:szCs w:val="24"/>
                <w:lang w:val="lv-LV" w:eastAsia="lv-LV"/>
              </w:rPr>
              <w:t xml:space="preserve"> nepieciešams, lai finansētu dzīvotspējīgus projektus ar paaugstinātu risku. </w:t>
            </w:r>
          </w:p>
          <w:p w:rsidR="00F04A68" w:rsidRDefault="00F04A68" w:rsidP="002120AC">
            <w:pPr>
              <w:ind w:firstLine="567"/>
              <w:jc w:val="both"/>
              <w:rPr>
                <w:rFonts w:eastAsia="Times New Roman"/>
                <w:bCs/>
                <w:sz w:val="24"/>
                <w:szCs w:val="24"/>
                <w:lang w:val="lv-LV" w:eastAsia="lv-LV"/>
              </w:rPr>
            </w:pPr>
            <w:r>
              <w:rPr>
                <w:rFonts w:eastAsia="Times New Roman"/>
                <w:bCs/>
                <w:sz w:val="24"/>
                <w:szCs w:val="24"/>
                <w:lang w:val="lv-LV" w:eastAsia="lv-LV"/>
              </w:rPr>
              <w:t>Ņemot vērā augstāk minēto</w:t>
            </w:r>
            <w:r w:rsidR="00EC5645">
              <w:rPr>
                <w:rFonts w:eastAsia="Times New Roman"/>
                <w:bCs/>
                <w:sz w:val="24"/>
                <w:szCs w:val="24"/>
                <w:lang w:val="lv-LV" w:eastAsia="lv-LV"/>
              </w:rPr>
              <w:t>,</w:t>
            </w:r>
            <w:r w:rsidR="00396D76">
              <w:rPr>
                <w:rFonts w:eastAsia="Times New Roman"/>
                <w:bCs/>
                <w:sz w:val="24"/>
                <w:szCs w:val="24"/>
                <w:lang w:val="lv-LV" w:eastAsia="lv-LV"/>
              </w:rPr>
              <w:t xml:space="preserve"> </w:t>
            </w:r>
            <w:r w:rsidR="0002315B">
              <w:rPr>
                <w:rFonts w:eastAsia="Times New Roman"/>
                <w:bCs/>
                <w:sz w:val="24"/>
                <w:szCs w:val="24"/>
                <w:lang w:val="lv-LV" w:eastAsia="lv-LV"/>
              </w:rPr>
              <w:t>Ekonomikas ministrija ierosina noteikt papildus nosacījumus tiem komersantiem, kas pretendē uz aizdevuma saņemšanu</w:t>
            </w:r>
            <w:r>
              <w:rPr>
                <w:rFonts w:eastAsia="Times New Roman"/>
                <w:bCs/>
                <w:sz w:val="24"/>
                <w:szCs w:val="24"/>
                <w:lang w:val="lv-LV" w:eastAsia="lv-LV"/>
              </w:rPr>
              <w:t xml:space="preserve"> Konkurētspējas programmā</w:t>
            </w:r>
            <w:r w:rsidR="0002315B">
              <w:rPr>
                <w:rFonts w:eastAsia="Times New Roman"/>
                <w:bCs/>
                <w:sz w:val="24"/>
                <w:szCs w:val="24"/>
                <w:lang w:val="lv-LV" w:eastAsia="lv-LV"/>
              </w:rPr>
              <w:t>, kas pārsniedz 0.35 milj.</w:t>
            </w:r>
            <w:r w:rsidR="00620AD6">
              <w:rPr>
                <w:rFonts w:eastAsia="Times New Roman"/>
                <w:bCs/>
                <w:sz w:val="24"/>
                <w:szCs w:val="24"/>
                <w:lang w:val="lv-LV" w:eastAsia="lv-LV"/>
              </w:rPr>
              <w:t xml:space="preserve"> </w:t>
            </w:r>
            <w:r w:rsidR="0002315B">
              <w:rPr>
                <w:rFonts w:eastAsia="Times New Roman"/>
                <w:bCs/>
                <w:sz w:val="24"/>
                <w:szCs w:val="24"/>
                <w:lang w:val="lv-LV" w:eastAsia="lv-LV"/>
              </w:rPr>
              <w:t>latu</w:t>
            </w:r>
            <w:r w:rsidR="00136766">
              <w:rPr>
                <w:rFonts w:eastAsia="Times New Roman"/>
                <w:bCs/>
                <w:sz w:val="24"/>
                <w:szCs w:val="24"/>
                <w:lang w:val="lv-LV" w:eastAsia="lv-LV"/>
              </w:rPr>
              <w:t xml:space="preserve"> – šajos gadījumos nosakot, ka aizdevumus var piešķirt jaundibinātiem</w:t>
            </w:r>
            <w:r w:rsidR="00C45D44">
              <w:rPr>
                <w:rFonts w:eastAsia="Times New Roman"/>
                <w:bCs/>
                <w:sz w:val="24"/>
                <w:szCs w:val="24"/>
                <w:lang w:val="lv-LV" w:eastAsia="lv-LV"/>
              </w:rPr>
              <w:t>, vai darbību jaunā darbības jomā uzsākošiem,</w:t>
            </w:r>
            <w:r w:rsidR="00136766">
              <w:rPr>
                <w:rFonts w:eastAsia="Times New Roman"/>
                <w:bCs/>
                <w:sz w:val="24"/>
                <w:szCs w:val="24"/>
                <w:lang w:val="lv-LV" w:eastAsia="lv-LV"/>
              </w:rPr>
              <w:t xml:space="preserve"> vai strauji augošiem komersantiem</w:t>
            </w:r>
            <w:r w:rsidR="00CC1AF4">
              <w:rPr>
                <w:rFonts w:eastAsia="Times New Roman"/>
                <w:bCs/>
                <w:sz w:val="24"/>
                <w:szCs w:val="24"/>
                <w:lang w:val="lv-LV" w:eastAsia="lv-LV"/>
              </w:rPr>
              <w:t xml:space="preserve">, jo šiem komersantiem </w:t>
            </w:r>
            <w:r w:rsidR="003C5956">
              <w:rPr>
                <w:rFonts w:eastAsia="Times New Roman"/>
                <w:bCs/>
                <w:sz w:val="24"/>
                <w:szCs w:val="24"/>
                <w:lang w:val="lv-LV" w:eastAsia="lv-LV"/>
              </w:rPr>
              <w:t>salīdzinoši ir visierobežotākās iespējas saņemt finansējumu komercdarbības attīstībai.</w:t>
            </w:r>
            <w:r w:rsidR="009D142C">
              <w:rPr>
                <w:rFonts w:eastAsia="Times New Roman"/>
                <w:bCs/>
                <w:sz w:val="24"/>
                <w:szCs w:val="24"/>
                <w:lang w:val="lv-LV" w:eastAsia="lv-LV"/>
              </w:rPr>
              <w:t xml:space="preserve"> </w:t>
            </w:r>
            <w:r w:rsidR="008C0F68">
              <w:rPr>
                <w:rFonts w:eastAsia="Times New Roman"/>
                <w:bCs/>
                <w:sz w:val="24"/>
                <w:szCs w:val="24"/>
                <w:lang w:val="lv-LV" w:eastAsia="lv-LV"/>
              </w:rPr>
              <w:t>Bieži šādiem komersantiem jau ir esošas saistības</w:t>
            </w:r>
            <w:r w:rsidR="00023BE0">
              <w:rPr>
                <w:rFonts w:eastAsia="Times New Roman"/>
                <w:bCs/>
                <w:sz w:val="24"/>
                <w:szCs w:val="24"/>
                <w:lang w:val="lv-LV" w:eastAsia="lv-LV"/>
              </w:rPr>
              <w:t xml:space="preserve"> (saņemts aizdevums)</w:t>
            </w:r>
            <w:r w:rsidR="008C0F68">
              <w:rPr>
                <w:rFonts w:eastAsia="Times New Roman"/>
                <w:bCs/>
                <w:sz w:val="24"/>
                <w:szCs w:val="24"/>
                <w:lang w:val="lv-LV" w:eastAsia="lv-LV"/>
              </w:rPr>
              <w:t xml:space="preserve"> kādā komercbankā, taču tā izvērtējot </w:t>
            </w:r>
            <w:r w:rsidR="008C0F68">
              <w:rPr>
                <w:rFonts w:eastAsia="Times New Roman"/>
                <w:bCs/>
                <w:sz w:val="24"/>
                <w:szCs w:val="24"/>
                <w:lang w:val="lv-LV" w:eastAsia="lv-LV"/>
              </w:rPr>
              <w:lastRenderedPageBreak/>
              <w:t>riskus nesniedz komersantam papildus finansējumu, kas nepieciešams, lai attīstītos. Šādos gadījumos k</w:t>
            </w:r>
            <w:r w:rsidR="00397428">
              <w:rPr>
                <w:rFonts w:eastAsia="Times New Roman"/>
                <w:bCs/>
                <w:sz w:val="24"/>
                <w:szCs w:val="24"/>
                <w:lang w:val="lv-LV" w:eastAsia="lv-LV"/>
              </w:rPr>
              <w:t>omersantam</w:t>
            </w:r>
            <w:r w:rsidR="008C0F68">
              <w:rPr>
                <w:rFonts w:eastAsia="Times New Roman"/>
                <w:bCs/>
                <w:sz w:val="24"/>
                <w:szCs w:val="24"/>
                <w:lang w:val="lv-LV" w:eastAsia="lv-LV"/>
              </w:rPr>
              <w:t>, lai saņemtu aizdevumu MK</w:t>
            </w:r>
            <w:r w:rsidR="00397428">
              <w:rPr>
                <w:rFonts w:eastAsia="Times New Roman"/>
                <w:bCs/>
                <w:sz w:val="24"/>
                <w:szCs w:val="24"/>
                <w:lang w:val="lv-LV" w:eastAsia="lv-LV"/>
              </w:rPr>
              <w:t xml:space="preserve"> </w:t>
            </w:r>
            <w:r w:rsidR="008C0F68">
              <w:rPr>
                <w:rFonts w:eastAsia="Times New Roman"/>
                <w:bCs/>
                <w:sz w:val="24"/>
                <w:szCs w:val="24"/>
                <w:lang w:val="lv-LV" w:eastAsia="lv-LV"/>
              </w:rPr>
              <w:t xml:space="preserve">noteikumu Nr.164 ietvaros, </w:t>
            </w:r>
            <w:r w:rsidR="00397428">
              <w:rPr>
                <w:rFonts w:eastAsia="Times New Roman"/>
                <w:bCs/>
                <w:sz w:val="24"/>
                <w:szCs w:val="24"/>
                <w:lang w:val="lv-LV" w:eastAsia="lv-LV"/>
              </w:rPr>
              <w:t>Hipotēku bankā būs jāiesniedz komercbankas piekrišanas vēstule</w:t>
            </w:r>
            <w:r w:rsidR="00397428" w:rsidRPr="00F04A68">
              <w:rPr>
                <w:rFonts w:eastAsia="Times New Roman"/>
                <w:bCs/>
                <w:sz w:val="24"/>
                <w:szCs w:val="24"/>
                <w:lang w:val="lv-LV" w:eastAsia="lv-LV"/>
              </w:rPr>
              <w:t xml:space="preserve"> aizņemties </w:t>
            </w:r>
            <w:r w:rsidR="00397428">
              <w:rPr>
                <w:rFonts w:eastAsia="Times New Roman"/>
                <w:bCs/>
                <w:sz w:val="24"/>
                <w:szCs w:val="24"/>
                <w:lang w:val="lv-LV" w:eastAsia="lv-LV"/>
              </w:rPr>
              <w:t>finansējumu</w:t>
            </w:r>
            <w:r w:rsidR="00397428" w:rsidRPr="00F04A68">
              <w:rPr>
                <w:rFonts w:eastAsia="Times New Roman"/>
                <w:bCs/>
                <w:sz w:val="24"/>
                <w:szCs w:val="24"/>
                <w:lang w:val="lv-LV" w:eastAsia="lv-LV"/>
              </w:rPr>
              <w:t xml:space="preserve"> </w:t>
            </w:r>
            <w:r w:rsidR="00397428">
              <w:rPr>
                <w:rFonts w:eastAsia="Times New Roman"/>
                <w:bCs/>
                <w:sz w:val="24"/>
                <w:szCs w:val="24"/>
                <w:lang w:val="lv-LV" w:eastAsia="lv-LV"/>
              </w:rPr>
              <w:t>Hipotēku bankā.</w:t>
            </w:r>
          </w:p>
          <w:p w:rsidR="00487B5D" w:rsidRDefault="00AC63DA" w:rsidP="007A2BA3">
            <w:pPr>
              <w:pStyle w:val="naisc"/>
              <w:spacing w:before="0" w:after="0"/>
              <w:jc w:val="both"/>
              <w:rPr>
                <w:bCs/>
              </w:rPr>
            </w:pPr>
            <w:r>
              <w:rPr>
                <w:bCs/>
              </w:rPr>
              <w:tab/>
            </w:r>
            <w:r w:rsidR="009D142C">
              <w:rPr>
                <w:bCs/>
              </w:rPr>
              <w:t xml:space="preserve">Par strauji augošu komersantu šo noteikumu izpratnē Ekonomikas ministrija uzskata komersantu, kurš </w:t>
            </w:r>
            <w:r w:rsidR="009D142C" w:rsidRPr="009D142C">
              <w:rPr>
                <w:bCs/>
              </w:rPr>
              <w:t>atbilstoši iesniegtajam biznesa plānam gada laikā palielinās apgrozījumu vai aktīvus vismaz par 25%, salīdzinot ar komersanta darbības rādītājiem aizdevuma saņemšanas brīdī</w:t>
            </w:r>
            <w:r w:rsidR="009D142C">
              <w:rPr>
                <w:bCs/>
              </w:rPr>
              <w:t>.</w:t>
            </w:r>
            <w:r w:rsidR="00080B23">
              <w:rPr>
                <w:bCs/>
              </w:rPr>
              <w:t xml:space="preserve"> </w:t>
            </w:r>
            <w:r w:rsidR="00487B5D">
              <w:t>Plānojot šāda apjoma</w:t>
            </w:r>
            <w:r w:rsidR="00CC16E3">
              <w:t xml:space="preserve"> apgrozījuma</w:t>
            </w:r>
            <w:r w:rsidR="00487B5D">
              <w:t xml:space="preserve"> vai aktīvu</w:t>
            </w:r>
            <w:r w:rsidR="00CC16E3">
              <w:t xml:space="preserve"> pieaugumu</w:t>
            </w:r>
            <w:r w:rsidR="00487B5D">
              <w:t xml:space="preserve"> bieži</w:t>
            </w:r>
            <w:r w:rsidR="00CC16E3">
              <w:t xml:space="preserve"> </w:t>
            </w:r>
            <w:r w:rsidR="00487B5D">
              <w:t>komersants</w:t>
            </w:r>
            <w:r w:rsidR="00CC16E3">
              <w:t xml:space="preserve"> nevar nodrošināt savu līdzfinansējumu</w:t>
            </w:r>
            <w:r w:rsidR="00487B5D">
              <w:t>, lai komercbankā saņemtu kredītu. Papildus, ekonomiskās un finanšu krīzes rezultātā ir samazinājusies nodrošinājuma vērtība, kas vēl vairāk ierobežo strauji augošu uzņēmumu attīstības iespējas. Strauji augošu uzņēmumu attīstība ir nozīmīga arī Latvijas tautsaimniecības attīstībai, jo šādi uzņēmumi rada jaunas darba vietas.</w:t>
            </w:r>
            <w:r w:rsidR="00456FC8">
              <w:t xml:space="preserve"> Statistikas dati no Lursoft parāda, ka 2009 -2011.gada periodā aptuveni 13% no apstrādes rūpniecības sektora pārstāv tieši strauji augošie uzņēmumi un šie uzņēmumi rada aptuveni 30% no visa nozares apgrozījuma. Līdz ar to, lai veiksmīgi novirzītu ierobežotos valsts atbalsta resursu tieši šādiem strauji augošiem komersantiem, tiek noteikts</w:t>
            </w:r>
            <w:r w:rsidR="00CC16E3">
              <w:t xml:space="preserve"> 25%</w:t>
            </w:r>
            <w:r w:rsidR="00456FC8">
              <w:t xml:space="preserve"> </w:t>
            </w:r>
            <w:r w:rsidR="00096FD9">
              <w:t xml:space="preserve">apgrozījuma vai aktīvu pieauguma </w:t>
            </w:r>
            <w:r w:rsidR="00456FC8">
              <w:t xml:space="preserve">kritērijs. </w:t>
            </w:r>
          </w:p>
          <w:p w:rsidR="005B16A2" w:rsidRDefault="00487B5D" w:rsidP="007A2BA3">
            <w:pPr>
              <w:pStyle w:val="naisc"/>
              <w:spacing w:before="0" w:after="0"/>
              <w:jc w:val="both"/>
            </w:pPr>
            <w:r>
              <w:rPr>
                <w:bCs/>
              </w:rPr>
              <w:tab/>
            </w:r>
            <w:r w:rsidR="00F04A68" w:rsidRPr="00F04A68">
              <w:rPr>
                <w:bCs/>
              </w:rPr>
              <w:t>Ņemot vērā to, ka jau šobrīd programmas saņēmēju loks ir ļoti ierobežots (</w:t>
            </w:r>
            <w:r w:rsidR="00F04A68">
              <w:rPr>
                <w:bCs/>
              </w:rPr>
              <w:t>nozaru ierobežojumi, finansējot uz ārējiem tirgiem orientētas nozares; komersanti</w:t>
            </w:r>
            <w:r w:rsidR="00F04A68" w:rsidRPr="00F04A68">
              <w:rPr>
                <w:bCs/>
              </w:rPr>
              <w:t>, kas nav grūtībās</w:t>
            </w:r>
            <w:r w:rsidR="00F04A68">
              <w:rPr>
                <w:bCs/>
              </w:rPr>
              <w:t>; kā arī</w:t>
            </w:r>
            <w:r w:rsidR="00F04A68" w:rsidRPr="00F04A68">
              <w:rPr>
                <w:bCs/>
              </w:rPr>
              <w:t xml:space="preserve"> </w:t>
            </w:r>
            <w:r w:rsidR="00F04A68">
              <w:rPr>
                <w:bCs/>
              </w:rPr>
              <w:t>komersanti</w:t>
            </w:r>
            <w:r w:rsidR="00F04A68" w:rsidRPr="00F04A68">
              <w:rPr>
                <w:bCs/>
              </w:rPr>
              <w:t xml:space="preserve">, kas realizē jaunus projektus vai paplašinās), </w:t>
            </w:r>
            <w:r w:rsidR="00B15301" w:rsidRPr="006E2205">
              <w:rPr>
                <w:bCs/>
              </w:rPr>
              <w:t xml:space="preserve">nebūtu lietderīgi </w:t>
            </w:r>
            <w:r w:rsidR="00F04A68" w:rsidRPr="006E2205">
              <w:rPr>
                <w:bCs/>
              </w:rPr>
              <w:t xml:space="preserve">vēl papildus sašaurināt potenciālo finansējuma saņēmēju loku </w:t>
            </w:r>
            <w:r w:rsidR="00B15301" w:rsidRPr="006E2205">
              <w:rPr>
                <w:bCs/>
              </w:rPr>
              <w:t>un izvirzīt papildus prasības</w:t>
            </w:r>
            <w:r w:rsidR="00F04A68" w:rsidRPr="006E2205">
              <w:rPr>
                <w:bCs/>
              </w:rPr>
              <w:t>.</w:t>
            </w:r>
          </w:p>
          <w:p w:rsidR="0063775D" w:rsidRPr="003D6B3A" w:rsidRDefault="00524BD0" w:rsidP="007A2BA3">
            <w:pPr>
              <w:ind w:firstLine="567"/>
              <w:jc w:val="both"/>
              <w:rPr>
                <w:sz w:val="24"/>
                <w:szCs w:val="24"/>
                <w:lang w:val="lv-LV"/>
              </w:rPr>
            </w:pPr>
            <w:r w:rsidRPr="003D6B3A">
              <w:rPr>
                <w:sz w:val="24"/>
                <w:szCs w:val="24"/>
                <w:lang w:val="lv-LV"/>
              </w:rPr>
              <w:t>Eiropas Komisijas 2008.gada 6.augusta Regulas (EK) Nr. 800/2008, kas atzīst noteiktas atbalsta kategorijas par saderīgām ar kopējo tirgu, piemērojot Līguma 87. un 88.pantu (vispārējā grupu atbrīvojuma regula), 1.pielikumā ir noteiktas definīcijas mikro, mazajiem un vidējiem komersantiem, proti:</w:t>
            </w:r>
          </w:p>
          <w:p w:rsidR="00EB1E3A" w:rsidRPr="003D6B3A" w:rsidRDefault="00524BD0" w:rsidP="003D6B3A">
            <w:pPr>
              <w:pStyle w:val="ListParagraph"/>
              <w:numPr>
                <w:ilvl w:val="0"/>
                <w:numId w:val="18"/>
              </w:numPr>
              <w:jc w:val="both"/>
              <w:rPr>
                <w:rFonts w:eastAsia="Times New Roman"/>
                <w:bCs/>
                <w:sz w:val="24"/>
                <w:szCs w:val="24"/>
                <w:lang w:val="lv-LV" w:eastAsia="lv-LV"/>
              </w:rPr>
            </w:pPr>
            <w:r w:rsidRPr="003D6B3A">
              <w:rPr>
                <w:sz w:val="24"/>
                <w:szCs w:val="24"/>
                <w:lang w:val="lv-LV"/>
              </w:rPr>
              <w:t xml:space="preserve">mikro komersants ir komersants, kam ir </w:t>
            </w:r>
            <w:r w:rsidRPr="003D6B3A">
              <w:rPr>
                <w:rFonts w:eastAsia="Times New Roman"/>
                <w:bCs/>
                <w:sz w:val="24"/>
                <w:szCs w:val="24"/>
                <w:lang w:val="lv-LV" w:eastAsia="lv-LV"/>
              </w:rPr>
              <w:t xml:space="preserve">mazāk nekā 10 darbinieku un tā gada apgrozījums un/vai kopējā gada bilance nepārsniedz 2 miljonus eiro, </w:t>
            </w:r>
          </w:p>
          <w:p w:rsidR="00EB1E3A" w:rsidRDefault="00524BD0" w:rsidP="003D6B3A">
            <w:pPr>
              <w:pStyle w:val="ListParagraph"/>
              <w:numPr>
                <w:ilvl w:val="0"/>
                <w:numId w:val="18"/>
              </w:numPr>
              <w:jc w:val="both"/>
              <w:rPr>
                <w:rFonts w:eastAsia="Times New Roman"/>
                <w:bCs/>
                <w:sz w:val="24"/>
                <w:szCs w:val="24"/>
                <w:lang w:val="lv-LV" w:eastAsia="lv-LV"/>
              </w:rPr>
            </w:pPr>
            <w:r w:rsidRPr="003D6B3A">
              <w:rPr>
                <w:sz w:val="24"/>
                <w:szCs w:val="24"/>
                <w:lang w:val="lv-LV"/>
              </w:rPr>
              <w:t xml:space="preserve">mazais komersants ir komersants, kam ir </w:t>
            </w:r>
            <w:r w:rsidRPr="003D6B3A">
              <w:rPr>
                <w:rFonts w:eastAsia="Times New Roman"/>
                <w:bCs/>
                <w:sz w:val="24"/>
                <w:szCs w:val="24"/>
                <w:lang w:val="lv-LV" w:eastAsia="lv-LV"/>
              </w:rPr>
              <w:t xml:space="preserve">mazāk nekā 50 darbinieku un tā gada apgrozījums un/vai kopējā gada bilance </w:t>
            </w:r>
            <w:r w:rsidR="00B20A66" w:rsidRPr="006E2205">
              <w:rPr>
                <w:rFonts w:eastAsia="Times New Roman"/>
                <w:bCs/>
                <w:sz w:val="24"/>
                <w:szCs w:val="24"/>
                <w:lang w:val="lv-LV" w:eastAsia="lv-LV"/>
              </w:rPr>
              <w:t xml:space="preserve">nepārsniedz 10 miljonus eiro; </w:t>
            </w:r>
          </w:p>
          <w:p w:rsidR="00EB1E3A" w:rsidRPr="003D6B3A" w:rsidRDefault="00524BD0" w:rsidP="003D6B3A">
            <w:pPr>
              <w:pStyle w:val="ListParagraph"/>
              <w:numPr>
                <w:ilvl w:val="0"/>
                <w:numId w:val="18"/>
              </w:numPr>
              <w:jc w:val="both"/>
              <w:rPr>
                <w:rFonts w:eastAsia="Times New Roman"/>
                <w:bCs/>
                <w:sz w:val="24"/>
                <w:szCs w:val="24"/>
                <w:lang w:val="lv-LV" w:eastAsia="lv-LV"/>
              </w:rPr>
            </w:pPr>
            <w:r w:rsidRPr="003D6B3A">
              <w:rPr>
                <w:rFonts w:eastAsia="Times New Roman"/>
                <w:bCs/>
                <w:sz w:val="24"/>
                <w:szCs w:val="24"/>
                <w:lang w:val="lv-LV" w:eastAsia="lv-LV"/>
              </w:rPr>
              <w:t>vidējais komersants ir kome</w:t>
            </w:r>
            <w:r w:rsidR="00B20A66" w:rsidRPr="006E2205">
              <w:rPr>
                <w:rFonts w:eastAsia="Times New Roman"/>
                <w:bCs/>
                <w:sz w:val="24"/>
                <w:szCs w:val="24"/>
                <w:lang w:val="lv-LV" w:eastAsia="lv-LV"/>
              </w:rPr>
              <w:t>rsants, kam ir maz</w:t>
            </w:r>
            <w:r w:rsidR="00B20A66" w:rsidRPr="00C308D3">
              <w:rPr>
                <w:rFonts w:eastAsia="Times New Roman"/>
                <w:bCs/>
                <w:sz w:val="24"/>
                <w:szCs w:val="24"/>
                <w:lang w:val="lv-LV" w:eastAsia="lv-LV"/>
              </w:rPr>
              <w:t>āk nekā 250 darbinieku un kuru gada apgrozījums nepārsniedz 50 miljonus e</w:t>
            </w:r>
            <w:r w:rsidR="006E2205" w:rsidRPr="006E2205">
              <w:rPr>
                <w:rFonts w:eastAsia="Times New Roman"/>
                <w:bCs/>
                <w:sz w:val="24"/>
                <w:szCs w:val="24"/>
                <w:lang w:val="lv-LV" w:eastAsia="lv-LV"/>
              </w:rPr>
              <w:t>i</w:t>
            </w:r>
            <w:r w:rsidR="00B20A66" w:rsidRPr="006E2205">
              <w:rPr>
                <w:rFonts w:eastAsia="Times New Roman"/>
                <w:bCs/>
                <w:sz w:val="24"/>
                <w:szCs w:val="24"/>
                <w:lang w:val="lv-LV" w:eastAsia="lv-LV"/>
              </w:rPr>
              <w:t xml:space="preserve">ro, un/vai </w:t>
            </w:r>
            <w:r w:rsidR="006E2205" w:rsidRPr="006E2205">
              <w:rPr>
                <w:rFonts w:eastAsia="Times New Roman"/>
                <w:bCs/>
                <w:sz w:val="24"/>
                <w:szCs w:val="24"/>
                <w:lang w:val="lv-LV" w:eastAsia="lv-LV"/>
              </w:rPr>
              <w:t>gada bilance kopumā nepārsniedz 43 miljonus ei</w:t>
            </w:r>
            <w:r w:rsidR="00B20A66" w:rsidRPr="006E2205">
              <w:rPr>
                <w:rFonts w:eastAsia="Times New Roman"/>
                <w:bCs/>
                <w:sz w:val="24"/>
                <w:szCs w:val="24"/>
                <w:lang w:val="lv-LV" w:eastAsia="lv-LV"/>
              </w:rPr>
              <w:t>ro</w:t>
            </w:r>
            <w:r w:rsidR="006E2205" w:rsidRPr="006E2205">
              <w:rPr>
                <w:rFonts w:eastAsia="Times New Roman"/>
                <w:bCs/>
                <w:sz w:val="24"/>
                <w:szCs w:val="24"/>
                <w:lang w:val="lv-LV" w:eastAsia="lv-LV"/>
              </w:rPr>
              <w:t xml:space="preserve">. </w:t>
            </w:r>
          </w:p>
          <w:p w:rsidR="00C45D44" w:rsidRDefault="00C45D44" w:rsidP="002120AC">
            <w:pPr>
              <w:ind w:firstLine="567"/>
              <w:jc w:val="both"/>
              <w:rPr>
                <w:rFonts w:eastAsia="Times New Roman"/>
                <w:bCs/>
                <w:sz w:val="24"/>
                <w:szCs w:val="24"/>
                <w:lang w:val="lv-LV" w:eastAsia="lv-LV"/>
              </w:rPr>
            </w:pPr>
            <w:r>
              <w:rPr>
                <w:rFonts w:eastAsia="Times New Roman"/>
                <w:bCs/>
                <w:sz w:val="24"/>
                <w:szCs w:val="24"/>
                <w:lang w:val="lv-LV" w:eastAsia="lv-LV"/>
              </w:rPr>
              <w:t xml:space="preserve">Lai nodrošinātu demarkāciju ar Mikrokreditēšanas  programmu, ko līdzfinansē Šveices valdība, noteikumu projekts paredz </w:t>
            </w:r>
            <w:r w:rsidR="00010E63">
              <w:rPr>
                <w:rFonts w:eastAsia="Times New Roman"/>
                <w:bCs/>
                <w:sz w:val="24"/>
                <w:szCs w:val="24"/>
                <w:lang w:val="lv-LV" w:eastAsia="lv-LV"/>
              </w:rPr>
              <w:t>noteikt</w:t>
            </w:r>
            <w:r>
              <w:rPr>
                <w:rFonts w:eastAsia="Times New Roman"/>
                <w:bCs/>
                <w:sz w:val="24"/>
                <w:szCs w:val="24"/>
                <w:lang w:val="lv-LV" w:eastAsia="lv-LV"/>
              </w:rPr>
              <w:t xml:space="preserve"> minimālos sliekšņus aizdevumu </w:t>
            </w:r>
            <w:r>
              <w:rPr>
                <w:rFonts w:eastAsia="Times New Roman"/>
                <w:bCs/>
                <w:sz w:val="24"/>
                <w:szCs w:val="24"/>
                <w:lang w:val="lv-LV" w:eastAsia="lv-LV"/>
              </w:rPr>
              <w:lastRenderedPageBreak/>
              <w:t>apjomiem</w:t>
            </w:r>
            <w:r w:rsidR="00010E63">
              <w:rPr>
                <w:rFonts w:eastAsia="Times New Roman"/>
                <w:bCs/>
                <w:sz w:val="24"/>
                <w:szCs w:val="24"/>
                <w:lang w:val="lv-LV" w:eastAsia="lv-LV"/>
              </w:rPr>
              <w:t xml:space="preserve"> mikro</w:t>
            </w:r>
            <w:r w:rsidR="00C308D3">
              <w:rPr>
                <w:rFonts w:eastAsia="Times New Roman"/>
                <w:bCs/>
                <w:sz w:val="24"/>
                <w:szCs w:val="24"/>
                <w:lang w:val="lv-LV" w:eastAsia="lv-LV"/>
              </w:rPr>
              <w:t xml:space="preserve"> </w:t>
            </w:r>
            <w:r w:rsidR="00010E63">
              <w:rPr>
                <w:rFonts w:eastAsia="Times New Roman"/>
                <w:bCs/>
                <w:sz w:val="24"/>
                <w:szCs w:val="24"/>
                <w:lang w:val="lv-LV" w:eastAsia="lv-LV"/>
              </w:rPr>
              <w:t>komersantiem</w:t>
            </w:r>
            <w:r>
              <w:rPr>
                <w:rFonts w:eastAsia="Times New Roman"/>
                <w:bCs/>
                <w:sz w:val="24"/>
                <w:szCs w:val="24"/>
                <w:lang w:val="lv-LV" w:eastAsia="lv-LV"/>
              </w:rPr>
              <w:t xml:space="preserve">, nosakot, ka minimālais apgrozāmo līdzekļu aizdevuma apjoms ir 5 000 lati, bet investīciju aizdevumiem – 10 000 lati. </w:t>
            </w:r>
          </w:p>
          <w:p w:rsidR="00010E63" w:rsidRDefault="00010E63" w:rsidP="002120AC">
            <w:pPr>
              <w:ind w:firstLine="567"/>
              <w:jc w:val="both"/>
              <w:rPr>
                <w:rFonts w:eastAsia="Times New Roman"/>
                <w:bCs/>
                <w:sz w:val="24"/>
                <w:szCs w:val="24"/>
                <w:lang w:val="lv-LV" w:eastAsia="lv-LV"/>
              </w:rPr>
            </w:pPr>
            <w:r>
              <w:rPr>
                <w:rFonts w:eastAsia="Times New Roman"/>
                <w:bCs/>
                <w:sz w:val="24"/>
                <w:szCs w:val="24"/>
                <w:lang w:val="lv-LV" w:eastAsia="lv-LV"/>
              </w:rPr>
              <w:t xml:space="preserve">Lai nodrošinātu demarkāciju ar Starta programmu, ko līdzfinansē Eiropas Sociālais fonds un valsts budžets (darbības programmas </w:t>
            </w:r>
            <w:r w:rsidRPr="00010E63">
              <w:rPr>
                <w:rFonts w:eastAsia="Times New Roman"/>
                <w:bCs/>
                <w:sz w:val="24"/>
                <w:szCs w:val="24"/>
                <w:lang w:val="lv-LV" w:eastAsia="lv-LV"/>
              </w:rPr>
              <w:t>“Cilvēkresursi un nodarbinātība” papildinājuma 1.3.1.2.aktivitāt</w:t>
            </w:r>
            <w:r>
              <w:rPr>
                <w:rFonts w:eastAsia="Times New Roman"/>
                <w:bCs/>
                <w:sz w:val="24"/>
                <w:szCs w:val="24"/>
                <w:lang w:val="lv-LV" w:eastAsia="lv-LV"/>
              </w:rPr>
              <w:t>ē</w:t>
            </w:r>
            <w:r w:rsidRPr="00010E63">
              <w:rPr>
                <w:rFonts w:eastAsia="Times New Roman"/>
                <w:bCs/>
                <w:sz w:val="24"/>
                <w:szCs w:val="24"/>
                <w:lang w:val="lv-LV" w:eastAsia="lv-LV"/>
              </w:rPr>
              <w:t xml:space="preserve"> “Atbalsts pašnodarbinātības un uzņēmējdarbības uzsākšanai”</w:t>
            </w:r>
            <w:r>
              <w:rPr>
                <w:rFonts w:eastAsia="Times New Roman"/>
                <w:bCs/>
                <w:sz w:val="24"/>
                <w:szCs w:val="24"/>
                <w:lang w:val="lv-LV" w:eastAsia="lv-LV"/>
              </w:rPr>
              <w:t>), noteikumu projekts paredz noteikt, ka jaundibinātiem komersantiem minimālais aizdevumu apjoms (apgrozām</w:t>
            </w:r>
            <w:r w:rsidR="00A55F04">
              <w:rPr>
                <w:rFonts w:eastAsia="Times New Roman"/>
                <w:bCs/>
                <w:sz w:val="24"/>
                <w:szCs w:val="24"/>
                <w:lang w:val="lv-LV" w:eastAsia="lv-LV"/>
              </w:rPr>
              <w:t>aj</w:t>
            </w:r>
            <w:r>
              <w:rPr>
                <w:rFonts w:eastAsia="Times New Roman"/>
                <w:bCs/>
                <w:sz w:val="24"/>
                <w:szCs w:val="24"/>
                <w:lang w:val="lv-LV" w:eastAsia="lv-LV"/>
              </w:rPr>
              <w:t xml:space="preserve">iem līdzekļiem un investīcijām) ir 54 000 latu. </w:t>
            </w:r>
          </w:p>
          <w:p w:rsidR="00C45D44" w:rsidRDefault="00080B23">
            <w:pPr>
              <w:ind w:firstLine="567"/>
              <w:jc w:val="both"/>
              <w:rPr>
                <w:rFonts w:eastAsia="Times New Roman"/>
                <w:bCs/>
                <w:sz w:val="24"/>
                <w:szCs w:val="24"/>
                <w:lang w:val="lv-LV" w:eastAsia="lv-LV"/>
              </w:rPr>
            </w:pPr>
            <w:r w:rsidRPr="00F1031D">
              <w:rPr>
                <w:rFonts w:eastAsia="Times New Roman"/>
                <w:bCs/>
                <w:sz w:val="24"/>
                <w:szCs w:val="24"/>
                <w:lang w:val="lv-LV" w:eastAsia="lv-LV"/>
              </w:rPr>
              <w:t>Lai nodr</w:t>
            </w:r>
            <w:r>
              <w:rPr>
                <w:rFonts w:eastAsia="Times New Roman"/>
                <w:bCs/>
                <w:sz w:val="24"/>
                <w:szCs w:val="24"/>
                <w:lang w:val="lv-LV" w:eastAsia="lv-LV"/>
              </w:rPr>
              <w:t xml:space="preserve">ošinātu aizdevumu MK noteikumu Nr.164 ietvaros </w:t>
            </w:r>
            <w:r w:rsidRPr="00FA021F">
              <w:rPr>
                <w:rFonts w:eastAsia="Times New Roman"/>
                <w:bCs/>
                <w:sz w:val="24"/>
                <w:szCs w:val="24"/>
                <w:lang w:val="lv-LV" w:eastAsia="lv-LV"/>
              </w:rPr>
              <w:t xml:space="preserve">demarkāciju </w:t>
            </w:r>
            <w:r w:rsidRPr="00F1031D">
              <w:rPr>
                <w:rFonts w:eastAsia="Times New Roman"/>
                <w:bCs/>
                <w:sz w:val="24"/>
                <w:szCs w:val="24"/>
                <w:lang w:val="lv-LV" w:eastAsia="lv-LV"/>
              </w:rPr>
              <w:t>ar aizdevumu izsnieg</w:t>
            </w:r>
            <w:r>
              <w:rPr>
                <w:rFonts w:eastAsia="Times New Roman"/>
                <w:bCs/>
                <w:sz w:val="24"/>
                <w:szCs w:val="24"/>
                <w:lang w:val="lv-LV" w:eastAsia="lv-LV"/>
              </w:rPr>
              <w:t>šanu Ministru kabineta 2009.gada 15.septembra noteikumu Nr.1065 „</w:t>
            </w:r>
            <w:r w:rsidRPr="00FA021F">
              <w:rPr>
                <w:sz w:val="24"/>
                <w:szCs w:val="24"/>
                <w:lang w:val="lv-LV"/>
              </w:rPr>
              <w:t>Noteikumi par aizdevumiem sīko (</w:t>
            </w:r>
            <w:proofErr w:type="spellStart"/>
            <w:r w:rsidRPr="00FA021F">
              <w:rPr>
                <w:sz w:val="24"/>
                <w:szCs w:val="24"/>
                <w:lang w:val="lv-LV"/>
              </w:rPr>
              <w:t>mikro</w:t>
            </w:r>
            <w:proofErr w:type="spellEnd"/>
            <w:r w:rsidRPr="00FA021F">
              <w:rPr>
                <w:sz w:val="24"/>
                <w:szCs w:val="24"/>
                <w:lang w:val="lv-LV"/>
              </w:rPr>
              <w:t xml:space="preserve">), mazo un vidējo saimnieciskās darbības veicēju un lauksaimniecības pakalpojumu kooperatīvo sabiedrību attīstības veicināšanai” ietvaros </w:t>
            </w:r>
            <w:r w:rsidRPr="00FA021F">
              <w:rPr>
                <w:rFonts w:eastAsia="Times New Roman"/>
                <w:bCs/>
                <w:sz w:val="24"/>
                <w:szCs w:val="24"/>
                <w:lang w:val="lv-LV" w:eastAsia="lv-LV"/>
              </w:rPr>
              <w:t xml:space="preserve">LHZB kā abu programmu ieviesēja vispirms nodrošinās pilnu ERAF līdzekļu apguvi </w:t>
            </w:r>
            <w:r w:rsidRPr="00F1031D">
              <w:rPr>
                <w:rFonts w:eastAsia="Times New Roman"/>
                <w:bCs/>
                <w:sz w:val="24"/>
                <w:szCs w:val="24"/>
                <w:lang w:val="lv-LV" w:eastAsia="lv-LV"/>
              </w:rPr>
              <w:t xml:space="preserve">MK noteikumu Nr.164 </w:t>
            </w:r>
            <w:r>
              <w:rPr>
                <w:rFonts w:eastAsia="Times New Roman"/>
                <w:bCs/>
                <w:sz w:val="24"/>
                <w:szCs w:val="24"/>
                <w:lang w:val="lv-LV" w:eastAsia="lv-LV"/>
              </w:rPr>
              <w:t>ietvaros</w:t>
            </w:r>
            <w:r w:rsidRPr="00FA021F">
              <w:rPr>
                <w:rFonts w:eastAsia="Times New Roman"/>
                <w:bCs/>
                <w:sz w:val="24"/>
                <w:szCs w:val="24"/>
                <w:lang w:val="lv-LV" w:eastAsia="lv-LV"/>
              </w:rPr>
              <w:t xml:space="preserve">, novirzot visus atbilstošos komersantus finansēšanai primāri </w:t>
            </w:r>
            <w:r w:rsidRPr="00F1031D">
              <w:rPr>
                <w:rFonts w:eastAsia="Times New Roman"/>
                <w:bCs/>
                <w:sz w:val="24"/>
                <w:szCs w:val="24"/>
                <w:lang w:val="lv-LV" w:eastAsia="lv-LV"/>
              </w:rPr>
              <w:t xml:space="preserve">šo noteikumu </w:t>
            </w:r>
            <w:r w:rsidRPr="00FA021F">
              <w:rPr>
                <w:rFonts w:eastAsia="Times New Roman"/>
                <w:bCs/>
                <w:sz w:val="24"/>
                <w:szCs w:val="24"/>
                <w:lang w:val="lv-LV" w:eastAsia="lv-LV"/>
              </w:rPr>
              <w:t>ietvaros.</w:t>
            </w:r>
            <w:r>
              <w:rPr>
                <w:rFonts w:eastAsia="Times New Roman"/>
                <w:bCs/>
                <w:sz w:val="24"/>
                <w:szCs w:val="24"/>
                <w:lang w:val="lv-LV" w:eastAsia="lv-LV"/>
              </w:rPr>
              <w:t xml:space="preserve"> </w:t>
            </w:r>
            <w:r w:rsidR="00C45D44">
              <w:rPr>
                <w:rFonts w:eastAsia="Times New Roman"/>
                <w:bCs/>
                <w:sz w:val="24"/>
                <w:szCs w:val="24"/>
                <w:lang w:val="lv-LV" w:eastAsia="lv-LV"/>
              </w:rPr>
              <w:t xml:space="preserve">Jāņem vērā, ka MVU izaugsmes programmas ietvaros finansējumu var saņemt, piemēram, </w:t>
            </w:r>
            <w:r w:rsidR="00C45D44" w:rsidRPr="00C45D44">
              <w:rPr>
                <w:rFonts w:eastAsia="Times New Roman"/>
                <w:bCs/>
                <w:sz w:val="24"/>
                <w:szCs w:val="24"/>
                <w:lang w:val="lv-LV" w:eastAsia="lv-LV"/>
              </w:rPr>
              <w:t>lauksaimniecības pakalpojumu kooperatīvās sabiedrības</w:t>
            </w:r>
            <w:r w:rsidR="00C45D44">
              <w:rPr>
                <w:rFonts w:eastAsia="Times New Roman"/>
                <w:bCs/>
                <w:sz w:val="24"/>
                <w:szCs w:val="24"/>
                <w:lang w:val="lv-LV" w:eastAsia="lv-LV"/>
              </w:rPr>
              <w:t xml:space="preserve">, kuras nevar saņemt finansējumu Konkurētspējas programmā, turklāt MVU izaugsmes aizdevumu programmā </w:t>
            </w:r>
            <w:r w:rsidR="00886123">
              <w:rPr>
                <w:rFonts w:eastAsia="Times New Roman"/>
                <w:bCs/>
                <w:sz w:val="24"/>
                <w:szCs w:val="24"/>
                <w:lang w:val="lv-LV" w:eastAsia="lv-LV"/>
              </w:rPr>
              <w:t xml:space="preserve">pieejamajiem aizdevumiem ir noteikti zemāki aizdevumu sliekšņi. </w:t>
            </w:r>
          </w:p>
          <w:p w:rsidR="008C4B43" w:rsidRDefault="008C4B43">
            <w:pPr>
              <w:ind w:firstLine="567"/>
              <w:jc w:val="both"/>
              <w:rPr>
                <w:rFonts w:eastAsia="Times New Roman"/>
                <w:bCs/>
                <w:sz w:val="24"/>
                <w:szCs w:val="24"/>
                <w:lang w:val="lv-LV" w:eastAsia="lv-LV"/>
              </w:rPr>
            </w:pPr>
            <w:r>
              <w:rPr>
                <w:rFonts w:eastAsia="Times New Roman"/>
                <w:bCs/>
                <w:sz w:val="24"/>
                <w:szCs w:val="24"/>
                <w:lang w:val="lv-LV" w:eastAsia="lv-LV"/>
              </w:rPr>
              <w:t xml:space="preserve">Pašreiz MK noteikumu Nr.164 6.punkts paredz, ka </w:t>
            </w:r>
            <w:r w:rsidRPr="008C4B43">
              <w:rPr>
                <w:rFonts w:eastAsia="Times New Roman"/>
                <w:bCs/>
                <w:sz w:val="24"/>
                <w:szCs w:val="24"/>
                <w:lang w:val="lv-LV" w:eastAsia="lv-LV"/>
              </w:rPr>
              <w:t>aizdevumu izsniegšanas termiņš ir 2013.gada 31.decembris</w:t>
            </w:r>
            <w:r>
              <w:rPr>
                <w:rFonts w:eastAsia="Times New Roman"/>
                <w:bCs/>
                <w:sz w:val="24"/>
                <w:szCs w:val="24"/>
                <w:lang w:val="lv-LV" w:eastAsia="lv-LV"/>
              </w:rPr>
              <w:t xml:space="preserve">. </w:t>
            </w:r>
            <w:r w:rsidRPr="008C4B43">
              <w:rPr>
                <w:rFonts w:eastAsia="Times New Roman"/>
                <w:bCs/>
                <w:sz w:val="24"/>
                <w:szCs w:val="24"/>
                <w:lang w:val="lv-LV" w:eastAsia="lv-LV"/>
              </w:rPr>
              <w:t xml:space="preserve"> </w:t>
            </w:r>
            <w:r>
              <w:rPr>
                <w:rFonts w:eastAsia="Times New Roman"/>
                <w:bCs/>
                <w:sz w:val="24"/>
                <w:szCs w:val="24"/>
                <w:lang w:val="lv-LV" w:eastAsia="lv-LV"/>
              </w:rPr>
              <w:t xml:space="preserve">Lai novērstu šī punkta </w:t>
            </w:r>
            <w:r w:rsidRPr="008C4B43">
              <w:rPr>
                <w:rFonts w:eastAsia="Times New Roman"/>
                <w:bCs/>
                <w:sz w:val="24"/>
                <w:szCs w:val="24"/>
                <w:lang w:val="lv-LV" w:eastAsia="lv-LV"/>
              </w:rPr>
              <w:t>interpretācijas iespējas</w:t>
            </w:r>
            <w:r>
              <w:rPr>
                <w:rFonts w:eastAsia="Times New Roman"/>
                <w:bCs/>
                <w:sz w:val="24"/>
                <w:szCs w:val="24"/>
                <w:lang w:val="lv-LV" w:eastAsia="lv-LV"/>
              </w:rPr>
              <w:t>, ņ</w:t>
            </w:r>
            <w:r w:rsidRPr="008C4B43">
              <w:rPr>
                <w:rFonts w:eastAsia="Times New Roman"/>
                <w:bCs/>
                <w:sz w:val="24"/>
                <w:szCs w:val="24"/>
                <w:lang w:val="lv-LV" w:eastAsia="lv-LV"/>
              </w:rPr>
              <w:t xml:space="preserve">emot vērā aizdevumu </w:t>
            </w:r>
            <w:r>
              <w:rPr>
                <w:rFonts w:eastAsia="Times New Roman"/>
                <w:bCs/>
                <w:sz w:val="24"/>
                <w:szCs w:val="24"/>
                <w:lang w:val="lv-LV" w:eastAsia="lv-LV"/>
              </w:rPr>
              <w:t>izsniegšanas procesa specifiku</w:t>
            </w:r>
            <w:r w:rsidRPr="008C4B43">
              <w:rPr>
                <w:rFonts w:eastAsia="Times New Roman"/>
                <w:bCs/>
                <w:sz w:val="24"/>
                <w:szCs w:val="24"/>
                <w:lang w:val="lv-LV" w:eastAsia="lv-LV"/>
              </w:rPr>
              <w:t xml:space="preserve">, </w:t>
            </w:r>
            <w:r>
              <w:rPr>
                <w:rFonts w:eastAsia="Times New Roman"/>
                <w:bCs/>
                <w:sz w:val="24"/>
                <w:szCs w:val="24"/>
                <w:lang w:val="lv-LV" w:eastAsia="lv-LV"/>
              </w:rPr>
              <w:t xml:space="preserve">nepieciešams </w:t>
            </w:r>
            <w:r w:rsidRPr="008C4B43">
              <w:rPr>
                <w:rFonts w:eastAsia="Times New Roman"/>
                <w:bCs/>
                <w:sz w:val="24"/>
                <w:szCs w:val="24"/>
                <w:lang w:val="lv-LV" w:eastAsia="lv-LV"/>
              </w:rPr>
              <w:t>precizēt iepriekšminēto MK noteikumu</w:t>
            </w:r>
            <w:r>
              <w:rPr>
                <w:rFonts w:eastAsia="Times New Roman"/>
                <w:bCs/>
                <w:sz w:val="24"/>
                <w:szCs w:val="24"/>
                <w:lang w:val="lv-LV" w:eastAsia="lv-LV"/>
              </w:rPr>
              <w:t xml:space="preserve"> Nr.164 6.</w:t>
            </w:r>
            <w:r w:rsidRPr="008C4B43">
              <w:rPr>
                <w:rFonts w:eastAsia="Times New Roman"/>
                <w:bCs/>
                <w:sz w:val="24"/>
                <w:szCs w:val="24"/>
                <w:lang w:val="lv-LV" w:eastAsia="lv-LV"/>
              </w:rPr>
              <w:t>punktu, paredzot, līdz 2013.gada 31.decembrim ar atbalsta saņēmējiem jānoslēdz aizdevuma līgumi</w:t>
            </w:r>
            <w:r>
              <w:rPr>
                <w:rFonts w:eastAsia="Times New Roman"/>
                <w:bCs/>
                <w:sz w:val="24"/>
                <w:szCs w:val="24"/>
                <w:lang w:val="lv-LV" w:eastAsia="lv-LV"/>
              </w:rPr>
              <w:t>, tā ļaujot Hipotēku bankai reāli izmaksāt aizdevumus atbilstoši noslēgtajiem līgumiem arī pēc 2013.gada 31.decembra.</w:t>
            </w:r>
          </w:p>
          <w:p w:rsidR="00B130BF" w:rsidRPr="00A55F04" w:rsidRDefault="003C5956" w:rsidP="00EE4624">
            <w:pPr>
              <w:ind w:firstLine="567"/>
              <w:jc w:val="both"/>
              <w:rPr>
                <w:color w:val="000000"/>
                <w:sz w:val="24"/>
                <w:szCs w:val="24"/>
                <w:highlight w:val="lightGray"/>
                <w:u w:val="single"/>
                <w:lang w:val="lv-LV"/>
              </w:rPr>
            </w:pPr>
            <w:r w:rsidRPr="00A55F04">
              <w:rPr>
                <w:rFonts w:eastAsia="Times New Roman"/>
                <w:bCs/>
                <w:sz w:val="24"/>
                <w:szCs w:val="24"/>
                <w:u w:val="single"/>
                <w:lang w:val="lv-LV" w:eastAsia="lv-LV"/>
              </w:rPr>
              <w:t>Aizdevumu pieteikumus un biznesa plānus, kas ir iesniegti Hipotēku bankā pirms šo noteikumu spēkā stāšanās dienas, izskat</w:t>
            </w:r>
            <w:r w:rsidR="00EE4624" w:rsidRPr="00A55F04">
              <w:rPr>
                <w:rFonts w:eastAsia="Times New Roman"/>
                <w:bCs/>
                <w:sz w:val="24"/>
                <w:szCs w:val="24"/>
                <w:u w:val="single"/>
                <w:lang w:val="lv-LV" w:eastAsia="lv-LV"/>
              </w:rPr>
              <w:t>īs</w:t>
            </w:r>
            <w:r w:rsidRPr="00A55F04">
              <w:rPr>
                <w:rFonts w:eastAsia="Times New Roman"/>
                <w:bCs/>
                <w:sz w:val="24"/>
                <w:szCs w:val="24"/>
                <w:u w:val="single"/>
                <w:lang w:val="lv-LV" w:eastAsia="lv-LV"/>
              </w:rPr>
              <w:t xml:space="preserve"> saskaņā ar tiem normatīvajiem aktiem, kas bija spēkā šo aizdevumu pieteikumu un biznesa plānu iesniegšanas dienā. </w:t>
            </w:r>
            <w:r w:rsidR="00686E89" w:rsidRPr="00A55F04">
              <w:rPr>
                <w:color w:val="000000"/>
                <w:sz w:val="24"/>
                <w:szCs w:val="24"/>
                <w:highlight w:val="lightGray"/>
                <w:u w:val="single"/>
                <w:lang w:val="lv-LV"/>
              </w:rPr>
              <w:t xml:space="preserve">  </w:t>
            </w:r>
          </w:p>
        </w:tc>
      </w:tr>
      <w:tr w:rsidR="00537A29" w:rsidRPr="00DE28A0" w:rsidTr="007A2BA3">
        <w:trPr>
          <w:trHeight w:val="360"/>
        </w:trPr>
        <w:tc>
          <w:tcPr>
            <w:tcW w:w="3261" w:type="dxa"/>
            <w:tcBorders>
              <w:top w:val="thickThinLargeGap" w:sz="6" w:space="0" w:color="C0C0C0"/>
              <w:left w:val="thickThinLargeGap" w:sz="6" w:space="0" w:color="C0C0C0"/>
              <w:bottom w:val="thickThinLargeGap" w:sz="6" w:space="0" w:color="C0C0C0"/>
              <w:right w:val="thickThinLargeGap" w:sz="6" w:space="0" w:color="C0C0C0"/>
            </w:tcBorders>
          </w:tcPr>
          <w:p w:rsidR="00537A29" w:rsidRPr="006A33F8" w:rsidRDefault="00537A29" w:rsidP="00CE5A53">
            <w:pPr>
              <w:rPr>
                <w:rFonts w:eastAsia="Times New Roman"/>
                <w:sz w:val="24"/>
                <w:szCs w:val="24"/>
                <w:lang w:val="lv-LV" w:eastAsia="lv-LV"/>
              </w:rPr>
            </w:pPr>
            <w:r w:rsidRPr="006A33F8">
              <w:rPr>
                <w:rFonts w:eastAsia="Times New Roman"/>
                <w:sz w:val="24"/>
                <w:szCs w:val="24"/>
                <w:lang w:val="lv-LV" w:eastAsia="lv-LV"/>
              </w:rPr>
              <w:lastRenderedPageBreak/>
              <w:t>3. Saistītie politikas ietekmes novērtējumi un pētījumi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004E51" w:rsidRPr="006A33F8" w:rsidRDefault="007D3113" w:rsidP="007D3113">
            <w:pPr>
              <w:ind w:firstLine="567"/>
              <w:jc w:val="both"/>
              <w:rPr>
                <w:color w:val="000000"/>
                <w:sz w:val="24"/>
                <w:szCs w:val="24"/>
                <w:lang w:val="lv-LV"/>
              </w:rPr>
            </w:pPr>
            <w:r w:rsidRPr="006A33F8">
              <w:rPr>
                <w:color w:val="000000"/>
                <w:sz w:val="24"/>
                <w:szCs w:val="24"/>
                <w:lang w:val="lv-LV"/>
              </w:rPr>
              <w:t>Projekts šo jomu neskar.</w:t>
            </w:r>
          </w:p>
        </w:tc>
      </w:tr>
      <w:tr w:rsidR="00BB09C5" w:rsidRPr="0063775D" w:rsidTr="007A2BA3">
        <w:trPr>
          <w:trHeight w:val="366"/>
        </w:trPr>
        <w:tc>
          <w:tcPr>
            <w:tcW w:w="3261" w:type="dxa"/>
            <w:tcBorders>
              <w:top w:val="thickThinLargeGap" w:sz="6" w:space="0" w:color="C0C0C0"/>
              <w:left w:val="thickThinLargeGap" w:sz="6" w:space="0" w:color="C0C0C0"/>
              <w:bottom w:val="thickThinLargeGap" w:sz="6" w:space="0" w:color="C0C0C0"/>
              <w:right w:val="thickThinLargeGap" w:sz="6" w:space="0" w:color="C0C0C0"/>
            </w:tcBorders>
          </w:tcPr>
          <w:p w:rsidR="00BB09C5" w:rsidRPr="006A33F8" w:rsidRDefault="00537A29" w:rsidP="00CE5A53">
            <w:pPr>
              <w:rPr>
                <w:rFonts w:eastAsia="Times New Roman"/>
                <w:sz w:val="24"/>
                <w:szCs w:val="24"/>
                <w:lang w:val="lv-LV" w:eastAsia="lv-LV"/>
              </w:rPr>
            </w:pPr>
            <w:r w:rsidRPr="006A33F8">
              <w:rPr>
                <w:rFonts w:eastAsia="Times New Roman"/>
                <w:sz w:val="24"/>
                <w:szCs w:val="24"/>
                <w:lang w:val="lv-LV" w:eastAsia="lv-LV"/>
              </w:rPr>
              <w:t>4. Tiesiskā regulējuma mērķis un būtība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7D3113" w:rsidRPr="009D142C" w:rsidRDefault="007D3113" w:rsidP="007D3113">
            <w:pPr>
              <w:ind w:firstLine="709"/>
              <w:jc w:val="both"/>
              <w:rPr>
                <w:bCs/>
                <w:sz w:val="24"/>
                <w:szCs w:val="24"/>
                <w:lang w:val="lv-LV"/>
              </w:rPr>
            </w:pPr>
            <w:r w:rsidRPr="00100BBC">
              <w:rPr>
                <w:bCs/>
                <w:sz w:val="24"/>
                <w:szCs w:val="24"/>
                <w:lang w:val="lv-LV"/>
              </w:rPr>
              <w:t>Noteikumu projekts paredz veikt grozījumus MK noteikumos Nr.</w:t>
            </w:r>
            <w:r w:rsidR="006A33F8" w:rsidRPr="009D142C">
              <w:rPr>
                <w:bCs/>
                <w:sz w:val="24"/>
                <w:szCs w:val="24"/>
                <w:lang w:val="lv-LV"/>
              </w:rPr>
              <w:t>164</w:t>
            </w:r>
            <w:r w:rsidRPr="009D142C">
              <w:rPr>
                <w:bCs/>
                <w:sz w:val="24"/>
                <w:szCs w:val="24"/>
                <w:lang w:val="lv-LV"/>
              </w:rPr>
              <w:t>, izdarot šādas izmaiņas:</w:t>
            </w:r>
          </w:p>
          <w:p w:rsidR="00D42829" w:rsidRPr="00100BBC" w:rsidRDefault="006A33F8" w:rsidP="007D3113">
            <w:pPr>
              <w:pStyle w:val="ListParagraph"/>
              <w:numPr>
                <w:ilvl w:val="0"/>
                <w:numId w:val="9"/>
              </w:numPr>
              <w:ind w:left="709" w:hanging="284"/>
              <w:jc w:val="both"/>
              <w:rPr>
                <w:bCs/>
                <w:sz w:val="24"/>
                <w:szCs w:val="24"/>
                <w:lang w:val="lv-LV"/>
              </w:rPr>
            </w:pPr>
            <w:r w:rsidRPr="00F04A68">
              <w:rPr>
                <w:bCs/>
                <w:sz w:val="24"/>
                <w:szCs w:val="24"/>
                <w:lang w:val="lv-LV"/>
              </w:rPr>
              <w:t xml:space="preserve">Noteikt, ka atbalstu var saņemt tikai mikro, mazie un vidējie komersanti, attiecīgi precizējot noteikumu punktus, </w:t>
            </w:r>
            <w:r w:rsidRPr="00100BBC">
              <w:rPr>
                <w:bCs/>
                <w:sz w:val="24"/>
                <w:szCs w:val="24"/>
                <w:lang w:val="lv-LV"/>
              </w:rPr>
              <w:t xml:space="preserve">kuros iepriekš bijusi atsauce uz lielajiem komersantiem vai īpaši nosacījumi lielajiem </w:t>
            </w:r>
            <w:r w:rsidRPr="00100BBC">
              <w:rPr>
                <w:bCs/>
                <w:sz w:val="24"/>
                <w:szCs w:val="24"/>
                <w:lang w:val="lv-LV"/>
              </w:rPr>
              <w:lastRenderedPageBreak/>
              <w:t>komersantiem</w:t>
            </w:r>
            <w:r w:rsidR="00801790" w:rsidRPr="00100BBC">
              <w:rPr>
                <w:sz w:val="24"/>
                <w:szCs w:val="24"/>
                <w:lang w:val="lv-LV"/>
              </w:rPr>
              <w:t>;</w:t>
            </w:r>
          </w:p>
          <w:p w:rsidR="006A33F8" w:rsidRPr="00A55F04" w:rsidRDefault="006A33F8" w:rsidP="007D3113">
            <w:pPr>
              <w:pStyle w:val="ListParagraph"/>
              <w:numPr>
                <w:ilvl w:val="0"/>
                <w:numId w:val="9"/>
              </w:numPr>
              <w:ind w:left="709" w:hanging="284"/>
              <w:jc w:val="both"/>
              <w:rPr>
                <w:bCs/>
                <w:sz w:val="24"/>
                <w:szCs w:val="24"/>
                <w:lang w:val="lv-LV"/>
              </w:rPr>
            </w:pPr>
            <w:r w:rsidRPr="00100BBC">
              <w:rPr>
                <w:sz w:val="24"/>
                <w:szCs w:val="24"/>
                <w:lang w:val="lv-LV"/>
              </w:rPr>
              <w:t xml:space="preserve">Noteikt, kādi komersanti šo noteikumu ietvaros uzskatāmi par jaundibinātiem un par strauji augošiem </w:t>
            </w:r>
            <w:r w:rsidRPr="00A55F04">
              <w:rPr>
                <w:sz w:val="24"/>
                <w:szCs w:val="24"/>
                <w:lang w:val="lv-LV"/>
              </w:rPr>
              <w:t xml:space="preserve">komersantiem; </w:t>
            </w:r>
          </w:p>
          <w:p w:rsidR="00100BBC" w:rsidRPr="00A55F04" w:rsidRDefault="006A33F8" w:rsidP="006A33F8">
            <w:pPr>
              <w:pStyle w:val="ListParagraph"/>
              <w:numPr>
                <w:ilvl w:val="0"/>
                <w:numId w:val="9"/>
              </w:numPr>
              <w:ind w:left="709" w:hanging="284"/>
              <w:jc w:val="both"/>
              <w:rPr>
                <w:bCs/>
                <w:sz w:val="24"/>
                <w:szCs w:val="24"/>
                <w:lang w:val="lv-LV"/>
              </w:rPr>
            </w:pPr>
            <w:r w:rsidRPr="00A55F04">
              <w:rPr>
                <w:sz w:val="24"/>
                <w:szCs w:val="24"/>
                <w:lang w:val="lv-LV"/>
              </w:rPr>
              <w:t>Noteikt, ka investīciju aizdevumiem</w:t>
            </w:r>
            <w:r w:rsidR="00100BBC" w:rsidRPr="00A55F04">
              <w:rPr>
                <w:sz w:val="24"/>
                <w:szCs w:val="24"/>
                <w:lang w:val="lv-LV"/>
              </w:rPr>
              <w:t xml:space="preserve"> </w:t>
            </w:r>
            <w:r w:rsidRPr="00A55F04">
              <w:rPr>
                <w:sz w:val="24"/>
                <w:szCs w:val="24"/>
                <w:lang w:val="lv-LV"/>
              </w:rPr>
              <w:t>maksimālā summa ir 1 miljons latu</w:t>
            </w:r>
            <w:r w:rsidR="00397428" w:rsidRPr="00A55F04">
              <w:rPr>
                <w:sz w:val="24"/>
                <w:szCs w:val="24"/>
                <w:lang w:val="lv-LV"/>
              </w:rPr>
              <w:t xml:space="preserve"> un mikro</w:t>
            </w:r>
            <w:r w:rsidR="00C308D3">
              <w:rPr>
                <w:sz w:val="24"/>
                <w:szCs w:val="24"/>
                <w:lang w:val="lv-LV"/>
              </w:rPr>
              <w:t xml:space="preserve"> </w:t>
            </w:r>
            <w:r w:rsidR="0004078B" w:rsidRPr="00A55F04">
              <w:rPr>
                <w:sz w:val="24"/>
                <w:szCs w:val="24"/>
                <w:lang w:val="lv-LV"/>
              </w:rPr>
              <w:t>komersantiem</w:t>
            </w:r>
            <w:r w:rsidR="00397428" w:rsidRPr="00A55F04">
              <w:rPr>
                <w:sz w:val="24"/>
                <w:szCs w:val="24"/>
                <w:lang w:val="lv-LV"/>
              </w:rPr>
              <w:t xml:space="preserve"> minimālā summa ir 10 000 latu</w:t>
            </w:r>
            <w:r w:rsidR="00100BBC" w:rsidRPr="00A55F04">
              <w:rPr>
                <w:sz w:val="24"/>
                <w:szCs w:val="24"/>
                <w:lang w:val="lv-LV"/>
              </w:rPr>
              <w:t xml:space="preserve">; </w:t>
            </w:r>
          </w:p>
          <w:p w:rsidR="00010E63" w:rsidRPr="00A55F04" w:rsidRDefault="00100BBC" w:rsidP="00A55F04">
            <w:pPr>
              <w:pStyle w:val="ListParagraph"/>
              <w:numPr>
                <w:ilvl w:val="0"/>
                <w:numId w:val="9"/>
              </w:numPr>
              <w:ind w:left="709" w:hanging="284"/>
              <w:jc w:val="both"/>
              <w:rPr>
                <w:bCs/>
                <w:sz w:val="24"/>
                <w:szCs w:val="24"/>
                <w:lang w:val="lv-LV"/>
              </w:rPr>
            </w:pPr>
            <w:r w:rsidRPr="00A55F04">
              <w:rPr>
                <w:sz w:val="24"/>
                <w:szCs w:val="24"/>
                <w:lang w:val="lv-LV"/>
              </w:rPr>
              <w:t xml:space="preserve">Noteikt, ka apgrozāmo līdzekļu aizdevumiem </w:t>
            </w:r>
            <w:r w:rsidR="00397428" w:rsidRPr="00A55F04">
              <w:rPr>
                <w:sz w:val="24"/>
                <w:szCs w:val="24"/>
                <w:lang w:val="lv-LV"/>
              </w:rPr>
              <w:t xml:space="preserve">maksimālā summa ir 0.5 milj. latu un </w:t>
            </w:r>
            <w:r w:rsidR="0004078B" w:rsidRPr="00A55F04">
              <w:rPr>
                <w:sz w:val="24"/>
                <w:szCs w:val="24"/>
                <w:lang w:val="lv-LV"/>
              </w:rPr>
              <w:t>mikro</w:t>
            </w:r>
            <w:r w:rsidR="00C308D3">
              <w:rPr>
                <w:sz w:val="24"/>
                <w:szCs w:val="24"/>
                <w:lang w:val="lv-LV"/>
              </w:rPr>
              <w:t xml:space="preserve"> </w:t>
            </w:r>
            <w:r w:rsidR="0004078B" w:rsidRPr="00A55F04">
              <w:rPr>
                <w:sz w:val="24"/>
                <w:szCs w:val="24"/>
                <w:lang w:val="lv-LV"/>
              </w:rPr>
              <w:t xml:space="preserve">komersantiem </w:t>
            </w:r>
            <w:r w:rsidRPr="00A55F04">
              <w:rPr>
                <w:sz w:val="24"/>
                <w:szCs w:val="24"/>
                <w:lang w:val="lv-LV"/>
              </w:rPr>
              <w:t>minimālā summa ir 5 000 latu</w:t>
            </w:r>
            <w:r w:rsidR="006A33F8" w:rsidRPr="00A55F04">
              <w:rPr>
                <w:sz w:val="24"/>
                <w:szCs w:val="24"/>
                <w:lang w:val="lv-LV"/>
              </w:rPr>
              <w:t xml:space="preserve">; </w:t>
            </w:r>
          </w:p>
          <w:p w:rsidR="00010E63" w:rsidRPr="00A55F04" w:rsidRDefault="00010E63" w:rsidP="00A55F04">
            <w:pPr>
              <w:pStyle w:val="ListParagraph"/>
              <w:numPr>
                <w:ilvl w:val="0"/>
                <w:numId w:val="9"/>
              </w:numPr>
              <w:ind w:left="709" w:hanging="284"/>
              <w:jc w:val="both"/>
              <w:rPr>
                <w:bCs/>
                <w:sz w:val="24"/>
                <w:szCs w:val="24"/>
                <w:lang w:val="lv-LV"/>
              </w:rPr>
            </w:pPr>
            <w:r w:rsidRPr="00A55F04">
              <w:rPr>
                <w:sz w:val="24"/>
                <w:szCs w:val="24"/>
                <w:lang w:val="lv-LV"/>
              </w:rPr>
              <w:t>Noteikt, ka jaundibinātiem komersantiem aizdevumu minimālais apjoms ir 54 000 latu</w:t>
            </w:r>
            <w:r w:rsidRPr="00A55F04">
              <w:rPr>
                <w:bCs/>
                <w:sz w:val="24"/>
                <w:szCs w:val="24"/>
                <w:lang w:val="lv-LV"/>
              </w:rPr>
              <w:t xml:space="preserve">; </w:t>
            </w:r>
          </w:p>
          <w:p w:rsidR="005B6EF3" w:rsidRPr="00F04A68" w:rsidRDefault="006A33F8" w:rsidP="006A33F8">
            <w:pPr>
              <w:pStyle w:val="ListParagraph"/>
              <w:numPr>
                <w:ilvl w:val="0"/>
                <w:numId w:val="9"/>
              </w:numPr>
              <w:ind w:left="709" w:hanging="284"/>
              <w:jc w:val="both"/>
              <w:rPr>
                <w:bCs/>
                <w:sz w:val="24"/>
                <w:szCs w:val="24"/>
                <w:lang w:val="lv-LV"/>
              </w:rPr>
            </w:pPr>
            <w:r w:rsidRPr="00A55F04">
              <w:rPr>
                <w:sz w:val="24"/>
                <w:szCs w:val="24"/>
                <w:lang w:val="lv-LV"/>
              </w:rPr>
              <w:t>Noteikt, ka, ja kopējā aizdevumu summa vienam komersantam pārsniedz 350 000 latu, tad atbalsta saņēmējs jaundibināts komersants, vai komersants, kas uzsāk darbību jaunā darbības jomā, vai strauji augošs komersants</w:t>
            </w:r>
            <w:r w:rsidR="00100BBC" w:rsidRPr="00A55F04">
              <w:rPr>
                <w:sz w:val="24"/>
                <w:szCs w:val="24"/>
                <w:lang w:val="lv-LV"/>
              </w:rPr>
              <w:t>,</w:t>
            </w:r>
            <w:r w:rsidRPr="00100BBC">
              <w:rPr>
                <w:sz w:val="24"/>
                <w:szCs w:val="24"/>
                <w:lang w:val="lv-LV"/>
              </w:rPr>
              <w:t xml:space="preserve"> un tam kopā ar aizdevuma </w:t>
            </w:r>
            <w:r w:rsidRPr="009D142C">
              <w:rPr>
                <w:sz w:val="24"/>
                <w:szCs w:val="24"/>
                <w:lang w:val="lv-LV"/>
              </w:rPr>
              <w:t>pieteikumu jāiesniedz Hipotēku bankā piekrišanas vēstule no kredītiestādes, kurā komersantam ir saistības</w:t>
            </w:r>
            <w:r w:rsidR="005B6EF3" w:rsidRPr="00F04A68">
              <w:rPr>
                <w:sz w:val="24"/>
                <w:szCs w:val="24"/>
                <w:lang w:val="lv-LV"/>
              </w:rPr>
              <w:t xml:space="preserve">; </w:t>
            </w:r>
          </w:p>
          <w:p w:rsidR="008F36CE" w:rsidRDefault="00B03F05" w:rsidP="008F36CE">
            <w:pPr>
              <w:pStyle w:val="ListParagraph"/>
              <w:numPr>
                <w:ilvl w:val="0"/>
                <w:numId w:val="9"/>
              </w:numPr>
              <w:ind w:left="709" w:hanging="284"/>
              <w:jc w:val="both"/>
              <w:rPr>
                <w:bCs/>
                <w:sz w:val="24"/>
                <w:szCs w:val="24"/>
                <w:lang w:val="lv-LV"/>
              </w:rPr>
            </w:pPr>
            <w:r>
              <w:rPr>
                <w:bCs/>
                <w:sz w:val="24"/>
                <w:szCs w:val="24"/>
                <w:lang w:val="lv-LV"/>
              </w:rPr>
              <w:t>noteikt, ka šo noteikumu ietvaros saņemto atbalstu, ja to finansē no Eiropas Savienības struktūrfondu līdzekļiem, par tām pašām attiecināmajām izmaksām nedrīkst apvienot ar citas valsts atbalsta programmas vai individuālā atbalsta projekta ietvaros piešķirto finansējumu;</w:t>
            </w:r>
          </w:p>
          <w:p w:rsidR="00B63137" w:rsidRPr="006D4B23" w:rsidRDefault="008F36CE" w:rsidP="008F36CE">
            <w:pPr>
              <w:pStyle w:val="ListParagraph"/>
              <w:numPr>
                <w:ilvl w:val="0"/>
                <w:numId w:val="9"/>
              </w:numPr>
              <w:ind w:left="709" w:hanging="284"/>
              <w:jc w:val="both"/>
              <w:rPr>
                <w:bCs/>
                <w:sz w:val="24"/>
                <w:szCs w:val="24"/>
                <w:lang w:val="lv-LV"/>
              </w:rPr>
            </w:pPr>
            <w:r w:rsidRPr="006D4B23">
              <w:rPr>
                <w:sz w:val="24"/>
                <w:szCs w:val="24"/>
                <w:lang w:val="lv-LV"/>
              </w:rPr>
              <w:t>noteikt, ka aizdevumu līgumu ar komersantiem noslēgšanas termiņš ir līdz 2013.gada 31.decembrim.</w:t>
            </w:r>
          </w:p>
        </w:tc>
      </w:tr>
      <w:tr w:rsidR="00537A29" w:rsidRPr="00DE28A0" w:rsidTr="007A2BA3">
        <w:tc>
          <w:tcPr>
            <w:tcW w:w="3261" w:type="dxa"/>
            <w:tcBorders>
              <w:top w:val="thickThinLargeGap" w:sz="6" w:space="0" w:color="C0C0C0"/>
              <w:left w:val="thickThinLargeGap" w:sz="6" w:space="0" w:color="C0C0C0"/>
              <w:bottom w:val="thickThinLargeGap" w:sz="6" w:space="0" w:color="C0C0C0"/>
              <w:right w:val="thickThinLargeGap" w:sz="6" w:space="0" w:color="C0C0C0"/>
            </w:tcBorders>
          </w:tcPr>
          <w:p w:rsidR="00537A29" w:rsidRPr="001E0F0B" w:rsidRDefault="00537A29" w:rsidP="00CE5A53">
            <w:pPr>
              <w:rPr>
                <w:rFonts w:eastAsia="Times New Roman"/>
                <w:sz w:val="24"/>
                <w:szCs w:val="24"/>
                <w:lang w:val="lv-LV" w:eastAsia="lv-LV"/>
              </w:rPr>
            </w:pPr>
            <w:r w:rsidRPr="001E0F0B">
              <w:rPr>
                <w:rFonts w:eastAsia="Times New Roman"/>
                <w:sz w:val="24"/>
                <w:szCs w:val="24"/>
                <w:lang w:val="lv-LV" w:eastAsia="lv-LV"/>
              </w:rPr>
              <w:lastRenderedPageBreak/>
              <w:t>5. Projekta izstrādē iesaistītās institūcijas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004E51" w:rsidRPr="001E0F0B" w:rsidRDefault="006A33F8" w:rsidP="002538B5">
            <w:pPr>
              <w:pStyle w:val="BodyText"/>
              <w:ind w:right="142" w:firstLine="567"/>
              <w:rPr>
                <w:sz w:val="24"/>
                <w:szCs w:val="24"/>
              </w:rPr>
            </w:pPr>
            <w:r w:rsidRPr="001E0F0B">
              <w:rPr>
                <w:sz w:val="24"/>
                <w:szCs w:val="24"/>
              </w:rPr>
              <w:t>Hipotēku banka</w:t>
            </w:r>
          </w:p>
        </w:tc>
      </w:tr>
      <w:tr w:rsidR="00AB248D" w:rsidRPr="001E0F0B" w:rsidTr="007A2BA3">
        <w:tc>
          <w:tcPr>
            <w:tcW w:w="3261" w:type="dxa"/>
            <w:tcBorders>
              <w:top w:val="thickThinLargeGap" w:sz="6" w:space="0" w:color="C0C0C0"/>
              <w:left w:val="thickThinLargeGap" w:sz="6" w:space="0" w:color="C0C0C0"/>
              <w:bottom w:val="thickThinLargeGap" w:sz="6" w:space="0" w:color="C0C0C0"/>
              <w:right w:val="thickThinLargeGap" w:sz="6" w:space="0" w:color="C0C0C0"/>
            </w:tcBorders>
          </w:tcPr>
          <w:p w:rsidR="00AB248D" w:rsidRPr="001E0F0B" w:rsidRDefault="00AB248D" w:rsidP="00CE5A53">
            <w:pPr>
              <w:rPr>
                <w:rFonts w:eastAsia="Times New Roman"/>
                <w:sz w:val="24"/>
                <w:szCs w:val="24"/>
                <w:lang w:val="lv-LV" w:eastAsia="lv-LV"/>
              </w:rPr>
            </w:pPr>
            <w:r w:rsidRPr="001E0F0B">
              <w:rPr>
                <w:rFonts w:eastAsia="Times New Roman"/>
                <w:sz w:val="24"/>
                <w:szCs w:val="24"/>
                <w:lang w:val="lv-LV" w:eastAsia="lv-LV"/>
              </w:rPr>
              <w:t>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8C0F58" w:rsidRPr="001E0F0B" w:rsidRDefault="001E0F0B" w:rsidP="004133BC">
            <w:pPr>
              <w:pStyle w:val="BodyText"/>
              <w:ind w:right="142" w:firstLine="567"/>
              <w:rPr>
                <w:sz w:val="24"/>
                <w:szCs w:val="24"/>
              </w:rPr>
            </w:pPr>
            <w:r w:rsidRPr="001E0F0B">
              <w:rPr>
                <w:color w:val="000000"/>
                <w:sz w:val="24"/>
                <w:szCs w:val="24"/>
              </w:rPr>
              <w:t xml:space="preserve">Nav. </w:t>
            </w:r>
          </w:p>
        </w:tc>
      </w:tr>
      <w:tr w:rsidR="00BB09C5" w:rsidRPr="001E0F0B" w:rsidTr="007A2BA3">
        <w:tc>
          <w:tcPr>
            <w:tcW w:w="3261" w:type="dxa"/>
            <w:tcBorders>
              <w:top w:val="thickThinLargeGap" w:sz="6" w:space="0" w:color="C0C0C0"/>
              <w:left w:val="thickThinLargeGap" w:sz="6" w:space="0" w:color="C0C0C0"/>
              <w:bottom w:val="thickThinLargeGap" w:sz="6" w:space="0" w:color="C0C0C0"/>
              <w:right w:val="thickThinLargeGap" w:sz="6" w:space="0" w:color="C0C0C0"/>
            </w:tcBorders>
          </w:tcPr>
          <w:p w:rsidR="00BB09C5" w:rsidRPr="001E0F0B" w:rsidRDefault="00D07CDB" w:rsidP="00CE5A53">
            <w:pPr>
              <w:rPr>
                <w:rFonts w:eastAsia="Times New Roman"/>
                <w:sz w:val="24"/>
                <w:szCs w:val="24"/>
                <w:lang w:val="lv-LV" w:eastAsia="lv-LV"/>
              </w:rPr>
            </w:pPr>
            <w:r w:rsidRPr="001E0F0B">
              <w:rPr>
                <w:rFonts w:eastAsia="Times New Roman"/>
                <w:sz w:val="24"/>
                <w:szCs w:val="24"/>
                <w:lang w:val="lv-LV" w:eastAsia="lv-LV"/>
              </w:rPr>
              <w:t> 7</w:t>
            </w:r>
            <w:r w:rsidR="00BB09C5" w:rsidRPr="001E0F0B">
              <w:rPr>
                <w:rFonts w:eastAsia="Times New Roman"/>
                <w:sz w:val="24"/>
                <w:szCs w:val="24"/>
                <w:lang w:val="lv-LV" w:eastAsia="lv-LV"/>
              </w:rPr>
              <w:t>. 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004E51" w:rsidRPr="001E0F0B" w:rsidRDefault="007D3113" w:rsidP="007D3113">
            <w:pPr>
              <w:ind w:firstLine="567"/>
              <w:jc w:val="both"/>
              <w:rPr>
                <w:sz w:val="24"/>
                <w:szCs w:val="24"/>
                <w:lang w:val="lv-LV"/>
              </w:rPr>
            </w:pPr>
            <w:r w:rsidRPr="001E0F0B">
              <w:rPr>
                <w:sz w:val="24"/>
                <w:szCs w:val="24"/>
                <w:lang w:val="lv-LV"/>
              </w:rPr>
              <w:t>Nav.</w:t>
            </w:r>
          </w:p>
        </w:tc>
      </w:tr>
    </w:tbl>
    <w:p w:rsidR="004B638C" w:rsidRPr="001E0F0B" w:rsidRDefault="004B638C" w:rsidP="00CE5A53">
      <w:pPr>
        <w:pStyle w:val="NormalWeb"/>
        <w:spacing w:before="0" w:beforeAutospacing="0" w:after="0" w:afterAutospacing="0"/>
        <w:jc w:val="center"/>
        <w:rPr>
          <w:b/>
          <w:lang w:val="lv-LV"/>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firstRow="0" w:lastRow="0" w:firstColumn="0" w:lastColumn="0" w:noHBand="0" w:noVBand="0"/>
      </w:tblPr>
      <w:tblGrid>
        <w:gridCol w:w="456"/>
        <w:gridCol w:w="2835"/>
        <w:gridCol w:w="6065"/>
      </w:tblGrid>
      <w:tr w:rsidR="00F621F0" w:rsidRPr="0063775D">
        <w:tc>
          <w:tcPr>
            <w:tcW w:w="9356" w:type="dxa"/>
            <w:gridSpan w:val="3"/>
            <w:vAlign w:val="center"/>
          </w:tcPr>
          <w:p w:rsidR="00F621F0" w:rsidRPr="001E0F0B" w:rsidRDefault="00C82B27" w:rsidP="00471B85">
            <w:pPr>
              <w:pStyle w:val="naisnod"/>
              <w:spacing w:before="0" w:after="0"/>
            </w:pPr>
            <w:r w:rsidRPr="001E0F0B">
              <w:t>II. Tiesību akta projekta ietekme uz sabiedrību</w:t>
            </w:r>
          </w:p>
        </w:tc>
      </w:tr>
      <w:tr w:rsidR="00F621F0" w:rsidRPr="001E0F0B" w:rsidTr="007A2BA3">
        <w:trPr>
          <w:trHeight w:val="467"/>
        </w:trPr>
        <w:tc>
          <w:tcPr>
            <w:tcW w:w="456" w:type="dxa"/>
          </w:tcPr>
          <w:p w:rsidR="00F621F0" w:rsidRPr="001E0F0B" w:rsidRDefault="00C82B27" w:rsidP="00471B85">
            <w:pPr>
              <w:pStyle w:val="naiskr"/>
              <w:spacing w:before="0" w:after="0"/>
            </w:pPr>
            <w:r w:rsidRPr="001E0F0B">
              <w:t>1.</w:t>
            </w:r>
          </w:p>
        </w:tc>
        <w:tc>
          <w:tcPr>
            <w:tcW w:w="2835" w:type="dxa"/>
          </w:tcPr>
          <w:p w:rsidR="007E5D4D" w:rsidRPr="001E0F0B" w:rsidRDefault="00C82B27">
            <w:pPr>
              <w:pStyle w:val="naiskr"/>
              <w:spacing w:before="0" w:after="0"/>
            </w:pPr>
            <w:r w:rsidRPr="001E0F0B">
              <w:t>Sabiedrības mērķgrupa</w:t>
            </w:r>
          </w:p>
        </w:tc>
        <w:tc>
          <w:tcPr>
            <w:tcW w:w="6065" w:type="dxa"/>
          </w:tcPr>
          <w:p w:rsidR="00404E4B" w:rsidRPr="001E0F0B" w:rsidRDefault="001E0F0B" w:rsidP="001E0F0B">
            <w:pPr>
              <w:pStyle w:val="naiskr"/>
              <w:jc w:val="both"/>
              <w:rPr>
                <w:iCs/>
              </w:rPr>
            </w:pPr>
            <w:r>
              <w:rPr>
                <w:iCs/>
              </w:rPr>
              <w:t xml:space="preserve">       S</w:t>
            </w:r>
            <w:r w:rsidRPr="001E0F0B">
              <w:rPr>
                <w:iCs/>
              </w:rPr>
              <w:t>īkie (mikro), mazie un vidējie komersanti</w:t>
            </w:r>
          </w:p>
        </w:tc>
      </w:tr>
      <w:tr w:rsidR="00F621F0" w:rsidRPr="001E0F0B" w:rsidTr="007A2BA3">
        <w:trPr>
          <w:trHeight w:val="523"/>
        </w:trPr>
        <w:tc>
          <w:tcPr>
            <w:tcW w:w="456" w:type="dxa"/>
          </w:tcPr>
          <w:p w:rsidR="00F621F0" w:rsidRPr="001E0F0B" w:rsidRDefault="00C82B27" w:rsidP="00471B85">
            <w:pPr>
              <w:pStyle w:val="naiskr"/>
              <w:spacing w:before="0" w:after="0"/>
            </w:pPr>
            <w:r w:rsidRPr="001E0F0B">
              <w:t>2.</w:t>
            </w:r>
          </w:p>
        </w:tc>
        <w:tc>
          <w:tcPr>
            <w:tcW w:w="2835" w:type="dxa"/>
          </w:tcPr>
          <w:p w:rsidR="007E5D4D" w:rsidRPr="001E0F0B" w:rsidRDefault="00C82B27">
            <w:pPr>
              <w:pStyle w:val="naiskr"/>
              <w:spacing w:before="0" w:after="0"/>
            </w:pPr>
            <w:r w:rsidRPr="001E0F0B">
              <w:t>Citas sabiedrības grupas (bez mērķgrupas), kuras tiesiskais regulējums arī ietekmē vai varētu ietekmēt</w:t>
            </w:r>
          </w:p>
        </w:tc>
        <w:tc>
          <w:tcPr>
            <w:tcW w:w="6065" w:type="dxa"/>
          </w:tcPr>
          <w:p w:rsidR="007E5D4D" w:rsidRPr="001E0F0B" w:rsidRDefault="001E0F0B" w:rsidP="007D3113">
            <w:pPr>
              <w:pStyle w:val="naiskr"/>
              <w:spacing w:before="0" w:after="0"/>
              <w:ind w:firstLine="450"/>
              <w:jc w:val="both"/>
            </w:pPr>
            <w:r w:rsidRPr="001E0F0B">
              <w:rPr>
                <w:color w:val="000000"/>
              </w:rPr>
              <w:t>Lielie komersanti</w:t>
            </w:r>
            <w:r w:rsidR="007D3113" w:rsidRPr="001E0F0B">
              <w:rPr>
                <w:color w:val="000000"/>
              </w:rPr>
              <w:t>.</w:t>
            </w:r>
          </w:p>
        </w:tc>
      </w:tr>
      <w:tr w:rsidR="00F621F0" w:rsidRPr="0063775D" w:rsidTr="007A2BA3">
        <w:trPr>
          <w:trHeight w:val="517"/>
        </w:trPr>
        <w:tc>
          <w:tcPr>
            <w:tcW w:w="456" w:type="dxa"/>
          </w:tcPr>
          <w:p w:rsidR="00F621F0" w:rsidRPr="001E0F0B" w:rsidRDefault="00C82B27" w:rsidP="00471B85">
            <w:pPr>
              <w:pStyle w:val="naiskr"/>
              <w:spacing w:before="0" w:after="0"/>
            </w:pPr>
            <w:r w:rsidRPr="001E0F0B">
              <w:t>3.</w:t>
            </w:r>
          </w:p>
        </w:tc>
        <w:tc>
          <w:tcPr>
            <w:tcW w:w="2835" w:type="dxa"/>
          </w:tcPr>
          <w:p w:rsidR="007E5D4D" w:rsidRPr="001E0F0B" w:rsidRDefault="00C82B27">
            <w:pPr>
              <w:pStyle w:val="naiskr"/>
              <w:spacing w:before="0" w:after="0"/>
            </w:pPr>
            <w:r w:rsidRPr="001E0F0B">
              <w:t>Tiesiskā regulējuma finansiālā ietekme</w:t>
            </w:r>
          </w:p>
        </w:tc>
        <w:tc>
          <w:tcPr>
            <w:tcW w:w="6065" w:type="dxa"/>
          </w:tcPr>
          <w:p w:rsidR="007E5D4D" w:rsidRPr="001E0F0B" w:rsidRDefault="001E0F0B" w:rsidP="001E0F0B">
            <w:pPr>
              <w:pStyle w:val="naiskr"/>
              <w:spacing w:before="0" w:after="0"/>
              <w:ind w:firstLine="450"/>
              <w:jc w:val="both"/>
            </w:pPr>
            <w:r w:rsidRPr="001E0F0B">
              <w:rPr>
                <w:color w:val="000000"/>
              </w:rPr>
              <w:t xml:space="preserve">Projekts paredz noteikt, ka aizdevumus komersantu konkurētspējas uzlabošanai varēs saņemt mikro, mazie un vidēji komersanti, bet vairs nevarēs saņemt lielie komersanti. Valsts atbalsta programmai pieejamais kopējais finansējuma apjoms netiek mainīts, taču tiek samazināts aizdevumu apjoms un programmas ietvaros tādējādi tiks veicināta pieeja finansējumam lielākam komersantu skaitam –  it īpaši  </w:t>
            </w:r>
            <w:r w:rsidRPr="001E0F0B">
              <w:rPr>
                <w:color w:val="000000"/>
              </w:rPr>
              <w:lastRenderedPageBreak/>
              <w:t xml:space="preserve">jaundibinātiem, darbību jaunā darbības jomā uzsākošiem un strauji augošiem mikro, mazajiem un vidējiem komersantiem. </w:t>
            </w:r>
          </w:p>
        </w:tc>
      </w:tr>
      <w:tr w:rsidR="00F621F0" w:rsidRPr="0063775D" w:rsidTr="007A2BA3">
        <w:trPr>
          <w:trHeight w:val="517"/>
        </w:trPr>
        <w:tc>
          <w:tcPr>
            <w:tcW w:w="456" w:type="dxa"/>
          </w:tcPr>
          <w:p w:rsidR="00F621F0" w:rsidRPr="001E0F0B" w:rsidRDefault="00C82B27" w:rsidP="00471B85">
            <w:pPr>
              <w:pStyle w:val="naiskr"/>
              <w:spacing w:before="0" w:after="0"/>
            </w:pPr>
            <w:r w:rsidRPr="001E0F0B">
              <w:lastRenderedPageBreak/>
              <w:t>4.</w:t>
            </w:r>
          </w:p>
        </w:tc>
        <w:tc>
          <w:tcPr>
            <w:tcW w:w="2835" w:type="dxa"/>
          </w:tcPr>
          <w:p w:rsidR="007E5D4D" w:rsidRPr="001E0F0B" w:rsidRDefault="00C82B27">
            <w:pPr>
              <w:pStyle w:val="naiskr"/>
              <w:spacing w:before="0" w:after="0"/>
            </w:pPr>
            <w:r w:rsidRPr="001E0F0B">
              <w:t>Tiesiskā regulējuma nefinansiālā ietekme</w:t>
            </w:r>
          </w:p>
        </w:tc>
        <w:tc>
          <w:tcPr>
            <w:tcW w:w="6065" w:type="dxa"/>
          </w:tcPr>
          <w:p w:rsidR="007E5D4D" w:rsidRPr="001E0F0B" w:rsidRDefault="001E0F0B" w:rsidP="001E0F0B">
            <w:pPr>
              <w:pStyle w:val="naiskr"/>
              <w:spacing w:before="0" w:after="0"/>
              <w:ind w:firstLine="450"/>
              <w:jc w:val="both"/>
              <w:rPr>
                <w:iCs/>
              </w:rPr>
            </w:pPr>
            <w:r w:rsidRPr="001E0F0B">
              <w:rPr>
                <w:iCs/>
              </w:rPr>
              <w:t xml:space="preserve">Piešķirot mazāka apjoma aizdevumus, tiks palielināts aizdevumu saņēmēju skaits, </w:t>
            </w:r>
            <w:r w:rsidRPr="001E0F0B">
              <w:t xml:space="preserve">tādējādi tiks veicinātas  ekonomiskās aktivitātes valstī, radītas jaunas darba vietas, līdz ar to tiks sekmēta Latvijas tautsaimniecības attīstība un risinātas tirgus nepilnības, kas saistītas ar jaundibinātu un strauji augošu komersantu pieeju finansējumam. </w:t>
            </w:r>
          </w:p>
        </w:tc>
      </w:tr>
      <w:tr w:rsidR="00F621F0" w:rsidRPr="00DE28A0" w:rsidTr="007A2BA3">
        <w:trPr>
          <w:trHeight w:val="531"/>
        </w:trPr>
        <w:tc>
          <w:tcPr>
            <w:tcW w:w="456" w:type="dxa"/>
          </w:tcPr>
          <w:p w:rsidR="00F621F0" w:rsidRPr="001E0F0B" w:rsidRDefault="00C82B27" w:rsidP="00471B85">
            <w:pPr>
              <w:pStyle w:val="naiskr"/>
              <w:spacing w:before="0" w:after="0"/>
            </w:pPr>
            <w:r w:rsidRPr="001E0F0B">
              <w:t>5.</w:t>
            </w:r>
          </w:p>
        </w:tc>
        <w:tc>
          <w:tcPr>
            <w:tcW w:w="2835" w:type="dxa"/>
          </w:tcPr>
          <w:p w:rsidR="007E5D4D" w:rsidRPr="001E0F0B" w:rsidRDefault="00C82B27">
            <w:pPr>
              <w:pStyle w:val="naiskr"/>
              <w:spacing w:before="0" w:after="0"/>
            </w:pPr>
            <w:r w:rsidRPr="001E0F0B">
              <w:t>Administratīvās procedūras raksturojums</w:t>
            </w:r>
          </w:p>
        </w:tc>
        <w:tc>
          <w:tcPr>
            <w:tcW w:w="6065" w:type="dxa"/>
          </w:tcPr>
          <w:p w:rsidR="007E5D4D" w:rsidRPr="001E0F0B" w:rsidRDefault="007D3113" w:rsidP="007D3113">
            <w:pPr>
              <w:pStyle w:val="naiskr"/>
              <w:spacing w:before="0" w:after="0"/>
              <w:ind w:firstLine="450"/>
            </w:pPr>
            <w:r w:rsidRPr="001E0F0B">
              <w:rPr>
                <w:color w:val="000000"/>
              </w:rPr>
              <w:t>Projekts šo jomu neskar.</w:t>
            </w:r>
          </w:p>
        </w:tc>
      </w:tr>
      <w:tr w:rsidR="00F621F0" w:rsidRPr="00DE28A0" w:rsidTr="007A2BA3">
        <w:trPr>
          <w:trHeight w:val="357"/>
        </w:trPr>
        <w:tc>
          <w:tcPr>
            <w:tcW w:w="456" w:type="dxa"/>
          </w:tcPr>
          <w:p w:rsidR="00F621F0" w:rsidRPr="001E0F0B" w:rsidRDefault="00C82B27" w:rsidP="00471B85">
            <w:pPr>
              <w:pStyle w:val="naiskr"/>
              <w:spacing w:before="0" w:after="0"/>
            </w:pPr>
            <w:r w:rsidRPr="001E0F0B">
              <w:t>6.</w:t>
            </w:r>
          </w:p>
        </w:tc>
        <w:tc>
          <w:tcPr>
            <w:tcW w:w="2835" w:type="dxa"/>
          </w:tcPr>
          <w:p w:rsidR="007E5D4D" w:rsidRPr="001E0F0B" w:rsidRDefault="00C82B27">
            <w:pPr>
              <w:pStyle w:val="naiskr"/>
              <w:spacing w:before="0" w:after="0"/>
            </w:pPr>
            <w:r w:rsidRPr="001E0F0B">
              <w:t>Administratīvo izmaksu monetārs novērtējums</w:t>
            </w:r>
          </w:p>
        </w:tc>
        <w:tc>
          <w:tcPr>
            <w:tcW w:w="6065" w:type="dxa"/>
          </w:tcPr>
          <w:p w:rsidR="007E5D4D" w:rsidRPr="001E0F0B" w:rsidRDefault="007D3113" w:rsidP="007D3113">
            <w:pPr>
              <w:pStyle w:val="naiskr"/>
              <w:spacing w:before="0" w:after="0"/>
              <w:ind w:firstLine="450"/>
            </w:pPr>
            <w:r w:rsidRPr="001E0F0B">
              <w:rPr>
                <w:color w:val="000000"/>
              </w:rPr>
              <w:t>Projekts šo jomu neskar.</w:t>
            </w:r>
          </w:p>
        </w:tc>
      </w:tr>
      <w:tr w:rsidR="00F621F0" w:rsidRPr="00DE28A0" w:rsidTr="007A2BA3">
        <w:trPr>
          <w:trHeight w:val="489"/>
        </w:trPr>
        <w:tc>
          <w:tcPr>
            <w:tcW w:w="456" w:type="dxa"/>
          </w:tcPr>
          <w:p w:rsidR="00F621F0" w:rsidRPr="001E0F0B" w:rsidRDefault="00C82B27" w:rsidP="00471B85">
            <w:pPr>
              <w:pStyle w:val="naiskr"/>
              <w:spacing w:before="0" w:after="0"/>
            </w:pPr>
            <w:r w:rsidRPr="001E0F0B">
              <w:t>7.</w:t>
            </w:r>
          </w:p>
        </w:tc>
        <w:tc>
          <w:tcPr>
            <w:tcW w:w="2835" w:type="dxa"/>
          </w:tcPr>
          <w:p w:rsidR="007E5D4D" w:rsidRPr="001E0F0B" w:rsidRDefault="00C82B27">
            <w:pPr>
              <w:pStyle w:val="naiskr"/>
              <w:spacing w:before="0" w:after="0"/>
            </w:pPr>
            <w:r w:rsidRPr="001E0F0B">
              <w:t>Cita informācija</w:t>
            </w:r>
          </w:p>
        </w:tc>
        <w:tc>
          <w:tcPr>
            <w:tcW w:w="6065" w:type="dxa"/>
          </w:tcPr>
          <w:p w:rsidR="007E5D4D" w:rsidRPr="001E0F0B" w:rsidRDefault="00C82B27" w:rsidP="007D3113">
            <w:pPr>
              <w:pStyle w:val="naiskr"/>
              <w:spacing w:before="0" w:after="0"/>
              <w:ind w:firstLine="450"/>
            </w:pPr>
            <w:r w:rsidRPr="001E0F0B">
              <w:t>Nav.</w:t>
            </w:r>
          </w:p>
        </w:tc>
      </w:tr>
    </w:tbl>
    <w:p w:rsidR="004E7663" w:rsidRPr="00DE28A0" w:rsidRDefault="004E7663" w:rsidP="00CE5A53">
      <w:pPr>
        <w:pStyle w:val="NormalWeb"/>
        <w:spacing w:before="0" w:beforeAutospacing="0" w:after="0" w:afterAutospacing="0"/>
        <w:jc w:val="center"/>
        <w:rPr>
          <w:b/>
          <w:highlight w:val="lightGray"/>
          <w:lang w:val="lv-LV"/>
        </w:rPr>
      </w:pPr>
    </w:p>
    <w:p w:rsidR="008F04B9" w:rsidRPr="001E0F0B" w:rsidRDefault="001E0F0B" w:rsidP="001E0F0B">
      <w:pPr>
        <w:pStyle w:val="NormalWeb"/>
        <w:spacing w:before="0" w:beforeAutospacing="0" w:after="0" w:afterAutospacing="0" w:line="276" w:lineRule="auto"/>
        <w:jc w:val="center"/>
        <w:rPr>
          <w:b/>
          <w:lang w:val="lv-LV"/>
        </w:rPr>
      </w:pPr>
      <w:r>
        <w:rPr>
          <w:b/>
          <w:lang w:val="lv-LV"/>
        </w:rPr>
        <w:t xml:space="preserve">Anotācijas III, </w:t>
      </w:r>
      <w:r w:rsidRPr="001E0F0B">
        <w:rPr>
          <w:b/>
          <w:lang w:val="lv-LV"/>
        </w:rPr>
        <w:t>IV</w:t>
      </w:r>
      <w:r w:rsidR="004F3EAC">
        <w:rPr>
          <w:b/>
          <w:lang w:val="lv-LV"/>
        </w:rPr>
        <w:t xml:space="preserve"> </w:t>
      </w:r>
      <w:r w:rsidRPr="001E0F0B">
        <w:rPr>
          <w:b/>
          <w:lang w:val="lv-LV"/>
        </w:rPr>
        <w:t>sadaļa - nav attiecināms.</w:t>
      </w:r>
    </w:p>
    <w:p w:rsidR="00926E4B" w:rsidRDefault="00926E4B" w:rsidP="00CE5A53">
      <w:pPr>
        <w:tabs>
          <w:tab w:val="left" w:pos="7655"/>
        </w:tabs>
        <w:jc w:val="both"/>
        <w:rPr>
          <w:bCs/>
          <w:sz w:val="24"/>
          <w:szCs w:val="24"/>
          <w:highlight w:val="lightGray"/>
          <w:lang w:val="lv-LV"/>
        </w:rPr>
      </w:pPr>
    </w:p>
    <w:tbl>
      <w:tblPr>
        <w:tblW w:w="5073" w:type="pct"/>
        <w:tblCellSpacing w:w="15" w:type="dxa"/>
        <w:tblInd w:w="-67" w:type="dxa"/>
        <w:tblBorders>
          <w:top w:val="outset" w:sz="6" w:space="0" w:color="BFBFBF" w:themeColor="background1" w:themeShade="BF"/>
          <w:left w:val="outset" w:sz="6" w:space="0" w:color="BFBFBF" w:themeColor="background1" w:themeShade="BF"/>
          <w:bottom w:val="outset" w:sz="6" w:space="0" w:color="BFBFBF" w:themeColor="background1" w:themeShade="BF"/>
          <w:right w:val="outset" w:sz="6" w:space="0" w:color="BFBFBF" w:themeColor="background1" w:themeShade="BF"/>
          <w:insideH w:val="outset" w:sz="6" w:space="0" w:color="BFBFBF" w:themeColor="background1" w:themeShade="BF"/>
          <w:insideV w:val="outset" w:sz="6" w:space="0" w:color="BFBFBF" w:themeColor="background1" w:themeShade="BF"/>
        </w:tblBorders>
        <w:tblCellMar>
          <w:top w:w="30" w:type="dxa"/>
          <w:left w:w="30" w:type="dxa"/>
          <w:bottom w:w="30" w:type="dxa"/>
          <w:right w:w="30" w:type="dxa"/>
        </w:tblCellMar>
        <w:tblLook w:val="04A0" w:firstRow="1" w:lastRow="0" w:firstColumn="1" w:lastColumn="0" w:noHBand="0" w:noVBand="1"/>
      </w:tblPr>
      <w:tblGrid>
        <w:gridCol w:w="421"/>
        <w:gridCol w:w="1598"/>
        <w:gridCol w:w="1177"/>
        <w:gridCol w:w="1102"/>
        <w:gridCol w:w="2090"/>
        <w:gridCol w:w="2968"/>
      </w:tblGrid>
      <w:tr w:rsidR="00435893" w:rsidRPr="00526CAD" w:rsidTr="007A2BA3">
        <w:trPr>
          <w:tblCellSpacing w:w="15" w:type="dxa"/>
        </w:trPr>
        <w:tc>
          <w:tcPr>
            <w:tcW w:w="4968" w:type="pct"/>
            <w:gridSpan w:val="6"/>
            <w:shd w:val="clear" w:color="auto" w:fill="auto"/>
          </w:tcPr>
          <w:p w:rsidR="00435893" w:rsidRPr="00526CAD" w:rsidRDefault="00435893" w:rsidP="00EB1E3A">
            <w:pPr>
              <w:jc w:val="center"/>
              <w:rPr>
                <w:rFonts w:eastAsia="Times New Roman"/>
                <w:b/>
                <w:bCs/>
                <w:sz w:val="24"/>
                <w:szCs w:val="24"/>
                <w:lang w:val="lv-LV" w:eastAsia="lv-LV"/>
              </w:rPr>
            </w:pPr>
            <w:r w:rsidRPr="00526CAD">
              <w:rPr>
                <w:rFonts w:eastAsia="Times New Roman"/>
                <w:b/>
                <w:bCs/>
                <w:sz w:val="24"/>
                <w:szCs w:val="24"/>
                <w:lang w:val="lv-LV" w:eastAsia="lv-LV"/>
              </w:rPr>
              <w:t>V. Tiesību akta projekta atbilstība Latvijas Republikas starptautiskajām saistībām</w:t>
            </w:r>
          </w:p>
        </w:tc>
      </w:tr>
      <w:tr w:rsidR="007A2BA3" w:rsidRPr="00526CAD" w:rsidTr="007A2BA3">
        <w:trPr>
          <w:tblCellSpacing w:w="15" w:type="dxa"/>
        </w:trPr>
        <w:tc>
          <w:tcPr>
            <w:tcW w:w="204" w:type="pct"/>
            <w:shd w:val="clear" w:color="auto" w:fill="auto"/>
          </w:tcPr>
          <w:p w:rsidR="00435893" w:rsidRPr="00526CAD" w:rsidRDefault="00435893" w:rsidP="00EB1E3A">
            <w:pPr>
              <w:rPr>
                <w:rFonts w:eastAsia="Times New Roman"/>
                <w:sz w:val="24"/>
                <w:szCs w:val="24"/>
                <w:lang w:val="lv-LV" w:eastAsia="lv-LV"/>
              </w:rPr>
            </w:pPr>
            <w:r w:rsidRPr="00526CAD">
              <w:rPr>
                <w:rFonts w:eastAsia="Times New Roman"/>
                <w:sz w:val="24"/>
                <w:szCs w:val="24"/>
                <w:lang w:val="lv-LV" w:eastAsia="lv-LV"/>
              </w:rPr>
              <w:t>1.</w:t>
            </w:r>
          </w:p>
        </w:tc>
        <w:tc>
          <w:tcPr>
            <w:tcW w:w="1475" w:type="pct"/>
            <w:gridSpan w:val="2"/>
            <w:shd w:val="clear" w:color="auto" w:fill="auto"/>
          </w:tcPr>
          <w:p w:rsidR="00435893" w:rsidRPr="00526CAD" w:rsidRDefault="00435893" w:rsidP="00EB1E3A">
            <w:pPr>
              <w:jc w:val="both"/>
              <w:rPr>
                <w:rFonts w:eastAsia="Times New Roman"/>
                <w:sz w:val="24"/>
                <w:szCs w:val="24"/>
                <w:lang w:val="lv-LV" w:eastAsia="lv-LV"/>
              </w:rPr>
            </w:pPr>
            <w:r w:rsidRPr="00526CAD">
              <w:rPr>
                <w:rFonts w:eastAsia="Times New Roman"/>
                <w:sz w:val="24"/>
                <w:szCs w:val="24"/>
                <w:lang w:val="lv-LV" w:eastAsia="lv-LV"/>
              </w:rPr>
              <w:t>Saistības pret Eiropas Savienību</w:t>
            </w:r>
          </w:p>
        </w:tc>
        <w:tc>
          <w:tcPr>
            <w:tcW w:w="3257" w:type="pct"/>
            <w:gridSpan w:val="3"/>
            <w:shd w:val="clear" w:color="auto" w:fill="auto"/>
          </w:tcPr>
          <w:p w:rsidR="00134D00" w:rsidRDefault="00435893" w:rsidP="00EB1E3A">
            <w:pPr>
              <w:jc w:val="both"/>
              <w:rPr>
                <w:rFonts w:eastAsia="Times New Roman"/>
                <w:sz w:val="24"/>
                <w:szCs w:val="24"/>
                <w:lang w:val="lv-LV" w:eastAsia="lv-LV"/>
              </w:rPr>
            </w:pPr>
            <w:r w:rsidRPr="00526CAD">
              <w:rPr>
                <w:rFonts w:eastAsia="Times New Roman"/>
                <w:sz w:val="24"/>
                <w:szCs w:val="24"/>
                <w:lang w:val="lv-LV" w:eastAsia="lv-LV"/>
              </w:rPr>
              <w:t>Ar noteikumu projektu tiks ieviestas šāda Eiropas Savienības tiesību akta prasības:</w:t>
            </w:r>
          </w:p>
          <w:p w:rsidR="00134D00" w:rsidRPr="00526CAD" w:rsidRDefault="00134D00" w:rsidP="00EB1E3A">
            <w:pPr>
              <w:jc w:val="both"/>
              <w:rPr>
                <w:rFonts w:eastAsia="Times New Roman"/>
                <w:sz w:val="24"/>
                <w:szCs w:val="24"/>
                <w:lang w:val="lv-LV" w:eastAsia="lv-LV"/>
              </w:rPr>
            </w:pPr>
          </w:p>
          <w:p w:rsidR="00134D00" w:rsidRDefault="00435893" w:rsidP="00134D00">
            <w:pPr>
              <w:jc w:val="both"/>
              <w:rPr>
                <w:sz w:val="24"/>
                <w:szCs w:val="24"/>
                <w:lang w:val="lv-LV"/>
              </w:rPr>
            </w:pPr>
            <w:r w:rsidRPr="00526CAD">
              <w:rPr>
                <w:rFonts w:eastAsia="Times New Roman"/>
                <w:sz w:val="24"/>
                <w:szCs w:val="24"/>
                <w:lang w:val="lv-LV" w:eastAsia="lv-LV"/>
              </w:rPr>
              <w:t>Komisijas 2008.gada 6.augusta Regula (EK) Nr.800/2008, kas atzīst noteiktas atbalsta kategorijas par saderīgām ar kopējo tirgu, piemērojot Līguma 87. un 88.pantu (vispārējā grupu atbrīvojuma regula)</w:t>
            </w:r>
            <w:r w:rsidR="00B97AF1">
              <w:rPr>
                <w:rFonts w:eastAsia="Times New Roman"/>
                <w:sz w:val="24"/>
                <w:szCs w:val="24"/>
                <w:lang w:val="lv-LV" w:eastAsia="lv-LV"/>
              </w:rPr>
              <w:t xml:space="preserve"> (</w:t>
            </w:r>
            <w:r w:rsidR="00B97AF1" w:rsidRPr="0052194D">
              <w:rPr>
                <w:rFonts w:eastAsia="Times New Roman"/>
                <w:sz w:val="24"/>
                <w:szCs w:val="24"/>
                <w:lang w:val="lv-LV" w:eastAsia="lv-LV"/>
              </w:rPr>
              <w:t>Eiropas Savienības Oficiālais Vēstnesis, 2008.gada 9.augusts, L 214</w:t>
            </w:r>
            <w:r w:rsidR="00B97AF1">
              <w:rPr>
                <w:rFonts w:eastAsia="Times New Roman"/>
                <w:sz w:val="24"/>
                <w:szCs w:val="24"/>
                <w:lang w:val="lv-LV" w:eastAsia="lv-LV"/>
              </w:rPr>
              <w:t>)</w:t>
            </w:r>
            <w:r w:rsidR="00134D00">
              <w:t xml:space="preserve"> </w:t>
            </w:r>
            <w:r w:rsidR="00134D00" w:rsidRPr="00134D00">
              <w:rPr>
                <w:rFonts w:eastAsia="Times New Roman"/>
                <w:sz w:val="24"/>
                <w:szCs w:val="24"/>
                <w:lang w:val="lv-LV" w:eastAsia="lv-LV"/>
              </w:rPr>
              <w:t>(turpmāk – Komisijas Regula Nr.800/2008)</w:t>
            </w:r>
            <w:r w:rsidRPr="00526CAD">
              <w:rPr>
                <w:rFonts w:eastAsia="Times New Roman"/>
                <w:sz w:val="24"/>
                <w:szCs w:val="24"/>
                <w:lang w:val="lv-LV" w:eastAsia="lv-LV"/>
              </w:rPr>
              <w:t>;</w:t>
            </w:r>
          </w:p>
          <w:p w:rsidR="00134D00" w:rsidRPr="00526CAD" w:rsidRDefault="00134D00" w:rsidP="00134D00">
            <w:pPr>
              <w:jc w:val="both"/>
              <w:rPr>
                <w:rFonts w:eastAsia="Times New Roman"/>
                <w:sz w:val="24"/>
                <w:szCs w:val="24"/>
                <w:lang w:val="lv-LV" w:eastAsia="lv-LV"/>
              </w:rPr>
            </w:pPr>
          </w:p>
          <w:p w:rsidR="00435893" w:rsidRPr="00526CAD" w:rsidRDefault="00435893" w:rsidP="00134D00">
            <w:pPr>
              <w:jc w:val="both"/>
              <w:rPr>
                <w:rFonts w:eastAsia="Times New Roman"/>
                <w:b/>
                <w:sz w:val="24"/>
                <w:szCs w:val="24"/>
                <w:lang w:val="lv-LV" w:eastAsia="lv-LV"/>
              </w:rPr>
            </w:pPr>
            <w:r w:rsidRPr="00EF1B0A">
              <w:rPr>
                <w:sz w:val="24"/>
                <w:szCs w:val="24"/>
                <w:lang w:val="lv-LV"/>
              </w:rPr>
              <w:t xml:space="preserve">Komisijas 2006.gada 15.decembra Regula (EK) Nr. </w:t>
            </w:r>
            <w:r w:rsidR="00B97AF1" w:rsidRPr="00B97AF1">
              <w:rPr>
                <w:sz w:val="24"/>
                <w:szCs w:val="24"/>
                <w:lang w:val="lv-LV"/>
              </w:rPr>
              <w:t>1998/2006</w:t>
            </w:r>
            <w:r w:rsidRPr="00EF1B0A">
              <w:rPr>
                <w:sz w:val="24"/>
                <w:szCs w:val="24"/>
                <w:lang w:val="lv-LV"/>
              </w:rPr>
              <w:t xml:space="preserve"> par Līguma 87. un 88.panta piemērošanu </w:t>
            </w:r>
            <w:r w:rsidRPr="00EF1B0A">
              <w:rPr>
                <w:i/>
                <w:iCs/>
                <w:sz w:val="24"/>
                <w:szCs w:val="24"/>
                <w:lang w:val="lv-LV"/>
              </w:rPr>
              <w:t>de minimis</w:t>
            </w:r>
            <w:r w:rsidRPr="00EF1B0A">
              <w:rPr>
                <w:sz w:val="24"/>
                <w:szCs w:val="24"/>
                <w:lang w:val="lv-LV"/>
              </w:rPr>
              <w:t xml:space="preserve"> atbalstam (Eiropas Savienības Oficiālais Vēstnesis, 2006.gada 28.decembris, </w:t>
            </w:r>
            <w:r w:rsidRPr="00EF1B0A">
              <w:rPr>
                <w:sz w:val="24"/>
                <w:szCs w:val="24"/>
                <w:lang w:val="lv-LV"/>
              </w:rPr>
              <w:br/>
              <w:t>L 379)</w:t>
            </w:r>
            <w:r w:rsidR="00134D00">
              <w:t xml:space="preserve"> </w:t>
            </w:r>
            <w:r w:rsidR="00134D00" w:rsidRPr="00134D00">
              <w:rPr>
                <w:sz w:val="24"/>
                <w:szCs w:val="24"/>
                <w:lang w:val="lv-LV"/>
              </w:rPr>
              <w:t>(turpmāk – Komisijas Regula Nr.1998/2006)</w:t>
            </w:r>
            <w:r w:rsidRPr="00EF1B0A">
              <w:rPr>
                <w:sz w:val="24"/>
                <w:szCs w:val="24"/>
                <w:lang w:val="lv-LV"/>
              </w:rPr>
              <w:t>.</w:t>
            </w:r>
          </w:p>
        </w:tc>
      </w:tr>
      <w:tr w:rsidR="007A2BA3" w:rsidRPr="00526CAD" w:rsidTr="007A2BA3">
        <w:trPr>
          <w:tblCellSpacing w:w="15" w:type="dxa"/>
        </w:trPr>
        <w:tc>
          <w:tcPr>
            <w:tcW w:w="204" w:type="pct"/>
            <w:shd w:val="clear" w:color="auto" w:fill="auto"/>
          </w:tcPr>
          <w:p w:rsidR="00435893" w:rsidRPr="00526CAD" w:rsidRDefault="00435893" w:rsidP="00EB1E3A">
            <w:pPr>
              <w:rPr>
                <w:rFonts w:eastAsia="Times New Roman"/>
                <w:sz w:val="24"/>
                <w:szCs w:val="24"/>
                <w:lang w:val="lv-LV" w:eastAsia="lv-LV"/>
              </w:rPr>
            </w:pPr>
            <w:r w:rsidRPr="00526CAD">
              <w:rPr>
                <w:rFonts w:eastAsia="Times New Roman"/>
                <w:sz w:val="24"/>
                <w:szCs w:val="24"/>
                <w:lang w:val="lv-LV" w:eastAsia="lv-LV"/>
              </w:rPr>
              <w:t>2.</w:t>
            </w:r>
          </w:p>
        </w:tc>
        <w:tc>
          <w:tcPr>
            <w:tcW w:w="1475" w:type="pct"/>
            <w:gridSpan w:val="2"/>
            <w:shd w:val="clear" w:color="auto" w:fill="auto"/>
          </w:tcPr>
          <w:p w:rsidR="00435893" w:rsidRPr="00526CAD" w:rsidRDefault="00435893" w:rsidP="00EB1E3A">
            <w:pPr>
              <w:jc w:val="both"/>
              <w:rPr>
                <w:rFonts w:eastAsia="Times New Roman"/>
                <w:sz w:val="24"/>
                <w:szCs w:val="24"/>
                <w:lang w:val="lv-LV" w:eastAsia="lv-LV"/>
              </w:rPr>
            </w:pPr>
            <w:r w:rsidRPr="00526CAD">
              <w:rPr>
                <w:rFonts w:eastAsia="Times New Roman"/>
                <w:sz w:val="24"/>
                <w:szCs w:val="24"/>
                <w:lang w:val="lv-LV" w:eastAsia="lv-LV"/>
              </w:rPr>
              <w:t>Citas starptautiskās saistības</w:t>
            </w:r>
          </w:p>
        </w:tc>
        <w:tc>
          <w:tcPr>
            <w:tcW w:w="3257" w:type="pct"/>
            <w:gridSpan w:val="3"/>
            <w:shd w:val="clear" w:color="auto" w:fill="auto"/>
          </w:tcPr>
          <w:p w:rsidR="00435893" w:rsidRPr="00526CAD" w:rsidRDefault="00435893" w:rsidP="00EB1E3A">
            <w:pPr>
              <w:ind w:firstLine="341"/>
              <w:jc w:val="both"/>
              <w:rPr>
                <w:rFonts w:eastAsia="Times New Roman"/>
                <w:sz w:val="24"/>
                <w:szCs w:val="24"/>
                <w:lang w:val="lv-LV" w:eastAsia="lv-LV"/>
              </w:rPr>
            </w:pPr>
            <w:r w:rsidRPr="00526CAD">
              <w:rPr>
                <w:rFonts w:eastAsia="Times New Roman"/>
                <w:sz w:val="24"/>
                <w:szCs w:val="24"/>
                <w:lang w:val="lv-LV" w:eastAsia="lv-LV"/>
              </w:rPr>
              <w:t>Projekts šo jomu neskar.</w:t>
            </w:r>
          </w:p>
        </w:tc>
      </w:tr>
      <w:tr w:rsidR="007A2BA3" w:rsidRPr="00526CAD" w:rsidTr="007A2BA3">
        <w:trPr>
          <w:tblCellSpacing w:w="15" w:type="dxa"/>
        </w:trPr>
        <w:tc>
          <w:tcPr>
            <w:tcW w:w="204" w:type="pct"/>
            <w:shd w:val="clear" w:color="auto" w:fill="auto"/>
          </w:tcPr>
          <w:p w:rsidR="00435893" w:rsidRPr="00526CAD" w:rsidRDefault="00435893" w:rsidP="00EB1E3A">
            <w:pPr>
              <w:rPr>
                <w:rFonts w:eastAsia="Times New Roman"/>
                <w:sz w:val="24"/>
                <w:szCs w:val="24"/>
                <w:lang w:val="lv-LV" w:eastAsia="lv-LV"/>
              </w:rPr>
            </w:pPr>
            <w:r w:rsidRPr="00526CAD">
              <w:rPr>
                <w:rFonts w:eastAsia="Times New Roman"/>
                <w:sz w:val="24"/>
                <w:szCs w:val="24"/>
                <w:lang w:val="lv-LV" w:eastAsia="lv-LV"/>
              </w:rPr>
              <w:t>3.</w:t>
            </w:r>
          </w:p>
        </w:tc>
        <w:tc>
          <w:tcPr>
            <w:tcW w:w="1475" w:type="pct"/>
            <w:gridSpan w:val="2"/>
            <w:shd w:val="clear" w:color="auto" w:fill="auto"/>
          </w:tcPr>
          <w:p w:rsidR="00435893" w:rsidRPr="00526CAD" w:rsidRDefault="00435893" w:rsidP="00EB1E3A">
            <w:pPr>
              <w:jc w:val="both"/>
              <w:rPr>
                <w:rFonts w:eastAsia="Times New Roman"/>
                <w:sz w:val="24"/>
                <w:szCs w:val="24"/>
                <w:lang w:val="lv-LV" w:eastAsia="lv-LV"/>
              </w:rPr>
            </w:pPr>
            <w:r w:rsidRPr="00526CAD">
              <w:rPr>
                <w:rFonts w:eastAsia="Times New Roman"/>
                <w:sz w:val="24"/>
                <w:szCs w:val="24"/>
                <w:lang w:val="lv-LV" w:eastAsia="lv-LV"/>
              </w:rPr>
              <w:t>Cita informācija</w:t>
            </w:r>
          </w:p>
        </w:tc>
        <w:tc>
          <w:tcPr>
            <w:tcW w:w="3257" w:type="pct"/>
            <w:gridSpan w:val="3"/>
            <w:shd w:val="clear" w:color="auto" w:fill="auto"/>
          </w:tcPr>
          <w:p w:rsidR="00435893" w:rsidRPr="003D6B3A" w:rsidRDefault="0034228A" w:rsidP="00B850BA">
            <w:pPr>
              <w:spacing w:after="120"/>
              <w:jc w:val="both"/>
              <w:rPr>
                <w:sz w:val="24"/>
                <w:szCs w:val="24"/>
                <w:lang w:val="lv-LV"/>
              </w:rPr>
            </w:pPr>
            <w:r>
              <w:rPr>
                <w:rFonts w:eastAsia="Times New Roman"/>
                <w:sz w:val="24"/>
                <w:szCs w:val="24"/>
                <w:lang w:val="lv-LV" w:eastAsia="lv-LV"/>
              </w:rPr>
              <w:t xml:space="preserve">Atbilstoši Komisijas Regulas Nr.1998/2006 preambulas 7.punktam grūtībās nonākušu komersantu izvērtē atbilstoši </w:t>
            </w:r>
            <w:r>
              <w:rPr>
                <w:sz w:val="24"/>
                <w:szCs w:val="24"/>
                <w:lang w:val="lv-LV"/>
              </w:rPr>
              <w:t>Komisijas paziņojumam</w:t>
            </w:r>
            <w:r w:rsidRPr="00526CAD">
              <w:rPr>
                <w:sz w:val="24"/>
                <w:szCs w:val="24"/>
                <w:lang w:val="lv-LV"/>
              </w:rPr>
              <w:t xml:space="preserve"> </w:t>
            </w:r>
            <w:r>
              <w:rPr>
                <w:sz w:val="24"/>
                <w:szCs w:val="24"/>
                <w:lang w:val="lv-LV"/>
              </w:rPr>
              <w:t>„</w:t>
            </w:r>
            <w:r w:rsidRPr="00526CAD">
              <w:rPr>
                <w:sz w:val="24"/>
                <w:szCs w:val="24"/>
                <w:lang w:val="lv-LV"/>
              </w:rPr>
              <w:t>Kopienas pamatnostādnes par valsts atbalstu grūtībās nonākušu uzņēmumu glābšanai un pārstrukturēšanai (2004/C 244/02)</w:t>
            </w:r>
            <w:r>
              <w:rPr>
                <w:sz w:val="24"/>
                <w:szCs w:val="24"/>
                <w:lang w:val="lv-LV"/>
              </w:rPr>
              <w:t>”.</w:t>
            </w:r>
          </w:p>
        </w:tc>
      </w:tr>
      <w:tr w:rsidR="00435893" w:rsidRPr="00EF1B0A" w:rsidTr="007A2BA3">
        <w:trPr>
          <w:tblCellSpacing w:w="15" w:type="dxa"/>
        </w:trPr>
        <w:tc>
          <w:tcPr>
            <w:tcW w:w="4968" w:type="pct"/>
            <w:gridSpan w:val="6"/>
            <w:shd w:val="clear" w:color="auto" w:fill="auto"/>
            <w:vAlign w:val="center"/>
          </w:tcPr>
          <w:p w:rsidR="00435893" w:rsidRPr="00EF1B0A" w:rsidRDefault="00435893" w:rsidP="00EB1E3A">
            <w:pPr>
              <w:jc w:val="center"/>
              <w:rPr>
                <w:rFonts w:eastAsia="Times New Roman"/>
                <w:b/>
                <w:bCs/>
                <w:sz w:val="24"/>
                <w:szCs w:val="24"/>
                <w:lang w:val="de-DE" w:eastAsia="lv-LV"/>
              </w:rPr>
            </w:pPr>
            <w:r w:rsidRPr="00EF1B0A">
              <w:rPr>
                <w:rFonts w:eastAsia="Times New Roman"/>
                <w:b/>
                <w:bCs/>
                <w:sz w:val="24"/>
                <w:szCs w:val="24"/>
                <w:lang w:val="de-DE" w:eastAsia="lv-LV"/>
              </w:rPr>
              <w:t>1.tabula</w:t>
            </w:r>
            <w:r w:rsidRPr="00EF1B0A">
              <w:rPr>
                <w:rFonts w:eastAsia="Times New Roman"/>
                <w:b/>
                <w:bCs/>
                <w:sz w:val="24"/>
                <w:szCs w:val="24"/>
                <w:lang w:val="de-DE" w:eastAsia="lv-LV"/>
              </w:rPr>
              <w:br/>
              <w:t>Tiesību akta projekta atbilstība ES tiesību aktiem</w:t>
            </w:r>
          </w:p>
        </w:tc>
      </w:tr>
      <w:tr w:rsidR="00643AFE" w:rsidRPr="0076555E" w:rsidTr="007A2BA3">
        <w:trPr>
          <w:tblCellSpacing w:w="15" w:type="dxa"/>
        </w:trPr>
        <w:tc>
          <w:tcPr>
            <w:tcW w:w="1056" w:type="pct"/>
            <w:gridSpan w:val="2"/>
            <w:shd w:val="clear" w:color="auto" w:fill="auto"/>
            <w:vAlign w:val="center"/>
          </w:tcPr>
          <w:p w:rsidR="00435893" w:rsidRPr="00526CAD" w:rsidRDefault="00435893" w:rsidP="00EB1E3A">
            <w:pPr>
              <w:jc w:val="both"/>
              <w:rPr>
                <w:rFonts w:eastAsia="Times New Roman"/>
                <w:sz w:val="24"/>
                <w:szCs w:val="24"/>
                <w:lang w:val="lv-LV" w:eastAsia="lv-LV"/>
              </w:rPr>
            </w:pPr>
            <w:r w:rsidRPr="00526CAD">
              <w:rPr>
                <w:rFonts w:eastAsia="Times New Roman"/>
                <w:sz w:val="24"/>
                <w:szCs w:val="24"/>
                <w:lang w:val="lv-LV" w:eastAsia="lv-LV"/>
              </w:rPr>
              <w:t xml:space="preserve">Attiecīgā ES tiesību akta datums, </w:t>
            </w:r>
            <w:r w:rsidRPr="005B16A2">
              <w:rPr>
                <w:rFonts w:eastAsia="Times New Roman"/>
                <w:sz w:val="24"/>
                <w:szCs w:val="24"/>
                <w:lang w:val="lv-LV" w:eastAsia="lv-LV"/>
              </w:rPr>
              <w:t>numurs un nosaukums</w:t>
            </w:r>
          </w:p>
        </w:tc>
        <w:tc>
          <w:tcPr>
            <w:tcW w:w="3896" w:type="pct"/>
            <w:gridSpan w:val="4"/>
            <w:shd w:val="clear" w:color="auto" w:fill="auto"/>
            <w:vAlign w:val="center"/>
          </w:tcPr>
          <w:p w:rsidR="00435893" w:rsidRPr="00526CAD" w:rsidRDefault="00435893" w:rsidP="00EB1E3A">
            <w:pPr>
              <w:pStyle w:val="naiskr"/>
              <w:jc w:val="both"/>
            </w:pPr>
            <w:r w:rsidRPr="00526CAD">
              <w:t xml:space="preserve">Ar normatīvo aktu tiek ieviestas šāda Eiropas Savienības tiesību akta prasības: </w:t>
            </w:r>
          </w:p>
          <w:p w:rsidR="00435893" w:rsidRPr="00526CAD" w:rsidRDefault="00435893" w:rsidP="00EB1E3A">
            <w:pPr>
              <w:spacing w:after="120"/>
              <w:jc w:val="both"/>
              <w:rPr>
                <w:rFonts w:eastAsia="Times New Roman"/>
                <w:sz w:val="24"/>
                <w:szCs w:val="24"/>
                <w:lang w:val="lv-LV" w:eastAsia="lv-LV"/>
              </w:rPr>
            </w:pPr>
            <w:r w:rsidRPr="00526CAD">
              <w:rPr>
                <w:rFonts w:eastAsia="Times New Roman"/>
                <w:sz w:val="24"/>
                <w:szCs w:val="24"/>
                <w:lang w:val="lv-LV" w:eastAsia="lv-LV"/>
              </w:rPr>
              <w:t>Komisijas Regula Nr.800/2008;</w:t>
            </w:r>
          </w:p>
          <w:p w:rsidR="00435893" w:rsidRPr="005D6B54" w:rsidRDefault="00435893" w:rsidP="00EB1E3A">
            <w:pPr>
              <w:spacing w:after="120"/>
              <w:jc w:val="both"/>
              <w:rPr>
                <w:sz w:val="24"/>
                <w:szCs w:val="24"/>
                <w:lang w:val="lv-LV"/>
              </w:rPr>
            </w:pPr>
            <w:r>
              <w:rPr>
                <w:sz w:val="24"/>
                <w:szCs w:val="24"/>
                <w:lang w:val="lv-LV"/>
              </w:rPr>
              <w:lastRenderedPageBreak/>
              <w:t>Komisijas Regula Nr.1998/2006</w:t>
            </w:r>
            <w:r w:rsidRPr="00526CAD">
              <w:rPr>
                <w:sz w:val="24"/>
                <w:szCs w:val="24"/>
                <w:lang w:val="lv-LV"/>
              </w:rPr>
              <w:t>.</w:t>
            </w:r>
          </w:p>
        </w:tc>
      </w:tr>
      <w:tr w:rsidR="007A2BA3" w:rsidRPr="00526CAD" w:rsidTr="007A2BA3">
        <w:trPr>
          <w:tblCellSpacing w:w="15" w:type="dxa"/>
        </w:trPr>
        <w:tc>
          <w:tcPr>
            <w:tcW w:w="1056" w:type="pct"/>
            <w:gridSpan w:val="2"/>
            <w:shd w:val="clear" w:color="auto" w:fill="auto"/>
            <w:vAlign w:val="center"/>
          </w:tcPr>
          <w:p w:rsidR="00435893" w:rsidRPr="00526CAD" w:rsidRDefault="00435893" w:rsidP="00EB1E3A">
            <w:pPr>
              <w:jc w:val="center"/>
              <w:rPr>
                <w:rFonts w:eastAsia="Times New Roman"/>
                <w:sz w:val="24"/>
                <w:szCs w:val="24"/>
                <w:lang w:eastAsia="lv-LV"/>
              </w:rPr>
            </w:pPr>
            <w:r w:rsidRPr="00526CAD">
              <w:rPr>
                <w:rFonts w:eastAsia="Times New Roman"/>
                <w:sz w:val="24"/>
                <w:szCs w:val="24"/>
                <w:lang w:eastAsia="lv-LV"/>
              </w:rPr>
              <w:lastRenderedPageBreak/>
              <w:t>A</w:t>
            </w:r>
          </w:p>
        </w:tc>
        <w:tc>
          <w:tcPr>
            <w:tcW w:w="1205" w:type="pct"/>
            <w:gridSpan w:val="2"/>
            <w:shd w:val="clear" w:color="auto" w:fill="auto"/>
            <w:vAlign w:val="center"/>
          </w:tcPr>
          <w:p w:rsidR="00435893" w:rsidRPr="00EF1B0A" w:rsidRDefault="00435893" w:rsidP="00EB1E3A">
            <w:pPr>
              <w:jc w:val="center"/>
              <w:rPr>
                <w:rFonts w:eastAsia="Times New Roman"/>
                <w:sz w:val="24"/>
                <w:szCs w:val="24"/>
                <w:lang w:eastAsia="lv-LV"/>
              </w:rPr>
            </w:pPr>
            <w:r w:rsidRPr="00526CAD">
              <w:rPr>
                <w:rFonts w:eastAsia="Times New Roman"/>
                <w:sz w:val="24"/>
                <w:szCs w:val="24"/>
                <w:lang w:eastAsia="lv-LV"/>
              </w:rPr>
              <w:t>B</w:t>
            </w:r>
          </w:p>
        </w:tc>
        <w:tc>
          <w:tcPr>
            <w:tcW w:w="1119" w:type="pct"/>
            <w:shd w:val="clear" w:color="auto" w:fill="auto"/>
            <w:vAlign w:val="center"/>
          </w:tcPr>
          <w:p w:rsidR="00435893" w:rsidRPr="00EF1B0A" w:rsidRDefault="00435893" w:rsidP="00EB1E3A">
            <w:pPr>
              <w:jc w:val="center"/>
              <w:rPr>
                <w:rFonts w:eastAsia="Times New Roman"/>
                <w:sz w:val="24"/>
                <w:szCs w:val="24"/>
                <w:lang w:eastAsia="lv-LV"/>
              </w:rPr>
            </w:pPr>
            <w:r w:rsidRPr="00526CAD">
              <w:rPr>
                <w:rFonts w:eastAsia="Times New Roman"/>
                <w:sz w:val="24"/>
                <w:szCs w:val="24"/>
                <w:lang w:eastAsia="lv-LV"/>
              </w:rPr>
              <w:t>C</w:t>
            </w:r>
          </w:p>
        </w:tc>
        <w:tc>
          <w:tcPr>
            <w:tcW w:w="1541" w:type="pct"/>
            <w:shd w:val="clear" w:color="auto" w:fill="auto"/>
            <w:vAlign w:val="center"/>
          </w:tcPr>
          <w:p w:rsidR="00435893" w:rsidRPr="00EF1B0A" w:rsidRDefault="00435893" w:rsidP="00EB1E3A">
            <w:pPr>
              <w:jc w:val="center"/>
              <w:rPr>
                <w:rFonts w:eastAsia="Times New Roman"/>
                <w:sz w:val="24"/>
                <w:szCs w:val="24"/>
                <w:lang w:eastAsia="lv-LV"/>
              </w:rPr>
            </w:pPr>
            <w:r w:rsidRPr="00526CAD">
              <w:rPr>
                <w:rFonts w:eastAsia="Times New Roman"/>
                <w:sz w:val="24"/>
                <w:szCs w:val="24"/>
                <w:lang w:eastAsia="lv-LV"/>
              </w:rPr>
              <w:t>D</w:t>
            </w:r>
          </w:p>
        </w:tc>
      </w:tr>
      <w:tr w:rsidR="007A2BA3" w:rsidRPr="00993DF6" w:rsidTr="007A2BA3">
        <w:trPr>
          <w:tblCellSpacing w:w="15" w:type="dxa"/>
        </w:trPr>
        <w:tc>
          <w:tcPr>
            <w:tcW w:w="1056" w:type="pct"/>
            <w:gridSpan w:val="2"/>
            <w:shd w:val="clear" w:color="auto" w:fill="auto"/>
          </w:tcPr>
          <w:p w:rsidR="00435893" w:rsidRPr="00526CAD" w:rsidRDefault="00435893" w:rsidP="00EB1E3A">
            <w:pPr>
              <w:pStyle w:val="naiskr"/>
              <w:spacing w:before="0" w:after="0"/>
              <w:jc w:val="both"/>
            </w:pPr>
            <w:r w:rsidRPr="00526CAD">
              <w:t xml:space="preserve">Attiecīgā ES tiesību akta panta numurs (uzskaitot katru tiesību akta </w:t>
            </w:r>
            <w:r w:rsidRPr="00526CAD">
              <w:br/>
              <w:t>vienību – pantu, daļu, punktu, apakšpunktu)</w:t>
            </w:r>
          </w:p>
        </w:tc>
        <w:tc>
          <w:tcPr>
            <w:tcW w:w="1205" w:type="pct"/>
            <w:gridSpan w:val="2"/>
            <w:shd w:val="clear" w:color="auto" w:fill="auto"/>
          </w:tcPr>
          <w:p w:rsidR="00435893" w:rsidRPr="00526CAD" w:rsidRDefault="00435893" w:rsidP="00EB1E3A">
            <w:pPr>
              <w:pStyle w:val="naiskr"/>
              <w:spacing w:before="0" w:after="0"/>
              <w:jc w:val="both"/>
            </w:pPr>
            <w:r w:rsidRPr="00526CAD">
              <w:t>Projekta vienība, kas pārņem vai ievieš katru šīs tabulas A ailē minēto ES tiesību akta vienību</w:t>
            </w:r>
          </w:p>
        </w:tc>
        <w:tc>
          <w:tcPr>
            <w:tcW w:w="1119" w:type="pct"/>
            <w:shd w:val="clear" w:color="auto" w:fill="auto"/>
          </w:tcPr>
          <w:p w:rsidR="00435893" w:rsidRPr="00526CAD" w:rsidRDefault="00435893" w:rsidP="00EB1E3A">
            <w:pPr>
              <w:pStyle w:val="naiskr"/>
              <w:spacing w:before="0" w:after="0"/>
              <w:jc w:val="both"/>
            </w:pPr>
            <w:r w:rsidRPr="00526CAD">
              <w:t>Informācija par to, vai šīs tabulas A ailē minētās ES tiesību akta vienības tiek pārņemtas vai ieviestas pilnībā vai daļēji.</w:t>
            </w:r>
          </w:p>
          <w:p w:rsidR="00435893" w:rsidRPr="00526CAD" w:rsidRDefault="00435893" w:rsidP="00EB1E3A">
            <w:pPr>
              <w:pStyle w:val="naiskr"/>
              <w:spacing w:before="0" w:after="0"/>
              <w:jc w:val="both"/>
            </w:pPr>
            <w:r w:rsidRPr="00526CAD">
              <w:t>Ja attiecīgā ES tiesību akta vienība tiek pārņemta vai ieviesta daļēji, – sniedz attiecīgu skaidrojumu, kā arī precīzi norāda, kad un kādā veidā ES tiesību akta vienība tiks pārņemta vai ieviesta pilnībā.</w:t>
            </w:r>
          </w:p>
          <w:p w:rsidR="00435893" w:rsidRPr="00526CAD" w:rsidRDefault="00435893" w:rsidP="00EB1E3A">
            <w:pPr>
              <w:pStyle w:val="naiskr"/>
              <w:spacing w:before="0" w:after="0"/>
              <w:jc w:val="both"/>
            </w:pPr>
            <w:r w:rsidRPr="00526CAD">
              <w:t>Norāda institūciju, kas ir atbildīga par šo saistību izpildi pilnībā</w:t>
            </w:r>
          </w:p>
        </w:tc>
        <w:tc>
          <w:tcPr>
            <w:tcW w:w="1541" w:type="pct"/>
            <w:shd w:val="clear" w:color="auto" w:fill="auto"/>
          </w:tcPr>
          <w:p w:rsidR="00435893" w:rsidRPr="00526CAD" w:rsidRDefault="00435893" w:rsidP="00EB1E3A">
            <w:pPr>
              <w:pStyle w:val="naiskr"/>
              <w:spacing w:before="0" w:after="0"/>
              <w:jc w:val="both"/>
            </w:pPr>
            <w:r w:rsidRPr="00526CAD">
              <w:t>Informācija par to, vai šīs tabulas B ailē minētās projekta vienības paredz stingrākas prasības nekā šīs tabulas A ailē minētās ES tiesību akta vienības.</w:t>
            </w:r>
          </w:p>
          <w:p w:rsidR="00435893" w:rsidRPr="00526CAD" w:rsidRDefault="00435893" w:rsidP="00EB1E3A">
            <w:pPr>
              <w:pStyle w:val="naiskr"/>
              <w:spacing w:before="0" w:after="0"/>
              <w:jc w:val="both"/>
            </w:pPr>
            <w:r w:rsidRPr="00526CAD">
              <w:t>Ja projekts satur stingrākas prasības nekā attiecīgais ES tiesību akts, – norāda pamatojumu un samērīgumu.</w:t>
            </w:r>
          </w:p>
          <w:p w:rsidR="00435893" w:rsidRPr="00526CAD" w:rsidRDefault="00435893" w:rsidP="00EB1E3A">
            <w:pPr>
              <w:pStyle w:val="naiskr"/>
              <w:spacing w:before="0" w:after="0"/>
              <w:jc w:val="both"/>
            </w:pPr>
            <w:r w:rsidRPr="00526CAD">
              <w:t>Norāda iespējamās alternatīvas (t.sk. alternatīvas, kas neparedz tiesiskā regulējuma izstrādi) – kādos gadījumos būtu iespējams izvairīties no stingrāku prasību noteikšanas, nekā paredzēts attiecīgajos ES tiesību aktos</w:t>
            </w:r>
          </w:p>
        </w:tc>
      </w:tr>
      <w:tr w:rsidR="007A2BA3" w:rsidRPr="0076555E" w:rsidTr="007A2BA3">
        <w:trPr>
          <w:tblCellSpacing w:w="15" w:type="dxa"/>
        </w:trPr>
        <w:tc>
          <w:tcPr>
            <w:tcW w:w="1056" w:type="pct"/>
            <w:gridSpan w:val="2"/>
            <w:shd w:val="clear" w:color="auto" w:fill="auto"/>
          </w:tcPr>
          <w:p w:rsidR="00EB1E3A" w:rsidRPr="00C15AC4" w:rsidRDefault="00EB1E3A" w:rsidP="00EB1E3A">
            <w:pPr>
              <w:pStyle w:val="naiskr"/>
              <w:spacing w:before="0" w:after="0"/>
              <w:rPr>
                <w:color w:val="000000"/>
              </w:rPr>
            </w:pPr>
            <w:r w:rsidRPr="00C15AC4">
              <w:rPr>
                <w:color w:val="000000"/>
              </w:rPr>
              <w:t>Komisijas Regulas Nr.800/2008 1.pielikums</w:t>
            </w:r>
          </w:p>
        </w:tc>
        <w:tc>
          <w:tcPr>
            <w:tcW w:w="1205" w:type="pct"/>
            <w:gridSpan w:val="2"/>
            <w:shd w:val="clear" w:color="auto" w:fill="auto"/>
          </w:tcPr>
          <w:p w:rsidR="00EB1E3A" w:rsidRPr="00526CAD" w:rsidRDefault="00EB1E3A" w:rsidP="00EB1E3A">
            <w:pPr>
              <w:pStyle w:val="naiskr"/>
              <w:spacing w:before="0" w:after="0"/>
              <w:rPr>
                <w:i/>
              </w:rPr>
            </w:pPr>
            <w:r w:rsidRPr="00526CAD">
              <w:rPr>
                <w:i/>
              </w:rPr>
              <w:t xml:space="preserve">Noteikumu projekta </w:t>
            </w:r>
            <w:r>
              <w:rPr>
                <w:i/>
              </w:rPr>
              <w:t>2</w:t>
            </w:r>
            <w:r w:rsidRPr="00526CAD">
              <w:rPr>
                <w:i/>
              </w:rPr>
              <w:t>.punkts</w:t>
            </w:r>
          </w:p>
        </w:tc>
        <w:tc>
          <w:tcPr>
            <w:tcW w:w="1119" w:type="pct"/>
            <w:shd w:val="clear" w:color="auto" w:fill="auto"/>
          </w:tcPr>
          <w:p w:rsidR="00EB1E3A" w:rsidRPr="00526CAD" w:rsidRDefault="00EB1E3A" w:rsidP="00EB1E3A">
            <w:pPr>
              <w:pStyle w:val="naiskr"/>
              <w:spacing w:before="0" w:after="0"/>
              <w:rPr>
                <w:i/>
              </w:rPr>
            </w:pPr>
            <w:r>
              <w:rPr>
                <w:i/>
              </w:rPr>
              <w:t>I</w:t>
            </w:r>
            <w:r w:rsidRPr="00526CAD">
              <w:rPr>
                <w:i/>
              </w:rPr>
              <w:t>eviesta pilnībā</w:t>
            </w:r>
          </w:p>
        </w:tc>
        <w:tc>
          <w:tcPr>
            <w:tcW w:w="1541" w:type="pct"/>
            <w:shd w:val="clear" w:color="auto" w:fill="auto"/>
          </w:tcPr>
          <w:p w:rsidR="00EB1E3A" w:rsidRPr="00526CAD" w:rsidRDefault="00EB1E3A" w:rsidP="00EB1E3A">
            <w:pPr>
              <w:pStyle w:val="naiskr"/>
              <w:spacing w:before="0" w:after="0"/>
              <w:rPr>
                <w:i/>
              </w:rPr>
            </w:pPr>
            <w:r>
              <w:rPr>
                <w:i/>
              </w:rPr>
              <w:t>N</w:t>
            </w:r>
            <w:r w:rsidRPr="00526CAD">
              <w:rPr>
                <w:i/>
              </w:rPr>
              <w:t>eparedz stingrākas prasības</w:t>
            </w:r>
            <w:r>
              <w:rPr>
                <w:i/>
              </w:rPr>
              <w:t xml:space="preserve">, nosaka mazā un vidējā komersanta definīciju. </w:t>
            </w:r>
          </w:p>
        </w:tc>
      </w:tr>
      <w:tr w:rsidR="007A2BA3" w:rsidRPr="0076555E" w:rsidTr="007A2BA3">
        <w:trPr>
          <w:tblCellSpacing w:w="15" w:type="dxa"/>
        </w:trPr>
        <w:tc>
          <w:tcPr>
            <w:tcW w:w="1056" w:type="pct"/>
            <w:gridSpan w:val="2"/>
            <w:shd w:val="clear" w:color="auto" w:fill="auto"/>
          </w:tcPr>
          <w:p w:rsidR="00EB1E3A" w:rsidRPr="00C15AC4" w:rsidRDefault="00EB1E3A" w:rsidP="00EB1E3A">
            <w:pPr>
              <w:pStyle w:val="naiskr"/>
              <w:spacing w:before="0" w:after="0"/>
              <w:rPr>
                <w:color w:val="000000"/>
              </w:rPr>
            </w:pPr>
            <w:r>
              <w:rPr>
                <w:color w:val="000000"/>
              </w:rPr>
              <w:t xml:space="preserve">Komisijas Regulas Nr.1998/2006 </w:t>
            </w:r>
            <w:r w:rsidR="00962510">
              <w:rPr>
                <w:color w:val="000000"/>
              </w:rPr>
              <w:t>1.panta pirmās daļas</w:t>
            </w:r>
            <w:r>
              <w:rPr>
                <w:color w:val="000000"/>
              </w:rPr>
              <w:t xml:space="preserve"> h) apakšpunkts</w:t>
            </w:r>
          </w:p>
        </w:tc>
        <w:tc>
          <w:tcPr>
            <w:tcW w:w="1205" w:type="pct"/>
            <w:gridSpan w:val="2"/>
            <w:shd w:val="clear" w:color="auto" w:fill="auto"/>
          </w:tcPr>
          <w:p w:rsidR="00EB1E3A" w:rsidRPr="00526CAD" w:rsidRDefault="00EB1E3A" w:rsidP="00E019D6">
            <w:pPr>
              <w:pStyle w:val="naiskr"/>
              <w:spacing w:before="0" w:after="0"/>
              <w:rPr>
                <w:i/>
              </w:rPr>
            </w:pPr>
            <w:r w:rsidRPr="00526CAD">
              <w:rPr>
                <w:i/>
              </w:rPr>
              <w:t xml:space="preserve">Noteikumu projekta </w:t>
            </w:r>
            <w:r w:rsidR="00E019D6">
              <w:rPr>
                <w:i/>
              </w:rPr>
              <w:t>9</w:t>
            </w:r>
            <w:r w:rsidRPr="00526CAD">
              <w:rPr>
                <w:i/>
              </w:rPr>
              <w:t>.punkts</w:t>
            </w:r>
          </w:p>
        </w:tc>
        <w:tc>
          <w:tcPr>
            <w:tcW w:w="1119" w:type="pct"/>
            <w:shd w:val="clear" w:color="auto" w:fill="auto"/>
          </w:tcPr>
          <w:p w:rsidR="00EB1E3A" w:rsidRPr="00526CAD" w:rsidRDefault="00EB1E3A" w:rsidP="00EB1E3A">
            <w:pPr>
              <w:pStyle w:val="naiskr"/>
              <w:spacing w:before="0" w:after="0"/>
              <w:rPr>
                <w:i/>
              </w:rPr>
            </w:pPr>
            <w:r>
              <w:rPr>
                <w:i/>
              </w:rPr>
              <w:t>I</w:t>
            </w:r>
            <w:r w:rsidRPr="00526CAD">
              <w:rPr>
                <w:i/>
              </w:rPr>
              <w:t>eviesta pilnībā</w:t>
            </w:r>
          </w:p>
        </w:tc>
        <w:tc>
          <w:tcPr>
            <w:tcW w:w="1541" w:type="pct"/>
            <w:shd w:val="clear" w:color="auto" w:fill="auto"/>
          </w:tcPr>
          <w:p w:rsidR="00EB1E3A" w:rsidRPr="00526CAD" w:rsidRDefault="00EB1E3A" w:rsidP="00EB1E3A">
            <w:pPr>
              <w:pStyle w:val="naiskr"/>
              <w:spacing w:before="0" w:after="0"/>
              <w:rPr>
                <w:i/>
              </w:rPr>
            </w:pPr>
            <w:r>
              <w:rPr>
                <w:i/>
              </w:rPr>
              <w:t>N</w:t>
            </w:r>
            <w:r w:rsidRPr="00526CAD">
              <w:rPr>
                <w:i/>
              </w:rPr>
              <w:t>eparedz stingrākas prasības</w:t>
            </w:r>
            <w:r>
              <w:rPr>
                <w:i/>
              </w:rPr>
              <w:t xml:space="preserve"> </w:t>
            </w:r>
          </w:p>
        </w:tc>
      </w:tr>
      <w:tr w:rsidR="007A2BA3" w:rsidRPr="0076555E" w:rsidTr="007A2BA3">
        <w:trPr>
          <w:tblCellSpacing w:w="15" w:type="dxa"/>
        </w:trPr>
        <w:tc>
          <w:tcPr>
            <w:tcW w:w="1056" w:type="pct"/>
            <w:gridSpan w:val="2"/>
            <w:shd w:val="clear" w:color="auto" w:fill="auto"/>
          </w:tcPr>
          <w:p w:rsidR="00EB1E3A" w:rsidRPr="00C15AC4" w:rsidRDefault="00962510" w:rsidP="00EB1E3A">
            <w:pPr>
              <w:pStyle w:val="naiskr"/>
              <w:spacing w:before="0" w:after="0"/>
              <w:rPr>
                <w:color w:val="000000"/>
              </w:rPr>
            </w:pPr>
            <w:r>
              <w:rPr>
                <w:color w:val="000000"/>
              </w:rPr>
              <w:t xml:space="preserve">Komisijas Regulas Nr.800/2008 </w:t>
            </w:r>
            <w:r w:rsidR="00EB1E3A">
              <w:rPr>
                <w:color w:val="000000"/>
              </w:rPr>
              <w:t>1.panta 7.punkts</w:t>
            </w:r>
          </w:p>
        </w:tc>
        <w:tc>
          <w:tcPr>
            <w:tcW w:w="1205" w:type="pct"/>
            <w:gridSpan w:val="2"/>
            <w:shd w:val="clear" w:color="auto" w:fill="auto"/>
          </w:tcPr>
          <w:p w:rsidR="00EB1E3A" w:rsidRPr="00526CAD" w:rsidRDefault="00EB1E3A" w:rsidP="00E019D6">
            <w:pPr>
              <w:pStyle w:val="naiskr"/>
              <w:spacing w:before="0" w:after="0"/>
              <w:rPr>
                <w:i/>
              </w:rPr>
            </w:pPr>
            <w:r w:rsidRPr="00526CAD">
              <w:rPr>
                <w:i/>
              </w:rPr>
              <w:t xml:space="preserve">Noteikumu projekta </w:t>
            </w:r>
            <w:r w:rsidR="00962510">
              <w:rPr>
                <w:i/>
              </w:rPr>
              <w:t>12</w:t>
            </w:r>
            <w:r w:rsidRPr="00526CAD">
              <w:rPr>
                <w:i/>
              </w:rPr>
              <w:t>.punkts</w:t>
            </w:r>
          </w:p>
        </w:tc>
        <w:tc>
          <w:tcPr>
            <w:tcW w:w="1119" w:type="pct"/>
            <w:shd w:val="clear" w:color="auto" w:fill="auto"/>
          </w:tcPr>
          <w:p w:rsidR="00EB1E3A" w:rsidRPr="00526CAD" w:rsidRDefault="00EB1E3A" w:rsidP="00EB1E3A">
            <w:pPr>
              <w:pStyle w:val="naiskr"/>
              <w:spacing w:before="0" w:after="0"/>
              <w:rPr>
                <w:i/>
              </w:rPr>
            </w:pPr>
            <w:r>
              <w:rPr>
                <w:i/>
              </w:rPr>
              <w:t>I</w:t>
            </w:r>
            <w:r w:rsidRPr="00526CAD">
              <w:rPr>
                <w:i/>
              </w:rPr>
              <w:t>eviesta pilnībā</w:t>
            </w:r>
          </w:p>
        </w:tc>
        <w:tc>
          <w:tcPr>
            <w:tcW w:w="1541" w:type="pct"/>
            <w:shd w:val="clear" w:color="auto" w:fill="auto"/>
          </w:tcPr>
          <w:p w:rsidR="00EB1E3A" w:rsidRPr="00526CAD" w:rsidRDefault="00EB1E3A" w:rsidP="00EB1E3A">
            <w:pPr>
              <w:pStyle w:val="naiskr"/>
              <w:spacing w:before="0" w:after="0"/>
              <w:rPr>
                <w:i/>
              </w:rPr>
            </w:pPr>
            <w:r>
              <w:rPr>
                <w:i/>
              </w:rPr>
              <w:t>N</w:t>
            </w:r>
            <w:r w:rsidRPr="00526CAD">
              <w:rPr>
                <w:i/>
              </w:rPr>
              <w:t>eparedz stingrākas prasības</w:t>
            </w:r>
            <w:r>
              <w:rPr>
                <w:i/>
              </w:rPr>
              <w:t xml:space="preserve"> </w:t>
            </w:r>
          </w:p>
        </w:tc>
      </w:tr>
      <w:tr w:rsidR="007A2BA3" w:rsidRPr="0076555E" w:rsidTr="007A2BA3">
        <w:trPr>
          <w:tblCellSpacing w:w="15" w:type="dxa"/>
        </w:trPr>
        <w:tc>
          <w:tcPr>
            <w:tcW w:w="1056" w:type="pct"/>
            <w:gridSpan w:val="2"/>
            <w:shd w:val="clear" w:color="auto" w:fill="auto"/>
          </w:tcPr>
          <w:p w:rsidR="00634855" w:rsidRPr="00C15AC4" w:rsidRDefault="00634855" w:rsidP="00794DD6">
            <w:pPr>
              <w:pStyle w:val="naiskr"/>
              <w:spacing w:before="0" w:after="0"/>
              <w:rPr>
                <w:color w:val="000000"/>
              </w:rPr>
            </w:pPr>
            <w:r>
              <w:rPr>
                <w:color w:val="000000"/>
              </w:rPr>
              <w:t>Komisijas Regulas Nr.800/2008 7.panta 3.punkts</w:t>
            </w:r>
          </w:p>
        </w:tc>
        <w:tc>
          <w:tcPr>
            <w:tcW w:w="1205" w:type="pct"/>
            <w:gridSpan w:val="2"/>
            <w:shd w:val="clear" w:color="auto" w:fill="auto"/>
          </w:tcPr>
          <w:p w:rsidR="00634855" w:rsidRPr="00526CAD" w:rsidRDefault="00634855" w:rsidP="00794DD6">
            <w:pPr>
              <w:pStyle w:val="naiskr"/>
              <w:spacing w:before="0" w:after="0"/>
              <w:rPr>
                <w:i/>
              </w:rPr>
            </w:pPr>
            <w:r w:rsidRPr="00526CAD">
              <w:rPr>
                <w:i/>
              </w:rPr>
              <w:t xml:space="preserve">Noteikumu projekta </w:t>
            </w:r>
            <w:r>
              <w:rPr>
                <w:i/>
              </w:rPr>
              <w:t>18</w:t>
            </w:r>
            <w:r w:rsidRPr="00526CAD">
              <w:rPr>
                <w:i/>
              </w:rPr>
              <w:t>.punkts</w:t>
            </w:r>
          </w:p>
        </w:tc>
        <w:tc>
          <w:tcPr>
            <w:tcW w:w="1119" w:type="pct"/>
            <w:shd w:val="clear" w:color="auto" w:fill="auto"/>
          </w:tcPr>
          <w:p w:rsidR="00634855" w:rsidRPr="00526CAD" w:rsidRDefault="00634855" w:rsidP="00794DD6">
            <w:pPr>
              <w:pStyle w:val="naiskr"/>
              <w:spacing w:before="0" w:after="0"/>
              <w:rPr>
                <w:i/>
              </w:rPr>
            </w:pPr>
            <w:r>
              <w:rPr>
                <w:i/>
              </w:rPr>
              <w:t>I</w:t>
            </w:r>
            <w:r w:rsidRPr="00526CAD">
              <w:rPr>
                <w:i/>
              </w:rPr>
              <w:t>eviesta pilnībā</w:t>
            </w:r>
          </w:p>
        </w:tc>
        <w:tc>
          <w:tcPr>
            <w:tcW w:w="1541" w:type="pct"/>
            <w:shd w:val="clear" w:color="auto" w:fill="auto"/>
          </w:tcPr>
          <w:p w:rsidR="00634855" w:rsidRPr="00526CAD" w:rsidRDefault="00634855" w:rsidP="00794DD6">
            <w:pPr>
              <w:pStyle w:val="naiskr"/>
              <w:spacing w:before="0" w:after="0"/>
              <w:rPr>
                <w:i/>
              </w:rPr>
            </w:pPr>
            <w:r>
              <w:rPr>
                <w:i/>
              </w:rPr>
              <w:t>N</w:t>
            </w:r>
            <w:r w:rsidRPr="00526CAD">
              <w:rPr>
                <w:i/>
              </w:rPr>
              <w:t>eparedz stingrākas prasības</w:t>
            </w:r>
            <w:r>
              <w:rPr>
                <w:i/>
              </w:rPr>
              <w:t xml:space="preserve"> </w:t>
            </w:r>
          </w:p>
        </w:tc>
      </w:tr>
      <w:tr w:rsidR="007A2BA3" w:rsidRPr="0076555E" w:rsidTr="007A2BA3">
        <w:trPr>
          <w:tblCellSpacing w:w="15" w:type="dxa"/>
        </w:trPr>
        <w:tc>
          <w:tcPr>
            <w:tcW w:w="1056" w:type="pct"/>
            <w:gridSpan w:val="2"/>
            <w:shd w:val="clear" w:color="auto" w:fill="auto"/>
          </w:tcPr>
          <w:p w:rsidR="00634855" w:rsidRPr="00C15AC4" w:rsidRDefault="00634855" w:rsidP="00457B6D">
            <w:pPr>
              <w:pStyle w:val="naiskr"/>
              <w:spacing w:before="0" w:after="0"/>
              <w:rPr>
                <w:color w:val="000000"/>
              </w:rPr>
            </w:pPr>
            <w:r>
              <w:rPr>
                <w:color w:val="000000"/>
              </w:rPr>
              <w:t>Komisijas Regulas Nr.1998/2006 2.panta 5.punkts</w:t>
            </w:r>
          </w:p>
        </w:tc>
        <w:tc>
          <w:tcPr>
            <w:tcW w:w="1205" w:type="pct"/>
            <w:gridSpan w:val="2"/>
            <w:shd w:val="clear" w:color="auto" w:fill="auto"/>
          </w:tcPr>
          <w:p w:rsidR="00634855" w:rsidRPr="00526CAD" w:rsidRDefault="00634855" w:rsidP="00634855">
            <w:pPr>
              <w:pStyle w:val="naiskr"/>
              <w:spacing w:before="0" w:after="0"/>
              <w:rPr>
                <w:i/>
              </w:rPr>
            </w:pPr>
            <w:r w:rsidRPr="00526CAD">
              <w:rPr>
                <w:i/>
              </w:rPr>
              <w:t xml:space="preserve">Noteikumu projekta </w:t>
            </w:r>
            <w:r>
              <w:rPr>
                <w:i/>
              </w:rPr>
              <w:t>18</w:t>
            </w:r>
            <w:r w:rsidRPr="00526CAD">
              <w:rPr>
                <w:i/>
              </w:rPr>
              <w:t>.punkts</w:t>
            </w:r>
          </w:p>
        </w:tc>
        <w:tc>
          <w:tcPr>
            <w:tcW w:w="1119" w:type="pct"/>
            <w:shd w:val="clear" w:color="auto" w:fill="auto"/>
          </w:tcPr>
          <w:p w:rsidR="00634855" w:rsidRPr="00526CAD" w:rsidRDefault="00634855" w:rsidP="00457B6D">
            <w:pPr>
              <w:pStyle w:val="naiskr"/>
              <w:spacing w:before="0" w:after="0"/>
              <w:rPr>
                <w:i/>
              </w:rPr>
            </w:pPr>
            <w:r>
              <w:rPr>
                <w:i/>
              </w:rPr>
              <w:t>I</w:t>
            </w:r>
            <w:r w:rsidRPr="00526CAD">
              <w:rPr>
                <w:i/>
              </w:rPr>
              <w:t>eviesta pilnībā</w:t>
            </w:r>
          </w:p>
        </w:tc>
        <w:tc>
          <w:tcPr>
            <w:tcW w:w="1541" w:type="pct"/>
            <w:shd w:val="clear" w:color="auto" w:fill="auto"/>
          </w:tcPr>
          <w:p w:rsidR="00634855" w:rsidRPr="00526CAD" w:rsidRDefault="00634855" w:rsidP="00457B6D">
            <w:pPr>
              <w:pStyle w:val="naiskr"/>
              <w:spacing w:before="0" w:after="0"/>
              <w:rPr>
                <w:i/>
              </w:rPr>
            </w:pPr>
            <w:r>
              <w:rPr>
                <w:i/>
              </w:rPr>
              <w:t>N</w:t>
            </w:r>
            <w:r w:rsidRPr="00526CAD">
              <w:rPr>
                <w:i/>
              </w:rPr>
              <w:t>eparedz stingrākas prasības</w:t>
            </w:r>
            <w:r>
              <w:rPr>
                <w:i/>
              </w:rPr>
              <w:t xml:space="preserve"> </w:t>
            </w:r>
          </w:p>
        </w:tc>
      </w:tr>
      <w:tr w:rsidR="00643AFE" w:rsidRPr="00526CAD" w:rsidTr="007A2BA3">
        <w:trPr>
          <w:tblCellSpacing w:w="15" w:type="dxa"/>
        </w:trPr>
        <w:tc>
          <w:tcPr>
            <w:tcW w:w="1056" w:type="pct"/>
            <w:gridSpan w:val="2"/>
            <w:shd w:val="clear" w:color="auto" w:fill="auto"/>
            <w:vAlign w:val="center"/>
          </w:tcPr>
          <w:p w:rsidR="00EB1E3A" w:rsidRPr="00EF1B0A" w:rsidRDefault="00EB1E3A" w:rsidP="00EB1E3A">
            <w:pPr>
              <w:jc w:val="both"/>
              <w:rPr>
                <w:rFonts w:eastAsia="Times New Roman"/>
                <w:sz w:val="24"/>
                <w:szCs w:val="24"/>
                <w:lang w:val="lv-LV" w:eastAsia="lv-LV"/>
              </w:rPr>
            </w:pPr>
            <w:r w:rsidRPr="00526CAD">
              <w:rPr>
                <w:rFonts w:eastAsia="Times New Roman"/>
                <w:sz w:val="24"/>
                <w:szCs w:val="24"/>
                <w:lang w:val="lv-LV" w:eastAsia="lv-LV"/>
              </w:rPr>
              <w:t xml:space="preserve">Kā ir izmantota ES tiesību aktā paredzētā rīcības brīvība dalībvalstij pārņemt vai ieviest </w:t>
            </w:r>
            <w:r w:rsidRPr="00526CAD">
              <w:rPr>
                <w:rFonts w:eastAsia="Times New Roman"/>
                <w:sz w:val="24"/>
                <w:szCs w:val="24"/>
                <w:lang w:val="lv-LV" w:eastAsia="lv-LV"/>
              </w:rPr>
              <w:lastRenderedPageBreak/>
              <w:t>noteiktas ES tiesību akta normas.</w:t>
            </w:r>
          </w:p>
        </w:tc>
        <w:tc>
          <w:tcPr>
            <w:tcW w:w="3896" w:type="pct"/>
            <w:gridSpan w:val="4"/>
            <w:shd w:val="clear" w:color="auto" w:fill="auto"/>
          </w:tcPr>
          <w:p w:rsidR="00EB1E3A" w:rsidRPr="00526CAD" w:rsidRDefault="00EB1E3A" w:rsidP="00EB1E3A">
            <w:pPr>
              <w:pStyle w:val="naiskr"/>
              <w:rPr>
                <w:iCs/>
              </w:rPr>
            </w:pPr>
            <w:r w:rsidRPr="00526CAD">
              <w:rPr>
                <w:iCs/>
              </w:rPr>
              <w:lastRenderedPageBreak/>
              <w:t xml:space="preserve">Lai sniegtu </w:t>
            </w:r>
            <w:r>
              <w:rPr>
                <w:iCs/>
              </w:rPr>
              <w:t>de minimis valsts atbalstu</w:t>
            </w:r>
            <w:r w:rsidRPr="00526CAD">
              <w:rPr>
                <w:iCs/>
              </w:rPr>
              <w:t xml:space="preserve">,  dalībvalstij ir obligāti jāpiemēro: </w:t>
            </w:r>
          </w:p>
          <w:p w:rsidR="00EB1E3A" w:rsidRPr="00526CAD" w:rsidRDefault="00EB1E3A" w:rsidP="00EB1E3A">
            <w:pPr>
              <w:pStyle w:val="naiskr"/>
              <w:rPr>
                <w:iCs/>
              </w:rPr>
            </w:pPr>
            <w:r w:rsidRPr="00526CAD">
              <w:rPr>
                <w:iCs/>
              </w:rPr>
              <w:t>Komisijas Regula Nr.</w:t>
            </w:r>
            <w:r>
              <w:rPr>
                <w:iCs/>
              </w:rPr>
              <w:t>1998/2006</w:t>
            </w:r>
            <w:r w:rsidRPr="00526CAD">
              <w:rPr>
                <w:iCs/>
              </w:rPr>
              <w:t>.</w:t>
            </w:r>
          </w:p>
          <w:p w:rsidR="00EB1E3A" w:rsidRPr="00EF1B0A" w:rsidRDefault="00EB1E3A" w:rsidP="00EB1E3A">
            <w:pPr>
              <w:jc w:val="both"/>
              <w:rPr>
                <w:rFonts w:eastAsia="Times New Roman"/>
                <w:sz w:val="24"/>
                <w:szCs w:val="24"/>
                <w:lang w:val="lv-LV" w:eastAsia="lv-LV"/>
              </w:rPr>
            </w:pPr>
          </w:p>
        </w:tc>
      </w:tr>
      <w:tr w:rsidR="00643AFE" w:rsidRPr="00993DF6" w:rsidTr="007A2BA3">
        <w:trPr>
          <w:tblCellSpacing w:w="15" w:type="dxa"/>
        </w:trPr>
        <w:tc>
          <w:tcPr>
            <w:tcW w:w="1056" w:type="pct"/>
            <w:gridSpan w:val="2"/>
            <w:shd w:val="clear" w:color="auto" w:fill="auto"/>
            <w:vAlign w:val="center"/>
          </w:tcPr>
          <w:p w:rsidR="00EB1E3A" w:rsidRPr="00526CAD" w:rsidRDefault="00EB1E3A" w:rsidP="00EB1E3A">
            <w:pPr>
              <w:jc w:val="both"/>
              <w:rPr>
                <w:rFonts w:eastAsia="Times New Roman"/>
                <w:sz w:val="24"/>
                <w:szCs w:val="24"/>
                <w:lang w:val="lv-LV" w:eastAsia="lv-LV"/>
              </w:rPr>
            </w:pPr>
            <w:r w:rsidRPr="00526CAD">
              <w:rPr>
                <w:rFonts w:eastAsia="Times New Roman"/>
                <w:sz w:val="24"/>
                <w:szCs w:val="24"/>
                <w:lang w:val="lv-LV"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96" w:type="pct"/>
            <w:gridSpan w:val="4"/>
            <w:shd w:val="clear" w:color="auto" w:fill="auto"/>
          </w:tcPr>
          <w:p w:rsidR="005C281F" w:rsidRPr="003D6B3A" w:rsidRDefault="005C281F" w:rsidP="005C281F">
            <w:pPr>
              <w:pStyle w:val="naiskr"/>
              <w:spacing w:before="0" w:after="0"/>
              <w:jc w:val="both"/>
            </w:pPr>
            <w:r w:rsidRPr="003D6B3A">
              <w:t>MK noteikumu projekts saskaņā ar EK Regulas Nr.800/2008 3.pantu ir atbrīvots no iepriekšējas paziņošanas Eiropas Komisijā.</w:t>
            </w:r>
          </w:p>
          <w:p w:rsidR="00EB1E3A" w:rsidRPr="005C281F" w:rsidRDefault="005C281F" w:rsidP="005C281F">
            <w:pPr>
              <w:jc w:val="both"/>
              <w:rPr>
                <w:rFonts w:eastAsia="Times New Roman"/>
                <w:sz w:val="24"/>
                <w:szCs w:val="24"/>
                <w:lang w:val="lv-LV" w:eastAsia="lv-LV"/>
              </w:rPr>
            </w:pPr>
            <w:r w:rsidRPr="003D6B3A">
              <w:rPr>
                <w:rFonts w:eastAsia="Times New Roman"/>
                <w:sz w:val="24"/>
                <w:szCs w:val="24"/>
                <w:lang w:val="lv-LV" w:eastAsia="lv-LV"/>
              </w:rPr>
              <w:t>Bet, ņemot vērā, EK Regulas 800/2008 9.pantu, atbildīgā iestāde 20 darba dienu</w:t>
            </w:r>
            <w:r w:rsidR="00351DCF">
              <w:rPr>
                <w:rFonts w:eastAsia="Times New Roman"/>
                <w:sz w:val="24"/>
                <w:szCs w:val="24"/>
                <w:lang w:val="lv-LV" w:eastAsia="lv-LV"/>
              </w:rPr>
              <w:t xml:space="preserve"> </w:t>
            </w:r>
            <w:r w:rsidRPr="003D6B3A">
              <w:rPr>
                <w:rFonts w:eastAsia="Times New Roman"/>
                <w:sz w:val="24"/>
                <w:szCs w:val="24"/>
                <w:lang w:val="lv-LV" w:eastAsia="lv-LV"/>
              </w:rPr>
              <w:t xml:space="preserve">laikā pēc šī MK noteikumu projekta apstiprināšanas, izmantojot  izveidoto Komisijas IT lietojumprogrammu SANI, sniegs Komisijai informācijas kopsavilkumu par šo atbalsta pasākumu. </w:t>
            </w:r>
          </w:p>
          <w:p w:rsidR="00EB1E3A" w:rsidRPr="00526CAD" w:rsidRDefault="00EB1E3A" w:rsidP="00EB1E3A">
            <w:pPr>
              <w:jc w:val="both"/>
              <w:rPr>
                <w:rFonts w:eastAsia="Times New Roman"/>
                <w:sz w:val="24"/>
                <w:szCs w:val="24"/>
                <w:lang w:val="lv-LV" w:eastAsia="lv-LV"/>
              </w:rPr>
            </w:pPr>
          </w:p>
        </w:tc>
      </w:tr>
      <w:tr w:rsidR="00643AFE" w:rsidRPr="00526CAD" w:rsidTr="007A2BA3">
        <w:trPr>
          <w:tblCellSpacing w:w="15" w:type="dxa"/>
        </w:trPr>
        <w:tc>
          <w:tcPr>
            <w:tcW w:w="1056" w:type="pct"/>
            <w:gridSpan w:val="2"/>
            <w:shd w:val="clear" w:color="auto" w:fill="auto"/>
          </w:tcPr>
          <w:p w:rsidR="00EB1E3A" w:rsidRPr="00526CAD" w:rsidRDefault="00EB1E3A" w:rsidP="00EB1E3A">
            <w:pPr>
              <w:jc w:val="both"/>
              <w:rPr>
                <w:rFonts w:eastAsia="Times New Roman"/>
                <w:sz w:val="24"/>
                <w:szCs w:val="24"/>
                <w:lang w:val="lv-LV" w:eastAsia="lv-LV"/>
              </w:rPr>
            </w:pPr>
            <w:r w:rsidRPr="00526CAD">
              <w:rPr>
                <w:rFonts w:eastAsia="Times New Roman"/>
                <w:sz w:val="24"/>
                <w:szCs w:val="24"/>
                <w:lang w:val="lv-LV" w:eastAsia="lv-LV"/>
              </w:rPr>
              <w:t>Cita informācija</w:t>
            </w:r>
          </w:p>
        </w:tc>
        <w:tc>
          <w:tcPr>
            <w:tcW w:w="3896" w:type="pct"/>
            <w:gridSpan w:val="4"/>
            <w:shd w:val="clear" w:color="auto" w:fill="auto"/>
          </w:tcPr>
          <w:p w:rsidR="00EB1E3A" w:rsidRPr="00526CAD" w:rsidRDefault="00EB1E3A" w:rsidP="00EB1E3A">
            <w:pPr>
              <w:jc w:val="both"/>
              <w:rPr>
                <w:rFonts w:eastAsia="Times New Roman"/>
                <w:sz w:val="24"/>
                <w:szCs w:val="24"/>
                <w:lang w:val="lv-LV" w:eastAsia="lv-LV"/>
              </w:rPr>
            </w:pPr>
            <w:r w:rsidRPr="00526CAD">
              <w:rPr>
                <w:rFonts w:eastAsia="Times New Roman"/>
                <w:sz w:val="24"/>
                <w:szCs w:val="24"/>
                <w:lang w:val="lv-LV" w:eastAsia="lv-LV"/>
              </w:rPr>
              <w:t>Nav</w:t>
            </w:r>
          </w:p>
        </w:tc>
      </w:tr>
    </w:tbl>
    <w:p w:rsidR="00435893" w:rsidRDefault="00435893" w:rsidP="00CE5A53">
      <w:pPr>
        <w:tabs>
          <w:tab w:val="left" w:pos="7655"/>
        </w:tabs>
        <w:jc w:val="both"/>
        <w:rPr>
          <w:bCs/>
          <w:sz w:val="24"/>
          <w:szCs w:val="24"/>
          <w:highlight w:val="lightGray"/>
          <w:lang w:val="lv-LV"/>
        </w:rPr>
      </w:pPr>
    </w:p>
    <w:p w:rsidR="00435893" w:rsidRPr="00DE28A0" w:rsidRDefault="00435893" w:rsidP="00CE5A53">
      <w:pPr>
        <w:tabs>
          <w:tab w:val="left" w:pos="7655"/>
        </w:tabs>
        <w:jc w:val="both"/>
        <w:rPr>
          <w:bCs/>
          <w:sz w:val="24"/>
          <w:szCs w:val="24"/>
          <w:highlight w:val="lightGray"/>
          <w:lang w:val="lv-LV"/>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68"/>
        <w:gridCol w:w="4110"/>
        <w:gridCol w:w="4536"/>
      </w:tblGrid>
      <w:tr w:rsidR="00D7051C" w:rsidRPr="0063775D">
        <w:tc>
          <w:tcPr>
            <w:tcW w:w="9214" w:type="dxa"/>
            <w:gridSpan w:val="3"/>
          </w:tcPr>
          <w:p w:rsidR="00D7051C" w:rsidRPr="00A91BA0" w:rsidRDefault="00D7051C" w:rsidP="005B6EF3">
            <w:pPr>
              <w:jc w:val="center"/>
              <w:rPr>
                <w:rFonts w:eastAsia="Times New Roman"/>
                <w:b/>
                <w:sz w:val="24"/>
                <w:szCs w:val="24"/>
                <w:lang w:val="lv-LV" w:eastAsia="lv-LV"/>
              </w:rPr>
            </w:pPr>
            <w:r w:rsidRPr="00A91BA0">
              <w:rPr>
                <w:b/>
                <w:bCs/>
                <w:sz w:val="24"/>
                <w:szCs w:val="24"/>
                <w:lang w:val="lv-LV"/>
              </w:rPr>
              <w:t>VI. Sabiedrības līdzdalība un šīs līdzdalības rezultāti</w:t>
            </w:r>
          </w:p>
        </w:tc>
      </w:tr>
      <w:tr w:rsidR="00A46619" w:rsidRPr="0063775D" w:rsidTr="0070633F">
        <w:tc>
          <w:tcPr>
            <w:tcW w:w="568" w:type="dxa"/>
          </w:tcPr>
          <w:p w:rsidR="00A46619" w:rsidRPr="00A91BA0" w:rsidRDefault="00A46619" w:rsidP="005B6EF3">
            <w:pPr>
              <w:rPr>
                <w:rFonts w:eastAsia="Times New Roman"/>
                <w:sz w:val="24"/>
                <w:szCs w:val="24"/>
                <w:lang w:val="lv-LV" w:eastAsia="lv-LV"/>
              </w:rPr>
            </w:pPr>
            <w:r w:rsidRPr="00A91BA0">
              <w:rPr>
                <w:rFonts w:eastAsia="Times New Roman"/>
                <w:sz w:val="24"/>
                <w:szCs w:val="24"/>
                <w:lang w:val="lv-LV" w:eastAsia="lv-LV"/>
              </w:rPr>
              <w:t>1.</w:t>
            </w:r>
          </w:p>
        </w:tc>
        <w:tc>
          <w:tcPr>
            <w:tcW w:w="4110" w:type="dxa"/>
          </w:tcPr>
          <w:p w:rsidR="00A46619" w:rsidRPr="00A91BA0" w:rsidRDefault="00A46619" w:rsidP="005B6EF3">
            <w:pPr>
              <w:rPr>
                <w:rFonts w:eastAsia="Times New Roman"/>
                <w:sz w:val="24"/>
                <w:szCs w:val="24"/>
                <w:lang w:val="lv-LV" w:eastAsia="lv-LV"/>
              </w:rPr>
            </w:pPr>
            <w:r w:rsidRPr="00A91BA0">
              <w:rPr>
                <w:sz w:val="24"/>
                <w:szCs w:val="24"/>
                <w:lang w:val="lv-LV"/>
              </w:rPr>
              <w:t>Sabiedrības informēšana par projekta izstrādes uzsākšanu</w:t>
            </w:r>
          </w:p>
        </w:tc>
        <w:tc>
          <w:tcPr>
            <w:tcW w:w="4536" w:type="dxa"/>
          </w:tcPr>
          <w:p w:rsidR="00A46619" w:rsidRPr="00A91BA0" w:rsidRDefault="00A46619" w:rsidP="00620AD6">
            <w:pPr>
              <w:ind w:left="124"/>
              <w:jc w:val="both"/>
              <w:rPr>
                <w:rFonts w:eastAsia="Times New Roman"/>
                <w:sz w:val="24"/>
                <w:szCs w:val="24"/>
                <w:lang w:val="lv-LV" w:eastAsia="lv-LV"/>
              </w:rPr>
            </w:pPr>
            <w:r w:rsidRPr="00A91BA0">
              <w:rPr>
                <w:rFonts w:eastAsia="Times New Roman"/>
                <w:sz w:val="24"/>
                <w:szCs w:val="24"/>
                <w:lang w:val="lv-LV" w:eastAsia="lv-LV"/>
              </w:rPr>
              <w:t xml:space="preserve">Noteikumu projekta izstrādes procesā tika iesaistīta Hipotēku banka, kas izteica priekšlikumus programmas uzlabošanai. </w:t>
            </w:r>
          </w:p>
        </w:tc>
      </w:tr>
      <w:tr w:rsidR="00A46619" w:rsidRPr="0063775D" w:rsidTr="0070633F">
        <w:tc>
          <w:tcPr>
            <w:tcW w:w="568" w:type="dxa"/>
          </w:tcPr>
          <w:p w:rsidR="00A46619" w:rsidRPr="00A91BA0" w:rsidRDefault="00A46619" w:rsidP="005B6EF3">
            <w:pPr>
              <w:rPr>
                <w:rFonts w:eastAsia="Times New Roman"/>
                <w:sz w:val="24"/>
                <w:szCs w:val="24"/>
                <w:lang w:val="lv-LV" w:eastAsia="lv-LV"/>
              </w:rPr>
            </w:pPr>
            <w:r w:rsidRPr="00A91BA0">
              <w:rPr>
                <w:rFonts w:eastAsia="Times New Roman"/>
                <w:sz w:val="24"/>
                <w:szCs w:val="24"/>
                <w:lang w:val="lv-LV" w:eastAsia="lv-LV"/>
              </w:rPr>
              <w:t>2.</w:t>
            </w:r>
          </w:p>
        </w:tc>
        <w:tc>
          <w:tcPr>
            <w:tcW w:w="4110" w:type="dxa"/>
          </w:tcPr>
          <w:p w:rsidR="00A46619" w:rsidRPr="00100BBC" w:rsidRDefault="00A46619" w:rsidP="005B6EF3">
            <w:pPr>
              <w:rPr>
                <w:rFonts w:eastAsia="Times New Roman"/>
                <w:sz w:val="24"/>
                <w:szCs w:val="24"/>
                <w:lang w:val="lv-LV" w:eastAsia="lv-LV"/>
              </w:rPr>
            </w:pPr>
            <w:r w:rsidRPr="00A55F04">
              <w:rPr>
                <w:sz w:val="24"/>
                <w:szCs w:val="24"/>
                <w:lang w:val="lv-LV"/>
              </w:rPr>
              <w:t>Sabiedrības līdzdalība projekta izstrādē</w:t>
            </w:r>
          </w:p>
        </w:tc>
        <w:tc>
          <w:tcPr>
            <w:tcW w:w="4536" w:type="dxa"/>
          </w:tcPr>
          <w:p w:rsidR="00A46619" w:rsidRPr="00A91BA0" w:rsidRDefault="00A46619" w:rsidP="00A46619">
            <w:pPr>
              <w:ind w:left="124"/>
              <w:jc w:val="both"/>
              <w:rPr>
                <w:rFonts w:eastAsia="Times New Roman"/>
                <w:iCs/>
                <w:sz w:val="24"/>
                <w:szCs w:val="24"/>
                <w:lang w:val="lv-LV" w:eastAsia="lv-LV"/>
              </w:rPr>
            </w:pPr>
            <w:r w:rsidRPr="00A91BA0">
              <w:rPr>
                <w:rFonts w:eastAsia="Times New Roman"/>
                <w:iCs/>
                <w:sz w:val="24"/>
                <w:szCs w:val="24"/>
                <w:lang w:val="lv-LV" w:eastAsia="lv-LV"/>
              </w:rPr>
              <w:t xml:space="preserve">2012.gada 3.decembrī notika Valsts atbalsta programmu koordinācijas un pilnveidošanas konsultatīvās padomes sēde, kurā tika izskatīti priekšlikumi </w:t>
            </w:r>
            <w:r w:rsidR="00100BBC">
              <w:rPr>
                <w:rFonts w:eastAsia="Times New Roman"/>
                <w:iCs/>
                <w:sz w:val="24"/>
                <w:szCs w:val="24"/>
                <w:lang w:val="lv-LV" w:eastAsia="lv-LV"/>
              </w:rPr>
              <w:t xml:space="preserve">izmaiņām Konkurētspējas programmā. </w:t>
            </w:r>
            <w:r w:rsidRPr="00A91BA0">
              <w:rPr>
                <w:rFonts w:eastAsia="Times New Roman"/>
                <w:iCs/>
                <w:sz w:val="24"/>
                <w:szCs w:val="24"/>
                <w:lang w:val="lv-LV" w:eastAsia="lv-LV"/>
              </w:rPr>
              <w:t xml:space="preserve">Konsultatīvajā padomē ir iekļauti pārstāvji no Ekonomikas ministrijas, Finanšu ministrijas, Zemkopības ministrijas, Vides aizsardzības un reģionālās attīstības ministrijas, Latvijas Darba devēju konfederācijas, Latvijas Tirdzniecības un rūpniecības kameras, Latvijas Komercbanku asociācijas, Valsts kases un Lauksaimnieku organizāciju sadarbības padomes. </w:t>
            </w:r>
            <w:r w:rsidR="00100BBC">
              <w:rPr>
                <w:rFonts w:eastAsia="Times New Roman"/>
                <w:iCs/>
                <w:sz w:val="24"/>
                <w:szCs w:val="24"/>
                <w:lang w:val="lv-LV" w:eastAsia="lv-LV"/>
              </w:rPr>
              <w:t xml:space="preserve">Sēdē tika nolemts, ka padomes dalībniekiem ir jāvienojas par maksimālajiem aizdevumu sliekšņiem un nepieciešamajiem grozījumiem programmā. </w:t>
            </w:r>
          </w:p>
          <w:p w:rsidR="00A46619" w:rsidRPr="00A91BA0" w:rsidRDefault="00F94F3C" w:rsidP="00100BBC">
            <w:pPr>
              <w:ind w:left="124"/>
              <w:jc w:val="both"/>
              <w:rPr>
                <w:rFonts w:eastAsia="Times New Roman"/>
                <w:iCs/>
                <w:sz w:val="24"/>
                <w:szCs w:val="24"/>
                <w:lang w:val="lv-LV" w:eastAsia="lv-LV"/>
              </w:rPr>
            </w:pPr>
            <w:r w:rsidRPr="00A91BA0">
              <w:rPr>
                <w:rFonts w:eastAsia="Times New Roman"/>
                <w:iCs/>
                <w:sz w:val="24"/>
                <w:szCs w:val="24"/>
                <w:lang w:val="lv-LV" w:eastAsia="lv-LV"/>
              </w:rPr>
              <w:t xml:space="preserve">2012.gada 13.decembrī Ekonomikas ministrija organizēja tikšanos ar Hipotēku bankas, Latvijas Komercbanku asociācijas, Finanšu ministrijas, Latvijas Darba devēju </w:t>
            </w:r>
            <w:r w:rsidRPr="00A91BA0">
              <w:rPr>
                <w:rFonts w:eastAsia="Times New Roman"/>
                <w:iCs/>
                <w:sz w:val="24"/>
                <w:szCs w:val="24"/>
                <w:lang w:val="lv-LV" w:eastAsia="lv-LV"/>
              </w:rPr>
              <w:lastRenderedPageBreak/>
              <w:t xml:space="preserve">konfederācijas un Latvijas Tirdzniecības un rūpniecības kameras pārstāvjiem, </w:t>
            </w:r>
            <w:r w:rsidR="00100BBC">
              <w:rPr>
                <w:rFonts w:eastAsia="Times New Roman"/>
                <w:iCs/>
                <w:sz w:val="24"/>
                <w:szCs w:val="24"/>
                <w:lang w:val="lv-LV" w:eastAsia="lv-LV"/>
              </w:rPr>
              <w:t xml:space="preserve">kurā </w:t>
            </w:r>
            <w:r w:rsidR="00100BBC" w:rsidRPr="00A91BA0">
              <w:rPr>
                <w:rFonts w:eastAsia="Times New Roman"/>
                <w:iCs/>
                <w:sz w:val="24"/>
                <w:szCs w:val="24"/>
                <w:lang w:val="lv-LV" w:eastAsia="lv-LV"/>
              </w:rPr>
              <w:t xml:space="preserve"> </w:t>
            </w:r>
            <w:r w:rsidRPr="00A91BA0">
              <w:rPr>
                <w:rFonts w:eastAsia="Times New Roman"/>
                <w:iCs/>
                <w:sz w:val="24"/>
                <w:szCs w:val="24"/>
                <w:lang w:val="lv-LV" w:eastAsia="lv-LV"/>
              </w:rPr>
              <w:t>vieno</w:t>
            </w:r>
            <w:r w:rsidR="00100BBC">
              <w:rPr>
                <w:rFonts w:eastAsia="Times New Roman"/>
                <w:iCs/>
                <w:sz w:val="24"/>
                <w:szCs w:val="24"/>
                <w:lang w:val="lv-LV" w:eastAsia="lv-LV"/>
              </w:rPr>
              <w:t>jās</w:t>
            </w:r>
            <w:r w:rsidRPr="00A91BA0">
              <w:rPr>
                <w:rFonts w:eastAsia="Times New Roman"/>
                <w:iCs/>
                <w:sz w:val="24"/>
                <w:szCs w:val="24"/>
                <w:lang w:val="lv-LV" w:eastAsia="lv-LV"/>
              </w:rPr>
              <w:t xml:space="preserve"> par konkrētām izmaiņām atbalsta </w:t>
            </w:r>
            <w:r w:rsidR="00A91BA0" w:rsidRPr="00A91BA0">
              <w:rPr>
                <w:rFonts w:eastAsia="Times New Roman"/>
                <w:iCs/>
                <w:sz w:val="24"/>
                <w:szCs w:val="24"/>
                <w:lang w:val="lv-LV" w:eastAsia="lv-LV"/>
              </w:rPr>
              <w:t xml:space="preserve">programmas ieviešanā. </w:t>
            </w:r>
            <w:r w:rsidR="00A46619" w:rsidRPr="00A91BA0">
              <w:rPr>
                <w:rFonts w:eastAsia="Times New Roman"/>
                <w:iCs/>
                <w:sz w:val="24"/>
                <w:szCs w:val="24"/>
                <w:lang w:val="lv-LV" w:eastAsia="lv-LV"/>
              </w:rPr>
              <w:t xml:space="preserve"> </w:t>
            </w:r>
          </w:p>
        </w:tc>
      </w:tr>
      <w:tr w:rsidR="00A46619" w:rsidRPr="0063775D" w:rsidTr="0070633F">
        <w:trPr>
          <w:trHeight w:val="930"/>
        </w:trPr>
        <w:tc>
          <w:tcPr>
            <w:tcW w:w="568" w:type="dxa"/>
          </w:tcPr>
          <w:p w:rsidR="00A46619" w:rsidRPr="00A91BA0" w:rsidRDefault="00A46619" w:rsidP="005B6EF3">
            <w:pPr>
              <w:rPr>
                <w:rFonts w:eastAsia="Times New Roman"/>
                <w:sz w:val="24"/>
                <w:szCs w:val="24"/>
                <w:lang w:val="lv-LV" w:eastAsia="lv-LV"/>
              </w:rPr>
            </w:pPr>
            <w:r w:rsidRPr="00A91BA0">
              <w:rPr>
                <w:rFonts w:eastAsia="Times New Roman"/>
                <w:sz w:val="24"/>
                <w:szCs w:val="24"/>
                <w:lang w:val="lv-LV" w:eastAsia="lv-LV"/>
              </w:rPr>
              <w:lastRenderedPageBreak/>
              <w:t>3.</w:t>
            </w:r>
          </w:p>
        </w:tc>
        <w:tc>
          <w:tcPr>
            <w:tcW w:w="4110" w:type="dxa"/>
          </w:tcPr>
          <w:p w:rsidR="00A46619" w:rsidRPr="00A91BA0" w:rsidRDefault="00A46619" w:rsidP="005B6EF3">
            <w:pPr>
              <w:rPr>
                <w:rFonts w:eastAsia="Times New Roman"/>
                <w:sz w:val="24"/>
                <w:szCs w:val="24"/>
                <w:lang w:val="lv-LV" w:eastAsia="lv-LV"/>
              </w:rPr>
            </w:pPr>
            <w:r w:rsidRPr="00A91BA0">
              <w:rPr>
                <w:sz w:val="24"/>
                <w:szCs w:val="24"/>
                <w:lang w:val="lv-LV"/>
              </w:rPr>
              <w:t>Sabiedrības līdzdalības rezultāti</w:t>
            </w:r>
          </w:p>
        </w:tc>
        <w:tc>
          <w:tcPr>
            <w:tcW w:w="4536" w:type="dxa"/>
          </w:tcPr>
          <w:p w:rsidR="00A46619" w:rsidRPr="00A91BA0" w:rsidRDefault="00A46619" w:rsidP="00620AD6">
            <w:pPr>
              <w:ind w:left="124"/>
              <w:jc w:val="both"/>
              <w:rPr>
                <w:rFonts w:eastAsia="Times New Roman"/>
                <w:sz w:val="24"/>
                <w:szCs w:val="24"/>
                <w:lang w:val="lv-LV" w:eastAsia="lv-LV"/>
              </w:rPr>
            </w:pPr>
            <w:r w:rsidRPr="00A91BA0">
              <w:rPr>
                <w:rFonts w:eastAsia="Times New Roman"/>
                <w:sz w:val="24"/>
                <w:szCs w:val="24"/>
                <w:lang w:val="lv-LV" w:eastAsia="lv-LV"/>
              </w:rPr>
              <w:t>Noteikumu projektā ir iestrādāti Hipotēku</w:t>
            </w:r>
            <w:r w:rsidR="00A91BA0" w:rsidRPr="00A91BA0">
              <w:rPr>
                <w:rFonts w:eastAsia="Times New Roman"/>
                <w:sz w:val="24"/>
                <w:szCs w:val="24"/>
                <w:lang w:val="lv-LV" w:eastAsia="lv-LV"/>
              </w:rPr>
              <w:t xml:space="preserve"> </w:t>
            </w:r>
            <w:r w:rsidRPr="00A91BA0">
              <w:rPr>
                <w:rFonts w:eastAsia="Times New Roman"/>
                <w:sz w:val="24"/>
                <w:szCs w:val="24"/>
                <w:lang w:val="lv-LV" w:eastAsia="lv-LV"/>
              </w:rPr>
              <w:t>bankas</w:t>
            </w:r>
            <w:r w:rsidR="00A91BA0" w:rsidRPr="00A91BA0">
              <w:rPr>
                <w:rFonts w:eastAsia="Times New Roman"/>
                <w:sz w:val="24"/>
                <w:szCs w:val="24"/>
                <w:lang w:val="lv-LV" w:eastAsia="lv-LV"/>
              </w:rPr>
              <w:t>, Latvijas Komercbanku asociācijas</w:t>
            </w:r>
            <w:r w:rsidRPr="00A91BA0">
              <w:rPr>
                <w:rFonts w:eastAsia="Times New Roman"/>
                <w:sz w:val="24"/>
                <w:szCs w:val="24"/>
                <w:lang w:val="lv-LV" w:eastAsia="lv-LV"/>
              </w:rPr>
              <w:t xml:space="preserve"> un </w:t>
            </w:r>
            <w:r w:rsidR="00A91BA0" w:rsidRPr="00A91BA0">
              <w:rPr>
                <w:rFonts w:eastAsia="Times New Roman"/>
                <w:sz w:val="24"/>
                <w:szCs w:val="24"/>
                <w:lang w:val="lv-LV" w:eastAsia="lv-LV"/>
              </w:rPr>
              <w:t>komersantu intereses pārstāvošo asociāciju</w:t>
            </w:r>
            <w:r w:rsidRPr="00A91BA0">
              <w:rPr>
                <w:rFonts w:eastAsia="Times New Roman"/>
                <w:sz w:val="24"/>
                <w:szCs w:val="24"/>
                <w:lang w:val="lv-LV" w:eastAsia="lv-LV"/>
              </w:rPr>
              <w:t xml:space="preserve"> priekšlikumi. </w:t>
            </w:r>
          </w:p>
        </w:tc>
      </w:tr>
      <w:tr w:rsidR="00D7051C" w:rsidRPr="00DE28A0" w:rsidTr="0070633F">
        <w:trPr>
          <w:trHeight w:val="927"/>
        </w:trPr>
        <w:tc>
          <w:tcPr>
            <w:tcW w:w="568" w:type="dxa"/>
          </w:tcPr>
          <w:p w:rsidR="00D7051C" w:rsidRPr="00514E91" w:rsidRDefault="00D7051C" w:rsidP="005B6EF3">
            <w:pPr>
              <w:rPr>
                <w:rFonts w:eastAsia="Times New Roman"/>
                <w:sz w:val="24"/>
                <w:szCs w:val="24"/>
                <w:lang w:val="lv-LV" w:eastAsia="lv-LV"/>
              </w:rPr>
            </w:pPr>
            <w:r w:rsidRPr="00514E91">
              <w:rPr>
                <w:rFonts w:eastAsia="Times New Roman"/>
                <w:sz w:val="24"/>
                <w:szCs w:val="24"/>
                <w:lang w:val="lv-LV" w:eastAsia="lv-LV"/>
              </w:rPr>
              <w:t>4.</w:t>
            </w:r>
          </w:p>
        </w:tc>
        <w:tc>
          <w:tcPr>
            <w:tcW w:w="4110" w:type="dxa"/>
          </w:tcPr>
          <w:p w:rsidR="00D7051C" w:rsidRPr="00514E91" w:rsidRDefault="00F924ED" w:rsidP="005B6EF3">
            <w:pPr>
              <w:rPr>
                <w:rFonts w:eastAsia="Times New Roman"/>
                <w:sz w:val="24"/>
                <w:szCs w:val="24"/>
                <w:lang w:val="lv-LV" w:eastAsia="lv-LV"/>
              </w:rPr>
            </w:pPr>
            <w:r w:rsidRPr="00514E91">
              <w:rPr>
                <w:sz w:val="24"/>
                <w:szCs w:val="24"/>
                <w:lang w:val="lv-LV"/>
              </w:rPr>
              <w:t>Saeimas un ekspertu līdzdalība</w:t>
            </w:r>
          </w:p>
        </w:tc>
        <w:tc>
          <w:tcPr>
            <w:tcW w:w="4536" w:type="dxa"/>
          </w:tcPr>
          <w:p w:rsidR="00D7051C" w:rsidRPr="00514E91" w:rsidRDefault="00F924ED" w:rsidP="005B6EF3">
            <w:pPr>
              <w:ind w:firstLine="284"/>
              <w:jc w:val="both"/>
              <w:rPr>
                <w:rFonts w:eastAsia="Times New Roman"/>
                <w:sz w:val="24"/>
                <w:szCs w:val="24"/>
                <w:lang w:val="lv-LV" w:eastAsia="lv-LV"/>
              </w:rPr>
            </w:pPr>
            <w:r w:rsidRPr="00514E91">
              <w:rPr>
                <w:sz w:val="24"/>
                <w:szCs w:val="24"/>
                <w:lang w:val="lv-LV"/>
              </w:rPr>
              <w:t>Konsultācijas nebija nepieciešams rīkot.</w:t>
            </w:r>
          </w:p>
        </w:tc>
      </w:tr>
      <w:tr w:rsidR="00D7051C" w:rsidRPr="00DE28A0" w:rsidTr="0070633F">
        <w:trPr>
          <w:trHeight w:val="912"/>
        </w:trPr>
        <w:tc>
          <w:tcPr>
            <w:tcW w:w="568" w:type="dxa"/>
          </w:tcPr>
          <w:p w:rsidR="00D7051C" w:rsidRPr="00514E91" w:rsidRDefault="00D7051C" w:rsidP="005B6EF3">
            <w:pPr>
              <w:rPr>
                <w:rFonts w:eastAsia="Times New Roman"/>
                <w:sz w:val="24"/>
                <w:szCs w:val="24"/>
                <w:lang w:val="lv-LV" w:eastAsia="lv-LV"/>
              </w:rPr>
            </w:pPr>
            <w:r w:rsidRPr="00514E91">
              <w:rPr>
                <w:rFonts w:eastAsia="Times New Roman"/>
                <w:sz w:val="24"/>
                <w:szCs w:val="24"/>
                <w:lang w:val="lv-LV" w:eastAsia="lv-LV"/>
              </w:rPr>
              <w:t>5.</w:t>
            </w:r>
          </w:p>
        </w:tc>
        <w:tc>
          <w:tcPr>
            <w:tcW w:w="4110" w:type="dxa"/>
          </w:tcPr>
          <w:p w:rsidR="00D7051C" w:rsidRPr="00514E91" w:rsidRDefault="00F924ED" w:rsidP="005B6EF3">
            <w:pPr>
              <w:rPr>
                <w:rFonts w:eastAsia="Times New Roman"/>
                <w:sz w:val="24"/>
                <w:szCs w:val="24"/>
                <w:lang w:val="lv-LV" w:eastAsia="lv-LV"/>
              </w:rPr>
            </w:pPr>
            <w:r w:rsidRPr="00514E91">
              <w:rPr>
                <w:sz w:val="24"/>
                <w:szCs w:val="24"/>
                <w:lang w:val="lv-LV"/>
              </w:rPr>
              <w:t>Cita informācija</w:t>
            </w:r>
          </w:p>
        </w:tc>
        <w:tc>
          <w:tcPr>
            <w:tcW w:w="4536" w:type="dxa"/>
          </w:tcPr>
          <w:p w:rsidR="00D7051C" w:rsidRPr="00514E91" w:rsidRDefault="00F924ED" w:rsidP="005B6EF3">
            <w:pPr>
              <w:ind w:firstLine="284"/>
              <w:jc w:val="both"/>
              <w:rPr>
                <w:rFonts w:eastAsia="Times New Roman"/>
                <w:sz w:val="24"/>
                <w:szCs w:val="24"/>
                <w:lang w:val="lv-LV" w:eastAsia="lv-LV"/>
              </w:rPr>
            </w:pPr>
            <w:r w:rsidRPr="00514E91">
              <w:rPr>
                <w:rFonts w:eastAsia="Times New Roman"/>
                <w:iCs/>
                <w:sz w:val="24"/>
                <w:szCs w:val="24"/>
                <w:lang w:val="lv-LV" w:eastAsia="lv-LV"/>
              </w:rPr>
              <w:t>Nav. </w:t>
            </w:r>
          </w:p>
        </w:tc>
      </w:tr>
    </w:tbl>
    <w:p w:rsidR="00926E4B" w:rsidRPr="00DE28A0" w:rsidRDefault="00926E4B" w:rsidP="00CE5A53">
      <w:pPr>
        <w:tabs>
          <w:tab w:val="left" w:pos="7655"/>
        </w:tabs>
        <w:jc w:val="both"/>
        <w:rPr>
          <w:bCs/>
          <w:sz w:val="24"/>
          <w:szCs w:val="24"/>
          <w:highlight w:val="lightGray"/>
          <w:lang w:val="lv-LV"/>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68"/>
        <w:gridCol w:w="4110"/>
        <w:gridCol w:w="4536"/>
      </w:tblGrid>
      <w:tr w:rsidR="007D3113" w:rsidRPr="0063775D">
        <w:tc>
          <w:tcPr>
            <w:tcW w:w="9214" w:type="dxa"/>
            <w:gridSpan w:val="3"/>
          </w:tcPr>
          <w:p w:rsidR="007D3113" w:rsidRPr="00514E91" w:rsidRDefault="007D3113" w:rsidP="00762978">
            <w:pPr>
              <w:jc w:val="center"/>
              <w:rPr>
                <w:rFonts w:eastAsia="Times New Roman"/>
                <w:b/>
                <w:sz w:val="24"/>
                <w:szCs w:val="24"/>
                <w:lang w:val="lv-LV" w:eastAsia="lv-LV"/>
              </w:rPr>
            </w:pPr>
            <w:r w:rsidRPr="00514E91">
              <w:rPr>
                <w:rFonts w:eastAsia="Times New Roman"/>
                <w:b/>
                <w:sz w:val="24"/>
                <w:szCs w:val="24"/>
                <w:lang w:val="lv-LV" w:eastAsia="lv-LV"/>
              </w:rPr>
              <w:t>VII. Tiesību akta projekta izpildes nodrošināšana un tās ietekme uz institūcijām</w:t>
            </w:r>
          </w:p>
        </w:tc>
      </w:tr>
      <w:tr w:rsidR="00514E91" w:rsidRPr="006A33F8" w:rsidTr="0070633F">
        <w:tc>
          <w:tcPr>
            <w:tcW w:w="568" w:type="dxa"/>
          </w:tcPr>
          <w:p w:rsidR="00514E91" w:rsidRPr="00514E91" w:rsidRDefault="00514E91" w:rsidP="00762978">
            <w:pPr>
              <w:rPr>
                <w:rFonts w:eastAsia="Times New Roman"/>
                <w:sz w:val="24"/>
                <w:szCs w:val="24"/>
                <w:lang w:val="lv-LV" w:eastAsia="lv-LV"/>
              </w:rPr>
            </w:pPr>
            <w:r w:rsidRPr="00514E91">
              <w:rPr>
                <w:rFonts w:eastAsia="Times New Roman"/>
                <w:sz w:val="24"/>
                <w:szCs w:val="24"/>
                <w:lang w:val="lv-LV" w:eastAsia="lv-LV"/>
              </w:rPr>
              <w:t>1.</w:t>
            </w:r>
          </w:p>
        </w:tc>
        <w:tc>
          <w:tcPr>
            <w:tcW w:w="4110" w:type="dxa"/>
          </w:tcPr>
          <w:p w:rsidR="00514E91" w:rsidRPr="00514E91" w:rsidRDefault="00514E91" w:rsidP="00762978">
            <w:pPr>
              <w:rPr>
                <w:rFonts w:eastAsia="Times New Roman"/>
                <w:sz w:val="24"/>
                <w:szCs w:val="24"/>
                <w:lang w:val="lv-LV" w:eastAsia="lv-LV"/>
              </w:rPr>
            </w:pPr>
            <w:r w:rsidRPr="00514E91">
              <w:rPr>
                <w:rFonts w:eastAsia="Times New Roman"/>
                <w:sz w:val="24"/>
                <w:szCs w:val="24"/>
                <w:lang w:val="lv-LV" w:eastAsia="lv-LV"/>
              </w:rPr>
              <w:t>Projekta izpildē iesaistītās institūcijas</w:t>
            </w:r>
          </w:p>
        </w:tc>
        <w:tc>
          <w:tcPr>
            <w:tcW w:w="4536" w:type="dxa"/>
          </w:tcPr>
          <w:p w:rsidR="00514E91" w:rsidRPr="00514E91" w:rsidRDefault="00514E91" w:rsidP="00620AD6">
            <w:pPr>
              <w:spacing w:line="276" w:lineRule="auto"/>
              <w:ind w:left="142"/>
              <w:jc w:val="both"/>
              <w:rPr>
                <w:sz w:val="24"/>
                <w:szCs w:val="24"/>
                <w:lang w:val="lv-LV" w:eastAsia="lv-LV"/>
              </w:rPr>
            </w:pPr>
            <w:r w:rsidRPr="00514E91">
              <w:rPr>
                <w:sz w:val="24"/>
                <w:szCs w:val="24"/>
                <w:lang w:val="lv-LV"/>
              </w:rPr>
              <w:t>Noteikumu projekta izpildē ir iesaistīta Ekonomikas ministrija un Hipotēku</w:t>
            </w:r>
            <w:r w:rsidR="00620AD6">
              <w:rPr>
                <w:sz w:val="24"/>
                <w:szCs w:val="24"/>
                <w:lang w:val="lv-LV"/>
              </w:rPr>
              <w:t xml:space="preserve"> </w:t>
            </w:r>
            <w:r w:rsidRPr="00514E91">
              <w:rPr>
                <w:sz w:val="24"/>
                <w:szCs w:val="24"/>
                <w:lang w:val="lv-LV"/>
              </w:rPr>
              <w:t>banka.</w:t>
            </w:r>
          </w:p>
        </w:tc>
      </w:tr>
      <w:tr w:rsidR="00514E91" w:rsidRPr="0063775D" w:rsidTr="0070633F">
        <w:tc>
          <w:tcPr>
            <w:tcW w:w="568" w:type="dxa"/>
          </w:tcPr>
          <w:p w:rsidR="00514E91" w:rsidRPr="00514E91" w:rsidRDefault="00514E91" w:rsidP="00762978">
            <w:pPr>
              <w:rPr>
                <w:rFonts w:eastAsia="Times New Roman"/>
                <w:sz w:val="24"/>
                <w:szCs w:val="24"/>
                <w:lang w:val="lv-LV" w:eastAsia="lv-LV"/>
              </w:rPr>
            </w:pPr>
            <w:r w:rsidRPr="00514E91">
              <w:rPr>
                <w:rFonts w:eastAsia="Times New Roman"/>
                <w:sz w:val="24"/>
                <w:szCs w:val="24"/>
                <w:lang w:val="lv-LV" w:eastAsia="lv-LV"/>
              </w:rPr>
              <w:t>2.</w:t>
            </w:r>
          </w:p>
        </w:tc>
        <w:tc>
          <w:tcPr>
            <w:tcW w:w="4110" w:type="dxa"/>
          </w:tcPr>
          <w:p w:rsidR="00514E91" w:rsidRPr="00514E91" w:rsidRDefault="00514E91" w:rsidP="00762978">
            <w:pPr>
              <w:rPr>
                <w:rFonts w:eastAsia="Times New Roman"/>
                <w:sz w:val="24"/>
                <w:szCs w:val="24"/>
                <w:lang w:val="lv-LV" w:eastAsia="lv-LV"/>
              </w:rPr>
            </w:pPr>
            <w:r w:rsidRPr="00514E91">
              <w:rPr>
                <w:rFonts w:eastAsia="Times New Roman"/>
                <w:sz w:val="24"/>
                <w:szCs w:val="24"/>
                <w:lang w:val="lv-LV" w:eastAsia="lv-LV"/>
              </w:rPr>
              <w:t>Projekta izpildes ietekme uz pārvaldes funkcijā</w:t>
            </w:r>
          </w:p>
        </w:tc>
        <w:tc>
          <w:tcPr>
            <w:tcW w:w="4536" w:type="dxa"/>
          </w:tcPr>
          <w:p w:rsidR="00514E91" w:rsidRPr="00514E91" w:rsidRDefault="00514E91" w:rsidP="00620AD6">
            <w:pPr>
              <w:spacing w:line="276" w:lineRule="auto"/>
              <w:ind w:left="142"/>
              <w:jc w:val="both"/>
              <w:rPr>
                <w:sz w:val="24"/>
                <w:szCs w:val="24"/>
                <w:lang w:val="lv-LV"/>
              </w:rPr>
            </w:pPr>
            <w:r w:rsidRPr="00514E91">
              <w:rPr>
                <w:sz w:val="24"/>
                <w:szCs w:val="24"/>
                <w:lang w:val="lv-LV"/>
              </w:rPr>
              <w:t>Noteikumu projekta izpildi nodrošinās Hipotēku</w:t>
            </w:r>
            <w:r>
              <w:rPr>
                <w:sz w:val="24"/>
                <w:szCs w:val="24"/>
                <w:lang w:val="lv-LV"/>
              </w:rPr>
              <w:t xml:space="preserve"> </w:t>
            </w:r>
            <w:r w:rsidRPr="00514E91">
              <w:rPr>
                <w:sz w:val="24"/>
                <w:szCs w:val="24"/>
                <w:lang w:val="lv-LV"/>
              </w:rPr>
              <w:t>bankas darbības ietvaros.</w:t>
            </w:r>
          </w:p>
        </w:tc>
      </w:tr>
      <w:tr w:rsidR="00514E91" w:rsidRPr="006A33F8" w:rsidTr="0070633F">
        <w:trPr>
          <w:trHeight w:val="930"/>
        </w:trPr>
        <w:tc>
          <w:tcPr>
            <w:tcW w:w="568" w:type="dxa"/>
          </w:tcPr>
          <w:p w:rsidR="00514E91" w:rsidRPr="00514E91" w:rsidRDefault="00514E91" w:rsidP="00762978">
            <w:pPr>
              <w:rPr>
                <w:rFonts w:eastAsia="Times New Roman"/>
                <w:sz w:val="24"/>
                <w:szCs w:val="24"/>
                <w:lang w:val="lv-LV" w:eastAsia="lv-LV"/>
              </w:rPr>
            </w:pPr>
            <w:r w:rsidRPr="00514E91">
              <w:rPr>
                <w:rFonts w:eastAsia="Times New Roman"/>
                <w:sz w:val="24"/>
                <w:szCs w:val="24"/>
                <w:lang w:val="lv-LV" w:eastAsia="lv-LV"/>
              </w:rPr>
              <w:t>3.</w:t>
            </w:r>
          </w:p>
        </w:tc>
        <w:tc>
          <w:tcPr>
            <w:tcW w:w="4110" w:type="dxa"/>
          </w:tcPr>
          <w:p w:rsidR="00514E91" w:rsidRPr="00514E91" w:rsidRDefault="00514E91" w:rsidP="00762978">
            <w:pPr>
              <w:rPr>
                <w:rFonts w:eastAsia="Times New Roman"/>
                <w:sz w:val="24"/>
                <w:szCs w:val="24"/>
                <w:lang w:val="lv-LV" w:eastAsia="lv-LV"/>
              </w:rPr>
            </w:pPr>
            <w:r w:rsidRPr="00514E91">
              <w:rPr>
                <w:rFonts w:eastAsia="Times New Roman"/>
                <w:sz w:val="24"/>
                <w:szCs w:val="24"/>
                <w:lang w:val="lv-LV" w:eastAsia="lv-LV"/>
              </w:rPr>
              <w:t>Projekta izpildes ietekme uz pārvaldes institucionālo struktūru. Jaunu institūciju izveide</w:t>
            </w:r>
          </w:p>
        </w:tc>
        <w:tc>
          <w:tcPr>
            <w:tcW w:w="4536" w:type="dxa"/>
          </w:tcPr>
          <w:p w:rsidR="00514E91" w:rsidRPr="00514E91" w:rsidRDefault="00514E91" w:rsidP="005B6EF3">
            <w:pPr>
              <w:spacing w:line="276" w:lineRule="auto"/>
              <w:ind w:left="142"/>
              <w:jc w:val="both"/>
              <w:rPr>
                <w:sz w:val="24"/>
                <w:szCs w:val="24"/>
                <w:highlight w:val="yellow"/>
                <w:lang w:val="lv-LV" w:eastAsia="lv-LV"/>
              </w:rPr>
            </w:pPr>
            <w:r w:rsidRPr="00514E91">
              <w:rPr>
                <w:sz w:val="24"/>
                <w:szCs w:val="24"/>
                <w:lang w:val="lv-LV"/>
              </w:rPr>
              <w:t>Noteikumu projekta izpildei nav nepieciešams radīt jaunas institūcijas.</w:t>
            </w:r>
          </w:p>
        </w:tc>
      </w:tr>
      <w:tr w:rsidR="00514E91" w:rsidRPr="0063775D" w:rsidTr="0070633F">
        <w:trPr>
          <w:trHeight w:val="927"/>
        </w:trPr>
        <w:tc>
          <w:tcPr>
            <w:tcW w:w="568" w:type="dxa"/>
          </w:tcPr>
          <w:p w:rsidR="00514E91" w:rsidRPr="00514E91" w:rsidRDefault="00514E91" w:rsidP="00762978">
            <w:pPr>
              <w:rPr>
                <w:rFonts w:eastAsia="Times New Roman"/>
                <w:sz w:val="24"/>
                <w:szCs w:val="24"/>
                <w:lang w:val="lv-LV" w:eastAsia="lv-LV"/>
              </w:rPr>
            </w:pPr>
            <w:r w:rsidRPr="00514E91">
              <w:rPr>
                <w:rFonts w:eastAsia="Times New Roman"/>
                <w:sz w:val="24"/>
                <w:szCs w:val="24"/>
                <w:lang w:val="lv-LV" w:eastAsia="lv-LV"/>
              </w:rPr>
              <w:t>4.</w:t>
            </w:r>
          </w:p>
        </w:tc>
        <w:tc>
          <w:tcPr>
            <w:tcW w:w="4110" w:type="dxa"/>
          </w:tcPr>
          <w:p w:rsidR="00514E91" w:rsidRPr="00514E91" w:rsidRDefault="00514E91" w:rsidP="00762978">
            <w:pPr>
              <w:rPr>
                <w:rFonts w:eastAsia="Times New Roman"/>
                <w:sz w:val="24"/>
                <w:szCs w:val="24"/>
                <w:lang w:val="lv-LV" w:eastAsia="lv-LV"/>
              </w:rPr>
            </w:pPr>
            <w:r w:rsidRPr="00514E91">
              <w:rPr>
                <w:rFonts w:eastAsia="Times New Roman"/>
                <w:sz w:val="24"/>
                <w:szCs w:val="24"/>
                <w:lang w:val="lv-LV" w:eastAsia="lv-LV"/>
              </w:rPr>
              <w:t>Projekta izpildes ietekmes uz pārvaldes institucionālo struktūru. Esošu institūciju likvidācija</w:t>
            </w:r>
          </w:p>
        </w:tc>
        <w:tc>
          <w:tcPr>
            <w:tcW w:w="4536" w:type="dxa"/>
          </w:tcPr>
          <w:p w:rsidR="00514E91" w:rsidRPr="00514E91" w:rsidRDefault="00514E91" w:rsidP="005B6EF3">
            <w:pPr>
              <w:spacing w:line="276" w:lineRule="auto"/>
              <w:ind w:left="142"/>
              <w:jc w:val="both"/>
              <w:rPr>
                <w:sz w:val="24"/>
                <w:szCs w:val="24"/>
                <w:highlight w:val="yellow"/>
                <w:lang w:val="lv-LV" w:eastAsia="lv-LV"/>
              </w:rPr>
            </w:pPr>
            <w:r w:rsidRPr="00514E91">
              <w:rPr>
                <w:sz w:val="24"/>
                <w:szCs w:val="24"/>
                <w:lang w:val="lv-LV"/>
              </w:rPr>
              <w:t>Noteikumu projekta izpildei nav nepieciešams likvidēt esošās institūcijas.</w:t>
            </w:r>
          </w:p>
        </w:tc>
      </w:tr>
      <w:tr w:rsidR="00514E91" w:rsidRPr="00DE28A0" w:rsidTr="0070633F">
        <w:trPr>
          <w:trHeight w:val="912"/>
        </w:trPr>
        <w:tc>
          <w:tcPr>
            <w:tcW w:w="568" w:type="dxa"/>
          </w:tcPr>
          <w:p w:rsidR="00514E91" w:rsidRPr="00514E91" w:rsidRDefault="00514E91" w:rsidP="00762978">
            <w:pPr>
              <w:rPr>
                <w:rFonts w:eastAsia="Times New Roman"/>
                <w:sz w:val="24"/>
                <w:szCs w:val="24"/>
                <w:lang w:val="lv-LV" w:eastAsia="lv-LV"/>
              </w:rPr>
            </w:pPr>
            <w:r w:rsidRPr="00514E91">
              <w:rPr>
                <w:rFonts w:eastAsia="Times New Roman"/>
                <w:sz w:val="24"/>
                <w:szCs w:val="24"/>
                <w:lang w:val="lv-LV" w:eastAsia="lv-LV"/>
              </w:rPr>
              <w:t>5.</w:t>
            </w:r>
          </w:p>
        </w:tc>
        <w:tc>
          <w:tcPr>
            <w:tcW w:w="4110" w:type="dxa"/>
          </w:tcPr>
          <w:p w:rsidR="00514E91" w:rsidRPr="00514E91" w:rsidRDefault="00514E91" w:rsidP="00762978">
            <w:pPr>
              <w:rPr>
                <w:rFonts w:eastAsia="Times New Roman"/>
                <w:sz w:val="24"/>
                <w:szCs w:val="24"/>
                <w:lang w:val="lv-LV" w:eastAsia="lv-LV"/>
              </w:rPr>
            </w:pPr>
            <w:r w:rsidRPr="00514E91">
              <w:rPr>
                <w:rFonts w:eastAsia="Times New Roman"/>
                <w:sz w:val="24"/>
                <w:szCs w:val="24"/>
                <w:lang w:val="lv-LV" w:eastAsia="lv-LV"/>
              </w:rPr>
              <w:t>Projekta izpildes ietekmes uz pārvaldes institucionālo struktūru. Esošu institūciju reorganizācija</w:t>
            </w:r>
          </w:p>
        </w:tc>
        <w:tc>
          <w:tcPr>
            <w:tcW w:w="4536" w:type="dxa"/>
          </w:tcPr>
          <w:p w:rsidR="00514E91" w:rsidRPr="00514E91" w:rsidRDefault="00514E91" w:rsidP="005B6EF3">
            <w:pPr>
              <w:spacing w:line="276" w:lineRule="auto"/>
              <w:ind w:left="142"/>
              <w:jc w:val="both"/>
              <w:rPr>
                <w:sz w:val="24"/>
                <w:szCs w:val="24"/>
                <w:highlight w:val="yellow"/>
                <w:lang w:val="lv-LV" w:eastAsia="lv-LV"/>
              </w:rPr>
            </w:pPr>
            <w:r w:rsidRPr="00514E91">
              <w:rPr>
                <w:sz w:val="24"/>
                <w:szCs w:val="24"/>
                <w:lang w:val="lv-LV"/>
              </w:rPr>
              <w:t>Noteikumu projekta izpildei nav nepieciešams reorganizēt esošās institūcijas.</w:t>
            </w:r>
          </w:p>
        </w:tc>
      </w:tr>
      <w:tr w:rsidR="007D3113" w:rsidRPr="00DE28A0" w:rsidTr="0070633F">
        <w:tc>
          <w:tcPr>
            <w:tcW w:w="568" w:type="dxa"/>
          </w:tcPr>
          <w:p w:rsidR="007D3113" w:rsidRPr="00514E91" w:rsidRDefault="007D3113" w:rsidP="00762978">
            <w:pPr>
              <w:rPr>
                <w:rFonts w:eastAsia="Times New Roman"/>
                <w:sz w:val="24"/>
                <w:szCs w:val="24"/>
                <w:lang w:val="lv-LV" w:eastAsia="lv-LV"/>
              </w:rPr>
            </w:pPr>
            <w:r w:rsidRPr="00514E91">
              <w:rPr>
                <w:rFonts w:eastAsia="Times New Roman"/>
                <w:sz w:val="24"/>
                <w:szCs w:val="24"/>
                <w:lang w:val="lv-LV" w:eastAsia="lv-LV"/>
              </w:rPr>
              <w:t>6.</w:t>
            </w:r>
          </w:p>
        </w:tc>
        <w:tc>
          <w:tcPr>
            <w:tcW w:w="4110" w:type="dxa"/>
          </w:tcPr>
          <w:p w:rsidR="007D3113" w:rsidRPr="00514E91" w:rsidRDefault="007D3113" w:rsidP="00762978">
            <w:pPr>
              <w:rPr>
                <w:rFonts w:eastAsia="Times New Roman"/>
                <w:sz w:val="24"/>
                <w:szCs w:val="24"/>
                <w:lang w:val="lv-LV" w:eastAsia="lv-LV"/>
              </w:rPr>
            </w:pPr>
            <w:r w:rsidRPr="00514E91">
              <w:rPr>
                <w:rFonts w:eastAsia="Times New Roman"/>
                <w:sz w:val="24"/>
                <w:szCs w:val="24"/>
                <w:lang w:val="lv-LV" w:eastAsia="lv-LV"/>
              </w:rPr>
              <w:t>Cita informācija</w:t>
            </w:r>
          </w:p>
        </w:tc>
        <w:tc>
          <w:tcPr>
            <w:tcW w:w="4536" w:type="dxa"/>
          </w:tcPr>
          <w:p w:rsidR="007D3113" w:rsidRPr="00514E91" w:rsidRDefault="007D3113" w:rsidP="00762978">
            <w:pPr>
              <w:ind w:firstLine="284"/>
              <w:rPr>
                <w:rFonts w:eastAsia="Times New Roman"/>
                <w:sz w:val="24"/>
                <w:szCs w:val="24"/>
                <w:lang w:val="lv-LV" w:eastAsia="lv-LV"/>
              </w:rPr>
            </w:pPr>
            <w:r w:rsidRPr="00514E91">
              <w:rPr>
                <w:rFonts w:eastAsia="Times New Roman"/>
                <w:sz w:val="24"/>
                <w:szCs w:val="24"/>
                <w:lang w:val="lv-LV" w:eastAsia="lv-LV"/>
              </w:rPr>
              <w:t>Nav.</w:t>
            </w:r>
          </w:p>
        </w:tc>
      </w:tr>
    </w:tbl>
    <w:p w:rsidR="00CE5A53" w:rsidRPr="00DE28A0" w:rsidRDefault="00CE5A53" w:rsidP="00CE5A53">
      <w:pPr>
        <w:tabs>
          <w:tab w:val="left" w:pos="7655"/>
        </w:tabs>
        <w:jc w:val="both"/>
        <w:rPr>
          <w:bCs/>
          <w:sz w:val="24"/>
          <w:szCs w:val="24"/>
          <w:highlight w:val="lightGray"/>
          <w:lang w:val="lv-LV"/>
        </w:rPr>
      </w:pPr>
    </w:p>
    <w:p w:rsidR="005B16A2" w:rsidRDefault="005B16A2" w:rsidP="00CE5A53">
      <w:pPr>
        <w:tabs>
          <w:tab w:val="left" w:pos="7655"/>
        </w:tabs>
        <w:jc w:val="both"/>
        <w:rPr>
          <w:bCs/>
          <w:sz w:val="24"/>
          <w:szCs w:val="24"/>
          <w:lang w:val="lv-LV"/>
        </w:rPr>
      </w:pPr>
    </w:p>
    <w:p w:rsidR="005B16A2" w:rsidRDefault="005B16A2" w:rsidP="00CE5A53">
      <w:pPr>
        <w:tabs>
          <w:tab w:val="left" w:pos="7655"/>
        </w:tabs>
        <w:jc w:val="both"/>
        <w:rPr>
          <w:bCs/>
          <w:sz w:val="24"/>
          <w:szCs w:val="24"/>
          <w:lang w:val="lv-LV"/>
        </w:rPr>
      </w:pPr>
    </w:p>
    <w:p w:rsidR="00403EAD" w:rsidRPr="00514E91" w:rsidRDefault="00C82B27" w:rsidP="003D6B3A">
      <w:pPr>
        <w:tabs>
          <w:tab w:val="right" w:pos="9071"/>
        </w:tabs>
        <w:jc w:val="both"/>
        <w:rPr>
          <w:bCs/>
          <w:sz w:val="24"/>
          <w:szCs w:val="24"/>
          <w:lang w:val="lv-LV"/>
        </w:rPr>
      </w:pPr>
      <w:r w:rsidRPr="00514E91">
        <w:rPr>
          <w:bCs/>
          <w:sz w:val="24"/>
          <w:szCs w:val="24"/>
          <w:lang w:val="lv-LV"/>
        </w:rPr>
        <w:t>Ekonomikas ministrs</w:t>
      </w:r>
      <w:r w:rsidR="005B16A2">
        <w:rPr>
          <w:bCs/>
          <w:sz w:val="24"/>
          <w:szCs w:val="24"/>
          <w:lang w:val="lv-LV"/>
        </w:rPr>
        <w:tab/>
      </w:r>
      <w:proofErr w:type="spellStart"/>
      <w:r w:rsidR="005814D0" w:rsidRPr="00514E91">
        <w:rPr>
          <w:bCs/>
          <w:sz w:val="24"/>
          <w:szCs w:val="24"/>
          <w:lang w:val="lv-LV"/>
        </w:rPr>
        <w:t>D.Pavļuts</w:t>
      </w:r>
      <w:proofErr w:type="spellEnd"/>
    </w:p>
    <w:p w:rsidR="006521EE" w:rsidRPr="003D6B3A" w:rsidRDefault="006521EE" w:rsidP="00CE5A53">
      <w:pPr>
        <w:pStyle w:val="EnvelopeReturn"/>
        <w:jc w:val="both"/>
        <w:rPr>
          <w:rFonts w:ascii="Times New Roman" w:eastAsia="Calibri" w:hAnsi="Times New Roman"/>
          <w:bCs/>
          <w:sz w:val="24"/>
          <w:szCs w:val="24"/>
          <w:lang w:val="lv-LV"/>
        </w:rPr>
      </w:pPr>
    </w:p>
    <w:p w:rsidR="005B16A2" w:rsidRPr="003D6B3A" w:rsidRDefault="005B16A2" w:rsidP="00CE5A53">
      <w:pPr>
        <w:pStyle w:val="EnvelopeReturn"/>
        <w:jc w:val="both"/>
        <w:rPr>
          <w:rFonts w:ascii="Times New Roman" w:eastAsia="Calibri" w:hAnsi="Times New Roman"/>
          <w:bCs/>
          <w:sz w:val="24"/>
          <w:szCs w:val="24"/>
          <w:lang w:val="lv-LV"/>
        </w:rPr>
      </w:pPr>
    </w:p>
    <w:p w:rsidR="00574B78" w:rsidRDefault="00C82B27" w:rsidP="003D6B3A">
      <w:pPr>
        <w:pStyle w:val="EnvelopeReturn"/>
        <w:tabs>
          <w:tab w:val="right" w:pos="9071"/>
        </w:tabs>
        <w:jc w:val="both"/>
        <w:rPr>
          <w:rFonts w:ascii="Times New Roman" w:eastAsia="Calibri" w:hAnsi="Times New Roman"/>
          <w:bCs/>
          <w:sz w:val="24"/>
          <w:szCs w:val="24"/>
          <w:lang w:val="lv-LV"/>
        </w:rPr>
      </w:pPr>
      <w:r w:rsidRPr="003D6B3A">
        <w:rPr>
          <w:rFonts w:ascii="Times New Roman" w:eastAsia="Calibri" w:hAnsi="Times New Roman"/>
          <w:bCs/>
          <w:sz w:val="24"/>
          <w:szCs w:val="24"/>
          <w:lang w:val="lv-LV"/>
        </w:rPr>
        <w:t>Vīza: Valsts sekretār</w:t>
      </w:r>
      <w:r w:rsidR="00574B78">
        <w:rPr>
          <w:rFonts w:ascii="Times New Roman" w:eastAsia="Calibri" w:hAnsi="Times New Roman"/>
          <w:bCs/>
          <w:sz w:val="24"/>
          <w:szCs w:val="24"/>
          <w:lang w:val="lv-LV"/>
        </w:rPr>
        <w:t>a pienākumu izpildītājs,</w:t>
      </w:r>
    </w:p>
    <w:p w:rsidR="00403EAD" w:rsidRPr="00565229" w:rsidRDefault="00574B78" w:rsidP="003D6B3A">
      <w:pPr>
        <w:pStyle w:val="EnvelopeReturn"/>
        <w:tabs>
          <w:tab w:val="right" w:pos="9071"/>
        </w:tabs>
        <w:jc w:val="both"/>
        <w:rPr>
          <w:bCs/>
          <w:sz w:val="24"/>
          <w:szCs w:val="24"/>
          <w:lang w:val="lv-LV"/>
        </w:rPr>
      </w:pPr>
      <w:r>
        <w:rPr>
          <w:rFonts w:ascii="Times New Roman" w:eastAsia="Calibri" w:hAnsi="Times New Roman"/>
          <w:bCs/>
          <w:sz w:val="24"/>
          <w:szCs w:val="24"/>
          <w:lang w:val="lv-LV"/>
        </w:rPr>
        <w:t>valsts sekretāra vietnieks</w:t>
      </w:r>
      <w:r>
        <w:rPr>
          <w:rFonts w:ascii="Times New Roman" w:eastAsia="Calibri" w:hAnsi="Times New Roman"/>
          <w:bCs/>
          <w:sz w:val="24"/>
          <w:szCs w:val="24"/>
          <w:lang w:val="lv-LV"/>
        </w:rPr>
        <w:tab/>
        <w:t>A.Liepiņš</w:t>
      </w:r>
    </w:p>
    <w:p w:rsidR="00403EAD" w:rsidRPr="003D6B3A" w:rsidRDefault="00403EAD" w:rsidP="00CE5A53">
      <w:pPr>
        <w:jc w:val="both"/>
        <w:rPr>
          <w:bCs/>
          <w:sz w:val="24"/>
          <w:szCs w:val="24"/>
          <w:lang w:val="lv-LV"/>
        </w:rPr>
      </w:pPr>
    </w:p>
    <w:p w:rsidR="005B16A2" w:rsidRDefault="005B16A2" w:rsidP="007D3113">
      <w:pPr>
        <w:jc w:val="both"/>
        <w:rPr>
          <w:color w:val="000000"/>
          <w:lang w:val="lv-LV"/>
        </w:rPr>
      </w:pPr>
    </w:p>
    <w:p w:rsidR="005B16A2" w:rsidRDefault="005B16A2" w:rsidP="007D3113">
      <w:pPr>
        <w:jc w:val="both"/>
        <w:rPr>
          <w:color w:val="000000"/>
          <w:lang w:val="lv-LV"/>
        </w:rPr>
      </w:pPr>
    </w:p>
    <w:p w:rsidR="005B16A2" w:rsidRDefault="005B16A2" w:rsidP="007D3113">
      <w:pPr>
        <w:jc w:val="both"/>
        <w:rPr>
          <w:color w:val="000000"/>
          <w:lang w:val="lv-LV"/>
        </w:rPr>
      </w:pPr>
    </w:p>
    <w:p w:rsidR="00DF58A4" w:rsidRDefault="00574B78" w:rsidP="007D3113">
      <w:pPr>
        <w:jc w:val="both"/>
        <w:rPr>
          <w:color w:val="000000"/>
          <w:lang w:val="lv-LV"/>
        </w:rPr>
      </w:pPr>
      <w:r>
        <w:rPr>
          <w:color w:val="000000"/>
          <w:lang w:val="lv-LV"/>
        </w:rPr>
        <w:t>24.04.2013 08:50</w:t>
      </w:r>
      <w:bookmarkStart w:id="9" w:name="_GoBack"/>
      <w:bookmarkEnd w:id="9"/>
    </w:p>
    <w:p w:rsidR="007D3113" w:rsidRPr="00514E91" w:rsidRDefault="00D11FD4" w:rsidP="007D3113">
      <w:pPr>
        <w:jc w:val="both"/>
        <w:rPr>
          <w:color w:val="000000"/>
          <w:lang w:val="lv-LV"/>
        </w:rPr>
      </w:pPr>
      <w:r>
        <w:fldChar w:fldCharType="begin"/>
      </w:r>
      <w:r>
        <w:instrText xml:space="preserve"> NUMWORDS   \* MERGEFORMAT </w:instrText>
      </w:r>
      <w:r>
        <w:fldChar w:fldCharType="separate"/>
      </w:r>
      <w:r w:rsidR="00574B78" w:rsidRPr="00574B78">
        <w:rPr>
          <w:noProof/>
          <w:color w:val="000000"/>
          <w:lang w:val="lv-LV"/>
        </w:rPr>
        <w:t>2765</w:t>
      </w:r>
      <w:r>
        <w:rPr>
          <w:noProof/>
          <w:color w:val="000000"/>
          <w:lang w:val="lv-LV"/>
        </w:rPr>
        <w:fldChar w:fldCharType="end"/>
      </w:r>
    </w:p>
    <w:p w:rsidR="007D3113" w:rsidRPr="00514E91" w:rsidRDefault="00C72033" w:rsidP="007D3113">
      <w:pPr>
        <w:jc w:val="both"/>
        <w:rPr>
          <w:color w:val="000000"/>
          <w:lang w:val="lv-LV"/>
        </w:rPr>
      </w:pPr>
      <w:r>
        <w:rPr>
          <w:color w:val="000000"/>
          <w:lang w:val="lv-LV"/>
        </w:rPr>
        <w:t>Egita Poļanska</w:t>
      </w:r>
    </w:p>
    <w:p w:rsidR="007D3113" w:rsidRPr="00B03D28" w:rsidRDefault="007D3113" w:rsidP="007D3113">
      <w:pPr>
        <w:jc w:val="both"/>
        <w:rPr>
          <w:lang w:val="lv-LV"/>
        </w:rPr>
      </w:pPr>
      <w:r w:rsidRPr="00514E91">
        <w:rPr>
          <w:color w:val="000000"/>
          <w:lang w:val="lv-LV"/>
        </w:rPr>
        <w:t>67013</w:t>
      </w:r>
      <w:r w:rsidR="00C72033">
        <w:rPr>
          <w:color w:val="000000"/>
          <w:lang w:val="lv-LV"/>
        </w:rPr>
        <w:t>108</w:t>
      </w:r>
      <w:r w:rsidRPr="00514E91">
        <w:rPr>
          <w:color w:val="000000"/>
          <w:lang w:val="lv-LV"/>
        </w:rPr>
        <w:t xml:space="preserve">, </w:t>
      </w:r>
      <w:r w:rsidR="00C72033">
        <w:rPr>
          <w:lang w:val="lv-LV"/>
        </w:rPr>
        <w:t>Egita.Polanska</w:t>
      </w:r>
      <w:r w:rsidRPr="00514E91">
        <w:rPr>
          <w:lang w:val="lv-LV"/>
        </w:rPr>
        <w:t>@em.gov.lv</w:t>
      </w:r>
    </w:p>
    <w:sectPr w:rsidR="007D3113" w:rsidRPr="00B03D28" w:rsidSect="00B014C2">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D4" w:rsidRDefault="00D11FD4" w:rsidP="00B014C2">
      <w:r>
        <w:separator/>
      </w:r>
    </w:p>
  </w:endnote>
  <w:endnote w:type="continuationSeparator" w:id="0">
    <w:p w:rsidR="00D11FD4" w:rsidRDefault="00D11FD4"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76" w:rsidRDefault="00FB4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3A" w:rsidRPr="00442C22" w:rsidRDefault="00D11FD4" w:rsidP="00442C22">
    <w:pPr>
      <w:jc w:val="both"/>
      <w:outlineLvl w:val="0"/>
      <w:rPr>
        <w:rFonts w:eastAsia="Times New Roman"/>
        <w:lang w:val="lv-LV" w:eastAsia="lv-LV"/>
      </w:rPr>
    </w:pPr>
    <w:r>
      <w:fldChar w:fldCharType="begin"/>
    </w:r>
    <w:r>
      <w:instrText xml:space="preserve"> FILENAME   \* MERGEFORMAT </w:instrText>
    </w:r>
    <w:r>
      <w:fldChar w:fldCharType="separate"/>
    </w:r>
    <w:r w:rsidR="00FB4D76">
      <w:rPr>
        <w:noProof/>
      </w:rPr>
      <w:t>EMAnot_240413_groz164</w:t>
    </w:r>
    <w:r>
      <w:rPr>
        <w:noProof/>
      </w:rPr>
      <w:fldChar w:fldCharType="end"/>
    </w:r>
    <w:r w:rsidR="00EB1E3A" w:rsidRPr="007D3113">
      <w:t xml:space="preserve">; </w:t>
    </w:r>
    <w:r w:rsidR="00EB1E3A" w:rsidRPr="00442C22">
      <w:rPr>
        <w:rFonts w:eastAsia="Times New Roman"/>
        <w:lang w:val="lv-LV" w:eastAsia="lv-LV"/>
      </w:rPr>
      <w:t>Ministru kabineta noteikumu projekta „Grozījumi Ministru kabineta 2009.gada 17.februāra noteikumos Nr.164 „Noteikumi par aizdevumiem komersantu konkurētspējas uzlabošanai””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3A" w:rsidRPr="007D3113" w:rsidRDefault="00D11FD4" w:rsidP="00DD7A97">
    <w:pPr>
      <w:jc w:val="both"/>
      <w:outlineLvl w:val="0"/>
      <w:rPr>
        <w:rFonts w:eastAsia="Times New Roman"/>
        <w:lang w:val="lv-LV" w:eastAsia="lv-LV"/>
      </w:rPr>
    </w:pPr>
    <w:r>
      <w:fldChar w:fldCharType="begin"/>
    </w:r>
    <w:r>
      <w:instrText xml:space="preserve"> FILENAME   \* MERGEFORMAT </w:instrText>
    </w:r>
    <w:r>
      <w:fldChar w:fldCharType="separate"/>
    </w:r>
    <w:r w:rsidR="00FB4D76">
      <w:rPr>
        <w:noProof/>
      </w:rPr>
      <w:t>EMAnot_240413_groz164</w:t>
    </w:r>
    <w:r>
      <w:rPr>
        <w:noProof/>
      </w:rPr>
      <w:fldChar w:fldCharType="end"/>
    </w:r>
    <w:r w:rsidR="00EB1E3A" w:rsidRPr="007D3113">
      <w:t xml:space="preserve">; </w:t>
    </w:r>
    <w:r w:rsidR="00EB1E3A" w:rsidRPr="00442C22">
      <w:rPr>
        <w:rFonts w:eastAsia="Times New Roman"/>
        <w:lang w:val="lv-LV" w:eastAsia="lv-LV"/>
      </w:rPr>
      <w:t>Ministru kabineta noteikumu projekta „Grozījumi Ministru kabineta 2009.gada 17.februāra noteikumos Nr.164 „Noteikumi par aizdevumiem komersantu konkurētspējas uzlabošanai””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D4" w:rsidRDefault="00D11FD4" w:rsidP="00B014C2">
      <w:r>
        <w:separator/>
      </w:r>
    </w:p>
  </w:footnote>
  <w:footnote w:type="continuationSeparator" w:id="0">
    <w:p w:rsidR="00D11FD4" w:rsidRDefault="00D11FD4"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76" w:rsidRDefault="00FB4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3A" w:rsidRPr="00B014C2" w:rsidRDefault="00F70674">
    <w:pPr>
      <w:pStyle w:val="Header"/>
      <w:jc w:val="center"/>
      <w:rPr>
        <w:sz w:val="24"/>
        <w:szCs w:val="24"/>
      </w:rPr>
    </w:pPr>
    <w:r>
      <w:fldChar w:fldCharType="begin"/>
    </w:r>
    <w:r w:rsidR="007F2986">
      <w:instrText xml:space="preserve"> PAGE   \* MERGEFORMAT </w:instrText>
    </w:r>
    <w:r>
      <w:fldChar w:fldCharType="separate"/>
    </w:r>
    <w:r w:rsidR="00574B78" w:rsidRPr="00574B78">
      <w:rPr>
        <w:noProof/>
        <w:sz w:val="24"/>
        <w:szCs w:val="24"/>
      </w:rPr>
      <w:t>10</w:t>
    </w:r>
    <w:r>
      <w:rPr>
        <w:noProof/>
        <w:sz w:val="24"/>
        <w:szCs w:val="24"/>
      </w:rPr>
      <w:fldChar w:fldCharType="end"/>
    </w:r>
  </w:p>
  <w:p w:rsidR="00EB1E3A" w:rsidRDefault="00EB1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76" w:rsidRDefault="00FB4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84"/>
        </w:tabs>
        <w:ind w:left="284" w:firstLine="425"/>
      </w:pPr>
      <w:rPr>
        <w:rFonts w:hint="default"/>
        <w:color w:val="000000"/>
        <w:position w:val="0"/>
        <w:sz w:val="20"/>
      </w:rPr>
    </w:lvl>
    <w:lvl w:ilvl="1">
      <w:start w:val="1"/>
      <w:numFmt w:val="lowerLetter"/>
      <w:lvlText w:val="%2."/>
      <w:lvlJc w:val="left"/>
      <w:pPr>
        <w:tabs>
          <w:tab w:val="num" w:pos="360"/>
        </w:tabs>
        <w:ind w:left="360" w:firstLine="1789"/>
      </w:pPr>
      <w:rPr>
        <w:rFonts w:hint="default"/>
        <w:color w:val="000000"/>
        <w:position w:val="0"/>
        <w:sz w:val="20"/>
      </w:rPr>
    </w:lvl>
    <w:lvl w:ilvl="2">
      <w:start w:val="1"/>
      <w:numFmt w:val="lowerRoman"/>
      <w:lvlText w:val="%3."/>
      <w:lvlJc w:val="left"/>
      <w:pPr>
        <w:tabs>
          <w:tab w:val="num" w:pos="340"/>
        </w:tabs>
        <w:ind w:left="340" w:firstLine="2529"/>
      </w:pPr>
      <w:rPr>
        <w:rFonts w:hint="default"/>
        <w:color w:val="000000"/>
        <w:position w:val="0"/>
        <w:sz w:val="20"/>
      </w:rPr>
    </w:lvl>
    <w:lvl w:ilvl="3">
      <w:start w:val="1"/>
      <w:numFmt w:val="decimal"/>
      <w:isLgl/>
      <w:lvlText w:val="%4."/>
      <w:lvlJc w:val="left"/>
      <w:pPr>
        <w:tabs>
          <w:tab w:val="num" w:pos="360"/>
        </w:tabs>
        <w:ind w:left="360" w:firstLine="3229"/>
      </w:pPr>
      <w:rPr>
        <w:rFonts w:hint="default"/>
        <w:color w:val="000000"/>
        <w:position w:val="0"/>
        <w:sz w:val="20"/>
      </w:rPr>
    </w:lvl>
    <w:lvl w:ilvl="4">
      <w:start w:val="1"/>
      <w:numFmt w:val="lowerLetter"/>
      <w:lvlText w:val="%5."/>
      <w:lvlJc w:val="left"/>
      <w:pPr>
        <w:tabs>
          <w:tab w:val="num" w:pos="360"/>
        </w:tabs>
        <w:ind w:left="360" w:firstLine="3949"/>
      </w:pPr>
      <w:rPr>
        <w:rFonts w:hint="default"/>
        <w:color w:val="000000"/>
        <w:position w:val="0"/>
        <w:sz w:val="20"/>
      </w:rPr>
    </w:lvl>
    <w:lvl w:ilvl="5">
      <w:start w:val="1"/>
      <w:numFmt w:val="lowerRoman"/>
      <w:lvlText w:val="%6."/>
      <w:lvlJc w:val="left"/>
      <w:pPr>
        <w:tabs>
          <w:tab w:val="num" w:pos="340"/>
        </w:tabs>
        <w:ind w:left="340" w:firstLine="4689"/>
      </w:pPr>
      <w:rPr>
        <w:rFonts w:hint="default"/>
        <w:color w:val="000000"/>
        <w:position w:val="0"/>
        <w:sz w:val="20"/>
      </w:rPr>
    </w:lvl>
    <w:lvl w:ilvl="6">
      <w:start w:val="1"/>
      <w:numFmt w:val="decimal"/>
      <w:isLgl/>
      <w:lvlText w:val="%7."/>
      <w:lvlJc w:val="left"/>
      <w:pPr>
        <w:tabs>
          <w:tab w:val="num" w:pos="360"/>
        </w:tabs>
        <w:ind w:left="360" w:firstLine="5389"/>
      </w:pPr>
      <w:rPr>
        <w:rFonts w:hint="default"/>
        <w:color w:val="000000"/>
        <w:position w:val="0"/>
        <w:sz w:val="20"/>
      </w:rPr>
    </w:lvl>
    <w:lvl w:ilvl="7">
      <w:start w:val="1"/>
      <w:numFmt w:val="lowerLetter"/>
      <w:lvlText w:val="%8."/>
      <w:lvlJc w:val="left"/>
      <w:pPr>
        <w:tabs>
          <w:tab w:val="num" w:pos="360"/>
        </w:tabs>
        <w:ind w:left="360" w:firstLine="6109"/>
      </w:pPr>
      <w:rPr>
        <w:rFonts w:hint="default"/>
        <w:color w:val="000000"/>
        <w:position w:val="0"/>
        <w:sz w:val="20"/>
      </w:rPr>
    </w:lvl>
    <w:lvl w:ilvl="8">
      <w:start w:val="1"/>
      <w:numFmt w:val="lowerRoman"/>
      <w:lvlText w:val="%9."/>
      <w:lvlJc w:val="left"/>
      <w:pPr>
        <w:tabs>
          <w:tab w:val="num" w:pos="340"/>
        </w:tabs>
        <w:ind w:left="340" w:firstLine="6849"/>
      </w:pPr>
      <w:rPr>
        <w:rFonts w:hint="default"/>
        <w:color w:val="000000"/>
        <w:position w:val="0"/>
        <w:sz w:val="20"/>
      </w:rPr>
    </w:lvl>
  </w:abstractNum>
  <w:abstractNum w:abstractNumId="1">
    <w:nsid w:val="24E10539"/>
    <w:multiLevelType w:val="hybridMultilevel"/>
    <w:tmpl w:val="F8CA0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E24C57"/>
    <w:multiLevelType w:val="hybridMultilevel"/>
    <w:tmpl w:val="D73CAAD6"/>
    <w:lvl w:ilvl="0" w:tplc="BFE8D5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FB1D10"/>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6BC77786"/>
    <w:multiLevelType w:val="hybridMultilevel"/>
    <w:tmpl w:val="B1CA1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nsid w:val="79161F48"/>
    <w:multiLevelType w:val="hybridMultilevel"/>
    <w:tmpl w:val="425E6720"/>
    <w:lvl w:ilvl="0" w:tplc="2C3EB892">
      <w:start w:val="4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C3F4FBC"/>
    <w:multiLevelType w:val="hybridMultilevel"/>
    <w:tmpl w:val="6F3E3712"/>
    <w:lvl w:ilvl="0" w:tplc="E2A8F7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7D5152D4"/>
    <w:multiLevelType w:val="hybridMultilevel"/>
    <w:tmpl w:val="465A8214"/>
    <w:lvl w:ilvl="0" w:tplc="D8D4CAC4">
      <w:start w:val="4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4"/>
  </w:num>
  <w:num w:numId="6">
    <w:abstractNumId w:val="6"/>
  </w:num>
  <w:num w:numId="7">
    <w:abstractNumId w:val="4"/>
  </w:num>
  <w:num w:numId="8">
    <w:abstractNumId w:val="8"/>
  </w:num>
  <w:num w:numId="9">
    <w:abstractNumId w:val="12"/>
  </w:num>
  <w:num w:numId="10">
    <w:abstractNumId w:val="5"/>
  </w:num>
  <w:num w:numId="11">
    <w:abstractNumId w:val="1"/>
  </w:num>
  <w:num w:numId="12">
    <w:abstractNumId w:val="2"/>
  </w:num>
  <w:num w:numId="13">
    <w:abstractNumId w:val="15"/>
  </w:num>
  <w:num w:numId="14">
    <w:abstractNumId w:val="9"/>
  </w:num>
  <w:num w:numId="15">
    <w:abstractNumId w:val="0"/>
  </w:num>
  <w:num w:numId="16">
    <w:abstractNumId w:val="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09C5"/>
    <w:rsid w:val="000016AB"/>
    <w:rsid w:val="00004424"/>
    <w:rsid w:val="00004E51"/>
    <w:rsid w:val="00005DBB"/>
    <w:rsid w:val="00010E63"/>
    <w:rsid w:val="0001186C"/>
    <w:rsid w:val="000125FF"/>
    <w:rsid w:val="000158C8"/>
    <w:rsid w:val="0001764D"/>
    <w:rsid w:val="000229E4"/>
    <w:rsid w:val="0002315B"/>
    <w:rsid w:val="00023BE0"/>
    <w:rsid w:val="00025B0A"/>
    <w:rsid w:val="0002603A"/>
    <w:rsid w:val="00026C03"/>
    <w:rsid w:val="0002762A"/>
    <w:rsid w:val="0003046E"/>
    <w:rsid w:val="00036E03"/>
    <w:rsid w:val="0004078B"/>
    <w:rsid w:val="000415DE"/>
    <w:rsid w:val="0004167C"/>
    <w:rsid w:val="00047EF5"/>
    <w:rsid w:val="00050EA4"/>
    <w:rsid w:val="00052996"/>
    <w:rsid w:val="00052D3E"/>
    <w:rsid w:val="00052E89"/>
    <w:rsid w:val="00063CC7"/>
    <w:rsid w:val="000643D5"/>
    <w:rsid w:val="00065AD2"/>
    <w:rsid w:val="00067A64"/>
    <w:rsid w:val="0007058B"/>
    <w:rsid w:val="000729ED"/>
    <w:rsid w:val="00077E10"/>
    <w:rsid w:val="00080022"/>
    <w:rsid w:val="00080026"/>
    <w:rsid w:val="00080B23"/>
    <w:rsid w:val="00083227"/>
    <w:rsid w:val="00084A09"/>
    <w:rsid w:val="00085E74"/>
    <w:rsid w:val="000921C6"/>
    <w:rsid w:val="00093614"/>
    <w:rsid w:val="0009399C"/>
    <w:rsid w:val="0009661E"/>
    <w:rsid w:val="00096FD9"/>
    <w:rsid w:val="00097583"/>
    <w:rsid w:val="000A084D"/>
    <w:rsid w:val="000A10F8"/>
    <w:rsid w:val="000A2879"/>
    <w:rsid w:val="000A3AD0"/>
    <w:rsid w:val="000A434E"/>
    <w:rsid w:val="000A4AED"/>
    <w:rsid w:val="000A53E9"/>
    <w:rsid w:val="000A5F92"/>
    <w:rsid w:val="000A696F"/>
    <w:rsid w:val="000A7437"/>
    <w:rsid w:val="000B0719"/>
    <w:rsid w:val="000B4A38"/>
    <w:rsid w:val="000C0C3A"/>
    <w:rsid w:val="000C2D66"/>
    <w:rsid w:val="000D00C3"/>
    <w:rsid w:val="000D0388"/>
    <w:rsid w:val="000D1257"/>
    <w:rsid w:val="000D140B"/>
    <w:rsid w:val="000D2F05"/>
    <w:rsid w:val="000D30E0"/>
    <w:rsid w:val="000D4B8D"/>
    <w:rsid w:val="000D72B7"/>
    <w:rsid w:val="000E0262"/>
    <w:rsid w:val="000E409F"/>
    <w:rsid w:val="000E4277"/>
    <w:rsid w:val="000E5595"/>
    <w:rsid w:val="000F3F4C"/>
    <w:rsid w:val="000F4577"/>
    <w:rsid w:val="000F6DB2"/>
    <w:rsid w:val="000F6E9E"/>
    <w:rsid w:val="001002E4"/>
    <w:rsid w:val="00100BBC"/>
    <w:rsid w:val="00101FE0"/>
    <w:rsid w:val="0010410B"/>
    <w:rsid w:val="001047E8"/>
    <w:rsid w:val="001102A6"/>
    <w:rsid w:val="001106FA"/>
    <w:rsid w:val="00110E66"/>
    <w:rsid w:val="00113586"/>
    <w:rsid w:val="00115E25"/>
    <w:rsid w:val="0011745E"/>
    <w:rsid w:val="001237C7"/>
    <w:rsid w:val="0012452E"/>
    <w:rsid w:val="00126B52"/>
    <w:rsid w:val="00130C6B"/>
    <w:rsid w:val="00131092"/>
    <w:rsid w:val="00131C62"/>
    <w:rsid w:val="0013447D"/>
    <w:rsid w:val="00134D00"/>
    <w:rsid w:val="001350FB"/>
    <w:rsid w:val="00136766"/>
    <w:rsid w:val="00141EF2"/>
    <w:rsid w:val="00142CBB"/>
    <w:rsid w:val="00143392"/>
    <w:rsid w:val="001507B4"/>
    <w:rsid w:val="00151A37"/>
    <w:rsid w:val="00156BF0"/>
    <w:rsid w:val="00157107"/>
    <w:rsid w:val="00162EB9"/>
    <w:rsid w:val="00166B88"/>
    <w:rsid w:val="0016720F"/>
    <w:rsid w:val="00167AFE"/>
    <w:rsid w:val="001705C0"/>
    <w:rsid w:val="001720E2"/>
    <w:rsid w:val="0017312C"/>
    <w:rsid w:val="0017573B"/>
    <w:rsid w:val="001763ED"/>
    <w:rsid w:val="001764E7"/>
    <w:rsid w:val="00176C31"/>
    <w:rsid w:val="00177DD5"/>
    <w:rsid w:val="001831F7"/>
    <w:rsid w:val="001861FD"/>
    <w:rsid w:val="001871BB"/>
    <w:rsid w:val="00191102"/>
    <w:rsid w:val="0019399B"/>
    <w:rsid w:val="00193BE3"/>
    <w:rsid w:val="00195030"/>
    <w:rsid w:val="0019558A"/>
    <w:rsid w:val="00197296"/>
    <w:rsid w:val="001973A7"/>
    <w:rsid w:val="001A0D4B"/>
    <w:rsid w:val="001A48E1"/>
    <w:rsid w:val="001A4DDD"/>
    <w:rsid w:val="001A6894"/>
    <w:rsid w:val="001B3236"/>
    <w:rsid w:val="001B3656"/>
    <w:rsid w:val="001B5F59"/>
    <w:rsid w:val="001B6A67"/>
    <w:rsid w:val="001B6D15"/>
    <w:rsid w:val="001C1BFF"/>
    <w:rsid w:val="001C3410"/>
    <w:rsid w:val="001D04C0"/>
    <w:rsid w:val="001D1BF7"/>
    <w:rsid w:val="001D37CE"/>
    <w:rsid w:val="001D5E9C"/>
    <w:rsid w:val="001D62EC"/>
    <w:rsid w:val="001D6919"/>
    <w:rsid w:val="001D76FC"/>
    <w:rsid w:val="001E0F0B"/>
    <w:rsid w:val="001E4A96"/>
    <w:rsid w:val="001E5031"/>
    <w:rsid w:val="001F02C1"/>
    <w:rsid w:val="001F301A"/>
    <w:rsid w:val="001F36BC"/>
    <w:rsid w:val="001F4FE9"/>
    <w:rsid w:val="001F53EB"/>
    <w:rsid w:val="001F6B1B"/>
    <w:rsid w:val="001F7479"/>
    <w:rsid w:val="001F7527"/>
    <w:rsid w:val="0020037C"/>
    <w:rsid w:val="002025F5"/>
    <w:rsid w:val="00205FEE"/>
    <w:rsid w:val="002120AC"/>
    <w:rsid w:val="0021241F"/>
    <w:rsid w:val="00213D6A"/>
    <w:rsid w:val="00217BC1"/>
    <w:rsid w:val="00222C39"/>
    <w:rsid w:val="00223C20"/>
    <w:rsid w:val="002240A0"/>
    <w:rsid w:val="0022770E"/>
    <w:rsid w:val="0023085A"/>
    <w:rsid w:val="00230FB6"/>
    <w:rsid w:val="00231BC0"/>
    <w:rsid w:val="002323CF"/>
    <w:rsid w:val="00233657"/>
    <w:rsid w:val="00234F1B"/>
    <w:rsid w:val="00237DD2"/>
    <w:rsid w:val="00240CAE"/>
    <w:rsid w:val="00243A9D"/>
    <w:rsid w:val="00246E4B"/>
    <w:rsid w:val="00247529"/>
    <w:rsid w:val="002507A0"/>
    <w:rsid w:val="002528CF"/>
    <w:rsid w:val="002538B5"/>
    <w:rsid w:val="00256DF2"/>
    <w:rsid w:val="00257A14"/>
    <w:rsid w:val="00257EAE"/>
    <w:rsid w:val="00263862"/>
    <w:rsid w:val="00264E33"/>
    <w:rsid w:val="00265959"/>
    <w:rsid w:val="0026604A"/>
    <w:rsid w:val="00271DF1"/>
    <w:rsid w:val="002720E3"/>
    <w:rsid w:val="00273F38"/>
    <w:rsid w:val="002748FF"/>
    <w:rsid w:val="0027797E"/>
    <w:rsid w:val="0028114E"/>
    <w:rsid w:val="00281EF8"/>
    <w:rsid w:val="002845ED"/>
    <w:rsid w:val="00284615"/>
    <w:rsid w:val="00285B79"/>
    <w:rsid w:val="0028698C"/>
    <w:rsid w:val="00293A76"/>
    <w:rsid w:val="00296D3D"/>
    <w:rsid w:val="002A0CEE"/>
    <w:rsid w:val="002A126D"/>
    <w:rsid w:val="002A3206"/>
    <w:rsid w:val="002A32DE"/>
    <w:rsid w:val="002A646A"/>
    <w:rsid w:val="002B29F6"/>
    <w:rsid w:val="002B30CE"/>
    <w:rsid w:val="002B3871"/>
    <w:rsid w:val="002B4D01"/>
    <w:rsid w:val="002C0E0E"/>
    <w:rsid w:val="002C2026"/>
    <w:rsid w:val="002C20C8"/>
    <w:rsid w:val="002C4691"/>
    <w:rsid w:val="002C7CFA"/>
    <w:rsid w:val="002D549E"/>
    <w:rsid w:val="002D6463"/>
    <w:rsid w:val="002D7773"/>
    <w:rsid w:val="002D7DF1"/>
    <w:rsid w:val="002E0D23"/>
    <w:rsid w:val="002E2838"/>
    <w:rsid w:val="002E507C"/>
    <w:rsid w:val="002E5461"/>
    <w:rsid w:val="002E5F43"/>
    <w:rsid w:val="002E6122"/>
    <w:rsid w:val="002E6945"/>
    <w:rsid w:val="002E7530"/>
    <w:rsid w:val="002F063C"/>
    <w:rsid w:val="002F3311"/>
    <w:rsid w:val="002F423D"/>
    <w:rsid w:val="002F4553"/>
    <w:rsid w:val="002F53BF"/>
    <w:rsid w:val="002F54CE"/>
    <w:rsid w:val="002F5BBF"/>
    <w:rsid w:val="002F5C95"/>
    <w:rsid w:val="002F6D2C"/>
    <w:rsid w:val="003000F0"/>
    <w:rsid w:val="00300539"/>
    <w:rsid w:val="00303B7C"/>
    <w:rsid w:val="00305C42"/>
    <w:rsid w:val="003108D5"/>
    <w:rsid w:val="003110AF"/>
    <w:rsid w:val="00314719"/>
    <w:rsid w:val="003170BD"/>
    <w:rsid w:val="003205FD"/>
    <w:rsid w:val="00320B71"/>
    <w:rsid w:val="00322A15"/>
    <w:rsid w:val="0032394F"/>
    <w:rsid w:val="003319EF"/>
    <w:rsid w:val="0033352C"/>
    <w:rsid w:val="00335837"/>
    <w:rsid w:val="003372CD"/>
    <w:rsid w:val="0034228A"/>
    <w:rsid w:val="0034284E"/>
    <w:rsid w:val="00342D20"/>
    <w:rsid w:val="0034329B"/>
    <w:rsid w:val="00343918"/>
    <w:rsid w:val="003451DA"/>
    <w:rsid w:val="00350050"/>
    <w:rsid w:val="00351DCF"/>
    <w:rsid w:val="003523DA"/>
    <w:rsid w:val="003525FA"/>
    <w:rsid w:val="003529B2"/>
    <w:rsid w:val="00352F5C"/>
    <w:rsid w:val="0035511D"/>
    <w:rsid w:val="0035647E"/>
    <w:rsid w:val="00360437"/>
    <w:rsid w:val="0036195C"/>
    <w:rsid w:val="00361DA6"/>
    <w:rsid w:val="00362A6F"/>
    <w:rsid w:val="003633B3"/>
    <w:rsid w:val="00363B7B"/>
    <w:rsid w:val="00366CFC"/>
    <w:rsid w:val="003708DF"/>
    <w:rsid w:val="00374AA5"/>
    <w:rsid w:val="00374BCF"/>
    <w:rsid w:val="003756B1"/>
    <w:rsid w:val="00375A4C"/>
    <w:rsid w:val="0038115B"/>
    <w:rsid w:val="00382BEB"/>
    <w:rsid w:val="00383500"/>
    <w:rsid w:val="00384799"/>
    <w:rsid w:val="00385381"/>
    <w:rsid w:val="0038691A"/>
    <w:rsid w:val="00387598"/>
    <w:rsid w:val="00387B0C"/>
    <w:rsid w:val="00392E75"/>
    <w:rsid w:val="00395947"/>
    <w:rsid w:val="00396D76"/>
    <w:rsid w:val="003970C6"/>
    <w:rsid w:val="00397428"/>
    <w:rsid w:val="003A1360"/>
    <w:rsid w:val="003A22A8"/>
    <w:rsid w:val="003A2B62"/>
    <w:rsid w:val="003A5963"/>
    <w:rsid w:val="003A6B5D"/>
    <w:rsid w:val="003B3914"/>
    <w:rsid w:val="003B5EAA"/>
    <w:rsid w:val="003B7956"/>
    <w:rsid w:val="003C15B6"/>
    <w:rsid w:val="003C3FA4"/>
    <w:rsid w:val="003C3FF4"/>
    <w:rsid w:val="003C5956"/>
    <w:rsid w:val="003C5A0B"/>
    <w:rsid w:val="003C5D28"/>
    <w:rsid w:val="003C7954"/>
    <w:rsid w:val="003D0E42"/>
    <w:rsid w:val="003D3F61"/>
    <w:rsid w:val="003D6B3A"/>
    <w:rsid w:val="003E0167"/>
    <w:rsid w:val="003E1A89"/>
    <w:rsid w:val="003E28D2"/>
    <w:rsid w:val="003E2968"/>
    <w:rsid w:val="003E3604"/>
    <w:rsid w:val="003E6CB3"/>
    <w:rsid w:val="003F095C"/>
    <w:rsid w:val="003F1D99"/>
    <w:rsid w:val="003F464F"/>
    <w:rsid w:val="003F4E09"/>
    <w:rsid w:val="004001AA"/>
    <w:rsid w:val="00402B2B"/>
    <w:rsid w:val="00403279"/>
    <w:rsid w:val="00403EAD"/>
    <w:rsid w:val="00404D4B"/>
    <w:rsid w:val="00404E4B"/>
    <w:rsid w:val="004124AF"/>
    <w:rsid w:val="004133BC"/>
    <w:rsid w:val="004146B3"/>
    <w:rsid w:val="004147A8"/>
    <w:rsid w:val="00415DA7"/>
    <w:rsid w:val="00420FC8"/>
    <w:rsid w:val="00423616"/>
    <w:rsid w:val="0042395B"/>
    <w:rsid w:val="0042472B"/>
    <w:rsid w:val="0042477D"/>
    <w:rsid w:val="00425D7C"/>
    <w:rsid w:val="004260C8"/>
    <w:rsid w:val="00427802"/>
    <w:rsid w:val="0043243D"/>
    <w:rsid w:val="004342AD"/>
    <w:rsid w:val="004342BE"/>
    <w:rsid w:val="00435893"/>
    <w:rsid w:val="004368B2"/>
    <w:rsid w:val="00436E6A"/>
    <w:rsid w:val="00440420"/>
    <w:rsid w:val="004423A1"/>
    <w:rsid w:val="00442C22"/>
    <w:rsid w:val="004459BC"/>
    <w:rsid w:val="004527EA"/>
    <w:rsid w:val="00453F78"/>
    <w:rsid w:val="00455C37"/>
    <w:rsid w:val="00455EC9"/>
    <w:rsid w:val="00456ADC"/>
    <w:rsid w:val="00456FC8"/>
    <w:rsid w:val="00457E3C"/>
    <w:rsid w:val="00460A29"/>
    <w:rsid w:val="0046221D"/>
    <w:rsid w:val="00465585"/>
    <w:rsid w:val="004657AC"/>
    <w:rsid w:val="00466B95"/>
    <w:rsid w:val="00470C9C"/>
    <w:rsid w:val="00471B85"/>
    <w:rsid w:val="0047230F"/>
    <w:rsid w:val="00472755"/>
    <w:rsid w:val="00475B7C"/>
    <w:rsid w:val="0047631D"/>
    <w:rsid w:val="004775F4"/>
    <w:rsid w:val="00480DD4"/>
    <w:rsid w:val="004829AD"/>
    <w:rsid w:val="0048386E"/>
    <w:rsid w:val="00484C10"/>
    <w:rsid w:val="00485D96"/>
    <w:rsid w:val="00487693"/>
    <w:rsid w:val="004878E3"/>
    <w:rsid w:val="00487B5D"/>
    <w:rsid w:val="004936C3"/>
    <w:rsid w:val="00493D89"/>
    <w:rsid w:val="00496AEF"/>
    <w:rsid w:val="00497585"/>
    <w:rsid w:val="004A19D5"/>
    <w:rsid w:val="004A1A10"/>
    <w:rsid w:val="004A20FA"/>
    <w:rsid w:val="004A2D43"/>
    <w:rsid w:val="004A7CF9"/>
    <w:rsid w:val="004B083E"/>
    <w:rsid w:val="004B31C4"/>
    <w:rsid w:val="004B3CA5"/>
    <w:rsid w:val="004B5DBC"/>
    <w:rsid w:val="004B638C"/>
    <w:rsid w:val="004B722D"/>
    <w:rsid w:val="004C54F0"/>
    <w:rsid w:val="004C7B7E"/>
    <w:rsid w:val="004D096F"/>
    <w:rsid w:val="004D0BE5"/>
    <w:rsid w:val="004D4704"/>
    <w:rsid w:val="004D4997"/>
    <w:rsid w:val="004D6AC5"/>
    <w:rsid w:val="004D6C4B"/>
    <w:rsid w:val="004D6D11"/>
    <w:rsid w:val="004E12D3"/>
    <w:rsid w:val="004E30F5"/>
    <w:rsid w:val="004E5580"/>
    <w:rsid w:val="004E5900"/>
    <w:rsid w:val="004E7663"/>
    <w:rsid w:val="004E7F2B"/>
    <w:rsid w:val="004F2359"/>
    <w:rsid w:val="004F2F91"/>
    <w:rsid w:val="004F3EAC"/>
    <w:rsid w:val="004F5D06"/>
    <w:rsid w:val="004F6505"/>
    <w:rsid w:val="00502E9A"/>
    <w:rsid w:val="00503E08"/>
    <w:rsid w:val="00504123"/>
    <w:rsid w:val="005064C9"/>
    <w:rsid w:val="00510235"/>
    <w:rsid w:val="0051166F"/>
    <w:rsid w:val="005129D4"/>
    <w:rsid w:val="0051436F"/>
    <w:rsid w:val="00514B8A"/>
    <w:rsid w:val="00514E91"/>
    <w:rsid w:val="0051571C"/>
    <w:rsid w:val="00516838"/>
    <w:rsid w:val="00517C20"/>
    <w:rsid w:val="00520070"/>
    <w:rsid w:val="00522B62"/>
    <w:rsid w:val="00522E31"/>
    <w:rsid w:val="0052331D"/>
    <w:rsid w:val="00524BD0"/>
    <w:rsid w:val="00526CAD"/>
    <w:rsid w:val="0052723E"/>
    <w:rsid w:val="005279FC"/>
    <w:rsid w:val="00531E23"/>
    <w:rsid w:val="00533893"/>
    <w:rsid w:val="0053500F"/>
    <w:rsid w:val="00537A29"/>
    <w:rsid w:val="00537FF6"/>
    <w:rsid w:val="005422C3"/>
    <w:rsid w:val="00542F49"/>
    <w:rsid w:val="00545DA2"/>
    <w:rsid w:val="0054660D"/>
    <w:rsid w:val="005471CA"/>
    <w:rsid w:val="00551B3C"/>
    <w:rsid w:val="00551D29"/>
    <w:rsid w:val="0055201A"/>
    <w:rsid w:val="00552966"/>
    <w:rsid w:val="00554A7A"/>
    <w:rsid w:val="0055556E"/>
    <w:rsid w:val="00556A56"/>
    <w:rsid w:val="00560311"/>
    <w:rsid w:val="00561CB9"/>
    <w:rsid w:val="00562527"/>
    <w:rsid w:val="00565229"/>
    <w:rsid w:val="0056528D"/>
    <w:rsid w:val="005655BB"/>
    <w:rsid w:val="00574B78"/>
    <w:rsid w:val="00575602"/>
    <w:rsid w:val="00575C67"/>
    <w:rsid w:val="00576B09"/>
    <w:rsid w:val="00580317"/>
    <w:rsid w:val="00580DE9"/>
    <w:rsid w:val="005814D0"/>
    <w:rsid w:val="0058249F"/>
    <w:rsid w:val="00585D8F"/>
    <w:rsid w:val="0058667B"/>
    <w:rsid w:val="0058679B"/>
    <w:rsid w:val="005867C2"/>
    <w:rsid w:val="005867EB"/>
    <w:rsid w:val="005877DA"/>
    <w:rsid w:val="005903C8"/>
    <w:rsid w:val="00590452"/>
    <w:rsid w:val="0059610C"/>
    <w:rsid w:val="005A182A"/>
    <w:rsid w:val="005A59AB"/>
    <w:rsid w:val="005B16A2"/>
    <w:rsid w:val="005B1EC4"/>
    <w:rsid w:val="005B29DE"/>
    <w:rsid w:val="005B374A"/>
    <w:rsid w:val="005B4178"/>
    <w:rsid w:val="005B4D4E"/>
    <w:rsid w:val="005B5168"/>
    <w:rsid w:val="005B6EF3"/>
    <w:rsid w:val="005C03F5"/>
    <w:rsid w:val="005C251D"/>
    <w:rsid w:val="005C281F"/>
    <w:rsid w:val="005C3235"/>
    <w:rsid w:val="005C6DDB"/>
    <w:rsid w:val="005D0CB9"/>
    <w:rsid w:val="005D2DDC"/>
    <w:rsid w:val="005D3220"/>
    <w:rsid w:val="005D3658"/>
    <w:rsid w:val="005D39EF"/>
    <w:rsid w:val="005E2C40"/>
    <w:rsid w:val="005E6110"/>
    <w:rsid w:val="005E668A"/>
    <w:rsid w:val="005F0648"/>
    <w:rsid w:val="005F129D"/>
    <w:rsid w:val="005F5121"/>
    <w:rsid w:val="005F65CE"/>
    <w:rsid w:val="005F71F0"/>
    <w:rsid w:val="00600819"/>
    <w:rsid w:val="00604375"/>
    <w:rsid w:val="006056A8"/>
    <w:rsid w:val="00606694"/>
    <w:rsid w:val="006126A9"/>
    <w:rsid w:val="00612C3B"/>
    <w:rsid w:val="00613019"/>
    <w:rsid w:val="00613323"/>
    <w:rsid w:val="00616CBC"/>
    <w:rsid w:val="00620AD6"/>
    <w:rsid w:val="006218A6"/>
    <w:rsid w:val="006224F7"/>
    <w:rsid w:val="00623730"/>
    <w:rsid w:val="00630367"/>
    <w:rsid w:val="00631039"/>
    <w:rsid w:val="006316BA"/>
    <w:rsid w:val="00634855"/>
    <w:rsid w:val="006349DF"/>
    <w:rsid w:val="00636440"/>
    <w:rsid w:val="00637231"/>
    <w:rsid w:val="006375F0"/>
    <w:rsid w:val="0063775D"/>
    <w:rsid w:val="00643AFE"/>
    <w:rsid w:val="00644CE2"/>
    <w:rsid w:val="006456BB"/>
    <w:rsid w:val="00647FA6"/>
    <w:rsid w:val="00650716"/>
    <w:rsid w:val="00651669"/>
    <w:rsid w:val="006521EE"/>
    <w:rsid w:val="006539BF"/>
    <w:rsid w:val="006571D6"/>
    <w:rsid w:val="00657421"/>
    <w:rsid w:val="00665C71"/>
    <w:rsid w:val="006677FB"/>
    <w:rsid w:val="006714A5"/>
    <w:rsid w:val="00672A2F"/>
    <w:rsid w:val="00674BA7"/>
    <w:rsid w:val="006755E5"/>
    <w:rsid w:val="00676770"/>
    <w:rsid w:val="00681496"/>
    <w:rsid w:val="00682B4A"/>
    <w:rsid w:val="00685458"/>
    <w:rsid w:val="00685AFD"/>
    <w:rsid w:val="00686E89"/>
    <w:rsid w:val="00687F3B"/>
    <w:rsid w:val="006910BE"/>
    <w:rsid w:val="006927E6"/>
    <w:rsid w:val="00693653"/>
    <w:rsid w:val="00693FAB"/>
    <w:rsid w:val="00696772"/>
    <w:rsid w:val="00696FB4"/>
    <w:rsid w:val="0069780B"/>
    <w:rsid w:val="006A22FE"/>
    <w:rsid w:val="006A33F8"/>
    <w:rsid w:val="006A4C0C"/>
    <w:rsid w:val="006A59EB"/>
    <w:rsid w:val="006A7638"/>
    <w:rsid w:val="006A7743"/>
    <w:rsid w:val="006B1596"/>
    <w:rsid w:val="006B584A"/>
    <w:rsid w:val="006C04B0"/>
    <w:rsid w:val="006C136E"/>
    <w:rsid w:val="006C1797"/>
    <w:rsid w:val="006C3B32"/>
    <w:rsid w:val="006C7341"/>
    <w:rsid w:val="006D0B20"/>
    <w:rsid w:val="006D0B9B"/>
    <w:rsid w:val="006D1F62"/>
    <w:rsid w:val="006D3A18"/>
    <w:rsid w:val="006D4B23"/>
    <w:rsid w:val="006D4C40"/>
    <w:rsid w:val="006D69A4"/>
    <w:rsid w:val="006E2205"/>
    <w:rsid w:val="006E2C3C"/>
    <w:rsid w:val="006E3C5D"/>
    <w:rsid w:val="006E41F6"/>
    <w:rsid w:val="006E498A"/>
    <w:rsid w:val="006E53FC"/>
    <w:rsid w:val="006E67D7"/>
    <w:rsid w:val="006F0C19"/>
    <w:rsid w:val="006F24A8"/>
    <w:rsid w:val="006F29B4"/>
    <w:rsid w:val="006F56C1"/>
    <w:rsid w:val="006F7BDA"/>
    <w:rsid w:val="00700070"/>
    <w:rsid w:val="007058E9"/>
    <w:rsid w:val="0070633F"/>
    <w:rsid w:val="00706785"/>
    <w:rsid w:val="0071026C"/>
    <w:rsid w:val="00713A16"/>
    <w:rsid w:val="007152A8"/>
    <w:rsid w:val="00717880"/>
    <w:rsid w:val="00717F0C"/>
    <w:rsid w:val="007217E4"/>
    <w:rsid w:val="0072267A"/>
    <w:rsid w:val="00725107"/>
    <w:rsid w:val="0072668A"/>
    <w:rsid w:val="007269D1"/>
    <w:rsid w:val="007278CF"/>
    <w:rsid w:val="007315C5"/>
    <w:rsid w:val="00732894"/>
    <w:rsid w:val="007335B6"/>
    <w:rsid w:val="007355DD"/>
    <w:rsid w:val="007363F2"/>
    <w:rsid w:val="00737AB8"/>
    <w:rsid w:val="00741F6A"/>
    <w:rsid w:val="00750AEA"/>
    <w:rsid w:val="00753C33"/>
    <w:rsid w:val="007547B1"/>
    <w:rsid w:val="00760465"/>
    <w:rsid w:val="007622F2"/>
    <w:rsid w:val="00762978"/>
    <w:rsid w:val="00762E3E"/>
    <w:rsid w:val="00766F64"/>
    <w:rsid w:val="00767185"/>
    <w:rsid w:val="007715C1"/>
    <w:rsid w:val="0077435A"/>
    <w:rsid w:val="00780424"/>
    <w:rsid w:val="00781268"/>
    <w:rsid w:val="00784838"/>
    <w:rsid w:val="0078538E"/>
    <w:rsid w:val="00787BED"/>
    <w:rsid w:val="00787DED"/>
    <w:rsid w:val="00791212"/>
    <w:rsid w:val="00791D10"/>
    <w:rsid w:val="00794B98"/>
    <w:rsid w:val="007958E4"/>
    <w:rsid w:val="007A0D95"/>
    <w:rsid w:val="007A14D0"/>
    <w:rsid w:val="007A1D95"/>
    <w:rsid w:val="007A25F6"/>
    <w:rsid w:val="007A2BA3"/>
    <w:rsid w:val="007A3DB5"/>
    <w:rsid w:val="007A52E8"/>
    <w:rsid w:val="007A7FC5"/>
    <w:rsid w:val="007B1BE8"/>
    <w:rsid w:val="007B6976"/>
    <w:rsid w:val="007C2992"/>
    <w:rsid w:val="007D0273"/>
    <w:rsid w:val="007D3113"/>
    <w:rsid w:val="007D6900"/>
    <w:rsid w:val="007D7613"/>
    <w:rsid w:val="007D7A8A"/>
    <w:rsid w:val="007E0AEC"/>
    <w:rsid w:val="007E268D"/>
    <w:rsid w:val="007E2F7C"/>
    <w:rsid w:val="007E34D8"/>
    <w:rsid w:val="007E3DF8"/>
    <w:rsid w:val="007E5D4D"/>
    <w:rsid w:val="007E66D5"/>
    <w:rsid w:val="007E6AE9"/>
    <w:rsid w:val="007E7623"/>
    <w:rsid w:val="007F0242"/>
    <w:rsid w:val="007F0C15"/>
    <w:rsid w:val="007F1028"/>
    <w:rsid w:val="007F2986"/>
    <w:rsid w:val="007F2DC6"/>
    <w:rsid w:val="007F5D71"/>
    <w:rsid w:val="007F73A1"/>
    <w:rsid w:val="00801790"/>
    <w:rsid w:val="00801F32"/>
    <w:rsid w:val="00803CA0"/>
    <w:rsid w:val="00806BC5"/>
    <w:rsid w:val="00807DD6"/>
    <w:rsid w:val="00810454"/>
    <w:rsid w:val="00812990"/>
    <w:rsid w:val="00816E5A"/>
    <w:rsid w:val="00817839"/>
    <w:rsid w:val="00820F76"/>
    <w:rsid w:val="00823419"/>
    <w:rsid w:val="0082376A"/>
    <w:rsid w:val="00823CBA"/>
    <w:rsid w:val="00826588"/>
    <w:rsid w:val="008265EF"/>
    <w:rsid w:val="00827407"/>
    <w:rsid w:val="00832642"/>
    <w:rsid w:val="00840ABC"/>
    <w:rsid w:val="00842D5F"/>
    <w:rsid w:val="00843294"/>
    <w:rsid w:val="0084423C"/>
    <w:rsid w:val="00845F2C"/>
    <w:rsid w:val="008508CF"/>
    <w:rsid w:val="008549AE"/>
    <w:rsid w:val="00860387"/>
    <w:rsid w:val="00860C80"/>
    <w:rsid w:val="00860FDE"/>
    <w:rsid w:val="00861E48"/>
    <w:rsid w:val="00862D34"/>
    <w:rsid w:val="00871F60"/>
    <w:rsid w:val="008737CE"/>
    <w:rsid w:val="00874C25"/>
    <w:rsid w:val="0087598A"/>
    <w:rsid w:val="008764AE"/>
    <w:rsid w:val="00877265"/>
    <w:rsid w:val="00877FED"/>
    <w:rsid w:val="00883CA1"/>
    <w:rsid w:val="00884239"/>
    <w:rsid w:val="008850DE"/>
    <w:rsid w:val="00886123"/>
    <w:rsid w:val="00890831"/>
    <w:rsid w:val="0089090B"/>
    <w:rsid w:val="00891DAA"/>
    <w:rsid w:val="00891EF4"/>
    <w:rsid w:val="008927D8"/>
    <w:rsid w:val="00893263"/>
    <w:rsid w:val="0089622A"/>
    <w:rsid w:val="00896363"/>
    <w:rsid w:val="008972A4"/>
    <w:rsid w:val="00897C16"/>
    <w:rsid w:val="008A140A"/>
    <w:rsid w:val="008A515D"/>
    <w:rsid w:val="008A6786"/>
    <w:rsid w:val="008A6918"/>
    <w:rsid w:val="008B485C"/>
    <w:rsid w:val="008B6C2F"/>
    <w:rsid w:val="008C0F58"/>
    <w:rsid w:val="008C0F68"/>
    <w:rsid w:val="008C14B4"/>
    <w:rsid w:val="008C37BE"/>
    <w:rsid w:val="008C46C8"/>
    <w:rsid w:val="008C47D6"/>
    <w:rsid w:val="008C4B43"/>
    <w:rsid w:val="008C76E4"/>
    <w:rsid w:val="008D0A17"/>
    <w:rsid w:val="008D11BF"/>
    <w:rsid w:val="008D17E5"/>
    <w:rsid w:val="008D4A68"/>
    <w:rsid w:val="008D6725"/>
    <w:rsid w:val="008D78FF"/>
    <w:rsid w:val="008E0248"/>
    <w:rsid w:val="008E2ECE"/>
    <w:rsid w:val="008E429C"/>
    <w:rsid w:val="008E45A6"/>
    <w:rsid w:val="008E5140"/>
    <w:rsid w:val="008E69C9"/>
    <w:rsid w:val="008F04B9"/>
    <w:rsid w:val="008F122D"/>
    <w:rsid w:val="008F36CE"/>
    <w:rsid w:val="008F48C1"/>
    <w:rsid w:val="008F4C9D"/>
    <w:rsid w:val="008F5394"/>
    <w:rsid w:val="0090048A"/>
    <w:rsid w:val="00900FF8"/>
    <w:rsid w:val="0090395A"/>
    <w:rsid w:val="0090449A"/>
    <w:rsid w:val="00904778"/>
    <w:rsid w:val="0090536A"/>
    <w:rsid w:val="009062D3"/>
    <w:rsid w:val="00906840"/>
    <w:rsid w:val="00906909"/>
    <w:rsid w:val="00910B4D"/>
    <w:rsid w:val="00911B94"/>
    <w:rsid w:val="00914CB3"/>
    <w:rsid w:val="00916054"/>
    <w:rsid w:val="00916509"/>
    <w:rsid w:val="009243DD"/>
    <w:rsid w:val="0092468A"/>
    <w:rsid w:val="00925417"/>
    <w:rsid w:val="00925C96"/>
    <w:rsid w:val="00926E4B"/>
    <w:rsid w:val="00927127"/>
    <w:rsid w:val="009277A4"/>
    <w:rsid w:val="00930DCC"/>
    <w:rsid w:val="00932BAE"/>
    <w:rsid w:val="00932C66"/>
    <w:rsid w:val="00933398"/>
    <w:rsid w:val="009347CA"/>
    <w:rsid w:val="00934C43"/>
    <w:rsid w:val="00937618"/>
    <w:rsid w:val="00937A69"/>
    <w:rsid w:val="00940388"/>
    <w:rsid w:val="009414BE"/>
    <w:rsid w:val="00944628"/>
    <w:rsid w:val="00944903"/>
    <w:rsid w:val="00945AEE"/>
    <w:rsid w:val="0094732D"/>
    <w:rsid w:val="00947AE5"/>
    <w:rsid w:val="00953044"/>
    <w:rsid w:val="00955FB6"/>
    <w:rsid w:val="009562F8"/>
    <w:rsid w:val="009566B7"/>
    <w:rsid w:val="0095696B"/>
    <w:rsid w:val="009578FD"/>
    <w:rsid w:val="00957CB6"/>
    <w:rsid w:val="00962510"/>
    <w:rsid w:val="00962CEA"/>
    <w:rsid w:val="0096453C"/>
    <w:rsid w:val="009658DE"/>
    <w:rsid w:val="009666E8"/>
    <w:rsid w:val="0096699E"/>
    <w:rsid w:val="0097021A"/>
    <w:rsid w:val="009741BB"/>
    <w:rsid w:val="00976DE4"/>
    <w:rsid w:val="00981D69"/>
    <w:rsid w:val="00982E41"/>
    <w:rsid w:val="00985F38"/>
    <w:rsid w:val="00990D1F"/>
    <w:rsid w:val="0099344A"/>
    <w:rsid w:val="00995388"/>
    <w:rsid w:val="0099575C"/>
    <w:rsid w:val="009A164D"/>
    <w:rsid w:val="009A35C7"/>
    <w:rsid w:val="009A38AD"/>
    <w:rsid w:val="009A4789"/>
    <w:rsid w:val="009B0DB2"/>
    <w:rsid w:val="009B2624"/>
    <w:rsid w:val="009B2F66"/>
    <w:rsid w:val="009B4731"/>
    <w:rsid w:val="009B60FF"/>
    <w:rsid w:val="009B623D"/>
    <w:rsid w:val="009C1935"/>
    <w:rsid w:val="009C2CF9"/>
    <w:rsid w:val="009C34B1"/>
    <w:rsid w:val="009C412F"/>
    <w:rsid w:val="009C4D17"/>
    <w:rsid w:val="009C63C0"/>
    <w:rsid w:val="009C7064"/>
    <w:rsid w:val="009D10C0"/>
    <w:rsid w:val="009D142C"/>
    <w:rsid w:val="009D6B85"/>
    <w:rsid w:val="009E116E"/>
    <w:rsid w:val="009E182A"/>
    <w:rsid w:val="009E190F"/>
    <w:rsid w:val="009E1AEA"/>
    <w:rsid w:val="009E35B5"/>
    <w:rsid w:val="009E364A"/>
    <w:rsid w:val="009E3D6E"/>
    <w:rsid w:val="009E42F2"/>
    <w:rsid w:val="009E604D"/>
    <w:rsid w:val="009E66C4"/>
    <w:rsid w:val="009E7DF3"/>
    <w:rsid w:val="009F1F15"/>
    <w:rsid w:val="009F22DF"/>
    <w:rsid w:val="009F37B4"/>
    <w:rsid w:val="009F4017"/>
    <w:rsid w:val="009F56B3"/>
    <w:rsid w:val="009F727D"/>
    <w:rsid w:val="00A04BD5"/>
    <w:rsid w:val="00A06AF5"/>
    <w:rsid w:val="00A104D4"/>
    <w:rsid w:val="00A126E6"/>
    <w:rsid w:val="00A14437"/>
    <w:rsid w:val="00A15971"/>
    <w:rsid w:val="00A17B93"/>
    <w:rsid w:val="00A20A03"/>
    <w:rsid w:val="00A24FA8"/>
    <w:rsid w:val="00A30576"/>
    <w:rsid w:val="00A30F97"/>
    <w:rsid w:val="00A326B1"/>
    <w:rsid w:val="00A34AC6"/>
    <w:rsid w:val="00A3527F"/>
    <w:rsid w:val="00A367CD"/>
    <w:rsid w:val="00A37760"/>
    <w:rsid w:val="00A37F07"/>
    <w:rsid w:val="00A419B3"/>
    <w:rsid w:val="00A425FC"/>
    <w:rsid w:val="00A44590"/>
    <w:rsid w:val="00A465E0"/>
    <w:rsid w:val="00A46619"/>
    <w:rsid w:val="00A47339"/>
    <w:rsid w:val="00A473A7"/>
    <w:rsid w:val="00A47536"/>
    <w:rsid w:val="00A52937"/>
    <w:rsid w:val="00A52BA6"/>
    <w:rsid w:val="00A53A46"/>
    <w:rsid w:val="00A54D4C"/>
    <w:rsid w:val="00A54F7E"/>
    <w:rsid w:val="00A55C87"/>
    <w:rsid w:val="00A55F04"/>
    <w:rsid w:val="00A60E59"/>
    <w:rsid w:val="00A6113D"/>
    <w:rsid w:val="00A61502"/>
    <w:rsid w:val="00A6164F"/>
    <w:rsid w:val="00A6168D"/>
    <w:rsid w:val="00A62155"/>
    <w:rsid w:val="00A62C9B"/>
    <w:rsid w:val="00A71A44"/>
    <w:rsid w:val="00A779C1"/>
    <w:rsid w:val="00A806F1"/>
    <w:rsid w:val="00A83B04"/>
    <w:rsid w:val="00A83E56"/>
    <w:rsid w:val="00A86DD1"/>
    <w:rsid w:val="00A91BA0"/>
    <w:rsid w:val="00A92DAD"/>
    <w:rsid w:val="00A94125"/>
    <w:rsid w:val="00A963C3"/>
    <w:rsid w:val="00AA44FA"/>
    <w:rsid w:val="00AA46D0"/>
    <w:rsid w:val="00AA53C4"/>
    <w:rsid w:val="00AA5C4F"/>
    <w:rsid w:val="00AA5F61"/>
    <w:rsid w:val="00AB067F"/>
    <w:rsid w:val="00AB0D9C"/>
    <w:rsid w:val="00AB248D"/>
    <w:rsid w:val="00AB2498"/>
    <w:rsid w:val="00AB28AF"/>
    <w:rsid w:val="00AB2B93"/>
    <w:rsid w:val="00AB488D"/>
    <w:rsid w:val="00AB5720"/>
    <w:rsid w:val="00AB5B30"/>
    <w:rsid w:val="00AC0231"/>
    <w:rsid w:val="00AC1619"/>
    <w:rsid w:val="00AC4602"/>
    <w:rsid w:val="00AC51C0"/>
    <w:rsid w:val="00AC63DA"/>
    <w:rsid w:val="00AD01D2"/>
    <w:rsid w:val="00AD03A6"/>
    <w:rsid w:val="00AD1A52"/>
    <w:rsid w:val="00AD2F9E"/>
    <w:rsid w:val="00AD452A"/>
    <w:rsid w:val="00AD5849"/>
    <w:rsid w:val="00AE05F1"/>
    <w:rsid w:val="00AE1659"/>
    <w:rsid w:val="00AE26A2"/>
    <w:rsid w:val="00AE51EC"/>
    <w:rsid w:val="00AE52B6"/>
    <w:rsid w:val="00AE6E0C"/>
    <w:rsid w:val="00AF01CF"/>
    <w:rsid w:val="00AF1E99"/>
    <w:rsid w:val="00AF32A9"/>
    <w:rsid w:val="00B014C2"/>
    <w:rsid w:val="00B01AC6"/>
    <w:rsid w:val="00B01E7B"/>
    <w:rsid w:val="00B033B8"/>
    <w:rsid w:val="00B03F05"/>
    <w:rsid w:val="00B04DBD"/>
    <w:rsid w:val="00B05C43"/>
    <w:rsid w:val="00B130BF"/>
    <w:rsid w:val="00B15301"/>
    <w:rsid w:val="00B16BFA"/>
    <w:rsid w:val="00B17C2B"/>
    <w:rsid w:val="00B20369"/>
    <w:rsid w:val="00B20A66"/>
    <w:rsid w:val="00B219DE"/>
    <w:rsid w:val="00B221CA"/>
    <w:rsid w:val="00B23B0C"/>
    <w:rsid w:val="00B26A25"/>
    <w:rsid w:val="00B30133"/>
    <w:rsid w:val="00B30ED0"/>
    <w:rsid w:val="00B31842"/>
    <w:rsid w:val="00B32A63"/>
    <w:rsid w:val="00B3485B"/>
    <w:rsid w:val="00B37ECA"/>
    <w:rsid w:val="00B41D2B"/>
    <w:rsid w:val="00B4309E"/>
    <w:rsid w:val="00B45132"/>
    <w:rsid w:val="00B45711"/>
    <w:rsid w:val="00B45C8B"/>
    <w:rsid w:val="00B46611"/>
    <w:rsid w:val="00B5067F"/>
    <w:rsid w:val="00B52943"/>
    <w:rsid w:val="00B55E8E"/>
    <w:rsid w:val="00B56AD2"/>
    <w:rsid w:val="00B6151B"/>
    <w:rsid w:val="00B62197"/>
    <w:rsid w:val="00B626F8"/>
    <w:rsid w:val="00B63137"/>
    <w:rsid w:val="00B67838"/>
    <w:rsid w:val="00B71C6B"/>
    <w:rsid w:val="00B74BCA"/>
    <w:rsid w:val="00B7774A"/>
    <w:rsid w:val="00B800E8"/>
    <w:rsid w:val="00B80685"/>
    <w:rsid w:val="00B80D36"/>
    <w:rsid w:val="00B813DC"/>
    <w:rsid w:val="00B81761"/>
    <w:rsid w:val="00B81E82"/>
    <w:rsid w:val="00B82499"/>
    <w:rsid w:val="00B850BA"/>
    <w:rsid w:val="00B85F43"/>
    <w:rsid w:val="00B9092D"/>
    <w:rsid w:val="00B912E7"/>
    <w:rsid w:val="00B91475"/>
    <w:rsid w:val="00B931D1"/>
    <w:rsid w:val="00B954BB"/>
    <w:rsid w:val="00B97180"/>
    <w:rsid w:val="00B97542"/>
    <w:rsid w:val="00B97AF1"/>
    <w:rsid w:val="00BA0A22"/>
    <w:rsid w:val="00BA7293"/>
    <w:rsid w:val="00BA7603"/>
    <w:rsid w:val="00BB09C5"/>
    <w:rsid w:val="00BB1832"/>
    <w:rsid w:val="00BB4180"/>
    <w:rsid w:val="00BB63D9"/>
    <w:rsid w:val="00BB6516"/>
    <w:rsid w:val="00BB6D20"/>
    <w:rsid w:val="00BC0302"/>
    <w:rsid w:val="00BC06E8"/>
    <w:rsid w:val="00BC16B4"/>
    <w:rsid w:val="00BC1DE4"/>
    <w:rsid w:val="00BC262B"/>
    <w:rsid w:val="00BC486B"/>
    <w:rsid w:val="00BC4AAD"/>
    <w:rsid w:val="00BC51A3"/>
    <w:rsid w:val="00BC70FB"/>
    <w:rsid w:val="00BD1934"/>
    <w:rsid w:val="00BD22EA"/>
    <w:rsid w:val="00BD3CD7"/>
    <w:rsid w:val="00BD44E2"/>
    <w:rsid w:val="00BE0EC8"/>
    <w:rsid w:val="00BE1338"/>
    <w:rsid w:val="00BE32A5"/>
    <w:rsid w:val="00BE4892"/>
    <w:rsid w:val="00BE515D"/>
    <w:rsid w:val="00BE6036"/>
    <w:rsid w:val="00BE622A"/>
    <w:rsid w:val="00BF13E2"/>
    <w:rsid w:val="00C01562"/>
    <w:rsid w:val="00C024E1"/>
    <w:rsid w:val="00C02D2F"/>
    <w:rsid w:val="00C02EEC"/>
    <w:rsid w:val="00C044F2"/>
    <w:rsid w:val="00C04B3F"/>
    <w:rsid w:val="00C0764D"/>
    <w:rsid w:val="00C10CEA"/>
    <w:rsid w:val="00C11C6A"/>
    <w:rsid w:val="00C12C72"/>
    <w:rsid w:val="00C144AD"/>
    <w:rsid w:val="00C15742"/>
    <w:rsid w:val="00C1663D"/>
    <w:rsid w:val="00C16BBF"/>
    <w:rsid w:val="00C20EF9"/>
    <w:rsid w:val="00C21702"/>
    <w:rsid w:val="00C219FF"/>
    <w:rsid w:val="00C220F3"/>
    <w:rsid w:val="00C234B8"/>
    <w:rsid w:val="00C257B7"/>
    <w:rsid w:val="00C272F7"/>
    <w:rsid w:val="00C307D2"/>
    <w:rsid w:val="00C308D3"/>
    <w:rsid w:val="00C30B31"/>
    <w:rsid w:val="00C31F73"/>
    <w:rsid w:val="00C32F05"/>
    <w:rsid w:val="00C35132"/>
    <w:rsid w:val="00C35F1A"/>
    <w:rsid w:val="00C37B14"/>
    <w:rsid w:val="00C37BC8"/>
    <w:rsid w:val="00C4088E"/>
    <w:rsid w:val="00C40FDA"/>
    <w:rsid w:val="00C43F6F"/>
    <w:rsid w:val="00C4520E"/>
    <w:rsid w:val="00C45D44"/>
    <w:rsid w:val="00C509E0"/>
    <w:rsid w:val="00C51784"/>
    <w:rsid w:val="00C5549D"/>
    <w:rsid w:val="00C60771"/>
    <w:rsid w:val="00C64F4A"/>
    <w:rsid w:val="00C66991"/>
    <w:rsid w:val="00C671F9"/>
    <w:rsid w:val="00C7152A"/>
    <w:rsid w:val="00C72033"/>
    <w:rsid w:val="00C73791"/>
    <w:rsid w:val="00C73CB9"/>
    <w:rsid w:val="00C73D47"/>
    <w:rsid w:val="00C80D3A"/>
    <w:rsid w:val="00C81662"/>
    <w:rsid w:val="00C82A06"/>
    <w:rsid w:val="00C82B27"/>
    <w:rsid w:val="00C85068"/>
    <w:rsid w:val="00C852AB"/>
    <w:rsid w:val="00C94E64"/>
    <w:rsid w:val="00CA051F"/>
    <w:rsid w:val="00CA0A26"/>
    <w:rsid w:val="00CA0B16"/>
    <w:rsid w:val="00CA181C"/>
    <w:rsid w:val="00CA334F"/>
    <w:rsid w:val="00CA4ADF"/>
    <w:rsid w:val="00CA5DE0"/>
    <w:rsid w:val="00CA6526"/>
    <w:rsid w:val="00CA6640"/>
    <w:rsid w:val="00CA7E59"/>
    <w:rsid w:val="00CB0847"/>
    <w:rsid w:val="00CB2CB2"/>
    <w:rsid w:val="00CB36DD"/>
    <w:rsid w:val="00CB4D81"/>
    <w:rsid w:val="00CB5D7B"/>
    <w:rsid w:val="00CB6A16"/>
    <w:rsid w:val="00CB7A76"/>
    <w:rsid w:val="00CB7C96"/>
    <w:rsid w:val="00CB7E18"/>
    <w:rsid w:val="00CC16E3"/>
    <w:rsid w:val="00CC1808"/>
    <w:rsid w:val="00CC1AF4"/>
    <w:rsid w:val="00CC76C2"/>
    <w:rsid w:val="00CD1E6F"/>
    <w:rsid w:val="00CD1F0C"/>
    <w:rsid w:val="00CD4C14"/>
    <w:rsid w:val="00CE09F6"/>
    <w:rsid w:val="00CE0F1A"/>
    <w:rsid w:val="00CE419A"/>
    <w:rsid w:val="00CE46A5"/>
    <w:rsid w:val="00CE5A53"/>
    <w:rsid w:val="00CF05DA"/>
    <w:rsid w:val="00CF0F69"/>
    <w:rsid w:val="00CF370C"/>
    <w:rsid w:val="00CF5AE5"/>
    <w:rsid w:val="00CF5C7C"/>
    <w:rsid w:val="00D0275E"/>
    <w:rsid w:val="00D03A8E"/>
    <w:rsid w:val="00D03BE9"/>
    <w:rsid w:val="00D07CDB"/>
    <w:rsid w:val="00D11D2F"/>
    <w:rsid w:val="00D11FD4"/>
    <w:rsid w:val="00D135FA"/>
    <w:rsid w:val="00D159F5"/>
    <w:rsid w:val="00D16BE8"/>
    <w:rsid w:val="00D17FC9"/>
    <w:rsid w:val="00D215C9"/>
    <w:rsid w:val="00D22207"/>
    <w:rsid w:val="00D25DF0"/>
    <w:rsid w:val="00D30469"/>
    <w:rsid w:val="00D305DA"/>
    <w:rsid w:val="00D30630"/>
    <w:rsid w:val="00D315BC"/>
    <w:rsid w:val="00D33BC8"/>
    <w:rsid w:val="00D33C38"/>
    <w:rsid w:val="00D346C8"/>
    <w:rsid w:val="00D347F4"/>
    <w:rsid w:val="00D402F5"/>
    <w:rsid w:val="00D41B36"/>
    <w:rsid w:val="00D42829"/>
    <w:rsid w:val="00D4472A"/>
    <w:rsid w:val="00D507F1"/>
    <w:rsid w:val="00D5184D"/>
    <w:rsid w:val="00D51E6D"/>
    <w:rsid w:val="00D62CCB"/>
    <w:rsid w:val="00D67DC0"/>
    <w:rsid w:val="00D67E3F"/>
    <w:rsid w:val="00D7051C"/>
    <w:rsid w:val="00D71175"/>
    <w:rsid w:val="00D7256E"/>
    <w:rsid w:val="00D729A2"/>
    <w:rsid w:val="00D74282"/>
    <w:rsid w:val="00D751F5"/>
    <w:rsid w:val="00D75E37"/>
    <w:rsid w:val="00D81713"/>
    <w:rsid w:val="00D83212"/>
    <w:rsid w:val="00D84793"/>
    <w:rsid w:val="00D924D9"/>
    <w:rsid w:val="00D94C96"/>
    <w:rsid w:val="00D97223"/>
    <w:rsid w:val="00D97A9A"/>
    <w:rsid w:val="00DA3D80"/>
    <w:rsid w:val="00DA4E50"/>
    <w:rsid w:val="00DA61A3"/>
    <w:rsid w:val="00DA723C"/>
    <w:rsid w:val="00DA7414"/>
    <w:rsid w:val="00DB28DC"/>
    <w:rsid w:val="00DB29B9"/>
    <w:rsid w:val="00DB35ED"/>
    <w:rsid w:val="00DB3BCB"/>
    <w:rsid w:val="00DB4FB1"/>
    <w:rsid w:val="00DC1972"/>
    <w:rsid w:val="00DC3053"/>
    <w:rsid w:val="00DC3091"/>
    <w:rsid w:val="00DC3289"/>
    <w:rsid w:val="00DC406B"/>
    <w:rsid w:val="00DC44CC"/>
    <w:rsid w:val="00DC4C6D"/>
    <w:rsid w:val="00DD0266"/>
    <w:rsid w:val="00DD03BA"/>
    <w:rsid w:val="00DD28ED"/>
    <w:rsid w:val="00DD2D84"/>
    <w:rsid w:val="00DD32A1"/>
    <w:rsid w:val="00DD3C99"/>
    <w:rsid w:val="00DD42C2"/>
    <w:rsid w:val="00DD4ECC"/>
    <w:rsid w:val="00DD50FD"/>
    <w:rsid w:val="00DD7180"/>
    <w:rsid w:val="00DD7A97"/>
    <w:rsid w:val="00DE043D"/>
    <w:rsid w:val="00DE12EB"/>
    <w:rsid w:val="00DE1404"/>
    <w:rsid w:val="00DE28A0"/>
    <w:rsid w:val="00DE5D69"/>
    <w:rsid w:val="00DE67FC"/>
    <w:rsid w:val="00DE6E2C"/>
    <w:rsid w:val="00DF0637"/>
    <w:rsid w:val="00DF0A7E"/>
    <w:rsid w:val="00DF2714"/>
    <w:rsid w:val="00DF4F04"/>
    <w:rsid w:val="00DF58A4"/>
    <w:rsid w:val="00DF6643"/>
    <w:rsid w:val="00DF6B2B"/>
    <w:rsid w:val="00E007C1"/>
    <w:rsid w:val="00E019D6"/>
    <w:rsid w:val="00E02B02"/>
    <w:rsid w:val="00E03A78"/>
    <w:rsid w:val="00E07DF2"/>
    <w:rsid w:val="00E10D14"/>
    <w:rsid w:val="00E14351"/>
    <w:rsid w:val="00E147E0"/>
    <w:rsid w:val="00E2293F"/>
    <w:rsid w:val="00E22EBE"/>
    <w:rsid w:val="00E238D9"/>
    <w:rsid w:val="00E245B1"/>
    <w:rsid w:val="00E26AAA"/>
    <w:rsid w:val="00E26E54"/>
    <w:rsid w:val="00E33E43"/>
    <w:rsid w:val="00E36176"/>
    <w:rsid w:val="00E374A8"/>
    <w:rsid w:val="00E4147B"/>
    <w:rsid w:val="00E424F8"/>
    <w:rsid w:val="00E42E89"/>
    <w:rsid w:val="00E45814"/>
    <w:rsid w:val="00E4618D"/>
    <w:rsid w:val="00E47E61"/>
    <w:rsid w:val="00E53C62"/>
    <w:rsid w:val="00E60458"/>
    <w:rsid w:val="00E650CE"/>
    <w:rsid w:val="00E65238"/>
    <w:rsid w:val="00E65F36"/>
    <w:rsid w:val="00E65F64"/>
    <w:rsid w:val="00E67992"/>
    <w:rsid w:val="00E70B81"/>
    <w:rsid w:val="00E73425"/>
    <w:rsid w:val="00E741B5"/>
    <w:rsid w:val="00E75633"/>
    <w:rsid w:val="00E76A2A"/>
    <w:rsid w:val="00E77E51"/>
    <w:rsid w:val="00E8088C"/>
    <w:rsid w:val="00E8283B"/>
    <w:rsid w:val="00E8717E"/>
    <w:rsid w:val="00E90C7E"/>
    <w:rsid w:val="00E91702"/>
    <w:rsid w:val="00E93D72"/>
    <w:rsid w:val="00E96283"/>
    <w:rsid w:val="00E96F82"/>
    <w:rsid w:val="00E97753"/>
    <w:rsid w:val="00EA2820"/>
    <w:rsid w:val="00EA34D6"/>
    <w:rsid w:val="00EA3F1F"/>
    <w:rsid w:val="00EA50BA"/>
    <w:rsid w:val="00EA5412"/>
    <w:rsid w:val="00EA57EF"/>
    <w:rsid w:val="00EB03F5"/>
    <w:rsid w:val="00EB11EE"/>
    <w:rsid w:val="00EB1BE8"/>
    <w:rsid w:val="00EB1E3A"/>
    <w:rsid w:val="00EB263C"/>
    <w:rsid w:val="00EB27E9"/>
    <w:rsid w:val="00EB4AE3"/>
    <w:rsid w:val="00EC2AD9"/>
    <w:rsid w:val="00EC3A4F"/>
    <w:rsid w:val="00EC5645"/>
    <w:rsid w:val="00EC59C9"/>
    <w:rsid w:val="00EC5C1C"/>
    <w:rsid w:val="00EC6973"/>
    <w:rsid w:val="00EC7346"/>
    <w:rsid w:val="00ED29AD"/>
    <w:rsid w:val="00ED3510"/>
    <w:rsid w:val="00ED377B"/>
    <w:rsid w:val="00ED6A1E"/>
    <w:rsid w:val="00EE1948"/>
    <w:rsid w:val="00EE2B7B"/>
    <w:rsid w:val="00EE424E"/>
    <w:rsid w:val="00EE4624"/>
    <w:rsid w:val="00EE4FC3"/>
    <w:rsid w:val="00EE7439"/>
    <w:rsid w:val="00EF0130"/>
    <w:rsid w:val="00EF02EC"/>
    <w:rsid w:val="00EF0674"/>
    <w:rsid w:val="00EF1B0A"/>
    <w:rsid w:val="00EF26A5"/>
    <w:rsid w:val="00EF335B"/>
    <w:rsid w:val="00EF4167"/>
    <w:rsid w:val="00EF5255"/>
    <w:rsid w:val="00EF662A"/>
    <w:rsid w:val="00EF6E5B"/>
    <w:rsid w:val="00EF7A99"/>
    <w:rsid w:val="00EF7D9D"/>
    <w:rsid w:val="00F00E71"/>
    <w:rsid w:val="00F010E4"/>
    <w:rsid w:val="00F04A68"/>
    <w:rsid w:val="00F067B2"/>
    <w:rsid w:val="00F06BE8"/>
    <w:rsid w:val="00F071F6"/>
    <w:rsid w:val="00F1031D"/>
    <w:rsid w:val="00F103C0"/>
    <w:rsid w:val="00F130C7"/>
    <w:rsid w:val="00F15932"/>
    <w:rsid w:val="00F16223"/>
    <w:rsid w:val="00F210C4"/>
    <w:rsid w:val="00F213B5"/>
    <w:rsid w:val="00F21BD7"/>
    <w:rsid w:val="00F24674"/>
    <w:rsid w:val="00F25271"/>
    <w:rsid w:val="00F258DB"/>
    <w:rsid w:val="00F27161"/>
    <w:rsid w:val="00F30110"/>
    <w:rsid w:val="00F303C0"/>
    <w:rsid w:val="00F3042A"/>
    <w:rsid w:val="00F33357"/>
    <w:rsid w:val="00F343C6"/>
    <w:rsid w:val="00F34BA0"/>
    <w:rsid w:val="00F34F76"/>
    <w:rsid w:val="00F35826"/>
    <w:rsid w:val="00F3582A"/>
    <w:rsid w:val="00F4573A"/>
    <w:rsid w:val="00F45FC6"/>
    <w:rsid w:val="00F46E40"/>
    <w:rsid w:val="00F5184C"/>
    <w:rsid w:val="00F53491"/>
    <w:rsid w:val="00F54C76"/>
    <w:rsid w:val="00F621F0"/>
    <w:rsid w:val="00F6350C"/>
    <w:rsid w:val="00F6526D"/>
    <w:rsid w:val="00F66DA2"/>
    <w:rsid w:val="00F70674"/>
    <w:rsid w:val="00F708A4"/>
    <w:rsid w:val="00F73226"/>
    <w:rsid w:val="00F73CBA"/>
    <w:rsid w:val="00F73E4D"/>
    <w:rsid w:val="00F74837"/>
    <w:rsid w:val="00F768B2"/>
    <w:rsid w:val="00F77BBE"/>
    <w:rsid w:val="00F80221"/>
    <w:rsid w:val="00F86808"/>
    <w:rsid w:val="00F87021"/>
    <w:rsid w:val="00F90A19"/>
    <w:rsid w:val="00F924ED"/>
    <w:rsid w:val="00F9303A"/>
    <w:rsid w:val="00F938E2"/>
    <w:rsid w:val="00F93F65"/>
    <w:rsid w:val="00F942CC"/>
    <w:rsid w:val="00F94B10"/>
    <w:rsid w:val="00F94F3C"/>
    <w:rsid w:val="00F95038"/>
    <w:rsid w:val="00F9656B"/>
    <w:rsid w:val="00FA1511"/>
    <w:rsid w:val="00FA2035"/>
    <w:rsid w:val="00FA3614"/>
    <w:rsid w:val="00FA6053"/>
    <w:rsid w:val="00FA6507"/>
    <w:rsid w:val="00FB128C"/>
    <w:rsid w:val="00FB1448"/>
    <w:rsid w:val="00FB2469"/>
    <w:rsid w:val="00FB4D76"/>
    <w:rsid w:val="00FB4EBF"/>
    <w:rsid w:val="00FB55B2"/>
    <w:rsid w:val="00FC1889"/>
    <w:rsid w:val="00FC34C0"/>
    <w:rsid w:val="00FC4CC7"/>
    <w:rsid w:val="00FC55FC"/>
    <w:rsid w:val="00FC6B93"/>
    <w:rsid w:val="00FC6E18"/>
    <w:rsid w:val="00FD42A6"/>
    <w:rsid w:val="00FD630D"/>
    <w:rsid w:val="00FE5007"/>
    <w:rsid w:val="00FE5EA3"/>
    <w:rsid w:val="00FE6043"/>
    <w:rsid w:val="00FE7777"/>
    <w:rsid w:val="00FE7937"/>
    <w:rsid w:val="00FF0BAE"/>
    <w:rsid w:val="00FF218F"/>
    <w:rsid w:val="00FF54DF"/>
    <w:rsid w:val="00FF5C79"/>
    <w:rsid w:val="00FF7B9D"/>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character" w:styleId="Emphasis">
    <w:name w:val="Emphasis"/>
    <w:basedOn w:val="DefaultParagraphFont"/>
    <w:uiPriority w:val="20"/>
    <w:qFormat/>
    <w:rsid w:val="00807DD6"/>
    <w:rPr>
      <w:i/>
      <w:iCs/>
    </w:rPr>
  </w:style>
  <w:style w:type="character" w:customStyle="1" w:styleId="st1">
    <w:name w:val="st1"/>
    <w:basedOn w:val="DefaultParagraphFont"/>
    <w:rsid w:val="004133BC"/>
  </w:style>
  <w:style w:type="character" w:styleId="CommentReference">
    <w:name w:val="annotation reference"/>
    <w:basedOn w:val="DefaultParagraphFont"/>
    <w:uiPriority w:val="99"/>
    <w:semiHidden/>
    <w:unhideWhenUsed/>
    <w:rsid w:val="00E8088C"/>
    <w:rPr>
      <w:sz w:val="16"/>
      <w:szCs w:val="16"/>
    </w:rPr>
  </w:style>
  <w:style w:type="paragraph" w:styleId="CommentText">
    <w:name w:val="annotation text"/>
    <w:basedOn w:val="Normal"/>
    <w:link w:val="CommentTextChar"/>
    <w:uiPriority w:val="99"/>
    <w:semiHidden/>
    <w:unhideWhenUsed/>
    <w:rsid w:val="00E8088C"/>
  </w:style>
  <w:style w:type="character" w:customStyle="1" w:styleId="CommentTextChar">
    <w:name w:val="Comment Text Char"/>
    <w:basedOn w:val="DefaultParagraphFont"/>
    <w:link w:val="CommentText"/>
    <w:uiPriority w:val="99"/>
    <w:semiHidden/>
    <w:rsid w:val="00E8088C"/>
    <w:rPr>
      <w:lang w:val="en-AU" w:eastAsia="en-US"/>
    </w:rPr>
  </w:style>
  <w:style w:type="paragraph" w:customStyle="1" w:styleId="tvhtml">
    <w:name w:val="tv_html"/>
    <w:basedOn w:val="Normal"/>
    <w:rsid w:val="008C14B4"/>
    <w:pPr>
      <w:spacing w:before="100" w:beforeAutospacing="1" w:after="100" w:afterAutospacing="1"/>
    </w:pPr>
    <w:rPr>
      <w:rFonts w:ascii="Verdana" w:eastAsia="Times New Roman" w:hAnsi="Verdana"/>
      <w:sz w:val="14"/>
      <w:szCs w:val="14"/>
      <w:lang w:val="lv-LV" w:eastAsia="lv-LV"/>
    </w:rPr>
  </w:style>
  <w:style w:type="paragraph" w:styleId="Date">
    <w:name w:val="Date"/>
    <w:basedOn w:val="Normal"/>
    <w:next w:val="Normal"/>
    <w:link w:val="DateChar"/>
    <w:uiPriority w:val="99"/>
    <w:semiHidden/>
    <w:unhideWhenUsed/>
    <w:rsid w:val="00EC6973"/>
  </w:style>
  <w:style w:type="character" w:customStyle="1" w:styleId="DateChar">
    <w:name w:val="Date Char"/>
    <w:basedOn w:val="DefaultParagraphFont"/>
    <w:link w:val="Date"/>
    <w:uiPriority w:val="99"/>
    <w:semiHidden/>
    <w:rsid w:val="00EC6973"/>
    <w:rPr>
      <w:lang w:val="en-AU" w:eastAsia="en-US"/>
    </w:rPr>
  </w:style>
  <w:style w:type="paragraph" w:styleId="CommentSubject">
    <w:name w:val="annotation subject"/>
    <w:basedOn w:val="CommentText"/>
    <w:next w:val="CommentText"/>
    <w:link w:val="CommentSubjectChar"/>
    <w:uiPriority w:val="99"/>
    <w:semiHidden/>
    <w:unhideWhenUsed/>
    <w:rsid w:val="00442C22"/>
    <w:rPr>
      <w:b/>
      <w:bCs/>
    </w:rPr>
  </w:style>
  <w:style w:type="character" w:customStyle="1" w:styleId="CommentSubjectChar">
    <w:name w:val="Comment Subject Char"/>
    <w:basedOn w:val="CommentTextChar"/>
    <w:link w:val="CommentSubject"/>
    <w:uiPriority w:val="99"/>
    <w:semiHidden/>
    <w:rsid w:val="00442C22"/>
    <w:rPr>
      <w:b/>
      <w:bCs/>
      <w:lang w:val="en-AU" w:eastAsia="en-US"/>
    </w:rPr>
  </w:style>
  <w:style w:type="paragraph" w:customStyle="1" w:styleId="tv20787921">
    <w:name w:val="tv207_87_921"/>
    <w:basedOn w:val="Normal"/>
    <w:rsid w:val="00F1031D"/>
    <w:pPr>
      <w:spacing w:after="567" w:line="360" w:lineRule="auto"/>
      <w:jc w:val="center"/>
    </w:pPr>
    <w:rPr>
      <w:rFonts w:ascii="Verdana" w:eastAsia="Times New Roman" w:hAnsi="Verdana"/>
      <w:b/>
      <w:bCs/>
      <w:sz w:val="28"/>
      <w:szCs w:val="28"/>
      <w:lang w:val="lv-LV" w:eastAsia="lv-LV"/>
    </w:rPr>
  </w:style>
  <w:style w:type="paragraph" w:styleId="FootnoteText">
    <w:name w:val="footnote text"/>
    <w:basedOn w:val="Normal"/>
    <w:link w:val="FootnoteTextChar"/>
    <w:semiHidden/>
    <w:unhideWhenUsed/>
    <w:rsid w:val="006755E5"/>
    <w:rPr>
      <w:rFonts w:eastAsia="Times New Roman"/>
      <w:lang w:val="lv-LV" w:eastAsia="lv-LV"/>
    </w:rPr>
  </w:style>
  <w:style w:type="character" w:customStyle="1" w:styleId="FootnoteTextChar">
    <w:name w:val="Footnote Text Char"/>
    <w:basedOn w:val="DefaultParagraphFont"/>
    <w:link w:val="FootnoteText"/>
    <w:semiHidden/>
    <w:rsid w:val="006755E5"/>
    <w:rPr>
      <w:rFonts w:eastAsia="Times New Roman"/>
    </w:rPr>
  </w:style>
  <w:style w:type="character" w:styleId="FootnoteReference">
    <w:name w:val="footnote reference"/>
    <w:semiHidden/>
    <w:unhideWhenUsed/>
    <w:rsid w:val="006755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693848510">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479497913">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691563350">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51E2A95-7DDF-4F63-97AA-A340C84D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10</Pages>
  <Words>2783</Words>
  <Characters>19849</Characters>
  <Application>Microsoft Office Word</Application>
  <DocSecurity>0</DocSecurity>
  <Lines>620</Lines>
  <Paragraphs>190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30.marta noteikumos Nr.328 „Noteikumi par darbības programmas "Cilvēkresursi un nodarbinātība" papildinājuma 1.3.1.1.1.apakšaktivitātes "Atbalsts nodarbināto apmācībām komersantu </vt:lpstr>
    </vt:vector>
  </TitlesOfParts>
  <Company>LR Ekonomikas ministrija</Company>
  <LinksUpToDate>false</LinksUpToDate>
  <CharactersWithSpaces>22442</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sākotnējās ietekmes novērtējuma ziņojums (anotācija)</dc:title>
  <dc:subject>Anotācija</dc:subject>
  <dc:creator>Egita.Polanska@em.gov.lv</dc:creator>
  <dc:description>Egita.Polanska@em.gov.lv, 67013108</dc:description>
  <cp:lastModifiedBy>Egita Poļanska</cp:lastModifiedBy>
  <cp:revision>138</cp:revision>
  <cp:lastPrinted>2013-03-24T17:42:00Z</cp:lastPrinted>
  <dcterms:created xsi:type="dcterms:W3CDTF">2012-08-14T06:32:00Z</dcterms:created>
  <dcterms:modified xsi:type="dcterms:W3CDTF">2013-04-24T05:50:00Z</dcterms:modified>
</cp:coreProperties>
</file>