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38C" w:rsidRPr="00526CAD" w:rsidRDefault="00D07CDB" w:rsidP="00CE5A53">
      <w:pPr>
        <w:jc w:val="center"/>
        <w:outlineLvl w:val="0"/>
        <w:rPr>
          <w:rFonts w:eastAsia="Times New Roman"/>
          <w:b/>
          <w:sz w:val="24"/>
          <w:szCs w:val="24"/>
          <w:lang w:val="lv-LV" w:eastAsia="lv-LV"/>
        </w:rPr>
      </w:pPr>
      <w:bookmarkStart w:id="0" w:name="OLE_LINK6"/>
      <w:bookmarkStart w:id="1" w:name="OLE_LINK7"/>
      <w:bookmarkStart w:id="2" w:name="OLE_LINK5"/>
      <w:bookmarkStart w:id="3" w:name="OLE_LINK8"/>
      <w:bookmarkStart w:id="4" w:name="OLE_LINK10"/>
      <w:bookmarkStart w:id="5" w:name="OLE_LINK3"/>
      <w:bookmarkStart w:id="6" w:name="OLE_LINK1"/>
      <w:bookmarkStart w:id="7" w:name="OLE_LINK2"/>
      <w:r w:rsidRPr="00526CAD">
        <w:rPr>
          <w:rFonts w:eastAsia="Times New Roman"/>
          <w:b/>
          <w:sz w:val="24"/>
          <w:szCs w:val="24"/>
          <w:lang w:val="lv-LV" w:eastAsia="lv-LV"/>
        </w:rPr>
        <w:t>Ministru kabineta noteikumu projekta</w:t>
      </w:r>
      <w:bookmarkStart w:id="8" w:name="OLE_LINK4"/>
      <w:r w:rsidR="00DB3BCB" w:rsidRPr="00526CAD">
        <w:rPr>
          <w:rFonts w:eastAsia="Times New Roman"/>
          <w:b/>
          <w:sz w:val="24"/>
          <w:szCs w:val="24"/>
          <w:lang w:val="lv-LV" w:eastAsia="lv-LV"/>
        </w:rPr>
        <w:t xml:space="preserve"> </w:t>
      </w:r>
      <w:r w:rsidRPr="00526CAD">
        <w:rPr>
          <w:rFonts w:eastAsia="Times New Roman"/>
          <w:b/>
          <w:sz w:val="24"/>
          <w:szCs w:val="24"/>
          <w:lang w:val="lv-LV" w:eastAsia="lv-LV"/>
        </w:rPr>
        <w:t>„</w:t>
      </w:r>
      <w:r w:rsidR="00F73CBA" w:rsidRPr="00526CAD">
        <w:rPr>
          <w:b/>
          <w:sz w:val="24"/>
          <w:szCs w:val="24"/>
          <w:lang w:val="lv-LV"/>
        </w:rPr>
        <w:t>Grozījum</w:t>
      </w:r>
      <w:r w:rsidR="00D924D9" w:rsidRPr="00526CAD">
        <w:rPr>
          <w:b/>
          <w:sz w:val="24"/>
          <w:szCs w:val="24"/>
          <w:lang w:val="lv-LV"/>
        </w:rPr>
        <w:t>i</w:t>
      </w:r>
      <w:r w:rsidR="00F73CBA" w:rsidRPr="00526CAD">
        <w:rPr>
          <w:b/>
          <w:sz w:val="24"/>
          <w:szCs w:val="24"/>
          <w:lang w:val="lv-LV"/>
        </w:rPr>
        <w:t xml:space="preserve"> Ministru kabineta 2010.gada 30.marta noteikumos Nr.328 „Noteikumi par darbības programmas </w:t>
      </w:r>
      <w:r w:rsidR="00D924D9" w:rsidRPr="00526CAD">
        <w:rPr>
          <w:b/>
          <w:sz w:val="24"/>
          <w:szCs w:val="24"/>
          <w:lang w:val="lv-LV"/>
        </w:rPr>
        <w:t>„</w:t>
      </w:r>
      <w:r w:rsidR="00F73CBA" w:rsidRPr="00526CAD">
        <w:rPr>
          <w:b/>
          <w:sz w:val="24"/>
          <w:szCs w:val="24"/>
          <w:lang w:val="lv-LV"/>
        </w:rPr>
        <w:t>Cilvēkresursi un nodarbinātība</w:t>
      </w:r>
      <w:r w:rsidR="00246E4B" w:rsidRPr="00526CAD">
        <w:rPr>
          <w:b/>
          <w:sz w:val="24"/>
          <w:szCs w:val="24"/>
          <w:lang w:val="lv-LV"/>
        </w:rPr>
        <w:t>”</w:t>
      </w:r>
      <w:r w:rsidR="00F73CBA" w:rsidRPr="00526CAD">
        <w:rPr>
          <w:b/>
          <w:sz w:val="24"/>
          <w:szCs w:val="24"/>
          <w:lang w:val="lv-LV"/>
        </w:rPr>
        <w:t xml:space="preserve"> papildinājuma 1.3.1.1.1.apakšaktivitātes </w:t>
      </w:r>
      <w:r w:rsidR="00D924D9" w:rsidRPr="00526CAD">
        <w:rPr>
          <w:b/>
          <w:sz w:val="24"/>
          <w:szCs w:val="24"/>
          <w:lang w:val="lv-LV"/>
        </w:rPr>
        <w:t>„</w:t>
      </w:r>
      <w:r w:rsidR="00F73CBA" w:rsidRPr="00526CAD">
        <w:rPr>
          <w:b/>
          <w:sz w:val="24"/>
          <w:szCs w:val="24"/>
          <w:lang w:val="lv-LV"/>
        </w:rPr>
        <w:t>Atbalsts nodarbināto apmācībām komersantu konkurētspējas veicināšanai – atbalsts partnerībās organizētām apmācībām</w:t>
      </w:r>
      <w:r w:rsidR="00D924D9" w:rsidRPr="00526CAD">
        <w:rPr>
          <w:b/>
          <w:sz w:val="24"/>
          <w:szCs w:val="24"/>
          <w:lang w:val="lv-LV"/>
        </w:rPr>
        <w:t>”</w:t>
      </w:r>
      <w:r w:rsidR="00F73CBA" w:rsidRPr="00526CAD">
        <w:rPr>
          <w:b/>
          <w:sz w:val="24"/>
          <w:szCs w:val="24"/>
          <w:lang w:val="lv-LV"/>
        </w:rPr>
        <w:t xml:space="preserve"> projektu iesniegumu atlases otro </w:t>
      </w:r>
      <w:r w:rsidR="00AA44FA" w:rsidRPr="00526CAD">
        <w:rPr>
          <w:b/>
          <w:sz w:val="24"/>
          <w:szCs w:val="24"/>
          <w:lang w:val="lv-LV"/>
        </w:rPr>
        <w:t>kārtu</w:t>
      </w:r>
      <w:r w:rsidR="00F73CBA" w:rsidRPr="00526CAD">
        <w:rPr>
          <w:b/>
          <w:sz w:val="24"/>
          <w:szCs w:val="24"/>
          <w:lang w:val="lv-LV"/>
        </w:rPr>
        <w:t>”</w:t>
      </w:r>
      <w:r w:rsidR="007E5D4D" w:rsidRPr="00526CAD">
        <w:rPr>
          <w:rFonts w:eastAsia="Times New Roman"/>
          <w:b/>
          <w:sz w:val="24"/>
          <w:szCs w:val="24"/>
          <w:lang w:val="lv-LV" w:eastAsia="lv-LV"/>
        </w:rPr>
        <w:t>” sākotnējās ietekmes novērtējuma ziņojums (anotācija)</w:t>
      </w:r>
      <w:bookmarkEnd w:id="0"/>
      <w:bookmarkEnd w:id="1"/>
      <w:bookmarkEnd w:id="8"/>
    </w:p>
    <w:bookmarkEnd w:id="2"/>
    <w:bookmarkEnd w:id="3"/>
    <w:bookmarkEnd w:id="4"/>
    <w:p w:rsidR="004B638C" w:rsidRPr="00526CAD" w:rsidRDefault="004B638C" w:rsidP="00CE5A53">
      <w:pPr>
        <w:jc w:val="center"/>
        <w:rPr>
          <w:rFonts w:eastAsia="Times New Roman"/>
          <w:b/>
          <w:sz w:val="24"/>
          <w:szCs w:val="24"/>
          <w:lang w:val="lv-LV" w:eastAsia="lv-LV"/>
        </w:rPr>
      </w:pPr>
    </w:p>
    <w:tbl>
      <w:tblPr>
        <w:tblW w:w="0" w:type="auto"/>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3134"/>
        <w:gridCol w:w="5953"/>
      </w:tblGrid>
      <w:tr w:rsidR="00BB09C5" w:rsidRPr="00EF1B0A" w:rsidTr="001F53EB">
        <w:tc>
          <w:tcPr>
            <w:tcW w:w="9087"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bookmarkEnd w:id="5"/>
          <w:bookmarkEnd w:id="6"/>
          <w:bookmarkEnd w:id="7"/>
          <w:p w:rsidR="00BB09C5" w:rsidRPr="00526CAD" w:rsidRDefault="00E73425" w:rsidP="00CE5A53">
            <w:pPr>
              <w:jc w:val="center"/>
              <w:rPr>
                <w:rFonts w:eastAsia="Times New Roman"/>
                <w:b/>
                <w:sz w:val="24"/>
                <w:szCs w:val="24"/>
                <w:lang w:val="lv-LV" w:eastAsia="lv-LV"/>
              </w:rPr>
            </w:pPr>
            <w:r w:rsidRPr="00526CAD">
              <w:rPr>
                <w:rFonts w:eastAsia="Times New Roman"/>
                <w:b/>
                <w:sz w:val="24"/>
                <w:szCs w:val="24"/>
                <w:lang w:val="lv-LV" w:eastAsia="lv-LV"/>
              </w:rPr>
              <w:t xml:space="preserve">I.Tiesību akta projekta izstrādes </w:t>
            </w:r>
            <w:r w:rsidR="007E5D4D" w:rsidRPr="00526CAD">
              <w:rPr>
                <w:rFonts w:eastAsia="Times New Roman"/>
                <w:b/>
                <w:sz w:val="24"/>
                <w:szCs w:val="24"/>
                <w:lang w:val="lv-LV" w:eastAsia="lv-LV"/>
              </w:rPr>
              <w:t>nepieciešamība</w:t>
            </w:r>
          </w:p>
        </w:tc>
      </w:tr>
      <w:tr w:rsidR="00BB09C5" w:rsidRPr="00EF1B0A" w:rsidTr="001F53EB">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526CAD" w:rsidRDefault="00BB09C5" w:rsidP="00CE5A53">
            <w:pPr>
              <w:rPr>
                <w:rFonts w:eastAsia="Times New Roman"/>
                <w:sz w:val="24"/>
                <w:szCs w:val="24"/>
                <w:lang w:val="lv-LV" w:eastAsia="lv-LV"/>
              </w:rPr>
            </w:pPr>
            <w:r w:rsidRPr="00526CAD">
              <w:rPr>
                <w:rFonts w:eastAsia="Times New Roman"/>
                <w:sz w:val="24"/>
                <w:szCs w:val="24"/>
                <w:lang w:val="lv-LV" w:eastAsia="lv-LV"/>
              </w:rPr>
              <w:t>1</w:t>
            </w:r>
            <w:r w:rsidR="00F15932" w:rsidRPr="00526CAD">
              <w:rPr>
                <w:rFonts w:eastAsia="Times New Roman"/>
                <w:sz w:val="24"/>
                <w:szCs w:val="24"/>
                <w:lang w:val="lv-LV" w:eastAsia="lv-LV"/>
              </w:rPr>
              <w:t>. Pamatojums</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EF0674" w:rsidRPr="00526CAD" w:rsidRDefault="00700070" w:rsidP="007D3113">
            <w:pPr>
              <w:ind w:firstLine="567"/>
              <w:jc w:val="both"/>
              <w:rPr>
                <w:sz w:val="24"/>
                <w:szCs w:val="24"/>
                <w:lang w:val="lv-LV"/>
              </w:rPr>
            </w:pPr>
            <w:r w:rsidRPr="00526CAD">
              <w:rPr>
                <w:sz w:val="24"/>
                <w:szCs w:val="24"/>
                <w:lang w:val="lv-LV"/>
              </w:rPr>
              <w:t xml:space="preserve">Noteikumu projekts sagatavots, pamatojoties uz Eiropas Savienības struktūrfondu un </w:t>
            </w:r>
            <w:r w:rsidRPr="00526CAD">
              <w:rPr>
                <w:sz w:val="24"/>
                <w:szCs w:val="24"/>
                <w:lang w:val="lv-LV"/>
              </w:rPr>
              <w:br/>
              <w:t xml:space="preserve">Kohēzijas fonda vadības likuma </w:t>
            </w:r>
            <w:r w:rsidRPr="00526CAD">
              <w:rPr>
                <w:sz w:val="24"/>
                <w:szCs w:val="24"/>
                <w:lang w:val="lv-LV"/>
              </w:rPr>
              <w:br/>
              <w:t>18.panta 10.punktu.</w:t>
            </w:r>
          </w:p>
        </w:tc>
      </w:tr>
      <w:tr w:rsidR="00BB09C5" w:rsidRPr="00EF1B0A" w:rsidTr="001F53EB">
        <w:trPr>
          <w:trHeight w:val="360"/>
        </w:trPr>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526CAD" w:rsidRDefault="00BB09C5" w:rsidP="00CE5A53">
            <w:pPr>
              <w:rPr>
                <w:rFonts w:eastAsia="Times New Roman"/>
                <w:sz w:val="24"/>
                <w:szCs w:val="24"/>
                <w:lang w:val="lv-LV" w:eastAsia="lv-LV"/>
              </w:rPr>
            </w:pPr>
            <w:r w:rsidRPr="00526CAD">
              <w:rPr>
                <w:rFonts w:eastAsia="Times New Roman"/>
                <w:sz w:val="24"/>
                <w:szCs w:val="24"/>
                <w:lang w:val="lv-LV" w:eastAsia="lv-LV"/>
              </w:rPr>
              <w:t>2</w:t>
            </w:r>
            <w:r w:rsidR="00F15932" w:rsidRPr="00526CAD">
              <w:rPr>
                <w:rFonts w:eastAsia="Times New Roman"/>
                <w:sz w:val="24"/>
                <w:szCs w:val="24"/>
                <w:lang w:val="lv-LV" w:eastAsia="lv-LV"/>
              </w:rPr>
              <w:t>. Pašreizējā situācija un problēma</w:t>
            </w:r>
            <w:r w:rsidR="007E5D4D" w:rsidRPr="00526CAD">
              <w:rPr>
                <w:rFonts w:eastAsia="Times New Roman"/>
                <w:sz w:val="24"/>
                <w:szCs w:val="24"/>
                <w:lang w:val="lv-LV" w:eastAsia="lv-LV"/>
              </w:rPr>
              <w:t>s</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2120AC" w:rsidRPr="00526CAD" w:rsidRDefault="002120AC" w:rsidP="002120AC">
            <w:pPr>
              <w:ind w:firstLine="567"/>
              <w:jc w:val="both"/>
              <w:rPr>
                <w:rFonts w:eastAsia="Times New Roman"/>
                <w:bCs/>
                <w:sz w:val="24"/>
                <w:szCs w:val="24"/>
                <w:lang w:val="lv-LV" w:eastAsia="lv-LV"/>
              </w:rPr>
            </w:pPr>
            <w:r w:rsidRPr="00526CAD">
              <w:rPr>
                <w:sz w:val="24"/>
                <w:szCs w:val="24"/>
                <w:lang w:val="lv-LV"/>
              </w:rPr>
              <w:t>Grozījumi 2010.gada 30.marta noteikumos Nr.328 „Noteikumi par darbības programmas „Cilvēkresursi un nodarbinātība” papildinājuma 1.3.1.1.1.apakšaktivitātes „Atbalsts nodarbināto apmācībām komersantu konkurētspējas veicināšanai – atbalsts partnerībās organizētām apmācībām” projektu iesniegumu atlases otro kārtu”</w:t>
            </w:r>
            <w:r w:rsidRPr="00526CAD">
              <w:rPr>
                <w:rFonts w:eastAsia="Times New Roman"/>
                <w:bCs/>
                <w:sz w:val="24"/>
                <w:szCs w:val="24"/>
                <w:lang w:val="lv-LV" w:eastAsia="lv-LV"/>
              </w:rPr>
              <w:t xml:space="preserve"> (turpmāk – MK noteikumi Nr.328) ir nepieciešami, lai nodrošinātu efektīvu un pilnīgu finansējuma apguvi </w:t>
            </w:r>
            <w:r w:rsidRPr="00526CAD">
              <w:rPr>
                <w:sz w:val="24"/>
                <w:szCs w:val="24"/>
                <w:lang w:val="lv-LV"/>
              </w:rPr>
              <w:t>1.3.1.1.1.apakšaktivitātes „Atbalsts nodarbināto apmācībām komersantu konkurētspējas veicināšanai – atbalsts partnerībās organizētām apmācībām” projektu iesniegumu atlases otrās kārtas (turpmāk – 1.3.1.1.1.</w:t>
            </w:r>
            <w:r w:rsidRPr="00526CAD">
              <w:rPr>
                <w:rFonts w:eastAsia="Times New Roman"/>
                <w:bCs/>
                <w:sz w:val="24"/>
                <w:szCs w:val="24"/>
                <w:lang w:val="lv-LV" w:eastAsia="lv-LV"/>
              </w:rPr>
              <w:t xml:space="preserve">aktivitātes) ietvaros. Pašreiz ir konstatēts, ka atsevišķi finansējuma saņēmēji ir spējīgi īstenot savu projektu ātrāk un apgūt lielāku finansējuma apjomu, kamēr citu finansējuma saņēmēju projekta īstenošanas progress ir neapmierinošs. </w:t>
            </w:r>
          </w:p>
          <w:p w:rsidR="002120AC" w:rsidRPr="00526CAD" w:rsidRDefault="002120AC" w:rsidP="002120AC">
            <w:pPr>
              <w:ind w:firstLine="567"/>
              <w:jc w:val="both"/>
              <w:rPr>
                <w:rFonts w:eastAsia="Times New Roman"/>
                <w:bCs/>
                <w:sz w:val="24"/>
                <w:szCs w:val="24"/>
                <w:lang w:val="lv-LV" w:eastAsia="lv-LV"/>
              </w:rPr>
            </w:pPr>
            <w:r w:rsidRPr="00526CAD">
              <w:rPr>
                <w:sz w:val="24"/>
                <w:szCs w:val="24"/>
                <w:lang w:val="lv-LV"/>
              </w:rPr>
              <w:t>Ekonomikas ministrijas izstrādātie grozījumi ir vērsti uz pašreizējo projektu īstenošanas kārtību</w:t>
            </w:r>
            <w:r w:rsidR="004D6D11" w:rsidRPr="00526CAD">
              <w:rPr>
                <w:sz w:val="24"/>
                <w:szCs w:val="24"/>
                <w:lang w:val="lv-LV"/>
              </w:rPr>
              <w:t>,</w:t>
            </w:r>
            <w:r w:rsidRPr="00526CAD">
              <w:rPr>
                <w:sz w:val="24"/>
                <w:szCs w:val="24"/>
                <w:lang w:val="lv-LV"/>
              </w:rPr>
              <w:t xml:space="preserve"> un ar grozījumiem noteiktais regulējums tiks piemērots uz finansējuma saņēmējiem, kas uz grozījumu projektā ietvertā regulējuma spēkā stāšanās brīdi jau būs iesnieguši projektu iesniegumus un ar kuriem sadarbības iestāde, proti, valsts aģentūra „Latvijas Investīciju un attīstības aģentūra” (turpmāk – sadarbības iestāde) būs noslēgusi civiltiesiskus līgumus par projekta īstenošanu. Savukārt noteikumu projektā iekļautais tiesiskais regulējums būs attiecināms uz apstākļiem, kas radīsies pēc MK noteikumu Nr.328 grozījumu spēkā stāšanās.</w:t>
            </w:r>
          </w:p>
          <w:p w:rsidR="003A6B5D" w:rsidRPr="00526CAD" w:rsidRDefault="002120AC" w:rsidP="007E66D5">
            <w:pPr>
              <w:ind w:firstLine="567"/>
              <w:jc w:val="both"/>
              <w:rPr>
                <w:sz w:val="24"/>
                <w:szCs w:val="24"/>
                <w:lang w:val="lv-LV"/>
              </w:rPr>
            </w:pPr>
            <w:r w:rsidRPr="00526CAD">
              <w:rPr>
                <w:rFonts w:eastAsia="Times New Roman"/>
                <w:bCs/>
                <w:sz w:val="24"/>
                <w:szCs w:val="24"/>
                <w:lang w:val="lv-LV" w:eastAsia="lv-LV"/>
              </w:rPr>
              <w:t xml:space="preserve">MK noteikumu Nr.328 83.punktā ir noteikts, ka, ja finansējuma saņēmējs nav iesniedzis </w:t>
            </w:r>
            <w:r w:rsidR="00DD7180" w:rsidRPr="00526CAD">
              <w:rPr>
                <w:rFonts w:eastAsia="Times New Roman"/>
                <w:bCs/>
                <w:sz w:val="24"/>
                <w:szCs w:val="24"/>
                <w:lang w:val="lv-LV" w:eastAsia="lv-LV"/>
              </w:rPr>
              <w:t>sadarbības iestādē</w:t>
            </w:r>
            <w:r w:rsidRPr="00526CAD">
              <w:rPr>
                <w:rFonts w:eastAsia="Times New Roman"/>
                <w:bCs/>
                <w:sz w:val="24"/>
                <w:szCs w:val="24"/>
                <w:lang w:val="lv-LV" w:eastAsia="lv-LV"/>
              </w:rPr>
              <w:t xml:space="preserve"> </w:t>
            </w:r>
            <w:r w:rsidRPr="00526CAD">
              <w:rPr>
                <w:sz w:val="24"/>
                <w:szCs w:val="24"/>
                <w:lang w:val="lv-LV"/>
              </w:rPr>
              <w:t>maksājuma pieprasījumus par vismaz 25 % no projekta attiecināmo izmaksu summas</w:t>
            </w:r>
            <w:r w:rsidRPr="00526CAD">
              <w:rPr>
                <w:rFonts w:eastAsia="Times New Roman"/>
                <w:bCs/>
                <w:sz w:val="24"/>
                <w:szCs w:val="24"/>
                <w:lang w:val="lv-LV" w:eastAsia="lv-LV"/>
              </w:rPr>
              <w:t xml:space="preserve">, tad </w:t>
            </w:r>
            <w:r w:rsidR="00DD7180" w:rsidRPr="00526CAD">
              <w:rPr>
                <w:rFonts w:eastAsia="Times New Roman"/>
                <w:bCs/>
                <w:sz w:val="24"/>
                <w:szCs w:val="24"/>
                <w:lang w:val="lv-LV" w:eastAsia="lv-LV"/>
              </w:rPr>
              <w:t>sadarbības iestāde</w:t>
            </w:r>
            <w:r w:rsidRPr="00526CAD">
              <w:rPr>
                <w:rFonts w:eastAsia="Times New Roman"/>
                <w:bCs/>
                <w:sz w:val="24"/>
                <w:szCs w:val="24"/>
                <w:lang w:val="lv-LV" w:eastAsia="lv-LV"/>
              </w:rPr>
              <w:t xml:space="preserve"> </w:t>
            </w:r>
            <w:r w:rsidRPr="00526CAD">
              <w:rPr>
                <w:sz w:val="24"/>
                <w:szCs w:val="24"/>
                <w:lang w:val="lv-LV"/>
              </w:rPr>
              <w:t xml:space="preserve">samazina līgumā par projekta īstenošanu paredzēto finansējumu par neizpildes apjomu. Izvērtējot pirmajā projekta īstenošanas gadā sasniegtos rezultātus, ir konstatēts, ka </w:t>
            </w:r>
            <w:r w:rsidR="00696FB4" w:rsidRPr="00526CAD">
              <w:rPr>
                <w:sz w:val="24"/>
                <w:szCs w:val="24"/>
                <w:lang w:val="lv-LV"/>
              </w:rPr>
              <w:t>sadarbības iestādei</w:t>
            </w:r>
            <w:r w:rsidRPr="00526CAD">
              <w:rPr>
                <w:sz w:val="24"/>
                <w:szCs w:val="24"/>
                <w:lang w:val="lv-LV"/>
              </w:rPr>
              <w:t xml:space="preserve"> būs pienākums samazināt projekta </w:t>
            </w:r>
            <w:r w:rsidRPr="00526CAD">
              <w:rPr>
                <w:sz w:val="24"/>
                <w:szCs w:val="24"/>
                <w:lang w:val="lv-LV"/>
              </w:rPr>
              <w:lastRenderedPageBreak/>
              <w:t>īstenošanai paredzēto finansējumu aptuveni</w:t>
            </w:r>
            <w:r w:rsidR="002845ED" w:rsidRPr="00526CAD">
              <w:rPr>
                <w:sz w:val="24"/>
                <w:szCs w:val="24"/>
                <w:lang w:val="lv-LV"/>
              </w:rPr>
              <w:t xml:space="preserve"> par</w:t>
            </w:r>
            <w:r w:rsidR="000A084D" w:rsidRPr="00526CAD">
              <w:rPr>
                <w:sz w:val="24"/>
                <w:szCs w:val="24"/>
                <w:lang w:val="lv-LV"/>
              </w:rPr>
              <w:t xml:space="preserve"> </w:t>
            </w:r>
            <w:r w:rsidRPr="00526CAD">
              <w:rPr>
                <w:sz w:val="24"/>
                <w:szCs w:val="24"/>
                <w:lang w:val="lv-LV"/>
              </w:rPr>
              <w:t>1.</w:t>
            </w:r>
            <w:r w:rsidR="002845ED" w:rsidRPr="00526CAD">
              <w:rPr>
                <w:sz w:val="24"/>
                <w:szCs w:val="24"/>
                <w:lang w:val="lv-LV"/>
              </w:rPr>
              <w:t xml:space="preserve">1 </w:t>
            </w:r>
            <w:r w:rsidRPr="00526CAD">
              <w:rPr>
                <w:sz w:val="24"/>
                <w:szCs w:val="24"/>
                <w:lang w:val="lv-LV"/>
              </w:rPr>
              <w:t>milj. lat</w:t>
            </w:r>
            <w:r w:rsidR="002845ED" w:rsidRPr="00526CAD">
              <w:rPr>
                <w:sz w:val="24"/>
                <w:szCs w:val="24"/>
                <w:lang w:val="lv-LV"/>
              </w:rPr>
              <w:t>iem 6 finansējuma saņēmējiem</w:t>
            </w:r>
            <w:r w:rsidRPr="00526CAD">
              <w:rPr>
                <w:sz w:val="24"/>
                <w:szCs w:val="24"/>
                <w:lang w:val="lv-LV"/>
              </w:rPr>
              <w:t xml:space="preserve">. Savukārt </w:t>
            </w:r>
            <w:r w:rsidR="002845ED" w:rsidRPr="00526CAD">
              <w:rPr>
                <w:sz w:val="24"/>
                <w:szCs w:val="24"/>
                <w:lang w:val="lv-LV"/>
              </w:rPr>
              <w:t xml:space="preserve">10 </w:t>
            </w:r>
            <w:r w:rsidR="00151A37" w:rsidRPr="00526CAD">
              <w:rPr>
                <w:sz w:val="24"/>
                <w:szCs w:val="24"/>
                <w:lang w:val="lv-LV"/>
              </w:rPr>
              <w:t>finansējuma saņēmēji</w:t>
            </w:r>
            <w:r w:rsidRPr="00526CAD">
              <w:rPr>
                <w:sz w:val="24"/>
                <w:szCs w:val="24"/>
                <w:lang w:val="lv-LV"/>
              </w:rPr>
              <w:t xml:space="preserve"> atbilstoši iesniegtajiem maksājuma pieprasījumiem projektu spēj ieviest ātrāk nekā MK noteikumos Nr.328 noteiktajā termiņā. Līdz ar to Ekonomikas ministrija </w:t>
            </w:r>
            <w:r w:rsidR="00151A37" w:rsidRPr="00526CAD">
              <w:rPr>
                <w:sz w:val="24"/>
                <w:szCs w:val="24"/>
                <w:lang w:val="lv-LV"/>
              </w:rPr>
              <w:t xml:space="preserve">ir </w:t>
            </w:r>
            <w:r w:rsidRPr="00526CAD">
              <w:rPr>
                <w:sz w:val="24"/>
                <w:szCs w:val="24"/>
                <w:lang w:val="lv-LV"/>
              </w:rPr>
              <w:t>izvērtējusi iespēju palielināt finansējuma saņēmējiem maksimāli pieejamo</w:t>
            </w:r>
            <w:r w:rsidR="001F36BC" w:rsidRPr="00526CAD">
              <w:rPr>
                <w:sz w:val="24"/>
                <w:szCs w:val="24"/>
                <w:lang w:val="lv-LV"/>
              </w:rPr>
              <w:t xml:space="preserve"> atbalsta</w:t>
            </w:r>
            <w:r w:rsidRPr="00526CAD">
              <w:rPr>
                <w:sz w:val="24"/>
                <w:szCs w:val="24"/>
                <w:lang w:val="lv-LV"/>
              </w:rPr>
              <w:t xml:space="preserve"> finansējumu līdz </w:t>
            </w:r>
            <w:r w:rsidR="00D30630" w:rsidRPr="00526CAD">
              <w:rPr>
                <w:sz w:val="24"/>
                <w:szCs w:val="24"/>
                <w:lang w:val="lv-LV"/>
              </w:rPr>
              <w:t>2</w:t>
            </w:r>
            <w:r w:rsidR="002845ED" w:rsidRPr="00526CAD">
              <w:rPr>
                <w:sz w:val="24"/>
                <w:szCs w:val="24"/>
                <w:lang w:val="lv-LV"/>
              </w:rPr>
              <w:t xml:space="preserve"> 0</w:t>
            </w:r>
            <w:r w:rsidRPr="00526CAD">
              <w:rPr>
                <w:sz w:val="24"/>
                <w:szCs w:val="24"/>
                <w:lang w:val="lv-LV"/>
              </w:rPr>
              <w:t xml:space="preserve">00 000 latiem, proporcionāli arī palielinot projektā plānoto darbību apjomu. Finansējums </w:t>
            </w:r>
            <w:r w:rsidR="004E5900" w:rsidRPr="00526CAD">
              <w:rPr>
                <w:sz w:val="24"/>
                <w:szCs w:val="24"/>
                <w:lang w:val="lv-LV"/>
              </w:rPr>
              <w:t xml:space="preserve">tiks </w:t>
            </w:r>
            <w:r w:rsidRPr="00526CAD">
              <w:rPr>
                <w:sz w:val="24"/>
                <w:szCs w:val="24"/>
                <w:lang w:val="lv-LV"/>
              </w:rPr>
              <w:t>iegūts no tiem projekta iesniedzējiem, kas nav iesnieguši maksājumu pieprasījumu</w:t>
            </w:r>
            <w:r w:rsidR="00DB29B9" w:rsidRPr="00526CAD">
              <w:rPr>
                <w:sz w:val="24"/>
                <w:szCs w:val="24"/>
                <w:lang w:val="lv-LV"/>
              </w:rPr>
              <w:t>s</w:t>
            </w:r>
            <w:r w:rsidRPr="00526CAD">
              <w:rPr>
                <w:sz w:val="24"/>
                <w:szCs w:val="24"/>
                <w:lang w:val="lv-LV"/>
              </w:rPr>
              <w:t xml:space="preserve"> v</w:t>
            </w:r>
            <w:r w:rsidR="00696FB4" w:rsidRPr="00526CAD">
              <w:rPr>
                <w:sz w:val="24"/>
                <w:szCs w:val="24"/>
                <w:lang w:val="lv-LV"/>
              </w:rPr>
              <w:t>ismaz par 25%</w:t>
            </w:r>
            <w:r w:rsidR="0048386E" w:rsidRPr="00EF1B0A">
              <w:rPr>
                <w:sz w:val="24"/>
                <w:szCs w:val="24"/>
                <w:lang w:val="lv-LV"/>
              </w:rPr>
              <w:t xml:space="preserve"> un 60 %</w:t>
            </w:r>
            <w:r w:rsidR="004D0BE5" w:rsidRPr="00EF1B0A">
              <w:rPr>
                <w:sz w:val="24"/>
                <w:szCs w:val="24"/>
                <w:lang w:val="lv-LV"/>
              </w:rPr>
              <w:t xml:space="preserve"> no </w:t>
            </w:r>
            <w:r w:rsidR="009E42F2" w:rsidRPr="00EF1B0A">
              <w:rPr>
                <w:sz w:val="24"/>
                <w:szCs w:val="24"/>
                <w:lang w:val="lv-LV"/>
              </w:rPr>
              <w:t xml:space="preserve">projekta </w:t>
            </w:r>
            <w:r w:rsidR="004F5D06" w:rsidRPr="00EF1B0A">
              <w:rPr>
                <w:sz w:val="24"/>
                <w:szCs w:val="24"/>
                <w:lang w:val="lv-LV"/>
              </w:rPr>
              <w:t xml:space="preserve">kopējo </w:t>
            </w:r>
            <w:r w:rsidR="004D0BE5" w:rsidRPr="00EF1B0A">
              <w:rPr>
                <w:sz w:val="24"/>
                <w:szCs w:val="24"/>
                <w:lang w:val="lv-LV"/>
              </w:rPr>
              <w:t>attiecināmo izmaksu summas</w:t>
            </w:r>
            <w:r w:rsidR="00DB29B9" w:rsidRPr="00EF1B0A">
              <w:rPr>
                <w:sz w:val="24"/>
                <w:szCs w:val="24"/>
                <w:lang w:val="lv-LV"/>
              </w:rPr>
              <w:t>,</w:t>
            </w:r>
            <w:r w:rsidR="007E66D5" w:rsidRPr="00EF1B0A">
              <w:rPr>
                <w:sz w:val="24"/>
                <w:szCs w:val="24"/>
                <w:lang w:val="lv-LV"/>
              </w:rPr>
              <w:t xml:space="preserve"> un </w:t>
            </w:r>
            <w:r w:rsidR="0048386E" w:rsidRPr="00EF1B0A">
              <w:rPr>
                <w:sz w:val="24"/>
                <w:szCs w:val="24"/>
                <w:lang w:val="lv-LV"/>
              </w:rPr>
              <w:t>papildus</w:t>
            </w:r>
            <w:r w:rsidR="00DD2D84" w:rsidRPr="00EF1B0A">
              <w:rPr>
                <w:sz w:val="24"/>
                <w:szCs w:val="24"/>
                <w:lang w:val="lv-LV"/>
              </w:rPr>
              <w:t xml:space="preserve"> </w:t>
            </w:r>
            <w:r w:rsidR="0048386E" w:rsidRPr="00EF1B0A">
              <w:rPr>
                <w:sz w:val="24"/>
                <w:szCs w:val="24"/>
                <w:lang w:val="lv-LV"/>
              </w:rPr>
              <w:t xml:space="preserve">ir </w:t>
            </w:r>
            <w:r w:rsidR="00FD630D" w:rsidRPr="00EF1B0A">
              <w:rPr>
                <w:sz w:val="24"/>
                <w:szCs w:val="24"/>
                <w:lang w:val="lv-LV"/>
              </w:rPr>
              <w:t>pieejamas</w:t>
            </w:r>
            <w:r w:rsidR="00470C9C" w:rsidRPr="00EF1B0A">
              <w:rPr>
                <w:sz w:val="24"/>
                <w:szCs w:val="24"/>
                <w:lang w:val="lv-LV"/>
              </w:rPr>
              <w:t xml:space="preserve"> </w:t>
            </w:r>
            <w:r w:rsidR="00176C31" w:rsidRPr="00EF1B0A">
              <w:rPr>
                <w:sz w:val="24"/>
                <w:szCs w:val="24"/>
                <w:lang w:val="lv-LV"/>
              </w:rPr>
              <w:t xml:space="preserve">valsts budžeta </w:t>
            </w:r>
            <w:r w:rsidR="00470C9C" w:rsidRPr="00EF1B0A">
              <w:rPr>
                <w:sz w:val="24"/>
                <w:szCs w:val="24"/>
                <w:lang w:val="lv-LV"/>
              </w:rPr>
              <w:t>virssaistīb</w:t>
            </w:r>
            <w:r w:rsidR="0048386E" w:rsidRPr="00EF1B0A">
              <w:rPr>
                <w:sz w:val="24"/>
                <w:szCs w:val="24"/>
                <w:lang w:val="lv-LV"/>
              </w:rPr>
              <w:t>as</w:t>
            </w:r>
            <w:r w:rsidR="00DD2D84" w:rsidRPr="00EF1B0A">
              <w:rPr>
                <w:sz w:val="24"/>
                <w:szCs w:val="24"/>
                <w:lang w:val="lv-LV"/>
              </w:rPr>
              <w:t xml:space="preserve"> </w:t>
            </w:r>
            <w:r w:rsidR="00D30630" w:rsidRPr="00EF1B0A">
              <w:rPr>
                <w:sz w:val="24"/>
                <w:szCs w:val="24"/>
                <w:lang w:val="lv-LV"/>
              </w:rPr>
              <w:t>2 5</w:t>
            </w:r>
            <w:r w:rsidR="00470C9C" w:rsidRPr="00EF1B0A">
              <w:rPr>
                <w:sz w:val="24"/>
                <w:szCs w:val="24"/>
                <w:lang w:val="lv-LV"/>
              </w:rPr>
              <w:t>00 000 latu apmērā</w:t>
            </w:r>
            <w:r w:rsidR="00FD630D" w:rsidRPr="00EF1B0A">
              <w:rPr>
                <w:sz w:val="24"/>
                <w:szCs w:val="24"/>
                <w:lang w:val="lv-LV"/>
              </w:rPr>
              <w:t xml:space="preserve"> atbilstoši 2012.gada 15.maija Ministru kabineta</w:t>
            </w:r>
            <w:r w:rsidR="00580DE9" w:rsidRPr="00EF1B0A">
              <w:rPr>
                <w:sz w:val="24"/>
                <w:szCs w:val="24"/>
                <w:lang w:val="lv-LV"/>
              </w:rPr>
              <w:t xml:space="preserve"> sēdē nolemtajam (Ministru kabineta 2012.gada </w:t>
            </w:r>
            <w:r w:rsidR="00FC34C0" w:rsidRPr="00526CAD">
              <w:rPr>
                <w:sz w:val="24"/>
                <w:szCs w:val="24"/>
                <w:lang w:val="lv-LV"/>
              </w:rPr>
              <w:t>15</w:t>
            </w:r>
            <w:r w:rsidR="00580DE9" w:rsidRPr="00EF1B0A">
              <w:rPr>
                <w:sz w:val="24"/>
                <w:szCs w:val="24"/>
                <w:lang w:val="lv-LV"/>
              </w:rPr>
              <w:t xml:space="preserve">.maija sēdes protokollēmuma (prot. Nr.27 </w:t>
            </w:r>
            <w:r w:rsidR="00580DE9" w:rsidRPr="00EF1B0A">
              <w:rPr>
                <w:color w:val="2A2A2A"/>
                <w:sz w:val="24"/>
                <w:szCs w:val="24"/>
                <w:lang w:val="lv-LV"/>
              </w:rPr>
              <w:t>31.§)</w:t>
            </w:r>
            <w:r w:rsidR="00580DE9" w:rsidRPr="00EF1B0A">
              <w:rPr>
                <w:sz w:val="24"/>
                <w:szCs w:val="24"/>
                <w:lang w:val="lv-LV"/>
              </w:rPr>
              <w:t xml:space="preserve"> 2.punkts)</w:t>
            </w:r>
            <w:r w:rsidR="00696FB4" w:rsidRPr="00EF1B0A">
              <w:rPr>
                <w:sz w:val="24"/>
                <w:szCs w:val="24"/>
                <w:lang w:val="lv-LV"/>
              </w:rPr>
              <w:t>.</w:t>
            </w:r>
            <w:r w:rsidR="00696FB4" w:rsidRPr="00526CAD">
              <w:rPr>
                <w:sz w:val="24"/>
                <w:szCs w:val="24"/>
                <w:lang w:val="lv-LV"/>
              </w:rPr>
              <w:t xml:space="preserve"> MK noteikumu Nr.</w:t>
            </w:r>
            <w:r w:rsidRPr="00526CAD">
              <w:rPr>
                <w:sz w:val="24"/>
                <w:szCs w:val="24"/>
                <w:lang w:val="lv-LV"/>
              </w:rPr>
              <w:t xml:space="preserve">328 grozījumu projektā </w:t>
            </w:r>
            <w:r w:rsidR="00C4520E" w:rsidRPr="00526CAD">
              <w:rPr>
                <w:sz w:val="24"/>
                <w:szCs w:val="24"/>
                <w:lang w:val="lv-LV"/>
              </w:rPr>
              <w:t xml:space="preserve">ir </w:t>
            </w:r>
            <w:r w:rsidRPr="00526CAD">
              <w:rPr>
                <w:sz w:val="24"/>
                <w:szCs w:val="24"/>
                <w:lang w:val="lv-LV"/>
              </w:rPr>
              <w:t>noteikti kritēriji, kuros gadījumos finansējuma saņēmējam ir tiesības lūgt palielināt projekta attiecināmo izmaksu summu, nepalielinot finansējuma intensitāti, par to veicot grozījumus līgumā par projekta īstenošanu.</w:t>
            </w:r>
          </w:p>
          <w:p w:rsidR="00D346C8" w:rsidRPr="00EF1B0A" w:rsidRDefault="0058667B" w:rsidP="004E5580">
            <w:pPr>
              <w:ind w:firstLine="567"/>
              <w:jc w:val="both"/>
              <w:rPr>
                <w:rFonts w:eastAsia="ヒラギノ角ゴ Pro W3"/>
                <w:sz w:val="24"/>
                <w:shd w:val="clear" w:color="auto" w:fill="FFFFFF"/>
                <w:lang w:val="lv-LV"/>
              </w:rPr>
            </w:pPr>
            <w:r w:rsidRPr="00EF1B0A">
              <w:rPr>
                <w:rFonts w:eastAsia="ヒラギノ角ゴ Pro W3"/>
                <w:sz w:val="24"/>
                <w:lang w:val="lv-LV"/>
              </w:rPr>
              <w:t>F</w:t>
            </w:r>
            <w:r w:rsidR="00F95038" w:rsidRPr="00EF1B0A">
              <w:rPr>
                <w:rFonts w:eastAsia="ヒラギノ角ゴ Pro W3"/>
                <w:sz w:val="24"/>
                <w:lang w:val="lv-LV"/>
              </w:rPr>
              <w:t>inansējuma saņēmējiem</w:t>
            </w:r>
            <w:r w:rsidRPr="00EF1B0A">
              <w:rPr>
                <w:rFonts w:eastAsia="ヒラギノ角ゴ Pro W3"/>
                <w:sz w:val="24"/>
                <w:lang w:val="lv-LV"/>
              </w:rPr>
              <w:t xml:space="preserve"> attiecībā uz papildus piešķirtajiem virssaistību līdzekļiem</w:t>
            </w:r>
            <w:r w:rsidR="00766F64" w:rsidRPr="00EF1B0A">
              <w:rPr>
                <w:rFonts w:eastAsia="ヒラギノ角ゴ Pro W3"/>
                <w:sz w:val="24"/>
                <w:lang w:val="lv-LV"/>
              </w:rPr>
              <w:t xml:space="preserve"> būs jānodrošina, ka vismaz 20 % no šī finansējuma t</w:t>
            </w:r>
            <w:r w:rsidR="00D305DA" w:rsidRPr="00EF1B0A">
              <w:rPr>
                <w:rFonts w:eastAsia="ヒラギノ角ゴ Pro W3"/>
                <w:sz w:val="24"/>
                <w:lang w:val="lv-LV"/>
              </w:rPr>
              <w:t>iks</w:t>
            </w:r>
            <w:r w:rsidR="00766F64" w:rsidRPr="00EF1B0A">
              <w:rPr>
                <w:rFonts w:eastAsia="ヒラギノ角ゴ Pro W3"/>
                <w:sz w:val="24"/>
                <w:lang w:val="lv-LV"/>
              </w:rPr>
              <w:t xml:space="preserve"> </w:t>
            </w:r>
            <w:r w:rsidR="00F95038" w:rsidRPr="00EF1B0A">
              <w:rPr>
                <w:rFonts w:eastAsia="ヒラギノ角ゴ Pro W3"/>
                <w:sz w:val="24"/>
                <w:lang w:val="lv-LV"/>
              </w:rPr>
              <w:t>izmantoti</w:t>
            </w:r>
            <w:r w:rsidR="00766F64" w:rsidRPr="00EF1B0A">
              <w:rPr>
                <w:rFonts w:eastAsia="ヒラギノ角ゴ Pro W3"/>
                <w:sz w:val="24"/>
                <w:lang w:val="lv-LV"/>
              </w:rPr>
              <w:t xml:space="preserve"> jauniešu apmācībām (personām līdz </w:t>
            </w:r>
            <w:r w:rsidR="00BE515D" w:rsidRPr="00526CAD">
              <w:rPr>
                <w:rFonts w:eastAsia="ヒラギノ角ゴ Pro W3"/>
                <w:sz w:val="24"/>
                <w:lang w:val="lv-LV"/>
              </w:rPr>
              <w:t>30</w:t>
            </w:r>
            <w:r w:rsidR="00766F64" w:rsidRPr="00EF1B0A">
              <w:rPr>
                <w:rFonts w:eastAsia="ヒラギノ角ゴ Pro W3"/>
                <w:sz w:val="24"/>
                <w:lang w:val="lv-LV"/>
              </w:rPr>
              <w:t xml:space="preserve"> gadiem), vismaz 15 % ti</w:t>
            </w:r>
            <w:r w:rsidR="00C37BC8" w:rsidRPr="00EF1B0A">
              <w:rPr>
                <w:rFonts w:eastAsia="ヒラギノ角ゴ Pro W3"/>
                <w:sz w:val="24"/>
                <w:lang w:val="lv-LV"/>
              </w:rPr>
              <w:t>ks</w:t>
            </w:r>
            <w:r w:rsidR="00766F64" w:rsidRPr="00EF1B0A">
              <w:rPr>
                <w:rFonts w:eastAsia="ヒラギノ角ゴ Pro W3"/>
                <w:sz w:val="24"/>
                <w:lang w:val="lv-LV"/>
              </w:rPr>
              <w:t xml:space="preserve"> </w:t>
            </w:r>
            <w:r w:rsidR="0019399B" w:rsidRPr="00EF1B0A">
              <w:rPr>
                <w:rFonts w:eastAsia="ヒラギノ角ゴ Pro W3"/>
                <w:sz w:val="24"/>
                <w:lang w:val="lv-LV"/>
              </w:rPr>
              <w:t>izmantoti</w:t>
            </w:r>
            <w:r w:rsidR="00766F64" w:rsidRPr="00EF1B0A">
              <w:rPr>
                <w:rFonts w:eastAsia="ヒラギノ角ゴ Pro W3"/>
                <w:sz w:val="24"/>
                <w:lang w:val="lv-LV"/>
              </w:rPr>
              <w:t xml:space="preserve"> apmācībām Latvijas reģionos </w:t>
            </w:r>
            <w:r w:rsidR="00FC34C0" w:rsidRPr="00526CAD">
              <w:rPr>
                <w:rFonts w:eastAsia="ヒラギノ角ゴ Pro W3"/>
                <w:sz w:val="24"/>
                <w:lang w:val="lv-LV"/>
              </w:rPr>
              <w:t>–</w:t>
            </w:r>
            <w:r w:rsidR="00766F64" w:rsidRPr="00EF1B0A">
              <w:rPr>
                <w:rFonts w:eastAsia="ヒラギノ角ゴ Pro W3"/>
                <w:sz w:val="24"/>
                <w:lang w:val="lv-LV"/>
              </w:rPr>
              <w:t xml:space="preserve"> Zemgales, Kurzemes </w:t>
            </w:r>
            <w:r w:rsidR="009F4017" w:rsidRPr="00EF1B0A">
              <w:rPr>
                <w:rFonts w:eastAsia="ヒラギノ角ゴ Pro W3"/>
                <w:sz w:val="24"/>
                <w:lang w:val="lv-LV"/>
              </w:rPr>
              <w:t>vai</w:t>
            </w:r>
            <w:r w:rsidR="00766F64" w:rsidRPr="00EF1B0A">
              <w:rPr>
                <w:rFonts w:eastAsia="ヒラギノ角ゴ Pro W3"/>
                <w:sz w:val="24"/>
                <w:lang w:val="lv-LV"/>
              </w:rPr>
              <w:t xml:space="preserve"> Vidzemes plānošanas reģion</w:t>
            </w:r>
            <w:r w:rsidR="00D305DA" w:rsidRPr="00EF1B0A">
              <w:rPr>
                <w:rFonts w:eastAsia="ヒラギノ角ゴ Pro W3"/>
                <w:sz w:val="24"/>
                <w:lang w:val="lv-LV"/>
              </w:rPr>
              <w:t>os</w:t>
            </w:r>
            <w:r w:rsidR="00766F64" w:rsidRPr="00EF1B0A">
              <w:rPr>
                <w:rFonts w:eastAsia="ヒラギノ角ゴ Pro W3"/>
                <w:sz w:val="24"/>
                <w:lang w:val="lv-LV"/>
              </w:rPr>
              <w:t>,  un vismaz 5 % ti</w:t>
            </w:r>
            <w:r w:rsidR="00C37BC8" w:rsidRPr="00EF1B0A">
              <w:rPr>
                <w:rFonts w:eastAsia="ヒラギノ角ゴ Pro W3"/>
                <w:sz w:val="24"/>
                <w:lang w:val="lv-LV"/>
              </w:rPr>
              <w:t>ks</w:t>
            </w:r>
            <w:r w:rsidR="00766F64" w:rsidRPr="00EF1B0A">
              <w:rPr>
                <w:rFonts w:eastAsia="ヒラギノ角ゴ Pro W3"/>
                <w:sz w:val="24"/>
                <w:lang w:val="lv-LV"/>
              </w:rPr>
              <w:t xml:space="preserve"> </w:t>
            </w:r>
            <w:r w:rsidR="0019399B" w:rsidRPr="00EF1B0A">
              <w:rPr>
                <w:rFonts w:eastAsia="ヒラギノ角ゴ Pro W3"/>
                <w:sz w:val="24"/>
                <w:lang w:val="lv-LV"/>
              </w:rPr>
              <w:t>izmantoti</w:t>
            </w:r>
            <w:r w:rsidR="00766F64" w:rsidRPr="00EF1B0A">
              <w:rPr>
                <w:rFonts w:eastAsia="ヒラギノ角ゴ Pro W3"/>
                <w:sz w:val="24"/>
                <w:lang w:val="lv-LV"/>
              </w:rPr>
              <w:t xml:space="preserve"> apmācībām Latgales plānošanas reģionā.</w:t>
            </w:r>
            <w:r w:rsidR="00766F64" w:rsidRPr="00EF1B0A">
              <w:rPr>
                <w:rFonts w:eastAsia="ヒラギノ角ゴ Pro W3"/>
                <w:sz w:val="24"/>
                <w:shd w:val="clear" w:color="auto" w:fill="FFFFFF"/>
                <w:lang w:val="lv-LV"/>
              </w:rPr>
              <w:t xml:space="preserve"> Šādā veidā tiks nodrošināts, ka papildus piešķirtais finansējums tiek izmantots, lai uzlabotu situāciju ar jauniešu nodarbinātību, ko par prioritāti ir noteikusi Eiropas Komisija, un sekmētu vienmērīgu Latvijas reģionu attīstību.</w:t>
            </w:r>
            <w:r w:rsidR="004E5580" w:rsidRPr="00526CAD">
              <w:rPr>
                <w:rFonts w:eastAsia="ヒラギノ角ゴ Pro W3"/>
                <w:sz w:val="24"/>
                <w:shd w:val="clear" w:color="auto" w:fill="FFFFFF"/>
                <w:lang w:val="lv-LV"/>
              </w:rPr>
              <w:t xml:space="preserve"> Ņemot vērā, ka arī Eiropas Komisijas iniciatīvā „Jaunatne kustībā” daudzām aktivitātēm vecuma ierobežojums ir noteikts 30 gadi (piemēram, „Jaunatne darbībā”, „Pirmais Eures darbs”),</w:t>
            </w:r>
            <w:r w:rsidR="009F4017" w:rsidRPr="00EF1B0A">
              <w:rPr>
                <w:rFonts w:eastAsia="ヒラギノ角ゴ Pro W3"/>
                <w:sz w:val="24"/>
                <w:shd w:val="clear" w:color="auto" w:fill="FFFFFF"/>
                <w:lang w:val="lv-LV"/>
              </w:rPr>
              <w:t xml:space="preserve"> </w:t>
            </w:r>
            <w:r w:rsidR="004E5580" w:rsidRPr="00526CAD">
              <w:rPr>
                <w:rFonts w:eastAsia="ヒラギノ角ゴ Pro W3"/>
                <w:sz w:val="24"/>
                <w:shd w:val="clear" w:color="auto" w:fill="FFFFFF"/>
                <w:lang w:val="lv-LV"/>
              </w:rPr>
              <w:t>Ekonomikas ministrija ierosina arī aktivitātes ietvaros sniegt papildu atbalstu ar darba praksēm jauniešiem vecumā līdz 30 gadiem</w:t>
            </w:r>
            <w:r w:rsidR="00FE6043" w:rsidRPr="00526CAD">
              <w:rPr>
                <w:rFonts w:eastAsia="ヒラギノ角ゴ Pro W3"/>
                <w:sz w:val="24"/>
                <w:shd w:val="clear" w:color="auto" w:fill="FFFFFF"/>
                <w:lang w:val="lv-LV"/>
              </w:rPr>
              <w:t xml:space="preserve"> (ieskaitot)</w:t>
            </w:r>
            <w:r w:rsidR="004E5580" w:rsidRPr="00526CAD">
              <w:rPr>
                <w:rFonts w:eastAsia="ヒラギノ角ゴ Pro W3"/>
                <w:sz w:val="24"/>
                <w:shd w:val="clear" w:color="auto" w:fill="FFFFFF"/>
                <w:lang w:val="lv-LV"/>
              </w:rPr>
              <w:t xml:space="preserve">. </w:t>
            </w:r>
            <w:r w:rsidR="00766F64" w:rsidRPr="00EF1B0A">
              <w:rPr>
                <w:rFonts w:eastAsia="Times New Roman"/>
                <w:bCs/>
                <w:sz w:val="24"/>
                <w:szCs w:val="24"/>
                <w:lang w:val="lv-LV" w:eastAsia="lv-LV"/>
              </w:rPr>
              <w:t xml:space="preserve">   </w:t>
            </w:r>
          </w:p>
          <w:p w:rsidR="00080022" w:rsidRPr="00526CAD" w:rsidRDefault="00080022" w:rsidP="00E8088C">
            <w:pPr>
              <w:ind w:firstLine="567"/>
              <w:jc w:val="both"/>
              <w:rPr>
                <w:sz w:val="24"/>
                <w:szCs w:val="24"/>
                <w:lang w:val="lv-LV"/>
              </w:rPr>
            </w:pPr>
            <w:r w:rsidRPr="00EF1B0A">
              <w:rPr>
                <w:sz w:val="24"/>
                <w:szCs w:val="24"/>
                <w:lang w:val="lv-LV"/>
              </w:rPr>
              <w:t xml:space="preserve">Lai sekmētu jauniešu iesaistīšanos aktivitātē, ir nepieciešams papildināt attiecināmo izmaksu sarakstu ar pozīciju </w:t>
            </w:r>
            <w:r w:rsidR="0058667B" w:rsidRPr="00EF1B0A">
              <w:rPr>
                <w:sz w:val="24"/>
                <w:szCs w:val="24"/>
                <w:lang w:val="lv-LV"/>
              </w:rPr>
              <w:t xml:space="preserve">- </w:t>
            </w:r>
            <w:r w:rsidR="00F924ED" w:rsidRPr="00EF1B0A">
              <w:rPr>
                <w:sz w:val="24"/>
                <w:szCs w:val="24"/>
                <w:lang w:val="lv-LV"/>
              </w:rPr>
              <w:t>atlīdzības izmaksas darba vadītājam.</w:t>
            </w:r>
            <w:r w:rsidRPr="00EF1B0A">
              <w:rPr>
                <w:sz w:val="24"/>
                <w:szCs w:val="24"/>
                <w:lang w:val="lv-LV"/>
              </w:rPr>
              <w:t xml:space="preserve"> Minētās pozīcijas izmaksu ierobežojums ir </w:t>
            </w:r>
            <w:r w:rsidR="00AD03A6" w:rsidRPr="00EF1B0A">
              <w:rPr>
                <w:sz w:val="24"/>
                <w:szCs w:val="24"/>
                <w:lang w:val="lv-LV"/>
              </w:rPr>
              <w:t>noteikts</w:t>
            </w:r>
            <w:r w:rsidRPr="00EF1B0A">
              <w:rPr>
                <w:sz w:val="24"/>
                <w:szCs w:val="24"/>
                <w:lang w:val="lv-LV"/>
              </w:rPr>
              <w:t xml:space="preserve"> </w:t>
            </w:r>
            <w:r w:rsidR="007335B6" w:rsidRPr="00EF1B0A">
              <w:rPr>
                <w:rFonts w:eastAsia="ヒラギノ角ゴ Pro W3"/>
                <w:color w:val="000000"/>
                <w:sz w:val="24"/>
                <w:lang w:val="lv-LV"/>
              </w:rPr>
              <w:t>50% apmērā no valstī noteiktās minimālās mēneša darba algas.</w:t>
            </w:r>
            <w:r w:rsidR="007335B6" w:rsidRPr="00EF1B0A">
              <w:rPr>
                <w:color w:val="000000"/>
                <w:sz w:val="24"/>
                <w:lang w:val="lv-LV"/>
              </w:rPr>
              <w:t xml:space="preserve"> </w:t>
            </w:r>
            <w:r w:rsidR="007335B6" w:rsidRPr="00EF1B0A">
              <w:rPr>
                <w:rFonts w:eastAsia="ヒラギノ角ゴ Pro W3"/>
                <w:color w:val="000000"/>
                <w:sz w:val="24"/>
                <w:lang w:val="lv-LV"/>
              </w:rPr>
              <w:t>Maksimālais termiņš darba vadītāja algošanai</w:t>
            </w:r>
            <w:r w:rsidR="0058667B" w:rsidRPr="00EF1B0A">
              <w:rPr>
                <w:rFonts w:eastAsia="ヒラギノ角ゴ Pro W3"/>
                <w:color w:val="000000"/>
                <w:sz w:val="24"/>
                <w:lang w:val="lv-LV"/>
              </w:rPr>
              <w:t>, lai īstenotu apmācības pie darba devēja,</w:t>
            </w:r>
            <w:r w:rsidR="007335B6" w:rsidRPr="00EF1B0A">
              <w:rPr>
                <w:rFonts w:eastAsia="ヒラギノ角ゴ Pro W3"/>
                <w:color w:val="000000"/>
                <w:sz w:val="24"/>
                <w:lang w:val="lv-LV"/>
              </w:rPr>
              <w:t xml:space="preserve"> ir trīs mēneši</w:t>
            </w:r>
            <w:r w:rsidRPr="00EF1B0A">
              <w:rPr>
                <w:sz w:val="24"/>
                <w:szCs w:val="24"/>
                <w:lang w:val="lv-LV"/>
              </w:rPr>
              <w:t>.</w:t>
            </w:r>
            <w:r w:rsidR="00AD03A6" w:rsidRPr="00EF1B0A">
              <w:rPr>
                <w:sz w:val="24"/>
                <w:szCs w:val="24"/>
                <w:lang w:val="lv-LV"/>
              </w:rPr>
              <w:t xml:space="preserve"> </w:t>
            </w:r>
            <w:r w:rsidR="0058667B" w:rsidRPr="00EF1B0A">
              <w:rPr>
                <w:sz w:val="24"/>
                <w:szCs w:val="24"/>
                <w:lang w:val="lv-LV"/>
              </w:rPr>
              <w:t>Viens darba devējs var algot neierobežotu skaitu darba vadītājus un iesaistīt neierobežotu skaitu</w:t>
            </w:r>
            <w:r w:rsidR="00CA0A26" w:rsidRPr="00EF1B0A">
              <w:rPr>
                <w:sz w:val="24"/>
                <w:szCs w:val="24"/>
                <w:lang w:val="lv-LV"/>
              </w:rPr>
              <w:t xml:space="preserve"> jaunieš</w:t>
            </w:r>
            <w:r w:rsidR="0058667B" w:rsidRPr="00EF1B0A">
              <w:rPr>
                <w:sz w:val="24"/>
                <w:szCs w:val="24"/>
                <w:lang w:val="lv-LV"/>
              </w:rPr>
              <w:t>us</w:t>
            </w:r>
            <w:r w:rsidR="00AD03A6" w:rsidRPr="00EF1B0A">
              <w:rPr>
                <w:sz w:val="24"/>
                <w:szCs w:val="24"/>
                <w:lang w:val="lv-LV"/>
              </w:rPr>
              <w:t>.</w:t>
            </w:r>
            <w:r w:rsidR="00387598" w:rsidRPr="00EF1B0A">
              <w:rPr>
                <w:sz w:val="24"/>
                <w:szCs w:val="24"/>
                <w:lang w:val="lv-LV"/>
              </w:rPr>
              <w:t xml:space="preserve"> Vienlaikus vienam jaunietim nevar būt vairāk kā viens darba vadītājs.</w:t>
            </w:r>
            <w:r w:rsidR="00AD03A6" w:rsidRPr="00EF1B0A">
              <w:rPr>
                <w:sz w:val="24"/>
                <w:szCs w:val="24"/>
                <w:lang w:val="lv-LV"/>
              </w:rPr>
              <w:t xml:space="preserve"> Darba vadītāja atalgojums nemainās atkarībā no apmācāmo personu skaita.</w:t>
            </w:r>
            <w:r w:rsidRPr="00EF1B0A">
              <w:rPr>
                <w:sz w:val="24"/>
                <w:szCs w:val="24"/>
                <w:lang w:val="lv-LV"/>
              </w:rPr>
              <w:t xml:space="preserve"> Tā kā </w:t>
            </w:r>
            <w:r w:rsidRPr="00EF1B0A">
              <w:rPr>
                <w:sz w:val="24"/>
                <w:szCs w:val="24"/>
                <w:lang w:val="lv-LV"/>
              </w:rPr>
              <w:lastRenderedPageBreak/>
              <w:t>jauniešu bezdarba primārais iemesls ir tieši prakses trūkums,</w:t>
            </w:r>
            <w:r w:rsidR="0058667B" w:rsidRPr="00EF1B0A">
              <w:rPr>
                <w:sz w:val="24"/>
                <w:szCs w:val="24"/>
                <w:lang w:val="lv-LV"/>
              </w:rPr>
              <w:t xml:space="preserve"> lai sekmīgi iekļautos darba tirgū,</w:t>
            </w:r>
            <w:r w:rsidRPr="00EF1B0A">
              <w:rPr>
                <w:sz w:val="24"/>
                <w:szCs w:val="24"/>
                <w:lang w:val="lv-LV"/>
              </w:rPr>
              <w:t xml:space="preserve"> tad papildus samaksas nodroš</w:t>
            </w:r>
            <w:r w:rsidR="00CA0A26" w:rsidRPr="00EF1B0A">
              <w:rPr>
                <w:sz w:val="24"/>
                <w:szCs w:val="24"/>
                <w:lang w:val="lv-LV"/>
              </w:rPr>
              <w:t>ināšana darba vadītājam</w:t>
            </w:r>
            <w:r w:rsidRPr="00EF1B0A">
              <w:rPr>
                <w:sz w:val="24"/>
                <w:szCs w:val="24"/>
                <w:lang w:val="lv-LV"/>
              </w:rPr>
              <w:t xml:space="preserve"> veicinātu </w:t>
            </w:r>
            <w:r w:rsidR="00AD03A6" w:rsidRPr="00EF1B0A">
              <w:rPr>
                <w:sz w:val="24"/>
                <w:szCs w:val="24"/>
                <w:lang w:val="lv-LV"/>
              </w:rPr>
              <w:t>darba devēju</w:t>
            </w:r>
            <w:r w:rsidRPr="00EF1B0A">
              <w:rPr>
                <w:sz w:val="24"/>
                <w:szCs w:val="24"/>
                <w:lang w:val="lv-LV"/>
              </w:rPr>
              <w:t xml:space="preserve"> interesi strādāt ar šo mērķgrupu.</w:t>
            </w:r>
          </w:p>
          <w:p w:rsidR="008D11BF" w:rsidRPr="00526CAD" w:rsidRDefault="008D11BF" w:rsidP="00E8088C">
            <w:pPr>
              <w:ind w:firstLine="567"/>
              <w:jc w:val="both"/>
              <w:rPr>
                <w:sz w:val="24"/>
                <w:szCs w:val="24"/>
                <w:lang w:val="lv-LV"/>
              </w:rPr>
            </w:pPr>
            <w:r w:rsidRPr="00526CAD">
              <w:rPr>
                <w:sz w:val="24"/>
                <w:szCs w:val="24"/>
                <w:lang w:val="lv-LV"/>
              </w:rPr>
              <w:t>Ņemot vērā jauniešu nepietiekamo zināšanu un kvalifikācijas līmeni ienākot darba tirgū, lielākā darba devēju daļa iegulda papildus līdzekļus savu jauno darbinieku apmācībās. Šīs aktivitātes ietvaros ir paredzēts, ka jaunietis apgūst kādu no apmācību kursiem, kuros nosacījums ir, ka pie viena apmācību sniedzēja apmācās vismaz trīs saimnieciskās darbības veicēji. Darba vadītāja loma ir apmācību gaitā un pēc tām sekot un palīdzēt jaunietim, lai apmācībās apgūtās zināšanas tiktu precīzi pielietotas praksē. Darba vadītāja pienākumi šajā gadījumā ir kā turpinājums pabeigtajam apmācību kursam, lai jaunietis kopumā būtu gatavs iekļauties darba tirgū.</w:t>
            </w:r>
          </w:p>
          <w:p w:rsidR="000E0262" w:rsidRPr="00526CAD" w:rsidRDefault="000E0262" w:rsidP="00E8088C">
            <w:pPr>
              <w:ind w:firstLine="567"/>
              <w:jc w:val="both"/>
              <w:rPr>
                <w:sz w:val="24"/>
                <w:szCs w:val="24"/>
                <w:lang w:val="lv-LV"/>
              </w:rPr>
            </w:pPr>
            <w:r w:rsidRPr="00EF1B0A">
              <w:rPr>
                <w:sz w:val="24"/>
                <w:szCs w:val="24"/>
                <w:lang w:val="lv-LV"/>
              </w:rPr>
              <w:t xml:space="preserve">Lai novērstu, ka </w:t>
            </w:r>
            <w:r w:rsidR="003C15B6" w:rsidRPr="00EF1B0A">
              <w:rPr>
                <w:sz w:val="24"/>
                <w:szCs w:val="24"/>
                <w:lang w:val="lv-LV"/>
              </w:rPr>
              <w:t xml:space="preserve">atlīdzības izmaksas darba vadītājam </w:t>
            </w:r>
            <w:r w:rsidRPr="00EF1B0A">
              <w:rPr>
                <w:sz w:val="24"/>
                <w:szCs w:val="24"/>
                <w:lang w:val="lv-LV"/>
              </w:rPr>
              <w:t xml:space="preserve">atbilstoši Komisijas 2008.gada 6.augusta Regulai (EK) Nr. </w:t>
            </w:r>
            <w:hyperlink r:id="rId9" w:tgtFrame="_blank" w:tooltip="Atvērt regulu latviešu valodā" w:history="1">
              <w:r w:rsidRPr="00EF1B0A">
                <w:rPr>
                  <w:rStyle w:val="Hyperlink"/>
                  <w:sz w:val="24"/>
                  <w:szCs w:val="24"/>
                  <w:lang w:val="lv-LV"/>
                </w:rPr>
                <w:t>800/2008</w:t>
              </w:r>
            </w:hyperlink>
            <w:r w:rsidRPr="00EF1B0A">
              <w:rPr>
                <w:sz w:val="24"/>
                <w:szCs w:val="24"/>
                <w:lang w:val="lv-LV"/>
              </w:rPr>
              <w:t>, kas atzīst noteiktas atbalsta kategorijas par saderīgām ar kopējo tirgu, piemērojot Līguma 87. un 88.pantu (vispārējā grupu atbrīvojuma regula) (Eiropas Savienības Oficiālais Vēstnesis, 2008.gada 9.augusts, Nr. L 214) var</w:t>
            </w:r>
            <w:r w:rsidR="003A1360" w:rsidRPr="00EF1B0A">
              <w:rPr>
                <w:sz w:val="24"/>
                <w:szCs w:val="24"/>
                <w:lang w:val="lv-LV"/>
              </w:rPr>
              <w:t>ētu</w:t>
            </w:r>
            <w:r w:rsidRPr="00EF1B0A">
              <w:rPr>
                <w:sz w:val="24"/>
                <w:szCs w:val="24"/>
                <w:lang w:val="lv-LV"/>
              </w:rPr>
              <w:t xml:space="preserve"> tikt </w:t>
            </w:r>
            <w:r w:rsidR="003A1360" w:rsidRPr="00EF1B0A">
              <w:rPr>
                <w:sz w:val="24"/>
                <w:szCs w:val="24"/>
                <w:lang w:val="lv-LV"/>
              </w:rPr>
              <w:t>klasificētas</w:t>
            </w:r>
            <w:r w:rsidRPr="00EF1B0A">
              <w:rPr>
                <w:sz w:val="24"/>
                <w:szCs w:val="24"/>
                <w:lang w:val="lv-LV"/>
              </w:rPr>
              <w:t xml:space="preserve"> kā speciālās apmācības un attiecīgi būtu </w:t>
            </w:r>
            <w:r w:rsidR="003C15B6" w:rsidRPr="00EF1B0A">
              <w:rPr>
                <w:sz w:val="24"/>
                <w:szCs w:val="24"/>
                <w:lang w:val="lv-LV"/>
              </w:rPr>
              <w:t>jākoriģē finansējuma intensitāte</w:t>
            </w:r>
            <w:r w:rsidR="00840ABC" w:rsidRPr="00EF1B0A">
              <w:rPr>
                <w:sz w:val="24"/>
                <w:szCs w:val="24"/>
                <w:lang w:val="lv-LV"/>
              </w:rPr>
              <w:t xml:space="preserve">, tad </w:t>
            </w:r>
            <w:r w:rsidR="00C37BC8" w:rsidRPr="00EF1B0A">
              <w:rPr>
                <w:sz w:val="24"/>
                <w:szCs w:val="24"/>
                <w:lang w:val="lv-LV"/>
              </w:rPr>
              <w:t>atbalsts</w:t>
            </w:r>
            <w:r w:rsidR="003C15B6" w:rsidRPr="00EF1B0A">
              <w:rPr>
                <w:sz w:val="24"/>
                <w:szCs w:val="24"/>
                <w:lang w:val="lv-LV"/>
              </w:rPr>
              <w:t xml:space="preserve"> darba</w:t>
            </w:r>
            <w:r w:rsidR="00840ABC" w:rsidRPr="00EF1B0A">
              <w:rPr>
                <w:sz w:val="24"/>
                <w:szCs w:val="24"/>
                <w:lang w:val="lv-LV"/>
              </w:rPr>
              <w:t xml:space="preserve"> vadītāja </w:t>
            </w:r>
            <w:r w:rsidR="003C15B6" w:rsidRPr="00EF1B0A">
              <w:rPr>
                <w:sz w:val="24"/>
                <w:szCs w:val="24"/>
                <w:lang w:val="lv-LV"/>
              </w:rPr>
              <w:t xml:space="preserve">atlīdzības </w:t>
            </w:r>
            <w:r w:rsidR="00840ABC" w:rsidRPr="00EF1B0A">
              <w:rPr>
                <w:sz w:val="24"/>
                <w:szCs w:val="24"/>
                <w:lang w:val="lv-LV"/>
              </w:rPr>
              <w:t xml:space="preserve">izmaksu segšanai </w:t>
            </w:r>
            <w:r w:rsidR="004F6505" w:rsidRPr="00EF1B0A">
              <w:rPr>
                <w:sz w:val="24"/>
                <w:szCs w:val="24"/>
                <w:lang w:val="lv-LV"/>
              </w:rPr>
              <w:t>tiks sniegts</w:t>
            </w:r>
            <w:r w:rsidR="00840ABC" w:rsidRPr="00EF1B0A">
              <w:rPr>
                <w:sz w:val="24"/>
                <w:szCs w:val="24"/>
                <w:lang w:val="lv-LV"/>
              </w:rPr>
              <w:t xml:space="preserve"> saskaņā ar Komisijas 2006.gada 15.decembra Regulu (EK) Nr. </w:t>
            </w:r>
            <w:hyperlink r:id="rId10" w:tgtFrame="_blank" w:tooltip="Atvērt regulu latviešu valodā" w:history="1">
              <w:r w:rsidR="00840ABC" w:rsidRPr="00EF1B0A">
                <w:rPr>
                  <w:rStyle w:val="Hyperlink"/>
                  <w:sz w:val="24"/>
                  <w:szCs w:val="24"/>
                  <w:lang w:val="lv-LV"/>
                </w:rPr>
                <w:t>1998/2006</w:t>
              </w:r>
            </w:hyperlink>
            <w:r w:rsidR="00840ABC" w:rsidRPr="00EF1B0A">
              <w:rPr>
                <w:sz w:val="24"/>
                <w:szCs w:val="24"/>
                <w:lang w:val="lv-LV"/>
              </w:rPr>
              <w:t xml:space="preserve"> par Līguma 87. un 88.panta piemērošanu </w:t>
            </w:r>
            <w:r w:rsidR="00840ABC" w:rsidRPr="00EF1B0A">
              <w:rPr>
                <w:i/>
                <w:iCs/>
                <w:sz w:val="24"/>
                <w:szCs w:val="24"/>
                <w:lang w:val="lv-LV"/>
              </w:rPr>
              <w:t>de minimis</w:t>
            </w:r>
            <w:r w:rsidR="00840ABC" w:rsidRPr="00EF1B0A">
              <w:rPr>
                <w:sz w:val="24"/>
                <w:szCs w:val="24"/>
                <w:lang w:val="lv-LV"/>
              </w:rPr>
              <w:t xml:space="preserve"> atbalstam (Eiropas Savienības Oficiālais Vēstnesis, 2006.gada 28.decembris, L 379).</w:t>
            </w:r>
          </w:p>
          <w:p w:rsidR="004F5D06" w:rsidRPr="00EF1B0A" w:rsidRDefault="004F5D06" w:rsidP="004F5D06">
            <w:pPr>
              <w:ind w:firstLine="567"/>
              <w:jc w:val="both"/>
              <w:rPr>
                <w:sz w:val="24"/>
                <w:szCs w:val="24"/>
                <w:lang w:val="lv-LV"/>
              </w:rPr>
            </w:pPr>
            <w:r w:rsidRPr="00EF1B0A">
              <w:rPr>
                <w:sz w:val="24"/>
                <w:szCs w:val="24"/>
                <w:lang w:val="lv-LV"/>
              </w:rPr>
              <w:t xml:space="preserve">Ņemot vēra Ministru kabineta 2012.gada 8.maija sēdes protokollēmuma (prot. Nr.25 </w:t>
            </w:r>
            <w:r w:rsidRPr="00EF1B0A">
              <w:rPr>
                <w:color w:val="2A2A2A"/>
                <w:sz w:val="24"/>
                <w:szCs w:val="24"/>
                <w:lang w:val="lv-LV"/>
              </w:rPr>
              <w:t>26.§)</w:t>
            </w:r>
            <w:r w:rsidRPr="00EF1B0A">
              <w:rPr>
                <w:sz w:val="24"/>
                <w:szCs w:val="24"/>
                <w:lang w:val="lv-LV"/>
              </w:rPr>
              <w:t xml:space="preserve"> 7.punktā noteikto, ka </w:t>
            </w:r>
            <w:r w:rsidRPr="00EF1B0A">
              <w:rPr>
                <w:color w:val="000000" w:themeColor="text1"/>
                <w:sz w:val="24"/>
                <w:szCs w:val="24"/>
                <w:lang w:val="lv-LV"/>
              </w:rPr>
              <w:t xml:space="preserve">atbrīvotais finansējums (neatbilstību un pārtraukto līgumu summa) nevar tikt </w:t>
            </w:r>
            <w:r w:rsidR="00CA0A26" w:rsidRPr="00EF1B0A">
              <w:rPr>
                <w:color w:val="000000" w:themeColor="text1"/>
                <w:sz w:val="24"/>
                <w:szCs w:val="24"/>
                <w:lang w:val="lv-LV"/>
              </w:rPr>
              <w:t>izmantots</w:t>
            </w:r>
            <w:r w:rsidRPr="00EF1B0A">
              <w:rPr>
                <w:color w:val="000000" w:themeColor="text1"/>
                <w:sz w:val="24"/>
                <w:szCs w:val="24"/>
                <w:lang w:val="lv-LV"/>
              </w:rPr>
              <w:t xml:space="preserve"> citu Eiropas Savienības struktūrfondu un Kohēzijas fonda projektu īstenošanai</w:t>
            </w:r>
            <w:r w:rsidR="00552966" w:rsidRPr="00526CAD">
              <w:rPr>
                <w:color w:val="000000" w:themeColor="text1"/>
                <w:sz w:val="24"/>
                <w:szCs w:val="24"/>
                <w:lang w:val="lv-LV"/>
              </w:rPr>
              <w:t xml:space="preserve"> vai darbību finansēšanai esošā projekta ietvaros</w:t>
            </w:r>
            <w:r w:rsidRPr="00EF1B0A">
              <w:rPr>
                <w:color w:val="000000" w:themeColor="text1"/>
                <w:sz w:val="24"/>
                <w:szCs w:val="24"/>
                <w:lang w:val="lv-LV"/>
              </w:rPr>
              <w:t>, tad plānotajā finansējuma pārdalē netiks iekļauti kopš 2012.gada 8.maija neatbilstībās konstatētā summa - 4 855,94 lati.</w:t>
            </w:r>
            <w:r w:rsidRPr="00EF1B0A">
              <w:rPr>
                <w:color w:val="000000" w:themeColor="text1"/>
                <w:lang w:val="lv-LV"/>
              </w:rPr>
              <w:t xml:space="preserve"> </w:t>
            </w:r>
          </w:p>
          <w:p w:rsidR="00F73CBA" w:rsidRPr="00526CAD" w:rsidRDefault="00FF0BAE" w:rsidP="00E8088C">
            <w:pPr>
              <w:ind w:firstLine="567"/>
              <w:jc w:val="both"/>
              <w:rPr>
                <w:sz w:val="24"/>
                <w:szCs w:val="24"/>
                <w:lang w:val="lv-LV"/>
              </w:rPr>
            </w:pPr>
            <w:r w:rsidRPr="00526CAD">
              <w:rPr>
                <w:sz w:val="24"/>
                <w:szCs w:val="24"/>
                <w:lang w:val="lv-LV"/>
              </w:rPr>
              <w:t xml:space="preserve">Papildus, lai mazinātu administratīvo slogu finansējuma saņēmējiem un </w:t>
            </w:r>
            <w:r w:rsidR="00696FB4" w:rsidRPr="00526CAD">
              <w:rPr>
                <w:sz w:val="24"/>
                <w:szCs w:val="24"/>
                <w:lang w:val="lv-LV"/>
              </w:rPr>
              <w:t>sadarbības iestādei</w:t>
            </w:r>
            <w:r w:rsidRPr="00526CAD">
              <w:rPr>
                <w:sz w:val="24"/>
                <w:szCs w:val="24"/>
                <w:lang w:val="lv-LV"/>
              </w:rPr>
              <w:t xml:space="preserve">, MK noteikumos Nr.328 </w:t>
            </w:r>
            <w:r w:rsidR="00AF01CF" w:rsidRPr="00526CAD">
              <w:rPr>
                <w:sz w:val="24"/>
                <w:szCs w:val="24"/>
                <w:lang w:val="lv-LV"/>
              </w:rPr>
              <w:t>ir paredzēts svītrot prasību iesniegt ceturkšņa plānu</w:t>
            </w:r>
            <w:r w:rsidRPr="00526CAD">
              <w:rPr>
                <w:sz w:val="24"/>
                <w:szCs w:val="24"/>
                <w:lang w:val="lv-LV"/>
              </w:rPr>
              <w:t xml:space="preserve">. Pašreizējā situācijā ir nepieciešams ieguldīt lielus resursus, lai veiktu grozījumus attiecībā uz ceturkšņa plānu, tā kā finansējuma saņēmējam vienmēr ir jārēķinās, ka var </w:t>
            </w:r>
            <w:r w:rsidRPr="00526CAD">
              <w:rPr>
                <w:bCs/>
                <w:sz w:val="24"/>
                <w:szCs w:val="24"/>
                <w:lang w:val="lv-LV"/>
              </w:rPr>
              <w:t>mainīties projekta partneru vēlmes, vai parādīties jauni interesenti dalībai projektā, kā arī uz ceturkšņa plāna iesniegšanas brīdi nav iespējams prognozēt, kas uzvarēs iepirkumā un kādas būs pakalpojuma cenas</w:t>
            </w:r>
            <w:r w:rsidRPr="00526CAD">
              <w:rPr>
                <w:sz w:val="24"/>
                <w:szCs w:val="24"/>
                <w:lang w:val="lv-LV"/>
              </w:rPr>
              <w:t xml:space="preserve">. </w:t>
            </w:r>
          </w:p>
          <w:p w:rsidR="00E741B5" w:rsidRPr="00526CAD" w:rsidRDefault="00E741B5" w:rsidP="00E741B5">
            <w:pPr>
              <w:spacing w:before="60" w:after="60"/>
              <w:ind w:firstLine="567"/>
              <w:jc w:val="both"/>
              <w:rPr>
                <w:rFonts w:eastAsia="Times New Roman"/>
                <w:bCs/>
                <w:sz w:val="24"/>
                <w:szCs w:val="24"/>
                <w:lang w:val="lv-LV" w:eastAsia="lv-LV"/>
              </w:rPr>
            </w:pPr>
            <w:r w:rsidRPr="00526CAD">
              <w:rPr>
                <w:rFonts w:eastAsia="Times New Roman"/>
                <w:bCs/>
                <w:sz w:val="24"/>
                <w:szCs w:val="24"/>
                <w:lang w:val="lv-LV" w:eastAsia="lv-LV"/>
              </w:rPr>
              <w:t xml:space="preserve">Ņemot vērā, ka pašreizējā situācijā ir konstatēta </w:t>
            </w:r>
            <w:r w:rsidRPr="00526CAD">
              <w:rPr>
                <w:rFonts w:eastAsia="Times New Roman"/>
                <w:bCs/>
                <w:sz w:val="24"/>
                <w:szCs w:val="24"/>
                <w:lang w:val="lv-LV" w:eastAsia="lv-LV"/>
              </w:rPr>
              <w:lastRenderedPageBreak/>
              <w:t xml:space="preserve">pretruna starp MK noteikumu Nr.328 30.4.apakšpunktu un </w:t>
            </w:r>
            <w:r w:rsidRPr="00526CAD">
              <w:rPr>
                <w:bCs/>
                <w:sz w:val="24"/>
                <w:szCs w:val="24"/>
                <w:lang w:val="lv-LV"/>
              </w:rPr>
              <w:t xml:space="preserve">projektu iesniegumu vērtēšanas 9.9.atbilstības kritēriju, tad ir nepieciešams precizēt </w:t>
            </w:r>
            <w:r w:rsidRPr="00526CAD">
              <w:rPr>
                <w:rFonts w:eastAsia="Times New Roman"/>
                <w:bCs/>
                <w:sz w:val="24"/>
                <w:szCs w:val="24"/>
                <w:lang w:val="lv-LV" w:eastAsia="lv-LV"/>
              </w:rPr>
              <w:t>MK noteikumu Nr.328 30.4.apakšpunktu, lai noteiktu, ka pie viena apmācību sniedzēja tiktu apmācīti vismaz trīs saimnieciskās darbības veicēju darbinieki.</w:t>
            </w:r>
          </w:p>
          <w:p w:rsidR="007F73A1" w:rsidRPr="00526CAD" w:rsidRDefault="00D81713" w:rsidP="00E741B5">
            <w:pPr>
              <w:spacing w:before="60" w:after="60"/>
              <w:ind w:firstLine="567"/>
              <w:jc w:val="both"/>
              <w:rPr>
                <w:rFonts w:eastAsia="Times New Roman"/>
                <w:bCs/>
                <w:sz w:val="24"/>
                <w:szCs w:val="24"/>
                <w:lang w:val="lv-LV" w:eastAsia="lv-LV"/>
              </w:rPr>
            </w:pPr>
            <w:r w:rsidRPr="00526CAD">
              <w:rPr>
                <w:rFonts w:eastAsia="Times New Roman"/>
                <w:bCs/>
                <w:sz w:val="24"/>
                <w:szCs w:val="24"/>
                <w:lang w:val="lv-LV" w:eastAsia="lv-LV"/>
              </w:rPr>
              <w:t>Lai nodrošinātu vienotu</w:t>
            </w:r>
            <w:r w:rsidR="0042477D" w:rsidRPr="00526CAD">
              <w:rPr>
                <w:rFonts w:eastAsia="Times New Roman"/>
                <w:bCs/>
                <w:sz w:val="24"/>
                <w:szCs w:val="24"/>
                <w:lang w:val="lv-LV" w:eastAsia="lv-LV"/>
              </w:rPr>
              <w:t xml:space="preserve"> </w:t>
            </w:r>
            <w:r w:rsidRPr="00526CAD">
              <w:rPr>
                <w:rFonts w:eastAsia="Times New Roman"/>
                <w:bCs/>
                <w:sz w:val="24"/>
                <w:szCs w:val="24"/>
                <w:lang w:val="lv-LV" w:eastAsia="lv-LV"/>
              </w:rPr>
              <w:t xml:space="preserve">pieeju </w:t>
            </w:r>
            <w:r w:rsidR="0042477D" w:rsidRPr="00526CAD">
              <w:rPr>
                <w:rFonts w:eastAsia="Times New Roman"/>
                <w:bCs/>
                <w:sz w:val="24"/>
                <w:szCs w:val="24"/>
                <w:lang w:val="lv-LV" w:eastAsia="lv-LV"/>
              </w:rPr>
              <w:t>grūtībās nonākuša komersanta definīcijas piemērošanā</w:t>
            </w:r>
            <w:r w:rsidR="00A54F7E" w:rsidRPr="00526CAD">
              <w:rPr>
                <w:rFonts w:eastAsia="Times New Roman"/>
                <w:bCs/>
                <w:sz w:val="24"/>
                <w:szCs w:val="24"/>
                <w:lang w:val="lv-LV" w:eastAsia="lv-LV"/>
              </w:rPr>
              <w:t xml:space="preserve"> </w:t>
            </w:r>
            <w:r w:rsidRPr="00526CAD">
              <w:rPr>
                <w:rFonts w:eastAsia="Times New Roman"/>
                <w:bCs/>
                <w:sz w:val="24"/>
                <w:szCs w:val="24"/>
                <w:lang w:val="lv-LV" w:eastAsia="lv-LV"/>
              </w:rPr>
              <w:t>valsts atbalsta programmās</w:t>
            </w:r>
            <w:r w:rsidR="006C3B32" w:rsidRPr="00526CAD">
              <w:rPr>
                <w:rFonts w:eastAsia="Times New Roman"/>
                <w:bCs/>
                <w:sz w:val="24"/>
                <w:szCs w:val="24"/>
                <w:lang w:val="lv-LV" w:eastAsia="lv-LV"/>
              </w:rPr>
              <w:t>,</w:t>
            </w:r>
            <w:r w:rsidRPr="00526CAD">
              <w:rPr>
                <w:rFonts w:eastAsia="Times New Roman"/>
                <w:bCs/>
                <w:sz w:val="24"/>
                <w:szCs w:val="24"/>
                <w:lang w:val="lv-LV" w:eastAsia="lv-LV"/>
              </w:rPr>
              <w:t xml:space="preserve"> ir nepieciešams aktualizēt MK noteikumu Nr.328</w:t>
            </w:r>
            <w:r w:rsidR="00A54F7E" w:rsidRPr="00526CAD">
              <w:rPr>
                <w:rFonts w:eastAsia="Times New Roman"/>
                <w:bCs/>
                <w:sz w:val="24"/>
                <w:szCs w:val="24"/>
                <w:lang w:val="lv-LV" w:eastAsia="lv-LV"/>
              </w:rPr>
              <w:t xml:space="preserve"> </w:t>
            </w:r>
            <w:r w:rsidR="00B91475" w:rsidRPr="00526CAD">
              <w:rPr>
                <w:rFonts w:eastAsia="Times New Roman"/>
                <w:bCs/>
                <w:sz w:val="24"/>
                <w:szCs w:val="24"/>
                <w:lang w:val="lv-LV" w:eastAsia="lv-LV"/>
              </w:rPr>
              <w:t xml:space="preserve">grūtībās nonākuša komersanta </w:t>
            </w:r>
            <w:r w:rsidRPr="00526CAD">
              <w:rPr>
                <w:rFonts w:eastAsia="Times New Roman"/>
                <w:bCs/>
                <w:sz w:val="24"/>
                <w:szCs w:val="24"/>
                <w:lang w:val="lv-LV" w:eastAsia="lv-LV"/>
              </w:rPr>
              <w:t>definīciju</w:t>
            </w:r>
            <w:r w:rsidR="00CF5AE5" w:rsidRPr="00526CAD">
              <w:rPr>
                <w:rFonts w:eastAsia="Times New Roman"/>
                <w:bCs/>
                <w:sz w:val="24"/>
                <w:szCs w:val="24"/>
                <w:lang w:val="lv-LV" w:eastAsia="lv-LV"/>
              </w:rPr>
              <w:t>.</w:t>
            </w:r>
            <w:r w:rsidR="00CD1E6F" w:rsidRPr="00526CAD">
              <w:rPr>
                <w:rFonts w:eastAsia="Times New Roman"/>
                <w:bCs/>
                <w:sz w:val="24"/>
                <w:szCs w:val="24"/>
                <w:lang w:val="lv-LV" w:eastAsia="lv-LV"/>
              </w:rPr>
              <w:t xml:space="preserve"> </w:t>
            </w:r>
            <w:r w:rsidR="00CD1E6F" w:rsidRPr="00EF1B0A">
              <w:rPr>
                <w:rFonts w:eastAsia="Times New Roman"/>
                <w:bCs/>
                <w:sz w:val="24"/>
                <w:szCs w:val="24"/>
                <w:lang w:val="lv-LV" w:eastAsia="lv-LV"/>
              </w:rPr>
              <w:t>Jaunā grūtībās nonākuša komersanta definīcija tiks piemērota jaunajiem partneriem projektā un finansējuma saņēmējiem, kas pieteiksies uz papildus finansējumu.</w:t>
            </w:r>
            <w:r w:rsidR="00CD1E6F" w:rsidRPr="00526CAD">
              <w:rPr>
                <w:rFonts w:eastAsia="Times New Roman"/>
                <w:bCs/>
                <w:sz w:val="24"/>
                <w:szCs w:val="24"/>
                <w:lang w:val="lv-LV" w:eastAsia="lv-LV"/>
              </w:rPr>
              <w:t xml:space="preserve"> </w:t>
            </w:r>
          </w:p>
          <w:p w:rsidR="00B130BF" w:rsidRPr="00526CAD" w:rsidRDefault="002120AC" w:rsidP="006521EE">
            <w:pPr>
              <w:spacing w:before="60" w:after="60"/>
              <w:ind w:firstLine="567"/>
              <w:jc w:val="both"/>
              <w:rPr>
                <w:color w:val="000000"/>
                <w:sz w:val="24"/>
                <w:szCs w:val="24"/>
                <w:lang w:val="lv-LV"/>
              </w:rPr>
            </w:pPr>
            <w:r w:rsidRPr="00526CAD">
              <w:rPr>
                <w:sz w:val="24"/>
                <w:szCs w:val="24"/>
                <w:lang w:val="lv-LV"/>
              </w:rPr>
              <w:t>Papildu</w:t>
            </w:r>
            <w:r w:rsidR="006521EE" w:rsidRPr="00526CAD">
              <w:rPr>
                <w:sz w:val="24"/>
                <w:szCs w:val="24"/>
                <w:lang w:val="lv-LV"/>
              </w:rPr>
              <w:t>s</w:t>
            </w:r>
            <w:r w:rsidRPr="00526CAD">
              <w:rPr>
                <w:sz w:val="24"/>
                <w:szCs w:val="24"/>
                <w:lang w:val="lv-LV"/>
              </w:rPr>
              <w:t xml:space="preserve"> Ekonomikas ministrija norāda, ka ņemot vērā, ka ar noteikumu projektu tiek radīti finansējuma saņēmējiem labvēlīgāki nosacījumi, personām, kas nav iesniegušas projektu iesniegumus, nav radušās nekādas tiesības saistībā ar projekta īstenošanu un nav pierādījumu par personu tiesību aizskārumu, līdz ar to tiesiskās paļāvības principa aizskārums attiecībā uz attiecīgajām personām nav konstatējams. Turklāt aktivitātes ietvaros gala labuma guvēji ir </w:t>
            </w:r>
            <w:r w:rsidR="006521EE" w:rsidRPr="00526CAD">
              <w:rPr>
                <w:sz w:val="24"/>
                <w:szCs w:val="24"/>
                <w:lang w:val="lv-LV"/>
              </w:rPr>
              <w:t>saimnieciskās darbības veicēji</w:t>
            </w:r>
            <w:r w:rsidR="00C37BC8" w:rsidRPr="00526CAD">
              <w:rPr>
                <w:sz w:val="24"/>
                <w:szCs w:val="24"/>
                <w:lang w:val="lv-LV"/>
              </w:rPr>
              <w:t xml:space="preserve"> un biedrības</w:t>
            </w:r>
            <w:r w:rsidR="006521EE" w:rsidRPr="00526CAD">
              <w:rPr>
                <w:sz w:val="24"/>
                <w:szCs w:val="24"/>
                <w:lang w:val="lv-LV"/>
              </w:rPr>
              <w:t xml:space="preserve"> </w:t>
            </w:r>
            <w:r w:rsidRPr="00526CAD">
              <w:rPr>
                <w:sz w:val="24"/>
                <w:szCs w:val="24"/>
                <w:lang w:val="lv-LV"/>
              </w:rPr>
              <w:t>- apmācību saņēmēji, kas jebkurā brīdī var kļūt par finansējuma saņēmēja sadarbības partneriem vai biedriem, ja atbilst MK noteikumos Nr.328 noteiktajām prasībām.</w:t>
            </w:r>
            <w:r w:rsidRPr="00526CAD">
              <w:rPr>
                <w:rFonts w:eastAsia="Times New Roman"/>
                <w:bCs/>
                <w:sz w:val="24"/>
                <w:szCs w:val="24"/>
                <w:lang w:val="lv-LV" w:eastAsia="lv-LV"/>
              </w:rPr>
              <w:t xml:space="preserve"> Līdz ar to, palielinot projekta kopējo attiecināmo izmaksu summu, proporcionāli palielinās apmācīto darbinieku skaits, un tādejādi netiek ierobežotas citas iespējamo labuma guvēju intereses.</w:t>
            </w:r>
            <w:r w:rsidR="00E741B5" w:rsidRPr="00526CAD">
              <w:rPr>
                <w:rFonts w:eastAsia="Times New Roman"/>
                <w:bCs/>
                <w:sz w:val="24"/>
                <w:szCs w:val="24"/>
                <w:lang w:val="lv-LV" w:eastAsia="lv-LV"/>
              </w:rPr>
              <w:t xml:space="preserve"> </w:t>
            </w:r>
            <w:r w:rsidR="00686E89" w:rsidRPr="00526CAD">
              <w:rPr>
                <w:color w:val="000000"/>
                <w:sz w:val="24"/>
                <w:szCs w:val="24"/>
                <w:lang w:val="lv-LV"/>
              </w:rPr>
              <w:t xml:space="preserve">  </w:t>
            </w:r>
          </w:p>
        </w:tc>
      </w:tr>
      <w:tr w:rsidR="00537A29" w:rsidRPr="00526CAD" w:rsidTr="001F53EB">
        <w:trPr>
          <w:trHeight w:val="360"/>
        </w:trPr>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537A29" w:rsidRPr="00526CAD" w:rsidRDefault="00537A29" w:rsidP="00CE5A53">
            <w:pPr>
              <w:rPr>
                <w:rFonts w:eastAsia="Times New Roman"/>
                <w:sz w:val="24"/>
                <w:szCs w:val="24"/>
                <w:lang w:val="lv-LV" w:eastAsia="lv-LV"/>
              </w:rPr>
            </w:pPr>
            <w:r w:rsidRPr="00526CAD">
              <w:rPr>
                <w:rFonts w:eastAsia="Times New Roman"/>
                <w:sz w:val="24"/>
                <w:szCs w:val="24"/>
                <w:lang w:val="lv-LV" w:eastAsia="lv-LV"/>
              </w:rPr>
              <w:lastRenderedPageBreak/>
              <w:t>3. Saistītie politikas ietekmes novērtējumi un pētījumi</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004E51" w:rsidRPr="00526CAD" w:rsidRDefault="007D3113" w:rsidP="007D3113">
            <w:pPr>
              <w:ind w:firstLine="567"/>
              <w:jc w:val="both"/>
              <w:rPr>
                <w:color w:val="000000"/>
                <w:sz w:val="24"/>
                <w:szCs w:val="24"/>
                <w:lang w:val="lv-LV"/>
              </w:rPr>
            </w:pPr>
            <w:r w:rsidRPr="00526CAD">
              <w:rPr>
                <w:color w:val="000000"/>
                <w:sz w:val="24"/>
                <w:szCs w:val="24"/>
                <w:lang w:val="lv-LV"/>
              </w:rPr>
              <w:t>Projekts šo jomu neskar.</w:t>
            </w:r>
          </w:p>
        </w:tc>
      </w:tr>
      <w:tr w:rsidR="00BB09C5" w:rsidRPr="00EF1B0A" w:rsidTr="001F53EB">
        <w:trPr>
          <w:trHeight w:val="1068"/>
        </w:trPr>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526CAD" w:rsidRDefault="00537A29" w:rsidP="00CE5A53">
            <w:pPr>
              <w:rPr>
                <w:rFonts w:eastAsia="Times New Roman"/>
                <w:sz w:val="24"/>
                <w:szCs w:val="24"/>
                <w:lang w:val="lv-LV" w:eastAsia="lv-LV"/>
              </w:rPr>
            </w:pPr>
            <w:r w:rsidRPr="00526CAD">
              <w:rPr>
                <w:rFonts w:eastAsia="Times New Roman"/>
                <w:sz w:val="24"/>
                <w:szCs w:val="24"/>
                <w:lang w:val="lv-LV" w:eastAsia="lv-LV"/>
              </w:rPr>
              <w:t>4. Tiesiskā regulējuma mērķis un būtība</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7D3113" w:rsidRPr="00526CAD" w:rsidRDefault="007D3113" w:rsidP="007D3113">
            <w:pPr>
              <w:ind w:firstLine="709"/>
              <w:jc w:val="both"/>
              <w:rPr>
                <w:bCs/>
                <w:sz w:val="24"/>
                <w:szCs w:val="24"/>
                <w:lang w:val="lv-LV"/>
              </w:rPr>
            </w:pPr>
            <w:r w:rsidRPr="00526CAD">
              <w:rPr>
                <w:bCs/>
                <w:sz w:val="24"/>
                <w:szCs w:val="24"/>
                <w:lang w:val="lv-LV"/>
              </w:rPr>
              <w:t>Noteikumu projekts paredz veikt grozījumus MK noteikumos Nr.328, izdarot šādas izmaiņas:</w:t>
            </w:r>
          </w:p>
          <w:p w:rsidR="00D42829" w:rsidRPr="00EF1B0A" w:rsidRDefault="00D42829" w:rsidP="007D3113">
            <w:pPr>
              <w:pStyle w:val="ListParagraph"/>
              <w:numPr>
                <w:ilvl w:val="0"/>
                <w:numId w:val="9"/>
              </w:numPr>
              <w:ind w:left="709" w:hanging="284"/>
              <w:jc w:val="both"/>
              <w:rPr>
                <w:bCs/>
                <w:sz w:val="24"/>
                <w:szCs w:val="24"/>
                <w:lang w:val="lv-LV"/>
              </w:rPr>
            </w:pPr>
            <w:r w:rsidRPr="00EF1B0A">
              <w:rPr>
                <w:bCs/>
                <w:sz w:val="24"/>
                <w:szCs w:val="24"/>
                <w:lang w:val="lv-LV"/>
              </w:rPr>
              <w:t xml:space="preserve">noteikt, ka </w:t>
            </w:r>
            <w:r w:rsidR="00C37BC8" w:rsidRPr="00EF1B0A">
              <w:rPr>
                <w:sz w:val="24"/>
                <w:szCs w:val="24"/>
                <w:lang w:val="lv-LV"/>
              </w:rPr>
              <w:t>atbalsts</w:t>
            </w:r>
            <w:r w:rsidRPr="00EF1B0A">
              <w:rPr>
                <w:sz w:val="24"/>
                <w:szCs w:val="24"/>
                <w:lang w:val="lv-LV"/>
              </w:rPr>
              <w:t xml:space="preserve"> </w:t>
            </w:r>
            <w:r w:rsidR="00C37BC8" w:rsidRPr="00EF1B0A">
              <w:rPr>
                <w:sz w:val="24"/>
                <w:szCs w:val="24"/>
                <w:lang w:val="lv-LV"/>
              </w:rPr>
              <w:t xml:space="preserve">darba vadītāja </w:t>
            </w:r>
            <w:r w:rsidR="003C15B6" w:rsidRPr="00EF1B0A">
              <w:rPr>
                <w:sz w:val="24"/>
                <w:szCs w:val="24"/>
                <w:lang w:val="lv-LV"/>
              </w:rPr>
              <w:t xml:space="preserve">atlīdzības izmaksu </w:t>
            </w:r>
            <w:r w:rsidRPr="00EF1B0A">
              <w:rPr>
                <w:sz w:val="24"/>
                <w:szCs w:val="24"/>
                <w:lang w:val="lv-LV"/>
              </w:rPr>
              <w:t xml:space="preserve">segšanai tiks sniegts saskaņā ar Komisijas regulu Nr. </w:t>
            </w:r>
            <w:hyperlink r:id="rId11" w:tgtFrame="_blank" w:tooltip="Atvērt regulu latviešu valodā" w:history="1">
              <w:r w:rsidR="00E14351" w:rsidRPr="00EF1B0A">
                <w:rPr>
                  <w:rStyle w:val="Hyperlink"/>
                  <w:sz w:val="24"/>
                  <w:szCs w:val="24"/>
                  <w:lang w:val="lv-LV"/>
                </w:rPr>
                <w:t>1998/2006</w:t>
              </w:r>
            </w:hyperlink>
            <w:r w:rsidR="00801790" w:rsidRPr="00EF1B0A">
              <w:rPr>
                <w:sz w:val="24"/>
                <w:szCs w:val="24"/>
                <w:lang w:val="lv-LV"/>
              </w:rPr>
              <w:t>;</w:t>
            </w:r>
          </w:p>
          <w:p w:rsidR="00C144AD" w:rsidRPr="00EF1B0A" w:rsidRDefault="00766F64" w:rsidP="007D3113">
            <w:pPr>
              <w:pStyle w:val="ListParagraph"/>
              <w:numPr>
                <w:ilvl w:val="0"/>
                <w:numId w:val="9"/>
              </w:numPr>
              <w:ind w:left="709" w:hanging="284"/>
              <w:jc w:val="both"/>
              <w:rPr>
                <w:bCs/>
                <w:sz w:val="24"/>
                <w:szCs w:val="24"/>
                <w:lang w:val="lv-LV"/>
              </w:rPr>
            </w:pPr>
            <w:r w:rsidRPr="00EF1B0A">
              <w:rPr>
                <w:rFonts w:eastAsia="ヒラギノ角ゴ Pro W3"/>
                <w:sz w:val="24"/>
                <w:lang w:val="lv-LV"/>
              </w:rPr>
              <w:t>noteikt, ka izmantojot virssaistību finansējumu</w:t>
            </w:r>
            <w:r w:rsidR="00537FF6" w:rsidRPr="00EF1B0A">
              <w:rPr>
                <w:rFonts w:eastAsia="ヒラギノ角ゴ Pro W3"/>
                <w:sz w:val="24"/>
                <w:lang w:val="lv-LV"/>
              </w:rPr>
              <w:t>,</w:t>
            </w:r>
            <w:r w:rsidRPr="00EF1B0A">
              <w:rPr>
                <w:rFonts w:eastAsia="ヒラギノ角ゴ Pro W3"/>
                <w:sz w:val="24"/>
                <w:lang w:val="lv-LV"/>
              </w:rPr>
              <w:t xml:space="preserve"> apmācībās tiks iesaistītas 2 500 personas;</w:t>
            </w:r>
          </w:p>
          <w:p w:rsidR="00806BC5" w:rsidRPr="00EF1B0A" w:rsidRDefault="00766F64" w:rsidP="007D3113">
            <w:pPr>
              <w:pStyle w:val="ListParagraph"/>
              <w:numPr>
                <w:ilvl w:val="0"/>
                <w:numId w:val="9"/>
              </w:numPr>
              <w:ind w:left="709" w:hanging="284"/>
              <w:jc w:val="both"/>
              <w:rPr>
                <w:bCs/>
                <w:sz w:val="24"/>
                <w:szCs w:val="24"/>
                <w:lang w:val="lv-LV"/>
              </w:rPr>
            </w:pPr>
            <w:r w:rsidRPr="00EF1B0A">
              <w:rPr>
                <w:bCs/>
                <w:sz w:val="24"/>
                <w:szCs w:val="24"/>
                <w:lang w:val="lv-LV"/>
              </w:rPr>
              <w:t xml:space="preserve">precizēt pieejamā publiskā finansējuma apjomu, nosakot, ka 1.3.1.1.1.apakšaktivitātē papildus ir pieejami 2 500 000 lati </w:t>
            </w:r>
            <w:r w:rsidRPr="00EF1B0A">
              <w:rPr>
                <w:sz w:val="24"/>
                <w:szCs w:val="24"/>
                <w:lang w:val="lv-LV"/>
              </w:rPr>
              <w:t>virssaistību finansējums;</w:t>
            </w:r>
          </w:p>
          <w:p w:rsidR="00DC1972" w:rsidRPr="00EF1B0A" w:rsidRDefault="00077E10" w:rsidP="007D3113">
            <w:pPr>
              <w:pStyle w:val="ListParagraph"/>
              <w:numPr>
                <w:ilvl w:val="0"/>
                <w:numId w:val="9"/>
              </w:numPr>
              <w:ind w:left="709" w:hanging="284"/>
              <w:jc w:val="both"/>
              <w:rPr>
                <w:bCs/>
                <w:sz w:val="24"/>
                <w:szCs w:val="24"/>
                <w:lang w:val="lv-LV"/>
              </w:rPr>
            </w:pPr>
            <w:r w:rsidRPr="00EF1B0A">
              <w:rPr>
                <w:bCs/>
                <w:sz w:val="24"/>
                <w:szCs w:val="24"/>
                <w:lang w:val="lv-LV"/>
              </w:rPr>
              <w:t>precizēt grūtības nonākuša komersanta definīciju;</w:t>
            </w:r>
          </w:p>
          <w:p w:rsidR="00A54F7E" w:rsidRPr="00EF1B0A" w:rsidRDefault="00F924ED" w:rsidP="007D3113">
            <w:pPr>
              <w:pStyle w:val="ListParagraph"/>
              <w:numPr>
                <w:ilvl w:val="0"/>
                <w:numId w:val="9"/>
              </w:numPr>
              <w:ind w:left="709" w:hanging="284"/>
              <w:jc w:val="both"/>
              <w:rPr>
                <w:bCs/>
                <w:sz w:val="24"/>
                <w:szCs w:val="24"/>
                <w:lang w:val="lv-LV"/>
              </w:rPr>
            </w:pPr>
            <w:r w:rsidRPr="00EF1B0A">
              <w:rPr>
                <w:bCs/>
                <w:sz w:val="24"/>
                <w:szCs w:val="24"/>
                <w:lang w:val="lv-LV"/>
              </w:rPr>
              <w:t xml:space="preserve">papildināt atbalstāmo darbību sarakstu ar  apmācībām pie darba devēja </w:t>
            </w:r>
            <w:r w:rsidR="00DE6E2C" w:rsidRPr="00EF1B0A">
              <w:rPr>
                <w:sz w:val="24"/>
                <w:szCs w:val="24"/>
                <w:lang w:val="lv-LV"/>
              </w:rPr>
              <w:t xml:space="preserve">līdz trim mēnešiem jaunietim, ja minētais jaunietis ir saņēmis vai saņems vispārējās apmācības </w:t>
            </w:r>
            <w:r w:rsidR="00FE5EA3" w:rsidRPr="00EF1B0A">
              <w:rPr>
                <w:sz w:val="24"/>
                <w:szCs w:val="24"/>
                <w:lang w:val="lv-LV"/>
              </w:rPr>
              <w:t>1.3.1.1.1.</w:t>
            </w:r>
            <w:r w:rsidR="00DE6E2C" w:rsidRPr="00EF1B0A">
              <w:rPr>
                <w:sz w:val="24"/>
                <w:szCs w:val="24"/>
                <w:lang w:val="lv-LV"/>
              </w:rPr>
              <w:t>aktivitātes ietvaros</w:t>
            </w:r>
            <w:r w:rsidR="00DC1972" w:rsidRPr="00EF1B0A">
              <w:rPr>
                <w:bCs/>
                <w:sz w:val="24"/>
                <w:szCs w:val="24"/>
                <w:lang w:val="lv-LV"/>
              </w:rPr>
              <w:t>;</w:t>
            </w:r>
          </w:p>
          <w:p w:rsidR="00E424F8" w:rsidRPr="00EF1B0A" w:rsidRDefault="00F924ED" w:rsidP="007D3113">
            <w:pPr>
              <w:pStyle w:val="ListParagraph"/>
              <w:numPr>
                <w:ilvl w:val="0"/>
                <w:numId w:val="9"/>
              </w:numPr>
              <w:ind w:left="709" w:hanging="284"/>
              <w:jc w:val="both"/>
              <w:rPr>
                <w:bCs/>
                <w:sz w:val="24"/>
                <w:szCs w:val="24"/>
                <w:lang w:val="lv-LV"/>
              </w:rPr>
            </w:pPr>
            <w:r w:rsidRPr="00EF1B0A">
              <w:rPr>
                <w:bCs/>
                <w:sz w:val="24"/>
                <w:szCs w:val="24"/>
                <w:lang w:val="lv-LV"/>
              </w:rPr>
              <w:t xml:space="preserve">papildināt attiecināmo izmaksu sarakstu ar pozīciju </w:t>
            </w:r>
            <w:r w:rsidRPr="00EF1B0A">
              <w:rPr>
                <w:bCs/>
                <w:sz w:val="24"/>
                <w:szCs w:val="24"/>
                <w:lang w:val="lv-LV"/>
              </w:rPr>
              <w:lastRenderedPageBreak/>
              <w:t xml:space="preserve">par </w:t>
            </w:r>
            <w:r w:rsidRPr="00EF1B0A">
              <w:rPr>
                <w:sz w:val="24"/>
                <w:szCs w:val="24"/>
                <w:lang w:val="lv-LV"/>
              </w:rPr>
              <w:t>atlīdzības izmaks</w:t>
            </w:r>
            <w:r w:rsidR="004A2D43" w:rsidRPr="00EF1B0A">
              <w:rPr>
                <w:sz w:val="24"/>
                <w:szCs w:val="24"/>
                <w:lang w:val="lv-LV"/>
              </w:rPr>
              <w:t>ām</w:t>
            </w:r>
            <w:r w:rsidR="003C15B6" w:rsidRPr="00EF1B0A">
              <w:rPr>
                <w:sz w:val="24"/>
                <w:szCs w:val="24"/>
                <w:lang w:val="lv-LV"/>
              </w:rPr>
              <w:t xml:space="preserve"> darba vadītājam</w:t>
            </w:r>
            <w:r w:rsidR="00077E10" w:rsidRPr="00EF1B0A">
              <w:rPr>
                <w:sz w:val="24"/>
                <w:szCs w:val="24"/>
                <w:lang w:val="lv-LV"/>
              </w:rPr>
              <w:t xml:space="preserve">, nosakot izmaksu ierobežojumu </w:t>
            </w:r>
            <w:r w:rsidRPr="00EF1B0A">
              <w:rPr>
                <w:rFonts w:eastAsia="ヒラギノ角ゴ Pro W3"/>
                <w:color w:val="000000"/>
                <w:sz w:val="24"/>
                <w:lang w:val="lv-LV"/>
              </w:rPr>
              <w:t>50% apmērā no valstī noteiktās minimālās mēneša darba algas</w:t>
            </w:r>
            <w:r w:rsidR="00FE5EA3" w:rsidRPr="00EF1B0A">
              <w:rPr>
                <w:rFonts w:eastAsia="ヒラギノ角ゴ Pro W3"/>
                <w:color w:val="000000"/>
                <w:sz w:val="24"/>
                <w:lang w:val="lv-LV"/>
              </w:rPr>
              <w:t xml:space="preserve">. Minētā izmaksu pozīcija būs attiecināma apmācot jauniešus vecumā līdz </w:t>
            </w:r>
            <w:r w:rsidR="00BE515D" w:rsidRPr="00526CAD">
              <w:rPr>
                <w:rFonts w:eastAsia="ヒラギノ角ゴ Pro W3"/>
                <w:color w:val="000000"/>
                <w:sz w:val="24"/>
                <w:lang w:val="lv-LV"/>
              </w:rPr>
              <w:t>30</w:t>
            </w:r>
            <w:r w:rsidR="00FE5EA3" w:rsidRPr="00EF1B0A">
              <w:rPr>
                <w:rFonts w:eastAsia="ヒラギノ角ゴ Pro W3"/>
                <w:color w:val="000000"/>
                <w:sz w:val="24"/>
                <w:lang w:val="lv-LV"/>
              </w:rPr>
              <w:t xml:space="preserve"> gadiem, kas ir stājušies darba tiesiskajās attiecībās ar devēju pēdējo trīs mēnešu laikā līdz dalībai apmācības kursos</w:t>
            </w:r>
            <w:r w:rsidRPr="00EF1B0A">
              <w:rPr>
                <w:sz w:val="24"/>
                <w:szCs w:val="24"/>
                <w:lang w:val="lv-LV"/>
              </w:rPr>
              <w:t>;</w:t>
            </w:r>
          </w:p>
          <w:p w:rsidR="005B374A" w:rsidRPr="00EF1B0A" w:rsidRDefault="00F924ED" w:rsidP="007D3113">
            <w:pPr>
              <w:pStyle w:val="ListParagraph"/>
              <w:numPr>
                <w:ilvl w:val="0"/>
                <w:numId w:val="9"/>
              </w:numPr>
              <w:ind w:left="709" w:hanging="284"/>
              <w:jc w:val="both"/>
              <w:rPr>
                <w:bCs/>
                <w:sz w:val="24"/>
                <w:szCs w:val="24"/>
                <w:lang w:val="lv-LV"/>
              </w:rPr>
            </w:pPr>
            <w:r w:rsidRPr="00EF1B0A">
              <w:rPr>
                <w:sz w:val="24"/>
                <w:szCs w:val="24"/>
                <w:lang w:val="lv-LV"/>
              </w:rPr>
              <w:t>papildināt atbalstāmās darbības ar apmācībām pie darba devēja;</w:t>
            </w:r>
          </w:p>
          <w:p w:rsidR="004F2359" w:rsidRPr="00526CAD" w:rsidRDefault="004F2359" w:rsidP="007D3113">
            <w:pPr>
              <w:pStyle w:val="ListParagraph"/>
              <w:numPr>
                <w:ilvl w:val="0"/>
                <w:numId w:val="9"/>
              </w:numPr>
              <w:ind w:left="709" w:hanging="284"/>
              <w:jc w:val="both"/>
              <w:rPr>
                <w:bCs/>
                <w:sz w:val="24"/>
                <w:szCs w:val="24"/>
                <w:lang w:val="lv-LV"/>
              </w:rPr>
            </w:pPr>
            <w:r w:rsidRPr="00526CAD">
              <w:rPr>
                <w:bCs/>
                <w:sz w:val="24"/>
                <w:szCs w:val="24"/>
                <w:lang w:val="lv-LV"/>
              </w:rPr>
              <w:t>precizēt  MK noteikumu Nr.328 30.4.apakšpunkta redakciju</w:t>
            </w:r>
            <w:r w:rsidR="00B45C8B" w:rsidRPr="00526CAD">
              <w:rPr>
                <w:bCs/>
                <w:sz w:val="24"/>
                <w:szCs w:val="24"/>
                <w:lang w:val="lv-LV"/>
              </w:rPr>
              <w:t>,</w:t>
            </w:r>
            <w:r w:rsidRPr="00526CAD">
              <w:rPr>
                <w:bCs/>
                <w:sz w:val="24"/>
                <w:szCs w:val="24"/>
                <w:lang w:val="lv-LV"/>
              </w:rPr>
              <w:t xml:space="preserve"> nodrošinot tā atbilstību </w:t>
            </w:r>
            <w:r w:rsidR="00C272F7" w:rsidRPr="00526CAD">
              <w:rPr>
                <w:bCs/>
                <w:sz w:val="24"/>
                <w:szCs w:val="24"/>
                <w:lang w:val="lv-LV"/>
              </w:rPr>
              <w:t>ar projektu iesniegumu 9.9.atbilstības kritēriju, kas nosaka, ka pie viena apmācību sniedzēja tiek apmācīti vismaz trīs saimnieciskās darbības veicēju darbinieki;</w:t>
            </w:r>
          </w:p>
          <w:p w:rsidR="00B20369" w:rsidRPr="00EF1B0A" w:rsidRDefault="00B20369" w:rsidP="007D3113">
            <w:pPr>
              <w:pStyle w:val="ListParagraph"/>
              <w:numPr>
                <w:ilvl w:val="0"/>
                <w:numId w:val="9"/>
              </w:numPr>
              <w:ind w:left="709" w:hanging="284"/>
              <w:jc w:val="both"/>
              <w:rPr>
                <w:bCs/>
                <w:sz w:val="24"/>
                <w:szCs w:val="24"/>
                <w:lang w:val="lv-LV"/>
              </w:rPr>
            </w:pPr>
            <w:r w:rsidRPr="00EF1B0A">
              <w:rPr>
                <w:bCs/>
                <w:sz w:val="24"/>
                <w:szCs w:val="24"/>
                <w:lang w:val="lv-LV"/>
              </w:rPr>
              <w:t xml:space="preserve">noteikt, ka aktivitātes ietvaros nevar tiks segtas atlīdzības izmaksas darba vadītājam, ja apmācāmais jaunietis ir saņēmis atbalstu </w:t>
            </w:r>
            <w:r w:rsidRPr="00EF1B0A">
              <w:rPr>
                <w:color w:val="000000"/>
                <w:sz w:val="24"/>
                <w:szCs w:val="24"/>
                <w:lang w:val="lv-LV"/>
              </w:rPr>
              <w:t>1.4.1.1.1. apakšaktivitātes „Kompleksi atbalsta pasākumi iedzīvotāju integrēšanai darba tirgū” pasākumā „Darba vieta jaunietim”</w:t>
            </w:r>
            <w:r w:rsidR="00F924ED" w:rsidRPr="00EF1B0A">
              <w:rPr>
                <w:color w:val="000000"/>
                <w:sz w:val="24"/>
                <w:szCs w:val="24"/>
                <w:lang w:val="lv-LV"/>
              </w:rPr>
              <w:t>;</w:t>
            </w:r>
          </w:p>
          <w:p w:rsidR="00637231" w:rsidRPr="00526CAD" w:rsidRDefault="009E3D6E" w:rsidP="00EF1B0A">
            <w:pPr>
              <w:pStyle w:val="ListParagraph"/>
              <w:numPr>
                <w:ilvl w:val="0"/>
                <w:numId w:val="9"/>
              </w:numPr>
              <w:tabs>
                <w:tab w:val="left" w:pos="925"/>
              </w:tabs>
              <w:ind w:left="709" w:hanging="284"/>
              <w:jc w:val="both"/>
              <w:rPr>
                <w:bCs/>
                <w:sz w:val="24"/>
                <w:szCs w:val="24"/>
                <w:lang w:val="lv-LV"/>
              </w:rPr>
            </w:pPr>
            <w:r w:rsidRPr="00EF1B0A">
              <w:rPr>
                <w:color w:val="000000"/>
                <w:sz w:val="24"/>
                <w:szCs w:val="24"/>
                <w:lang w:val="lv-LV"/>
              </w:rPr>
              <w:t xml:space="preserve">noteikt, ka finansējuma intensitāte par </w:t>
            </w:r>
            <w:r w:rsidRPr="00EF1B0A">
              <w:rPr>
                <w:sz w:val="24"/>
                <w:szCs w:val="24"/>
                <w:lang w:val="lv-LV"/>
              </w:rPr>
              <w:t>atlīdzības izmaksām darba vadītājam ir 100%</w:t>
            </w:r>
            <w:r w:rsidR="000C0C3A" w:rsidRPr="00526CAD">
              <w:rPr>
                <w:sz w:val="24"/>
                <w:szCs w:val="24"/>
                <w:lang w:val="lv-LV"/>
              </w:rPr>
              <w:t>, un ka finansējuma intensitāti nevar palielināt šīm izmaksām, ja visas iesaistītās personas ir nelabvēlīgā situācijā esoši darba ņēmēji</w:t>
            </w:r>
            <w:r w:rsidRPr="00EF1B0A">
              <w:rPr>
                <w:sz w:val="24"/>
                <w:szCs w:val="24"/>
                <w:lang w:val="lv-LV"/>
              </w:rPr>
              <w:t>;</w:t>
            </w:r>
          </w:p>
          <w:p w:rsidR="007D3113" w:rsidRPr="00526CAD" w:rsidRDefault="00E4618D" w:rsidP="007D3113">
            <w:pPr>
              <w:pStyle w:val="ListParagraph"/>
              <w:numPr>
                <w:ilvl w:val="0"/>
                <w:numId w:val="9"/>
              </w:numPr>
              <w:ind w:left="709" w:hanging="284"/>
              <w:jc w:val="both"/>
              <w:rPr>
                <w:bCs/>
                <w:sz w:val="24"/>
                <w:szCs w:val="24"/>
                <w:lang w:val="lv-LV"/>
              </w:rPr>
            </w:pPr>
            <w:r w:rsidRPr="00526CAD">
              <w:rPr>
                <w:bCs/>
                <w:sz w:val="24"/>
                <w:szCs w:val="24"/>
                <w:lang w:val="lv-LV"/>
              </w:rPr>
              <w:t xml:space="preserve">precizēt viena projekta </w:t>
            </w:r>
            <w:r w:rsidR="00CA0A26" w:rsidRPr="00526CAD">
              <w:rPr>
                <w:bCs/>
                <w:sz w:val="24"/>
                <w:szCs w:val="24"/>
                <w:lang w:val="lv-LV"/>
              </w:rPr>
              <w:t xml:space="preserve">maksimālo </w:t>
            </w:r>
            <w:r w:rsidRPr="00526CAD">
              <w:rPr>
                <w:bCs/>
                <w:sz w:val="24"/>
                <w:szCs w:val="24"/>
                <w:lang w:val="lv-LV"/>
              </w:rPr>
              <w:t>finansējuma apmēru, to palielinot līdz 2 000 000 latiem;</w:t>
            </w:r>
          </w:p>
          <w:p w:rsidR="007D3113" w:rsidRPr="00526CAD" w:rsidRDefault="00E4618D" w:rsidP="007D3113">
            <w:pPr>
              <w:pStyle w:val="ListParagraph"/>
              <w:numPr>
                <w:ilvl w:val="0"/>
                <w:numId w:val="9"/>
              </w:numPr>
              <w:ind w:left="709" w:hanging="284"/>
              <w:jc w:val="both"/>
              <w:rPr>
                <w:bCs/>
                <w:sz w:val="24"/>
                <w:szCs w:val="24"/>
                <w:lang w:val="lv-LV"/>
              </w:rPr>
            </w:pPr>
            <w:r w:rsidRPr="00526CAD">
              <w:rPr>
                <w:bCs/>
                <w:sz w:val="24"/>
                <w:szCs w:val="24"/>
                <w:lang w:val="lv-LV"/>
              </w:rPr>
              <w:t>noteikt maksimālo projekta īstenošanas termiņu līdz 2015.gada jūnijam tiem projektiem</w:t>
            </w:r>
            <w:r w:rsidR="00C272F7" w:rsidRPr="00526CAD">
              <w:rPr>
                <w:bCs/>
                <w:sz w:val="24"/>
                <w:szCs w:val="24"/>
                <w:lang w:val="lv-LV"/>
              </w:rPr>
              <w:t>, kam tiek palielināts finansējuma apjoms</w:t>
            </w:r>
            <w:r w:rsidR="00DC3053" w:rsidRPr="00526CAD">
              <w:rPr>
                <w:bCs/>
                <w:sz w:val="24"/>
                <w:szCs w:val="24"/>
                <w:lang w:val="lv-LV"/>
              </w:rPr>
              <w:t>;</w:t>
            </w:r>
          </w:p>
          <w:p w:rsidR="00CB6A16" w:rsidRPr="00526CAD" w:rsidRDefault="00AF01CF" w:rsidP="00C272F7">
            <w:pPr>
              <w:pStyle w:val="ListParagraph"/>
              <w:numPr>
                <w:ilvl w:val="0"/>
                <w:numId w:val="9"/>
              </w:numPr>
              <w:ind w:left="709" w:hanging="284"/>
              <w:jc w:val="both"/>
              <w:rPr>
                <w:bCs/>
                <w:sz w:val="24"/>
                <w:szCs w:val="24"/>
                <w:lang w:val="lv-LV"/>
              </w:rPr>
            </w:pPr>
            <w:r w:rsidRPr="00526CAD">
              <w:rPr>
                <w:bCs/>
                <w:sz w:val="24"/>
                <w:szCs w:val="24"/>
                <w:lang w:val="lv-LV"/>
              </w:rPr>
              <w:t>svītrot prasību iesniegt ceturkšņa plānu</w:t>
            </w:r>
            <w:r w:rsidR="007D3113" w:rsidRPr="00526CAD">
              <w:rPr>
                <w:bCs/>
                <w:sz w:val="24"/>
                <w:szCs w:val="24"/>
                <w:lang w:val="lv-LV"/>
              </w:rPr>
              <w:t>;</w:t>
            </w:r>
          </w:p>
          <w:p w:rsidR="002528CF" w:rsidRPr="00EF1B0A" w:rsidRDefault="00766F64" w:rsidP="00C272F7">
            <w:pPr>
              <w:pStyle w:val="ListParagraph"/>
              <w:numPr>
                <w:ilvl w:val="0"/>
                <w:numId w:val="9"/>
              </w:numPr>
              <w:ind w:left="709" w:hanging="284"/>
              <w:jc w:val="both"/>
              <w:rPr>
                <w:bCs/>
                <w:sz w:val="24"/>
                <w:szCs w:val="24"/>
                <w:lang w:val="lv-LV"/>
              </w:rPr>
            </w:pPr>
            <w:r w:rsidRPr="00EF1B0A">
              <w:rPr>
                <w:bCs/>
                <w:sz w:val="24"/>
                <w:szCs w:val="24"/>
                <w:lang w:val="lv-LV"/>
              </w:rPr>
              <w:t xml:space="preserve">noteikt, ka MK noteikumu Nr.328 83.punktā noteiktā finanšu </w:t>
            </w:r>
            <w:r w:rsidR="00930DCC" w:rsidRPr="00EF1B0A">
              <w:rPr>
                <w:bCs/>
                <w:sz w:val="24"/>
                <w:szCs w:val="24"/>
                <w:lang w:val="lv-LV"/>
              </w:rPr>
              <w:t>samazinājums</w:t>
            </w:r>
            <w:r w:rsidRPr="00EF1B0A">
              <w:rPr>
                <w:bCs/>
                <w:sz w:val="24"/>
                <w:szCs w:val="24"/>
                <w:lang w:val="lv-LV"/>
              </w:rPr>
              <w:t xml:space="preserve"> netiek piemērot</w:t>
            </w:r>
            <w:r w:rsidR="00930DCC" w:rsidRPr="00EF1B0A">
              <w:rPr>
                <w:bCs/>
                <w:sz w:val="24"/>
                <w:szCs w:val="24"/>
                <w:lang w:val="lv-LV"/>
              </w:rPr>
              <w:t>s</w:t>
            </w:r>
            <w:r w:rsidRPr="00EF1B0A">
              <w:rPr>
                <w:bCs/>
                <w:sz w:val="24"/>
                <w:szCs w:val="24"/>
                <w:lang w:val="lv-LV"/>
              </w:rPr>
              <w:t xml:space="preserve"> tiem finansējuma saņēmējiem, kas atbilstoši noteikumu projekta </w:t>
            </w:r>
            <w:r w:rsidR="00B81761" w:rsidRPr="00EF1B0A">
              <w:rPr>
                <w:bCs/>
                <w:sz w:val="24"/>
                <w:szCs w:val="24"/>
                <w:lang w:val="lv-LV"/>
              </w:rPr>
              <w:t>2</w:t>
            </w:r>
            <w:r w:rsidR="00937A69" w:rsidRPr="00EF1B0A">
              <w:rPr>
                <w:bCs/>
                <w:sz w:val="24"/>
                <w:szCs w:val="24"/>
                <w:lang w:val="lv-LV"/>
              </w:rPr>
              <w:t>1</w:t>
            </w:r>
            <w:r w:rsidR="00B81761" w:rsidRPr="00EF1B0A">
              <w:rPr>
                <w:bCs/>
                <w:sz w:val="24"/>
                <w:szCs w:val="24"/>
                <w:lang w:val="lv-LV"/>
              </w:rPr>
              <w:t>.un 2</w:t>
            </w:r>
            <w:r w:rsidR="00937A69" w:rsidRPr="00EF1B0A">
              <w:rPr>
                <w:bCs/>
                <w:sz w:val="24"/>
                <w:szCs w:val="24"/>
                <w:lang w:val="lv-LV"/>
              </w:rPr>
              <w:t>2</w:t>
            </w:r>
            <w:r w:rsidRPr="00EF1B0A">
              <w:rPr>
                <w:bCs/>
                <w:sz w:val="24"/>
                <w:szCs w:val="24"/>
                <w:lang w:val="lv-LV"/>
              </w:rPr>
              <w:t>.punktam ir saņēmuši papildus finansējumu;</w:t>
            </w:r>
          </w:p>
          <w:p w:rsidR="002B30CE" w:rsidRPr="00526CAD" w:rsidRDefault="00C272F7" w:rsidP="002B30CE">
            <w:pPr>
              <w:pStyle w:val="ListParagraph"/>
              <w:numPr>
                <w:ilvl w:val="0"/>
                <w:numId w:val="9"/>
              </w:numPr>
              <w:ind w:left="709" w:hanging="284"/>
              <w:jc w:val="both"/>
              <w:rPr>
                <w:bCs/>
                <w:sz w:val="24"/>
                <w:szCs w:val="24"/>
                <w:lang w:val="lv-LV"/>
              </w:rPr>
            </w:pPr>
            <w:r w:rsidRPr="00526CAD">
              <w:rPr>
                <w:bCs/>
                <w:sz w:val="24"/>
                <w:szCs w:val="24"/>
                <w:lang w:val="lv-LV"/>
              </w:rPr>
              <w:t xml:space="preserve">noteikt, ka finansējuma saņēmējs var ierosināt grozījumus līgumā par projekta īstenošanu, </w:t>
            </w:r>
            <w:r w:rsidRPr="00526CAD">
              <w:rPr>
                <w:sz w:val="24"/>
                <w:szCs w:val="24"/>
                <w:lang w:val="lv-LV"/>
              </w:rPr>
              <w:t>paredzot tajā palielināt projekta kopējā finansējuma apjomu</w:t>
            </w:r>
            <w:r w:rsidR="00685AFD" w:rsidRPr="00526CAD">
              <w:rPr>
                <w:sz w:val="24"/>
                <w:szCs w:val="24"/>
                <w:lang w:val="lv-LV"/>
              </w:rPr>
              <w:t xml:space="preserve"> proporcion</w:t>
            </w:r>
            <w:r w:rsidR="00685AFD" w:rsidRPr="00EF1B0A">
              <w:rPr>
                <w:sz w:val="24"/>
                <w:szCs w:val="24"/>
                <w:lang w:val="lv-LV"/>
              </w:rPr>
              <w:t xml:space="preserve">āli izmantojot virssaistību finansējumu (valsts budžeta finansējums) un </w:t>
            </w:r>
            <w:r w:rsidR="00685AFD" w:rsidRPr="00EF1B0A">
              <w:rPr>
                <w:color w:val="000000"/>
                <w:spacing w:val="4"/>
                <w:sz w:val="24"/>
                <w:szCs w:val="24"/>
                <w:lang w:val="lv-LV"/>
              </w:rPr>
              <w:t xml:space="preserve">finansējumu, kas iegūts, finansējuma saņēmējiem piemērojot finanšu </w:t>
            </w:r>
            <w:r w:rsidR="00717880" w:rsidRPr="00EF1B0A">
              <w:rPr>
                <w:color w:val="000000"/>
                <w:spacing w:val="4"/>
                <w:sz w:val="24"/>
                <w:szCs w:val="24"/>
                <w:lang w:val="lv-LV"/>
              </w:rPr>
              <w:t xml:space="preserve">samazinājumu atbilstoši MK noteikumu </w:t>
            </w:r>
            <w:r w:rsidR="004B31C4" w:rsidRPr="00EF1B0A">
              <w:rPr>
                <w:color w:val="000000"/>
                <w:spacing w:val="4"/>
                <w:sz w:val="24"/>
                <w:szCs w:val="24"/>
                <w:lang w:val="lv-LV"/>
              </w:rPr>
              <w:t xml:space="preserve">Nr.328 </w:t>
            </w:r>
            <w:r w:rsidR="00717880" w:rsidRPr="00EF1B0A">
              <w:rPr>
                <w:color w:val="000000"/>
                <w:spacing w:val="4"/>
                <w:sz w:val="24"/>
                <w:szCs w:val="24"/>
                <w:lang w:val="lv-LV"/>
              </w:rPr>
              <w:t>83.punktam</w:t>
            </w:r>
            <w:r w:rsidR="001106FA" w:rsidRPr="00EF1B0A">
              <w:rPr>
                <w:bCs/>
                <w:sz w:val="24"/>
                <w:szCs w:val="24"/>
                <w:lang w:val="lv-LV"/>
              </w:rPr>
              <w:t>,</w:t>
            </w:r>
            <w:r w:rsidRPr="00526CAD">
              <w:rPr>
                <w:bCs/>
                <w:sz w:val="24"/>
                <w:szCs w:val="24"/>
                <w:lang w:val="lv-LV"/>
              </w:rPr>
              <w:t xml:space="preserve"> ja tas ir </w:t>
            </w:r>
            <w:r w:rsidRPr="00526CAD">
              <w:rPr>
                <w:sz w:val="24"/>
                <w:szCs w:val="24"/>
                <w:lang w:val="lv-LV"/>
              </w:rPr>
              <w:t xml:space="preserve">iesniedzis sadarbības iestādei maksājuma pieprasījumus vismaz par </w:t>
            </w:r>
            <w:r w:rsidR="00A54F7E" w:rsidRPr="00526CAD">
              <w:rPr>
                <w:sz w:val="24"/>
                <w:szCs w:val="24"/>
                <w:lang w:val="lv-LV"/>
              </w:rPr>
              <w:t>7</w:t>
            </w:r>
            <w:r w:rsidR="00E4618D" w:rsidRPr="00526CAD">
              <w:rPr>
                <w:sz w:val="24"/>
                <w:szCs w:val="24"/>
                <w:lang w:val="lv-LV"/>
              </w:rPr>
              <w:t>0% no projekta attiecināmo izmaksu summas,</w:t>
            </w:r>
            <w:r w:rsidR="001106FA" w:rsidRPr="00526CAD">
              <w:rPr>
                <w:sz w:val="24"/>
                <w:szCs w:val="24"/>
                <w:lang w:val="lv-LV"/>
              </w:rPr>
              <w:t xml:space="preserve"> un neizmantotais projekta finansējums nepārsniedz </w:t>
            </w:r>
            <w:r w:rsidR="001106FA" w:rsidRPr="00526CAD">
              <w:rPr>
                <w:sz w:val="24"/>
                <w:szCs w:val="24"/>
                <w:lang w:val="lv-LV"/>
              </w:rPr>
              <w:lastRenderedPageBreak/>
              <w:t>300 000 latus,</w:t>
            </w:r>
            <w:r w:rsidR="0047631D" w:rsidRPr="00526CAD">
              <w:rPr>
                <w:sz w:val="24"/>
                <w:szCs w:val="24"/>
                <w:lang w:val="lv-LV"/>
              </w:rPr>
              <w:t xml:space="preserve"> finansējuma intensitāte </w:t>
            </w:r>
            <w:r w:rsidR="00717880" w:rsidRPr="00526CAD">
              <w:rPr>
                <w:sz w:val="24"/>
                <w:szCs w:val="24"/>
                <w:lang w:val="lv-LV"/>
              </w:rPr>
              <w:t xml:space="preserve">atbilstoši līgumam par projekta īstenošanu </w:t>
            </w:r>
            <w:r w:rsidR="0047631D" w:rsidRPr="00526CAD">
              <w:rPr>
                <w:sz w:val="24"/>
                <w:szCs w:val="24"/>
                <w:lang w:val="lv-LV"/>
              </w:rPr>
              <w:t>netiek palielin</w:t>
            </w:r>
            <w:r w:rsidR="00E4618D" w:rsidRPr="00526CAD">
              <w:rPr>
                <w:sz w:val="24"/>
                <w:szCs w:val="24"/>
                <w:lang w:val="lv-LV"/>
              </w:rPr>
              <w:t>āta un par</w:t>
            </w:r>
            <w:r w:rsidRPr="00526CAD">
              <w:rPr>
                <w:sz w:val="24"/>
                <w:szCs w:val="24"/>
                <w:lang w:val="lv-LV"/>
              </w:rPr>
              <w:t xml:space="preserve"> piešķirto papildus finansējumu </w:t>
            </w:r>
            <w:r w:rsidR="00717880" w:rsidRPr="00EF1B0A">
              <w:rPr>
                <w:sz w:val="24"/>
                <w:szCs w:val="24"/>
                <w:lang w:val="lv-LV"/>
              </w:rPr>
              <w:t>atbilstoši uz līguma par projekta īstenošanu  grozījumu ierosināšanas dienā sasniegtajiem rezultatīvajiem rādītājiem</w:t>
            </w:r>
            <w:r w:rsidR="00C60771" w:rsidRPr="00526CAD">
              <w:rPr>
                <w:sz w:val="24"/>
                <w:szCs w:val="24"/>
                <w:lang w:val="lv-LV"/>
              </w:rPr>
              <w:t xml:space="preserve"> </w:t>
            </w:r>
            <w:r w:rsidR="00717880" w:rsidRPr="00EF1B0A">
              <w:rPr>
                <w:rStyle w:val="apple-style-span"/>
                <w:color w:val="000000"/>
                <w:sz w:val="24"/>
                <w:szCs w:val="24"/>
                <w:lang w:val="lv-LV"/>
              </w:rPr>
              <w:t>(apmācīto darbinieku skaits)</w:t>
            </w:r>
            <w:r w:rsidR="00717880" w:rsidRPr="00EF1B0A">
              <w:rPr>
                <w:sz w:val="24"/>
                <w:szCs w:val="24"/>
                <w:lang w:val="lv-LV"/>
              </w:rPr>
              <w:t xml:space="preserve"> un proporcionāli palielinātajam projekta finansējuma apjomam projekta ietvaros </w:t>
            </w:r>
            <w:r w:rsidR="00F06BE8" w:rsidRPr="00EF1B0A">
              <w:rPr>
                <w:sz w:val="24"/>
                <w:szCs w:val="24"/>
                <w:lang w:val="lv-LV"/>
              </w:rPr>
              <w:t xml:space="preserve">tiks apmācīti vismaz tikpat </w:t>
            </w:r>
            <w:r w:rsidR="00EA34D6" w:rsidRPr="00EF1B0A">
              <w:rPr>
                <w:sz w:val="24"/>
                <w:szCs w:val="24"/>
                <w:lang w:val="lv-LV"/>
              </w:rPr>
              <w:t xml:space="preserve">līdz šim apmācībās neiesaistīti </w:t>
            </w:r>
            <w:r w:rsidR="00F06BE8" w:rsidRPr="00EF1B0A">
              <w:rPr>
                <w:sz w:val="24"/>
                <w:szCs w:val="24"/>
                <w:lang w:val="lv-LV"/>
              </w:rPr>
              <w:t>darbinieki</w:t>
            </w:r>
            <w:r w:rsidR="00F924ED" w:rsidRPr="00EF1B0A">
              <w:rPr>
                <w:sz w:val="24"/>
                <w:szCs w:val="24"/>
                <w:lang w:val="lv-LV"/>
              </w:rPr>
              <w:t>.</w:t>
            </w:r>
            <w:r w:rsidRPr="00526CAD">
              <w:rPr>
                <w:sz w:val="24"/>
                <w:szCs w:val="24"/>
                <w:lang w:val="lv-LV"/>
              </w:rPr>
              <w:t xml:space="preserve"> </w:t>
            </w:r>
            <w:r w:rsidR="00957CB6" w:rsidRPr="00526CAD">
              <w:rPr>
                <w:sz w:val="24"/>
                <w:szCs w:val="24"/>
                <w:lang w:val="lv-LV"/>
              </w:rPr>
              <w:t xml:space="preserve">Vienā pieteikšanās reizē atbalsta finansējuma </w:t>
            </w:r>
            <w:r w:rsidR="00BE6036" w:rsidRPr="00526CAD">
              <w:rPr>
                <w:sz w:val="24"/>
                <w:szCs w:val="24"/>
                <w:lang w:val="lv-LV"/>
              </w:rPr>
              <w:t xml:space="preserve">apmēru </w:t>
            </w:r>
            <w:r w:rsidR="00957CB6" w:rsidRPr="00526CAD">
              <w:rPr>
                <w:sz w:val="24"/>
                <w:szCs w:val="24"/>
                <w:lang w:val="lv-LV"/>
              </w:rPr>
              <w:t xml:space="preserve">nevar palielināt vairāk par </w:t>
            </w:r>
            <w:r w:rsidR="00E424F8" w:rsidRPr="00526CAD">
              <w:rPr>
                <w:sz w:val="24"/>
                <w:szCs w:val="24"/>
                <w:lang w:val="lv-LV"/>
              </w:rPr>
              <w:t>500 </w:t>
            </w:r>
            <w:r w:rsidR="00957CB6" w:rsidRPr="00526CAD">
              <w:rPr>
                <w:sz w:val="24"/>
                <w:szCs w:val="24"/>
                <w:lang w:val="lv-LV"/>
              </w:rPr>
              <w:t xml:space="preserve">000 latiem. </w:t>
            </w:r>
          </w:p>
          <w:p w:rsidR="00D83212" w:rsidRPr="00EF1B0A" w:rsidRDefault="002B30CE" w:rsidP="002B30CE">
            <w:pPr>
              <w:pStyle w:val="ListParagraph"/>
              <w:numPr>
                <w:ilvl w:val="0"/>
                <w:numId w:val="9"/>
              </w:numPr>
              <w:tabs>
                <w:tab w:val="left" w:pos="517"/>
                <w:tab w:val="left" w:pos="850"/>
              </w:tabs>
              <w:ind w:left="709" w:hanging="284"/>
              <w:jc w:val="both"/>
              <w:rPr>
                <w:bCs/>
                <w:sz w:val="24"/>
                <w:szCs w:val="24"/>
                <w:lang w:val="lv-LV"/>
              </w:rPr>
            </w:pPr>
            <w:r w:rsidRPr="00EF1B0A">
              <w:rPr>
                <w:rFonts w:eastAsia="ヒラギノ角ゴ Pro W3"/>
                <w:sz w:val="24"/>
                <w:shd w:val="clear" w:color="auto" w:fill="FFFFFF"/>
                <w:lang w:val="lv-LV"/>
              </w:rPr>
              <w:t>a</w:t>
            </w:r>
            <w:r w:rsidR="00F924ED" w:rsidRPr="00EF1B0A">
              <w:rPr>
                <w:rFonts w:eastAsia="ヒラギノ角ゴ Pro W3"/>
                <w:sz w:val="24"/>
                <w:shd w:val="clear" w:color="auto" w:fill="FFFFFF"/>
                <w:lang w:val="lv-LV"/>
              </w:rPr>
              <w:t xml:space="preserve">ttiecībā uz virssaistību finansējumu noteikt, ka vismaz 20% no papildus piešķirtā virssaistību finansējuma tiek izmantoti apmācību sniegšanai jauniešiem (personām līdz </w:t>
            </w:r>
            <w:r w:rsidR="00BE515D" w:rsidRPr="00526CAD">
              <w:rPr>
                <w:rFonts w:eastAsia="ヒラギノ角ゴ Pro W3"/>
                <w:sz w:val="24"/>
                <w:shd w:val="clear" w:color="auto" w:fill="FFFFFF"/>
                <w:lang w:val="lv-LV"/>
              </w:rPr>
              <w:t>30</w:t>
            </w:r>
            <w:r w:rsidR="00F924ED" w:rsidRPr="00EF1B0A">
              <w:rPr>
                <w:rFonts w:eastAsia="ヒラギノ角ゴ Pro W3"/>
                <w:sz w:val="24"/>
                <w:shd w:val="clear" w:color="auto" w:fill="FFFFFF"/>
                <w:lang w:val="lv-LV"/>
              </w:rPr>
              <w:t xml:space="preserve"> gadiem), vismaz 15 % ti</w:t>
            </w:r>
            <w:r w:rsidR="00F06BE8" w:rsidRPr="00EF1B0A">
              <w:rPr>
                <w:rFonts w:eastAsia="ヒラギノ角ゴ Pro W3"/>
                <w:sz w:val="24"/>
                <w:shd w:val="clear" w:color="auto" w:fill="FFFFFF"/>
                <w:lang w:val="lv-LV"/>
              </w:rPr>
              <w:t>ks</w:t>
            </w:r>
            <w:r w:rsidR="00F924ED" w:rsidRPr="00EF1B0A">
              <w:rPr>
                <w:rFonts w:eastAsia="ヒラギノ角ゴ Pro W3"/>
                <w:sz w:val="24"/>
                <w:shd w:val="clear" w:color="auto" w:fill="FFFFFF"/>
                <w:lang w:val="lv-LV"/>
              </w:rPr>
              <w:t xml:space="preserve"> izmantoti apmācībām Latvijas reģionos - Zemgales, Vidzemes un Kurzemes plānošanas reģionos un vismaz 5 % ti</w:t>
            </w:r>
            <w:r w:rsidR="00F06BE8" w:rsidRPr="00EF1B0A">
              <w:rPr>
                <w:rFonts w:eastAsia="ヒラギノ角ゴ Pro W3"/>
                <w:sz w:val="24"/>
                <w:shd w:val="clear" w:color="auto" w:fill="FFFFFF"/>
                <w:lang w:val="lv-LV"/>
              </w:rPr>
              <w:t>ks</w:t>
            </w:r>
            <w:r w:rsidR="00F924ED" w:rsidRPr="00EF1B0A">
              <w:rPr>
                <w:rFonts w:eastAsia="ヒラギノ角ゴ Pro W3"/>
                <w:sz w:val="24"/>
                <w:shd w:val="clear" w:color="auto" w:fill="FFFFFF"/>
                <w:lang w:val="lv-LV"/>
              </w:rPr>
              <w:t xml:space="preserve"> izmantoti apmācību sniegšanai Latgales plānošanas reģionā;</w:t>
            </w:r>
          </w:p>
          <w:p w:rsidR="00D83212" w:rsidRPr="00EF1B0A" w:rsidRDefault="00766F64" w:rsidP="00D83212">
            <w:pPr>
              <w:pStyle w:val="ListParagraph"/>
              <w:numPr>
                <w:ilvl w:val="0"/>
                <w:numId w:val="9"/>
              </w:numPr>
              <w:ind w:left="709"/>
              <w:contextualSpacing w:val="0"/>
              <w:jc w:val="both"/>
              <w:rPr>
                <w:rFonts w:eastAsia="ヒラギノ角ゴ Pro W3"/>
                <w:color w:val="000000"/>
                <w:sz w:val="24"/>
                <w:shd w:val="clear" w:color="auto" w:fill="FFFFFF"/>
                <w:lang w:val="lv-LV"/>
              </w:rPr>
            </w:pPr>
            <w:r w:rsidRPr="00EF1B0A">
              <w:rPr>
                <w:rFonts w:eastAsia="ヒラギノ角ゴ Pro W3"/>
                <w:sz w:val="24"/>
                <w:shd w:val="clear" w:color="auto" w:fill="FFFFFF"/>
                <w:lang w:val="lv-LV"/>
              </w:rPr>
              <w:t>noteikt, ka finansējuma saņēmējam ir jāturpina īstenot atbalstāmās darbības, izmantojot virssaistību finansējumu, ne vēlāk kā pirmajā ceturksnī pēc virssaistību finansējumu iekļaušanas līgumā par projekta īstenošanu. Savukārt finansējuma saņēmēj</w:t>
            </w:r>
            <w:r w:rsidR="008E5140" w:rsidRPr="00526CAD">
              <w:rPr>
                <w:rFonts w:eastAsia="ヒラギノ角ゴ Pro W3"/>
                <w:sz w:val="24"/>
                <w:shd w:val="clear" w:color="auto" w:fill="FFFFFF"/>
                <w:lang w:val="lv-LV"/>
              </w:rPr>
              <w:t>am</w:t>
            </w:r>
            <w:r w:rsidRPr="00EF1B0A">
              <w:rPr>
                <w:rFonts w:eastAsia="ヒラギノ角ゴ Pro W3"/>
                <w:sz w:val="24"/>
                <w:shd w:val="clear" w:color="auto" w:fill="FFFFFF"/>
                <w:lang w:val="lv-LV"/>
              </w:rPr>
              <w:t xml:space="preserve"> </w:t>
            </w:r>
            <w:r w:rsidR="008E5140" w:rsidRPr="00526CAD">
              <w:rPr>
                <w:rFonts w:eastAsia="ヒラギノ角ゴ Pro W3"/>
                <w:sz w:val="24"/>
                <w:shd w:val="clear" w:color="auto" w:fill="FFFFFF"/>
                <w:lang w:val="lv-LV"/>
              </w:rPr>
              <w:t xml:space="preserve">izdevumi </w:t>
            </w:r>
            <w:r w:rsidRPr="00EF1B0A">
              <w:rPr>
                <w:rFonts w:eastAsia="ヒラギノ角ゴ Pro W3"/>
                <w:sz w:val="24"/>
                <w:shd w:val="clear" w:color="auto" w:fill="FFFFFF"/>
                <w:lang w:val="lv-LV"/>
              </w:rPr>
              <w:t>vai sadarbības iestāde</w:t>
            </w:r>
            <w:r w:rsidR="008E5140" w:rsidRPr="00526CAD">
              <w:rPr>
                <w:rFonts w:eastAsia="ヒラギノ角ゴ Pro W3"/>
                <w:sz w:val="24"/>
                <w:shd w:val="clear" w:color="auto" w:fill="FFFFFF"/>
                <w:lang w:val="lv-LV"/>
              </w:rPr>
              <w:t>i</w:t>
            </w:r>
            <w:r w:rsidRPr="00EF1B0A">
              <w:rPr>
                <w:rFonts w:eastAsia="ヒラギノ角ゴ Pro W3"/>
                <w:sz w:val="24"/>
                <w:shd w:val="clear" w:color="auto" w:fill="FFFFFF"/>
                <w:lang w:val="lv-LV"/>
              </w:rPr>
              <w:t xml:space="preserve"> maksājum</w:t>
            </w:r>
            <w:r w:rsidR="008E5140" w:rsidRPr="00526CAD">
              <w:rPr>
                <w:rFonts w:eastAsia="ヒラギノ角ゴ Pro W3"/>
                <w:sz w:val="24"/>
                <w:shd w:val="clear" w:color="auto" w:fill="FFFFFF"/>
                <w:lang w:val="lv-LV"/>
              </w:rPr>
              <w:t>i</w:t>
            </w:r>
            <w:r w:rsidRPr="00EF1B0A">
              <w:rPr>
                <w:rFonts w:eastAsia="ヒラギノ角ゴ Pro W3"/>
                <w:sz w:val="24"/>
                <w:shd w:val="clear" w:color="auto" w:fill="FFFFFF"/>
                <w:lang w:val="lv-LV"/>
              </w:rPr>
              <w:t xml:space="preserve"> finansējuma saņēmējiem ir jāuzsāk veikt pirmajā pusgadā pēc virssaistību finansējuma iekļaušanas līgumā par projekta īstenošanu;</w:t>
            </w:r>
          </w:p>
          <w:p w:rsidR="008E5140" w:rsidRPr="00EF1B0A" w:rsidRDefault="00766F64" w:rsidP="00005DBB">
            <w:pPr>
              <w:pStyle w:val="ListParagraph"/>
              <w:numPr>
                <w:ilvl w:val="0"/>
                <w:numId w:val="9"/>
              </w:numPr>
              <w:tabs>
                <w:tab w:val="left" w:pos="850"/>
              </w:tabs>
              <w:ind w:left="709" w:hanging="284"/>
              <w:contextualSpacing w:val="0"/>
              <w:jc w:val="both"/>
              <w:rPr>
                <w:rFonts w:eastAsia="ヒラギノ角ゴ Pro W3"/>
                <w:color w:val="000000"/>
                <w:sz w:val="24"/>
                <w:shd w:val="clear" w:color="auto" w:fill="FFFFFF"/>
                <w:lang w:val="lv-LV"/>
              </w:rPr>
            </w:pPr>
            <w:r w:rsidRPr="00EF1B0A">
              <w:rPr>
                <w:rFonts w:eastAsia="ヒラギノ角ゴ Pro W3"/>
                <w:sz w:val="24"/>
                <w:shd w:val="clear" w:color="auto" w:fill="FFFFFF"/>
                <w:lang w:val="lv-LV"/>
              </w:rPr>
              <w:t>noteikt, ka, ja netiek ievērot 1</w:t>
            </w:r>
            <w:r w:rsidR="00BD44E2" w:rsidRPr="00EF1B0A">
              <w:rPr>
                <w:rFonts w:eastAsia="ヒラギノ角ゴ Pro W3"/>
                <w:sz w:val="24"/>
                <w:shd w:val="clear" w:color="auto" w:fill="FFFFFF"/>
                <w:lang w:val="lv-LV"/>
              </w:rPr>
              <w:t>7</w:t>
            </w:r>
            <w:r w:rsidRPr="00EF1B0A">
              <w:rPr>
                <w:rFonts w:eastAsia="ヒラギノ角ゴ Pro W3"/>
                <w:sz w:val="24"/>
                <w:shd w:val="clear" w:color="auto" w:fill="FFFFFF"/>
                <w:lang w:val="lv-LV"/>
              </w:rPr>
              <w:t xml:space="preserve">.punktā minētie nosacījumi, sadarbības iestāde samazina </w:t>
            </w:r>
            <w:r w:rsidR="006677FB" w:rsidRPr="00EF1B0A">
              <w:rPr>
                <w:sz w:val="24"/>
                <w:szCs w:val="24"/>
                <w:lang w:val="lv-LV"/>
              </w:rPr>
              <w:t>līgumā par projekta īstenošanu paredzēto finansējumu par papildus piešķirto finansējumu no virssaistību līdzekļiem</w:t>
            </w:r>
            <w:r w:rsidR="008E5140" w:rsidRPr="00526CAD">
              <w:rPr>
                <w:sz w:val="24"/>
                <w:szCs w:val="24"/>
                <w:lang w:val="lv-LV"/>
              </w:rPr>
              <w:t>;</w:t>
            </w:r>
          </w:p>
          <w:p w:rsidR="00B63137" w:rsidRPr="00526CAD" w:rsidRDefault="008E5140" w:rsidP="00EF1B0A">
            <w:pPr>
              <w:pStyle w:val="ListParagraph"/>
              <w:jc w:val="both"/>
              <w:rPr>
                <w:lang w:val="lv-LV"/>
              </w:rPr>
            </w:pPr>
            <w:r w:rsidRPr="00526CAD">
              <w:rPr>
                <w:rFonts w:eastAsia="ヒラギノ角ゴ Pro W3"/>
                <w:sz w:val="24"/>
                <w:shd w:val="clear" w:color="auto" w:fill="FFFFFF"/>
                <w:lang w:val="lv-LV"/>
              </w:rPr>
              <w:t>noteikt, ka partneriem ir jāiesniedz finansējuma saņēmējam uzskaites veidlapas par de minimis atbalstu, ja partneri plāno īstenot darbības, kurām piešķir de minimis atbalstu (prakse pie darba devēja). Finansējuma saņēmēji pārbauda partneru saņemtā de minimis atbalsta apjomu un pārliecinās, ka tas nepārsniedz Komisijas regulā Nr. 1998/2006 noteikto maksimālo apjomu, un iesniedz uzskaites veidlapas sadarbības iestādē. Sadarbības iestāde neveic finansējuma maksājumus, ja finansējuma saņēmējs nav iesniedzis de minimis uzskaites veidlapas par atbilstošajiem partneriem, turklāt de minimis atbalsta sniegšanā ir jāievēro Komisijas regulā Nr. 1998/2006 noteiktie darbību un nozaru ierobežojumi.</w:t>
            </w:r>
            <w:r w:rsidR="00766F64" w:rsidRPr="00EF1B0A">
              <w:rPr>
                <w:rFonts w:eastAsia="ヒラギノ角ゴ Pro W3"/>
                <w:sz w:val="24"/>
                <w:shd w:val="clear" w:color="auto" w:fill="FFFFFF"/>
                <w:lang w:val="lv-LV"/>
              </w:rPr>
              <w:t>.</w:t>
            </w:r>
          </w:p>
        </w:tc>
      </w:tr>
      <w:tr w:rsidR="00537A29" w:rsidRPr="00526CAD" w:rsidTr="001F53EB">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537A29" w:rsidRPr="00526CAD" w:rsidRDefault="00537A29" w:rsidP="00CE5A53">
            <w:pPr>
              <w:rPr>
                <w:rFonts w:eastAsia="Times New Roman"/>
                <w:sz w:val="24"/>
                <w:szCs w:val="24"/>
                <w:lang w:val="lv-LV" w:eastAsia="lv-LV"/>
              </w:rPr>
            </w:pPr>
            <w:r w:rsidRPr="00526CAD">
              <w:rPr>
                <w:rFonts w:eastAsia="Times New Roman"/>
                <w:sz w:val="24"/>
                <w:szCs w:val="24"/>
                <w:lang w:val="lv-LV" w:eastAsia="lv-LV"/>
              </w:rPr>
              <w:lastRenderedPageBreak/>
              <w:t xml:space="preserve">5. Projekta izstrādē iesaistītās </w:t>
            </w:r>
            <w:r w:rsidRPr="00526CAD">
              <w:rPr>
                <w:rFonts w:eastAsia="Times New Roman"/>
                <w:sz w:val="24"/>
                <w:szCs w:val="24"/>
                <w:lang w:val="lv-LV" w:eastAsia="lv-LV"/>
              </w:rPr>
              <w:lastRenderedPageBreak/>
              <w:t>institūcijas</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004E51" w:rsidRPr="00526CAD" w:rsidRDefault="008C0F58" w:rsidP="008C0F58">
            <w:pPr>
              <w:pStyle w:val="BodyText"/>
              <w:ind w:right="142" w:firstLine="567"/>
              <w:rPr>
                <w:sz w:val="24"/>
                <w:szCs w:val="24"/>
              </w:rPr>
            </w:pPr>
            <w:r w:rsidRPr="00526CAD">
              <w:rPr>
                <w:color w:val="000000"/>
                <w:sz w:val="24"/>
                <w:szCs w:val="24"/>
              </w:rPr>
              <w:lastRenderedPageBreak/>
              <w:t>Projekts šo jomu neskar.</w:t>
            </w:r>
          </w:p>
        </w:tc>
      </w:tr>
      <w:tr w:rsidR="00AB248D" w:rsidRPr="00526CAD" w:rsidTr="001F53EB">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AB248D" w:rsidRPr="00526CAD" w:rsidRDefault="00AB248D" w:rsidP="00CE5A53">
            <w:pPr>
              <w:rPr>
                <w:rFonts w:eastAsia="Times New Roman"/>
                <w:sz w:val="24"/>
                <w:szCs w:val="24"/>
                <w:lang w:val="lv-LV" w:eastAsia="lv-LV"/>
              </w:rPr>
            </w:pPr>
            <w:r w:rsidRPr="00526CAD">
              <w:rPr>
                <w:rFonts w:eastAsia="Times New Roman"/>
                <w:sz w:val="24"/>
                <w:szCs w:val="24"/>
                <w:lang w:val="lv-LV" w:eastAsia="lv-LV"/>
              </w:rPr>
              <w:lastRenderedPageBreak/>
              <w:t>6. Iemesli, kādēļ netika nodrošināta sabiedrības līdzdalība</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8C0F58" w:rsidRPr="00526CAD" w:rsidRDefault="00466B95" w:rsidP="004133BC">
            <w:pPr>
              <w:pStyle w:val="BodyText"/>
              <w:ind w:right="142" w:firstLine="567"/>
              <w:rPr>
                <w:sz w:val="24"/>
                <w:szCs w:val="24"/>
              </w:rPr>
            </w:pPr>
            <w:r w:rsidRPr="00EF1B0A">
              <w:rPr>
                <w:color w:val="000000"/>
                <w:sz w:val="24"/>
                <w:szCs w:val="24"/>
              </w:rPr>
              <w:t>Projekts šo jomu neskar.</w:t>
            </w:r>
          </w:p>
        </w:tc>
      </w:tr>
      <w:tr w:rsidR="00BB09C5" w:rsidRPr="00526CAD" w:rsidTr="001F53EB">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526CAD" w:rsidRDefault="00D07CDB" w:rsidP="00CE5A53">
            <w:pPr>
              <w:rPr>
                <w:rFonts w:eastAsia="Times New Roman"/>
                <w:sz w:val="24"/>
                <w:szCs w:val="24"/>
                <w:lang w:val="lv-LV" w:eastAsia="lv-LV"/>
              </w:rPr>
            </w:pPr>
            <w:r w:rsidRPr="00526CAD">
              <w:rPr>
                <w:rFonts w:eastAsia="Times New Roman"/>
                <w:sz w:val="24"/>
                <w:szCs w:val="24"/>
                <w:lang w:val="lv-LV" w:eastAsia="lv-LV"/>
              </w:rPr>
              <w:t> 7</w:t>
            </w:r>
            <w:r w:rsidR="00BB09C5" w:rsidRPr="00526CAD">
              <w:rPr>
                <w:rFonts w:eastAsia="Times New Roman"/>
                <w:sz w:val="24"/>
                <w:szCs w:val="24"/>
                <w:lang w:val="lv-LV" w:eastAsia="lv-LV"/>
              </w:rPr>
              <w:t>. Cita informācija</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004E51" w:rsidRPr="00526CAD" w:rsidRDefault="007D3113" w:rsidP="007D3113">
            <w:pPr>
              <w:ind w:firstLine="567"/>
              <w:jc w:val="both"/>
              <w:rPr>
                <w:sz w:val="24"/>
                <w:szCs w:val="24"/>
                <w:lang w:val="lv-LV"/>
              </w:rPr>
            </w:pPr>
            <w:r w:rsidRPr="00526CAD">
              <w:rPr>
                <w:sz w:val="24"/>
                <w:szCs w:val="24"/>
                <w:lang w:val="lv-LV"/>
              </w:rPr>
              <w:t>Nav.</w:t>
            </w:r>
          </w:p>
        </w:tc>
      </w:tr>
    </w:tbl>
    <w:p w:rsidR="004B638C" w:rsidRPr="00526CAD" w:rsidRDefault="004B638C" w:rsidP="00CE5A53">
      <w:pPr>
        <w:pStyle w:val="NormalWeb"/>
        <w:spacing w:before="0" w:beforeAutospacing="0" w:after="0" w:afterAutospacing="0"/>
        <w:jc w:val="center"/>
        <w:rPr>
          <w:b/>
          <w:lang w:val="lv-LV"/>
        </w:rPr>
      </w:pPr>
    </w:p>
    <w:tbl>
      <w:tblPr>
        <w:tblpPr w:leftFromText="180" w:rightFromText="180" w:vertAnchor="text" w:horzAnchor="margin" w:tblpXSpec="center" w:tblpY="149"/>
        <w:tblW w:w="93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000" w:firstRow="0" w:lastRow="0" w:firstColumn="0" w:lastColumn="0" w:noHBand="0" w:noVBand="0"/>
      </w:tblPr>
      <w:tblGrid>
        <w:gridCol w:w="851"/>
        <w:gridCol w:w="3265"/>
        <w:gridCol w:w="5240"/>
      </w:tblGrid>
      <w:tr w:rsidR="00F621F0" w:rsidRPr="00EF1B0A" w:rsidTr="00762978">
        <w:tc>
          <w:tcPr>
            <w:tcW w:w="9356" w:type="dxa"/>
            <w:gridSpan w:val="3"/>
            <w:vAlign w:val="center"/>
          </w:tcPr>
          <w:p w:rsidR="00F621F0" w:rsidRPr="00526CAD" w:rsidRDefault="00C82B27" w:rsidP="00471B85">
            <w:pPr>
              <w:pStyle w:val="naisnod"/>
              <w:spacing w:before="0" w:after="0"/>
            </w:pPr>
            <w:r w:rsidRPr="00526CAD">
              <w:t>II. Tiesību akta projekta ietekme uz sabiedrību</w:t>
            </w:r>
          </w:p>
        </w:tc>
      </w:tr>
      <w:tr w:rsidR="00F621F0" w:rsidRPr="00EF1B0A" w:rsidTr="00762978">
        <w:trPr>
          <w:trHeight w:val="467"/>
        </w:trPr>
        <w:tc>
          <w:tcPr>
            <w:tcW w:w="851" w:type="dxa"/>
          </w:tcPr>
          <w:p w:rsidR="00F621F0" w:rsidRPr="00526CAD" w:rsidRDefault="00C82B27" w:rsidP="00471B85">
            <w:pPr>
              <w:pStyle w:val="naiskr"/>
              <w:spacing w:before="0" w:after="0"/>
            </w:pPr>
            <w:r w:rsidRPr="00526CAD">
              <w:t>1.</w:t>
            </w:r>
          </w:p>
        </w:tc>
        <w:tc>
          <w:tcPr>
            <w:tcW w:w="3265" w:type="dxa"/>
          </w:tcPr>
          <w:p w:rsidR="007E5D4D" w:rsidRPr="00526CAD" w:rsidRDefault="00C82B27">
            <w:pPr>
              <w:pStyle w:val="naiskr"/>
              <w:spacing w:before="0" w:after="0"/>
            </w:pPr>
            <w:r w:rsidRPr="00526CAD">
              <w:t>Sabiedrības mērķgrupa</w:t>
            </w:r>
          </w:p>
        </w:tc>
        <w:tc>
          <w:tcPr>
            <w:tcW w:w="5240" w:type="dxa"/>
          </w:tcPr>
          <w:p w:rsidR="00404E4B" w:rsidRPr="00526CAD" w:rsidRDefault="007D3113" w:rsidP="007D3113">
            <w:pPr>
              <w:pStyle w:val="naiskr"/>
              <w:ind w:firstLine="450"/>
              <w:jc w:val="both"/>
              <w:rPr>
                <w:iCs/>
              </w:rPr>
            </w:pPr>
            <w:r w:rsidRPr="00526CAD">
              <w:rPr>
                <w:iCs/>
              </w:rPr>
              <w:t>1.3.1.1.1.aktivitātes otrās kārtas mērķa grupa ir s</w:t>
            </w:r>
            <w:r w:rsidR="002A126D" w:rsidRPr="00526CAD">
              <w:rPr>
                <w:iCs/>
              </w:rPr>
              <w:t>aimnieciskās darbības veicēji, saimnieciskās darbības veicējos nodarbinātās personas</w:t>
            </w:r>
            <w:r w:rsidR="00C82B27" w:rsidRPr="00526CAD">
              <w:rPr>
                <w:iCs/>
              </w:rPr>
              <w:t>.</w:t>
            </w:r>
          </w:p>
        </w:tc>
      </w:tr>
      <w:tr w:rsidR="00F621F0" w:rsidRPr="00526CAD" w:rsidTr="00762978">
        <w:trPr>
          <w:trHeight w:val="523"/>
        </w:trPr>
        <w:tc>
          <w:tcPr>
            <w:tcW w:w="851" w:type="dxa"/>
          </w:tcPr>
          <w:p w:rsidR="00F621F0" w:rsidRPr="00526CAD" w:rsidRDefault="00C82B27" w:rsidP="00471B85">
            <w:pPr>
              <w:pStyle w:val="naiskr"/>
              <w:spacing w:before="0" w:after="0"/>
            </w:pPr>
            <w:r w:rsidRPr="00526CAD">
              <w:t>2.</w:t>
            </w:r>
          </w:p>
        </w:tc>
        <w:tc>
          <w:tcPr>
            <w:tcW w:w="3265" w:type="dxa"/>
          </w:tcPr>
          <w:p w:rsidR="007E5D4D" w:rsidRPr="00526CAD" w:rsidRDefault="00C82B27">
            <w:pPr>
              <w:pStyle w:val="naiskr"/>
              <w:spacing w:before="0" w:after="0"/>
            </w:pPr>
            <w:r w:rsidRPr="00526CAD">
              <w:t>Citas sabiedrības grupas (bez mērķgrupas), kuras tiesiskais regulējums arī ietekmē vai varētu ietekmēt</w:t>
            </w:r>
          </w:p>
        </w:tc>
        <w:tc>
          <w:tcPr>
            <w:tcW w:w="5240" w:type="dxa"/>
          </w:tcPr>
          <w:p w:rsidR="007E5D4D" w:rsidRPr="00526CAD" w:rsidRDefault="007D3113" w:rsidP="007D3113">
            <w:pPr>
              <w:pStyle w:val="naiskr"/>
              <w:spacing w:before="0" w:after="0"/>
              <w:ind w:firstLine="450"/>
              <w:jc w:val="both"/>
            </w:pPr>
            <w:r w:rsidRPr="00526CAD">
              <w:rPr>
                <w:color w:val="000000"/>
              </w:rPr>
              <w:t>Projekts šo jomu neskar.</w:t>
            </w:r>
          </w:p>
        </w:tc>
      </w:tr>
      <w:tr w:rsidR="00F621F0" w:rsidRPr="00526CAD" w:rsidTr="00762978">
        <w:trPr>
          <w:trHeight w:val="517"/>
        </w:trPr>
        <w:tc>
          <w:tcPr>
            <w:tcW w:w="851" w:type="dxa"/>
          </w:tcPr>
          <w:p w:rsidR="00F621F0" w:rsidRPr="00526CAD" w:rsidRDefault="00C82B27" w:rsidP="00471B85">
            <w:pPr>
              <w:pStyle w:val="naiskr"/>
              <w:spacing w:before="0" w:after="0"/>
            </w:pPr>
            <w:r w:rsidRPr="00526CAD">
              <w:t>3.</w:t>
            </w:r>
          </w:p>
        </w:tc>
        <w:tc>
          <w:tcPr>
            <w:tcW w:w="3265" w:type="dxa"/>
          </w:tcPr>
          <w:p w:rsidR="007E5D4D" w:rsidRPr="00526CAD" w:rsidRDefault="00C82B27">
            <w:pPr>
              <w:pStyle w:val="naiskr"/>
              <w:spacing w:before="0" w:after="0"/>
            </w:pPr>
            <w:r w:rsidRPr="00526CAD">
              <w:t>Tiesiskā regulējuma finansiālā ietekme</w:t>
            </w:r>
          </w:p>
        </w:tc>
        <w:tc>
          <w:tcPr>
            <w:tcW w:w="5240" w:type="dxa"/>
          </w:tcPr>
          <w:p w:rsidR="007E5D4D" w:rsidRPr="00526CAD" w:rsidRDefault="007D3113" w:rsidP="007D3113">
            <w:pPr>
              <w:pStyle w:val="naiskr"/>
              <w:spacing w:before="0" w:after="0"/>
              <w:ind w:firstLine="450"/>
              <w:jc w:val="both"/>
            </w:pPr>
            <w:r w:rsidRPr="00526CAD">
              <w:rPr>
                <w:color w:val="000000"/>
              </w:rPr>
              <w:t>Projekts šo jomu neskar.</w:t>
            </w:r>
          </w:p>
        </w:tc>
      </w:tr>
      <w:tr w:rsidR="00F621F0" w:rsidRPr="00526CAD" w:rsidTr="00762978">
        <w:trPr>
          <w:trHeight w:val="517"/>
        </w:trPr>
        <w:tc>
          <w:tcPr>
            <w:tcW w:w="851" w:type="dxa"/>
          </w:tcPr>
          <w:p w:rsidR="00F621F0" w:rsidRPr="00526CAD" w:rsidRDefault="00C82B27" w:rsidP="00471B85">
            <w:pPr>
              <w:pStyle w:val="naiskr"/>
              <w:spacing w:before="0" w:after="0"/>
            </w:pPr>
            <w:r w:rsidRPr="00526CAD">
              <w:t>4.</w:t>
            </w:r>
          </w:p>
        </w:tc>
        <w:tc>
          <w:tcPr>
            <w:tcW w:w="3265" w:type="dxa"/>
          </w:tcPr>
          <w:p w:rsidR="007E5D4D" w:rsidRPr="00526CAD" w:rsidRDefault="00C82B27">
            <w:pPr>
              <w:pStyle w:val="naiskr"/>
              <w:spacing w:before="0" w:after="0"/>
            </w:pPr>
            <w:r w:rsidRPr="00526CAD">
              <w:t>Tiesiskā regulējuma nefinansiālā ietekme</w:t>
            </w:r>
          </w:p>
        </w:tc>
        <w:tc>
          <w:tcPr>
            <w:tcW w:w="5240" w:type="dxa"/>
          </w:tcPr>
          <w:p w:rsidR="007E5D4D" w:rsidRPr="00526CAD" w:rsidRDefault="007D3113" w:rsidP="007D3113">
            <w:pPr>
              <w:pStyle w:val="naiskr"/>
              <w:spacing w:before="0" w:after="0"/>
              <w:ind w:firstLine="450"/>
              <w:jc w:val="both"/>
              <w:rPr>
                <w:iCs/>
              </w:rPr>
            </w:pPr>
            <w:r w:rsidRPr="00526CAD">
              <w:rPr>
                <w:color w:val="000000"/>
              </w:rPr>
              <w:t>Projekts šo jomu neskar.</w:t>
            </w:r>
          </w:p>
        </w:tc>
      </w:tr>
      <w:tr w:rsidR="00F621F0" w:rsidRPr="00526CAD" w:rsidTr="00762978">
        <w:trPr>
          <w:trHeight w:val="531"/>
        </w:trPr>
        <w:tc>
          <w:tcPr>
            <w:tcW w:w="851" w:type="dxa"/>
          </w:tcPr>
          <w:p w:rsidR="00F621F0" w:rsidRPr="00526CAD" w:rsidRDefault="00C82B27" w:rsidP="00471B85">
            <w:pPr>
              <w:pStyle w:val="naiskr"/>
              <w:spacing w:before="0" w:after="0"/>
            </w:pPr>
            <w:r w:rsidRPr="00526CAD">
              <w:t>5.</w:t>
            </w:r>
          </w:p>
        </w:tc>
        <w:tc>
          <w:tcPr>
            <w:tcW w:w="3265" w:type="dxa"/>
          </w:tcPr>
          <w:p w:rsidR="007E5D4D" w:rsidRPr="00526CAD" w:rsidRDefault="00C82B27">
            <w:pPr>
              <w:pStyle w:val="naiskr"/>
              <w:spacing w:before="0" w:after="0"/>
            </w:pPr>
            <w:r w:rsidRPr="00526CAD">
              <w:t>Administratīvās procedūras raksturojums</w:t>
            </w:r>
          </w:p>
        </w:tc>
        <w:tc>
          <w:tcPr>
            <w:tcW w:w="5240" w:type="dxa"/>
          </w:tcPr>
          <w:p w:rsidR="007E5D4D" w:rsidRPr="00526CAD" w:rsidRDefault="007D3113" w:rsidP="007D3113">
            <w:pPr>
              <w:pStyle w:val="naiskr"/>
              <w:spacing w:before="0" w:after="0"/>
              <w:ind w:firstLine="450"/>
            </w:pPr>
            <w:r w:rsidRPr="00526CAD">
              <w:rPr>
                <w:color w:val="000000"/>
              </w:rPr>
              <w:t>Projekts šo jomu neskar.</w:t>
            </w:r>
          </w:p>
        </w:tc>
      </w:tr>
      <w:tr w:rsidR="00F621F0" w:rsidRPr="00526CAD" w:rsidTr="00762978">
        <w:trPr>
          <w:trHeight w:val="357"/>
        </w:trPr>
        <w:tc>
          <w:tcPr>
            <w:tcW w:w="851" w:type="dxa"/>
          </w:tcPr>
          <w:p w:rsidR="00F621F0" w:rsidRPr="00526CAD" w:rsidRDefault="00C82B27" w:rsidP="00471B85">
            <w:pPr>
              <w:pStyle w:val="naiskr"/>
              <w:spacing w:before="0" w:after="0"/>
            </w:pPr>
            <w:r w:rsidRPr="00526CAD">
              <w:t>6.</w:t>
            </w:r>
          </w:p>
        </w:tc>
        <w:tc>
          <w:tcPr>
            <w:tcW w:w="3265" w:type="dxa"/>
          </w:tcPr>
          <w:p w:rsidR="007E5D4D" w:rsidRPr="00526CAD" w:rsidRDefault="00C82B27">
            <w:pPr>
              <w:pStyle w:val="naiskr"/>
              <w:spacing w:before="0" w:after="0"/>
            </w:pPr>
            <w:r w:rsidRPr="00526CAD">
              <w:t>Administratīvo izmaksu monetārs novērtējums</w:t>
            </w:r>
          </w:p>
        </w:tc>
        <w:tc>
          <w:tcPr>
            <w:tcW w:w="5240" w:type="dxa"/>
          </w:tcPr>
          <w:p w:rsidR="007E5D4D" w:rsidRPr="00526CAD" w:rsidRDefault="007D3113" w:rsidP="007D3113">
            <w:pPr>
              <w:pStyle w:val="naiskr"/>
              <w:spacing w:before="0" w:after="0"/>
              <w:ind w:firstLine="450"/>
            </w:pPr>
            <w:r w:rsidRPr="00526CAD">
              <w:rPr>
                <w:color w:val="000000"/>
              </w:rPr>
              <w:t>Projekts šo jomu neskar.</w:t>
            </w:r>
          </w:p>
        </w:tc>
      </w:tr>
      <w:tr w:rsidR="00F621F0" w:rsidRPr="00526CAD" w:rsidTr="00762978">
        <w:trPr>
          <w:trHeight w:val="489"/>
        </w:trPr>
        <w:tc>
          <w:tcPr>
            <w:tcW w:w="851" w:type="dxa"/>
          </w:tcPr>
          <w:p w:rsidR="00F621F0" w:rsidRPr="00526CAD" w:rsidRDefault="00C82B27" w:rsidP="00471B85">
            <w:pPr>
              <w:pStyle w:val="naiskr"/>
              <w:spacing w:before="0" w:after="0"/>
            </w:pPr>
            <w:r w:rsidRPr="00526CAD">
              <w:t>7.</w:t>
            </w:r>
          </w:p>
        </w:tc>
        <w:tc>
          <w:tcPr>
            <w:tcW w:w="3265" w:type="dxa"/>
          </w:tcPr>
          <w:p w:rsidR="007E5D4D" w:rsidRPr="00526CAD" w:rsidRDefault="00C82B27">
            <w:pPr>
              <w:pStyle w:val="naiskr"/>
              <w:spacing w:before="0" w:after="0"/>
            </w:pPr>
            <w:r w:rsidRPr="00526CAD">
              <w:t>Cita informācija</w:t>
            </w:r>
          </w:p>
        </w:tc>
        <w:tc>
          <w:tcPr>
            <w:tcW w:w="5240" w:type="dxa"/>
          </w:tcPr>
          <w:p w:rsidR="007E5D4D" w:rsidRPr="00526CAD" w:rsidRDefault="00C82B27" w:rsidP="007D3113">
            <w:pPr>
              <w:pStyle w:val="naiskr"/>
              <w:spacing w:before="0" w:after="0"/>
              <w:ind w:firstLine="450"/>
            </w:pPr>
            <w:r w:rsidRPr="00526CAD">
              <w:t>Nav.</w:t>
            </w:r>
          </w:p>
        </w:tc>
      </w:tr>
    </w:tbl>
    <w:p w:rsidR="004E7663" w:rsidRPr="00526CAD" w:rsidRDefault="004E7663" w:rsidP="00CE5A53">
      <w:pPr>
        <w:pStyle w:val="NormalWeb"/>
        <w:spacing w:before="0" w:beforeAutospacing="0" w:after="0" w:afterAutospacing="0"/>
        <w:jc w:val="center"/>
        <w:rPr>
          <w:b/>
          <w:lang w:val="lv-LV"/>
        </w:rPr>
      </w:pPr>
    </w:p>
    <w:p w:rsidR="008F04B9" w:rsidRPr="00526CAD" w:rsidRDefault="008F04B9" w:rsidP="00CE5A53">
      <w:pPr>
        <w:pStyle w:val="NormalWeb"/>
        <w:spacing w:before="0" w:beforeAutospacing="0" w:after="0" w:afterAutospacing="0"/>
        <w:jc w:val="center"/>
        <w:rPr>
          <w:b/>
          <w:lang w:val="lv-LV"/>
        </w:rPr>
      </w:pPr>
    </w:p>
    <w:p w:rsidR="008F04B9" w:rsidRPr="00526CAD" w:rsidRDefault="008F04B9" w:rsidP="00CE5A53">
      <w:pPr>
        <w:pStyle w:val="NormalWeb"/>
        <w:spacing w:before="0" w:beforeAutospacing="0" w:after="0" w:afterAutospacing="0"/>
        <w:jc w:val="center"/>
        <w:rPr>
          <w:b/>
          <w:lang w:val="lv-LV"/>
        </w:rPr>
      </w:pPr>
    </w:p>
    <w:tbl>
      <w:tblPr>
        <w:tblW w:w="5041" w:type="pct"/>
        <w:tblInd w:w="-38" w:type="dxa"/>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Layout w:type="fixed"/>
        <w:tblCellMar>
          <w:top w:w="105" w:type="dxa"/>
          <w:left w:w="105" w:type="dxa"/>
          <w:bottom w:w="105" w:type="dxa"/>
          <w:right w:w="105" w:type="dxa"/>
        </w:tblCellMar>
        <w:tblLook w:val="0000" w:firstRow="0" w:lastRow="0" w:firstColumn="0" w:lastColumn="0" w:noHBand="0" w:noVBand="0"/>
      </w:tblPr>
      <w:tblGrid>
        <w:gridCol w:w="2695"/>
        <w:gridCol w:w="1375"/>
        <w:gridCol w:w="1355"/>
        <w:gridCol w:w="1514"/>
        <w:gridCol w:w="1142"/>
        <w:gridCol w:w="1201"/>
        <w:gridCol w:w="75"/>
      </w:tblGrid>
      <w:tr w:rsidR="008F04B9" w:rsidRPr="00EF1B0A" w:rsidTr="00762978">
        <w:trPr>
          <w:trHeight w:val="432"/>
        </w:trPr>
        <w:tc>
          <w:tcPr>
            <w:tcW w:w="5000" w:type="pct"/>
            <w:gridSpan w:val="7"/>
            <w:vAlign w:val="center"/>
          </w:tcPr>
          <w:p w:rsidR="008F04B9" w:rsidRPr="00526CAD" w:rsidRDefault="008F04B9" w:rsidP="00762978">
            <w:pPr>
              <w:jc w:val="center"/>
              <w:rPr>
                <w:b/>
                <w:sz w:val="24"/>
                <w:szCs w:val="24"/>
                <w:lang w:val="lv-LV"/>
              </w:rPr>
            </w:pPr>
            <w:r w:rsidRPr="00EF1B0A">
              <w:rPr>
                <w:b/>
                <w:sz w:val="24"/>
                <w:szCs w:val="24"/>
                <w:lang w:val="lv-LV"/>
              </w:rPr>
              <w:br w:type="page"/>
            </w:r>
            <w:r w:rsidR="00693653" w:rsidRPr="00526CAD">
              <w:rPr>
                <w:b/>
                <w:sz w:val="24"/>
                <w:szCs w:val="24"/>
                <w:lang w:val="lv-LV"/>
              </w:rPr>
              <w:t>III. Tiesību akta projekta ietekme uz valsts budžetu un pašvaldību budžetiem</w:t>
            </w:r>
          </w:p>
        </w:tc>
      </w:tr>
      <w:tr w:rsidR="008F04B9" w:rsidRPr="00526CAD" w:rsidTr="00762978">
        <w:tblPrEx>
          <w:jc w:val="center"/>
          <w:tblCellMar>
            <w:top w:w="0" w:type="dxa"/>
            <w:left w:w="108" w:type="dxa"/>
            <w:bottom w:w="0" w:type="dxa"/>
            <w:right w:w="108" w:type="dxa"/>
          </w:tblCellMar>
          <w:tblLook w:val="01E0" w:firstRow="1" w:lastRow="1" w:firstColumn="1" w:lastColumn="1" w:noHBand="0" w:noVBand="0"/>
        </w:tblPrEx>
        <w:trPr>
          <w:gridAfter w:val="1"/>
          <w:wAfter w:w="40" w:type="pct"/>
          <w:jc w:val="center"/>
        </w:trPr>
        <w:tc>
          <w:tcPr>
            <w:tcW w:w="1440" w:type="pct"/>
            <w:vMerge w:val="restart"/>
            <w:vAlign w:val="center"/>
          </w:tcPr>
          <w:p w:rsidR="008F04B9" w:rsidRPr="00526CAD" w:rsidRDefault="008F04B9" w:rsidP="00762978">
            <w:pPr>
              <w:pStyle w:val="naisf"/>
              <w:spacing w:before="0" w:after="0"/>
              <w:jc w:val="center"/>
              <w:rPr>
                <w:b/>
              </w:rPr>
            </w:pPr>
            <w:r w:rsidRPr="00526CAD">
              <w:rPr>
                <w:b/>
              </w:rPr>
              <w:t>Rādītāji</w:t>
            </w:r>
          </w:p>
        </w:tc>
        <w:tc>
          <w:tcPr>
            <w:tcW w:w="1459" w:type="pct"/>
            <w:gridSpan w:val="2"/>
            <w:vMerge w:val="restart"/>
            <w:vAlign w:val="center"/>
          </w:tcPr>
          <w:p w:rsidR="008F04B9" w:rsidRPr="00526CAD" w:rsidRDefault="008F04B9" w:rsidP="008F04B9">
            <w:pPr>
              <w:pStyle w:val="naisf"/>
              <w:spacing w:before="0" w:after="0"/>
              <w:jc w:val="center"/>
              <w:rPr>
                <w:b/>
              </w:rPr>
            </w:pPr>
            <w:r w:rsidRPr="00526CAD">
              <w:rPr>
                <w:b/>
              </w:rPr>
              <w:t>2012.</w:t>
            </w:r>
          </w:p>
        </w:tc>
        <w:tc>
          <w:tcPr>
            <w:tcW w:w="2061" w:type="pct"/>
            <w:gridSpan w:val="3"/>
            <w:vAlign w:val="center"/>
          </w:tcPr>
          <w:p w:rsidR="008F04B9" w:rsidRPr="00526CAD" w:rsidRDefault="008F04B9" w:rsidP="00762978">
            <w:pPr>
              <w:pStyle w:val="naisf"/>
              <w:spacing w:before="0" w:after="0"/>
              <w:jc w:val="center"/>
              <w:rPr>
                <w:b/>
                <w:i/>
              </w:rPr>
            </w:pPr>
            <w:r w:rsidRPr="00526CAD">
              <w:t>Turpmākie trīs gadi (tūkst</w:t>
            </w:r>
            <w:smartTag w:uri="schemas-tilde-lv/tildestengine" w:element="currency2">
              <w:smartTagPr>
                <w:attr w:name="currency_text" w:val="latu"/>
                <w:attr w:name="currency_value" w:val="."/>
                <w:attr w:name="currency_key" w:val="LVL"/>
                <w:attr w:name="currency_id" w:val="48"/>
              </w:smartTagPr>
              <w:r w:rsidRPr="00526CAD">
                <w:t>. latu</w:t>
              </w:r>
            </w:smartTag>
            <w:r w:rsidRPr="00526CAD">
              <w:t>)</w:t>
            </w:r>
          </w:p>
        </w:tc>
      </w:tr>
      <w:tr w:rsidR="008F04B9" w:rsidRPr="00526CAD" w:rsidTr="00EF1B0A">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Look w:val="01E0" w:firstRow="1" w:lastRow="1" w:firstColumn="1" w:lastColumn="1" w:noHBand="0" w:noVBand="0"/>
        </w:tblPrEx>
        <w:trPr>
          <w:gridAfter w:val="1"/>
          <w:wAfter w:w="40" w:type="pct"/>
          <w:jc w:val="center"/>
        </w:trPr>
        <w:tc>
          <w:tcPr>
            <w:tcW w:w="1440" w:type="pct"/>
            <w:vMerge/>
            <w:vAlign w:val="center"/>
          </w:tcPr>
          <w:p w:rsidR="008F04B9" w:rsidRPr="00526CAD" w:rsidRDefault="008F04B9" w:rsidP="00762978">
            <w:pPr>
              <w:pStyle w:val="naisf"/>
              <w:spacing w:before="0" w:after="0"/>
              <w:ind w:firstLine="720"/>
              <w:jc w:val="center"/>
              <w:rPr>
                <w:b/>
                <w:i/>
              </w:rPr>
            </w:pPr>
          </w:p>
        </w:tc>
        <w:tc>
          <w:tcPr>
            <w:tcW w:w="1459" w:type="pct"/>
            <w:gridSpan w:val="2"/>
            <w:vMerge/>
            <w:vAlign w:val="center"/>
          </w:tcPr>
          <w:p w:rsidR="008F04B9" w:rsidRPr="00526CAD" w:rsidRDefault="008F04B9" w:rsidP="00762978">
            <w:pPr>
              <w:pStyle w:val="naisf"/>
              <w:spacing w:before="0" w:after="0"/>
              <w:ind w:firstLine="720"/>
              <w:jc w:val="center"/>
              <w:rPr>
                <w:b/>
                <w:i/>
              </w:rPr>
            </w:pPr>
          </w:p>
        </w:tc>
        <w:tc>
          <w:tcPr>
            <w:tcW w:w="809" w:type="pct"/>
            <w:vAlign w:val="center"/>
          </w:tcPr>
          <w:p w:rsidR="008F04B9" w:rsidRPr="00526CAD" w:rsidRDefault="008F04B9" w:rsidP="008F04B9">
            <w:pPr>
              <w:pStyle w:val="naisf"/>
              <w:spacing w:before="0" w:after="0"/>
              <w:jc w:val="center"/>
              <w:rPr>
                <w:b/>
                <w:i/>
              </w:rPr>
            </w:pPr>
            <w:r w:rsidRPr="00526CAD">
              <w:rPr>
                <w:b/>
                <w:bCs/>
              </w:rPr>
              <w:t>2013.</w:t>
            </w:r>
          </w:p>
        </w:tc>
        <w:tc>
          <w:tcPr>
            <w:tcW w:w="610" w:type="pct"/>
            <w:vAlign w:val="center"/>
          </w:tcPr>
          <w:p w:rsidR="008F04B9" w:rsidRPr="00526CAD" w:rsidRDefault="008F04B9" w:rsidP="00791D10">
            <w:pPr>
              <w:pStyle w:val="naisf"/>
              <w:spacing w:before="0" w:after="0"/>
              <w:rPr>
                <w:b/>
                <w:i/>
              </w:rPr>
            </w:pPr>
            <w:r w:rsidRPr="00526CAD">
              <w:rPr>
                <w:b/>
                <w:bCs/>
              </w:rPr>
              <w:t>2014.</w:t>
            </w:r>
          </w:p>
        </w:tc>
        <w:tc>
          <w:tcPr>
            <w:tcW w:w="642" w:type="pct"/>
            <w:vAlign w:val="center"/>
          </w:tcPr>
          <w:p w:rsidR="008F04B9" w:rsidRPr="00526CAD" w:rsidRDefault="008F04B9" w:rsidP="008F04B9">
            <w:pPr>
              <w:pStyle w:val="naisf"/>
              <w:spacing w:before="0" w:after="0"/>
              <w:jc w:val="center"/>
              <w:rPr>
                <w:b/>
                <w:i/>
              </w:rPr>
            </w:pPr>
            <w:r w:rsidRPr="00526CAD">
              <w:rPr>
                <w:b/>
                <w:bCs/>
              </w:rPr>
              <w:t>2015.</w:t>
            </w:r>
          </w:p>
        </w:tc>
      </w:tr>
      <w:tr w:rsidR="008F04B9" w:rsidRPr="00526CAD" w:rsidTr="00EF1B0A">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Look w:val="01E0" w:firstRow="1" w:lastRow="1" w:firstColumn="1" w:lastColumn="1" w:noHBand="0" w:noVBand="0"/>
        </w:tblPrEx>
        <w:trPr>
          <w:gridAfter w:val="1"/>
          <w:wAfter w:w="40" w:type="pct"/>
          <w:jc w:val="center"/>
        </w:trPr>
        <w:tc>
          <w:tcPr>
            <w:tcW w:w="1440" w:type="pct"/>
            <w:vMerge/>
            <w:vAlign w:val="center"/>
          </w:tcPr>
          <w:p w:rsidR="008F04B9" w:rsidRPr="00526CAD" w:rsidRDefault="008F04B9" w:rsidP="00762978">
            <w:pPr>
              <w:pStyle w:val="naisf"/>
              <w:spacing w:before="0" w:after="0"/>
              <w:jc w:val="center"/>
              <w:rPr>
                <w:b/>
                <w:i/>
              </w:rPr>
            </w:pPr>
          </w:p>
        </w:tc>
        <w:tc>
          <w:tcPr>
            <w:tcW w:w="735" w:type="pct"/>
            <w:vAlign w:val="center"/>
          </w:tcPr>
          <w:p w:rsidR="008F04B9" w:rsidRPr="00526CAD" w:rsidRDefault="008F04B9" w:rsidP="00762978">
            <w:pPr>
              <w:pStyle w:val="naisf"/>
              <w:spacing w:before="0" w:after="0"/>
              <w:jc w:val="center"/>
              <w:rPr>
                <w:b/>
                <w:i/>
              </w:rPr>
            </w:pPr>
            <w:r w:rsidRPr="00526CAD">
              <w:t>Saskaņā ar valsts budžetu kārtējam gadam</w:t>
            </w:r>
          </w:p>
        </w:tc>
        <w:tc>
          <w:tcPr>
            <w:tcW w:w="724" w:type="pct"/>
            <w:vAlign w:val="center"/>
          </w:tcPr>
          <w:p w:rsidR="008F04B9" w:rsidRPr="00526CAD" w:rsidRDefault="008F04B9" w:rsidP="00762978">
            <w:pPr>
              <w:pStyle w:val="naisf"/>
              <w:spacing w:before="0" w:after="0"/>
              <w:jc w:val="center"/>
              <w:rPr>
                <w:b/>
                <w:i/>
              </w:rPr>
            </w:pPr>
            <w:r w:rsidRPr="00526CAD">
              <w:t>Izmaiņas kārtējā gadā, salīdzinot ar budžetu kārtējam gadam</w:t>
            </w:r>
          </w:p>
        </w:tc>
        <w:tc>
          <w:tcPr>
            <w:tcW w:w="809" w:type="pct"/>
            <w:vAlign w:val="center"/>
          </w:tcPr>
          <w:p w:rsidR="008F04B9" w:rsidRPr="00526CAD" w:rsidRDefault="008F04B9" w:rsidP="00762978">
            <w:pPr>
              <w:pStyle w:val="naisf"/>
              <w:spacing w:before="0" w:after="0"/>
              <w:jc w:val="center"/>
              <w:rPr>
                <w:b/>
                <w:i/>
              </w:rPr>
            </w:pPr>
            <w:r w:rsidRPr="00526CAD">
              <w:t>Izmaiņas, salīdzinot ar kārtējo (n) gadu</w:t>
            </w:r>
          </w:p>
        </w:tc>
        <w:tc>
          <w:tcPr>
            <w:tcW w:w="610" w:type="pct"/>
            <w:vAlign w:val="center"/>
          </w:tcPr>
          <w:p w:rsidR="008F04B9" w:rsidRPr="00526CAD" w:rsidRDefault="008F04B9" w:rsidP="00762978">
            <w:pPr>
              <w:pStyle w:val="naisf"/>
              <w:spacing w:before="0" w:after="0"/>
              <w:jc w:val="center"/>
              <w:rPr>
                <w:b/>
                <w:i/>
              </w:rPr>
            </w:pPr>
            <w:r w:rsidRPr="00526CAD">
              <w:t>Izmaiņas, salīdzinot ar kārtējo (n) gadu</w:t>
            </w:r>
          </w:p>
        </w:tc>
        <w:tc>
          <w:tcPr>
            <w:tcW w:w="642" w:type="pct"/>
            <w:vAlign w:val="center"/>
          </w:tcPr>
          <w:p w:rsidR="008F04B9" w:rsidRPr="00526CAD" w:rsidRDefault="008F04B9" w:rsidP="00762978">
            <w:pPr>
              <w:pStyle w:val="naisf"/>
              <w:spacing w:before="0" w:after="0"/>
              <w:jc w:val="center"/>
              <w:rPr>
                <w:b/>
                <w:i/>
              </w:rPr>
            </w:pPr>
            <w:r w:rsidRPr="00526CAD">
              <w:t>Izmaiņas, salīdzinot ar kārtējo (n) gadu</w:t>
            </w:r>
          </w:p>
        </w:tc>
      </w:tr>
      <w:tr w:rsidR="008F04B9" w:rsidRPr="00526CAD" w:rsidTr="00EF1B0A">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Look w:val="01E0" w:firstRow="1" w:lastRow="1" w:firstColumn="1" w:lastColumn="1" w:noHBand="0" w:noVBand="0"/>
        </w:tblPrEx>
        <w:trPr>
          <w:gridAfter w:val="1"/>
          <w:wAfter w:w="40" w:type="pct"/>
          <w:jc w:val="center"/>
        </w:trPr>
        <w:tc>
          <w:tcPr>
            <w:tcW w:w="1440" w:type="pct"/>
            <w:vAlign w:val="center"/>
          </w:tcPr>
          <w:p w:rsidR="008F04B9" w:rsidRPr="00526CAD" w:rsidRDefault="008F04B9" w:rsidP="008F04B9">
            <w:pPr>
              <w:pStyle w:val="naisf"/>
              <w:spacing w:before="0" w:after="0"/>
              <w:jc w:val="center"/>
              <w:rPr>
                <w:bCs/>
              </w:rPr>
            </w:pPr>
            <w:r w:rsidRPr="00526CAD">
              <w:rPr>
                <w:bCs/>
              </w:rPr>
              <w:t>1</w:t>
            </w:r>
          </w:p>
        </w:tc>
        <w:tc>
          <w:tcPr>
            <w:tcW w:w="735" w:type="pct"/>
            <w:vAlign w:val="center"/>
          </w:tcPr>
          <w:p w:rsidR="008F04B9" w:rsidRPr="00526CAD" w:rsidRDefault="008F04B9" w:rsidP="008F04B9">
            <w:pPr>
              <w:pStyle w:val="naisf"/>
              <w:spacing w:before="0" w:after="0"/>
              <w:jc w:val="center"/>
              <w:rPr>
                <w:bCs/>
              </w:rPr>
            </w:pPr>
            <w:r w:rsidRPr="00526CAD">
              <w:rPr>
                <w:bCs/>
              </w:rPr>
              <w:t>2</w:t>
            </w:r>
          </w:p>
        </w:tc>
        <w:tc>
          <w:tcPr>
            <w:tcW w:w="724" w:type="pct"/>
            <w:vAlign w:val="center"/>
          </w:tcPr>
          <w:p w:rsidR="008F04B9" w:rsidRPr="00526CAD" w:rsidRDefault="008F04B9" w:rsidP="008F04B9">
            <w:pPr>
              <w:pStyle w:val="naisf"/>
              <w:spacing w:before="0" w:after="0"/>
              <w:jc w:val="center"/>
              <w:rPr>
                <w:bCs/>
              </w:rPr>
            </w:pPr>
            <w:r w:rsidRPr="00526CAD">
              <w:rPr>
                <w:bCs/>
              </w:rPr>
              <w:t>3</w:t>
            </w:r>
          </w:p>
        </w:tc>
        <w:tc>
          <w:tcPr>
            <w:tcW w:w="809" w:type="pct"/>
            <w:vAlign w:val="center"/>
          </w:tcPr>
          <w:p w:rsidR="008F04B9" w:rsidRPr="00526CAD" w:rsidRDefault="008F04B9" w:rsidP="008F04B9">
            <w:pPr>
              <w:pStyle w:val="naisf"/>
              <w:spacing w:before="0" w:after="0"/>
              <w:jc w:val="center"/>
              <w:rPr>
                <w:bCs/>
              </w:rPr>
            </w:pPr>
            <w:r w:rsidRPr="00526CAD">
              <w:rPr>
                <w:bCs/>
              </w:rPr>
              <w:t>4</w:t>
            </w:r>
          </w:p>
        </w:tc>
        <w:tc>
          <w:tcPr>
            <w:tcW w:w="610" w:type="pct"/>
            <w:vAlign w:val="center"/>
          </w:tcPr>
          <w:p w:rsidR="008F04B9" w:rsidRPr="00526CAD" w:rsidRDefault="008F04B9" w:rsidP="008F04B9">
            <w:pPr>
              <w:pStyle w:val="naisf"/>
              <w:spacing w:before="0" w:after="0"/>
              <w:jc w:val="center"/>
              <w:rPr>
                <w:bCs/>
              </w:rPr>
            </w:pPr>
            <w:r w:rsidRPr="00526CAD">
              <w:rPr>
                <w:bCs/>
              </w:rPr>
              <w:t>5</w:t>
            </w:r>
          </w:p>
        </w:tc>
        <w:tc>
          <w:tcPr>
            <w:tcW w:w="642" w:type="pct"/>
            <w:vAlign w:val="center"/>
          </w:tcPr>
          <w:p w:rsidR="008F04B9" w:rsidRPr="00526CAD" w:rsidRDefault="008F04B9" w:rsidP="008F04B9">
            <w:pPr>
              <w:pStyle w:val="naisf"/>
              <w:spacing w:before="0" w:after="0"/>
              <w:jc w:val="center"/>
              <w:rPr>
                <w:bCs/>
              </w:rPr>
            </w:pPr>
            <w:r w:rsidRPr="00526CAD">
              <w:rPr>
                <w:bCs/>
              </w:rPr>
              <w:t>6</w:t>
            </w:r>
          </w:p>
        </w:tc>
      </w:tr>
      <w:tr w:rsidR="008F04B9" w:rsidRPr="00526CAD" w:rsidTr="00EF1B0A">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Look w:val="01E0" w:firstRow="1" w:lastRow="1" w:firstColumn="1" w:lastColumn="1" w:noHBand="0" w:noVBand="0"/>
        </w:tblPrEx>
        <w:trPr>
          <w:gridAfter w:val="1"/>
          <w:wAfter w:w="40" w:type="pct"/>
          <w:jc w:val="center"/>
        </w:trPr>
        <w:tc>
          <w:tcPr>
            <w:tcW w:w="1440" w:type="pct"/>
          </w:tcPr>
          <w:p w:rsidR="008F04B9" w:rsidRPr="00526CAD" w:rsidRDefault="008F04B9" w:rsidP="00762978">
            <w:pPr>
              <w:pStyle w:val="naisf"/>
              <w:spacing w:before="0" w:after="0"/>
              <w:rPr>
                <w:i/>
              </w:rPr>
            </w:pPr>
            <w:r w:rsidRPr="00526CAD">
              <w:t xml:space="preserve">1. Budžeta </w:t>
            </w:r>
            <w:r w:rsidRPr="00526CAD">
              <w:lastRenderedPageBreak/>
              <w:t>ieņēmumi:</w:t>
            </w:r>
          </w:p>
        </w:tc>
        <w:tc>
          <w:tcPr>
            <w:tcW w:w="735" w:type="pct"/>
          </w:tcPr>
          <w:p w:rsidR="008F04B9" w:rsidRPr="00526CAD" w:rsidRDefault="008F04B9" w:rsidP="00762978">
            <w:pPr>
              <w:pStyle w:val="naisf"/>
              <w:spacing w:before="0" w:after="0"/>
              <w:rPr>
                <w:b/>
                <w:i/>
              </w:rPr>
            </w:pPr>
          </w:p>
        </w:tc>
        <w:tc>
          <w:tcPr>
            <w:tcW w:w="724" w:type="pct"/>
          </w:tcPr>
          <w:p w:rsidR="008F04B9" w:rsidRPr="00526CAD" w:rsidRDefault="008F04B9" w:rsidP="00762978">
            <w:pPr>
              <w:pStyle w:val="naisf"/>
              <w:spacing w:before="0" w:after="0"/>
              <w:rPr>
                <w:b/>
                <w:i/>
              </w:rPr>
            </w:pPr>
          </w:p>
        </w:tc>
        <w:tc>
          <w:tcPr>
            <w:tcW w:w="809" w:type="pct"/>
          </w:tcPr>
          <w:p w:rsidR="008F04B9" w:rsidRPr="00526CAD" w:rsidRDefault="008F04B9" w:rsidP="00762978">
            <w:pPr>
              <w:pStyle w:val="naisf"/>
              <w:spacing w:before="0" w:after="0"/>
              <w:rPr>
                <w:b/>
                <w:i/>
              </w:rPr>
            </w:pPr>
          </w:p>
        </w:tc>
        <w:tc>
          <w:tcPr>
            <w:tcW w:w="610" w:type="pct"/>
          </w:tcPr>
          <w:p w:rsidR="008F04B9" w:rsidRPr="00526CAD" w:rsidRDefault="008F04B9" w:rsidP="00762978">
            <w:pPr>
              <w:pStyle w:val="naisf"/>
              <w:spacing w:before="0" w:after="0"/>
              <w:rPr>
                <w:b/>
                <w:i/>
              </w:rPr>
            </w:pPr>
          </w:p>
        </w:tc>
        <w:tc>
          <w:tcPr>
            <w:tcW w:w="642" w:type="pct"/>
          </w:tcPr>
          <w:p w:rsidR="008F04B9" w:rsidRPr="00526CAD" w:rsidRDefault="008F04B9" w:rsidP="00762978">
            <w:pPr>
              <w:pStyle w:val="naisf"/>
              <w:spacing w:before="0" w:after="0"/>
              <w:rPr>
                <w:b/>
                <w:i/>
              </w:rPr>
            </w:pPr>
          </w:p>
        </w:tc>
      </w:tr>
      <w:tr w:rsidR="008F04B9" w:rsidRPr="00526CAD" w:rsidTr="00EF1B0A">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Look w:val="01E0" w:firstRow="1" w:lastRow="1" w:firstColumn="1" w:lastColumn="1" w:noHBand="0" w:noVBand="0"/>
        </w:tblPrEx>
        <w:trPr>
          <w:gridAfter w:val="1"/>
          <w:wAfter w:w="40" w:type="pct"/>
          <w:jc w:val="center"/>
        </w:trPr>
        <w:tc>
          <w:tcPr>
            <w:tcW w:w="1440" w:type="pct"/>
          </w:tcPr>
          <w:p w:rsidR="008F04B9" w:rsidRPr="00526CAD" w:rsidRDefault="008F04B9" w:rsidP="00762978">
            <w:pPr>
              <w:pStyle w:val="naisf"/>
              <w:spacing w:before="0" w:after="0"/>
              <w:rPr>
                <w:i/>
              </w:rPr>
            </w:pPr>
            <w:r w:rsidRPr="00526CAD">
              <w:lastRenderedPageBreak/>
              <w:t>1.1. valsts pamatbudžets, tai skaitā ieņēmumi no maksas pakalpojumiem un citi pašu ieņēmumi</w:t>
            </w:r>
          </w:p>
        </w:tc>
        <w:tc>
          <w:tcPr>
            <w:tcW w:w="735" w:type="pct"/>
          </w:tcPr>
          <w:p w:rsidR="008F04B9" w:rsidRPr="00526CAD" w:rsidRDefault="008F04B9" w:rsidP="00762978">
            <w:pPr>
              <w:pStyle w:val="naisf"/>
              <w:spacing w:before="0" w:after="0"/>
              <w:jc w:val="left"/>
            </w:pPr>
            <w:r w:rsidRPr="00526CAD">
              <w:t>Nav attiecināms</w:t>
            </w:r>
          </w:p>
        </w:tc>
        <w:tc>
          <w:tcPr>
            <w:tcW w:w="724" w:type="pct"/>
          </w:tcPr>
          <w:p w:rsidR="008F04B9" w:rsidRPr="00526CAD" w:rsidRDefault="008F04B9" w:rsidP="00762978">
            <w:pPr>
              <w:pStyle w:val="naisf"/>
              <w:spacing w:before="0" w:after="0"/>
              <w:jc w:val="left"/>
            </w:pPr>
            <w:r w:rsidRPr="00526CAD">
              <w:t>Nav attiecināms</w:t>
            </w:r>
          </w:p>
        </w:tc>
        <w:tc>
          <w:tcPr>
            <w:tcW w:w="809" w:type="pct"/>
          </w:tcPr>
          <w:p w:rsidR="008F04B9" w:rsidRPr="00526CAD" w:rsidRDefault="008F04B9" w:rsidP="00762978">
            <w:pPr>
              <w:pStyle w:val="naisf"/>
              <w:spacing w:before="0" w:after="0"/>
              <w:jc w:val="left"/>
            </w:pPr>
            <w:r w:rsidRPr="00526CAD">
              <w:t>Nav attiecināms</w:t>
            </w:r>
          </w:p>
        </w:tc>
        <w:tc>
          <w:tcPr>
            <w:tcW w:w="610" w:type="pct"/>
          </w:tcPr>
          <w:p w:rsidR="008F04B9" w:rsidRPr="00526CAD" w:rsidRDefault="008F04B9" w:rsidP="00762978">
            <w:pPr>
              <w:pStyle w:val="naisf"/>
              <w:spacing w:before="0" w:after="0"/>
              <w:jc w:val="left"/>
            </w:pPr>
            <w:r w:rsidRPr="00526CAD">
              <w:t>Nav attiecināms</w:t>
            </w:r>
          </w:p>
        </w:tc>
        <w:tc>
          <w:tcPr>
            <w:tcW w:w="642" w:type="pct"/>
          </w:tcPr>
          <w:p w:rsidR="008F04B9" w:rsidRPr="00526CAD" w:rsidRDefault="008F04B9" w:rsidP="00762978">
            <w:pPr>
              <w:pStyle w:val="naisf"/>
              <w:spacing w:before="0" w:after="0"/>
              <w:jc w:val="left"/>
            </w:pPr>
            <w:r w:rsidRPr="00526CAD">
              <w:t>Nav attiecināms</w:t>
            </w:r>
          </w:p>
        </w:tc>
      </w:tr>
      <w:tr w:rsidR="008F04B9" w:rsidRPr="00526CAD" w:rsidTr="00EF1B0A">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Look w:val="01E0" w:firstRow="1" w:lastRow="1" w:firstColumn="1" w:lastColumn="1" w:noHBand="0" w:noVBand="0"/>
        </w:tblPrEx>
        <w:trPr>
          <w:gridAfter w:val="1"/>
          <w:wAfter w:w="40" w:type="pct"/>
          <w:jc w:val="center"/>
        </w:trPr>
        <w:tc>
          <w:tcPr>
            <w:tcW w:w="1440" w:type="pct"/>
          </w:tcPr>
          <w:p w:rsidR="008F04B9" w:rsidRPr="00526CAD" w:rsidRDefault="008F04B9" w:rsidP="00762978">
            <w:pPr>
              <w:pStyle w:val="naisf"/>
              <w:spacing w:before="0" w:after="0"/>
              <w:rPr>
                <w:i/>
              </w:rPr>
            </w:pPr>
            <w:r w:rsidRPr="00526CAD">
              <w:t>1.2. valsts speciālais budžets</w:t>
            </w:r>
          </w:p>
        </w:tc>
        <w:tc>
          <w:tcPr>
            <w:tcW w:w="735" w:type="pct"/>
          </w:tcPr>
          <w:p w:rsidR="008F04B9" w:rsidRPr="00526CAD" w:rsidRDefault="008F04B9" w:rsidP="00762978">
            <w:pPr>
              <w:pStyle w:val="naisf"/>
              <w:spacing w:before="0" w:after="0"/>
              <w:rPr>
                <w:b/>
                <w:i/>
              </w:rPr>
            </w:pPr>
          </w:p>
        </w:tc>
        <w:tc>
          <w:tcPr>
            <w:tcW w:w="724" w:type="pct"/>
          </w:tcPr>
          <w:p w:rsidR="008F04B9" w:rsidRPr="00526CAD" w:rsidRDefault="008F04B9" w:rsidP="00762978">
            <w:pPr>
              <w:pStyle w:val="naisf"/>
              <w:spacing w:before="0" w:after="0"/>
              <w:rPr>
                <w:b/>
                <w:i/>
              </w:rPr>
            </w:pPr>
          </w:p>
        </w:tc>
        <w:tc>
          <w:tcPr>
            <w:tcW w:w="809" w:type="pct"/>
          </w:tcPr>
          <w:p w:rsidR="008F04B9" w:rsidRPr="00526CAD" w:rsidRDefault="008F04B9" w:rsidP="00762978">
            <w:pPr>
              <w:pStyle w:val="naisf"/>
              <w:spacing w:before="0" w:after="0"/>
              <w:rPr>
                <w:b/>
                <w:i/>
              </w:rPr>
            </w:pPr>
          </w:p>
        </w:tc>
        <w:tc>
          <w:tcPr>
            <w:tcW w:w="610" w:type="pct"/>
          </w:tcPr>
          <w:p w:rsidR="008F04B9" w:rsidRPr="00526CAD" w:rsidRDefault="008F04B9" w:rsidP="00762978">
            <w:pPr>
              <w:pStyle w:val="naisf"/>
              <w:spacing w:before="0" w:after="0"/>
              <w:rPr>
                <w:b/>
                <w:i/>
              </w:rPr>
            </w:pPr>
          </w:p>
        </w:tc>
        <w:tc>
          <w:tcPr>
            <w:tcW w:w="642" w:type="pct"/>
          </w:tcPr>
          <w:p w:rsidR="008F04B9" w:rsidRPr="00526CAD" w:rsidRDefault="008F04B9" w:rsidP="00762978">
            <w:pPr>
              <w:pStyle w:val="naisf"/>
              <w:spacing w:before="0" w:after="0"/>
              <w:rPr>
                <w:b/>
                <w:i/>
              </w:rPr>
            </w:pPr>
          </w:p>
        </w:tc>
      </w:tr>
      <w:tr w:rsidR="008F04B9" w:rsidRPr="00526CAD" w:rsidTr="00EF1B0A">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Look w:val="01E0" w:firstRow="1" w:lastRow="1" w:firstColumn="1" w:lastColumn="1" w:noHBand="0" w:noVBand="0"/>
        </w:tblPrEx>
        <w:trPr>
          <w:gridAfter w:val="1"/>
          <w:wAfter w:w="40" w:type="pct"/>
          <w:jc w:val="center"/>
        </w:trPr>
        <w:tc>
          <w:tcPr>
            <w:tcW w:w="1440" w:type="pct"/>
          </w:tcPr>
          <w:p w:rsidR="008F04B9" w:rsidRPr="00526CAD" w:rsidRDefault="008F04B9" w:rsidP="00762978">
            <w:pPr>
              <w:pStyle w:val="naisf"/>
              <w:spacing w:before="0" w:after="0"/>
              <w:rPr>
                <w:i/>
              </w:rPr>
            </w:pPr>
            <w:r w:rsidRPr="00526CAD">
              <w:t>1.3. pašvaldību budžets</w:t>
            </w:r>
          </w:p>
        </w:tc>
        <w:tc>
          <w:tcPr>
            <w:tcW w:w="735" w:type="pct"/>
          </w:tcPr>
          <w:p w:rsidR="008F04B9" w:rsidRPr="00526CAD" w:rsidRDefault="008F04B9" w:rsidP="00762978">
            <w:pPr>
              <w:pStyle w:val="naisf"/>
              <w:spacing w:before="0" w:after="0"/>
              <w:rPr>
                <w:b/>
                <w:i/>
              </w:rPr>
            </w:pPr>
          </w:p>
        </w:tc>
        <w:tc>
          <w:tcPr>
            <w:tcW w:w="724" w:type="pct"/>
          </w:tcPr>
          <w:p w:rsidR="008F04B9" w:rsidRPr="00526CAD" w:rsidRDefault="008F04B9" w:rsidP="00762978">
            <w:pPr>
              <w:pStyle w:val="naisf"/>
              <w:spacing w:before="0" w:after="0"/>
              <w:rPr>
                <w:b/>
                <w:i/>
              </w:rPr>
            </w:pPr>
          </w:p>
        </w:tc>
        <w:tc>
          <w:tcPr>
            <w:tcW w:w="809" w:type="pct"/>
          </w:tcPr>
          <w:p w:rsidR="008F04B9" w:rsidRPr="00526CAD" w:rsidRDefault="008F04B9" w:rsidP="00762978">
            <w:pPr>
              <w:pStyle w:val="naisf"/>
              <w:spacing w:before="0" w:after="0"/>
              <w:rPr>
                <w:b/>
                <w:i/>
              </w:rPr>
            </w:pPr>
          </w:p>
        </w:tc>
        <w:tc>
          <w:tcPr>
            <w:tcW w:w="610" w:type="pct"/>
          </w:tcPr>
          <w:p w:rsidR="008F04B9" w:rsidRPr="00526CAD" w:rsidRDefault="008F04B9" w:rsidP="00762978">
            <w:pPr>
              <w:pStyle w:val="naisf"/>
              <w:spacing w:before="0" w:after="0"/>
              <w:rPr>
                <w:b/>
                <w:i/>
              </w:rPr>
            </w:pPr>
          </w:p>
        </w:tc>
        <w:tc>
          <w:tcPr>
            <w:tcW w:w="642" w:type="pct"/>
          </w:tcPr>
          <w:p w:rsidR="008F04B9" w:rsidRPr="00526CAD" w:rsidRDefault="008F04B9" w:rsidP="00762978">
            <w:pPr>
              <w:pStyle w:val="naisf"/>
              <w:spacing w:before="0" w:after="0"/>
              <w:rPr>
                <w:b/>
                <w:i/>
              </w:rPr>
            </w:pPr>
          </w:p>
        </w:tc>
      </w:tr>
      <w:tr w:rsidR="008F04B9" w:rsidRPr="00526CAD" w:rsidTr="00EF1B0A">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Look w:val="01E0" w:firstRow="1" w:lastRow="1" w:firstColumn="1" w:lastColumn="1" w:noHBand="0" w:noVBand="0"/>
        </w:tblPrEx>
        <w:trPr>
          <w:gridAfter w:val="1"/>
          <w:wAfter w:w="40" w:type="pct"/>
          <w:jc w:val="center"/>
        </w:trPr>
        <w:tc>
          <w:tcPr>
            <w:tcW w:w="1440" w:type="pct"/>
          </w:tcPr>
          <w:p w:rsidR="008F04B9" w:rsidRPr="00526CAD" w:rsidRDefault="00F924ED" w:rsidP="00762978">
            <w:pPr>
              <w:jc w:val="both"/>
              <w:rPr>
                <w:sz w:val="24"/>
                <w:szCs w:val="24"/>
                <w:lang w:val="lv-LV"/>
              </w:rPr>
            </w:pPr>
            <w:r w:rsidRPr="00EF1B0A">
              <w:rPr>
                <w:sz w:val="24"/>
                <w:szCs w:val="24"/>
                <w:lang w:val="lv-LV"/>
              </w:rPr>
              <w:t>2. Budžeta izdevumi:</w:t>
            </w:r>
          </w:p>
        </w:tc>
        <w:tc>
          <w:tcPr>
            <w:tcW w:w="735" w:type="pct"/>
          </w:tcPr>
          <w:p w:rsidR="008F04B9" w:rsidRPr="00526CAD" w:rsidRDefault="008F04B9" w:rsidP="00762978">
            <w:pPr>
              <w:pStyle w:val="naisf"/>
              <w:spacing w:before="0" w:after="0"/>
              <w:rPr>
                <w:b/>
                <w:i/>
              </w:rPr>
            </w:pPr>
          </w:p>
        </w:tc>
        <w:tc>
          <w:tcPr>
            <w:tcW w:w="724" w:type="pct"/>
          </w:tcPr>
          <w:p w:rsidR="008F04B9" w:rsidRPr="00526CAD" w:rsidRDefault="008F04B9" w:rsidP="00762978">
            <w:pPr>
              <w:pStyle w:val="naisf"/>
              <w:spacing w:before="0" w:after="0"/>
              <w:rPr>
                <w:b/>
                <w:i/>
              </w:rPr>
            </w:pPr>
          </w:p>
        </w:tc>
        <w:tc>
          <w:tcPr>
            <w:tcW w:w="809" w:type="pct"/>
          </w:tcPr>
          <w:p w:rsidR="008F04B9" w:rsidRPr="00526CAD" w:rsidRDefault="008F04B9" w:rsidP="00762978">
            <w:pPr>
              <w:pStyle w:val="naisf"/>
              <w:spacing w:before="0" w:after="0"/>
              <w:rPr>
                <w:b/>
                <w:i/>
              </w:rPr>
            </w:pPr>
          </w:p>
        </w:tc>
        <w:tc>
          <w:tcPr>
            <w:tcW w:w="610" w:type="pct"/>
          </w:tcPr>
          <w:p w:rsidR="008F04B9" w:rsidRPr="00526CAD" w:rsidRDefault="008F04B9" w:rsidP="00762978">
            <w:pPr>
              <w:pStyle w:val="naisf"/>
              <w:spacing w:before="0" w:after="0"/>
              <w:rPr>
                <w:b/>
                <w:i/>
              </w:rPr>
            </w:pPr>
          </w:p>
        </w:tc>
        <w:tc>
          <w:tcPr>
            <w:tcW w:w="642" w:type="pct"/>
          </w:tcPr>
          <w:p w:rsidR="008F04B9" w:rsidRPr="00526CAD" w:rsidRDefault="008F04B9" w:rsidP="00762978">
            <w:pPr>
              <w:pStyle w:val="naisf"/>
              <w:spacing w:before="0" w:after="0"/>
              <w:rPr>
                <w:b/>
                <w:i/>
              </w:rPr>
            </w:pPr>
          </w:p>
        </w:tc>
      </w:tr>
      <w:tr w:rsidR="004342BE" w:rsidRPr="00526CAD" w:rsidTr="00EF1B0A">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Look w:val="01E0" w:firstRow="1" w:lastRow="1" w:firstColumn="1" w:lastColumn="1" w:noHBand="0" w:noVBand="0"/>
        </w:tblPrEx>
        <w:trPr>
          <w:gridAfter w:val="1"/>
          <w:wAfter w:w="40" w:type="pct"/>
          <w:jc w:val="center"/>
        </w:trPr>
        <w:tc>
          <w:tcPr>
            <w:tcW w:w="1440" w:type="pct"/>
          </w:tcPr>
          <w:p w:rsidR="004342BE" w:rsidRPr="00526CAD" w:rsidRDefault="00F924ED" w:rsidP="00762978">
            <w:pPr>
              <w:jc w:val="both"/>
              <w:rPr>
                <w:sz w:val="24"/>
                <w:szCs w:val="24"/>
                <w:lang w:val="lv-LV"/>
              </w:rPr>
            </w:pPr>
            <w:r w:rsidRPr="00EF1B0A">
              <w:rPr>
                <w:sz w:val="24"/>
                <w:szCs w:val="24"/>
                <w:lang w:val="lv-LV"/>
              </w:rPr>
              <w:t>2.1. valsts pamatbudžets</w:t>
            </w:r>
          </w:p>
        </w:tc>
        <w:tc>
          <w:tcPr>
            <w:tcW w:w="735" w:type="pct"/>
          </w:tcPr>
          <w:p w:rsidR="004342BE" w:rsidRPr="00526CAD" w:rsidRDefault="004342BE" w:rsidP="00762978">
            <w:pPr>
              <w:pStyle w:val="naisf"/>
              <w:spacing w:before="0" w:after="0"/>
            </w:pPr>
            <w:r w:rsidRPr="00526CAD">
              <w:t>Nav attiecināms</w:t>
            </w:r>
          </w:p>
        </w:tc>
        <w:tc>
          <w:tcPr>
            <w:tcW w:w="724" w:type="pct"/>
          </w:tcPr>
          <w:p w:rsidR="009F56B3" w:rsidRPr="00526CAD" w:rsidRDefault="004342BE">
            <w:pPr>
              <w:pStyle w:val="naisf"/>
              <w:spacing w:before="0" w:after="0"/>
              <w:ind w:firstLine="0"/>
            </w:pPr>
            <w:r w:rsidRPr="00526CAD">
              <w:t>Nav attiecināms</w:t>
            </w:r>
          </w:p>
        </w:tc>
        <w:tc>
          <w:tcPr>
            <w:tcW w:w="809" w:type="pct"/>
          </w:tcPr>
          <w:p w:rsidR="009F56B3" w:rsidRPr="00526CAD" w:rsidRDefault="004342BE">
            <w:pPr>
              <w:pStyle w:val="naisf"/>
              <w:spacing w:before="0" w:after="0"/>
              <w:ind w:firstLine="0"/>
            </w:pPr>
            <w:r w:rsidRPr="00526CAD">
              <w:t>Nav attiecināms</w:t>
            </w:r>
          </w:p>
        </w:tc>
        <w:tc>
          <w:tcPr>
            <w:tcW w:w="610" w:type="pct"/>
          </w:tcPr>
          <w:p w:rsidR="009F56B3" w:rsidRPr="00526CAD" w:rsidRDefault="004342BE">
            <w:pPr>
              <w:pStyle w:val="naisf"/>
              <w:spacing w:before="0" w:after="0"/>
              <w:ind w:firstLine="0"/>
            </w:pPr>
            <w:r w:rsidRPr="00526CAD">
              <w:t>Nav attiecināms</w:t>
            </w:r>
          </w:p>
        </w:tc>
        <w:tc>
          <w:tcPr>
            <w:tcW w:w="642" w:type="pct"/>
          </w:tcPr>
          <w:p w:rsidR="009F56B3" w:rsidRPr="00526CAD" w:rsidRDefault="004342BE">
            <w:pPr>
              <w:pStyle w:val="naisf"/>
              <w:spacing w:before="0" w:after="0"/>
              <w:ind w:firstLine="0"/>
            </w:pPr>
            <w:r w:rsidRPr="00526CAD">
              <w:t>Nav attiecināms</w:t>
            </w:r>
          </w:p>
        </w:tc>
      </w:tr>
      <w:tr w:rsidR="008F04B9" w:rsidRPr="00526CAD" w:rsidTr="00EF1B0A">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Look w:val="01E0" w:firstRow="1" w:lastRow="1" w:firstColumn="1" w:lastColumn="1" w:noHBand="0" w:noVBand="0"/>
        </w:tblPrEx>
        <w:trPr>
          <w:gridAfter w:val="1"/>
          <w:wAfter w:w="40" w:type="pct"/>
          <w:jc w:val="center"/>
        </w:trPr>
        <w:tc>
          <w:tcPr>
            <w:tcW w:w="1440" w:type="pct"/>
          </w:tcPr>
          <w:p w:rsidR="008F04B9" w:rsidRPr="00EF1B0A" w:rsidRDefault="00F924ED" w:rsidP="00762978">
            <w:pPr>
              <w:jc w:val="both"/>
              <w:rPr>
                <w:sz w:val="24"/>
                <w:szCs w:val="24"/>
                <w:lang w:val="lv-LV"/>
              </w:rPr>
            </w:pPr>
            <w:r w:rsidRPr="00EF1B0A">
              <w:rPr>
                <w:sz w:val="24"/>
                <w:szCs w:val="24"/>
                <w:lang w:val="lv-LV"/>
              </w:rPr>
              <w:t>2.2. valsts speciālais budžets</w:t>
            </w:r>
          </w:p>
        </w:tc>
        <w:tc>
          <w:tcPr>
            <w:tcW w:w="735" w:type="pct"/>
          </w:tcPr>
          <w:p w:rsidR="008F04B9" w:rsidRPr="00526CAD" w:rsidRDefault="008F04B9" w:rsidP="00762978">
            <w:pPr>
              <w:pStyle w:val="naisf"/>
              <w:spacing w:before="0" w:after="0"/>
              <w:rPr>
                <w:b/>
                <w:i/>
              </w:rPr>
            </w:pPr>
          </w:p>
        </w:tc>
        <w:tc>
          <w:tcPr>
            <w:tcW w:w="724" w:type="pct"/>
          </w:tcPr>
          <w:p w:rsidR="008F04B9" w:rsidRPr="00526CAD" w:rsidRDefault="008F04B9" w:rsidP="00762978">
            <w:pPr>
              <w:pStyle w:val="naisf"/>
              <w:spacing w:before="0" w:after="0"/>
              <w:rPr>
                <w:b/>
                <w:i/>
              </w:rPr>
            </w:pPr>
          </w:p>
        </w:tc>
        <w:tc>
          <w:tcPr>
            <w:tcW w:w="809" w:type="pct"/>
          </w:tcPr>
          <w:p w:rsidR="008F04B9" w:rsidRPr="00526CAD" w:rsidRDefault="008F04B9" w:rsidP="00762978">
            <w:pPr>
              <w:pStyle w:val="naisf"/>
              <w:spacing w:before="0" w:after="0"/>
              <w:rPr>
                <w:b/>
                <w:i/>
              </w:rPr>
            </w:pPr>
          </w:p>
        </w:tc>
        <w:tc>
          <w:tcPr>
            <w:tcW w:w="610" w:type="pct"/>
          </w:tcPr>
          <w:p w:rsidR="008F04B9" w:rsidRPr="00526CAD" w:rsidRDefault="008F04B9" w:rsidP="00762978">
            <w:pPr>
              <w:pStyle w:val="naisf"/>
              <w:spacing w:before="0" w:after="0"/>
              <w:rPr>
                <w:b/>
                <w:i/>
              </w:rPr>
            </w:pPr>
          </w:p>
        </w:tc>
        <w:tc>
          <w:tcPr>
            <w:tcW w:w="642" w:type="pct"/>
          </w:tcPr>
          <w:p w:rsidR="008F04B9" w:rsidRPr="00526CAD" w:rsidRDefault="008F04B9" w:rsidP="00762978">
            <w:pPr>
              <w:pStyle w:val="naisf"/>
              <w:spacing w:before="0" w:after="0"/>
              <w:rPr>
                <w:b/>
                <w:i/>
              </w:rPr>
            </w:pPr>
          </w:p>
        </w:tc>
      </w:tr>
      <w:tr w:rsidR="008F04B9" w:rsidRPr="00526CAD" w:rsidTr="00EF1B0A">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Look w:val="01E0" w:firstRow="1" w:lastRow="1" w:firstColumn="1" w:lastColumn="1" w:noHBand="0" w:noVBand="0"/>
        </w:tblPrEx>
        <w:trPr>
          <w:gridAfter w:val="1"/>
          <w:wAfter w:w="40" w:type="pct"/>
          <w:jc w:val="center"/>
        </w:trPr>
        <w:tc>
          <w:tcPr>
            <w:tcW w:w="1440" w:type="pct"/>
          </w:tcPr>
          <w:p w:rsidR="008F04B9" w:rsidRPr="00EF1B0A" w:rsidRDefault="00F924ED" w:rsidP="00762978">
            <w:pPr>
              <w:jc w:val="both"/>
              <w:rPr>
                <w:sz w:val="24"/>
                <w:szCs w:val="24"/>
                <w:lang w:val="lv-LV"/>
              </w:rPr>
            </w:pPr>
            <w:r w:rsidRPr="00EF1B0A">
              <w:rPr>
                <w:sz w:val="24"/>
                <w:szCs w:val="24"/>
                <w:lang w:val="lv-LV"/>
              </w:rPr>
              <w:t xml:space="preserve">2.3. pašvaldību budžets </w:t>
            </w:r>
          </w:p>
        </w:tc>
        <w:tc>
          <w:tcPr>
            <w:tcW w:w="735" w:type="pct"/>
          </w:tcPr>
          <w:p w:rsidR="008F04B9" w:rsidRPr="00526CAD" w:rsidRDefault="008F04B9" w:rsidP="00762978">
            <w:pPr>
              <w:pStyle w:val="naisf"/>
              <w:spacing w:before="0" w:after="0"/>
              <w:rPr>
                <w:b/>
                <w:i/>
              </w:rPr>
            </w:pPr>
          </w:p>
        </w:tc>
        <w:tc>
          <w:tcPr>
            <w:tcW w:w="724" w:type="pct"/>
          </w:tcPr>
          <w:p w:rsidR="008F04B9" w:rsidRPr="00526CAD" w:rsidRDefault="008F04B9" w:rsidP="00762978">
            <w:pPr>
              <w:pStyle w:val="naisf"/>
              <w:spacing w:before="0" w:after="0"/>
              <w:rPr>
                <w:b/>
                <w:i/>
              </w:rPr>
            </w:pPr>
          </w:p>
        </w:tc>
        <w:tc>
          <w:tcPr>
            <w:tcW w:w="809" w:type="pct"/>
          </w:tcPr>
          <w:p w:rsidR="008F04B9" w:rsidRPr="00526CAD" w:rsidRDefault="008F04B9" w:rsidP="00762978">
            <w:pPr>
              <w:pStyle w:val="naisf"/>
              <w:spacing w:before="0" w:after="0"/>
              <w:rPr>
                <w:b/>
                <w:i/>
              </w:rPr>
            </w:pPr>
          </w:p>
        </w:tc>
        <w:tc>
          <w:tcPr>
            <w:tcW w:w="610" w:type="pct"/>
          </w:tcPr>
          <w:p w:rsidR="008F04B9" w:rsidRPr="00526CAD" w:rsidRDefault="008F04B9" w:rsidP="00762978">
            <w:pPr>
              <w:pStyle w:val="naisf"/>
              <w:spacing w:before="0" w:after="0"/>
              <w:rPr>
                <w:b/>
                <w:i/>
              </w:rPr>
            </w:pPr>
          </w:p>
        </w:tc>
        <w:tc>
          <w:tcPr>
            <w:tcW w:w="642" w:type="pct"/>
          </w:tcPr>
          <w:p w:rsidR="008F04B9" w:rsidRPr="00526CAD" w:rsidRDefault="008F04B9" w:rsidP="00762978">
            <w:pPr>
              <w:pStyle w:val="naisf"/>
              <w:spacing w:before="0" w:after="0"/>
              <w:rPr>
                <w:b/>
                <w:i/>
              </w:rPr>
            </w:pPr>
          </w:p>
        </w:tc>
      </w:tr>
      <w:tr w:rsidR="008F04B9" w:rsidRPr="00526CAD" w:rsidTr="00EF1B0A">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Look w:val="01E0" w:firstRow="1" w:lastRow="1" w:firstColumn="1" w:lastColumn="1" w:noHBand="0" w:noVBand="0"/>
        </w:tblPrEx>
        <w:trPr>
          <w:gridAfter w:val="1"/>
          <w:wAfter w:w="40" w:type="pct"/>
          <w:jc w:val="center"/>
        </w:trPr>
        <w:tc>
          <w:tcPr>
            <w:tcW w:w="1440" w:type="pct"/>
          </w:tcPr>
          <w:p w:rsidR="008F04B9" w:rsidRPr="00EF1B0A" w:rsidRDefault="00F924ED" w:rsidP="00762978">
            <w:pPr>
              <w:jc w:val="both"/>
              <w:rPr>
                <w:sz w:val="24"/>
                <w:szCs w:val="24"/>
                <w:lang w:val="lv-LV"/>
              </w:rPr>
            </w:pPr>
            <w:r w:rsidRPr="00EF1B0A">
              <w:rPr>
                <w:sz w:val="24"/>
                <w:szCs w:val="24"/>
                <w:lang w:val="lv-LV"/>
              </w:rPr>
              <w:t>3. Finansiālā ietekme:</w:t>
            </w:r>
          </w:p>
        </w:tc>
        <w:tc>
          <w:tcPr>
            <w:tcW w:w="735" w:type="pct"/>
            <w:shd w:val="clear" w:color="auto" w:fill="auto"/>
            <w:vAlign w:val="center"/>
          </w:tcPr>
          <w:p w:rsidR="008F04B9" w:rsidRPr="00526CAD" w:rsidRDefault="008F04B9" w:rsidP="00762978">
            <w:pPr>
              <w:pStyle w:val="naisf"/>
              <w:spacing w:before="0" w:after="0"/>
              <w:jc w:val="center"/>
            </w:pPr>
          </w:p>
        </w:tc>
        <w:tc>
          <w:tcPr>
            <w:tcW w:w="724" w:type="pct"/>
          </w:tcPr>
          <w:p w:rsidR="008F04B9" w:rsidRPr="00526CAD" w:rsidRDefault="008F04B9" w:rsidP="00762978">
            <w:pPr>
              <w:pStyle w:val="naisf"/>
              <w:spacing w:before="0" w:after="0"/>
              <w:rPr>
                <w:b/>
                <w:i/>
              </w:rPr>
            </w:pPr>
          </w:p>
        </w:tc>
        <w:tc>
          <w:tcPr>
            <w:tcW w:w="809" w:type="pct"/>
          </w:tcPr>
          <w:p w:rsidR="008F04B9" w:rsidRPr="00526CAD" w:rsidRDefault="008F04B9" w:rsidP="00762978">
            <w:pPr>
              <w:pStyle w:val="naisf"/>
              <w:spacing w:before="0" w:after="0"/>
              <w:rPr>
                <w:b/>
                <w:i/>
              </w:rPr>
            </w:pPr>
          </w:p>
        </w:tc>
        <w:tc>
          <w:tcPr>
            <w:tcW w:w="610" w:type="pct"/>
          </w:tcPr>
          <w:p w:rsidR="008F04B9" w:rsidRPr="00526CAD" w:rsidRDefault="008F04B9" w:rsidP="00762978">
            <w:pPr>
              <w:pStyle w:val="naisf"/>
              <w:spacing w:before="0" w:after="0"/>
              <w:rPr>
                <w:b/>
                <w:i/>
              </w:rPr>
            </w:pPr>
          </w:p>
        </w:tc>
        <w:tc>
          <w:tcPr>
            <w:tcW w:w="642" w:type="pct"/>
          </w:tcPr>
          <w:p w:rsidR="008F04B9" w:rsidRPr="00526CAD" w:rsidRDefault="008F04B9" w:rsidP="00762978">
            <w:pPr>
              <w:pStyle w:val="naisf"/>
              <w:spacing w:before="0" w:after="0"/>
              <w:rPr>
                <w:b/>
                <w:i/>
              </w:rPr>
            </w:pPr>
          </w:p>
        </w:tc>
      </w:tr>
      <w:tr w:rsidR="004342BE" w:rsidRPr="00526CAD" w:rsidTr="00EF1B0A">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Look w:val="01E0" w:firstRow="1" w:lastRow="1" w:firstColumn="1" w:lastColumn="1" w:noHBand="0" w:noVBand="0"/>
        </w:tblPrEx>
        <w:trPr>
          <w:gridAfter w:val="1"/>
          <w:wAfter w:w="40" w:type="pct"/>
          <w:jc w:val="center"/>
        </w:trPr>
        <w:tc>
          <w:tcPr>
            <w:tcW w:w="1440" w:type="pct"/>
          </w:tcPr>
          <w:p w:rsidR="004342BE" w:rsidRPr="00EF1B0A" w:rsidRDefault="00F924ED" w:rsidP="00762978">
            <w:pPr>
              <w:jc w:val="both"/>
              <w:rPr>
                <w:sz w:val="24"/>
                <w:szCs w:val="24"/>
                <w:lang w:val="lv-LV"/>
              </w:rPr>
            </w:pPr>
            <w:r w:rsidRPr="00EF1B0A">
              <w:rPr>
                <w:sz w:val="24"/>
                <w:szCs w:val="24"/>
                <w:lang w:val="lv-LV"/>
              </w:rPr>
              <w:t>3.1. valsts pamatbudžets</w:t>
            </w:r>
          </w:p>
        </w:tc>
        <w:tc>
          <w:tcPr>
            <w:tcW w:w="735" w:type="pct"/>
            <w:shd w:val="clear" w:color="auto" w:fill="auto"/>
          </w:tcPr>
          <w:p w:rsidR="004342BE" w:rsidRPr="00526CAD" w:rsidRDefault="004342BE" w:rsidP="00762978">
            <w:pPr>
              <w:pStyle w:val="naisf"/>
              <w:spacing w:before="0" w:after="0"/>
              <w:rPr>
                <w:i/>
              </w:rPr>
            </w:pPr>
            <w:r w:rsidRPr="00526CAD">
              <w:t>Nav attiecināms</w:t>
            </w:r>
          </w:p>
        </w:tc>
        <w:tc>
          <w:tcPr>
            <w:tcW w:w="724" w:type="pct"/>
          </w:tcPr>
          <w:p w:rsidR="004342BE" w:rsidRPr="00526CAD" w:rsidRDefault="00F924ED" w:rsidP="00762978">
            <w:pPr>
              <w:rPr>
                <w:sz w:val="24"/>
                <w:szCs w:val="24"/>
                <w:vertAlign w:val="subscript"/>
              </w:rPr>
            </w:pPr>
            <w:r w:rsidRPr="00EF1B0A">
              <w:rPr>
                <w:sz w:val="24"/>
                <w:szCs w:val="24"/>
              </w:rPr>
              <w:t>Nav attiecināms</w:t>
            </w:r>
          </w:p>
        </w:tc>
        <w:tc>
          <w:tcPr>
            <w:tcW w:w="809" w:type="pct"/>
          </w:tcPr>
          <w:p w:rsidR="004342BE" w:rsidRPr="00526CAD" w:rsidRDefault="004342BE">
            <w:pPr>
              <w:pStyle w:val="naisf"/>
              <w:spacing w:before="0" w:after="0"/>
              <w:ind w:firstLine="0"/>
            </w:pPr>
            <w:r w:rsidRPr="00526CAD">
              <w:t>Nav attiecināms</w:t>
            </w:r>
          </w:p>
        </w:tc>
        <w:tc>
          <w:tcPr>
            <w:tcW w:w="610" w:type="pct"/>
          </w:tcPr>
          <w:p w:rsidR="004342BE" w:rsidRPr="00526CAD" w:rsidRDefault="004342BE">
            <w:pPr>
              <w:pStyle w:val="naisf"/>
              <w:spacing w:before="0" w:after="0"/>
              <w:ind w:firstLine="0"/>
            </w:pPr>
            <w:r w:rsidRPr="00526CAD">
              <w:t>Nav attiecināms</w:t>
            </w:r>
          </w:p>
        </w:tc>
        <w:tc>
          <w:tcPr>
            <w:tcW w:w="642" w:type="pct"/>
          </w:tcPr>
          <w:p w:rsidR="004342BE" w:rsidRPr="00526CAD" w:rsidRDefault="004342BE">
            <w:pPr>
              <w:pStyle w:val="naisf"/>
              <w:spacing w:before="0" w:after="0"/>
              <w:ind w:firstLine="0"/>
            </w:pPr>
            <w:r w:rsidRPr="00526CAD">
              <w:t>Nav attiecināms</w:t>
            </w:r>
          </w:p>
        </w:tc>
      </w:tr>
      <w:tr w:rsidR="008F04B9" w:rsidRPr="00526CAD" w:rsidTr="00EF1B0A">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Look w:val="01E0" w:firstRow="1" w:lastRow="1" w:firstColumn="1" w:lastColumn="1" w:noHBand="0" w:noVBand="0"/>
        </w:tblPrEx>
        <w:trPr>
          <w:gridAfter w:val="1"/>
          <w:wAfter w:w="40" w:type="pct"/>
          <w:jc w:val="center"/>
        </w:trPr>
        <w:tc>
          <w:tcPr>
            <w:tcW w:w="1440" w:type="pct"/>
          </w:tcPr>
          <w:p w:rsidR="008F04B9" w:rsidRPr="00EF1B0A" w:rsidRDefault="00F924ED" w:rsidP="00762978">
            <w:pPr>
              <w:jc w:val="both"/>
              <w:rPr>
                <w:sz w:val="24"/>
                <w:szCs w:val="24"/>
                <w:lang w:val="lv-LV"/>
              </w:rPr>
            </w:pPr>
            <w:r w:rsidRPr="00EF1B0A">
              <w:rPr>
                <w:sz w:val="24"/>
                <w:szCs w:val="24"/>
                <w:lang w:val="lv-LV"/>
              </w:rPr>
              <w:t>3.2. speciālais budžets</w:t>
            </w:r>
          </w:p>
        </w:tc>
        <w:tc>
          <w:tcPr>
            <w:tcW w:w="735" w:type="pct"/>
            <w:shd w:val="clear" w:color="auto" w:fill="auto"/>
          </w:tcPr>
          <w:p w:rsidR="008F04B9" w:rsidRPr="00526CAD" w:rsidRDefault="008F04B9" w:rsidP="00762978">
            <w:pPr>
              <w:pStyle w:val="naisf"/>
              <w:spacing w:before="0" w:after="0"/>
              <w:rPr>
                <w:i/>
              </w:rPr>
            </w:pPr>
          </w:p>
        </w:tc>
        <w:tc>
          <w:tcPr>
            <w:tcW w:w="724" w:type="pct"/>
          </w:tcPr>
          <w:p w:rsidR="008F04B9" w:rsidRPr="00526CAD" w:rsidRDefault="008F04B9" w:rsidP="00762978">
            <w:pPr>
              <w:pStyle w:val="naisf"/>
              <w:spacing w:before="0" w:after="0"/>
              <w:rPr>
                <w:b/>
                <w:i/>
              </w:rPr>
            </w:pPr>
          </w:p>
        </w:tc>
        <w:tc>
          <w:tcPr>
            <w:tcW w:w="809" w:type="pct"/>
          </w:tcPr>
          <w:p w:rsidR="008F04B9" w:rsidRPr="00526CAD" w:rsidRDefault="008F04B9" w:rsidP="00762978">
            <w:pPr>
              <w:pStyle w:val="naisf"/>
              <w:spacing w:before="0" w:after="0"/>
              <w:rPr>
                <w:b/>
                <w:i/>
              </w:rPr>
            </w:pPr>
          </w:p>
        </w:tc>
        <w:tc>
          <w:tcPr>
            <w:tcW w:w="610" w:type="pct"/>
          </w:tcPr>
          <w:p w:rsidR="008F04B9" w:rsidRPr="00526CAD" w:rsidRDefault="008F04B9" w:rsidP="00762978">
            <w:pPr>
              <w:pStyle w:val="naisf"/>
              <w:spacing w:before="0" w:after="0"/>
              <w:rPr>
                <w:b/>
                <w:i/>
              </w:rPr>
            </w:pPr>
          </w:p>
        </w:tc>
        <w:tc>
          <w:tcPr>
            <w:tcW w:w="642" w:type="pct"/>
          </w:tcPr>
          <w:p w:rsidR="008F04B9" w:rsidRPr="00526CAD" w:rsidRDefault="008F04B9" w:rsidP="00762978">
            <w:pPr>
              <w:pStyle w:val="naisf"/>
              <w:spacing w:before="0" w:after="0"/>
              <w:rPr>
                <w:b/>
                <w:i/>
              </w:rPr>
            </w:pPr>
          </w:p>
        </w:tc>
      </w:tr>
      <w:tr w:rsidR="008F04B9" w:rsidRPr="00526CAD" w:rsidTr="00EF1B0A">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Look w:val="01E0" w:firstRow="1" w:lastRow="1" w:firstColumn="1" w:lastColumn="1" w:noHBand="0" w:noVBand="0"/>
        </w:tblPrEx>
        <w:trPr>
          <w:gridAfter w:val="1"/>
          <w:wAfter w:w="40" w:type="pct"/>
          <w:jc w:val="center"/>
        </w:trPr>
        <w:tc>
          <w:tcPr>
            <w:tcW w:w="1440" w:type="pct"/>
          </w:tcPr>
          <w:p w:rsidR="008F04B9" w:rsidRPr="00EF1B0A" w:rsidRDefault="00F924ED" w:rsidP="00762978">
            <w:pPr>
              <w:jc w:val="both"/>
              <w:rPr>
                <w:sz w:val="24"/>
                <w:szCs w:val="24"/>
                <w:lang w:val="lv-LV"/>
              </w:rPr>
            </w:pPr>
            <w:r w:rsidRPr="00EF1B0A">
              <w:rPr>
                <w:sz w:val="24"/>
                <w:szCs w:val="24"/>
                <w:lang w:val="lv-LV"/>
              </w:rPr>
              <w:t xml:space="preserve">3.3. pašvaldību budžets </w:t>
            </w:r>
          </w:p>
        </w:tc>
        <w:tc>
          <w:tcPr>
            <w:tcW w:w="735" w:type="pct"/>
            <w:shd w:val="clear" w:color="auto" w:fill="auto"/>
          </w:tcPr>
          <w:p w:rsidR="008F04B9" w:rsidRPr="00526CAD" w:rsidRDefault="008F04B9" w:rsidP="00762978">
            <w:pPr>
              <w:pStyle w:val="naisf"/>
              <w:spacing w:before="0" w:after="0"/>
              <w:rPr>
                <w:i/>
              </w:rPr>
            </w:pPr>
          </w:p>
        </w:tc>
        <w:tc>
          <w:tcPr>
            <w:tcW w:w="724" w:type="pct"/>
          </w:tcPr>
          <w:p w:rsidR="008F04B9" w:rsidRPr="00526CAD" w:rsidRDefault="008F04B9" w:rsidP="00762978">
            <w:pPr>
              <w:pStyle w:val="naisf"/>
              <w:spacing w:before="0" w:after="0"/>
              <w:rPr>
                <w:b/>
                <w:i/>
              </w:rPr>
            </w:pPr>
          </w:p>
        </w:tc>
        <w:tc>
          <w:tcPr>
            <w:tcW w:w="809" w:type="pct"/>
          </w:tcPr>
          <w:p w:rsidR="008F04B9" w:rsidRPr="00526CAD" w:rsidRDefault="008F04B9" w:rsidP="00762978">
            <w:pPr>
              <w:pStyle w:val="naisf"/>
              <w:spacing w:before="0" w:after="0"/>
              <w:rPr>
                <w:b/>
                <w:i/>
              </w:rPr>
            </w:pPr>
          </w:p>
        </w:tc>
        <w:tc>
          <w:tcPr>
            <w:tcW w:w="610" w:type="pct"/>
          </w:tcPr>
          <w:p w:rsidR="008F04B9" w:rsidRPr="00526CAD" w:rsidRDefault="008F04B9" w:rsidP="00762978">
            <w:pPr>
              <w:pStyle w:val="naisf"/>
              <w:spacing w:before="0" w:after="0"/>
              <w:rPr>
                <w:b/>
                <w:i/>
              </w:rPr>
            </w:pPr>
          </w:p>
        </w:tc>
        <w:tc>
          <w:tcPr>
            <w:tcW w:w="642" w:type="pct"/>
          </w:tcPr>
          <w:p w:rsidR="008F04B9" w:rsidRPr="00526CAD" w:rsidRDefault="008F04B9" w:rsidP="00762978">
            <w:pPr>
              <w:pStyle w:val="naisf"/>
              <w:spacing w:before="0" w:after="0"/>
              <w:rPr>
                <w:b/>
                <w:i/>
              </w:rPr>
            </w:pPr>
          </w:p>
        </w:tc>
      </w:tr>
      <w:tr w:rsidR="008F04B9" w:rsidRPr="00526CAD" w:rsidTr="00EF1B0A">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Look w:val="01E0" w:firstRow="1" w:lastRow="1" w:firstColumn="1" w:lastColumn="1" w:noHBand="0" w:noVBand="0"/>
        </w:tblPrEx>
        <w:trPr>
          <w:gridAfter w:val="1"/>
          <w:wAfter w:w="40" w:type="pct"/>
          <w:jc w:val="center"/>
        </w:trPr>
        <w:tc>
          <w:tcPr>
            <w:tcW w:w="1440" w:type="pct"/>
            <w:vMerge w:val="restart"/>
          </w:tcPr>
          <w:p w:rsidR="008F04B9" w:rsidRPr="00EF1B0A" w:rsidRDefault="00F924ED" w:rsidP="00762978">
            <w:pPr>
              <w:jc w:val="both"/>
              <w:rPr>
                <w:sz w:val="24"/>
                <w:szCs w:val="24"/>
                <w:lang w:val="lv-LV"/>
              </w:rPr>
            </w:pPr>
            <w:r w:rsidRPr="00EF1B0A">
              <w:rPr>
                <w:sz w:val="24"/>
                <w:szCs w:val="24"/>
                <w:lang w:val="lv-LV"/>
              </w:rPr>
              <w:t>4. Finanšu līdzekļi papildu izde</w:t>
            </w:r>
            <w:r w:rsidRPr="00EF1B0A">
              <w:rPr>
                <w:sz w:val="24"/>
                <w:szCs w:val="24"/>
                <w:lang w:val="lv-LV"/>
              </w:rPr>
              <w:softHyphen/>
              <w:t>vumu finansēšanai (kompensējošu izdevumu samazinājumu norāda ar "+" zīmi)</w:t>
            </w:r>
          </w:p>
        </w:tc>
        <w:tc>
          <w:tcPr>
            <w:tcW w:w="735" w:type="pct"/>
            <w:vMerge w:val="restart"/>
            <w:vAlign w:val="center"/>
          </w:tcPr>
          <w:p w:rsidR="008F04B9" w:rsidRPr="00526CAD" w:rsidRDefault="008F04B9" w:rsidP="00762978">
            <w:pPr>
              <w:pStyle w:val="naisf"/>
              <w:spacing w:before="0" w:after="0"/>
              <w:jc w:val="left"/>
            </w:pPr>
            <w:r w:rsidRPr="00526CAD">
              <w:t>X</w:t>
            </w:r>
          </w:p>
          <w:p w:rsidR="008F04B9" w:rsidRPr="00526CAD" w:rsidRDefault="008F04B9" w:rsidP="00762978">
            <w:pPr>
              <w:rPr>
                <w:sz w:val="24"/>
                <w:szCs w:val="24"/>
              </w:rPr>
            </w:pPr>
          </w:p>
        </w:tc>
        <w:tc>
          <w:tcPr>
            <w:tcW w:w="724" w:type="pct"/>
          </w:tcPr>
          <w:p w:rsidR="008F04B9" w:rsidRPr="00526CAD" w:rsidRDefault="008F04B9" w:rsidP="00762978">
            <w:pPr>
              <w:pStyle w:val="naisf"/>
              <w:spacing w:before="0" w:after="0"/>
              <w:jc w:val="left"/>
              <w:rPr>
                <w:b/>
              </w:rPr>
            </w:pPr>
            <w:r w:rsidRPr="00526CAD">
              <w:t>Nav attiecināms</w:t>
            </w:r>
          </w:p>
        </w:tc>
        <w:tc>
          <w:tcPr>
            <w:tcW w:w="809" w:type="pct"/>
          </w:tcPr>
          <w:p w:rsidR="008F04B9" w:rsidRPr="00526CAD" w:rsidRDefault="008F04B9" w:rsidP="00762978">
            <w:pPr>
              <w:pStyle w:val="naisf"/>
              <w:spacing w:before="0" w:after="0"/>
              <w:jc w:val="left"/>
              <w:rPr>
                <w:b/>
              </w:rPr>
            </w:pPr>
            <w:r w:rsidRPr="00526CAD">
              <w:t>Nav attiecināms</w:t>
            </w:r>
          </w:p>
        </w:tc>
        <w:tc>
          <w:tcPr>
            <w:tcW w:w="610" w:type="pct"/>
          </w:tcPr>
          <w:p w:rsidR="008F04B9" w:rsidRPr="00526CAD" w:rsidRDefault="008F04B9" w:rsidP="00762978">
            <w:pPr>
              <w:pStyle w:val="naisf"/>
              <w:spacing w:before="0" w:after="0"/>
              <w:jc w:val="left"/>
              <w:rPr>
                <w:b/>
              </w:rPr>
            </w:pPr>
            <w:r w:rsidRPr="00526CAD">
              <w:t>Nav attiecināms</w:t>
            </w:r>
          </w:p>
        </w:tc>
        <w:tc>
          <w:tcPr>
            <w:tcW w:w="642" w:type="pct"/>
          </w:tcPr>
          <w:p w:rsidR="008F04B9" w:rsidRPr="00526CAD" w:rsidRDefault="008F04B9" w:rsidP="00762978">
            <w:pPr>
              <w:pStyle w:val="naisf"/>
              <w:spacing w:before="0" w:after="0"/>
              <w:jc w:val="left"/>
              <w:rPr>
                <w:b/>
              </w:rPr>
            </w:pPr>
            <w:r w:rsidRPr="00526CAD">
              <w:t>Nav attiecināms</w:t>
            </w:r>
          </w:p>
        </w:tc>
      </w:tr>
      <w:tr w:rsidR="008F04B9" w:rsidRPr="00526CAD" w:rsidTr="00EF1B0A">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Look w:val="01E0" w:firstRow="1" w:lastRow="1" w:firstColumn="1" w:lastColumn="1" w:noHBand="0" w:noVBand="0"/>
        </w:tblPrEx>
        <w:trPr>
          <w:gridAfter w:val="1"/>
          <w:wAfter w:w="40" w:type="pct"/>
          <w:jc w:val="center"/>
        </w:trPr>
        <w:tc>
          <w:tcPr>
            <w:tcW w:w="1440" w:type="pct"/>
            <w:vMerge/>
          </w:tcPr>
          <w:p w:rsidR="008F04B9" w:rsidRPr="00EF1B0A" w:rsidRDefault="008F04B9" w:rsidP="00762978">
            <w:pPr>
              <w:jc w:val="both"/>
              <w:rPr>
                <w:sz w:val="24"/>
                <w:szCs w:val="24"/>
                <w:lang w:val="lv-LV"/>
              </w:rPr>
            </w:pPr>
          </w:p>
        </w:tc>
        <w:tc>
          <w:tcPr>
            <w:tcW w:w="735" w:type="pct"/>
            <w:vMerge/>
            <w:vAlign w:val="center"/>
          </w:tcPr>
          <w:p w:rsidR="008F04B9" w:rsidRPr="00526CAD" w:rsidRDefault="008F04B9" w:rsidP="00762978">
            <w:pPr>
              <w:pStyle w:val="naisf"/>
              <w:spacing w:before="0" w:after="0"/>
              <w:jc w:val="center"/>
            </w:pPr>
          </w:p>
        </w:tc>
        <w:tc>
          <w:tcPr>
            <w:tcW w:w="724" w:type="pct"/>
          </w:tcPr>
          <w:p w:rsidR="008F04B9" w:rsidRPr="00526CAD" w:rsidRDefault="008F04B9" w:rsidP="00762978">
            <w:pPr>
              <w:pStyle w:val="naisf"/>
              <w:spacing w:before="0" w:after="0"/>
              <w:jc w:val="left"/>
              <w:rPr>
                <w:b/>
              </w:rPr>
            </w:pPr>
            <w:r w:rsidRPr="00526CAD">
              <w:t>Nav attiecināms</w:t>
            </w:r>
          </w:p>
        </w:tc>
        <w:tc>
          <w:tcPr>
            <w:tcW w:w="809" w:type="pct"/>
          </w:tcPr>
          <w:p w:rsidR="008F04B9" w:rsidRPr="00526CAD" w:rsidRDefault="008F04B9" w:rsidP="00762978">
            <w:pPr>
              <w:pStyle w:val="naisf"/>
              <w:spacing w:before="0" w:after="0"/>
              <w:jc w:val="left"/>
              <w:rPr>
                <w:b/>
              </w:rPr>
            </w:pPr>
            <w:r w:rsidRPr="00526CAD">
              <w:t>Nav attiecināms</w:t>
            </w:r>
          </w:p>
        </w:tc>
        <w:tc>
          <w:tcPr>
            <w:tcW w:w="610" w:type="pct"/>
          </w:tcPr>
          <w:p w:rsidR="008F04B9" w:rsidRPr="00526CAD" w:rsidRDefault="008F04B9" w:rsidP="00762978">
            <w:pPr>
              <w:pStyle w:val="naisf"/>
              <w:spacing w:before="0" w:after="0"/>
              <w:jc w:val="left"/>
              <w:rPr>
                <w:b/>
              </w:rPr>
            </w:pPr>
            <w:r w:rsidRPr="00526CAD">
              <w:t>Nav attiecināms</w:t>
            </w:r>
          </w:p>
        </w:tc>
        <w:tc>
          <w:tcPr>
            <w:tcW w:w="642" w:type="pct"/>
          </w:tcPr>
          <w:p w:rsidR="008F04B9" w:rsidRPr="00526CAD" w:rsidRDefault="008F04B9" w:rsidP="00762978">
            <w:pPr>
              <w:pStyle w:val="naisf"/>
              <w:spacing w:before="0" w:after="0"/>
              <w:jc w:val="left"/>
              <w:rPr>
                <w:b/>
              </w:rPr>
            </w:pPr>
            <w:r w:rsidRPr="00526CAD">
              <w:t>Nav attiecināms</w:t>
            </w:r>
          </w:p>
        </w:tc>
      </w:tr>
      <w:tr w:rsidR="008F04B9" w:rsidRPr="00526CAD" w:rsidTr="00EF1B0A">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Look w:val="01E0" w:firstRow="1" w:lastRow="1" w:firstColumn="1" w:lastColumn="1" w:noHBand="0" w:noVBand="0"/>
        </w:tblPrEx>
        <w:trPr>
          <w:gridAfter w:val="1"/>
          <w:wAfter w:w="40" w:type="pct"/>
          <w:jc w:val="center"/>
        </w:trPr>
        <w:tc>
          <w:tcPr>
            <w:tcW w:w="1440" w:type="pct"/>
            <w:vMerge/>
          </w:tcPr>
          <w:p w:rsidR="008F04B9" w:rsidRPr="00EF1B0A" w:rsidRDefault="008F04B9" w:rsidP="00762978">
            <w:pPr>
              <w:jc w:val="both"/>
              <w:rPr>
                <w:sz w:val="24"/>
                <w:szCs w:val="24"/>
                <w:lang w:val="lv-LV"/>
              </w:rPr>
            </w:pPr>
          </w:p>
        </w:tc>
        <w:tc>
          <w:tcPr>
            <w:tcW w:w="735" w:type="pct"/>
            <w:vMerge/>
            <w:vAlign w:val="center"/>
          </w:tcPr>
          <w:p w:rsidR="008F04B9" w:rsidRPr="00526CAD" w:rsidRDefault="008F04B9" w:rsidP="00762978">
            <w:pPr>
              <w:pStyle w:val="naisf"/>
              <w:spacing w:before="0" w:after="0"/>
              <w:jc w:val="center"/>
              <w:rPr>
                <w:i/>
              </w:rPr>
            </w:pPr>
          </w:p>
        </w:tc>
        <w:tc>
          <w:tcPr>
            <w:tcW w:w="724" w:type="pct"/>
          </w:tcPr>
          <w:p w:rsidR="008F04B9" w:rsidRPr="00526CAD" w:rsidRDefault="008F04B9" w:rsidP="00762978">
            <w:pPr>
              <w:pStyle w:val="naisf"/>
              <w:spacing w:before="0" w:after="0"/>
              <w:jc w:val="left"/>
              <w:rPr>
                <w:b/>
              </w:rPr>
            </w:pPr>
            <w:r w:rsidRPr="00526CAD">
              <w:t>Nav attiecināms</w:t>
            </w:r>
          </w:p>
        </w:tc>
        <w:tc>
          <w:tcPr>
            <w:tcW w:w="809" w:type="pct"/>
          </w:tcPr>
          <w:p w:rsidR="008F04B9" w:rsidRPr="00526CAD" w:rsidRDefault="008F04B9" w:rsidP="00762978">
            <w:pPr>
              <w:pStyle w:val="naisf"/>
              <w:spacing w:before="0" w:after="0"/>
              <w:jc w:val="left"/>
              <w:rPr>
                <w:b/>
              </w:rPr>
            </w:pPr>
            <w:r w:rsidRPr="00526CAD">
              <w:t>Nav attiecināms</w:t>
            </w:r>
          </w:p>
        </w:tc>
        <w:tc>
          <w:tcPr>
            <w:tcW w:w="610" w:type="pct"/>
          </w:tcPr>
          <w:p w:rsidR="008F04B9" w:rsidRPr="00526CAD" w:rsidRDefault="008F04B9" w:rsidP="00762978">
            <w:pPr>
              <w:pStyle w:val="naisf"/>
              <w:spacing w:before="0" w:after="0"/>
              <w:jc w:val="left"/>
              <w:rPr>
                <w:b/>
              </w:rPr>
            </w:pPr>
            <w:r w:rsidRPr="00526CAD">
              <w:t>Nav attiecināms</w:t>
            </w:r>
          </w:p>
        </w:tc>
        <w:tc>
          <w:tcPr>
            <w:tcW w:w="642" w:type="pct"/>
          </w:tcPr>
          <w:p w:rsidR="008F04B9" w:rsidRPr="00526CAD" w:rsidRDefault="008F04B9" w:rsidP="00762978">
            <w:pPr>
              <w:pStyle w:val="naisf"/>
              <w:spacing w:before="0" w:after="0"/>
              <w:jc w:val="left"/>
              <w:rPr>
                <w:b/>
              </w:rPr>
            </w:pPr>
            <w:r w:rsidRPr="00526CAD">
              <w:t>Nav attiecināms</w:t>
            </w:r>
          </w:p>
        </w:tc>
      </w:tr>
      <w:tr w:rsidR="008F04B9" w:rsidRPr="00526CAD" w:rsidTr="00EF1B0A">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Look w:val="01E0" w:firstRow="1" w:lastRow="1" w:firstColumn="1" w:lastColumn="1" w:noHBand="0" w:noVBand="0"/>
        </w:tblPrEx>
        <w:trPr>
          <w:gridAfter w:val="1"/>
          <w:wAfter w:w="40" w:type="pct"/>
          <w:jc w:val="center"/>
        </w:trPr>
        <w:tc>
          <w:tcPr>
            <w:tcW w:w="1440" w:type="pct"/>
          </w:tcPr>
          <w:p w:rsidR="008F04B9" w:rsidRPr="00EF1B0A" w:rsidRDefault="00F924ED" w:rsidP="00762978">
            <w:pPr>
              <w:jc w:val="both"/>
              <w:rPr>
                <w:sz w:val="24"/>
                <w:szCs w:val="24"/>
                <w:lang w:val="lv-LV"/>
              </w:rPr>
            </w:pPr>
            <w:r w:rsidRPr="00EF1B0A">
              <w:rPr>
                <w:sz w:val="24"/>
                <w:szCs w:val="24"/>
                <w:lang w:val="lv-LV"/>
              </w:rPr>
              <w:t xml:space="preserve">5. Precizēta finansiālā </w:t>
            </w:r>
            <w:r w:rsidRPr="00EF1B0A">
              <w:rPr>
                <w:sz w:val="24"/>
                <w:szCs w:val="24"/>
                <w:lang w:val="lv-LV"/>
              </w:rPr>
              <w:lastRenderedPageBreak/>
              <w:t>ietekme:</w:t>
            </w:r>
          </w:p>
        </w:tc>
        <w:tc>
          <w:tcPr>
            <w:tcW w:w="735" w:type="pct"/>
            <w:vMerge w:val="restart"/>
            <w:vAlign w:val="center"/>
          </w:tcPr>
          <w:p w:rsidR="008F04B9" w:rsidRPr="00526CAD" w:rsidRDefault="008F04B9" w:rsidP="00762978">
            <w:pPr>
              <w:pStyle w:val="naisf"/>
              <w:spacing w:before="0" w:after="0"/>
              <w:jc w:val="left"/>
            </w:pPr>
            <w:r w:rsidRPr="00526CAD">
              <w:lastRenderedPageBreak/>
              <w:t>X</w:t>
            </w:r>
          </w:p>
          <w:p w:rsidR="008F04B9" w:rsidRPr="00526CAD" w:rsidRDefault="008F04B9" w:rsidP="00762978">
            <w:pPr>
              <w:pStyle w:val="naisf"/>
              <w:spacing w:before="0" w:after="0"/>
              <w:jc w:val="center"/>
            </w:pPr>
          </w:p>
        </w:tc>
        <w:tc>
          <w:tcPr>
            <w:tcW w:w="724" w:type="pct"/>
          </w:tcPr>
          <w:p w:rsidR="008F04B9" w:rsidRPr="00526CAD" w:rsidRDefault="008F04B9" w:rsidP="00762978">
            <w:pPr>
              <w:pStyle w:val="naisf"/>
              <w:spacing w:before="0" w:after="0"/>
              <w:rPr>
                <w:b/>
              </w:rPr>
            </w:pPr>
          </w:p>
        </w:tc>
        <w:tc>
          <w:tcPr>
            <w:tcW w:w="809" w:type="pct"/>
          </w:tcPr>
          <w:p w:rsidR="008F04B9" w:rsidRPr="00526CAD" w:rsidRDefault="008F04B9" w:rsidP="00762978">
            <w:pPr>
              <w:pStyle w:val="naisf"/>
              <w:spacing w:before="0" w:after="0"/>
              <w:rPr>
                <w:b/>
              </w:rPr>
            </w:pPr>
          </w:p>
        </w:tc>
        <w:tc>
          <w:tcPr>
            <w:tcW w:w="610" w:type="pct"/>
          </w:tcPr>
          <w:p w:rsidR="008F04B9" w:rsidRPr="00526CAD" w:rsidRDefault="008F04B9" w:rsidP="00762978">
            <w:pPr>
              <w:pStyle w:val="naisf"/>
              <w:spacing w:before="0" w:after="0"/>
              <w:rPr>
                <w:b/>
              </w:rPr>
            </w:pPr>
          </w:p>
        </w:tc>
        <w:tc>
          <w:tcPr>
            <w:tcW w:w="642" w:type="pct"/>
          </w:tcPr>
          <w:p w:rsidR="008F04B9" w:rsidRPr="00526CAD" w:rsidRDefault="008F04B9" w:rsidP="00762978">
            <w:pPr>
              <w:pStyle w:val="naisf"/>
              <w:spacing w:before="0" w:after="0"/>
              <w:rPr>
                <w:b/>
              </w:rPr>
            </w:pPr>
          </w:p>
        </w:tc>
      </w:tr>
      <w:tr w:rsidR="008F04B9" w:rsidRPr="00526CAD" w:rsidTr="00EF1B0A">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Look w:val="01E0" w:firstRow="1" w:lastRow="1" w:firstColumn="1" w:lastColumn="1" w:noHBand="0" w:noVBand="0"/>
        </w:tblPrEx>
        <w:trPr>
          <w:gridAfter w:val="1"/>
          <w:wAfter w:w="40" w:type="pct"/>
          <w:jc w:val="center"/>
        </w:trPr>
        <w:tc>
          <w:tcPr>
            <w:tcW w:w="1440" w:type="pct"/>
          </w:tcPr>
          <w:p w:rsidR="008F04B9" w:rsidRPr="00EF1B0A" w:rsidRDefault="00F924ED" w:rsidP="00762978">
            <w:pPr>
              <w:jc w:val="both"/>
              <w:rPr>
                <w:sz w:val="24"/>
                <w:szCs w:val="24"/>
                <w:lang w:val="lv-LV"/>
              </w:rPr>
            </w:pPr>
            <w:r w:rsidRPr="00EF1B0A">
              <w:rPr>
                <w:sz w:val="24"/>
                <w:szCs w:val="24"/>
                <w:lang w:val="lv-LV"/>
              </w:rPr>
              <w:lastRenderedPageBreak/>
              <w:t>5.1. valsts pamatbudžets</w:t>
            </w:r>
          </w:p>
        </w:tc>
        <w:tc>
          <w:tcPr>
            <w:tcW w:w="735" w:type="pct"/>
            <w:vMerge/>
            <w:vAlign w:val="center"/>
          </w:tcPr>
          <w:p w:rsidR="008F04B9" w:rsidRPr="00526CAD" w:rsidRDefault="008F04B9" w:rsidP="00762978">
            <w:pPr>
              <w:pStyle w:val="naisf"/>
              <w:spacing w:before="0" w:after="0"/>
              <w:jc w:val="center"/>
              <w:rPr>
                <w:i/>
              </w:rPr>
            </w:pPr>
          </w:p>
        </w:tc>
        <w:tc>
          <w:tcPr>
            <w:tcW w:w="724" w:type="pct"/>
          </w:tcPr>
          <w:p w:rsidR="008F04B9" w:rsidRPr="00EF1B0A" w:rsidRDefault="00F924ED" w:rsidP="00762978">
            <w:pPr>
              <w:rPr>
                <w:sz w:val="24"/>
                <w:szCs w:val="24"/>
                <w:vertAlign w:val="subscript"/>
                <w:lang w:val="lv-LV"/>
              </w:rPr>
            </w:pPr>
            <w:r w:rsidRPr="00EF1B0A">
              <w:rPr>
                <w:sz w:val="24"/>
                <w:szCs w:val="24"/>
                <w:lang w:val="lv-LV"/>
              </w:rPr>
              <w:t>Nav attiecināms</w:t>
            </w:r>
          </w:p>
        </w:tc>
        <w:tc>
          <w:tcPr>
            <w:tcW w:w="809" w:type="pct"/>
          </w:tcPr>
          <w:p w:rsidR="008F04B9" w:rsidRPr="00526CAD" w:rsidRDefault="008F04B9" w:rsidP="00762978">
            <w:pPr>
              <w:pStyle w:val="naisf"/>
              <w:spacing w:before="0" w:after="0"/>
            </w:pPr>
            <w:r w:rsidRPr="00526CAD">
              <w:t>Nav attiecināms</w:t>
            </w:r>
          </w:p>
        </w:tc>
        <w:tc>
          <w:tcPr>
            <w:tcW w:w="610" w:type="pct"/>
          </w:tcPr>
          <w:p w:rsidR="008F04B9" w:rsidRPr="00526CAD" w:rsidRDefault="008F04B9" w:rsidP="00762978">
            <w:pPr>
              <w:pStyle w:val="naisf"/>
              <w:spacing w:before="0" w:after="0"/>
            </w:pPr>
            <w:r w:rsidRPr="00526CAD">
              <w:t>Nav attiecināms</w:t>
            </w:r>
          </w:p>
        </w:tc>
        <w:tc>
          <w:tcPr>
            <w:tcW w:w="642" w:type="pct"/>
          </w:tcPr>
          <w:p w:rsidR="008F04B9" w:rsidRPr="00526CAD" w:rsidRDefault="00C219FF" w:rsidP="00762978">
            <w:pPr>
              <w:pStyle w:val="naisf"/>
              <w:spacing w:before="0" w:after="0"/>
            </w:pPr>
            <w:r w:rsidRPr="00526CAD">
              <w:t>Nav attiecināms</w:t>
            </w:r>
          </w:p>
        </w:tc>
      </w:tr>
      <w:tr w:rsidR="008F04B9" w:rsidRPr="00526CAD" w:rsidTr="00EF1B0A">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Look w:val="01E0" w:firstRow="1" w:lastRow="1" w:firstColumn="1" w:lastColumn="1" w:noHBand="0" w:noVBand="0"/>
        </w:tblPrEx>
        <w:trPr>
          <w:gridAfter w:val="1"/>
          <w:wAfter w:w="40" w:type="pct"/>
          <w:jc w:val="center"/>
        </w:trPr>
        <w:tc>
          <w:tcPr>
            <w:tcW w:w="1440" w:type="pct"/>
          </w:tcPr>
          <w:p w:rsidR="008F04B9" w:rsidRPr="00526CAD" w:rsidRDefault="00314719" w:rsidP="00762978">
            <w:pPr>
              <w:jc w:val="both"/>
              <w:rPr>
                <w:sz w:val="24"/>
                <w:szCs w:val="24"/>
                <w:lang w:val="lv-LV"/>
              </w:rPr>
            </w:pPr>
            <w:r w:rsidRPr="00526CAD">
              <w:rPr>
                <w:sz w:val="24"/>
                <w:szCs w:val="24"/>
                <w:lang w:val="lv-LV"/>
              </w:rPr>
              <w:t>5.2. speciālais budžets</w:t>
            </w:r>
          </w:p>
        </w:tc>
        <w:tc>
          <w:tcPr>
            <w:tcW w:w="735" w:type="pct"/>
            <w:vMerge/>
            <w:vAlign w:val="center"/>
          </w:tcPr>
          <w:p w:rsidR="008F04B9" w:rsidRPr="00526CAD" w:rsidRDefault="008F04B9" w:rsidP="00762978">
            <w:pPr>
              <w:pStyle w:val="naisf"/>
              <w:spacing w:before="0" w:after="0"/>
              <w:jc w:val="center"/>
              <w:rPr>
                <w:i/>
              </w:rPr>
            </w:pPr>
          </w:p>
        </w:tc>
        <w:tc>
          <w:tcPr>
            <w:tcW w:w="724" w:type="pct"/>
          </w:tcPr>
          <w:p w:rsidR="008F04B9" w:rsidRPr="00526CAD" w:rsidRDefault="008F04B9" w:rsidP="00762978">
            <w:pPr>
              <w:pStyle w:val="naisf"/>
              <w:spacing w:before="0" w:after="0"/>
              <w:rPr>
                <w:b/>
              </w:rPr>
            </w:pPr>
          </w:p>
        </w:tc>
        <w:tc>
          <w:tcPr>
            <w:tcW w:w="809" w:type="pct"/>
          </w:tcPr>
          <w:p w:rsidR="008F04B9" w:rsidRPr="00526CAD" w:rsidRDefault="008F04B9" w:rsidP="00762978">
            <w:pPr>
              <w:pStyle w:val="naisf"/>
              <w:spacing w:before="0" w:after="0"/>
              <w:rPr>
                <w:b/>
              </w:rPr>
            </w:pPr>
          </w:p>
        </w:tc>
        <w:tc>
          <w:tcPr>
            <w:tcW w:w="610" w:type="pct"/>
          </w:tcPr>
          <w:p w:rsidR="008F04B9" w:rsidRPr="00526CAD" w:rsidRDefault="008F04B9" w:rsidP="00762978">
            <w:pPr>
              <w:pStyle w:val="naisf"/>
              <w:spacing w:before="0" w:after="0"/>
              <w:rPr>
                <w:b/>
              </w:rPr>
            </w:pPr>
          </w:p>
        </w:tc>
        <w:tc>
          <w:tcPr>
            <w:tcW w:w="642" w:type="pct"/>
          </w:tcPr>
          <w:p w:rsidR="008F04B9" w:rsidRPr="00526CAD" w:rsidRDefault="008F04B9" w:rsidP="00762978">
            <w:pPr>
              <w:pStyle w:val="naisf"/>
              <w:spacing w:before="0" w:after="0"/>
              <w:rPr>
                <w:b/>
              </w:rPr>
            </w:pPr>
          </w:p>
        </w:tc>
      </w:tr>
      <w:tr w:rsidR="008F04B9" w:rsidRPr="00526CAD" w:rsidTr="00EF1B0A">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Look w:val="01E0" w:firstRow="1" w:lastRow="1" w:firstColumn="1" w:lastColumn="1" w:noHBand="0" w:noVBand="0"/>
        </w:tblPrEx>
        <w:trPr>
          <w:gridAfter w:val="1"/>
          <w:wAfter w:w="40" w:type="pct"/>
          <w:jc w:val="center"/>
        </w:trPr>
        <w:tc>
          <w:tcPr>
            <w:tcW w:w="1440" w:type="pct"/>
          </w:tcPr>
          <w:p w:rsidR="008F04B9" w:rsidRPr="00526CAD" w:rsidRDefault="00314719" w:rsidP="00762978">
            <w:pPr>
              <w:jc w:val="both"/>
              <w:rPr>
                <w:sz w:val="24"/>
                <w:szCs w:val="24"/>
                <w:lang w:val="lv-LV"/>
              </w:rPr>
            </w:pPr>
            <w:r w:rsidRPr="00526CAD">
              <w:rPr>
                <w:sz w:val="24"/>
                <w:szCs w:val="24"/>
                <w:lang w:val="lv-LV"/>
              </w:rPr>
              <w:t xml:space="preserve">5.3. pašvaldību budžets </w:t>
            </w:r>
          </w:p>
        </w:tc>
        <w:tc>
          <w:tcPr>
            <w:tcW w:w="735" w:type="pct"/>
            <w:vMerge/>
            <w:vAlign w:val="center"/>
          </w:tcPr>
          <w:p w:rsidR="008F04B9" w:rsidRPr="00526CAD" w:rsidRDefault="008F04B9" w:rsidP="00762978">
            <w:pPr>
              <w:pStyle w:val="naisf"/>
              <w:spacing w:before="0" w:after="0"/>
              <w:jc w:val="center"/>
              <w:rPr>
                <w:i/>
              </w:rPr>
            </w:pPr>
          </w:p>
        </w:tc>
        <w:tc>
          <w:tcPr>
            <w:tcW w:w="724" w:type="pct"/>
          </w:tcPr>
          <w:p w:rsidR="008F04B9" w:rsidRPr="00526CAD" w:rsidRDefault="008F04B9" w:rsidP="00762978">
            <w:pPr>
              <w:pStyle w:val="naisf"/>
              <w:spacing w:before="0" w:after="0"/>
              <w:rPr>
                <w:b/>
              </w:rPr>
            </w:pPr>
          </w:p>
        </w:tc>
        <w:tc>
          <w:tcPr>
            <w:tcW w:w="809" w:type="pct"/>
          </w:tcPr>
          <w:p w:rsidR="008F04B9" w:rsidRPr="00526CAD" w:rsidRDefault="008F04B9" w:rsidP="00762978">
            <w:pPr>
              <w:pStyle w:val="naisf"/>
              <w:spacing w:before="0" w:after="0"/>
              <w:rPr>
                <w:b/>
              </w:rPr>
            </w:pPr>
          </w:p>
        </w:tc>
        <w:tc>
          <w:tcPr>
            <w:tcW w:w="610" w:type="pct"/>
          </w:tcPr>
          <w:p w:rsidR="008F04B9" w:rsidRPr="00526CAD" w:rsidRDefault="008F04B9" w:rsidP="00762978">
            <w:pPr>
              <w:pStyle w:val="naisf"/>
              <w:spacing w:before="0" w:after="0"/>
              <w:rPr>
                <w:b/>
              </w:rPr>
            </w:pPr>
          </w:p>
        </w:tc>
        <w:tc>
          <w:tcPr>
            <w:tcW w:w="642" w:type="pct"/>
          </w:tcPr>
          <w:p w:rsidR="008F04B9" w:rsidRPr="00526CAD" w:rsidRDefault="008F04B9" w:rsidP="00762978">
            <w:pPr>
              <w:pStyle w:val="naisf"/>
              <w:spacing w:before="0" w:after="0"/>
              <w:rPr>
                <w:b/>
              </w:rPr>
            </w:pPr>
          </w:p>
        </w:tc>
      </w:tr>
      <w:tr w:rsidR="008F04B9" w:rsidRPr="00EF1B0A" w:rsidTr="00762978">
        <w:tblPrEx>
          <w:jc w:val="center"/>
          <w:tblCellMar>
            <w:top w:w="0" w:type="dxa"/>
            <w:left w:w="108" w:type="dxa"/>
            <w:bottom w:w="0" w:type="dxa"/>
            <w:right w:w="108" w:type="dxa"/>
          </w:tblCellMar>
          <w:tblLook w:val="01E0" w:firstRow="1" w:lastRow="1" w:firstColumn="1" w:lastColumn="1" w:noHBand="0" w:noVBand="0"/>
        </w:tblPrEx>
        <w:trPr>
          <w:gridAfter w:val="1"/>
          <w:wAfter w:w="40" w:type="pct"/>
          <w:jc w:val="center"/>
        </w:trPr>
        <w:tc>
          <w:tcPr>
            <w:tcW w:w="1440" w:type="pct"/>
          </w:tcPr>
          <w:p w:rsidR="008F04B9" w:rsidRPr="00526CAD" w:rsidRDefault="00314719" w:rsidP="00762978">
            <w:pPr>
              <w:jc w:val="both"/>
              <w:rPr>
                <w:sz w:val="24"/>
                <w:szCs w:val="24"/>
                <w:lang w:val="lv-LV"/>
              </w:rPr>
            </w:pPr>
            <w:r w:rsidRPr="00526CAD">
              <w:rPr>
                <w:sz w:val="24"/>
                <w:szCs w:val="24"/>
                <w:lang w:val="lv-LV"/>
              </w:rPr>
              <w:t>6. Detalizēts ieņēmumu un izdevu</w:t>
            </w:r>
            <w:r w:rsidRPr="00526CAD">
              <w:rPr>
                <w:sz w:val="24"/>
                <w:szCs w:val="24"/>
                <w:lang w:val="lv-LV"/>
              </w:rPr>
              <w:softHyphen/>
              <w:t>mu aprēķins (ja nepieciešams, detalizētu ieņēmumu un izdevumu aprēķinu var pievienot anotācijas pielikumā):</w:t>
            </w:r>
          </w:p>
        </w:tc>
        <w:tc>
          <w:tcPr>
            <w:tcW w:w="3520" w:type="pct"/>
            <w:gridSpan w:val="5"/>
            <w:vMerge w:val="restart"/>
            <w:vAlign w:val="center"/>
          </w:tcPr>
          <w:p w:rsidR="008F04B9" w:rsidRPr="00526CAD" w:rsidRDefault="008F04B9" w:rsidP="00762978">
            <w:pPr>
              <w:ind w:firstLine="451"/>
              <w:jc w:val="both"/>
              <w:rPr>
                <w:sz w:val="24"/>
                <w:szCs w:val="24"/>
                <w:lang w:val="lv-LV"/>
              </w:rPr>
            </w:pPr>
            <w:r w:rsidRPr="00526CAD">
              <w:rPr>
                <w:sz w:val="24"/>
                <w:szCs w:val="24"/>
                <w:lang w:val="lv-LV"/>
              </w:rPr>
              <w:t>Darbības programmas „Cilvēkresursi un nodarbinātība” papildinājuma 1.3.1.1.1.apakšaktivitātes „</w:t>
            </w:r>
            <w:r w:rsidR="00C219FF" w:rsidRPr="00526CAD">
              <w:rPr>
                <w:sz w:val="24"/>
                <w:szCs w:val="24"/>
                <w:lang w:val="lv-LV"/>
              </w:rPr>
              <w:t>Atbalsts nodarbināto apmācībām komersantu konkurētspējas veicināšanai – atbalsts partnerībās organizētām apmācībām” projektu iesniegumu atlases otrajai kārtā pieejamais finansējums ir 24 056 037 lati, tai skaitā Eiropas Sociālā fonda finansējums 15 159 045 lati un finansējuma saņēmēju finansējums 8 896 992 lati.</w:t>
            </w:r>
          </w:p>
          <w:p w:rsidR="008F04B9" w:rsidRPr="00526CAD" w:rsidRDefault="00C219FF" w:rsidP="00762978">
            <w:pPr>
              <w:ind w:firstLine="451"/>
              <w:jc w:val="both"/>
              <w:rPr>
                <w:sz w:val="24"/>
                <w:szCs w:val="24"/>
                <w:lang w:val="lv-LV"/>
              </w:rPr>
            </w:pPr>
            <w:r w:rsidRPr="00526CAD">
              <w:rPr>
                <w:sz w:val="24"/>
                <w:szCs w:val="24"/>
                <w:lang w:val="lv-LV"/>
              </w:rPr>
              <w:t xml:space="preserve">Noteikumu projekts paredz uzņemties virssaistības </w:t>
            </w:r>
            <w:r w:rsidR="00167AFE" w:rsidRPr="00526CAD">
              <w:rPr>
                <w:sz w:val="24"/>
                <w:szCs w:val="24"/>
                <w:lang w:val="lv-LV"/>
              </w:rPr>
              <w:t>2</w:t>
            </w:r>
            <w:r w:rsidRPr="00526CAD">
              <w:rPr>
                <w:sz w:val="24"/>
                <w:szCs w:val="24"/>
                <w:lang w:val="lv-LV"/>
              </w:rPr>
              <w:t> </w:t>
            </w:r>
            <w:r w:rsidR="00167AFE" w:rsidRPr="00526CAD">
              <w:rPr>
                <w:sz w:val="24"/>
                <w:szCs w:val="24"/>
                <w:lang w:val="lv-LV"/>
              </w:rPr>
              <w:t>5</w:t>
            </w:r>
            <w:r w:rsidRPr="00526CAD">
              <w:rPr>
                <w:sz w:val="24"/>
                <w:szCs w:val="24"/>
                <w:lang w:val="lv-LV"/>
              </w:rPr>
              <w:t xml:space="preserve">00 000  latu apmērā, kas </w:t>
            </w:r>
            <w:r w:rsidR="000C0C3A" w:rsidRPr="00526CAD">
              <w:rPr>
                <w:sz w:val="24"/>
                <w:szCs w:val="24"/>
                <w:lang w:val="lv-LV"/>
              </w:rPr>
              <w:t>veido</w:t>
            </w:r>
            <w:r w:rsidRPr="00526CAD">
              <w:rPr>
                <w:sz w:val="24"/>
                <w:szCs w:val="24"/>
                <w:lang w:val="lv-LV"/>
              </w:rPr>
              <w:t xml:space="preserve"> </w:t>
            </w:r>
            <w:r w:rsidR="002A3206" w:rsidRPr="00526CAD">
              <w:rPr>
                <w:sz w:val="24"/>
                <w:szCs w:val="24"/>
                <w:lang w:val="lv-LV"/>
              </w:rPr>
              <w:t>16</w:t>
            </w:r>
            <w:r w:rsidRPr="00526CAD">
              <w:rPr>
                <w:sz w:val="24"/>
                <w:szCs w:val="24"/>
                <w:lang w:val="lv-LV"/>
              </w:rPr>
              <w:t xml:space="preserve"> % no pieejamā </w:t>
            </w:r>
            <w:r w:rsidR="00900FF8" w:rsidRPr="00526CAD">
              <w:rPr>
                <w:sz w:val="24"/>
                <w:szCs w:val="24"/>
                <w:lang w:val="lv-LV"/>
              </w:rPr>
              <w:t xml:space="preserve">Eiropas Sociālā fonda </w:t>
            </w:r>
            <w:r w:rsidRPr="00526CAD">
              <w:rPr>
                <w:sz w:val="24"/>
                <w:szCs w:val="24"/>
                <w:lang w:val="lv-LV"/>
              </w:rPr>
              <w:t xml:space="preserve">finansējuma </w:t>
            </w:r>
            <w:r w:rsidR="00BD3CD7" w:rsidRPr="00526CAD">
              <w:rPr>
                <w:sz w:val="24"/>
                <w:szCs w:val="24"/>
                <w:lang w:val="lv-LV"/>
              </w:rPr>
              <w:t>1.3.1.1.1.apakšaktivitātei</w:t>
            </w:r>
            <w:r w:rsidRPr="00526CAD">
              <w:rPr>
                <w:sz w:val="24"/>
                <w:szCs w:val="24"/>
                <w:lang w:val="lv-LV"/>
              </w:rPr>
              <w:t xml:space="preserve">. </w:t>
            </w:r>
          </w:p>
          <w:p w:rsidR="008F04B9" w:rsidRPr="00526CAD" w:rsidRDefault="00EE7439" w:rsidP="00762978">
            <w:pPr>
              <w:ind w:firstLine="451"/>
              <w:jc w:val="both"/>
              <w:rPr>
                <w:sz w:val="24"/>
                <w:szCs w:val="24"/>
                <w:lang w:val="lv-LV"/>
              </w:rPr>
            </w:pPr>
            <w:r w:rsidRPr="00526CAD">
              <w:rPr>
                <w:sz w:val="24"/>
                <w:szCs w:val="24"/>
                <w:lang w:val="lv-LV"/>
              </w:rPr>
              <w:t>Izmantojot virssaistības</w:t>
            </w:r>
            <w:r w:rsidR="00F21BD7" w:rsidRPr="00526CAD">
              <w:rPr>
                <w:sz w:val="24"/>
                <w:szCs w:val="24"/>
                <w:lang w:val="lv-LV"/>
              </w:rPr>
              <w:t>,</w:t>
            </w:r>
            <w:r w:rsidR="00C219FF" w:rsidRPr="00526CAD">
              <w:rPr>
                <w:sz w:val="24"/>
                <w:szCs w:val="24"/>
                <w:lang w:val="lv-LV"/>
              </w:rPr>
              <w:t xml:space="preserve"> ir iespējams nodrošināt nepārtrauktu uzsākto projektu īstenošanu</w:t>
            </w:r>
            <w:r w:rsidR="00167AFE" w:rsidRPr="00526CAD">
              <w:rPr>
                <w:sz w:val="24"/>
                <w:szCs w:val="24"/>
                <w:lang w:val="lv-LV"/>
              </w:rPr>
              <w:t>,</w:t>
            </w:r>
            <w:r w:rsidR="00C219FF" w:rsidRPr="00526CAD">
              <w:rPr>
                <w:sz w:val="24"/>
                <w:szCs w:val="24"/>
                <w:lang w:val="lv-LV"/>
              </w:rPr>
              <w:t xml:space="preserve"> </w:t>
            </w:r>
            <w:r w:rsidR="00167AFE" w:rsidRPr="00526CAD">
              <w:rPr>
                <w:sz w:val="24"/>
                <w:szCs w:val="24"/>
                <w:lang w:val="lv-LV"/>
              </w:rPr>
              <w:t xml:space="preserve">īstenot </w:t>
            </w:r>
            <w:r w:rsidR="00C219FF" w:rsidRPr="00526CAD">
              <w:rPr>
                <w:sz w:val="24"/>
                <w:szCs w:val="24"/>
                <w:lang w:val="lv-LV"/>
              </w:rPr>
              <w:t>papildus apmācības komersantu konkurētspējas celšanai</w:t>
            </w:r>
            <w:r w:rsidR="00167AFE" w:rsidRPr="00526CAD">
              <w:rPr>
                <w:sz w:val="24"/>
                <w:szCs w:val="24"/>
                <w:lang w:val="lv-LV"/>
              </w:rPr>
              <w:t xml:space="preserve"> un iesaistīt kvalifikācijas celšanā jauniešus un sekmēt vienmērīgu Latvijas reģionu attīstību</w:t>
            </w:r>
            <w:r w:rsidR="00C219FF" w:rsidRPr="00526CAD">
              <w:rPr>
                <w:sz w:val="24"/>
                <w:szCs w:val="24"/>
                <w:lang w:val="lv-LV"/>
              </w:rPr>
              <w:t xml:space="preserve">. </w:t>
            </w:r>
          </w:p>
          <w:p w:rsidR="0099575C" w:rsidRPr="00526CAD" w:rsidRDefault="00A104D4" w:rsidP="00167AFE">
            <w:pPr>
              <w:ind w:firstLine="451"/>
              <w:jc w:val="both"/>
              <w:rPr>
                <w:sz w:val="24"/>
                <w:szCs w:val="24"/>
                <w:lang w:val="lv-LV"/>
              </w:rPr>
            </w:pPr>
            <w:r w:rsidRPr="00526CAD">
              <w:rPr>
                <w:sz w:val="24"/>
                <w:szCs w:val="24"/>
                <w:lang w:val="lv-LV"/>
              </w:rPr>
              <w:t>Balstoties uz sasniegto finanšu progresu pirmā p</w:t>
            </w:r>
            <w:r w:rsidR="00167AFE" w:rsidRPr="00526CAD">
              <w:rPr>
                <w:sz w:val="24"/>
                <w:szCs w:val="24"/>
                <w:lang w:val="lv-LV"/>
              </w:rPr>
              <w:t>rojekta īstenošanas gada laikā un saņemto informāciju no finansējuma saņēmējiem</w:t>
            </w:r>
            <w:r w:rsidR="00F21BD7" w:rsidRPr="00526CAD">
              <w:rPr>
                <w:sz w:val="24"/>
                <w:szCs w:val="24"/>
                <w:lang w:val="lv-LV"/>
              </w:rPr>
              <w:t>,</w:t>
            </w:r>
            <w:r w:rsidR="00167AFE" w:rsidRPr="00526CAD">
              <w:rPr>
                <w:sz w:val="24"/>
                <w:szCs w:val="24"/>
                <w:lang w:val="lv-LV"/>
              </w:rPr>
              <w:t xml:space="preserve"> </w:t>
            </w:r>
            <w:r w:rsidRPr="00526CAD">
              <w:rPr>
                <w:sz w:val="24"/>
                <w:szCs w:val="24"/>
                <w:lang w:val="lv-LV"/>
              </w:rPr>
              <w:t>ir aprēķināts, ka līdz 2013.gada 1.ceturksnim būs nepieciešami papildus 1</w:t>
            </w:r>
            <w:r w:rsidR="00F93F65" w:rsidRPr="00526CAD">
              <w:rPr>
                <w:sz w:val="24"/>
                <w:szCs w:val="24"/>
                <w:lang w:val="lv-LV"/>
              </w:rPr>
              <w:t> 251 628</w:t>
            </w:r>
            <w:r w:rsidRPr="00526CAD">
              <w:rPr>
                <w:sz w:val="24"/>
                <w:szCs w:val="24"/>
                <w:lang w:val="lv-LV"/>
              </w:rPr>
              <w:t xml:space="preserve"> lati tiem finansējuma saņēmējiem, kas savus projektus īsteno visstraujāk. Attiecīgi </w:t>
            </w:r>
            <w:r w:rsidR="00C219FF" w:rsidRPr="00526CAD">
              <w:rPr>
                <w:sz w:val="24"/>
                <w:szCs w:val="24"/>
                <w:lang w:val="lv-LV"/>
              </w:rPr>
              <w:t>2012.gad</w:t>
            </w:r>
            <w:r w:rsidR="00EE7439" w:rsidRPr="00526CAD">
              <w:rPr>
                <w:sz w:val="24"/>
                <w:szCs w:val="24"/>
                <w:lang w:val="lv-LV"/>
              </w:rPr>
              <w:t>ā</w:t>
            </w:r>
            <w:r w:rsidR="00C219FF" w:rsidRPr="00526CAD">
              <w:rPr>
                <w:sz w:val="24"/>
                <w:szCs w:val="24"/>
                <w:lang w:val="lv-LV"/>
              </w:rPr>
              <w:t xml:space="preserve"> ir plānots, ka no piešķirtā </w:t>
            </w:r>
            <w:r w:rsidR="00C35132" w:rsidRPr="00526CAD">
              <w:rPr>
                <w:sz w:val="24"/>
                <w:szCs w:val="24"/>
                <w:lang w:val="lv-LV"/>
              </w:rPr>
              <w:t xml:space="preserve">valsts budžeta </w:t>
            </w:r>
            <w:r w:rsidR="00C219FF" w:rsidRPr="00526CAD">
              <w:rPr>
                <w:sz w:val="24"/>
                <w:szCs w:val="24"/>
                <w:lang w:val="lv-LV"/>
              </w:rPr>
              <w:t xml:space="preserve">virssaistību apjoma būs nepieciešams izmantot </w:t>
            </w:r>
            <w:r w:rsidR="00F93F65" w:rsidRPr="00526CAD">
              <w:rPr>
                <w:sz w:val="24"/>
                <w:szCs w:val="24"/>
                <w:lang w:val="lv-LV"/>
              </w:rPr>
              <w:t>1</w:t>
            </w:r>
            <w:r w:rsidR="00167AFE" w:rsidRPr="00526CAD">
              <w:rPr>
                <w:sz w:val="24"/>
                <w:szCs w:val="24"/>
                <w:lang w:val="lv-LV"/>
              </w:rPr>
              <w:t>50 000</w:t>
            </w:r>
            <w:r w:rsidR="00C219FF" w:rsidRPr="00526CAD">
              <w:rPr>
                <w:sz w:val="24"/>
                <w:szCs w:val="24"/>
                <w:lang w:val="lv-LV"/>
              </w:rPr>
              <w:t xml:space="preserve"> latus</w:t>
            </w:r>
            <w:r w:rsidR="00EE7439" w:rsidRPr="00526CAD">
              <w:rPr>
                <w:sz w:val="24"/>
                <w:szCs w:val="24"/>
                <w:lang w:val="lv-LV"/>
              </w:rPr>
              <w:t xml:space="preserve">. Atlikusī daļa </w:t>
            </w:r>
            <w:r w:rsidR="00C219FF" w:rsidRPr="00526CAD">
              <w:rPr>
                <w:sz w:val="24"/>
                <w:szCs w:val="24"/>
                <w:lang w:val="lv-LV"/>
              </w:rPr>
              <w:t>1 101 628 lati</w:t>
            </w:r>
            <w:r w:rsidR="00EE7439" w:rsidRPr="00526CAD">
              <w:rPr>
                <w:sz w:val="24"/>
                <w:szCs w:val="24"/>
                <w:lang w:val="lv-LV"/>
              </w:rPr>
              <w:t xml:space="preserve"> tiks </w:t>
            </w:r>
            <w:r w:rsidRPr="00526CAD">
              <w:rPr>
                <w:sz w:val="24"/>
                <w:szCs w:val="24"/>
                <w:lang w:val="lv-LV"/>
              </w:rPr>
              <w:t>iegūta,</w:t>
            </w:r>
            <w:r w:rsidR="00C219FF" w:rsidRPr="00526CAD">
              <w:rPr>
                <w:sz w:val="24"/>
                <w:szCs w:val="24"/>
                <w:lang w:val="lv-LV"/>
              </w:rPr>
              <w:t xml:space="preserve"> izmantojot </w:t>
            </w:r>
            <w:r w:rsidRPr="00526CAD">
              <w:rPr>
                <w:sz w:val="24"/>
                <w:szCs w:val="24"/>
                <w:lang w:val="lv-LV"/>
              </w:rPr>
              <w:t>finansējumu</w:t>
            </w:r>
            <w:r w:rsidR="00C219FF" w:rsidRPr="00526CAD">
              <w:rPr>
                <w:sz w:val="24"/>
                <w:szCs w:val="24"/>
                <w:lang w:val="lv-LV"/>
              </w:rPr>
              <w:t xml:space="preserve"> </w:t>
            </w:r>
            <w:r w:rsidRPr="00526CAD">
              <w:rPr>
                <w:sz w:val="24"/>
                <w:szCs w:val="24"/>
                <w:lang w:val="lv-LV"/>
              </w:rPr>
              <w:t>no</w:t>
            </w:r>
            <w:r w:rsidR="00C219FF" w:rsidRPr="00526CAD">
              <w:rPr>
                <w:sz w:val="24"/>
                <w:szCs w:val="24"/>
                <w:lang w:val="lv-LV"/>
              </w:rPr>
              <w:t xml:space="preserve"> finanšu korekcijas piemērošanas par maksāju</w:t>
            </w:r>
            <w:r w:rsidR="00F21BD7" w:rsidRPr="00526CAD">
              <w:rPr>
                <w:sz w:val="24"/>
                <w:szCs w:val="24"/>
                <w:lang w:val="lv-LV"/>
              </w:rPr>
              <w:t>mu</w:t>
            </w:r>
            <w:r w:rsidR="00C219FF" w:rsidRPr="00526CAD">
              <w:rPr>
                <w:sz w:val="24"/>
                <w:szCs w:val="24"/>
                <w:lang w:val="lv-LV"/>
              </w:rPr>
              <w:t xml:space="preserve"> pieprasījumu neiesniegšanu LIAA vismaz 25 %</w:t>
            </w:r>
            <w:r w:rsidR="00F21BD7" w:rsidRPr="00526CAD">
              <w:rPr>
                <w:sz w:val="24"/>
                <w:szCs w:val="24"/>
                <w:lang w:val="lv-LV"/>
              </w:rPr>
              <w:t xml:space="preserve"> apmērā</w:t>
            </w:r>
            <w:r w:rsidR="00C219FF" w:rsidRPr="00526CAD">
              <w:rPr>
                <w:sz w:val="24"/>
                <w:szCs w:val="24"/>
                <w:lang w:val="lv-LV"/>
              </w:rPr>
              <w:t xml:space="preserve"> no projekta kopējo attiecināmo izmaksu summas. </w:t>
            </w:r>
          </w:p>
          <w:p w:rsidR="008850DE" w:rsidRPr="00526CAD" w:rsidRDefault="00A104D4" w:rsidP="008850DE">
            <w:pPr>
              <w:ind w:firstLine="451"/>
              <w:jc w:val="both"/>
              <w:rPr>
                <w:sz w:val="24"/>
                <w:szCs w:val="24"/>
                <w:lang w:val="lv-LV"/>
              </w:rPr>
            </w:pPr>
            <w:r w:rsidRPr="00526CAD">
              <w:rPr>
                <w:sz w:val="24"/>
                <w:szCs w:val="24"/>
                <w:lang w:val="lv-LV"/>
              </w:rPr>
              <w:t>Balstoties uz sasniegto finanšu progresu finansējuma saņēmējiem pirmā projekta īstenošanas gada laikā</w:t>
            </w:r>
            <w:r w:rsidR="00F21BD7" w:rsidRPr="00526CAD">
              <w:rPr>
                <w:sz w:val="24"/>
                <w:szCs w:val="24"/>
                <w:lang w:val="lv-LV"/>
              </w:rPr>
              <w:t>,</w:t>
            </w:r>
            <w:r w:rsidRPr="00526CAD">
              <w:rPr>
                <w:sz w:val="24"/>
                <w:szCs w:val="24"/>
                <w:lang w:val="lv-LV"/>
              </w:rPr>
              <w:t xml:space="preserve"> ir aprēķināts, ka līdz 2014.gada 1.ceturksnim būs nepieciešami papildus </w:t>
            </w:r>
            <w:r w:rsidR="00167AFE" w:rsidRPr="00526CAD">
              <w:rPr>
                <w:sz w:val="24"/>
                <w:szCs w:val="24"/>
                <w:lang w:val="lv-LV"/>
              </w:rPr>
              <w:t>3</w:t>
            </w:r>
            <w:r w:rsidR="00F21BD7" w:rsidRPr="00526CAD">
              <w:rPr>
                <w:sz w:val="24"/>
                <w:szCs w:val="24"/>
                <w:lang w:val="lv-LV"/>
              </w:rPr>
              <w:t> </w:t>
            </w:r>
            <w:r w:rsidR="00167AFE" w:rsidRPr="00526CAD">
              <w:rPr>
                <w:sz w:val="24"/>
                <w:szCs w:val="24"/>
                <w:lang w:val="lv-LV"/>
              </w:rPr>
              <w:t>093</w:t>
            </w:r>
            <w:r w:rsidR="00F21BD7" w:rsidRPr="00526CAD">
              <w:rPr>
                <w:sz w:val="24"/>
                <w:szCs w:val="24"/>
                <w:lang w:val="lv-LV"/>
              </w:rPr>
              <w:t> </w:t>
            </w:r>
            <w:r w:rsidR="00167AFE" w:rsidRPr="00526CAD">
              <w:rPr>
                <w:sz w:val="24"/>
                <w:szCs w:val="24"/>
                <w:lang w:val="lv-LV"/>
              </w:rPr>
              <w:t>635</w:t>
            </w:r>
            <w:r w:rsidRPr="00526CAD">
              <w:rPr>
                <w:sz w:val="24"/>
                <w:szCs w:val="24"/>
                <w:lang w:val="lv-LV"/>
              </w:rPr>
              <w:t xml:space="preserve">  lati. Attiecīgi </w:t>
            </w:r>
            <w:r w:rsidR="00C219FF" w:rsidRPr="00526CAD">
              <w:rPr>
                <w:sz w:val="24"/>
                <w:szCs w:val="24"/>
                <w:lang w:val="lv-LV"/>
              </w:rPr>
              <w:t>2013.gadā ir plānots izmantot 1 </w:t>
            </w:r>
            <w:r w:rsidR="00167AFE" w:rsidRPr="00526CAD">
              <w:rPr>
                <w:sz w:val="24"/>
                <w:szCs w:val="24"/>
                <w:lang w:val="lv-LV"/>
              </w:rPr>
              <w:t>000</w:t>
            </w:r>
            <w:r w:rsidR="00C219FF" w:rsidRPr="00526CAD">
              <w:rPr>
                <w:sz w:val="24"/>
                <w:szCs w:val="24"/>
                <w:lang w:val="lv-LV"/>
              </w:rPr>
              <w:t> </w:t>
            </w:r>
            <w:r w:rsidR="00167AFE" w:rsidRPr="00526CAD">
              <w:rPr>
                <w:sz w:val="24"/>
                <w:szCs w:val="24"/>
                <w:lang w:val="lv-LV"/>
              </w:rPr>
              <w:t>000</w:t>
            </w:r>
            <w:r w:rsidR="00C219FF" w:rsidRPr="00526CAD">
              <w:rPr>
                <w:sz w:val="24"/>
                <w:szCs w:val="24"/>
                <w:lang w:val="lv-LV"/>
              </w:rPr>
              <w:t xml:space="preserve"> latus no piešķirtā </w:t>
            </w:r>
            <w:r w:rsidR="00C35132" w:rsidRPr="00526CAD">
              <w:rPr>
                <w:sz w:val="24"/>
                <w:szCs w:val="24"/>
                <w:lang w:val="lv-LV"/>
              </w:rPr>
              <w:t xml:space="preserve">valsts budžeta </w:t>
            </w:r>
            <w:r w:rsidR="00C219FF" w:rsidRPr="00526CAD">
              <w:rPr>
                <w:sz w:val="24"/>
                <w:szCs w:val="24"/>
                <w:lang w:val="lv-LV"/>
              </w:rPr>
              <w:t xml:space="preserve">virssaistību apmēra. </w:t>
            </w:r>
            <w:r w:rsidRPr="00526CAD">
              <w:rPr>
                <w:sz w:val="24"/>
                <w:szCs w:val="24"/>
                <w:lang w:val="lv-LV"/>
              </w:rPr>
              <w:t xml:space="preserve">Papildus </w:t>
            </w:r>
            <w:r w:rsidR="00C219FF" w:rsidRPr="00526CAD">
              <w:rPr>
                <w:sz w:val="24"/>
                <w:szCs w:val="24"/>
                <w:lang w:val="lv-LV"/>
              </w:rPr>
              <w:t xml:space="preserve">2013.gadā tiks atkārtoti piemērota finanšu korekcija tiem finansējuma saņēmējiem, kas nebūs iesnieguši LIAA maksājuma pieprasījumus par vismaz 60 % no kopējā projekta attiecināmo izmaksu summas. </w:t>
            </w:r>
            <w:r w:rsidR="003C7954" w:rsidRPr="00526CAD">
              <w:rPr>
                <w:sz w:val="24"/>
                <w:szCs w:val="24"/>
                <w:lang w:val="lv-LV"/>
              </w:rPr>
              <w:t>Tā</w:t>
            </w:r>
            <w:r w:rsidR="00C219FF" w:rsidRPr="00526CAD">
              <w:rPr>
                <w:sz w:val="24"/>
                <w:szCs w:val="24"/>
                <w:lang w:val="lv-LV"/>
              </w:rPr>
              <w:t xml:space="preserve"> rezultātā ir plānots iegūt </w:t>
            </w:r>
            <w:r w:rsidR="003C7954" w:rsidRPr="00526CAD">
              <w:rPr>
                <w:sz w:val="24"/>
                <w:szCs w:val="24"/>
                <w:lang w:val="lv-LV"/>
              </w:rPr>
              <w:t>2 093 635 latus, ar ko tiks nosegta atlikusī daļa no nepieciešamā finansējuma.</w:t>
            </w:r>
          </w:p>
          <w:p w:rsidR="008F04B9" w:rsidRPr="00526CAD" w:rsidRDefault="00C219FF" w:rsidP="00B52943">
            <w:pPr>
              <w:ind w:firstLine="451"/>
              <w:jc w:val="both"/>
              <w:rPr>
                <w:sz w:val="24"/>
                <w:szCs w:val="24"/>
                <w:lang w:val="lv-LV"/>
              </w:rPr>
            </w:pPr>
            <w:r w:rsidRPr="00526CAD">
              <w:rPr>
                <w:sz w:val="24"/>
                <w:szCs w:val="24"/>
                <w:lang w:val="lv-LV"/>
              </w:rPr>
              <w:t xml:space="preserve">2014.gadā ir plānots izmantot </w:t>
            </w:r>
            <w:r w:rsidR="00F16223" w:rsidRPr="00526CAD">
              <w:rPr>
                <w:sz w:val="24"/>
                <w:szCs w:val="24"/>
                <w:lang w:val="lv-LV"/>
              </w:rPr>
              <w:t>1</w:t>
            </w:r>
            <w:r w:rsidRPr="00526CAD">
              <w:rPr>
                <w:sz w:val="24"/>
                <w:szCs w:val="24"/>
                <w:lang w:val="lv-LV"/>
              </w:rPr>
              <w:t> </w:t>
            </w:r>
            <w:r w:rsidR="00D33C38" w:rsidRPr="00526CAD">
              <w:rPr>
                <w:sz w:val="24"/>
                <w:szCs w:val="24"/>
                <w:lang w:val="lv-LV"/>
              </w:rPr>
              <w:t>000</w:t>
            </w:r>
            <w:r w:rsidRPr="00526CAD">
              <w:rPr>
                <w:sz w:val="24"/>
                <w:szCs w:val="24"/>
                <w:lang w:val="lv-LV"/>
              </w:rPr>
              <w:t xml:space="preserve"> 0</w:t>
            </w:r>
            <w:r w:rsidR="00D33C38" w:rsidRPr="00526CAD">
              <w:rPr>
                <w:sz w:val="24"/>
                <w:szCs w:val="24"/>
                <w:lang w:val="lv-LV"/>
              </w:rPr>
              <w:t>00</w:t>
            </w:r>
            <w:r w:rsidRPr="00526CAD">
              <w:rPr>
                <w:sz w:val="24"/>
                <w:szCs w:val="24"/>
                <w:lang w:val="lv-LV"/>
              </w:rPr>
              <w:t xml:space="preserve"> latus un 2015.gadā </w:t>
            </w:r>
            <w:r w:rsidR="00F93F65" w:rsidRPr="00526CAD">
              <w:rPr>
                <w:sz w:val="24"/>
                <w:szCs w:val="24"/>
                <w:lang w:val="lv-LV"/>
              </w:rPr>
              <w:t>3</w:t>
            </w:r>
            <w:r w:rsidR="00D33C38" w:rsidRPr="00526CAD">
              <w:rPr>
                <w:sz w:val="24"/>
                <w:szCs w:val="24"/>
                <w:lang w:val="lv-LV"/>
              </w:rPr>
              <w:t>5</w:t>
            </w:r>
            <w:r w:rsidRPr="00526CAD">
              <w:rPr>
                <w:sz w:val="24"/>
                <w:szCs w:val="24"/>
                <w:lang w:val="lv-LV"/>
              </w:rPr>
              <w:t xml:space="preserve">0 000 latus no piešķirto virssaistību apjoma. </w:t>
            </w:r>
            <w:r w:rsidR="003C7954" w:rsidRPr="00526CAD">
              <w:rPr>
                <w:sz w:val="24"/>
                <w:szCs w:val="24"/>
                <w:lang w:val="lv-LV"/>
              </w:rPr>
              <w:t xml:space="preserve">Ņemot vērā </w:t>
            </w:r>
            <w:r w:rsidR="003C7954" w:rsidRPr="00526CAD">
              <w:rPr>
                <w:sz w:val="24"/>
                <w:szCs w:val="24"/>
                <w:lang w:val="lv-LV"/>
              </w:rPr>
              <w:lastRenderedPageBreak/>
              <w:t>piemērotās finanšu korekcijas iepriekšējos gados ir apšaubāms, ka pēc projekta pabeigšanas būs nepieciešams piemērot vēl papildus finanšu korekcijas.</w:t>
            </w:r>
          </w:p>
          <w:p w:rsidR="00B52943" w:rsidRPr="00526CAD" w:rsidRDefault="00C219FF" w:rsidP="00B52943">
            <w:pPr>
              <w:ind w:firstLine="451"/>
              <w:jc w:val="both"/>
              <w:rPr>
                <w:sz w:val="24"/>
                <w:szCs w:val="24"/>
                <w:lang w:val="lv-LV"/>
              </w:rPr>
            </w:pPr>
            <w:r w:rsidRPr="00526CAD">
              <w:rPr>
                <w:bCs/>
                <w:color w:val="000000"/>
                <w:sz w:val="24"/>
                <w:szCs w:val="24"/>
                <w:lang w:val="lv-LV"/>
              </w:rPr>
              <w:t>Finansējuma sadalījums pa gadiem</w:t>
            </w:r>
            <w:r w:rsidRPr="00526CAD">
              <w:rPr>
                <w:bCs/>
                <w:sz w:val="24"/>
                <w:szCs w:val="24"/>
                <w:lang w:val="lv-LV"/>
              </w:rPr>
              <w:t xml:space="preserve"> </w:t>
            </w:r>
            <w:r w:rsidRPr="00526CAD">
              <w:rPr>
                <w:bCs/>
                <w:color w:val="000000"/>
                <w:sz w:val="24"/>
                <w:szCs w:val="24"/>
                <w:lang w:val="lv-LV"/>
              </w:rPr>
              <w:t>apakšaktivitātes projekta ietvaros var mainīties.</w:t>
            </w:r>
            <w:r w:rsidR="00D33C38" w:rsidRPr="00526CAD">
              <w:rPr>
                <w:bCs/>
                <w:color w:val="000000"/>
                <w:sz w:val="24"/>
                <w:szCs w:val="24"/>
                <w:lang w:val="lv-LV"/>
              </w:rPr>
              <w:t xml:space="preserve"> Tai skaitā būtiski ir ņemt vērā, ka finansējuma saņēmējiem būs jāizsludina jauni iepirkumi, kas var aizkavēt jaunu apmācību uzsākšanu.</w:t>
            </w:r>
            <w:r w:rsidRPr="00526CAD">
              <w:rPr>
                <w:bCs/>
                <w:color w:val="000000"/>
                <w:sz w:val="24"/>
                <w:szCs w:val="24"/>
                <w:lang w:val="lv-LV"/>
              </w:rPr>
              <w:t xml:space="preserve"> Kopējās izmaksas var mainīties projekta ietvaros, ņemot vērā faktiski izlietoto finansējumu.</w:t>
            </w:r>
          </w:p>
        </w:tc>
      </w:tr>
      <w:tr w:rsidR="008F04B9" w:rsidRPr="00526CAD" w:rsidTr="00762978">
        <w:tblPrEx>
          <w:jc w:val="center"/>
          <w:tblCellMar>
            <w:top w:w="0" w:type="dxa"/>
            <w:left w:w="108" w:type="dxa"/>
            <w:bottom w:w="0" w:type="dxa"/>
            <w:right w:w="108" w:type="dxa"/>
          </w:tblCellMar>
          <w:tblLook w:val="01E0" w:firstRow="1" w:lastRow="1" w:firstColumn="1" w:lastColumn="1" w:noHBand="0" w:noVBand="0"/>
        </w:tblPrEx>
        <w:trPr>
          <w:gridAfter w:val="1"/>
          <w:wAfter w:w="40" w:type="pct"/>
          <w:jc w:val="center"/>
        </w:trPr>
        <w:tc>
          <w:tcPr>
            <w:tcW w:w="1440" w:type="pct"/>
          </w:tcPr>
          <w:p w:rsidR="008F04B9" w:rsidRPr="00526CAD" w:rsidRDefault="008F04B9" w:rsidP="00762978">
            <w:pPr>
              <w:jc w:val="both"/>
              <w:rPr>
                <w:sz w:val="24"/>
                <w:szCs w:val="24"/>
                <w:lang w:val="lv-LV"/>
              </w:rPr>
            </w:pPr>
            <w:r w:rsidRPr="00526CAD">
              <w:rPr>
                <w:sz w:val="24"/>
                <w:szCs w:val="24"/>
                <w:lang w:val="lv-LV"/>
              </w:rPr>
              <w:t>6.1. detalizēts ieņēmumu aprēķins</w:t>
            </w:r>
          </w:p>
          <w:p w:rsidR="008F04B9" w:rsidRPr="00526CAD" w:rsidRDefault="008F04B9" w:rsidP="00762978">
            <w:pPr>
              <w:jc w:val="both"/>
              <w:rPr>
                <w:sz w:val="24"/>
                <w:szCs w:val="24"/>
                <w:lang w:val="lv-LV"/>
              </w:rPr>
            </w:pPr>
          </w:p>
          <w:p w:rsidR="008F04B9" w:rsidRPr="00526CAD" w:rsidRDefault="008F04B9" w:rsidP="00762978">
            <w:pPr>
              <w:jc w:val="both"/>
              <w:rPr>
                <w:sz w:val="24"/>
                <w:szCs w:val="24"/>
                <w:lang w:val="lv-LV"/>
              </w:rPr>
            </w:pPr>
          </w:p>
        </w:tc>
        <w:tc>
          <w:tcPr>
            <w:tcW w:w="3520" w:type="pct"/>
            <w:gridSpan w:val="5"/>
            <w:vMerge/>
          </w:tcPr>
          <w:p w:rsidR="008F04B9" w:rsidRPr="00526CAD" w:rsidRDefault="008F04B9" w:rsidP="00762978">
            <w:pPr>
              <w:pStyle w:val="naisf"/>
              <w:spacing w:before="0" w:after="0"/>
              <w:rPr>
                <w:b/>
                <w:i/>
              </w:rPr>
            </w:pPr>
          </w:p>
        </w:tc>
      </w:tr>
      <w:tr w:rsidR="008F04B9" w:rsidRPr="00526CAD" w:rsidTr="00762978">
        <w:tblPrEx>
          <w:jc w:val="center"/>
          <w:tblCellMar>
            <w:top w:w="0" w:type="dxa"/>
            <w:left w:w="108" w:type="dxa"/>
            <w:bottom w:w="0" w:type="dxa"/>
            <w:right w:w="108" w:type="dxa"/>
          </w:tblCellMar>
          <w:tblLook w:val="01E0" w:firstRow="1" w:lastRow="1" w:firstColumn="1" w:lastColumn="1" w:noHBand="0" w:noVBand="0"/>
        </w:tblPrEx>
        <w:trPr>
          <w:gridAfter w:val="1"/>
          <w:wAfter w:w="40" w:type="pct"/>
          <w:trHeight w:val="2936"/>
          <w:jc w:val="center"/>
        </w:trPr>
        <w:tc>
          <w:tcPr>
            <w:tcW w:w="1440" w:type="pct"/>
          </w:tcPr>
          <w:p w:rsidR="008F04B9" w:rsidRPr="00526CAD" w:rsidRDefault="00C219FF" w:rsidP="00762978">
            <w:pPr>
              <w:jc w:val="both"/>
              <w:rPr>
                <w:sz w:val="24"/>
                <w:szCs w:val="24"/>
                <w:lang w:val="lv-LV"/>
              </w:rPr>
            </w:pPr>
            <w:r w:rsidRPr="00526CAD">
              <w:rPr>
                <w:sz w:val="24"/>
                <w:szCs w:val="24"/>
                <w:lang w:val="lv-LV"/>
              </w:rPr>
              <w:t>6.2. detalizēts izdevumu aprēķins</w:t>
            </w:r>
          </w:p>
        </w:tc>
        <w:tc>
          <w:tcPr>
            <w:tcW w:w="3520" w:type="pct"/>
            <w:gridSpan w:val="5"/>
            <w:vMerge/>
          </w:tcPr>
          <w:p w:rsidR="008F04B9" w:rsidRPr="00526CAD" w:rsidRDefault="008F04B9" w:rsidP="00762978">
            <w:pPr>
              <w:pStyle w:val="naisf"/>
              <w:spacing w:before="0" w:after="0"/>
              <w:rPr>
                <w:b/>
                <w:i/>
              </w:rPr>
            </w:pPr>
          </w:p>
        </w:tc>
      </w:tr>
      <w:tr w:rsidR="008F04B9" w:rsidRPr="00EF1B0A" w:rsidTr="00762978">
        <w:tblPrEx>
          <w:jc w:val="center"/>
          <w:tblCellMar>
            <w:top w:w="0" w:type="dxa"/>
            <w:left w:w="108" w:type="dxa"/>
            <w:bottom w:w="0" w:type="dxa"/>
            <w:right w:w="108" w:type="dxa"/>
          </w:tblCellMar>
          <w:tblLook w:val="01E0" w:firstRow="1" w:lastRow="1" w:firstColumn="1" w:lastColumn="1" w:noHBand="0" w:noVBand="0"/>
        </w:tblPrEx>
        <w:trPr>
          <w:gridAfter w:val="1"/>
          <w:wAfter w:w="40" w:type="pct"/>
          <w:jc w:val="center"/>
        </w:trPr>
        <w:tc>
          <w:tcPr>
            <w:tcW w:w="1440" w:type="pct"/>
          </w:tcPr>
          <w:p w:rsidR="008F04B9" w:rsidRPr="00526CAD" w:rsidRDefault="00314719" w:rsidP="00762978">
            <w:pPr>
              <w:jc w:val="both"/>
              <w:rPr>
                <w:sz w:val="24"/>
                <w:szCs w:val="24"/>
                <w:lang w:val="lv-LV"/>
              </w:rPr>
            </w:pPr>
            <w:r w:rsidRPr="00526CAD">
              <w:rPr>
                <w:sz w:val="24"/>
                <w:szCs w:val="24"/>
                <w:lang w:val="lv-LV"/>
              </w:rPr>
              <w:lastRenderedPageBreak/>
              <w:t>7. Cita informācija</w:t>
            </w:r>
          </w:p>
        </w:tc>
        <w:tc>
          <w:tcPr>
            <w:tcW w:w="3520" w:type="pct"/>
            <w:gridSpan w:val="5"/>
          </w:tcPr>
          <w:p w:rsidR="00F87021" w:rsidRPr="00526CAD" w:rsidRDefault="00C219FF">
            <w:pPr>
              <w:spacing w:after="120"/>
              <w:ind w:firstLine="459"/>
              <w:jc w:val="both"/>
              <w:rPr>
                <w:bCs/>
                <w:color w:val="000000"/>
                <w:lang w:val="lv-LV"/>
              </w:rPr>
            </w:pPr>
            <w:r w:rsidRPr="00526CAD">
              <w:rPr>
                <w:bCs/>
                <w:color w:val="000000"/>
                <w:sz w:val="24"/>
                <w:szCs w:val="24"/>
                <w:lang w:val="lv-LV"/>
              </w:rPr>
              <w:t>Ekonomikas ministrija normatīvajos aktos noteiktajos gadījumos un noteiktajā kārtībā no gadskārtējā valsts budžeta izpildes procesā pārdalāmā finansējuma programmas 80.00.00 „Nesadalītais finansējums Eiropas Savienības politiku instrumentu un pārējās ārvalstu finanšu palīdzības līdzfinansēto projektu un pasākumu īstenošanai” var pieprasīt valsts budžeta līdzekļus apstiprināto projektu īstenošanai.</w:t>
            </w:r>
          </w:p>
        </w:tc>
      </w:tr>
    </w:tbl>
    <w:p w:rsidR="008F04B9" w:rsidRPr="00526CAD" w:rsidRDefault="008F04B9" w:rsidP="00CE5A53">
      <w:pPr>
        <w:pStyle w:val="NormalWeb"/>
        <w:spacing w:before="0" w:beforeAutospacing="0" w:after="0" w:afterAutospacing="0"/>
        <w:jc w:val="center"/>
        <w:rPr>
          <w:b/>
          <w:lang w:val="lv-LV"/>
        </w:rPr>
      </w:pPr>
    </w:p>
    <w:p w:rsidR="007D3113" w:rsidRPr="00526CAD" w:rsidRDefault="007D3113" w:rsidP="00CE5A53">
      <w:pPr>
        <w:pStyle w:val="NormalWeb"/>
        <w:spacing w:before="0" w:beforeAutospacing="0" w:after="0" w:afterAutospacing="0"/>
        <w:jc w:val="center"/>
        <w:rPr>
          <w:b/>
          <w:lang w:val="lv-LV"/>
        </w:rPr>
      </w:pPr>
    </w:p>
    <w:tbl>
      <w:tblPr>
        <w:tblW w:w="9229" w:type="dxa"/>
        <w:tblInd w:w="-112"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0A0" w:firstRow="1" w:lastRow="0" w:firstColumn="1" w:lastColumn="0" w:noHBand="0" w:noVBand="0"/>
      </w:tblPr>
      <w:tblGrid>
        <w:gridCol w:w="851"/>
        <w:gridCol w:w="3260"/>
        <w:gridCol w:w="5118"/>
      </w:tblGrid>
      <w:tr w:rsidR="007D3113" w:rsidRPr="00EF1B0A" w:rsidTr="007D3113">
        <w:tc>
          <w:tcPr>
            <w:tcW w:w="851" w:type="dxa"/>
            <w:tcBorders>
              <w:top w:val="thickThinLargeGap" w:sz="6" w:space="0" w:color="C0C0C0"/>
              <w:bottom w:val="thickThinLargeGap" w:sz="6" w:space="0" w:color="C0C0C0"/>
            </w:tcBorders>
          </w:tcPr>
          <w:p w:rsidR="007D3113" w:rsidRPr="00526CAD" w:rsidRDefault="007D3113" w:rsidP="00762978">
            <w:pPr>
              <w:ind w:firstLine="720"/>
              <w:jc w:val="center"/>
              <w:rPr>
                <w:b/>
                <w:sz w:val="24"/>
                <w:szCs w:val="24"/>
                <w:lang w:val="lv-LV" w:eastAsia="lv-LV"/>
              </w:rPr>
            </w:pPr>
          </w:p>
        </w:tc>
        <w:tc>
          <w:tcPr>
            <w:tcW w:w="8378" w:type="dxa"/>
            <w:gridSpan w:val="2"/>
            <w:tcBorders>
              <w:top w:val="thickThinLargeGap" w:sz="6" w:space="0" w:color="C0C0C0"/>
              <w:bottom w:val="thickThinLargeGap" w:sz="6" w:space="0" w:color="C0C0C0"/>
            </w:tcBorders>
          </w:tcPr>
          <w:p w:rsidR="007D3113" w:rsidRPr="00526CAD" w:rsidRDefault="007D3113" w:rsidP="007D3113">
            <w:pPr>
              <w:rPr>
                <w:b/>
                <w:sz w:val="24"/>
                <w:szCs w:val="24"/>
                <w:lang w:val="lv-LV" w:eastAsia="lv-LV"/>
              </w:rPr>
            </w:pPr>
            <w:r w:rsidRPr="00526CAD">
              <w:rPr>
                <w:b/>
                <w:sz w:val="24"/>
                <w:szCs w:val="24"/>
                <w:lang w:val="lv-LV" w:eastAsia="lv-LV"/>
              </w:rPr>
              <w:t>IV. Tiesību akta projekta ietekme uz spēkā esošo tiesību normu sistēmu</w:t>
            </w:r>
          </w:p>
        </w:tc>
      </w:tr>
      <w:tr w:rsidR="007D3113" w:rsidRPr="00EF1B0A" w:rsidTr="007D3113">
        <w:tc>
          <w:tcPr>
            <w:tcW w:w="851" w:type="dxa"/>
            <w:tcBorders>
              <w:top w:val="thickThinLargeGap" w:sz="6" w:space="0" w:color="C0C0C0"/>
              <w:bottom w:val="thickThinLargeGap" w:sz="6" w:space="0" w:color="C0C0C0"/>
              <w:right w:val="thickThinLargeGap" w:sz="6" w:space="0" w:color="C0C0C0"/>
            </w:tcBorders>
          </w:tcPr>
          <w:p w:rsidR="007D3113" w:rsidRPr="00526CAD" w:rsidRDefault="007D3113" w:rsidP="00762978">
            <w:pPr>
              <w:jc w:val="both"/>
              <w:rPr>
                <w:sz w:val="24"/>
                <w:szCs w:val="24"/>
                <w:lang w:val="lv-LV" w:eastAsia="lv-LV"/>
              </w:rPr>
            </w:pPr>
            <w:r w:rsidRPr="00526CAD">
              <w:rPr>
                <w:sz w:val="24"/>
                <w:szCs w:val="24"/>
                <w:lang w:val="lv-LV" w:eastAsia="lv-LV"/>
              </w:rPr>
              <w:t>1.</w:t>
            </w:r>
          </w:p>
        </w:tc>
        <w:tc>
          <w:tcPr>
            <w:tcW w:w="3260" w:type="dxa"/>
            <w:tcBorders>
              <w:top w:val="thickThinLargeGap" w:sz="6" w:space="0" w:color="C0C0C0"/>
              <w:bottom w:val="thickThinLargeGap" w:sz="6" w:space="0" w:color="C0C0C0"/>
              <w:right w:val="thickThinLargeGap" w:sz="6" w:space="0" w:color="C0C0C0"/>
            </w:tcBorders>
          </w:tcPr>
          <w:p w:rsidR="007D3113" w:rsidRPr="00526CAD" w:rsidRDefault="007D3113" w:rsidP="00762978">
            <w:pPr>
              <w:jc w:val="both"/>
              <w:rPr>
                <w:sz w:val="24"/>
                <w:szCs w:val="24"/>
                <w:lang w:val="lv-LV" w:eastAsia="lv-LV"/>
              </w:rPr>
            </w:pPr>
            <w:r w:rsidRPr="00526CAD">
              <w:rPr>
                <w:sz w:val="24"/>
                <w:szCs w:val="24"/>
                <w:lang w:val="lv-LV" w:eastAsia="lv-LV"/>
              </w:rPr>
              <w:t>Nepieciešamie saistītie tiesību aktu projekti</w:t>
            </w:r>
          </w:p>
        </w:tc>
        <w:tc>
          <w:tcPr>
            <w:tcW w:w="5118" w:type="dxa"/>
            <w:tcBorders>
              <w:top w:val="thickThinLargeGap" w:sz="6" w:space="0" w:color="C0C0C0"/>
              <w:left w:val="thickThinLargeGap" w:sz="6" w:space="0" w:color="C0C0C0"/>
              <w:bottom w:val="thickThinLargeGap" w:sz="6" w:space="0" w:color="C0C0C0"/>
            </w:tcBorders>
          </w:tcPr>
          <w:p w:rsidR="007D3113" w:rsidRPr="00526CAD" w:rsidRDefault="007D3113" w:rsidP="003C7954">
            <w:pPr>
              <w:ind w:firstLine="426"/>
              <w:jc w:val="both"/>
              <w:rPr>
                <w:bCs/>
                <w:sz w:val="24"/>
                <w:szCs w:val="24"/>
                <w:lang w:val="lv-LV"/>
              </w:rPr>
            </w:pPr>
            <w:r w:rsidRPr="00526CAD">
              <w:rPr>
                <w:bCs/>
                <w:sz w:val="24"/>
                <w:szCs w:val="24"/>
                <w:lang w:val="lv-LV"/>
              </w:rPr>
              <w:t xml:space="preserve">Noteikumu projekts ir saistīts Ekonomikas ministrijas sagatavoto </w:t>
            </w:r>
            <w:r w:rsidR="002E2838" w:rsidRPr="00526CAD">
              <w:rPr>
                <w:sz w:val="24"/>
                <w:szCs w:val="24"/>
                <w:lang w:val="lv-LV"/>
              </w:rPr>
              <w:t>Ministru kabineta rīkojuma projektu „Grozījum</w:t>
            </w:r>
            <w:r w:rsidR="003110AF" w:rsidRPr="00526CAD">
              <w:rPr>
                <w:sz w:val="24"/>
                <w:szCs w:val="24"/>
                <w:lang w:val="lv-LV"/>
              </w:rPr>
              <w:t>s</w:t>
            </w:r>
            <w:r w:rsidR="002E2838" w:rsidRPr="00526CAD">
              <w:rPr>
                <w:sz w:val="24"/>
                <w:szCs w:val="24"/>
                <w:lang w:val="lv-LV"/>
              </w:rPr>
              <w:t xml:space="preserve"> darbības programmas „Cilvēkresursi un nodarbinātība” papildinājumā”</w:t>
            </w:r>
            <w:r w:rsidR="0016720F" w:rsidRPr="00526CAD">
              <w:rPr>
                <w:bCs/>
                <w:sz w:val="24"/>
                <w:szCs w:val="24"/>
                <w:lang w:val="lv-LV"/>
              </w:rPr>
              <w:t>, kas tiek virzīts uz Ministru kabinetu vienlaikus ar noteikumu projektu.</w:t>
            </w:r>
          </w:p>
        </w:tc>
      </w:tr>
      <w:tr w:rsidR="007D3113" w:rsidRPr="00526CAD" w:rsidTr="007D3113">
        <w:tc>
          <w:tcPr>
            <w:tcW w:w="851" w:type="dxa"/>
            <w:tcBorders>
              <w:top w:val="thickThinLargeGap" w:sz="6" w:space="0" w:color="C0C0C0"/>
              <w:bottom w:val="thickThinLargeGap" w:sz="6" w:space="0" w:color="C0C0C0"/>
              <w:right w:val="thickThinLargeGap" w:sz="6" w:space="0" w:color="C0C0C0"/>
            </w:tcBorders>
          </w:tcPr>
          <w:p w:rsidR="007D3113" w:rsidRPr="00526CAD" w:rsidRDefault="007D3113" w:rsidP="00762978">
            <w:pPr>
              <w:jc w:val="both"/>
              <w:rPr>
                <w:sz w:val="24"/>
                <w:szCs w:val="24"/>
                <w:lang w:val="lv-LV" w:eastAsia="lv-LV"/>
              </w:rPr>
            </w:pPr>
            <w:r w:rsidRPr="00526CAD">
              <w:rPr>
                <w:sz w:val="24"/>
                <w:szCs w:val="24"/>
                <w:lang w:val="lv-LV" w:eastAsia="lv-LV"/>
              </w:rPr>
              <w:t>2.</w:t>
            </w:r>
          </w:p>
        </w:tc>
        <w:tc>
          <w:tcPr>
            <w:tcW w:w="3260" w:type="dxa"/>
            <w:tcBorders>
              <w:top w:val="thickThinLargeGap" w:sz="6" w:space="0" w:color="C0C0C0"/>
              <w:bottom w:val="thickThinLargeGap" w:sz="6" w:space="0" w:color="C0C0C0"/>
              <w:right w:val="thickThinLargeGap" w:sz="6" w:space="0" w:color="C0C0C0"/>
            </w:tcBorders>
          </w:tcPr>
          <w:p w:rsidR="007D3113" w:rsidRPr="00526CAD" w:rsidRDefault="007D3113" w:rsidP="00762978">
            <w:pPr>
              <w:jc w:val="both"/>
              <w:rPr>
                <w:sz w:val="24"/>
                <w:szCs w:val="24"/>
                <w:lang w:val="lv-LV" w:eastAsia="lv-LV"/>
              </w:rPr>
            </w:pPr>
            <w:r w:rsidRPr="00526CAD">
              <w:rPr>
                <w:sz w:val="24"/>
                <w:szCs w:val="24"/>
                <w:lang w:val="lv-LV" w:eastAsia="lv-LV"/>
              </w:rPr>
              <w:t>Cita informācija</w:t>
            </w:r>
          </w:p>
        </w:tc>
        <w:tc>
          <w:tcPr>
            <w:tcW w:w="5118" w:type="dxa"/>
            <w:tcBorders>
              <w:top w:val="thickThinLargeGap" w:sz="6" w:space="0" w:color="C0C0C0"/>
              <w:left w:val="thickThinLargeGap" w:sz="6" w:space="0" w:color="C0C0C0"/>
              <w:bottom w:val="thickThinLargeGap" w:sz="6" w:space="0" w:color="C0C0C0"/>
            </w:tcBorders>
          </w:tcPr>
          <w:p w:rsidR="007D3113" w:rsidRPr="00526CAD" w:rsidRDefault="007D3113" w:rsidP="00762978">
            <w:pPr>
              <w:ind w:firstLine="426"/>
              <w:jc w:val="both"/>
              <w:rPr>
                <w:sz w:val="24"/>
                <w:szCs w:val="24"/>
                <w:lang w:val="lv-LV" w:eastAsia="lv-LV"/>
              </w:rPr>
            </w:pPr>
            <w:r w:rsidRPr="00526CAD">
              <w:rPr>
                <w:sz w:val="24"/>
                <w:szCs w:val="24"/>
                <w:lang w:val="lv-LV" w:eastAsia="lv-LV"/>
              </w:rPr>
              <w:t>Nav.</w:t>
            </w:r>
          </w:p>
        </w:tc>
      </w:tr>
    </w:tbl>
    <w:p w:rsidR="00403EAD" w:rsidRPr="00526CAD" w:rsidRDefault="00403EAD" w:rsidP="00CE5A53">
      <w:pPr>
        <w:tabs>
          <w:tab w:val="left" w:pos="7655"/>
        </w:tabs>
        <w:jc w:val="both"/>
        <w:rPr>
          <w:bCs/>
          <w:sz w:val="24"/>
          <w:szCs w:val="24"/>
          <w:lang w:val="lv-LV"/>
        </w:rPr>
      </w:pP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447"/>
        <w:gridCol w:w="1779"/>
        <w:gridCol w:w="6995"/>
      </w:tblGrid>
      <w:tr w:rsidR="00926E4B" w:rsidRPr="00526CAD" w:rsidTr="00762978">
        <w:trPr>
          <w:tblCellSpacing w:w="15" w:type="dxa"/>
        </w:trPr>
        <w:tc>
          <w:tcPr>
            <w:tcW w:w="0" w:type="auto"/>
            <w:gridSpan w:val="3"/>
            <w:shd w:val="clear" w:color="auto" w:fill="auto"/>
            <w:hideMark/>
          </w:tcPr>
          <w:p w:rsidR="00926E4B" w:rsidRPr="00526CAD" w:rsidRDefault="00926E4B" w:rsidP="00762978">
            <w:pPr>
              <w:jc w:val="center"/>
              <w:rPr>
                <w:rFonts w:eastAsia="Times New Roman"/>
                <w:b/>
                <w:bCs/>
                <w:sz w:val="24"/>
                <w:szCs w:val="24"/>
                <w:lang w:val="lv-LV" w:eastAsia="lv-LV"/>
              </w:rPr>
            </w:pPr>
            <w:r w:rsidRPr="00526CAD">
              <w:rPr>
                <w:rFonts w:eastAsia="Times New Roman"/>
                <w:b/>
                <w:bCs/>
                <w:sz w:val="24"/>
                <w:szCs w:val="24"/>
                <w:lang w:val="lv-LV" w:eastAsia="lv-LV"/>
              </w:rPr>
              <w:t>V. Tiesību akta projekta atbilstība Latvijas Republikas starptautiskajām saistībām</w:t>
            </w:r>
          </w:p>
        </w:tc>
      </w:tr>
      <w:tr w:rsidR="00926E4B" w:rsidRPr="00526CAD" w:rsidTr="00762978">
        <w:trPr>
          <w:tblCellSpacing w:w="15" w:type="dxa"/>
        </w:trPr>
        <w:tc>
          <w:tcPr>
            <w:tcW w:w="0" w:type="auto"/>
            <w:shd w:val="clear" w:color="auto" w:fill="auto"/>
            <w:hideMark/>
          </w:tcPr>
          <w:p w:rsidR="00926E4B" w:rsidRPr="00526CAD" w:rsidRDefault="00926E4B" w:rsidP="00762978">
            <w:pPr>
              <w:rPr>
                <w:rFonts w:eastAsia="Times New Roman"/>
                <w:sz w:val="24"/>
                <w:szCs w:val="24"/>
                <w:lang w:val="lv-LV" w:eastAsia="lv-LV"/>
              </w:rPr>
            </w:pPr>
            <w:r w:rsidRPr="00526CAD">
              <w:rPr>
                <w:rFonts w:eastAsia="Times New Roman"/>
                <w:sz w:val="24"/>
                <w:szCs w:val="24"/>
                <w:lang w:val="lv-LV" w:eastAsia="lv-LV"/>
              </w:rPr>
              <w:t>1.</w:t>
            </w:r>
          </w:p>
        </w:tc>
        <w:tc>
          <w:tcPr>
            <w:tcW w:w="961" w:type="pct"/>
            <w:shd w:val="clear" w:color="auto" w:fill="auto"/>
            <w:hideMark/>
          </w:tcPr>
          <w:p w:rsidR="00926E4B" w:rsidRPr="00526CAD" w:rsidRDefault="00926E4B" w:rsidP="00762978">
            <w:pPr>
              <w:jc w:val="both"/>
              <w:rPr>
                <w:rFonts w:eastAsia="Times New Roman"/>
                <w:sz w:val="24"/>
                <w:szCs w:val="24"/>
                <w:lang w:val="lv-LV" w:eastAsia="lv-LV"/>
              </w:rPr>
            </w:pPr>
            <w:r w:rsidRPr="00526CAD">
              <w:rPr>
                <w:rFonts w:eastAsia="Times New Roman"/>
                <w:sz w:val="24"/>
                <w:szCs w:val="24"/>
                <w:lang w:val="lv-LV" w:eastAsia="lv-LV"/>
              </w:rPr>
              <w:t>Saistības pret Eiropas Savienību</w:t>
            </w:r>
          </w:p>
        </w:tc>
        <w:tc>
          <w:tcPr>
            <w:tcW w:w="3818" w:type="pct"/>
            <w:shd w:val="clear" w:color="auto" w:fill="auto"/>
            <w:hideMark/>
          </w:tcPr>
          <w:p w:rsidR="00926E4B" w:rsidRPr="00526CAD" w:rsidRDefault="00926E4B" w:rsidP="00762978">
            <w:pPr>
              <w:jc w:val="both"/>
              <w:rPr>
                <w:rFonts w:eastAsia="Times New Roman"/>
                <w:sz w:val="24"/>
                <w:szCs w:val="24"/>
                <w:lang w:val="lv-LV" w:eastAsia="lv-LV"/>
              </w:rPr>
            </w:pPr>
            <w:r w:rsidRPr="00526CAD">
              <w:rPr>
                <w:rFonts w:eastAsia="Times New Roman"/>
                <w:sz w:val="24"/>
                <w:szCs w:val="24"/>
                <w:lang w:val="lv-LV" w:eastAsia="lv-LV"/>
              </w:rPr>
              <w:t>Ar noteikumu projektu tiks ieviestas šāda Eiropas Savienības tiesību akta prasības:</w:t>
            </w:r>
          </w:p>
          <w:p w:rsidR="00926E4B" w:rsidRPr="00526CAD" w:rsidRDefault="00926E4B" w:rsidP="00926E4B">
            <w:pPr>
              <w:numPr>
                <w:ilvl w:val="0"/>
                <w:numId w:val="10"/>
              </w:numPr>
              <w:ind w:left="416" w:hanging="284"/>
              <w:jc w:val="both"/>
              <w:rPr>
                <w:rFonts w:eastAsia="Times New Roman"/>
                <w:sz w:val="24"/>
                <w:szCs w:val="24"/>
                <w:lang w:val="lv-LV" w:eastAsia="lv-LV"/>
              </w:rPr>
            </w:pPr>
            <w:r w:rsidRPr="00526CAD">
              <w:rPr>
                <w:rFonts w:eastAsia="Times New Roman"/>
                <w:sz w:val="24"/>
                <w:szCs w:val="24"/>
                <w:lang w:val="lv-LV" w:eastAsia="lv-LV"/>
              </w:rPr>
              <w:t>Komisijas 2008.gada 6.augusta Regula (EK) Nr.800/2008, kas atzīst noteiktas atbalsta kategorijas par saderīgām ar kopējo tirgu, piemērojot Līguma 87. un 88.pantu (vispārējā grupu atbrīvojuma regula);</w:t>
            </w:r>
          </w:p>
          <w:p w:rsidR="00926E4B" w:rsidRPr="00526CAD" w:rsidRDefault="00926E4B" w:rsidP="00926E4B">
            <w:pPr>
              <w:numPr>
                <w:ilvl w:val="0"/>
                <w:numId w:val="10"/>
              </w:numPr>
              <w:spacing w:after="40"/>
              <w:ind w:left="414" w:hanging="284"/>
              <w:jc w:val="both"/>
              <w:rPr>
                <w:rFonts w:eastAsia="Times New Roman"/>
                <w:b/>
                <w:sz w:val="24"/>
                <w:szCs w:val="24"/>
                <w:lang w:val="lv-LV" w:eastAsia="lv-LV"/>
              </w:rPr>
            </w:pPr>
            <w:r w:rsidRPr="00526CAD">
              <w:rPr>
                <w:sz w:val="24"/>
                <w:szCs w:val="24"/>
                <w:lang w:val="lv-LV"/>
              </w:rPr>
              <w:t>Komisijas paziņojums Kopienas pamatnostādnes par valsts atbalstu grūtībās nonākušu uzņēmumu glābšanai un pārstrukturēšanai (2004/C 244/02).</w:t>
            </w:r>
          </w:p>
          <w:p w:rsidR="00F77BBE" w:rsidRPr="00526CAD" w:rsidRDefault="00F77BBE" w:rsidP="00F77BBE">
            <w:pPr>
              <w:numPr>
                <w:ilvl w:val="0"/>
                <w:numId w:val="10"/>
              </w:numPr>
              <w:spacing w:after="40"/>
              <w:ind w:left="414" w:hanging="284"/>
              <w:jc w:val="both"/>
              <w:rPr>
                <w:rFonts w:eastAsia="Times New Roman"/>
                <w:b/>
                <w:sz w:val="24"/>
                <w:szCs w:val="24"/>
                <w:lang w:val="lv-LV" w:eastAsia="lv-LV"/>
              </w:rPr>
            </w:pPr>
            <w:r w:rsidRPr="00EF1B0A">
              <w:rPr>
                <w:sz w:val="24"/>
                <w:szCs w:val="24"/>
                <w:lang w:val="lv-LV"/>
              </w:rPr>
              <w:t xml:space="preserve">Komisijas 2006.gada 15.decembra Regula (EK) Nr. </w:t>
            </w:r>
            <w:hyperlink r:id="rId12" w:tgtFrame="_blank" w:tooltip="Atvērt regulu latviešu valodā" w:history="1">
              <w:r w:rsidRPr="00EF1B0A">
                <w:rPr>
                  <w:rStyle w:val="Hyperlink"/>
                  <w:sz w:val="24"/>
                  <w:szCs w:val="24"/>
                  <w:lang w:val="lv-LV"/>
                </w:rPr>
                <w:t>1998/2006</w:t>
              </w:r>
            </w:hyperlink>
            <w:r w:rsidRPr="00EF1B0A">
              <w:rPr>
                <w:sz w:val="24"/>
                <w:szCs w:val="24"/>
                <w:lang w:val="lv-LV"/>
              </w:rPr>
              <w:t xml:space="preserve"> par Līguma 87. un 88.panta piemērošanu </w:t>
            </w:r>
            <w:r w:rsidRPr="00EF1B0A">
              <w:rPr>
                <w:i/>
                <w:iCs/>
                <w:sz w:val="24"/>
                <w:szCs w:val="24"/>
                <w:lang w:val="lv-LV"/>
              </w:rPr>
              <w:t>de minimis</w:t>
            </w:r>
            <w:r w:rsidRPr="00EF1B0A">
              <w:rPr>
                <w:sz w:val="24"/>
                <w:szCs w:val="24"/>
                <w:lang w:val="lv-LV"/>
              </w:rPr>
              <w:t xml:space="preserve"> atbalstam (Eiropas Savienības Oficiālais Vēstnesis, 2006.gada 28.decembris, </w:t>
            </w:r>
            <w:r w:rsidRPr="00EF1B0A">
              <w:rPr>
                <w:sz w:val="24"/>
                <w:szCs w:val="24"/>
                <w:lang w:val="lv-LV"/>
              </w:rPr>
              <w:br/>
              <w:t>L 379).</w:t>
            </w:r>
          </w:p>
        </w:tc>
      </w:tr>
      <w:tr w:rsidR="00926E4B" w:rsidRPr="00526CAD" w:rsidTr="00762978">
        <w:trPr>
          <w:tblCellSpacing w:w="15" w:type="dxa"/>
        </w:trPr>
        <w:tc>
          <w:tcPr>
            <w:tcW w:w="0" w:type="auto"/>
            <w:shd w:val="clear" w:color="auto" w:fill="auto"/>
            <w:hideMark/>
          </w:tcPr>
          <w:p w:rsidR="00926E4B" w:rsidRPr="00526CAD" w:rsidRDefault="00926E4B" w:rsidP="00762978">
            <w:pPr>
              <w:rPr>
                <w:rFonts w:eastAsia="Times New Roman"/>
                <w:sz w:val="24"/>
                <w:szCs w:val="24"/>
                <w:lang w:val="lv-LV" w:eastAsia="lv-LV"/>
              </w:rPr>
            </w:pPr>
            <w:r w:rsidRPr="00526CAD">
              <w:rPr>
                <w:rFonts w:eastAsia="Times New Roman"/>
                <w:sz w:val="24"/>
                <w:szCs w:val="24"/>
                <w:lang w:val="lv-LV" w:eastAsia="lv-LV"/>
              </w:rPr>
              <w:t>2.</w:t>
            </w:r>
          </w:p>
        </w:tc>
        <w:tc>
          <w:tcPr>
            <w:tcW w:w="961" w:type="pct"/>
            <w:shd w:val="clear" w:color="auto" w:fill="auto"/>
            <w:hideMark/>
          </w:tcPr>
          <w:p w:rsidR="00926E4B" w:rsidRPr="00526CAD" w:rsidRDefault="00926E4B" w:rsidP="00762978">
            <w:pPr>
              <w:jc w:val="both"/>
              <w:rPr>
                <w:rFonts w:eastAsia="Times New Roman"/>
                <w:sz w:val="24"/>
                <w:szCs w:val="24"/>
                <w:lang w:val="lv-LV" w:eastAsia="lv-LV"/>
              </w:rPr>
            </w:pPr>
            <w:r w:rsidRPr="00526CAD">
              <w:rPr>
                <w:rFonts w:eastAsia="Times New Roman"/>
                <w:sz w:val="24"/>
                <w:szCs w:val="24"/>
                <w:lang w:val="lv-LV" w:eastAsia="lv-LV"/>
              </w:rPr>
              <w:t xml:space="preserve">Citas starptautiskās </w:t>
            </w:r>
            <w:r w:rsidRPr="00526CAD">
              <w:rPr>
                <w:rFonts w:eastAsia="Times New Roman"/>
                <w:sz w:val="24"/>
                <w:szCs w:val="24"/>
                <w:lang w:val="lv-LV" w:eastAsia="lv-LV"/>
              </w:rPr>
              <w:lastRenderedPageBreak/>
              <w:t>saistības</w:t>
            </w:r>
          </w:p>
        </w:tc>
        <w:tc>
          <w:tcPr>
            <w:tcW w:w="3818" w:type="pct"/>
            <w:shd w:val="clear" w:color="auto" w:fill="auto"/>
            <w:hideMark/>
          </w:tcPr>
          <w:p w:rsidR="00926E4B" w:rsidRPr="00526CAD" w:rsidRDefault="00926E4B" w:rsidP="00762978">
            <w:pPr>
              <w:ind w:firstLine="341"/>
              <w:jc w:val="both"/>
              <w:rPr>
                <w:rFonts w:eastAsia="Times New Roman"/>
                <w:sz w:val="24"/>
                <w:szCs w:val="24"/>
                <w:lang w:val="lv-LV" w:eastAsia="lv-LV"/>
              </w:rPr>
            </w:pPr>
            <w:r w:rsidRPr="00526CAD">
              <w:rPr>
                <w:rFonts w:eastAsia="Times New Roman"/>
                <w:sz w:val="24"/>
                <w:szCs w:val="24"/>
                <w:lang w:val="lv-LV" w:eastAsia="lv-LV"/>
              </w:rPr>
              <w:lastRenderedPageBreak/>
              <w:t>Projekts šo jomu neskar.</w:t>
            </w:r>
          </w:p>
        </w:tc>
      </w:tr>
      <w:tr w:rsidR="00926E4B" w:rsidRPr="00526CAD" w:rsidTr="00762978">
        <w:trPr>
          <w:tblCellSpacing w:w="15" w:type="dxa"/>
        </w:trPr>
        <w:tc>
          <w:tcPr>
            <w:tcW w:w="0" w:type="auto"/>
            <w:shd w:val="clear" w:color="auto" w:fill="auto"/>
            <w:hideMark/>
          </w:tcPr>
          <w:p w:rsidR="00926E4B" w:rsidRPr="00526CAD" w:rsidRDefault="00926E4B" w:rsidP="00762978">
            <w:pPr>
              <w:rPr>
                <w:rFonts w:eastAsia="Times New Roman"/>
                <w:sz w:val="24"/>
                <w:szCs w:val="24"/>
                <w:lang w:val="lv-LV" w:eastAsia="lv-LV"/>
              </w:rPr>
            </w:pPr>
            <w:r w:rsidRPr="00526CAD">
              <w:rPr>
                <w:rFonts w:eastAsia="Times New Roman"/>
                <w:sz w:val="24"/>
                <w:szCs w:val="24"/>
                <w:lang w:val="lv-LV" w:eastAsia="lv-LV"/>
              </w:rPr>
              <w:lastRenderedPageBreak/>
              <w:t>3.</w:t>
            </w:r>
          </w:p>
        </w:tc>
        <w:tc>
          <w:tcPr>
            <w:tcW w:w="961" w:type="pct"/>
            <w:shd w:val="clear" w:color="auto" w:fill="auto"/>
            <w:hideMark/>
          </w:tcPr>
          <w:p w:rsidR="00926E4B" w:rsidRPr="00526CAD" w:rsidRDefault="00926E4B" w:rsidP="00762978">
            <w:pPr>
              <w:jc w:val="both"/>
              <w:rPr>
                <w:rFonts w:eastAsia="Times New Roman"/>
                <w:sz w:val="24"/>
                <w:szCs w:val="24"/>
                <w:lang w:val="lv-LV" w:eastAsia="lv-LV"/>
              </w:rPr>
            </w:pPr>
            <w:r w:rsidRPr="00526CAD">
              <w:rPr>
                <w:rFonts w:eastAsia="Times New Roman"/>
                <w:sz w:val="24"/>
                <w:szCs w:val="24"/>
                <w:lang w:val="lv-LV" w:eastAsia="lv-LV"/>
              </w:rPr>
              <w:t>Cita informācija</w:t>
            </w:r>
          </w:p>
        </w:tc>
        <w:tc>
          <w:tcPr>
            <w:tcW w:w="3818" w:type="pct"/>
            <w:shd w:val="clear" w:color="auto" w:fill="auto"/>
            <w:hideMark/>
          </w:tcPr>
          <w:p w:rsidR="00926E4B" w:rsidRPr="00526CAD" w:rsidRDefault="00926E4B" w:rsidP="00762978">
            <w:pPr>
              <w:ind w:firstLine="341"/>
              <w:jc w:val="both"/>
              <w:rPr>
                <w:rFonts w:eastAsia="Times New Roman"/>
                <w:sz w:val="24"/>
                <w:szCs w:val="24"/>
                <w:lang w:val="lv-LV" w:eastAsia="lv-LV"/>
              </w:rPr>
            </w:pPr>
            <w:r w:rsidRPr="00526CAD">
              <w:rPr>
                <w:rFonts w:eastAsia="Times New Roman"/>
                <w:sz w:val="24"/>
                <w:szCs w:val="24"/>
                <w:lang w:val="lv-LV" w:eastAsia="lv-LV"/>
              </w:rPr>
              <w:t>Nav.</w:t>
            </w:r>
          </w:p>
        </w:tc>
      </w:tr>
    </w:tbl>
    <w:p w:rsidR="00926E4B" w:rsidRPr="00526CAD" w:rsidRDefault="00926E4B" w:rsidP="00CE5A53">
      <w:pPr>
        <w:tabs>
          <w:tab w:val="left" w:pos="7655"/>
        </w:tabs>
        <w:jc w:val="both"/>
        <w:rPr>
          <w:bCs/>
          <w:sz w:val="24"/>
          <w:szCs w:val="24"/>
          <w:lang w:val="lv-LV"/>
        </w:rPr>
      </w:pPr>
    </w:p>
    <w:tbl>
      <w:tblPr>
        <w:tblW w:w="499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729"/>
        <w:gridCol w:w="1127"/>
        <w:gridCol w:w="1764"/>
        <w:gridCol w:w="4592"/>
      </w:tblGrid>
      <w:tr w:rsidR="00926E4B" w:rsidRPr="00EF1B0A" w:rsidTr="00762978">
        <w:trPr>
          <w:tblCellSpacing w:w="15" w:type="dxa"/>
        </w:trPr>
        <w:tc>
          <w:tcPr>
            <w:tcW w:w="4967" w:type="pct"/>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926E4B" w:rsidRPr="00EF1B0A" w:rsidRDefault="00926E4B" w:rsidP="00762978">
            <w:pPr>
              <w:jc w:val="center"/>
              <w:rPr>
                <w:rFonts w:eastAsia="Times New Roman"/>
                <w:b/>
                <w:bCs/>
                <w:sz w:val="24"/>
                <w:szCs w:val="24"/>
                <w:lang w:val="de-DE" w:eastAsia="lv-LV"/>
              </w:rPr>
            </w:pPr>
            <w:r w:rsidRPr="00EF1B0A">
              <w:rPr>
                <w:rFonts w:eastAsia="Times New Roman"/>
                <w:b/>
                <w:bCs/>
                <w:sz w:val="24"/>
                <w:szCs w:val="24"/>
                <w:lang w:val="de-DE" w:eastAsia="lv-LV"/>
              </w:rPr>
              <w:t>1.tabula</w:t>
            </w:r>
            <w:r w:rsidRPr="00EF1B0A">
              <w:rPr>
                <w:rFonts w:eastAsia="Times New Roman"/>
                <w:b/>
                <w:bCs/>
                <w:sz w:val="24"/>
                <w:szCs w:val="24"/>
                <w:lang w:val="de-DE" w:eastAsia="lv-LV"/>
              </w:rPr>
              <w:br/>
              <w:t>Tiesību akta projekta atbilstība ES tiesību aktiem</w:t>
            </w:r>
          </w:p>
        </w:tc>
      </w:tr>
      <w:tr w:rsidR="00926E4B" w:rsidRPr="00526CAD" w:rsidTr="00EF1B0A">
        <w:trPr>
          <w:tblCellSpacing w:w="15" w:type="dxa"/>
        </w:trPr>
        <w:tc>
          <w:tcPr>
            <w:tcW w:w="9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6E4B" w:rsidRPr="00526CAD" w:rsidRDefault="00926E4B" w:rsidP="00762978">
            <w:pPr>
              <w:jc w:val="both"/>
              <w:rPr>
                <w:rFonts w:eastAsia="Times New Roman"/>
                <w:sz w:val="24"/>
                <w:szCs w:val="24"/>
                <w:lang w:val="lv-LV" w:eastAsia="lv-LV"/>
              </w:rPr>
            </w:pPr>
            <w:r w:rsidRPr="00526CAD">
              <w:rPr>
                <w:rFonts w:eastAsia="Times New Roman"/>
                <w:sz w:val="24"/>
                <w:szCs w:val="24"/>
                <w:lang w:val="lv-LV" w:eastAsia="lv-LV"/>
              </w:rPr>
              <w:t>Attiecīgā ES tiesību akta datums, numurs un nosaukums</w:t>
            </w:r>
          </w:p>
        </w:tc>
        <w:tc>
          <w:tcPr>
            <w:tcW w:w="4028"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26E4B" w:rsidRPr="00526CAD" w:rsidRDefault="00926E4B" w:rsidP="00762978">
            <w:pPr>
              <w:pStyle w:val="naiskr"/>
              <w:jc w:val="both"/>
            </w:pPr>
            <w:r w:rsidRPr="00526CAD">
              <w:t xml:space="preserve">Ar normatīvo aktu tiek ieviestas šāda Eiropas Savienības tiesību akta prasības: </w:t>
            </w:r>
          </w:p>
          <w:p w:rsidR="00926E4B" w:rsidRPr="00526CAD" w:rsidRDefault="00926E4B" w:rsidP="00762978">
            <w:pPr>
              <w:spacing w:after="120"/>
              <w:jc w:val="both"/>
              <w:rPr>
                <w:rFonts w:eastAsia="Times New Roman"/>
                <w:sz w:val="24"/>
                <w:szCs w:val="24"/>
                <w:lang w:val="lv-LV" w:eastAsia="lv-LV"/>
              </w:rPr>
            </w:pPr>
            <w:r w:rsidRPr="00526CAD">
              <w:rPr>
                <w:rFonts w:eastAsia="Times New Roman"/>
                <w:sz w:val="24"/>
                <w:szCs w:val="24"/>
                <w:lang w:val="lv-LV" w:eastAsia="lv-LV"/>
              </w:rPr>
              <w:t>Komisijas 2008.gada 6.augusta Regula (EK) Nr.800/2008, kas atzīst noteiktas atbalsta kategorijas par saderīgām ar kopējo tirgu, piemērojot Līguma 87. un 88.pantu (vispārējā grupu atbrīvojuma regula) (turpmāk – Komisijas Regula Nr.800/2008);</w:t>
            </w:r>
          </w:p>
          <w:p w:rsidR="00A06AF5" w:rsidRPr="00526CAD" w:rsidRDefault="00926E4B" w:rsidP="00762978">
            <w:pPr>
              <w:spacing w:after="120"/>
              <w:jc w:val="both"/>
              <w:rPr>
                <w:sz w:val="24"/>
                <w:szCs w:val="24"/>
                <w:lang w:val="lv-LV"/>
              </w:rPr>
            </w:pPr>
            <w:r w:rsidRPr="00526CAD">
              <w:rPr>
                <w:sz w:val="24"/>
                <w:szCs w:val="24"/>
                <w:lang w:val="lv-LV"/>
              </w:rPr>
              <w:t>Komisijas paziņojums Kopienas pamatnostādnes par valsts atbalstu grūtībās nonākušu uzņēmumu glābšanai un pārstrukturēšanai (2004/C 244/02)</w:t>
            </w:r>
            <w:r w:rsidR="00A06AF5" w:rsidRPr="00526CAD">
              <w:rPr>
                <w:sz w:val="24"/>
                <w:szCs w:val="24"/>
                <w:lang w:val="lv-LV"/>
              </w:rPr>
              <w:t>;</w:t>
            </w:r>
          </w:p>
          <w:p w:rsidR="00926E4B" w:rsidRPr="00526CAD" w:rsidRDefault="00A06AF5" w:rsidP="00762978">
            <w:pPr>
              <w:spacing w:after="120"/>
              <w:jc w:val="both"/>
              <w:rPr>
                <w:rFonts w:eastAsia="Times New Roman"/>
                <w:b/>
                <w:sz w:val="24"/>
                <w:szCs w:val="24"/>
                <w:lang w:val="lv-LV" w:eastAsia="lv-LV"/>
              </w:rPr>
            </w:pPr>
            <w:r w:rsidRPr="00526CAD">
              <w:rPr>
                <w:sz w:val="24"/>
                <w:szCs w:val="24"/>
                <w:lang w:val="lv-LV"/>
              </w:rPr>
              <w:t xml:space="preserve">Komisijas 2006.gada 15.decembra Regula (EK) Nr. 1998/2006 par Līguma 87. un 88.panta piemērošanu de minimis atbalstam (Eiropas Savienības Oficiālais Vēstnesis, 2006.gada 28.decembris, L 379). </w:t>
            </w:r>
          </w:p>
        </w:tc>
      </w:tr>
      <w:tr w:rsidR="00926E4B" w:rsidRPr="00526CAD" w:rsidTr="00EF1B0A">
        <w:trPr>
          <w:tblCellSpacing w:w="15" w:type="dxa"/>
        </w:trPr>
        <w:tc>
          <w:tcPr>
            <w:tcW w:w="9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6E4B" w:rsidRPr="00526CAD" w:rsidRDefault="00926E4B" w:rsidP="00762978">
            <w:pPr>
              <w:jc w:val="center"/>
              <w:rPr>
                <w:rFonts w:eastAsia="Times New Roman"/>
                <w:sz w:val="24"/>
                <w:szCs w:val="24"/>
                <w:lang w:eastAsia="lv-LV"/>
              </w:rPr>
            </w:pPr>
            <w:r w:rsidRPr="00526CAD">
              <w:rPr>
                <w:rFonts w:eastAsia="Times New Roman"/>
                <w:sz w:val="24"/>
                <w:szCs w:val="24"/>
                <w:lang w:eastAsia="lv-LV"/>
              </w:rPr>
              <w:t>A</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6E4B" w:rsidRPr="00EF1B0A" w:rsidRDefault="00926E4B" w:rsidP="00762978">
            <w:pPr>
              <w:jc w:val="center"/>
              <w:rPr>
                <w:rFonts w:eastAsia="Times New Roman"/>
                <w:sz w:val="24"/>
                <w:szCs w:val="24"/>
                <w:lang w:eastAsia="lv-LV"/>
              </w:rPr>
            </w:pPr>
            <w:r w:rsidRPr="00526CAD">
              <w:rPr>
                <w:rFonts w:eastAsia="Times New Roman"/>
                <w:sz w:val="24"/>
                <w:szCs w:val="24"/>
                <w:lang w:eastAsia="lv-LV"/>
              </w:rPr>
              <w:t>B</w:t>
            </w:r>
          </w:p>
        </w:tc>
        <w:tc>
          <w:tcPr>
            <w:tcW w:w="9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6E4B" w:rsidRPr="00EF1B0A" w:rsidRDefault="00926E4B" w:rsidP="00762978">
            <w:pPr>
              <w:jc w:val="center"/>
              <w:rPr>
                <w:rFonts w:eastAsia="Times New Roman"/>
                <w:sz w:val="24"/>
                <w:szCs w:val="24"/>
                <w:lang w:eastAsia="lv-LV"/>
              </w:rPr>
            </w:pPr>
            <w:r w:rsidRPr="00526CAD">
              <w:rPr>
                <w:rFonts w:eastAsia="Times New Roman"/>
                <w:sz w:val="24"/>
                <w:szCs w:val="24"/>
                <w:lang w:eastAsia="lv-LV"/>
              </w:rPr>
              <w:t>C</w:t>
            </w:r>
          </w:p>
        </w:tc>
        <w:tc>
          <w:tcPr>
            <w:tcW w:w="24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6E4B" w:rsidRPr="00EF1B0A" w:rsidRDefault="00926E4B" w:rsidP="00762978">
            <w:pPr>
              <w:jc w:val="center"/>
              <w:rPr>
                <w:rFonts w:eastAsia="Times New Roman"/>
                <w:sz w:val="24"/>
                <w:szCs w:val="24"/>
                <w:lang w:eastAsia="lv-LV"/>
              </w:rPr>
            </w:pPr>
            <w:r w:rsidRPr="00526CAD">
              <w:rPr>
                <w:rFonts w:eastAsia="Times New Roman"/>
                <w:sz w:val="24"/>
                <w:szCs w:val="24"/>
                <w:lang w:eastAsia="lv-LV"/>
              </w:rPr>
              <w:t>D</w:t>
            </w:r>
          </w:p>
        </w:tc>
      </w:tr>
      <w:tr w:rsidR="00926E4B" w:rsidRPr="00EF1B0A" w:rsidTr="00EF1B0A">
        <w:trPr>
          <w:tblCellSpacing w:w="15" w:type="dxa"/>
        </w:trPr>
        <w:tc>
          <w:tcPr>
            <w:tcW w:w="923" w:type="pct"/>
            <w:tcBorders>
              <w:top w:val="outset" w:sz="6" w:space="0" w:color="auto"/>
              <w:left w:val="outset" w:sz="6" w:space="0" w:color="auto"/>
              <w:bottom w:val="outset" w:sz="6" w:space="0" w:color="auto"/>
              <w:right w:val="outset" w:sz="6" w:space="0" w:color="auto"/>
            </w:tcBorders>
            <w:shd w:val="clear" w:color="auto" w:fill="auto"/>
            <w:hideMark/>
          </w:tcPr>
          <w:p w:rsidR="00926E4B" w:rsidRPr="00526CAD" w:rsidRDefault="00926E4B" w:rsidP="00762978">
            <w:pPr>
              <w:pStyle w:val="naiskr"/>
              <w:spacing w:before="0" w:after="0"/>
              <w:jc w:val="both"/>
            </w:pPr>
            <w:r w:rsidRPr="00526CAD">
              <w:t xml:space="preserve">Attiecīgā ES tiesību akta panta numurs (uzskaitot katru tiesību akta </w:t>
            </w:r>
            <w:r w:rsidRPr="00526CAD">
              <w:br/>
              <w:t>vienību – pantu, daļu, punktu, apakšpunktu)</w:t>
            </w:r>
          </w:p>
        </w:tc>
        <w:tc>
          <w:tcPr>
            <w:tcW w:w="601" w:type="pct"/>
            <w:tcBorders>
              <w:top w:val="outset" w:sz="6" w:space="0" w:color="auto"/>
              <w:left w:val="outset" w:sz="6" w:space="0" w:color="auto"/>
              <w:bottom w:val="outset" w:sz="6" w:space="0" w:color="auto"/>
              <w:right w:val="outset" w:sz="6" w:space="0" w:color="auto"/>
            </w:tcBorders>
            <w:shd w:val="clear" w:color="auto" w:fill="auto"/>
            <w:hideMark/>
          </w:tcPr>
          <w:p w:rsidR="00926E4B" w:rsidRPr="00526CAD" w:rsidRDefault="00926E4B" w:rsidP="00762978">
            <w:pPr>
              <w:pStyle w:val="naiskr"/>
              <w:spacing w:before="0" w:after="0"/>
              <w:jc w:val="both"/>
            </w:pPr>
            <w:r w:rsidRPr="00526CAD">
              <w:t>Projekta vienība, kas pārņem vai ievieš katru šīs tabulas A ailē minēto ES tiesību akta vienību</w:t>
            </w:r>
          </w:p>
        </w:tc>
        <w:tc>
          <w:tcPr>
            <w:tcW w:w="951" w:type="pct"/>
            <w:tcBorders>
              <w:top w:val="outset" w:sz="6" w:space="0" w:color="auto"/>
              <w:left w:val="outset" w:sz="6" w:space="0" w:color="auto"/>
              <w:bottom w:val="outset" w:sz="6" w:space="0" w:color="auto"/>
              <w:right w:val="outset" w:sz="6" w:space="0" w:color="auto"/>
            </w:tcBorders>
            <w:shd w:val="clear" w:color="auto" w:fill="auto"/>
            <w:hideMark/>
          </w:tcPr>
          <w:p w:rsidR="00926E4B" w:rsidRPr="00526CAD" w:rsidRDefault="00926E4B" w:rsidP="00762978">
            <w:pPr>
              <w:pStyle w:val="naiskr"/>
              <w:spacing w:before="0" w:after="0"/>
              <w:jc w:val="both"/>
            </w:pPr>
            <w:r w:rsidRPr="00526CAD">
              <w:t>Informācija par to, vai šīs tabulas A ailē minētās ES tiesību akta vienības tiek pārņemtas vai ieviestas pilnībā vai daļēji.</w:t>
            </w:r>
          </w:p>
          <w:p w:rsidR="00926E4B" w:rsidRPr="00526CAD" w:rsidRDefault="00926E4B" w:rsidP="00762978">
            <w:pPr>
              <w:pStyle w:val="naiskr"/>
              <w:spacing w:before="0" w:after="0"/>
              <w:jc w:val="both"/>
            </w:pPr>
            <w:r w:rsidRPr="00526CAD">
              <w:t>Ja attiecīgā ES tiesību akta vienība tiek pārņemta vai ieviesta daļēji, – sniedz attiecīgu skaidrojumu, kā arī precīzi norāda, kad un kādā veidā ES tiesību akta vienība tiks pārņemta vai ieviesta pilnībā.</w:t>
            </w:r>
          </w:p>
          <w:p w:rsidR="00926E4B" w:rsidRPr="00526CAD" w:rsidRDefault="00926E4B" w:rsidP="00762978">
            <w:pPr>
              <w:pStyle w:val="naiskr"/>
              <w:spacing w:before="0" w:after="0"/>
              <w:jc w:val="both"/>
            </w:pPr>
            <w:r w:rsidRPr="00526CAD">
              <w:t xml:space="preserve">Norāda institūciju, kas ir atbildīga par šo saistību izpildi </w:t>
            </w:r>
            <w:r w:rsidRPr="00526CAD">
              <w:lastRenderedPageBreak/>
              <w:t>pilnībā</w:t>
            </w:r>
          </w:p>
        </w:tc>
        <w:tc>
          <w:tcPr>
            <w:tcW w:w="2442" w:type="pct"/>
            <w:tcBorders>
              <w:top w:val="outset" w:sz="6" w:space="0" w:color="auto"/>
              <w:left w:val="outset" w:sz="6" w:space="0" w:color="auto"/>
              <w:bottom w:val="outset" w:sz="6" w:space="0" w:color="auto"/>
              <w:right w:val="outset" w:sz="6" w:space="0" w:color="auto"/>
            </w:tcBorders>
            <w:shd w:val="clear" w:color="auto" w:fill="auto"/>
            <w:hideMark/>
          </w:tcPr>
          <w:p w:rsidR="00926E4B" w:rsidRPr="00526CAD" w:rsidRDefault="00926E4B" w:rsidP="00762978">
            <w:pPr>
              <w:pStyle w:val="naiskr"/>
              <w:spacing w:before="0" w:after="0"/>
              <w:jc w:val="both"/>
            </w:pPr>
            <w:r w:rsidRPr="00526CAD">
              <w:lastRenderedPageBreak/>
              <w:t>Informācija par to, vai šīs tabulas B ailē minētās projekta vienības paredz stingrākas prasības nekā šīs tabulas A ailē minētās ES tiesību akta vienības.</w:t>
            </w:r>
          </w:p>
          <w:p w:rsidR="00926E4B" w:rsidRPr="00526CAD" w:rsidRDefault="00926E4B" w:rsidP="00762978">
            <w:pPr>
              <w:pStyle w:val="naiskr"/>
              <w:spacing w:before="0" w:after="0"/>
              <w:jc w:val="both"/>
            </w:pPr>
            <w:r w:rsidRPr="00526CAD">
              <w:t xml:space="preserve">Ja projekts satur stingrākas prasības nekā attiecīgais ES tiesību </w:t>
            </w:r>
            <w:smartTag w:uri="schemas-tilde-lv/tildestengine" w:element="veidnes">
              <w:smartTagPr>
                <w:attr w:name="text" w:val="akts"/>
                <w:attr w:name="baseform" w:val="akts"/>
                <w:attr w:name="id" w:val="-1"/>
              </w:smartTagPr>
              <w:r w:rsidRPr="00526CAD">
                <w:t>akts</w:t>
              </w:r>
            </w:smartTag>
            <w:r w:rsidRPr="00526CAD">
              <w:t>, – norāda pamatojumu un samērīgumu.</w:t>
            </w:r>
          </w:p>
          <w:p w:rsidR="00926E4B" w:rsidRPr="00526CAD" w:rsidRDefault="00926E4B" w:rsidP="00762978">
            <w:pPr>
              <w:pStyle w:val="naiskr"/>
              <w:spacing w:before="0" w:after="0"/>
              <w:jc w:val="both"/>
            </w:pPr>
            <w:r w:rsidRPr="00526CAD">
              <w:t>Norāda iespējamās alternatīvas (t.sk. alternatīvas, kas neparedz tiesiskā regulējuma izstrādi) – kādos gadījumos būtu iespējams izvairīties no stingrāku prasību noteikšanas, nekā paredzēts attiecīgajos ES tiesību aktos</w:t>
            </w:r>
          </w:p>
        </w:tc>
      </w:tr>
      <w:tr w:rsidR="008C14B4" w:rsidRPr="00EF1B0A" w:rsidTr="00281EF8">
        <w:trPr>
          <w:tblCellSpacing w:w="15" w:type="dxa"/>
        </w:trPr>
        <w:tc>
          <w:tcPr>
            <w:tcW w:w="923" w:type="pct"/>
            <w:tcBorders>
              <w:top w:val="outset" w:sz="6" w:space="0" w:color="auto"/>
              <w:left w:val="outset" w:sz="6" w:space="0" w:color="auto"/>
              <w:bottom w:val="outset" w:sz="6" w:space="0" w:color="auto"/>
              <w:right w:val="outset" w:sz="6" w:space="0" w:color="auto"/>
            </w:tcBorders>
            <w:shd w:val="clear" w:color="auto" w:fill="auto"/>
            <w:hideMark/>
          </w:tcPr>
          <w:p w:rsidR="008C14B4" w:rsidRPr="00EF1B0A" w:rsidRDefault="008C14B4" w:rsidP="008C14B4">
            <w:pPr>
              <w:tabs>
                <w:tab w:val="left" w:pos="9000"/>
                <w:tab w:val="left" w:pos="9900"/>
              </w:tabs>
              <w:rPr>
                <w:sz w:val="24"/>
                <w:szCs w:val="24"/>
              </w:rPr>
            </w:pPr>
            <w:r w:rsidRPr="00EF1B0A">
              <w:rPr>
                <w:sz w:val="24"/>
                <w:szCs w:val="24"/>
              </w:rPr>
              <w:lastRenderedPageBreak/>
              <w:t>Komisijas Regula</w:t>
            </w:r>
            <w:r w:rsidR="00EF5255" w:rsidRPr="00526CAD">
              <w:rPr>
                <w:sz w:val="24"/>
                <w:szCs w:val="24"/>
              </w:rPr>
              <w:t>s</w:t>
            </w:r>
            <w:r w:rsidRPr="00EF1B0A">
              <w:rPr>
                <w:sz w:val="24"/>
                <w:szCs w:val="24"/>
              </w:rPr>
              <w:t xml:space="preserve"> (EK)  </w:t>
            </w:r>
          </w:p>
          <w:p w:rsidR="008C14B4" w:rsidRPr="00EF1B0A" w:rsidRDefault="008C14B4" w:rsidP="008C14B4">
            <w:pPr>
              <w:tabs>
                <w:tab w:val="left" w:pos="9000"/>
                <w:tab w:val="left" w:pos="9900"/>
              </w:tabs>
              <w:rPr>
                <w:sz w:val="24"/>
                <w:szCs w:val="24"/>
              </w:rPr>
            </w:pPr>
            <w:r w:rsidRPr="00EF1B0A">
              <w:rPr>
                <w:sz w:val="24"/>
                <w:szCs w:val="24"/>
              </w:rPr>
              <w:t>Nr.1998/2006</w:t>
            </w:r>
          </w:p>
          <w:p w:rsidR="008C14B4" w:rsidRPr="00EF1B0A" w:rsidRDefault="008C14B4" w:rsidP="008C14B4">
            <w:pPr>
              <w:tabs>
                <w:tab w:val="left" w:pos="9000"/>
                <w:tab w:val="left" w:pos="9900"/>
              </w:tabs>
              <w:rPr>
                <w:sz w:val="24"/>
                <w:szCs w:val="24"/>
              </w:rPr>
            </w:pPr>
            <w:r w:rsidRPr="00EF1B0A">
              <w:rPr>
                <w:sz w:val="24"/>
                <w:szCs w:val="24"/>
              </w:rPr>
              <w:t xml:space="preserve">1.panta 1.punkts </w:t>
            </w:r>
          </w:p>
          <w:p w:rsidR="008C14B4" w:rsidRPr="00EF1B0A" w:rsidRDefault="008C14B4" w:rsidP="00762978">
            <w:pPr>
              <w:pStyle w:val="naiskr"/>
              <w:spacing w:before="0" w:after="0"/>
              <w:jc w:val="both"/>
            </w:pPr>
          </w:p>
        </w:tc>
        <w:tc>
          <w:tcPr>
            <w:tcW w:w="601" w:type="pct"/>
            <w:tcBorders>
              <w:top w:val="outset" w:sz="6" w:space="0" w:color="auto"/>
              <w:left w:val="outset" w:sz="6" w:space="0" w:color="auto"/>
              <w:bottom w:val="outset" w:sz="6" w:space="0" w:color="auto"/>
              <w:right w:val="outset" w:sz="6" w:space="0" w:color="auto"/>
            </w:tcBorders>
            <w:shd w:val="clear" w:color="auto" w:fill="auto"/>
            <w:hideMark/>
          </w:tcPr>
          <w:p w:rsidR="008C14B4" w:rsidRPr="00EF1B0A" w:rsidRDefault="008C14B4" w:rsidP="00425D7C">
            <w:pPr>
              <w:pStyle w:val="naiskr"/>
              <w:spacing w:before="0" w:after="0"/>
              <w:jc w:val="both"/>
            </w:pPr>
            <w:r w:rsidRPr="00EF1B0A">
              <w:rPr>
                <w:i/>
              </w:rPr>
              <w:t>Noteikumu projekta</w:t>
            </w:r>
            <w:r w:rsidR="009658DE" w:rsidRPr="00526CAD">
              <w:rPr>
                <w:i/>
              </w:rPr>
              <w:t xml:space="preserve"> 18.punkts</w:t>
            </w:r>
          </w:p>
        </w:tc>
        <w:tc>
          <w:tcPr>
            <w:tcW w:w="951" w:type="pct"/>
            <w:tcBorders>
              <w:top w:val="outset" w:sz="6" w:space="0" w:color="auto"/>
              <w:left w:val="outset" w:sz="6" w:space="0" w:color="auto"/>
              <w:bottom w:val="outset" w:sz="6" w:space="0" w:color="auto"/>
              <w:right w:val="outset" w:sz="6" w:space="0" w:color="auto"/>
            </w:tcBorders>
            <w:shd w:val="clear" w:color="auto" w:fill="auto"/>
            <w:hideMark/>
          </w:tcPr>
          <w:p w:rsidR="008C14B4" w:rsidRPr="00EF1B0A" w:rsidRDefault="00F924ED" w:rsidP="00762978">
            <w:pPr>
              <w:pStyle w:val="naiskr"/>
              <w:spacing w:before="0" w:after="0"/>
              <w:jc w:val="both"/>
            </w:pPr>
            <w:r w:rsidRPr="00EF1B0A">
              <w:rPr>
                <w:i/>
              </w:rPr>
              <w:t>ieviesta pilnībā</w:t>
            </w:r>
          </w:p>
        </w:tc>
        <w:tc>
          <w:tcPr>
            <w:tcW w:w="2442" w:type="pct"/>
            <w:tcBorders>
              <w:top w:val="outset" w:sz="6" w:space="0" w:color="auto"/>
              <w:left w:val="outset" w:sz="6" w:space="0" w:color="auto"/>
              <w:bottom w:val="outset" w:sz="6" w:space="0" w:color="auto"/>
              <w:right w:val="outset" w:sz="6" w:space="0" w:color="auto"/>
            </w:tcBorders>
            <w:shd w:val="clear" w:color="auto" w:fill="auto"/>
            <w:hideMark/>
          </w:tcPr>
          <w:p w:rsidR="008C14B4" w:rsidRPr="00EF1B0A" w:rsidRDefault="009658DE" w:rsidP="008C14B4">
            <w:pPr>
              <w:pStyle w:val="tvhtml"/>
              <w:spacing w:before="0" w:beforeAutospacing="0" w:after="0" w:afterAutospacing="0"/>
              <w:rPr>
                <w:rFonts w:ascii="Times New Roman" w:hAnsi="Times New Roman"/>
                <w:sz w:val="24"/>
                <w:szCs w:val="24"/>
              </w:rPr>
            </w:pPr>
            <w:r w:rsidRPr="00526CAD">
              <w:rPr>
                <w:rFonts w:ascii="Times New Roman" w:hAnsi="Times New Roman"/>
                <w:sz w:val="24"/>
                <w:szCs w:val="24"/>
              </w:rPr>
              <w:t xml:space="preserve">Papildus </w:t>
            </w:r>
            <w:r w:rsidR="007F2DC6" w:rsidRPr="00526CAD">
              <w:rPr>
                <w:rFonts w:ascii="Times New Roman" w:hAnsi="Times New Roman"/>
                <w:sz w:val="24"/>
                <w:szCs w:val="24"/>
              </w:rPr>
              <w:t>regulā noteiktajām neatbalstāmajām nozarēm aktivitātē ir noteiktas arī citas n</w:t>
            </w:r>
            <w:r w:rsidR="008C14B4" w:rsidRPr="00EF1B0A">
              <w:rPr>
                <w:rFonts w:ascii="Times New Roman" w:hAnsi="Times New Roman"/>
                <w:sz w:val="24"/>
                <w:szCs w:val="24"/>
              </w:rPr>
              <w:t>eatbalstāmās nozares</w:t>
            </w:r>
            <w:r w:rsidR="007F2DC6" w:rsidRPr="00526CAD">
              <w:rPr>
                <w:rFonts w:ascii="Times New Roman" w:hAnsi="Times New Roman"/>
                <w:sz w:val="24"/>
                <w:szCs w:val="24"/>
              </w:rPr>
              <w:t>, ņemot vērā šo nozaru specifiku, kā arī lai koncentrētu atbalstu uz Latvijas politikas plānošanas dokumentos noteiktajām prioritārajām tautsaimniecības nozarēm</w:t>
            </w:r>
            <w:r w:rsidR="008C14B4" w:rsidRPr="00EF1B0A">
              <w:rPr>
                <w:rFonts w:ascii="Times New Roman" w:hAnsi="Times New Roman"/>
                <w:sz w:val="24"/>
                <w:szCs w:val="24"/>
              </w:rPr>
              <w:t>:</w:t>
            </w:r>
          </w:p>
          <w:p w:rsidR="008C14B4" w:rsidRPr="00EF1B0A" w:rsidRDefault="008C14B4" w:rsidP="008C14B4">
            <w:pPr>
              <w:pStyle w:val="tvhtml"/>
              <w:spacing w:before="0" w:beforeAutospacing="0" w:after="0" w:afterAutospacing="0"/>
              <w:rPr>
                <w:rFonts w:ascii="Times New Roman" w:hAnsi="Times New Roman"/>
                <w:sz w:val="24"/>
                <w:szCs w:val="24"/>
              </w:rPr>
            </w:pPr>
            <w:r w:rsidRPr="00EF1B0A">
              <w:rPr>
                <w:rFonts w:ascii="Times New Roman" w:hAnsi="Times New Roman"/>
                <w:sz w:val="24"/>
                <w:szCs w:val="24"/>
              </w:rPr>
              <w:t>1. Ieroču, tabakas ražošana un tirdzniecība;</w:t>
            </w:r>
          </w:p>
          <w:p w:rsidR="008C14B4" w:rsidRPr="00EF1B0A" w:rsidRDefault="008C14B4" w:rsidP="008C14B4">
            <w:pPr>
              <w:pStyle w:val="tvhtml"/>
              <w:spacing w:before="0" w:beforeAutospacing="0" w:after="0" w:afterAutospacing="0"/>
              <w:rPr>
                <w:rFonts w:ascii="Times New Roman" w:hAnsi="Times New Roman"/>
                <w:sz w:val="24"/>
                <w:szCs w:val="24"/>
              </w:rPr>
            </w:pPr>
            <w:r w:rsidRPr="00EF1B0A">
              <w:rPr>
                <w:rFonts w:ascii="Times New Roman" w:hAnsi="Times New Roman"/>
                <w:sz w:val="24"/>
                <w:szCs w:val="24"/>
              </w:rPr>
              <w:t>2. Azartspēles un derības;</w:t>
            </w:r>
          </w:p>
          <w:p w:rsidR="008C14B4" w:rsidRPr="00EF1B0A" w:rsidRDefault="008C14B4" w:rsidP="008C14B4">
            <w:pPr>
              <w:pStyle w:val="tvhtml"/>
              <w:spacing w:before="0" w:beforeAutospacing="0" w:after="0" w:afterAutospacing="0"/>
              <w:rPr>
                <w:rFonts w:ascii="Times New Roman" w:hAnsi="Times New Roman"/>
                <w:sz w:val="24"/>
                <w:szCs w:val="24"/>
              </w:rPr>
            </w:pPr>
            <w:r w:rsidRPr="00EF1B0A">
              <w:rPr>
                <w:rFonts w:ascii="Times New Roman" w:hAnsi="Times New Roman"/>
                <w:sz w:val="24"/>
                <w:szCs w:val="24"/>
              </w:rPr>
              <w:t>3. Operācijas ar nekustamo īpašumu;</w:t>
            </w:r>
          </w:p>
          <w:p w:rsidR="008C14B4" w:rsidRPr="00EF1B0A" w:rsidRDefault="008C14B4" w:rsidP="008C14B4">
            <w:pPr>
              <w:pStyle w:val="tvhtml"/>
              <w:spacing w:before="0" w:beforeAutospacing="0" w:after="0" w:afterAutospacing="0"/>
              <w:rPr>
                <w:rFonts w:ascii="Times New Roman" w:hAnsi="Times New Roman"/>
                <w:sz w:val="24"/>
                <w:szCs w:val="24"/>
              </w:rPr>
            </w:pPr>
            <w:r w:rsidRPr="00EF1B0A">
              <w:rPr>
                <w:rFonts w:ascii="Times New Roman" w:hAnsi="Times New Roman"/>
                <w:sz w:val="24"/>
                <w:szCs w:val="24"/>
              </w:rPr>
              <w:t>4. Tirdzniecība;</w:t>
            </w:r>
          </w:p>
          <w:p w:rsidR="008C14B4" w:rsidRPr="00EF1B0A" w:rsidRDefault="008C14B4" w:rsidP="008C14B4">
            <w:pPr>
              <w:pStyle w:val="tvhtml"/>
              <w:spacing w:before="0" w:beforeAutospacing="0" w:after="0" w:afterAutospacing="0"/>
              <w:rPr>
                <w:rFonts w:ascii="Times New Roman" w:hAnsi="Times New Roman"/>
                <w:sz w:val="24"/>
                <w:szCs w:val="24"/>
              </w:rPr>
            </w:pPr>
            <w:r w:rsidRPr="00EF1B0A">
              <w:rPr>
                <w:rFonts w:ascii="Times New Roman" w:hAnsi="Times New Roman"/>
                <w:sz w:val="24"/>
                <w:szCs w:val="24"/>
              </w:rPr>
              <w:t>5. Apdrošināšana, finanšu starpniecība un banku pakalpojumi;</w:t>
            </w:r>
          </w:p>
          <w:p w:rsidR="00F924ED" w:rsidRPr="00526CAD" w:rsidRDefault="008C14B4" w:rsidP="00EF1B0A">
            <w:pPr>
              <w:pStyle w:val="tvhtml"/>
              <w:spacing w:before="0" w:beforeAutospacing="0" w:after="0" w:afterAutospacing="0"/>
            </w:pPr>
            <w:r w:rsidRPr="00EF1B0A">
              <w:rPr>
                <w:rFonts w:ascii="Times New Roman" w:hAnsi="Times New Roman"/>
                <w:sz w:val="24"/>
                <w:szCs w:val="24"/>
              </w:rPr>
              <w:t>6. Transportlīdzekļu, mašīnu un iekārtu, individuālās lietošanas priekšmetu, sadzīves aparatūras un iekārtu iznomāšana.</w:t>
            </w:r>
          </w:p>
        </w:tc>
      </w:tr>
      <w:tr w:rsidR="00955FB6" w:rsidRPr="00526CAD" w:rsidTr="00281EF8">
        <w:trPr>
          <w:tblCellSpacing w:w="15" w:type="dxa"/>
        </w:trPr>
        <w:tc>
          <w:tcPr>
            <w:tcW w:w="923" w:type="pct"/>
            <w:tcBorders>
              <w:top w:val="outset" w:sz="6" w:space="0" w:color="auto"/>
              <w:left w:val="outset" w:sz="6" w:space="0" w:color="auto"/>
              <w:bottom w:val="outset" w:sz="6" w:space="0" w:color="auto"/>
              <w:right w:val="outset" w:sz="6" w:space="0" w:color="auto"/>
            </w:tcBorders>
            <w:shd w:val="clear" w:color="auto" w:fill="auto"/>
            <w:hideMark/>
          </w:tcPr>
          <w:p w:rsidR="00955FB6" w:rsidRPr="00EF1B0A" w:rsidRDefault="00F924ED" w:rsidP="00955FB6">
            <w:pPr>
              <w:tabs>
                <w:tab w:val="left" w:pos="9000"/>
                <w:tab w:val="left" w:pos="9900"/>
              </w:tabs>
              <w:rPr>
                <w:sz w:val="24"/>
                <w:szCs w:val="24"/>
              </w:rPr>
            </w:pPr>
            <w:r w:rsidRPr="00EF1B0A">
              <w:rPr>
                <w:sz w:val="24"/>
                <w:szCs w:val="24"/>
              </w:rPr>
              <w:t xml:space="preserve">Komisijas Regulas (EK)  </w:t>
            </w:r>
          </w:p>
          <w:p w:rsidR="00955FB6" w:rsidRPr="00EF1B0A" w:rsidRDefault="00F924ED" w:rsidP="00955FB6">
            <w:pPr>
              <w:tabs>
                <w:tab w:val="left" w:pos="9000"/>
                <w:tab w:val="left" w:pos="9900"/>
              </w:tabs>
              <w:rPr>
                <w:sz w:val="24"/>
                <w:szCs w:val="24"/>
              </w:rPr>
            </w:pPr>
            <w:r w:rsidRPr="00EF1B0A">
              <w:rPr>
                <w:sz w:val="24"/>
                <w:szCs w:val="24"/>
              </w:rPr>
              <w:t>Nr.1998/2006</w:t>
            </w:r>
          </w:p>
          <w:p w:rsidR="00955FB6" w:rsidRPr="00EF1B0A" w:rsidRDefault="00F924ED" w:rsidP="00955FB6">
            <w:pPr>
              <w:tabs>
                <w:tab w:val="left" w:pos="9000"/>
                <w:tab w:val="left" w:pos="9900"/>
              </w:tabs>
              <w:rPr>
                <w:sz w:val="24"/>
                <w:szCs w:val="24"/>
              </w:rPr>
            </w:pPr>
            <w:r w:rsidRPr="00EF1B0A">
              <w:rPr>
                <w:sz w:val="24"/>
                <w:szCs w:val="24"/>
              </w:rPr>
              <w:t xml:space="preserve">2.panta 2.punkts </w:t>
            </w:r>
          </w:p>
          <w:p w:rsidR="00955FB6" w:rsidRPr="00EF1B0A" w:rsidRDefault="00955FB6" w:rsidP="008C14B4">
            <w:pPr>
              <w:tabs>
                <w:tab w:val="left" w:pos="9000"/>
                <w:tab w:val="left" w:pos="9900"/>
              </w:tabs>
              <w:rPr>
                <w:sz w:val="24"/>
                <w:szCs w:val="24"/>
              </w:rPr>
            </w:pPr>
          </w:p>
        </w:tc>
        <w:tc>
          <w:tcPr>
            <w:tcW w:w="601" w:type="pct"/>
            <w:tcBorders>
              <w:top w:val="outset" w:sz="6" w:space="0" w:color="auto"/>
              <w:left w:val="outset" w:sz="6" w:space="0" w:color="auto"/>
              <w:bottom w:val="outset" w:sz="6" w:space="0" w:color="auto"/>
              <w:right w:val="outset" w:sz="6" w:space="0" w:color="auto"/>
            </w:tcBorders>
            <w:shd w:val="clear" w:color="auto" w:fill="auto"/>
            <w:hideMark/>
          </w:tcPr>
          <w:p w:rsidR="00955FB6" w:rsidRPr="00EF1B0A" w:rsidRDefault="00955FB6" w:rsidP="00425D7C">
            <w:pPr>
              <w:pStyle w:val="naiskr"/>
              <w:spacing w:before="0" w:after="0"/>
              <w:jc w:val="both"/>
              <w:rPr>
                <w:i/>
              </w:rPr>
            </w:pPr>
            <w:r w:rsidRPr="00EF1B0A">
              <w:rPr>
                <w:i/>
              </w:rPr>
              <w:t xml:space="preserve">Noteikumu projekta </w:t>
            </w:r>
            <w:r w:rsidR="00DD4ECC" w:rsidRPr="00EF1B0A">
              <w:rPr>
                <w:i/>
              </w:rPr>
              <w:t>1</w:t>
            </w:r>
            <w:r w:rsidR="00425D7C" w:rsidRPr="00526CAD">
              <w:rPr>
                <w:i/>
              </w:rPr>
              <w:t>7</w:t>
            </w:r>
            <w:r w:rsidR="00DD4ECC" w:rsidRPr="00EF1B0A">
              <w:rPr>
                <w:i/>
              </w:rPr>
              <w:t>.punkts</w:t>
            </w:r>
          </w:p>
        </w:tc>
        <w:tc>
          <w:tcPr>
            <w:tcW w:w="951" w:type="pct"/>
            <w:tcBorders>
              <w:top w:val="outset" w:sz="6" w:space="0" w:color="auto"/>
              <w:left w:val="outset" w:sz="6" w:space="0" w:color="auto"/>
              <w:bottom w:val="outset" w:sz="6" w:space="0" w:color="auto"/>
              <w:right w:val="outset" w:sz="6" w:space="0" w:color="auto"/>
            </w:tcBorders>
            <w:shd w:val="clear" w:color="auto" w:fill="auto"/>
            <w:hideMark/>
          </w:tcPr>
          <w:p w:rsidR="00955FB6" w:rsidRPr="00EF1B0A" w:rsidRDefault="00955FB6" w:rsidP="00762978">
            <w:pPr>
              <w:pStyle w:val="naiskr"/>
              <w:spacing w:before="0" w:after="0"/>
              <w:jc w:val="both"/>
              <w:rPr>
                <w:i/>
              </w:rPr>
            </w:pPr>
            <w:r w:rsidRPr="00EF1B0A">
              <w:rPr>
                <w:i/>
              </w:rPr>
              <w:t>ieviesta pilnībā</w:t>
            </w:r>
          </w:p>
        </w:tc>
        <w:tc>
          <w:tcPr>
            <w:tcW w:w="2442" w:type="pct"/>
            <w:tcBorders>
              <w:top w:val="outset" w:sz="6" w:space="0" w:color="auto"/>
              <w:left w:val="outset" w:sz="6" w:space="0" w:color="auto"/>
              <w:bottom w:val="outset" w:sz="6" w:space="0" w:color="auto"/>
              <w:right w:val="outset" w:sz="6" w:space="0" w:color="auto"/>
            </w:tcBorders>
            <w:shd w:val="clear" w:color="auto" w:fill="auto"/>
            <w:hideMark/>
          </w:tcPr>
          <w:p w:rsidR="00955FB6" w:rsidRPr="00EF1B0A" w:rsidRDefault="00F924ED" w:rsidP="008C14B4">
            <w:pPr>
              <w:pStyle w:val="tvhtml"/>
              <w:spacing w:before="0" w:beforeAutospacing="0" w:after="0" w:afterAutospacing="0"/>
              <w:rPr>
                <w:rFonts w:ascii="Times New Roman" w:hAnsi="Times New Roman"/>
                <w:sz w:val="24"/>
                <w:szCs w:val="24"/>
              </w:rPr>
            </w:pPr>
            <w:r w:rsidRPr="00EF1B0A">
              <w:rPr>
                <w:rFonts w:ascii="Times New Roman" w:hAnsi="Times New Roman"/>
                <w:i/>
                <w:sz w:val="24"/>
                <w:szCs w:val="24"/>
              </w:rPr>
              <w:t>neparedz stingrākas prasības</w:t>
            </w:r>
          </w:p>
        </w:tc>
      </w:tr>
      <w:tr w:rsidR="00955FB6" w:rsidRPr="00526CAD" w:rsidTr="00281EF8">
        <w:trPr>
          <w:tblCellSpacing w:w="15" w:type="dxa"/>
        </w:trPr>
        <w:tc>
          <w:tcPr>
            <w:tcW w:w="923" w:type="pct"/>
            <w:tcBorders>
              <w:top w:val="outset" w:sz="6" w:space="0" w:color="auto"/>
              <w:left w:val="outset" w:sz="6" w:space="0" w:color="auto"/>
              <w:bottom w:val="outset" w:sz="6" w:space="0" w:color="auto"/>
              <w:right w:val="outset" w:sz="6" w:space="0" w:color="auto"/>
            </w:tcBorders>
            <w:shd w:val="clear" w:color="auto" w:fill="auto"/>
            <w:hideMark/>
          </w:tcPr>
          <w:p w:rsidR="00955FB6" w:rsidRPr="00EF1B0A" w:rsidRDefault="00F924ED" w:rsidP="00955FB6">
            <w:pPr>
              <w:tabs>
                <w:tab w:val="left" w:pos="9000"/>
                <w:tab w:val="left" w:pos="9900"/>
              </w:tabs>
              <w:rPr>
                <w:sz w:val="24"/>
                <w:szCs w:val="24"/>
              </w:rPr>
            </w:pPr>
            <w:r w:rsidRPr="00EF1B0A">
              <w:rPr>
                <w:sz w:val="24"/>
                <w:szCs w:val="24"/>
              </w:rPr>
              <w:t xml:space="preserve">Komisijas Regulas (EK)  </w:t>
            </w:r>
          </w:p>
          <w:p w:rsidR="00955FB6" w:rsidRPr="00EF1B0A" w:rsidRDefault="00F924ED" w:rsidP="00955FB6">
            <w:pPr>
              <w:tabs>
                <w:tab w:val="left" w:pos="9000"/>
                <w:tab w:val="left" w:pos="9900"/>
              </w:tabs>
              <w:rPr>
                <w:sz w:val="24"/>
                <w:szCs w:val="24"/>
              </w:rPr>
            </w:pPr>
            <w:r w:rsidRPr="00EF1B0A">
              <w:rPr>
                <w:sz w:val="24"/>
                <w:szCs w:val="24"/>
              </w:rPr>
              <w:t>Nr.1998/2006</w:t>
            </w:r>
          </w:p>
          <w:p w:rsidR="00955FB6" w:rsidRPr="00EF1B0A" w:rsidRDefault="00F924ED" w:rsidP="00955FB6">
            <w:pPr>
              <w:tabs>
                <w:tab w:val="left" w:pos="9000"/>
                <w:tab w:val="left" w:pos="9900"/>
              </w:tabs>
              <w:rPr>
                <w:sz w:val="24"/>
                <w:szCs w:val="24"/>
              </w:rPr>
            </w:pPr>
            <w:r w:rsidRPr="00EF1B0A">
              <w:rPr>
                <w:sz w:val="24"/>
                <w:szCs w:val="24"/>
              </w:rPr>
              <w:t xml:space="preserve">3.panta 1.punkts </w:t>
            </w:r>
          </w:p>
          <w:p w:rsidR="00955FB6" w:rsidRPr="00EF1B0A" w:rsidRDefault="00955FB6" w:rsidP="00955FB6">
            <w:pPr>
              <w:tabs>
                <w:tab w:val="left" w:pos="9000"/>
                <w:tab w:val="left" w:pos="9900"/>
              </w:tabs>
              <w:rPr>
                <w:sz w:val="24"/>
                <w:szCs w:val="24"/>
              </w:rPr>
            </w:pPr>
          </w:p>
        </w:tc>
        <w:tc>
          <w:tcPr>
            <w:tcW w:w="601" w:type="pct"/>
            <w:tcBorders>
              <w:top w:val="outset" w:sz="6" w:space="0" w:color="auto"/>
              <w:left w:val="outset" w:sz="6" w:space="0" w:color="auto"/>
              <w:bottom w:val="outset" w:sz="6" w:space="0" w:color="auto"/>
              <w:right w:val="outset" w:sz="6" w:space="0" w:color="auto"/>
            </w:tcBorders>
            <w:shd w:val="clear" w:color="auto" w:fill="auto"/>
            <w:hideMark/>
          </w:tcPr>
          <w:p w:rsidR="00955FB6" w:rsidRPr="00EF1B0A" w:rsidRDefault="00955FB6" w:rsidP="00425D7C">
            <w:pPr>
              <w:pStyle w:val="naiskr"/>
              <w:spacing w:before="0" w:after="0"/>
              <w:jc w:val="both"/>
              <w:rPr>
                <w:i/>
              </w:rPr>
            </w:pPr>
            <w:r w:rsidRPr="00EF1B0A">
              <w:rPr>
                <w:i/>
              </w:rPr>
              <w:t xml:space="preserve">Noteikumu projekta </w:t>
            </w:r>
            <w:r w:rsidR="000F4577" w:rsidRPr="00EF1B0A">
              <w:rPr>
                <w:i/>
              </w:rPr>
              <w:t>1</w:t>
            </w:r>
            <w:r w:rsidR="00612C3B" w:rsidRPr="00EF1B0A">
              <w:rPr>
                <w:i/>
              </w:rPr>
              <w:t>6</w:t>
            </w:r>
            <w:r w:rsidR="000F4577" w:rsidRPr="00EF1B0A">
              <w:rPr>
                <w:i/>
              </w:rPr>
              <w:t>.punkts</w:t>
            </w:r>
          </w:p>
        </w:tc>
        <w:tc>
          <w:tcPr>
            <w:tcW w:w="951" w:type="pct"/>
            <w:tcBorders>
              <w:top w:val="outset" w:sz="6" w:space="0" w:color="auto"/>
              <w:left w:val="outset" w:sz="6" w:space="0" w:color="auto"/>
              <w:bottom w:val="outset" w:sz="6" w:space="0" w:color="auto"/>
              <w:right w:val="outset" w:sz="6" w:space="0" w:color="auto"/>
            </w:tcBorders>
            <w:shd w:val="clear" w:color="auto" w:fill="auto"/>
            <w:hideMark/>
          </w:tcPr>
          <w:p w:rsidR="00955FB6" w:rsidRPr="00EF1B0A" w:rsidRDefault="00955FB6" w:rsidP="00762978">
            <w:pPr>
              <w:pStyle w:val="naiskr"/>
              <w:spacing w:before="0" w:after="0"/>
              <w:jc w:val="both"/>
              <w:rPr>
                <w:i/>
              </w:rPr>
            </w:pPr>
            <w:r w:rsidRPr="00EF1B0A">
              <w:rPr>
                <w:i/>
              </w:rPr>
              <w:t>ieviesta pilnībā</w:t>
            </w:r>
          </w:p>
          <w:p w:rsidR="00955FB6" w:rsidRPr="00EF1B0A" w:rsidRDefault="00955FB6" w:rsidP="00762978">
            <w:pPr>
              <w:pStyle w:val="naiskr"/>
              <w:spacing w:before="0" w:after="0"/>
              <w:jc w:val="both"/>
              <w:rPr>
                <w:i/>
              </w:rPr>
            </w:pPr>
            <w:r w:rsidRPr="00EF1B0A">
              <w:rPr>
                <w:i/>
              </w:rPr>
              <w:t>Atbildīgā institūcija – v/a „Latvijas Investīciju un attīstības aģentūra”</w:t>
            </w:r>
          </w:p>
        </w:tc>
        <w:tc>
          <w:tcPr>
            <w:tcW w:w="2442" w:type="pct"/>
            <w:tcBorders>
              <w:top w:val="outset" w:sz="6" w:space="0" w:color="auto"/>
              <w:left w:val="outset" w:sz="6" w:space="0" w:color="auto"/>
              <w:bottom w:val="outset" w:sz="6" w:space="0" w:color="auto"/>
              <w:right w:val="outset" w:sz="6" w:space="0" w:color="auto"/>
            </w:tcBorders>
            <w:shd w:val="clear" w:color="auto" w:fill="auto"/>
            <w:hideMark/>
          </w:tcPr>
          <w:p w:rsidR="00955FB6" w:rsidRPr="00EF1B0A" w:rsidRDefault="00955FB6" w:rsidP="008C14B4">
            <w:pPr>
              <w:pStyle w:val="tvhtml"/>
              <w:spacing w:before="0" w:beforeAutospacing="0" w:after="0" w:afterAutospacing="0"/>
              <w:rPr>
                <w:rFonts w:ascii="Times New Roman" w:hAnsi="Times New Roman"/>
                <w:i/>
                <w:sz w:val="24"/>
                <w:szCs w:val="24"/>
              </w:rPr>
            </w:pPr>
            <w:r w:rsidRPr="00EF1B0A">
              <w:rPr>
                <w:rFonts w:ascii="Times New Roman" w:hAnsi="Times New Roman"/>
                <w:i/>
                <w:sz w:val="24"/>
                <w:szCs w:val="24"/>
              </w:rPr>
              <w:t>neparedz stingrākas prasības</w:t>
            </w:r>
          </w:p>
        </w:tc>
      </w:tr>
      <w:tr w:rsidR="00955FB6" w:rsidRPr="00526CAD" w:rsidTr="00EF1B0A">
        <w:trPr>
          <w:tblCellSpacing w:w="15" w:type="dxa"/>
        </w:trPr>
        <w:tc>
          <w:tcPr>
            <w:tcW w:w="923" w:type="pct"/>
            <w:tcBorders>
              <w:top w:val="outset" w:sz="6" w:space="0" w:color="auto"/>
              <w:left w:val="outset" w:sz="6" w:space="0" w:color="auto"/>
              <w:bottom w:val="outset" w:sz="6" w:space="0" w:color="auto"/>
              <w:right w:val="outset" w:sz="6" w:space="0" w:color="auto"/>
            </w:tcBorders>
            <w:shd w:val="clear" w:color="auto" w:fill="auto"/>
            <w:hideMark/>
          </w:tcPr>
          <w:p w:rsidR="00955FB6" w:rsidRPr="00526CAD" w:rsidRDefault="00955FB6" w:rsidP="00EF1B0A">
            <w:pPr>
              <w:pStyle w:val="naisf"/>
              <w:tabs>
                <w:tab w:val="left" w:pos="0"/>
                <w:tab w:val="num" w:pos="795"/>
              </w:tabs>
              <w:ind w:firstLine="0"/>
              <w:rPr>
                <w:i/>
              </w:rPr>
            </w:pPr>
            <w:r w:rsidRPr="00526CAD">
              <w:rPr>
                <w:i/>
              </w:rPr>
              <w:t>Komisijas Regula Nr.800/2008</w:t>
            </w:r>
            <w:r w:rsidR="00425D7C" w:rsidRPr="00526CAD">
              <w:rPr>
                <w:i/>
              </w:rPr>
              <w:t>)</w:t>
            </w:r>
            <w:r w:rsidRPr="00526CAD">
              <w:rPr>
                <w:i/>
              </w:rPr>
              <w:t xml:space="preserve"> 1.pielikums 2.pants;</w:t>
            </w:r>
          </w:p>
        </w:tc>
        <w:tc>
          <w:tcPr>
            <w:tcW w:w="601" w:type="pct"/>
            <w:tcBorders>
              <w:top w:val="outset" w:sz="6" w:space="0" w:color="auto"/>
              <w:left w:val="outset" w:sz="6" w:space="0" w:color="auto"/>
              <w:bottom w:val="outset" w:sz="6" w:space="0" w:color="auto"/>
              <w:right w:val="outset" w:sz="6" w:space="0" w:color="auto"/>
            </w:tcBorders>
            <w:shd w:val="clear" w:color="auto" w:fill="auto"/>
            <w:hideMark/>
          </w:tcPr>
          <w:p w:rsidR="00955FB6" w:rsidRPr="00526CAD" w:rsidRDefault="00F924ED" w:rsidP="00427802">
            <w:pPr>
              <w:jc w:val="both"/>
              <w:rPr>
                <w:rFonts w:eastAsia="Times New Roman"/>
                <w:i/>
                <w:sz w:val="24"/>
                <w:szCs w:val="24"/>
                <w:lang w:val="lv-LV"/>
              </w:rPr>
            </w:pPr>
            <w:r w:rsidRPr="00EF1B0A">
              <w:rPr>
                <w:rFonts w:eastAsia="Times New Roman"/>
                <w:i/>
                <w:sz w:val="24"/>
                <w:szCs w:val="24"/>
                <w:lang w:val="lv-LV"/>
              </w:rPr>
              <w:t xml:space="preserve">Noteikumu projekta </w:t>
            </w:r>
            <w:r w:rsidR="00427802" w:rsidRPr="00526CAD">
              <w:rPr>
                <w:rFonts w:eastAsia="Times New Roman"/>
                <w:i/>
                <w:sz w:val="24"/>
                <w:szCs w:val="24"/>
                <w:lang w:val="lv-LV"/>
              </w:rPr>
              <w:t>6</w:t>
            </w:r>
            <w:r w:rsidRPr="00EF1B0A">
              <w:rPr>
                <w:rFonts w:eastAsia="Times New Roman"/>
                <w:i/>
                <w:sz w:val="24"/>
                <w:szCs w:val="24"/>
                <w:lang w:val="lv-LV"/>
              </w:rPr>
              <w:t xml:space="preserve">. punkts </w:t>
            </w:r>
          </w:p>
        </w:tc>
        <w:tc>
          <w:tcPr>
            <w:tcW w:w="951" w:type="pct"/>
            <w:tcBorders>
              <w:top w:val="outset" w:sz="6" w:space="0" w:color="auto"/>
              <w:left w:val="outset" w:sz="6" w:space="0" w:color="auto"/>
              <w:bottom w:val="outset" w:sz="6" w:space="0" w:color="auto"/>
              <w:right w:val="outset" w:sz="6" w:space="0" w:color="auto"/>
            </w:tcBorders>
            <w:shd w:val="clear" w:color="auto" w:fill="auto"/>
            <w:hideMark/>
          </w:tcPr>
          <w:p w:rsidR="00955FB6" w:rsidRPr="00526CAD" w:rsidRDefault="00955FB6" w:rsidP="00762978">
            <w:pPr>
              <w:pStyle w:val="naisf"/>
              <w:spacing w:before="0" w:after="0"/>
              <w:rPr>
                <w:i/>
              </w:rPr>
            </w:pPr>
            <w:r w:rsidRPr="00526CAD">
              <w:rPr>
                <w:i/>
              </w:rPr>
              <w:t>ieviesta pilnībā</w:t>
            </w:r>
          </w:p>
        </w:tc>
        <w:tc>
          <w:tcPr>
            <w:tcW w:w="2442" w:type="pct"/>
            <w:tcBorders>
              <w:top w:val="outset" w:sz="6" w:space="0" w:color="auto"/>
              <w:left w:val="outset" w:sz="6" w:space="0" w:color="auto"/>
              <w:bottom w:val="outset" w:sz="6" w:space="0" w:color="auto"/>
              <w:right w:val="outset" w:sz="6" w:space="0" w:color="auto"/>
            </w:tcBorders>
            <w:shd w:val="clear" w:color="auto" w:fill="auto"/>
            <w:hideMark/>
          </w:tcPr>
          <w:p w:rsidR="00955FB6" w:rsidRPr="00526CAD" w:rsidRDefault="00955FB6" w:rsidP="005129D4">
            <w:pPr>
              <w:pStyle w:val="naisf"/>
              <w:spacing w:before="0" w:after="0"/>
              <w:ind w:firstLine="0"/>
              <w:rPr>
                <w:i/>
              </w:rPr>
            </w:pPr>
            <w:r w:rsidRPr="00526CAD">
              <w:rPr>
                <w:i/>
              </w:rPr>
              <w:t>neparedz stingrākas prasības</w:t>
            </w:r>
          </w:p>
        </w:tc>
      </w:tr>
      <w:tr w:rsidR="00955FB6" w:rsidRPr="00526CAD" w:rsidTr="00EF1B0A">
        <w:trPr>
          <w:tblCellSpacing w:w="15" w:type="dxa"/>
        </w:trPr>
        <w:tc>
          <w:tcPr>
            <w:tcW w:w="923" w:type="pct"/>
            <w:tcBorders>
              <w:top w:val="outset" w:sz="6" w:space="0" w:color="auto"/>
              <w:left w:val="outset" w:sz="6" w:space="0" w:color="auto"/>
              <w:bottom w:val="outset" w:sz="6" w:space="0" w:color="auto"/>
              <w:right w:val="outset" w:sz="6" w:space="0" w:color="auto"/>
            </w:tcBorders>
            <w:shd w:val="clear" w:color="auto" w:fill="auto"/>
            <w:hideMark/>
          </w:tcPr>
          <w:p w:rsidR="00955FB6" w:rsidRPr="00526CAD" w:rsidRDefault="00955FB6" w:rsidP="00C15742">
            <w:pPr>
              <w:pStyle w:val="naiskr"/>
              <w:spacing w:before="0" w:after="0"/>
              <w:rPr>
                <w:i/>
              </w:rPr>
            </w:pPr>
            <w:r w:rsidRPr="00EF1B0A">
              <w:rPr>
                <w:color w:val="000000" w:themeColor="text1"/>
              </w:rPr>
              <w:t>Komisijas Regulas Nr.800/2008 1.panta 7.punkt</w:t>
            </w:r>
            <w:r w:rsidRPr="00526CAD">
              <w:rPr>
                <w:color w:val="000000" w:themeColor="text1"/>
              </w:rPr>
              <w:t>s</w:t>
            </w:r>
          </w:p>
        </w:tc>
        <w:tc>
          <w:tcPr>
            <w:tcW w:w="601" w:type="pct"/>
            <w:tcBorders>
              <w:top w:val="outset" w:sz="6" w:space="0" w:color="auto"/>
              <w:left w:val="outset" w:sz="6" w:space="0" w:color="auto"/>
              <w:bottom w:val="outset" w:sz="6" w:space="0" w:color="auto"/>
              <w:right w:val="outset" w:sz="6" w:space="0" w:color="auto"/>
            </w:tcBorders>
            <w:shd w:val="clear" w:color="auto" w:fill="auto"/>
            <w:hideMark/>
          </w:tcPr>
          <w:p w:rsidR="00955FB6" w:rsidRPr="00526CAD" w:rsidRDefault="00F924ED" w:rsidP="00FC6B93">
            <w:pPr>
              <w:jc w:val="both"/>
              <w:rPr>
                <w:rFonts w:eastAsia="Times New Roman"/>
                <w:i/>
                <w:sz w:val="24"/>
                <w:szCs w:val="24"/>
                <w:lang w:val="lv-LV"/>
              </w:rPr>
            </w:pPr>
            <w:r w:rsidRPr="00EF1B0A">
              <w:rPr>
                <w:rFonts w:eastAsia="Times New Roman"/>
                <w:i/>
                <w:sz w:val="24"/>
                <w:szCs w:val="24"/>
                <w:lang w:val="lv-LV"/>
              </w:rPr>
              <w:t xml:space="preserve">Noteikumu projekta 5. </w:t>
            </w:r>
            <w:r w:rsidR="00DF6643" w:rsidRPr="00526CAD">
              <w:rPr>
                <w:rFonts w:eastAsia="Times New Roman"/>
                <w:i/>
                <w:sz w:val="24"/>
                <w:szCs w:val="24"/>
                <w:lang w:val="lv-LV"/>
              </w:rPr>
              <w:t>un 6.</w:t>
            </w:r>
            <w:r w:rsidRPr="00EF1B0A">
              <w:rPr>
                <w:rFonts w:eastAsia="Times New Roman"/>
                <w:i/>
                <w:sz w:val="24"/>
                <w:szCs w:val="24"/>
                <w:lang w:val="lv-LV"/>
              </w:rPr>
              <w:t>punkts</w:t>
            </w:r>
          </w:p>
        </w:tc>
        <w:tc>
          <w:tcPr>
            <w:tcW w:w="951" w:type="pct"/>
            <w:tcBorders>
              <w:top w:val="outset" w:sz="6" w:space="0" w:color="auto"/>
              <w:left w:val="outset" w:sz="6" w:space="0" w:color="auto"/>
              <w:bottom w:val="outset" w:sz="6" w:space="0" w:color="auto"/>
              <w:right w:val="outset" w:sz="6" w:space="0" w:color="auto"/>
            </w:tcBorders>
            <w:shd w:val="clear" w:color="auto" w:fill="auto"/>
            <w:hideMark/>
          </w:tcPr>
          <w:p w:rsidR="00955FB6" w:rsidRPr="00526CAD" w:rsidRDefault="00955FB6" w:rsidP="00762978">
            <w:pPr>
              <w:pStyle w:val="naisf"/>
              <w:spacing w:before="0" w:after="0"/>
              <w:rPr>
                <w:i/>
              </w:rPr>
            </w:pPr>
            <w:r w:rsidRPr="00526CAD">
              <w:rPr>
                <w:i/>
              </w:rPr>
              <w:t>ieviesta pilnībā</w:t>
            </w:r>
          </w:p>
        </w:tc>
        <w:tc>
          <w:tcPr>
            <w:tcW w:w="2442" w:type="pct"/>
            <w:tcBorders>
              <w:top w:val="outset" w:sz="6" w:space="0" w:color="auto"/>
              <w:left w:val="outset" w:sz="6" w:space="0" w:color="auto"/>
              <w:bottom w:val="outset" w:sz="6" w:space="0" w:color="auto"/>
              <w:right w:val="outset" w:sz="6" w:space="0" w:color="auto"/>
            </w:tcBorders>
            <w:shd w:val="clear" w:color="auto" w:fill="auto"/>
            <w:hideMark/>
          </w:tcPr>
          <w:p w:rsidR="00955FB6" w:rsidRPr="00526CAD" w:rsidRDefault="00955FB6" w:rsidP="005129D4">
            <w:pPr>
              <w:pStyle w:val="naisf"/>
              <w:spacing w:before="0" w:after="0"/>
              <w:ind w:firstLine="0"/>
              <w:rPr>
                <w:i/>
              </w:rPr>
            </w:pPr>
            <w:r w:rsidRPr="00526CAD">
              <w:rPr>
                <w:i/>
              </w:rPr>
              <w:t>neparedz stingrākas prasības</w:t>
            </w:r>
          </w:p>
        </w:tc>
      </w:tr>
      <w:tr w:rsidR="00281EF8" w:rsidRPr="00526CAD" w:rsidTr="00281EF8">
        <w:trPr>
          <w:tblCellSpacing w:w="15" w:type="dxa"/>
        </w:trPr>
        <w:tc>
          <w:tcPr>
            <w:tcW w:w="923" w:type="pct"/>
            <w:tcBorders>
              <w:top w:val="outset" w:sz="6" w:space="0" w:color="auto"/>
              <w:left w:val="outset" w:sz="6" w:space="0" w:color="auto"/>
              <w:bottom w:val="outset" w:sz="6" w:space="0" w:color="auto"/>
              <w:right w:val="outset" w:sz="6" w:space="0" w:color="auto"/>
            </w:tcBorders>
            <w:shd w:val="clear" w:color="auto" w:fill="auto"/>
          </w:tcPr>
          <w:p w:rsidR="00281EF8" w:rsidRPr="00526CAD" w:rsidRDefault="00281EF8" w:rsidP="00281EF8">
            <w:pPr>
              <w:pStyle w:val="naiskr"/>
              <w:spacing w:before="0" w:after="0"/>
              <w:rPr>
                <w:color w:val="000000" w:themeColor="text1"/>
              </w:rPr>
            </w:pPr>
            <w:r w:rsidRPr="00526CAD">
              <w:rPr>
                <w:color w:val="000000" w:themeColor="text1"/>
              </w:rPr>
              <w:t>Komisijas Regulas Nr.800/2008 38.pants</w:t>
            </w:r>
          </w:p>
        </w:tc>
        <w:tc>
          <w:tcPr>
            <w:tcW w:w="601" w:type="pct"/>
            <w:tcBorders>
              <w:top w:val="outset" w:sz="6" w:space="0" w:color="auto"/>
              <w:left w:val="outset" w:sz="6" w:space="0" w:color="auto"/>
              <w:bottom w:val="outset" w:sz="6" w:space="0" w:color="auto"/>
              <w:right w:val="outset" w:sz="6" w:space="0" w:color="auto"/>
            </w:tcBorders>
            <w:shd w:val="clear" w:color="auto" w:fill="auto"/>
          </w:tcPr>
          <w:p w:rsidR="00281EF8" w:rsidRPr="00526CAD" w:rsidRDefault="00281EF8" w:rsidP="00281EF8">
            <w:pPr>
              <w:pStyle w:val="naiskr"/>
              <w:spacing w:before="0" w:after="0"/>
              <w:rPr>
                <w:i/>
              </w:rPr>
            </w:pPr>
            <w:r w:rsidRPr="00526CAD">
              <w:rPr>
                <w:i/>
              </w:rPr>
              <w:t>Noteikumu projekta 7.punkts</w:t>
            </w:r>
          </w:p>
        </w:tc>
        <w:tc>
          <w:tcPr>
            <w:tcW w:w="951" w:type="pct"/>
            <w:tcBorders>
              <w:top w:val="outset" w:sz="6" w:space="0" w:color="auto"/>
              <w:left w:val="outset" w:sz="6" w:space="0" w:color="auto"/>
              <w:bottom w:val="outset" w:sz="6" w:space="0" w:color="auto"/>
              <w:right w:val="outset" w:sz="6" w:space="0" w:color="auto"/>
            </w:tcBorders>
            <w:shd w:val="clear" w:color="auto" w:fill="auto"/>
          </w:tcPr>
          <w:p w:rsidR="00281EF8" w:rsidRPr="00526CAD" w:rsidRDefault="00281EF8" w:rsidP="00762978">
            <w:pPr>
              <w:pStyle w:val="naiskr"/>
              <w:spacing w:before="0" w:after="0"/>
              <w:rPr>
                <w:i/>
              </w:rPr>
            </w:pPr>
            <w:r w:rsidRPr="00526CAD">
              <w:rPr>
                <w:i/>
              </w:rPr>
              <w:t>ieviesta pilnībā</w:t>
            </w:r>
          </w:p>
        </w:tc>
        <w:tc>
          <w:tcPr>
            <w:tcW w:w="2442" w:type="pct"/>
            <w:tcBorders>
              <w:top w:val="outset" w:sz="6" w:space="0" w:color="auto"/>
              <w:left w:val="outset" w:sz="6" w:space="0" w:color="auto"/>
              <w:bottom w:val="outset" w:sz="6" w:space="0" w:color="auto"/>
              <w:right w:val="outset" w:sz="6" w:space="0" w:color="auto"/>
            </w:tcBorders>
            <w:shd w:val="clear" w:color="auto" w:fill="auto"/>
          </w:tcPr>
          <w:p w:rsidR="00281EF8" w:rsidRPr="00526CAD" w:rsidRDefault="00281EF8" w:rsidP="00762978">
            <w:pPr>
              <w:pStyle w:val="naiskr"/>
              <w:spacing w:before="0" w:after="0"/>
              <w:rPr>
                <w:i/>
              </w:rPr>
            </w:pPr>
            <w:r w:rsidRPr="00526CAD">
              <w:rPr>
                <w:i/>
              </w:rPr>
              <w:t>neparedz stingrākas prasības</w:t>
            </w:r>
          </w:p>
        </w:tc>
      </w:tr>
      <w:tr w:rsidR="00281EF8" w:rsidRPr="00526CAD" w:rsidTr="00EF1B0A">
        <w:trPr>
          <w:tblCellSpacing w:w="15" w:type="dxa"/>
        </w:trPr>
        <w:tc>
          <w:tcPr>
            <w:tcW w:w="923" w:type="pct"/>
            <w:tcBorders>
              <w:top w:val="outset" w:sz="6" w:space="0" w:color="auto"/>
              <w:left w:val="outset" w:sz="6" w:space="0" w:color="auto"/>
              <w:bottom w:val="outset" w:sz="6" w:space="0" w:color="auto"/>
              <w:right w:val="outset" w:sz="6" w:space="0" w:color="auto"/>
            </w:tcBorders>
            <w:shd w:val="clear" w:color="auto" w:fill="auto"/>
            <w:hideMark/>
          </w:tcPr>
          <w:p w:rsidR="00281EF8" w:rsidRPr="00526CAD" w:rsidRDefault="00281EF8" w:rsidP="00C15742">
            <w:pPr>
              <w:pStyle w:val="naiskr"/>
              <w:spacing w:before="0" w:after="0"/>
              <w:rPr>
                <w:i/>
              </w:rPr>
            </w:pPr>
            <w:r w:rsidRPr="00EF1B0A">
              <w:rPr>
                <w:color w:val="000000" w:themeColor="text1"/>
              </w:rPr>
              <w:t xml:space="preserve">Komisijas Paziņojuma Kopienas </w:t>
            </w:r>
            <w:r w:rsidRPr="00EF1B0A">
              <w:rPr>
                <w:color w:val="000000" w:themeColor="text1"/>
              </w:rPr>
              <w:lastRenderedPageBreak/>
              <w:t xml:space="preserve">pamatnostādnes par valsts atbalstu grūtībās nonākušu uzņēmumu glābšanai un pārstrukturēšanai (2004/C 244/02) 9. - 11.punkts </w:t>
            </w:r>
          </w:p>
        </w:tc>
        <w:tc>
          <w:tcPr>
            <w:tcW w:w="601" w:type="pct"/>
            <w:tcBorders>
              <w:top w:val="outset" w:sz="6" w:space="0" w:color="auto"/>
              <w:left w:val="outset" w:sz="6" w:space="0" w:color="auto"/>
              <w:bottom w:val="outset" w:sz="6" w:space="0" w:color="auto"/>
              <w:right w:val="outset" w:sz="6" w:space="0" w:color="auto"/>
            </w:tcBorders>
            <w:shd w:val="clear" w:color="auto" w:fill="auto"/>
            <w:hideMark/>
          </w:tcPr>
          <w:p w:rsidR="00281EF8" w:rsidRPr="00526CAD" w:rsidRDefault="00281EF8" w:rsidP="0097021A">
            <w:pPr>
              <w:pStyle w:val="naiskr"/>
              <w:spacing w:before="0" w:after="0"/>
              <w:rPr>
                <w:i/>
              </w:rPr>
            </w:pPr>
            <w:r w:rsidRPr="00EF1B0A">
              <w:rPr>
                <w:i/>
              </w:rPr>
              <w:lastRenderedPageBreak/>
              <w:t xml:space="preserve">Noteikumu projekta </w:t>
            </w:r>
            <w:r w:rsidRPr="00526CAD">
              <w:rPr>
                <w:i/>
              </w:rPr>
              <w:t>5</w:t>
            </w:r>
            <w:r w:rsidRPr="00EF1B0A">
              <w:rPr>
                <w:i/>
              </w:rPr>
              <w:t>. punkts</w:t>
            </w:r>
          </w:p>
        </w:tc>
        <w:tc>
          <w:tcPr>
            <w:tcW w:w="951" w:type="pct"/>
            <w:tcBorders>
              <w:top w:val="outset" w:sz="6" w:space="0" w:color="auto"/>
              <w:left w:val="outset" w:sz="6" w:space="0" w:color="auto"/>
              <w:bottom w:val="outset" w:sz="6" w:space="0" w:color="auto"/>
              <w:right w:val="outset" w:sz="6" w:space="0" w:color="auto"/>
            </w:tcBorders>
            <w:shd w:val="clear" w:color="auto" w:fill="auto"/>
            <w:hideMark/>
          </w:tcPr>
          <w:p w:rsidR="00281EF8" w:rsidRPr="00526CAD" w:rsidRDefault="00281EF8" w:rsidP="00762978">
            <w:pPr>
              <w:pStyle w:val="naiskr"/>
              <w:spacing w:before="0" w:after="0"/>
              <w:rPr>
                <w:i/>
              </w:rPr>
            </w:pPr>
            <w:r w:rsidRPr="00526CAD">
              <w:rPr>
                <w:i/>
              </w:rPr>
              <w:t>ieviesta pilnībā</w:t>
            </w:r>
          </w:p>
        </w:tc>
        <w:tc>
          <w:tcPr>
            <w:tcW w:w="2442" w:type="pct"/>
            <w:tcBorders>
              <w:top w:val="outset" w:sz="6" w:space="0" w:color="auto"/>
              <w:left w:val="outset" w:sz="6" w:space="0" w:color="auto"/>
              <w:bottom w:val="outset" w:sz="6" w:space="0" w:color="auto"/>
              <w:right w:val="outset" w:sz="6" w:space="0" w:color="auto"/>
            </w:tcBorders>
            <w:shd w:val="clear" w:color="auto" w:fill="auto"/>
            <w:hideMark/>
          </w:tcPr>
          <w:p w:rsidR="00281EF8" w:rsidRPr="00526CAD" w:rsidRDefault="00281EF8" w:rsidP="00762978">
            <w:pPr>
              <w:pStyle w:val="naiskr"/>
              <w:spacing w:before="0" w:after="0"/>
              <w:rPr>
                <w:i/>
              </w:rPr>
            </w:pPr>
            <w:r w:rsidRPr="00526CAD">
              <w:rPr>
                <w:i/>
              </w:rPr>
              <w:t>neparedz stingrākas prasības</w:t>
            </w:r>
          </w:p>
        </w:tc>
      </w:tr>
      <w:tr w:rsidR="00281EF8" w:rsidRPr="00526CAD" w:rsidTr="00EF1B0A">
        <w:trPr>
          <w:tblCellSpacing w:w="15" w:type="dxa"/>
        </w:trPr>
        <w:tc>
          <w:tcPr>
            <w:tcW w:w="9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81EF8" w:rsidRPr="00EF1B0A" w:rsidRDefault="00281EF8" w:rsidP="00762978">
            <w:pPr>
              <w:jc w:val="both"/>
              <w:rPr>
                <w:rFonts w:eastAsia="Times New Roman"/>
                <w:sz w:val="24"/>
                <w:szCs w:val="24"/>
                <w:lang w:val="lv-LV" w:eastAsia="lv-LV"/>
              </w:rPr>
            </w:pPr>
            <w:r w:rsidRPr="00526CAD">
              <w:rPr>
                <w:rFonts w:eastAsia="Times New Roman"/>
                <w:sz w:val="24"/>
                <w:szCs w:val="24"/>
                <w:lang w:val="lv-LV" w:eastAsia="lv-LV"/>
              </w:rPr>
              <w:lastRenderedPageBreak/>
              <w:t>Kā ir izmantota ES tiesību aktā paredzētā rīcības brīvība dalībvalstij pārņemt vai ieviest noteiktas ES tiesību akta normas.</w:t>
            </w:r>
          </w:p>
        </w:tc>
        <w:tc>
          <w:tcPr>
            <w:tcW w:w="4028" w:type="pct"/>
            <w:gridSpan w:val="3"/>
            <w:tcBorders>
              <w:top w:val="outset" w:sz="6" w:space="0" w:color="auto"/>
              <w:left w:val="outset" w:sz="6" w:space="0" w:color="auto"/>
              <w:bottom w:val="outset" w:sz="6" w:space="0" w:color="auto"/>
              <w:right w:val="outset" w:sz="6" w:space="0" w:color="auto"/>
            </w:tcBorders>
            <w:shd w:val="clear" w:color="auto" w:fill="auto"/>
            <w:hideMark/>
          </w:tcPr>
          <w:p w:rsidR="00281EF8" w:rsidRPr="00526CAD" w:rsidRDefault="00281EF8" w:rsidP="00762978">
            <w:pPr>
              <w:pStyle w:val="naiskr"/>
              <w:rPr>
                <w:iCs/>
              </w:rPr>
            </w:pPr>
            <w:r w:rsidRPr="00526CAD">
              <w:rPr>
                <w:iCs/>
              </w:rPr>
              <w:t xml:space="preserve">Lai sniegtu reģionālo valsts atbalstu, kā arī piešķirtu struktūrfondu līdzfinansējumu,  dalībvalstij ir obligāti jāpiemēro: </w:t>
            </w:r>
          </w:p>
          <w:p w:rsidR="00281EF8" w:rsidRPr="00526CAD" w:rsidRDefault="00281EF8" w:rsidP="00762978">
            <w:pPr>
              <w:pStyle w:val="naiskr"/>
              <w:rPr>
                <w:iCs/>
              </w:rPr>
            </w:pPr>
            <w:r w:rsidRPr="00526CAD">
              <w:rPr>
                <w:iCs/>
              </w:rPr>
              <w:t>Komisijas Regula Nr.800/2008.</w:t>
            </w:r>
          </w:p>
          <w:p w:rsidR="00281EF8" w:rsidRPr="00EF1B0A" w:rsidRDefault="00281EF8" w:rsidP="00762978">
            <w:pPr>
              <w:jc w:val="both"/>
              <w:rPr>
                <w:rFonts w:eastAsia="Times New Roman"/>
                <w:sz w:val="24"/>
                <w:szCs w:val="24"/>
                <w:lang w:val="lv-LV" w:eastAsia="lv-LV"/>
              </w:rPr>
            </w:pPr>
          </w:p>
        </w:tc>
      </w:tr>
      <w:tr w:rsidR="00281EF8" w:rsidRPr="00EF1B0A" w:rsidTr="00EF1B0A">
        <w:trPr>
          <w:tblCellSpacing w:w="15" w:type="dxa"/>
        </w:trPr>
        <w:tc>
          <w:tcPr>
            <w:tcW w:w="9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81EF8" w:rsidRPr="00526CAD" w:rsidRDefault="00281EF8" w:rsidP="00762978">
            <w:pPr>
              <w:jc w:val="both"/>
              <w:rPr>
                <w:rFonts w:eastAsia="Times New Roman"/>
                <w:sz w:val="24"/>
                <w:szCs w:val="24"/>
                <w:lang w:val="lv-LV" w:eastAsia="lv-LV"/>
              </w:rPr>
            </w:pPr>
            <w:r w:rsidRPr="00526CAD">
              <w:rPr>
                <w:rFonts w:eastAsia="Times New Roman"/>
                <w:sz w:val="24"/>
                <w:szCs w:val="24"/>
                <w:lang w:val="lv-LV"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028" w:type="pct"/>
            <w:gridSpan w:val="3"/>
            <w:tcBorders>
              <w:top w:val="outset" w:sz="6" w:space="0" w:color="auto"/>
              <w:left w:val="outset" w:sz="6" w:space="0" w:color="auto"/>
              <w:bottom w:val="outset" w:sz="6" w:space="0" w:color="auto"/>
              <w:right w:val="outset" w:sz="6" w:space="0" w:color="auto"/>
            </w:tcBorders>
            <w:shd w:val="clear" w:color="auto" w:fill="auto"/>
            <w:hideMark/>
          </w:tcPr>
          <w:p w:rsidR="00281EF8" w:rsidRPr="00526CAD" w:rsidRDefault="00281EF8" w:rsidP="00762978">
            <w:pPr>
              <w:jc w:val="both"/>
              <w:rPr>
                <w:rFonts w:eastAsia="Times New Roman"/>
                <w:iCs/>
                <w:sz w:val="24"/>
                <w:szCs w:val="24"/>
                <w:lang w:val="lv-LV" w:eastAsia="lv-LV"/>
              </w:rPr>
            </w:pPr>
            <w:r w:rsidRPr="00EF1B0A">
              <w:rPr>
                <w:rFonts w:eastAsia="Times New Roman"/>
                <w:iCs/>
                <w:sz w:val="24"/>
                <w:szCs w:val="24"/>
                <w:lang w:val="lv-LV" w:eastAsia="lv-LV"/>
              </w:rPr>
              <w:t xml:space="preserve">Paziņojumu Eiropas Komisijai (turpmāk – EK) nav nepieciešams sniegt, jo Noteikumu projekts saskaņā ar Komisijas Regulas Nr.800/2008 3.pantu un </w:t>
            </w:r>
            <w:r w:rsidRPr="00EF1B0A">
              <w:rPr>
                <w:sz w:val="24"/>
                <w:szCs w:val="24"/>
                <w:lang w:val="lv-LV"/>
              </w:rPr>
              <w:t>Komisijas Regulas nr.1998/2006 2.pantu</w:t>
            </w:r>
            <w:r w:rsidRPr="00EF1B0A">
              <w:rPr>
                <w:rFonts w:eastAsia="Times New Roman"/>
                <w:iCs/>
                <w:sz w:val="24"/>
                <w:szCs w:val="24"/>
                <w:lang w:val="lv-LV" w:eastAsia="lv-LV"/>
              </w:rPr>
              <w:t xml:space="preserve"> ir atbrīvots no iepriekšējas paziņošanas EK. </w:t>
            </w:r>
          </w:p>
          <w:p w:rsidR="00281EF8" w:rsidRPr="00526CAD" w:rsidRDefault="00281EF8" w:rsidP="00762978">
            <w:pPr>
              <w:jc w:val="both"/>
              <w:rPr>
                <w:rFonts w:eastAsia="Times New Roman"/>
                <w:iCs/>
                <w:sz w:val="24"/>
                <w:szCs w:val="24"/>
                <w:lang w:val="lv-LV" w:eastAsia="lv-LV"/>
              </w:rPr>
            </w:pPr>
          </w:p>
          <w:p w:rsidR="00281EF8" w:rsidRPr="00526CAD" w:rsidRDefault="00281EF8" w:rsidP="00497585">
            <w:pPr>
              <w:jc w:val="both"/>
              <w:rPr>
                <w:rFonts w:eastAsia="Times New Roman"/>
                <w:sz w:val="24"/>
                <w:szCs w:val="24"/>
                <w:lang w:val="lv-LV" w:eastAsia="lv-LV"/>
              </w:rPr>
            </w:pPr>
          </w:p>
        </w:tc>
      </w:tr>
      <w:tr w:rsidR="00281EF8" w:rsidRPr="00526CAD" w:rsidTr="00EF1B0A">
        <w:trPr>
          <w:tblCellSpacing w:w="15" w:type="dxa"/>
        </w:trPr>
        <w:tc>
          <w:tcPr>
            <w:tcW w:w="923" w:type="pct"/>
            <w:tcBorders>
              <w:top w:val="outset" w:sz="6" w:space="0" w:color="auto"/>
              <w:left w:val="outset" w:sz="6" w:space="0" w:color="auto"/>
              <w:bottom w:val="outset" w:sz="6" w:space="0" w:color="auto"/>
              <w:right w:val="outset" w:sz="6" w:space="0" w:color="auto"/>
            </w:tcBorders>
            <w:shd w:val="clear" w:color="auto" w:fill="auto"/>
            <w:hideMark/>
          </w:tcPr>
          <w:p w:rsidR="00281EF8" w:rsidRPr="00526CAD" w:rsidRDefault="00281EF8" w:rsidP="00762978">
            <w:pPr>
              <w:jc w:val="both"/>
              <w:rPr>
                <w:rFonts w:eastAsia="Times New Roman"/>
                <w:sz w:val="24"/>
                <w:szCs w:val="24"/>
                <w:lang w:val="lv-LV" w:eastAsia="lv-LV"/>
              </w:rPr>
            </w:pPr>
            <w:r w:rsidRPr="00526CAD">
              <w:rPr>
                <w:rFonts w:eastAsia="Times New Roman"/>
                <w:sz w:val="24"/>
                <w:szCs w:val="24"/>
                <w:lang w:val="lv-LV" w:eastAsia="lv-LV"/>
              </w:rPr>
              <w:t>Cita informācija</w:t>
            </w:r>
          </w:p>
        </w:tc>
        <w:tc>
          <w:tcPr>
            <w:tcW w:w="4028" w:type="pct"/>
            <w:gridSpan w:val="3"/>
            <w:tcBorders>
              <w:top w:val="outset" w:sz="6" w:space="0" w:color="auto"/>
              <w:left w:val="outset" w:sz="6" w:space="0" w:color="auto"/>
              <w:bottom w:val="outset" w:sz="6" w:space="0" w:color="auto"/>
              <w:right w:val="outset" w:sz="6" w:space="0" w:color="auto"/>
            </w:tcBorders>
            <w:shd w:val="clear" w:color="auto" w:fill="auto"/>
            <w:hideMark/>
          </w:tcPr>
          <w:p w:rsidR="00281EF8" w:rsidRPr="00526CAD" w:rsidRDefault="00281EF8" w:rsidP="00762978">
            <w:pPr>
              <w:jc w:val="both"/>
              <w:rPr>
                <w:rFonts w:eastAsia="Times New Roman"/>
                <w:sz w:val="24"/>
                <w:szCs w:val="24"/>
                <w:lang w:val="lv-LV" w:eastAsia="lv-LV"/>
              </w:rPr>
            </w:pPr>
            <w:r w:rsidRPr="00526CAD">
              <w:rPr>
                <w:rFonts w:eastAsia="Times New Roman"/>
                <w:sz w:val="24"/>
                <w:szCs w:val="24"/>
                <w:lang w:val="lv-LV" w:eastAsia="lv-LV"/>
              </w:rPr>
              <w:t>Nav</w:t>
            </w:r>
          </w:p>
        </w:tc>
      </w:tr>
    </w:tbl>
    <w:p w:rsidR="00926E4B" w:rsidRPr="00526CAD" w:rsidRDefault="00926E4B" w:rsidP="00CE5A53">
      <w:pPr>
        <w:tabs>
          <w:tab w:val="left" w:pos="7655"/>
        </w:tabs>
        <w:jc w:val="both"/>
        <w:rPr>
          <w:bCs/>
          <w:sz w:val="24"/>
          <w:szCs w:val="24"/>
          <w:lang w:val="lv-LV"/>
        </w:rPr>
      </w:pPr>
    </w:p>
    <w:tbl>
      <w:tblPr>
        <w:tblW w:w="9214" w:type="dxa"/>
        <w:tblInd w:w="-11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851"/>
        <w:gridCol w:w="3827"/>
        <w:gridCol w:w="4536"/>
      </w:tblGrid>
      <w:tr w:rsidR="00D7051C" w:rsidRPr="00EF1B0A" w:rsidTr="004E5913">
        <w:tc>
          <w:tcPr>
            <w:tcW w:w="9214" w:type="dxa"/>
            <w:gridSpan w:val="3"/>
          </w:tcPr>
          <w:p w:rsidR="00D7051C" w:rsidRPr="00526CAD" w:rsidRDefault="00D7051C" w:rsidP="004E5913">
            <w:pPr>
              <w:jc w:val="center"/>
              <w:rPr>
                <w:rFonts w:eastAsia="Times New Roman"/>
                <w:b/>
                <w:sz w:val="24"/>
                <w:szCs w:val="24"/>
                <w:lang w:val="lv-LV" w:eastAsia="lv-LV"/>
              </w:rPr>
            </w:pPr>
            <w:r w:rsidRPr="00EF1B0A">
              <w:rPr>
                <w:b/>
                <w:bCs/>
                <w:sz w:val="24"/>
                <w:szCs w:val="24"/>
                <w:lang w:val="lv-LV"/>
              </w:rPr>
              <w:t>VI. Sabiedrības līdzdalība un šīs līdzdalības rezultāti</w:t>
            </w:r>
          </w:p>
        </w:tc>
      </w:tr>
      <w:tr w:rsidR="00D7051C" w:rsidRPr="00EF1B0A" w:rsidTr="004E5913">
        <w:tc>
          <w:tcPr>
            <w:tcW w:w="851" w:type="dxa"/>
          </w:tcPr>
          <w:p w:rsidR="00D7051C" w:rsidRPr="00526CAD" w:rsidRDefault="00D7051C" w:rsidP="004E5913">
            <w:pPr>
              <w:rPr>
                <w:rFonts w:eastAsia="Times New Roman"/>
                <w:sz w:val="24"/>
                <w:szCs w:val="24"/>
                <w:lang w:val="lv-LV" w:eastAsia="lv-LV"/>
              </w:rPr>
            </w:pPr>
            <w:r w:rsidRPr="00526CAD">
              <w:rPr>
                <w:rFonts w:eastAsia="Times New Roman"/>
                <w:sz w:val="24"/>
                <w:szCs w:val="24"/>
                <w:lang w:val="lv-LV" w:eastAsia="lv-LV"/>
              </w:rPr>
              <w:t>1.</w:t>
            </w:r>
          </w:p>
        </w:tc>
        <w:tc>
          <w:tcPr>
            <w:tcW w:w="3827" w:type="dxa"/>
            <w:hideMark/>
          </w:tcPr>
          <w:p w:rsidR="00D7051C" w:rsidRPr="00526CAD" w:rsidRDefault="00D7051C" w:rsidP="004E5913">
            <w:pPr>
              <w:rPr>
                <w:rFonts w:eastAsia="Times New Roman"/>
                <w:sz w:val="24"/>
                <w:szCs w:val="24"/>
                <w:lang w:val="lv-LV" w:eastAsia="lv-LV"/>
              </w:rPr>
            </w:pPr>
            <w:r w:rsidRPr="00526CAD">
              <w:rPr>
                <w:sz w:val="24"/>
                <w:szCs w:val="24"/>
                <w:lang w:val="lv-LV"/>
              </w:rPr>
              <w:t>Sabiedrības informēšana par projekta izstrādes uzsākšanu</w:t>
            </w:r>
          </w:p>
        </w:tc>
        <w:tc>
          <w:tcPr>
            <w:tcW w:w="4536" w:type="dxa"/>
            <w:hideMark/>
          </w:tcPr>
          <w:p w:rsidR="00D7051C" w:rsidRPr="00526CAD" w:rsidRDefault="00D7051C" w:rsidP="00D7051C">
            <w:pPr>
              <w:ind w:firstLine="485"/>
              <w:jc w:val="both"/>
              <w:rPr>
                <w:rFonts w:eastAsia="Times New Roman"/>
                <w:sz w:val="24"/>
                <w:szCs w:val="24"/>
                <w:lang w:val="lv-LV" w:eastAsia="lv-LV"/>
              </w:rPr>
            </w:pPr>
            <w:r w:rsidRPr="00526CAD">
              <w:rPr>
                <w:color w:val="000000"/>
                <w:sz w:val="24"/>
                <w:szCs w:val="24"/>
                <w:lang w:val="lv-LV"/>
              </w:rPr>
              <w:t xml:space="preserve">2012.gada 25.janvārī Ekonomikas ministrijā tika organizēta tikšanās ar finansējuma saņēmējiem, lai izvērtētu sasniegto progresu 1.3.1.1.1.aktivitātes </w:t>
            </w:r>
            <w:r w:rsidRPr="00526CAD">
              <w:rPr>
                <w:color w:val="000000"/>
                <w:sz w:val="24"/>
                <w:szCs w:val="24"/>
                <w:lang w:val="lv-LV"/>
              </w:rPr>
              <w:lastRenderedPageBreak/>
              <w:t xml:space="preserve">ietvaros un vienotos par nepieciešamajiem grozījumiem 1.3.1.1.1.aktivitātes ieviešanas nosacījumos. Minētajā tikšanās reizē piedalījās pārstāvji no </w:t>
            </w:r>
            <w:r w:rsidRPr="00526CAD">
              <w:rPr>
                <w:sz w:val="24"/>
                <w:szCs w:val="24"/>
                <w:lang w:val="lv-LV"/>
              </w:rPr>
              <w:t>valsts aģentūras „Latvijas Investīciju un attīstības aģentūra”</w:t>
            </w:r>
            <w:r w:rsidRPr="00526CAD">
              <w:rPr>
                <w:color w:val="000000"/>
                <w:sz w:val="24"/>
                <w:szCs w:val="24"/>
                <w:lang w:val="lv-LV"/>
              </w:rPr>
              <w:t xml:space="preserve">, Finanšu ministrijas, </w:t>
            </w:r>
            <w:r w:rsidRPr="00526CAD">
              <w:rPr>
                <w:sz w:val="24"/>
                <w:szCs w:val="24"/>
                <w:lang w:val="lv-LV"/>
              </w:rPr>
              <w:t xml:space="preserve">Latvijas Informācijas un komunikācijas tehnoloģiju asociācijas, Latvijas Kokrūpniecības federācijas, </w:t>
            </w:r>
            <w:r w:rsidRPr="00526CAD">
              <w:rPr>
                <w:rFonts w:eastAsia="SimSun"/>
                <w:sz w:val="24"/>
                <w:szCs w:val="24"/>
                <w:lang w:val="lv-LV"/>
              </w:rPr>
              <w:t xml:space="preserve">SIA 4idea, </w:t>
            </w:r>
            <w:r w:rsidRPr="00526CAD">
              <w:rPr>
                <w:rStyle w:val="st1"/>
                <w:sz w:val="24"/>
                <w:szCs w:val="24"/>
                <w:lang w:val="lv-LV"/>
              </w:rPr>
              <w:t xml:space="preserve">Latvijas </w:t>
            </w:r>
            <w:r w:rsidRPr="00526CAD">
              <w:rPr>
                <w:rStyle w:val="st1"/>
                <w:bCs/>
                <w:color w:val="000000"/>
                <w:sz w:val="24"/>
                <w:szCs w:val="24"/>
                <w:lang w:val="lv-LV"/>
              </w:rPr>
              <w:t>Datortehnoloģiju</w:t>
            </w:r>
            <w:r w:rsidRPr="00526CAD">
              <w:rPr>
                <w:rStyle w:val="st1"/>
                <w:sz w:val="24"/>
                <w:szCs w:val="24"/>
                <w:lang w:val="lv-LV"/>
              </w:rPr>
              <w:t xml:space="preserve"> asociācijas, Mašīnbūves un Metālapstrādes Rūpniecības asociācijas, </w:t>
            </w:r>
            <w:r w:rsidRPr="00526CAD">
              <w:rPr>
                <w:sz w:val="24"/>
                <w:szCs w:val="24"/>
                <w:lang w:val="lv-LV"/>
              </w:rPr>
              <w:t xml:space="preserve">Latvijas Pilnvaroto autotirgotāju asociācijas, </w:t>
            </w:r>
            <w:r w:rsidRPr="00526CAD">
              <w:rPr>
                <w:rFonts w:eastAsia="SimSun"/>
                <w:sz w:val="24"/>
                <w:szCs w:val="24"/>
                <w:lang w:val="lv-LV"/>
              </w:rPr>
              <w:t xml:space="preserve">Latvijas Logu un durvju ražotāju asociācijas, Latvijas Tirdzniecības un rūpniecības kameras, Latvijas Darba devēju konfederācijas, SIA Demarsch, Latvijas Pārtikas uzņēmumu federācijas, Latvijas Loģistikas asociācijas, </w:t>
            </w:r>
            <w:r w:rsidRPr="00526CAD">
              <w:rPr>
                <w:sz w:val="24"/>
                <w:szCs w:val="24"/>
                <w:lang w:val="lv-LV"/>
              </w:rPr>
              <w:t xml:space="preserve">Latvijas Poligrāfijas uzņēmumu asociācijas, </w:t>
            </w:r>
            <w:r w:rsidRPr="00526CAD">
              <w:rPr>
                <w:rStyle w:val="st1"/>
                <w:sz w:val="24"/>
                <w:szCs w:val="24"/>
                <w:lang w:val="lv-LV"/>
              </w:rPr>
              <w:t>Latvijas Elektrotehnikas un elektronikas rūpniecības asociācijas.</w:t>
            </w:r>
          </w:p>
        </w:tc>
      </w:tr>
      <w:tr w:rsidR="00D7051C" w:rsidRPr="00EF1B0A" w:rsidTr="004E5913">
        <w:tc>
          <w:tcPr>
            <w:tcW w:w="851" w:type="dxa"/>
          </w:tcPr>
          <w:p w:rsidR="00D7051C" w:rsidRPr="00526CAD" w:rsidRDefault="00D7051C" w:rsidP="004E5913">
            <w:pPr>
              <w:rPr>
                <w:rFonts w:eastAsia="Times New Roman"/>
                <w:sz w:val="24"/>
                <w:szCs w:val="24"/>
                <w:lang w:val="lv-LV" w:eastAsia="lv-LV"/>
              </w:rPr>
            </w:pPr>
            <w:r w:rsidRPr="00526CAD">
              <w:rPr>
                <w:rFonts w:eastAsia="Times New Roman"/>
                <w:sz w:val="24"/>
                <w:szCs w:val="24"/>
                <w:lang w:val="lv-LV" w:eastAsia="lv-LV"/>
              </w:rPr>
              <w:lastRenderedPageBreak/>
              <w:t>2.</w:t>
            </w:r>
          </w:p>
        </w:tc>
        <w:tc>
          <w:tcPr>
            <w:tcW w:w="3827" w:type="dxa"/>
            <w:hideMark/>
          </w:tcPr>
          <w:p w:rsidR="00D7051C" w:rsidRPr="00526CAD" w:rsidRDefault="00D7051C" w:rsidP="004E5913">
            <w:pPr>
              <w:rPr>
                <w:rFonts w:eastAsia="Times New Roman"/>
                <w:sz w:val="24"/>
                <w:szCs w:val="24"/>
                <w:lang w:val="lv-LV" w:eastAsia="lv-LV"/>
              </w:rPr>
            </w:pPr>
            <w:r w:rsidRPr="00526CAD">
              <w:rPr>
                <w:sz w:val="24"/>
                <w:szCs w:val="24"/>
              </w:rPr>
              <w:t>Sabiedrības līdzdalība projekta izstrādē</w:t>
            </w:r>
          </w:p>
        </w:tc>
        <w:tc>
          <w:tcPr>
            <w:tcW w:w="4536" w:type="dxa"/>
            <w:hideMark/>
          </w:tcPr>
          <w:p w:rsidR="00D7051C" w:rsidRPr="00526CAD" w:rsidRDefault="00D7051C" w:rsidP="009F22DF">
            <w:pPr>
              <w:ind w:firstLine="485"/>
              <w:jc w:val="both"/>
              <w:rPr>
                <w:rFonts w:eastAsia="Times New Roman"/>
                <w:sz w:val="24"/>
                <w:szCs w:val="24"/>
                <w:lang w:val="lv-LV" w:eastAsia="lv-LV"/>
              </w:rPr>
            </w:pPr>
            <w:r w:rsidRPr="00EF1B0A">
              <w:rPr>
                <w:color w:val="000000"/>
                <w:sz w:val="24"/>
                <w:szCs w:val="24"/>
                <w:lang w:val="lv-LV"/>
              </w:rPr>
              <w:t xml:space="preserve">2012.gada 7.augustā Ekonomikas ministrijā tika organizēta starpinstitūciju sanāksme, lai vienotos starp Ekonomikas ministriju, Finanšu ministriju un </w:t>
            </w:r>
            <w:r w:rsidR="009F22DF" w:rsidRPr="00EF1B0A">
              <w:rPr>
                <w:color w:val="000000"/>
                <w:sz w:val="24"/>
                <w:szCs w:val="24"/>
                <w:lang w:val="lv-LV"/>
              </w:rPr>
              <w:t>finansējumu saņēmējiem</w:t>
            </w:r>
            <w:r w:rsidRPr="00EF1B0A">
              <w:rPr>
                <w:color w:val="000000"/>
                <w:sz w:val="24"/>
                <w:szCs w:val="24"/>
                <w:lang w:val="lv-LV"/>
              </w:rPr>
              <w:t xml:space="preserve"> par izstrādāto MK noteikumu Nr.328 grozījumu </w:t>
            </w:r>
            <w:r w:rsidR="00CA0A26" w:rsidRPr="00EF1B0A">
              <w:rPr>
                <w:color w:val="000000"/>
                <w:sz w:val="24"/>
                <w:szCs w:val="24"/>
                <w:lang w:val="lv-LV"/>
              </w:rPr>
              <w:t xml:space="preserve">gala </w:t>
            </w:r>
            <w:r w:rsidRPr="00EF1B0A">
              <w:rPr>
                <w:color w:val="000000"/>
                <w:sz w:val="24"/>
                <w:szCs w:val="24"/>
                <w:lang w:val="lv-LV"/>
              </w:rPr>
              <w:t xml:space="preserve">redakciju. Minētajā tikšanās reizē piedalījās pārstāvji no </w:t>
            </w:r>
            <w:r w:rsidRPr="00EF1B0A">
              <w:rPr>
                <w:sz w:val="24"/>
                <w:szCs w:val="24"/>
                <w:lang w:val="lv-LV"/>
              </w:rPr>
              <w:t>valsts aģentūras „Latvijas Investīciju un attīstības aģentūra”</w:t>
            </w:r>
            <w:r w:rsidRPr="00EF1B0A">
              <w:rPr>
                <w:color w:val="000000"/>
                <w:sz w:val="24"/>
                <w:szCs w:val="24"/>
                <w:lang w:val="lv-LV"/>
              </w:rPr>
              <w:t xml:space="preserve">, Finanšu ministrijas, </w:t>
            </w:r>
            <w:r w:rsidRPr="00EF1B0A">
              <w:rPr>
                <w:sz w:val="24"/>
                <w:szCs w:val="24"/>
                <w:lang w:val="lv-LV"/>
              </w:rPr>
              <w:t xml:space="preserve">Latvijas Informācijas un komunikācijas tehnoloģiju asociācijas, Latvijas Kokrūpniecības federācijas, </w:t>
            </w:r>
            <w:r w:rsidRPr="00EF1B0A">
              <w:rPr>
                <w:rFonts w:eastAsia="SimSun"/>
                <w:sz w:val="24"/>
                <w:szCs w:val="24"/>
                <w:lang w:val="lv-LV"/>
              </w:rPr>
              <w:t xml:space="preserve">SIA 4idea, </w:t>
            </w:r>
            <w:r w:rsidRPr="00EF1B0A">
              <w:rPr>
                <w:rStyle w:val="st1"/>
                <w:sz w:val="24"/>
                <w:szCs w:val="24"/>
                <w:lang w:val="lv-LV"/>
              </w:rPr>
              <w:t xml:space="preserve">Latvijas </w:t>
            </w:r>
            <w:r w:rsidRPr="00EF1B0A">
              <w:rPr>
                <w:rStyle w:val="st1"/>
                <w:bCs/>
                <w:color w:val="000000"/>
                <w:sz w:val="24"/>
                <w:szCs w:val="24"/>
                <w:lang w:val="lv-LV"/>
              </w:rPr>
              <w:t>Datortehnoloģiju</w:t>
            </w:r>
            <w:r w:rsidRPr="00EF1B0A">
              <w:rPr>
                <w:rStyle w:val="st1"/>
                <w:sz w:val="24"/>
                <w:szCs w:val="24"/>
                <w:lang w:val="lv-LV"/>
              </w:rPr>
              <w:t xml:space="preserve"> asociācijas, Mašīnbūves un Metālapstrādes Rūpniecības asociācijas</w:t>
            </w:r>
            <w:r w:rsidRPr="00EF1B0A">
              <w:rPr>
                <w:rFonts w:eastAsia="SimSun"/>
                <w:sz w:val="24"/>
                <w:szCs w:val="24"/>
                <w:lang w:val="lv-LV"/>
              </w:rPr>
              <w:t xml:space="preserve">, Latvijas Tirdzniecības un rūpniecības kameras, Latvijas Darba devēju konfederācijas, SIA Demarsch, </w:t>
            </w:r>
            <w:r w:rsidRPr="00EF1B0A">
              <w:rPr>
                <w:sz w:val="24"/>
                <w:szCs w:val="24"/>
                <w:lang w:val="lv-LV"/>
              </w:rPr>
              <w:t xml:space="preserve">Latvijas Poligrāfijas uzņēmumu asociācijas, </w:t>
            </w:r>
            <w:r w:rsidRPr="00EF1B0A">
              <w:rPr>
                <w:rStyle w:val="st1"/>
                <w:sz w:val="24"/>
                <w:szCs w:val="24"/>
                <w:lang w:val="lv-LV"/>
              </w:rPr>
              <w:t>Latvijas Elektrotehnikas un elektronikas rūpniecības asociācijas.</w:t>
            </w:r>
          </w:p>
        </w:tc>
      </w:tr>
      <w:tr w:rsidR="00D7051C" w:rsidRPr="00EF1B0A" w:rsidTr="004E5913">
        <w:trPr>
          <w:trHeight w:val="930"/>
        </w:trPr>
        <w:tc>
          <w:tcPr>
            <w:tcW w:w="851" w:type="dxa"/>
          </w:tcPr>
          <w:p w:rsidR="00D7051C" w:rsidRPr="00526CAD" w:rsidRDefault="00D7051C" w:rsidP="004E5913">
            <w:pPr>
              <w:rPr>
                <w:rFonts w:eastAsia="Times New Roman"/>
                <w:sz w:val="24"/>
                <w:szCs w:val="24"/>
                <w:lang w:val="lv-LV" w:eastAsia="lv-LV"/>
              </w:rPr>
            </w:pPr>
            <w:r w:rsidRPr="00526CAD">
              <w:rPr>
                <w:rFonts w:eastAsia="Times New Roman"/>
                <w:sz w:val="24"/>
                <w:szCs w:val="24"/>
                <w:lang w:val="lv-LV" w:eastAsia="lv-LV"/>
              </w:rPr>
              <w:t>3.</w:t>
            </w:r>
          </w:p>
        </w:tc>
        <w:tc>
          <w:tcPr>
            <w:tcW w:w="3827" w:type="dxa"/>
            <w:hideMark/>
          </w:tcPr>
          <w:p w:rsidR="00D7051C" w:rsidRPr="00526CAD" w:rsidRDefault="00D7051C" w:rsidP="004E5913">
            <w:pPr>
              <w:rPr>
                <w:rFonts w:eastAsia="Times New Roman"/>
                <w:sz w:val="24"/>
                <w:szCs w:val="24"/>
                <w:lang w:val="lv-LV" w:eastAsia="lv-LV"/>
              </w:rPr>
            </w:pPr>
            <w:r w:rsidRPr="00526CAD">
              <w:rPr>
                <w:sz w:val="24"/>
                <w:szCs w:val="24"/>
                <w:lang w:val="lv-LV"/>
              </w:rPr>
              <w:t>Sabiedrības līdzdalības rezultāti</w:t>
            </w:r>
          </w:p>
        </w:tc>
        <w:tc>
          <w:tcPr>
            <w:tcW w:w="4536" w:type="dxa"/>
            <w:hideMark/>
          </w:tcPr>
          <w:p w:rsidR="00D7051C" w:rsidRPr="00526CAD" w:rsidRDefault="006A22FE" w:rsidP="00BE515D">
            <w:pPr>
              <w:ind w:firstLine="485"/>
              <w:jc w:val="both"/>
              <w:rPr>
                <w:rFonts w:eastAsia="Times New Roman"/>
                <w:sz w:val="24"/>
                <w:szCs w:val="24"/>
                <w:lang w:val="lv-LV" w:eastAsia="lv-LV"/>
              </w:rPr>
            </w:pPr>
            <w:r w:rsidRPr="00EF1B0A">
              <w:rPr>
                <w:color w:val="000000"/>
                <w:sz w:val="24"/>
                <w:szCs w:val="24"/>
                <w:lang w:val="lv-LV"/>
              </w:rPr>
              <w:t xml:space="preserve">2012.gada 7.augustā starpinstitūciju </w:t>
            </w:r>
            <w:r w:rsidR="00CA0A26" w:rsidRPr="00EF1B0A">
              <w:rPr>
                <w:color w:val="000000"/>
                <w:sz w:val="24"/>
                <w:szCs w:val="24"/>
                <w:lang w:val="lv-LV"/>
              </w:rPr>
              <w:t xml:space="preserve">tikšanās </w:t>
            </w:r>
            <w:r w:rsidRPr="00EF1B0A">
              <w:rPr>
                <w:color w:val="000000"/>
                <w:sz w:val="24"/>
                <w:szCs w:val="24"/>
                <w:lang w:val="lv-LV"/>
              </w:rPr>
              <w:t xml:space="preserve">laikā tika panākta vienošanās par </w:t>
            </w:r>
            <w:r w:rsidR="00F06BE8" w:rsidRPr="00EF1B0A">
              <w:rPr>
                <w:color w:val="000000"/>
                <w:sz w:val="24"/>
                <w:szCs w:val="24"/>
                <w:lang w:val="lv-LV"/>
              </w:rPr>
              <w:t>nesaskaņotajiem</w:t>
            </w:r>
            <w:r w:rsidRPr="00EF1B0A">
              <w:rPr>
                <w:color w:val="000000"/>
                <w:sz w:val="24"/>
                <w:szCs w:val="24"/>
                <w:lang w:val="lv-LV"/>
              </w:rPr>
              <w:t xml:space="preserve"> MK noteikumu Nr.328 grozījumu punktiem. Atbilstoši tam </w:t>
            </w:r>
            <w:r w:rsidRPr="00EF1B0A">
              <w:rPr>
                <w:rFonts w:eastAsia="ヒラギノ角ゴ Pro W3"/>
                <w:sz w:val="24"/>
                <w:lang w:val="lv-LV"/>
              </w:rPr>
              <w:t>attiecībā uz papildus piešķirto virssaistību</w:t>
            </w:r>
            <w:r w:rsidR="00F924ED" w:rsidRPr="00EF1B0A">
              <w:rPr>
                <w:rFonts w:eastAsia="ヒラギノ角ゴ Pro W3"/>
                <w:sz w:val="24"/>
                <w:lang w:val="lv-LV"/>
              </w:rPr>
              <w:t xml:space="preserve"> finansējumu finansējuma saņēmējiem būs jānodrošina, ka vismaz 20 % no šī finansējuma ti</w:t>
            </w:r>
            <w:r w:rsidR="00F06BE8" w:rsidRPr="00EF1B0A">
              <w:rPr>
                <w:rFonts w:eastAsia="ヒラギノ角ゴ Pro W3"/>
                <w:sz w:val="24"/>
                <w:lang w:val="lv-LV"/>
              </w:rPr>
              <w:t>ks</w:t>
            </w:r>
            <w:r w:rsidR="00F924ED" w:rsidRPr="00EF1B0A">
              <w:rPr>
                <w:rFonts w:eastAsia="ヒラギノ角ゴ Pro W3"/>
                <w:sz w:val="24"/>
                <w:lang w:val="lv-LV"/>
              </w:rPr>
              <w:t xml:space="preserve"> izmantoti jauniešu apmācībām (personām līdz </w:t>
            </w:r>
            <w:r w:rsidR="00BE515D" w:rsidRPr="00526CAD">
              <w:rPr>
                <w:rFonts w:eastAsia="ヒラギノ角ゴ Pro W3"/>
                <w:sz w:val="24"/>
                <w:lang w:val="lv-LV"/>
              </w:rPr>
              <w:t>30</w:t>
            </w:r>
            <w:r w:rsidR="00F924ED" w:rsidRPr="00EF1B0A">
              <w:rPr>
                <w:rFonts w:eastAsia="ヒラギノ角ゴ Pro W3"/>
                <w:sz w:val="24"/>
                <w:lang w:val="lv-LV"/>
              </w:rPr>
              <w:t xml:space="preserve"> </w:t>
            </w:r>
            <w:r w:rsidR="00F924ED" w:rsidRPr="00EF1B0A">
              <w:rPr>
                <w:rFonts w:eastAsia="ヒラギノ角ゴ Pro W3"/>
                <w:sz w:val="24"/>
                <w:lang w:val="lv-LV"/>
              </w:rPr>
              <w:lastRenderedPageBreak/>
              <w:t>gadiem), vismaz 15 % ti</w:t>
            </w:r>
            <w:r w:rsidR="00F06BE8" w:rsidRPr="00EF1B0A">
              <w:rPr>
                <w:rFonts w:eastAsia="ヒラギノ角ゴ Pro W3"/>
                <w:sz w:val="24"/>
                <w:lang w:val="lv-LV"/>
              </w:rPr>
              <w:t>ks</w:t>
            </w:r>
            <w:r w:rsidR="00F924ED" w:rsidRPr="00EF1B0A">
              <w:rPr>
                <w:rFonts w:eastAsia="ヒラギノ角ゴ Pro W3"/>
                <w:sz w:val="24"/>
                <w:lang w:val="lv-LV"/>
              </w:rPr>
              <w:t xml:space="preserve"> izmantoti apmācībām Latvijas reģionos - Zemgales, Kurzemes vai Vidzemes plānošanas reģionos,  un vismaz 5 % ti</w:t>
            </w:r>
            <w:r w:rsidR="00F06BE8" w:rsidRPr="00EF1B0A">
              <w:rPr>
                <w:rFonts w:eastAsia="ヒラギノ角ゴ Pro W3"/>
                <w:sz w:val="24"/>
                <w:lang w:val="lv-LV"/>
              </w:rPr>
              <w:t>ks</w:t>
            </w:r>
            <w:r w:rsidR="00F924ED" w:rsidRPr="00EF1B0A">
              <w:rPr>
                <w:rFonts w:eastAsia="ヒラギノ角ゴ Pro W3"/>
                <w:sz w:val="24"/>
                <w:lang w:val="lv-LV"/>
              </w:rPr>
              <w:t xml:space="preserve"> izmantoti apmācībām Latgales plānošanas reģionā.</w:t>
            </w:r>
          </w:p>
        </w:tc>
      </w:tr>
      <w:tr w:rsidR="00D7051C" w:rsidRPr="00526CAD" w:rsidTr="004E5913">
        <w:trPr>
          <w:trHeight w:val="927"/>
        </w:trPr>
        <w:tc>
          <w:tcPr>
            <w:tcW w:w="851" w:type="dxa"/>
          </w:tcPr>
          <w:p w:rsidR="00D7051C" w:rsidRPr="00526CAD" w:rsidRDefault="00D7051C" w:rsidP="004E5913">
            <w:pPr>
              <w:rPr>
                <w:rFonts w:eastAsia="Times New Roman"/>
                <w:sz w:val="24"/>
                <w:szCs w:val="24"/>
                <w:lang w:val="lv-LV" w:eastAsia="lv-LV"/>
              </w:rPr>
            </w:pPr>
            <w:r w:rsidRPr="00526CAD">
              <w:rPr>
                <w:rFonts w:eastAsia="Times New Roman"/>
                <w:sz w:val="24"/>
                <w:szCs w:val="24"/>
                <w:lang w:val="lv-LV" w:eastAsia="lv-LV"/>
              </w:rPr>
              <w:lastRenderedPageBreak/>
              <w:t>4.</w:t>
            </w:r>
          </w:p>
        </w:tc>
        <w:tc>
          <w:tcPr>
            <w:tcW w:w="3827" w:type="dxa"/>
            <w:hideMark/>
          </w:tcPr>
          <w:p w:rsidR="00D7051C" w:rsidRPr="00526CAD" w:rsidRDefault="00F924ED" w:rsidP="004E5913">
            <w:pPr>
              <w:rPr>
                <w:rFonts w:eastAsia="Times New Roman"/>
                <w:sz w:val="24"/>
                <w:szCs w:val="24"/>
                <w:lang w:val="lv-LV" w:eastAsia="lv-LV"/>
              </w:rPr>
            </w:pPr>
            <w:r w:rsidRPr="00526CAD">
              <w:rPr>
                <w:sz w:val="24"/>
                <w:szCs w:val="24"/>
                <w:lang w:val="lv-LV"/>
              </w:rPr>
              <w:t>Saeimas un ekspertu līdzdalība</w:t>
            </w:r>
          </w:p>
        </w:tc>
        <w:tc>
          <w:tcPr>
            <w:tcW w:w="4536" w:type="dxa"/>
            <w:hideMark/>
          </w:tcPr>
          <w:p w:rsidR="00D7051C" w:rsidRPr="00526CAD" w:rsidRDefault="00F924ED" w:rsidP="004E5913">
            <w:pPr>
              <w:ind w:firstLine="284"/>
              <w:jc w:val="both"/>
              <w:rPr>
                <w:rFonts w:eastAsia="Times New Roman"/>
                <w:sz w:val="24"/>
                <w:szCs w:val="24"/>
                <w:lang w:val="lv-LV" w:eastAsia="lv-LV"/>
              </w:rPr>
            </w:pPr>
            <w:r w:rsidRPr="00526CAD">
              <w:rPr>
                <w:sz w:val="24"/>
                <w:szCs w:val="24"/>
                <w:lang w:val="lv-LV"/>
              </w:rPr>
              <w:t>Konsultācijas nebija nepieciešams rīkot.</w:t>
            </w:r>
          </w:p>
        </w:tc>
      </w:tr>
      <w:tr w:rsidR="00D7051C" w:rsidRPr="00526CAD" w:rsidTr="004E5913">
        <w:trPr>
          <w:trHeight w:val="912"/>
        </w:trPr>
        <w:tc>
          <w:tcPr>
            <w:tcW w:w="851" w:type="dxa"/>
          </w:tcPr>
          <w:p w:rsidR="00D7051C" w:rsidRPr="00526CAD" w:rsidRDefault="00D7051C" w:rsidP="004E5913">
            <w:pPr>
              <w:rPr>
                <w:rFonts w:eastAsia="Times New Roman"/>
                <w:sz w:val="24"/>
                <w:szCs w:val="24"/>
                <w:lang w:val="lv-LV" w:eastAsia="lv-LV"/>
              </w:rPr>
            </w:pPr>
            <w:r w:rsidRPr="00526CAD">
              <w:rPr>
                <w:rFonts w:eastAsia="Times New Roman"/>
                <w:sz w:val="24"/>
                <w:szCs w:val="24"/>
                <w:lang w:val="lv-LV" w:eastAsia="lv-LV"/>
              </w:rPr>
              <w:t>5.</w:t>
            </w:r>
          </w:p>
        </w:tc>
        <w:tc>
          <w:tcPr>
            <w:tcW w:w="3827" w:type="dxa"/>
            <w:hideMark/>
          </w:tcPr>
          <w:p w:rsidR="00D7051C" w:rsidRPr="00526CAD" w:rsidRDefault="00F924ED" w:rsidP="004E5913">
            <w:pPr>
              <w:rPr>
                <w:rFonts w:eastAsia="Times New Roman"/>
                <w:sz w:val="24"/>
                <w:szCs w:val="24"/>
                <w:lang w:val="lv-LV" w:eastAsia="lv-LV"/>
              </w:rPr>
            </w:pPr>
            <w:r w:rsidRPr="00526CAD">
              <w:rPr>
                <w:sz w:val="24"/>
                <w:szCs w:val="24"/>
                <w:lang w:val="lv-LV"/>
              </w:rPr>
              <w:t>Cita informācija</w:t>
            </w:r>
          </w:p>
        </w:tc>
        <w:tc>
          <w:tcPr>
            <w:tcW w:w="4536" w:type="dxa"/>
            <w:hideMark/>
          </w:tcPr>
          <w:p w:rsidR="00D7051C" w:rsidRPr="00526CAD" w:rsidRDefault="00F924ED" w:rsidP="004E5913">
            <w:pPr>
              <w:ind w:firstLine="284"/>
              <w:jc w:val="both"/>
              <w:rPr>
                <w:rFonts w:eastAsia="Times New Roman"/>
                <w:sz w:val="24"/>
                <w:szCs w:val="24"/>
                <w:lang w:val="lv-LV" w:eastAsia="lv-LV"/>
              </w:rPr>
            </w:pPr>
            <w:r w:rsidRPr="00526CAD">
              <w:rPr>
                <w:rFonts w:eastAsia="Times New Roman"/>
                <w:iCs/>
                <w:sz w:val="24"/>
                <w:szCs w:val="24"/>
                <w:lang w:val="lv-LV" w:eastAsia="lv-LV"/>
              </w:rPr>
              <w:t>Nav. </w:t>
            </w:r>
          </w:p>
        </w:tc>
      </w:tr>
    </w:tbl>
    <w:p w:rsidR="00D7051C" w:rsidRPr="00526CAD" w:rsidRDefault="00D7051C" w:rsidP="00CE5A53">
      <w:pPr>
        <w:tabs>
          <w:tab w:val="left" w:pos="7655"/>
        </w:tabs>
        <w:jc w:val="both"/>
        <w:rPr>
          <w:bCs/>
          <w:sz w:val="24"/>
          <w:szCs w:val="24"/>
          <w:lang w:val="lv-LV"/>
        </w:rPr>
      </w:pPr>
    </w:p>
    <w:p w:rsidR="00926E4B" w:rsidRPr="00526CAD" w:rsidRDefault="00926E4B" w:rsidP="00CE5A53">
      <w:pPr>
        <w:tabs>
          <w:tab w:val="left" w:pos="7655"/>
        </w:tabs>
        <w:jc w:val="both"/>
        <w:rPr>
          <w:bCs/>
          <w:sz w:val="24"/>
          <w:szCs w:val="24"/>
          <w:lang w:val="lv-LV"/>
        </w:rPr>
      </w:pPr>
    </w:p>
    <w:tbl>
      <w:tblPr>
        <w:tblW w:w="9214" w:type="dxa"/>
        <w:tblInd w:w="-11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851"/>
        <w:gridCol w:w="3827"/>
        <w:gridCol w:w="4536"/>
      </w:tblGrid>
      <w:tr w:rsidR="007D3113" w:rsidRPr="00EF1B0A" w:rsidTr="00762978">
        <w:tc>
          <w:tcPr>
            <w:tcW w:w="9214" w:type="dxa"/>
            <w:gridSpan w:val="3"/>
          </w:tcPr>
          <w:p w:rsidR="007D3113" w:rsidRPr="00526CAD" w:rsidRDefault="007D3113" w:rsidP="00762978">
            <w:pPr>
              <w:jc w:val="center"/>
              <w:rPr>
                <w:rFonts w:eastAsia="Times New Roman"/>
                <w:b/>
                <w:sz w:val="24"/>
                <w:szCs w:val="24"/>
                <w:lang w:val="lv-LV" w:eastAsia="lv-LV"/>
              </w:rPr>
            </w:pPr>
            <w:r w:rsidRPr="00526CAD">
              <w:rPr>
                <w:rFonts w:eastAsia="Times New Roman"/>
                <w:b/>
                <w:sz w:val="24"/>
                <w:szCs w:val="24"/>
                <w:lang w:val="lv-LV" w:eastAsia="lv-LV"/>
              </w:rPr>
              <w:t>VII. Tiesību akta projekta izpildes nodrošināšana un tās ietekme uz institūcijām</w:t>
            </w:r>
          </w:p>
        </w:tc>
      </w:tr>
      <w:tr w:rsidR="007D3113" w:rsidRPr="00EF1B0A" w:rsidTr="007D3113">
        <w:tc>
          <w:tcPr>
            <w:tcW w:w="851" w:type="dxa"/>
          </w:tcPr>
          <w:p w:rsidR="007D3113" w:rsidRPr="00526CAD" w:rsidRDefault="007D3113" w:rsidP="00762978">
            <w:pPr>
              <w:rPr>
                <w:rFonts w:eastAsia="Times New Roman"/>
                <w:sz w:val="24"/>
                <w:szCs w:val="24"/>
                <w:lang w:val="lv-LV" w:eastAsia="lv-LV"/>
              </w:rPr>
            </w:pPr>
            <w:r w:rsidRPr="00526CAD">
              <w:rPr>
                <w:rFonts w:eastAsia="Times New Roman"/>
                <w:sz w:val="24"/>
                <w:szCs w:val="24"/>
                <w:lang w:val="lv-LV" w:eastAsia="lv-LV"/>
              </w:rPr>
              <w:t>1.</w:t>
            </w:r>
          </w:p>
        </w:tc>
        <w:tc>
          <w:tcPr>
            <w:tcW w:w="3827" w:type="dxa"/>
            <w:hideMark/>
          </w:tcPr>
          <w:p w:rsidR="007D3113" w:rsidRPr="00526CAD" w:rsidRDefault="007D3113" w:rsidP="00762978">
            <w:pPr>
              <w:rPr>
                <w:rFonts w:eastAsia="Times New Roman"/>
                <w:sz w:val="24"/>
                <w:szCs w:val="24"/>
                <w:lang w:val="lv-LV" w:eastAsia="lv-LV"/>
              </w:rPr>
            </w:pPr>
            <w:r w:rsidRPr="00526CAD">
              <w:rPr>
                <w:rFonts w:eastAsia="Times New Roman"/>
                <w:sz w:val="24"/>
                <w:szCs w:val="24"/>
                <w:lang w:val="lv-LV" w:eastAsia="lv-LV"/>
              </w:rPr>
              <w:t>Projekta izpildē iesaistītās institūcijas</w:t>
            </w:r>
          </w:p>
        </w:tc>
        <w:tc>
          <w:tcPr>
            <w:tcW w:w="4536" w:type="dxa"/>
            <w:hideMark/>
          </w:tcPr>
          <w:p w:rsidR="007D3113" w:rsidRPr="00526CAD" w:rsidRDefault="007D3113" w:rsidP="00762978">
            <w:pPr>
              <w:ind w:firstLine="485"/>
              <w:jc w:val="both"/>
              <w:rPr>
                <w:rFonts w:eastAsia="Times New Roman"/>
                <w:sz w:val="24"/>
                <w:szCs w:val="24"/>
                <w:lang w:val="lv-LV" w:eastAsia="lv-LV"/>
              </w:rPr>
            </w:pPr>
            <w:r w:rsidRPr="00526CAD">
              <w:rPr>
                <w:rFonts w:eastAsia="Times New Roman"/>
                <w:sz w:val="24"/>
                <w:szCs w:val="24"/>
                <w:lang w:val="lv-LV" w:eastAsia="lv-LV"/>
              </w:rPr>
              <w:t>Projekta izpildi nodrošinās valsts aģentūra „Latvijas Investīciju un attīstības aģentūra”.</w:t>
            </w:r>
          </w:p>
        </w:tc>
      </w:tr>
      <w:tr w:rsidR="007D3113" w:rsidRPr="00EF1B0A" w:rsidTr="007D3113">
        <w:tc>
          <w:tcPr>
            <w:tcW w:w="851" w:type="dxa"/>
          </w:tcPr>
          <w:p w:rsidR="007D3113" w:rsidRPr="00526CAD" w:rsidRDefault="007D3113" w:rsidP="00762978">
            <w:pPr>
              <w:rPr>
                <w:rFonts w:eastAsia="Times New Roman"/>
                <w:sz w:val="24"/>
                <w:szCs w:val="24"/>
                <w:lang w:val="lv-LV" w:eastAsia="lv-LV"/>
              </w:rPr>
            </w:pPr>
            <w:r w:rsidRPr="00526CAD">
              <w:rPr>
                <w:rFonts w:eastAsia="Times New Roman"/>
                <w:sz w:val="24"/>
                <w:szCs w:val="24"/>
                <w:lang w:val="lv-LV" w:eastAsia="lv-LV"/>
              </w:rPr>
              <w:t>2.</w:t>
            </w:r>
          </w:p>
        </w:tc>
        <w:tc>
          <w:tcPr>
            <w:tcW w:w="3827" w:type="dxa"/>
            <w:hideMark/>
          </w:tcPr>
          <w:p w:rsidR="007D3113" w:rsidRPr="00526CAD" w:rsidRDefault="007D3113" w:rsidP="00762978">
            <w:pPr>
              <w:rPr>
                <w:rFonts w:eastAsia="Times New Roman"/>
                <w:sz w:val="24"/>
                <w:szCs w:val="24"/>
                <w:lang w:val="lv-LV" w:eastAsia="lv-LV"/>
              </w:rPr>
            </w:pPr>
            <w:r w:rsidRPr="00526CAD">
              <w:rPr>
                <w:rFonts w:eastAsia="Times New Roman"/>
                <w:sz w:val="24"/>
                <w:szCs w:val="24"/>
                <w:lang w:val="lv-LV" w:eastAsia="lv-LV"/>
              </w:rPr>
              <w:t>Projekta izpildes ietekme uz pārvaldes funkcijā</w:t>
            </w:r>
          </w:p>
        </w:tc>
        <w:tc>
          <w:tcPr>
            <w:tcW w:w="4536" w:type="dxa"/>
            <w:hideMark/>
          </w:tcPr>
          <w:p w:rsidR="007D3113" w:rsidRPr="00526CAD" w:rsidRDefault="007D3113" w:rsidP="00762978">
            <w:pPr>
              <w:ind w:firstLine="485"/>
              <w:jc w:val="both"/>
              <w:rPr>
                <w:rFonts w:eastAsia="Times New Roman"/>
                <w:sz w:val="24"/>
                <w:szCs w:val="24"/>
                <w:lang w:val="lv-LV" w:eastAsia="lv-LV"/>
              </w:rPr>
            </w:pPr>
            <w:r w:rsidRPr="00526CAD">
              <w:rPr>
                <w:rFonts w:eastAsia="Times New Roman"/>
                <w:sz w:val="24"/>
                <w:szCs w:val="24"/>
                <w:lang w:val="lv-LV" w:eastAsia="lv-LV"/>
              </w:rPr>
              <w:t>Projekta izpilde tiks nodrošināta valsts aģentūras „Latvijas Investīciju un attīstības aģentūra” funkciju ietvaros.</w:t>
            </w:r>
          </w:p>
        </w:tc>
      </w:tr>
      <w:tr w:rsidR="007D3113" w:rsidRPr="00EF1B0A" w:rsidTr="007D3113">
        <w:trPr>
          <w:trHeight w:val="930"/>
        </w:trPr>
        <w:tc>
          <w:tcPr>
            <w:tcW w:w="851" w:type="dxa"/>
          </w:tcPr>
          <w:p w:rsidR="007D3113" w:rsidRPr="00526CAD" w:rsidRDefault="007D3113" w:rsidP="00762978">
            <w:pPr>
              <w:rPr>
                <w:rFonts w:eastAsia="Times New Roman"/>
                <w:sz w:val="24"/>
                <w:szCs w:val="24"/>
                <w:lang w:val="lv-LV" w:eastAsia="lv-LV"/>
              </w:rPr>
            </w:pPr>
            <w:r w:rsidRPr="00526CAD">
              <w:rPr>
                <w:rFonts w:eastAsia="Times New Roman"/>
                <w:sz w:val="24"/>
                <w:szCs w:val="24"/>
                <w:lang w:val="lv-LV" w:eastAsia="lv-LV"/>
              </w:rPr>
              <w:t>3.</w:t>
            </w:r>
          </w:p>
        </w:tc>
        <w:tc>
          <w:tcPr>
            <w:tcW w:w="3827" w:type="dxa"/>
            <w:hideMark/>
          </w:tcPr>
          <w:p w:rsidR="007D3113" w:rsidRPr="00526CAD" w:rsidRDefault="007D3113" w:rsidP="00762978">
            <w:pPr>
              <w:rPr>
                <w:rFonts w:eastAsia="Times New Roman"/>
                <w:sz w:val="24"/>
                <w:szCs w:val="24"/>
                <w:lang w:val="lv-LV" w:eastAsia="lv-LV"/>
              </w:rPr>
            </w:pPr>
            <w:r w:rsidRPr="00526CAD">
              <w:rPr>
                <w:rFonts w:eastAsia="Times New Roman"/>
                <w:sz w:val="24"/>
                <w:szCs w:val="24"/>
                <w:lang w:val="lv-LV" w:eastAsia="lv-LV"/>
              </w:rPr>
              <w:t>Projekta izpildes ietekme uz pārvaldes institucionālo struktūru. Jaunu institūciju izveide</w:t>
            </w:r>
          </w:p>
        </w:tc>
        <w:tc>
          <w:tcPr>
            <w:tcW w:w="4536" w:type="dxa"/>
            <w:hideMark/>
          </w:tcPr>
          <w:p w:rsidR="007D3113" w:rsidRPr="00526CAD" w:rsidRDefault="007D3113" w:rsidP="00762978">
            <w:pPr>
              <w:ind w:firstLine="485"/>
              <w:jc w:val="both"/>
              <w:rPr>
                <w:rFonts w:eastAsia="Times New Roman"/>
                <w:sz w:val="24"/>
                <w:szCs w:val="24"/>
                <w:lang w:val="lv-LV" w:eastAsia="lv-LV"/>
              </w:rPr>
            </w:pPr>
            <w:r w:rsidRPr="00526CAD">
              <w:rPr>
                <w:rFonts w:eastAsia="Times New Roman"/>
                <w:sz w:val="24"/>
                <w:szCs w:val="24"/>
                <w:lang w:val="lv-LV" w:eastAsia="lv-LV"/>
              </w:rPr>
              <w:t>Netiks radītas jaunas institūcijas, funkcijas tiks izpildītas valsts aģentūras „Latvijas Investīciju un attīstības aģentūra” funkciju ietvaros.</w:t>
            </w:r>
          </w:p>
        </w:tc>
      </w:tr>
      <w:tr w:rsidR="007D3113" w:rsidRPr="00526CAD" w:rsidTr="007D3113">
        <w:trPr>
          <w:trHeight w:val="927"/>
        </w:trPr>
        <w:tc>
          <w:tcPr>
            <w:tcW w:w="851" w:type="dxa"/>
          </w:tcPr>
          <w:p w:rsidR="007D3113" w:rsidRPr="00526CAD" w:rsidRDefault="007D3113" w:rsidP="00762978">
            <w:pPr>
              <w:rPr>
                <w:rFonts w:eastAsia="Times New Roman"/>
                <w:sz w:val="24"/>
                <w:szCs w:val="24"/>
                <w:lang w:val="lv-LV" w:eastAsia="lv-LV"/>
              </w:rPr>
            </w:pPr>
            <w:r w:rsidRPr="00526CAD">
              <w:rPr>
                <w:rFonts w:eastAsia="Times New Roman"/>
                <w:sz w:val="24"/>
                <w:szCs w:val="24"/>
                <w:lang w:val="lv-LV" w:eastAsia="lv-LV"/>
              </w:rPr>
              <w:t>4.</w:t>
            </w:r>
          </w:p>
        </w:tc>
        <w:tc>
          <w:tcPr>
            <w:tcW w:w="3827" w:type="dxa"/>
            <w:hideMark/>
          </w:tcPr>
          <w:p w:rsidR="007D3113" w:rsidRPr="00526CAD" w:rsidRDefault="007D3113" w:rsidP="00762978">
            <w:pPr>
              <w:rPr>
                <w:rFonts w:eastAsia="Times New Roman"/>
                <w:sz w:val="24"/>
                <w:szCs w:val="24"/>
                <w:lang w:val="lv-LV" w:eastAsia="lv-LV"/>
              </w:rPr>
            </w:pPr>
            <w:r w:rsidRPr="00526CAD">
              <w:rPr>
                <w:rFonts w:eastAsia="Times New Roman"/>
                <w:sz w:val="24"/>
                <w:szCs w:val="24"/>
                <w:lang w:val="lv-LV" w:eastAsia="lv-LV"/>
              </w:rPr>
              <w:t>Projekta izpildes ietekmes uz pārvaldes institucionālo struktūru. Esošu institūciju likvidācija</w:t>
            </w:r>
          </w:p>
        </w:tc>
        <w:tc>
          <w:tcPr>
            <w:tcW w:w="4536" w:type="dxa"/>
            <w:hideMark/>
          </w:tcPr>
          <w:p w:rsidR="007D3113" w:rsidRPr="00526CAD" w:rsidRDefault="007D3113" w:rsidP="00762978">
            <w:pPr>
              <w:ind w:firstLine="284"/>
              <w:jc w:val="both"/>
              <w:rPr>
                <w:rFonts w:eastAsia="Times New Roman"/>
                <w:sz w:val="24"/>
                <w:szCs w:val="24"/>
                <w:lang w:val="lv-LV" w:eastAsia="lv-LV"/>
              </w:rPr>
            </w:pPr>
            <w:r w:rsidRPr="00526CAD">
              <w:rPr>
                <w:rFonts w:eastAsia="Times New Roman"/>
                <w:iCs/>
                <w:sz w:val="24"/>
                <w:szCs w:val="24"/>
                <w:lang w:val="lv-LV" w:eastAsia="lv-LV"/>
              </w:rPr>
              <w:t>Projekts šo jomu neskar. </w:t>
            </w:r>
          </w:p>
        </w:tc>
      </w:tr>
      <w:tr w:rsidR="007D3113" w:rsidRPr="00526CAD" w:rsidTr="007D3113">
        <w:trPr>
          <w:trHeight w:val="912"/>
        </w:trPr>
        <w:tc>
          <w:tcPr>
            <w:tcW w:w="851" w:type="dxa"/>
          </w:tcPr>
          <w:p w:rsidR="007D3113" w:rsidRPr="00526CAD" w:rsidRDefault="007D3113" w:rsidP="00762978">
            <w:pPr>
              <w:rPr>
                <w:rFonts w:eastAsia="Times New Roman"/>
                <w:sz w:val="24"/>
                <w:szCs w:val="24"/>
                <w:lang w:val="lv-LV" w:eastAsia="lv-LV"/>
              </w:rPr>
            </w:pPr>
            <w:r w:rsidRPr="00526CAD">
              <w:rPr>
                <w:rFonts w:eastAsia="Times New Roman"/>
                <w:sz w:val="24"/>
                <w:szCs w:val="24"/>
                <w:lang w:val="lv-LV" w:eastAsia="lv-LV"/>
              </w:rPr>
              <w:t>5.</w:t>
            </w:r>
          </w:p>
        </w:tc>
        <w:tc>
          <w:tcPr>
            <w:tcW w:w="3827" w:type="dxa"/>
            <w:hideMark/>
          </w:tcPr>
          <w:p w:rsidR="007D3113" w:rsidRPr="00526CAD" w:rsidRDefault="007D3113" w:rsidP="00762978">
            <w:pPr>
              <w:rPr>
                <w:rFonts w:eastAsia="Times New Roman"/>
                <w:sz w:val="24"/>
                <w:szCs w:val="24"/>
                <w:lang w:val="lv-LV" w:eastAsia="lv-LV"/>
              </w:rPr>
            </w:pPr>
            <w:r w:rsidRPr="00526CAD">
              <w:rPr>
                <w:rFonts w:eastAsia="Times New Roman"/>
                <w:sz w:val="24"/>
                <w:szCs w:val="24"/>
                <w:lang w:val="lv-LV" w:eastAsia="lv-LV"/>
              </w:rPr>
              <w:t>Projekta izpildes ietekmes uz pārvaldes institucionālo struktūru. Esošu institūciju reorganizācija</w:t>
            </w:r>
          </w:p>
        </w:tc>
        <w:tc>
          <w:tcPr>
            <w:tcW w:w="4536" w:type="dxa"/>
            <w:hideMark/>
          </w:tcPr>
          <w:p w:rsidR="007D3113" w:rsidRPr="00526CAD" w:rsidRDefault="007D3113" w:rsidP="00762978">
            <w:pPr>
              <w:ind w:firstLine="284"/>
              <w:jc w:val="both"/>
              <w:rPr>
                <w:rFonts w:eastAsia="Times New Roman"/>
                <w:sz w:val="24"/>
                <w:szCs w:val="24"/>
                <w:lang w:val="lv-LV" w:eastAsia="lv-LV"/>
              </w:rPr>
            </w:pPr>
            <w:r w:rsidRPr="00526CAD">
              <w:rPr>
                <w:rFonts w:eastAsia="Times New Roman"/>
                <w:iCs/>
                <w:sz w:val="24"/>
                <w:szCs w:val="24"/>
                <w:lang w:val="lv-LV" w:eastAsia="lv-LV"/>
              </w:rPr>
              <w:t>Projekts šo jomu neskar. </w:t>
            </w:r>
          </w:p>
        </w:tc>
      </w:tr>
      <w:tr w:rsidR="007D3113" w:rsidRPr="00526CAD" w:rsidTr="007D3113">
        <w:tc>
          <w:tcPr>
            <w:tcW w:w="851" w:type="dxa"/>
          </w:tcPr>
          <w:p w:rsidR="007D3113" w:rsidRPr="00526CAD" w:rsidRDefault="007D3113" w:rsidP="00762978">
            <w:pPr>
              <w:rPr>
                <w:rFonts w:eastAsia="Times New Roman"/>
                <w:sz w:val="24"/>
                <w:szCs w:val="24"/>
                <w:lang w:val="lv-LV" w:eastAsia="lv-LV"/>
              </w:rPr>
            </w:pPr>
            <w:r w:rsidRPr="00526CAD">
              <w:rPr>
                <w:rFonts w:eastAsia="Times New Roman"/>
                <w:sz w:val="24"/>
                <w:szCs w:val="24"/>
                <w:lang w:val="lv-LV" w:eastAsia="lv-LV"/>
              </w:rPr>
              <w:t>6.</w:t>
            </w:r>
          </w:p>
        </w:tc>
        <w:tc>
          <w:tcPr>
            <w:tcW w:w="3827" w:type="dxa"/>
            <w:hideMark/>
          </w:tcPr>
          <w:p w:rsidR="007D3113" w:rsidRPr="00526CAD" w:rsidRDefault="007D3113" w:rsidP="00762978">
            <w:pPr>
              <w:rPr>
                <w:rFonts w:eastAsia="Times New Roman"/>
                <w:sz w:val="24"/>
                <w:szCs w:val="24"/>
                <w:lang w:val="lv-LV" w:eastAsia="lv-LV"/>
              </w:rPr>
            </w:pPr>
            <w:r w:rsidRPr="00526CAD">
              <w:rPr>
                <w:rFonts w:eastAsia="Times New Roman"/>
                <w:sz w:val="24"/>
                <w:szCs w:val="24"/>
                <w:lang w:val="lv-LV" w:eastAsia="lv-LV"/>
              </w:rPr>
              <w:t>Cita informācija</w:t>
            </w:r>
          </w:p>
        </w:tc>
        <w:tc>
          <w:tcPr>
            <w:tcW w:w="4536" w:type="dxa"/>
            <w:hideMark/>
          </w:tcPr>
          <w:p w:rsidR="007D3113" w:rsidRPr="00526CAD" w:rsidRDefault="007D3113" w:rsidP="00762978">
            <w:pPr>
              <w:ind w:firstLine="284"/>
              <w:rPr>
                <w:rFonts w:eastAsia="Times New Roman"/>
                <w:sz w:val="24"/>
                <w:szCs w:val="24"/>
                <w:lang w:val="lv-LV" w:eastAsia="lv-LV"/>
              </w:rPr>
            </w:pPr>
            <w:r w:rsidRPr="00526CAD">
              <w:rPr>
                <w:rFonts w:eastAsia="Times New Roman"/>
                <w:sz w:val="24"/>
                <w:szCs w:val="24"/>
                <w:lang w:val="lv-LV" w:eastAsia="lv-LV"/>
              </w:rPr>
              <w:t>Nav.</w:t>
            </w:r>
          </w:p>
        </w:tc>
      </w:tr>
    </w:tbl>
    <w:p w:rsidR="00CE5A53" w:rsidRDefault="00CE5A53" w:rsidP="00CE5A53">
      <w:pPr>
        <w:tabs>
          <w:tab w:val="left" w:pos="7655"/>
        </w:tabs>
        <w:jc w:val="both"/>
        <w:rPr>
          <w:bCs/>
          <w:sz w:val="24"/>
          <w:szCs w:val="24"/>
          <w:lang w:val="lv-LV"/>
        </w:rPr>
      </w:pPr>
    </w:p>
    <w:p w:rsidR="00EF1B0A" w:rsidRPr="00526CAD" w:rsidRDefault="00EF1B0A" w:rsidP="00CE5A53">
      <w:pPr>
        <w:tabs>
          <w:tab w:val="left" w:pos="7655"/>
        </w:tabs>
        <w:jc w:val="both"/>
        <w:rPr>
          <w:bCs/>
          <w:sz w:val="24"/>
          <w:szCs w:val="24"/>
          <w:lang w:val="lv-LV"/>
        </w:rPr>
      </w:pPr>
    </w:p>
    <w:p w:rsidR="00403EAD" w:rsidRPr="00526CAD" w:rsidRDefault="00C82B27" w:rsidP="00CE5A53">
      <w:pPr>
        <w:tabs>
          <w:tab w:val="left" w:pos="7655"/>
        </w:tabs>
        <w:jc w:val="both"/>
        <w:rPr>
          <w:bCs/>
          <w:sz w:val="24"/>
          <w:szCs w:val="24"/>
          <w:lang w:val="lv-LV"/>
        </w:rPr>
      </w:pPr>
      <w:r w:rsidRPr="00526CAD">
        <w:rPr>
          <w:bCs/>
          <w:sz w:val="24"/>
          <w:szCs w:val="24"/>
          <w:lang w:val="lv-LV"/>
        </w:rPr>
        <w:t>Ekonomikas ministrs</w:t>
      </w:r>
      <w:r w:rsidRPr="00526CAD">
        <w:rPr>
          <w:bCs/>
          <w:sz w:val="24"/>
          <w:szCs w:val="24"/>
          <w:lang w:val="lv-LV"/>
        </w:rPr>
        <w:tab/>
      </w:r>
      <w:r w:rsidR="005814D0" w:rsidRPr="00526CAD">
        <w:rPr>
          <w:bCs/>
          <w:sz w:val="24"/>
          <w:szCs w:val="24"/>
          <w:lang w:val="lv-LV"/>
        </w:rPr>
        <w:t>D.Pavļuts</w:t>
      </w:r>
    </w:p>
    <w:p w:rsidR="00860FDE" w:rsidRPr="00526CAD" w:rsidRDefault="00860FDE" w:rsidP="00CE5A53">
      <w:pPr>
        <w:pStyle w:val="EnvelopeReturn"/>
        <w:jc w:val="both"/>
        <w:rPr>
          <w:rFonts w:ascii="Times New Roman" w:hAnsi="Times New Roman"/>
          <w:color w:val="000000"/>
          <w:sz w:val="24"/>
          <w:szCs w:val="24"/>
          <w:lang w:val="lv-LV"/>
        </w:rPr>
      </w:pPr>
    </w:p>
    <w:p w:rsidR="006521EE" w:rsidRPr="00526CAD" w:rsidRDefault="006521EE" w:rsidP="00CE5A53">
      <w:pPr>
        <w:pStyle w:val="EnvelopeReturn"/>
        <w:jc w:val="both"/>
        <w:rPr>
          <w:rFonts w:ascii="Times New Roman" w:hAnsi="Times New Roman"/>
          <w:color w:val="000000"/>
          <w:sz w:val="24"/>
          <w:szCs w:val="24"/>
          <w:lang w:val="lv-LV"/>
        </w:rPr>
      </w:pPr>
    </w:p>
    <w:p w:rsidR="00403EAD" w:rsidRPr="00526CAD" w:rsidRDefault="00C82B27" w:rsidP="00CE5A53">
      <w:pPr>
        <w:pStyle w:val="EnvelopeReturn"/>
        <w:jc w:val="both"/>
        <w:rPr>
          <w:rFonts w:ascii="Times New Roman" w:hAnsi="Times New Roman"/>
          <w:color w:val="000000"/>
          <w:sz w:val="24"/>
          <w:szCs w:val="24"/>
          <w:lang w:val="lv-LV"/>
        </w:rPr>
      </w:pPr>
      <w:r w:rsidRPr="00526CAD">
        <w:rPr>
          <w:rFonts w:ascii="Times New Roman" w:hAnsi="Times New Roman"/>
          <w:color w:val="000000"/>
          <w:sz w:val="24"/>
          <w:szCs w:val="24"/>
          <w:lang w:val="lv-LV"/>
        </w:rPr>
        <w:t>Vīza: Valsts sekretār</w:t>
      </w:r>
      <w:r w:rsidR="0054660D" w:rsidRPr="00526CAD">
        <w:rPr>
          <w:rFonts w:ascii="Times New Roman" w:hAnsi="Times New Roman"/>
          <w:color w:val="000000"/>
          <w:sz w:val="24"/>
          <w:szCs w:val="24"/>
          <w:lang w:val="lv-LV"/>
        </w:rPr>
        <w:t>s</w:t>
      </w:r>
      <w:r w:rsidR="0054660D" w:rsidRPr="00526CAD">
        <w:rPr>
          <w:rFonts w:ascii="Times New Roman" w:hAnsi="Times New Roman"/>
          <w:color w:val="000000"/>
          <w:sz w:val="24"/>
          <w:szCs w:val="24"/>
          <w:lang w:val="lv-LV"/>
        </w:rPr>
        <w:tab/>
      </w:r>
      <w:r w:rsidRPr="00526CAD">
        <w:rPr>
          <w:rFonts w:ascii="Times New Roman" w:hAnsi="Times New Roman"/>
          <w:color w:val="000000"/>
          <w:sz w:val="24"/>
          <w:szCs w:val="24"/>
          <w:lang w:val="lv-LV"/>
        </w:rPr>
        <w:tab/>
      </w:r>
      <w:r w:rsidRPr="00526CAD">
        <w:rPr>
          <w:rFonts w:ascii="Times New Roman" w:hAnsi="Times New Roman"/>
          <w:color w:val="000000"/>
          <w:sz w:val="24"/>
          <w:szCs w:val="24"/>
          <w:lang w:val="lv-LV"/>
        </w:rPr>
        <w:tab/>
      </w:r>
      <w:r w:rsidRPr="00526CAD">
        <w:rPr>
          <w:rFonts w:ascii="Times New Roman" w:hAnsi="Times New Roman"/>
          <w:color w:val="000000"/>
          <w:sz w:val="24"/>
          <w:szCs w:val="24"/>
          <w:lang w:val="lv-LV"/>
        </w:rPr>
        <w:tab/>
      </w:r>
      <w:r w:rsidRPr="00526CAD">
        <w:rPr>
          <w:rFonts w:ascii="Times New Roman" w:hAnsi="Times New Roman"/>
          <w:color w:val="000000"/>
          <w:sz w:val="24"/>
          <w:szCs w:val="24"/>
          <w:lang w:val="lv-LV"/>
        </w:rPr>
        <w:tab/>
      </w:r>
      <w:r w:rsidRPr="00526CAD">
        <w:rPr>
          <w:rFonts w:ascii="Times New Roman" w:hAnsi="Times New Roman"/>
          <w:color w:val="000000"/>
          <w:sz w:val="24"/>
          <w:szCs w:val="24"/>
          <w:lang w:val="lv-LV"/>
        </w:rPr>
        <w:tab/>
      </w:r>
      <w:r w:rsidRPr="00526CAD">
        <w:rPr>
          <w:rFonts w:ascii="Times New Roman" w:hAnsi="Times New Roman"/>
          <w:color w:val="000000"/>
          <w:sz w:val="24"/>
          <w:szCs w:val="24"/>
          <w:lang w:val="lv-LV"/>
        </w:rPr>
        <w:tab/>
        <w:t xml:space="preserve">      </w:t>
      </w:r>
      <w:r w:rsidR="00143392" w:rsidRPr="00526CAD">
        <w:rPr>
          <w:rFonts w:ascii="Times New Roman" w:hAnsi="Times New Roman"/>
          <w:color w:val="000000"/>
          <w:sz w:val="24"/>
          <w:szCs w:val="24"/>
          <w:lang w:val="lv-LV"/>
        </w:rPr>
        <w:tab/>
      </w:r>
      <w:r w:rsidR="0054660D" w:rsidRPr="00526CAD">
        <w:rPr>
          <w:rFonts w:ascii="Times New Roman" w:hAnsi="Times New Roman"/>
          <w:color w:val="000000"/>
          <w:sz w:val="24"/>
          <w:szCs w:val="24"/>
          <w:lang w:val="lv-LV"/>
        </w:rPr>
        <w:tab/>
        <w:t>J</w:t>
      </w:r>
      <w:r w:rsidRPr="00526CAD">
        <w:rPr>
          <w:rFonts w:ascii="Times New Roman" w:hAnsi="Times New Roman"/>
          <w:color w:val="000000"/>
          <w:sz w:val="24"/>
          <w:szCs w:val="24"/>
          <w:lang w:val="lv-LV"/>
        </w:rPr>
        <w:t>.</w:t>
      </w:r>
      <w:r w:rsidR="0054660D" w:rsidRPr="00526CAD">
        <w:rPr>
          <w:rFonts w:ascii="Times New Roman" w:hAnsi="Times New Roman"/>
          <w:color w:val="000000"/>
          <w:sz w:val="24"/>
          <w:szCs w:val="24"/>
          <w:lang w:val="lv-LV"/>
        </w:rPr>
        <w:t>Pūce</w:t>
      </w:r>
    </w:p>
    <w:p w:rsidR="00403EAD" w:rsidRPr="00526CAD" w:rsidRDefault="00403EAD" w:rsidP="00CE5A53">
      <w:pPr>
        <w:jc w:val="both"/>
        <w:rPr>
          <w:color w:val="000000"/>
          <w:sz w:val="24"/>
          <w:szCs w:val="24"/>
          <w:lang w:val="lv-LV"/>
        </w:rPr>
      </w:pPr>
    </w:p>
    <w:p w:rsidR="00403EAD" w:rsidRDefault="00403EAD" w:rsidP="00CE5A53">
      <w:pPr>
        <w:jc w:val="both"/>
        <w:rPr>
          <w:color w:val="000000"/>
          <w:sz w:val="24"/>
          <w:szCs w:val="24"/>
          <w:lang w:val="lv-LV"/>
        </w:rPr>
      </w:pPr>
    </w:p>
    <w:p w:rsidR="00EF1B0A" w:rsidRDefault="00EF1B0A" w:rsidP="00CE5A53">
      <w:pPr>
        <w:jc w:val="both"/>
        <w:rPr>
          <w:color w:val="000000"/>
          <w:sz w:val="24"/>
          <w:szCs w:val="24"/>
          <w:lang w:val="lv-LV"/>
        </w:rPr>
      </w:pPr>
    </w:p>
    <w:p w:rsidR="00EF1B0A" w:rsidRPr="00526CAD" w:rsidRDefault="00EF1B0A" w:rsidP="00CE5A53">
      <w:pPr>
        <w:jc w:val="both"/>
        <w:rPr>
          <w:color w:val="000000"/>
          <w:sz w:val="24"/>
          <w:szCs w:val="24"/>
          <w:lang w:val="lv-LV"/>
        </w:rPr>
      </w:pPr>
    </w:p>
    <w:p w:rsidR="00EF1B0A" w:rsidRDefault="00EF1B0A" w:rsidP="007D3113">
      <w:pPr>
        <w:jc w:val="both"/>
        <w:rPr>
          <w:color w:val="000000"/>
          <w:lang w:val="lv-LV"/>
        </w:rPr>
      </w:pPr>
      <w:r>
        <w:rPr>
          <w:color w:val="000000"/>
          <w:lang w:val="lv-LV"/>
        </w:rPr>
        <w:t>25.09.2012 16:04</w:t>
      </w:r>
    </w:p>
    <w:bookmarkStart w:id="9" w:name="_GoBack"/>
    <w:bookmarkEnd w:id="9"/>
    <w:p w:rsidR="007D3113" w:rsidRPr="00526CAD" w:rsidRDefault="00D4472A" w:rsidP="007D3113">
      <w:pPr>
        <w:jc w:val="both"/>
        <w:rPr>
          <w:color w:val="000000"/>
          <w:lang w:val="lv-LV"/>
        </w:rPr>
      </w:pPr>
      <w:r w:rsidRPr="00526CAD">
        <w:fldChar w:fldCharType="begin"/>
      </w:r>
      <w:r w:rsidRPr="00EF1B0A">
        <w:rPr>
          <w:lang w:val="de-DE"/>
        </w:rPr>
        <w:instrText xml:space="preserve"> NUMWORDS   \* MERGEFORMAT </w:instrText>
      </w:r>
      <w:r w:rsidRPr="00EF1B0A">
        <w:fldChar w:fldCharType="separate"/>
      </w:r>
      <w:r w:rsidR="00EF1B0A" w:rsidRPr="00EF1B0A">
        <w:rPr>
          <w:noProof/>
          <w:color w:val="000000"/>
          <w:lang w:val="lv-LV"/>
        </w:rPr>
        <w:t>3592</w:t>
      </w:r>
      <w:r w:rsidRPr="00526CAD">
        <w:rPr>
          <w:noProof/>
          <w:color w:val="000000"/>
          <w:lang w:val="lv-LV"/>
        </w:rPr>
        <w:fldChar w:fldCharType="end"/>
      </w:r>
    </w:p>
    <w:p w:rsidR="007D3113" w:rsidRPr="00526CAD" w:rsidRDefault="003B5EAA" w:rsidP="007D3113">
      <w:pPr>
        <w:jc w:val="both"/>
        <w:rPr>
          <w:color w:val="000000"/>
          <w:lang w:val="lv-LV"/>
        </w:rPr>
      </w:pPr>
      <w:r w:rsidRPr="00526CAD">
        <w:rPr>
          <w:color w:val="000000"/>
          <w:lang w:val="lv-LV"/>
        </w:rPr>
        <w:t>Zane Dziļuma</w:t>
      </w:r>
    </w:p>
    <w:p w:rsidR="007D3113" w:rsidRPr="00B03D28" w:rsidRDefault="007D3113" w:rsidP="007D3113">
      <w:pPr>
        <w:jc w:val="both"/>
        <w:rPr>
          <w:lang w:val="lv-LV"/>
        </w:rPr>
      </w:pPr>
      <w:r w:rsidRPr="00526CAD">
        <w:rPr>
          <w:color w:val="000000"/>
          <w:lang w:val="lv-LV"/>
        </w:rPr>
        <w:t>67013</w:t>
      </w:r>
      <w:r w:rsidR="003B5EAA" w:rsidRPr="00526CAD">
        <w:rPr>
          <w:color w:val="000000"/>
          <w:lang w:val="lv-LV"/>
        </w:rPr>
        <w:t>225</w:t>
      </w:r>
      <w:r w:rsidRPr="00526CAD">
        <w:rPr>
          <w:color w:val="000000"/>
          <w:lang w:val="lv-LV"/>
        </w:rPr>
        <w:t xml:space="preserve">, </w:t>
      </w:r>
      <w:r w:rsidR="003B5EAA" w:rsidRPr="00526CAD">
        <w:rPr>
          <w:lang w:val="lv-LV"/>
        </w:rPr>
        <w:t>Zane.Dziluma</w:t>
      </w:r>
      <w:r w:rsidRPr="00526CAD">
        <w:rPr>
          <w:lang w:val="lv-LV"/>
        </w:rPr>
        <w:t>@em.gov.lv</w:t>
      </w:r>
    </w:p>
    <w:sectPr w:rsidR="007D3113" w:rsidRPr="00B03D28" w:rsidSect="00B014C2">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9F6" w:rsidRDefault="002B29F6" w:rsidP="00B014C2">
      <w:r>
        <w:separator/>
      </w:r>
    </w:p>
  </w:endnote>
  <w:endnote w:type="continuationSeparator" w:id="0">
    <w:p w:rsidR="002B29F6" w:rsidRDefault="002B29F6" w:rsidP="00B0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charset w:val="00"/>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FB6" w:rsidRPr="007D3113" w:rsidRDefault="00750AEA" w:rsidP="007D3113">
    <w:pPr>
      <w:jc w:val="both"/>
      <w:outlineLvl w:val="0"/>
      <w:rPr>
        <w:rFonts w:eastAsia="Times New Roman"/>
        <w:lang w:val="lv-LV" w:eastAsia="lv-LV"/>
      </w:rPr>
    </w:pPr>
    <w:fldSimple w:instr=" FILENAME   \* MERGEFORMAT ">
      <w:r w:rsidR="00EF1B0A">
        <w:rPr>
          <w:noProof/>
        </w:rPr>
        <w:t>EMAnot_250912_groz328.docx</w:t>
      </w:r>
    </w:fldSimple>
    <w:r w:rsidR="00955FB6" w:rsidRPr="007D3113">
      <w:t xml:space="preserve">; </w:t>
    </w:r>
    <w:r w:rsidR="00955FB6" w:rsidRPr="007D3113">
      <w:rPr>
        <w:rFonts w:eastAsia="Times New Roman"/>
        <w:lang w:val="lv-LV" w:eastAsia="lv-LV"/>
      </w:rPr>
      <w:t>Ministru kabineta noteikumu projekta „Grozījum</w:t>
    </w:r>
    <w:r w:rsidR="00955FB6">
      <w:rPr>
        <w:rFonts w:eastAsia="Times New Roman"/>
        <w:lang w:val="lv-LV" w:eastAsia="lv-LV"/>
      </w:rPr>
      <w:t>i</w:t>
    </w:r>
    <w:r w:rsidR="00955FB6" w:rsidRPr="007D3113">
      <w:rPr>
        <w:rFonts w:eastAsia="Times New Roman"/>
        <w:lang w:val="lv-LV" w:eastAsia="lv-LV"/>
      </w:rPr>
      <w:t xml:space="preserve"> Ministru kabineta 2010.gada 30.marta noteikumos Nr.328 „Noteikumi par darbības programmas </w:t>
    </w:r>
    <w:r w:rsidR="00955FB6">
      <w:rPr>
        <w:rFonts w:eastAsia="Times New Roman"/>
        <w:lang w:val="lv-LV" w:eastAsia="lv-LV"/>
      </w:rPr>
      <w:t>„</w:t>
    </w:r>
    <w:r w:rsidR="00955FB6" w:rsidRPr="007D3113">
      <w:rPr>
        <w:rFonts w:eastAsia="Times New Roman"/>
        <w:lang w:val="lv-LV" w:eastAsia="lv-LV"/>
      </w:rPr>
      <w:t>Cilvēkresursi un nodarbinātība</w:t>
    </w:r>
    <w:r w:rsidR="00955FB6">
      <w:rPr>
        <w:rFonts w:eastAsia="Times New Roman"/>
        <w:lang w:val="lv-LV" w:eastAsia="lv-LV"/>
      </w:rPr>
      <w:t>”</w:t>
    </w:r>
    <w:r w:rsidR="00955FB6" w:rsidRPr="007D3113">
      <w:rPr>
        <w:rFonts w:eastAsia="Times New Roman"/>
        <w:lang w:val="lv-LV" w:eastAsia="lv-LV"/>
      </w:rPr>
      <w:t xml:space="preserve"> papildinājuma 1.3.1.1.1.apakšaktivitātes </w:t>
    </w:r>
    <w:r w:rsidR="00955FB6">
      <w:rPr>
        <w:rFonts w:eastAsia="Times New Roman"/>
        <w:lang w:val="lv-LV" w:eastAsia="lv-LV"/>
      </w:rPr>
      <w:t>„</w:t>
    </w:r>
    <w:r w:rsidR="00955FB6" w:rsidRPr="007D3113">
      <w:rPr>
        <w:rFonts w:eastAsia="Times New Roman"/>
        <w:lang w:val="lv-LV" w:eastAsia="lv-LV"/>
      </w:rPr>
      <w:t>Atbalsts nodarbināto apmācībām komersantu konkurētspējas veicināšanai – atbalsts partnerībās organizētām apmācībām</w:t>
    </w:r>
    <w:r w:rsidR="00955FB6">
      <w:rPr>
        <w:rFonts w:eastAsia="Times New Roman"/>
        <w:lang w:val="lv-LV" w:eastAsia="lv-LV"/>
      </w:rPr>
      <w:t>”</w:t>
    </w:r>
    <w:r w:rsidR="00955FB6" w:rsidRPr="007D3113">
      <w:rPr>
        <w:rFonts w:eastAsia="Times New Roman"/>
        <w:lang w:val="lv-LV" w:eastAsia="lv-LV"/>
      </w:rPr>
      <w:t xml:space="preserve"> projektu iesniegumu atlases otro </w:t>
    </w:r>
    <w:r w:rsidR="00955FB6">
      <w:rPr>
        <w:rFonts w:eastAsia="Times New Roman"/>
        <w:lang w:val="lv-LV" w:eastAsia="lv-LV"/>
      </w:rPr>
      <w:t>kārtu</w:t>
    </w:r>
    <w:r w:rsidR="00955FB6" w:rsidRPr="007D3113">
      <w:rPr>
        <w:rFonts w:eastAsia="Times New Roman"/>
        <w:lang w:val="lv-LV" w:eastAsia="lv-LV"/>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FB6" w:rsidRPr="007D3113" w:rsidRDefault="00750AEA" w:rsidP="00DD7A97">
    <w:pPr>
      <w:jc w:val="both"/>
      <w:outlineLvl w:val="0"/>
      <w:rPr>
        <w:rFonts w:eastAsia="Times New Roman"/>
        <w:lang w:val="lv-LV" w:eastAsia="lv-LV"/>
      </w:rPr>
    </w:pPr>
    <w:fldSimple w:instr=" FILENAME   \* MERGEFORMAT ">
      <w:r w:rsidR="00EF1B0A">
        <w:rPr>
          <w:noProof/>
        </w:rPr>
        <w:t>EMAnot_250912_groz328.docx</w:t>
      </w:r>
    </w:fldSimple>
    <w:r w:rsidR="00955FB6" w:rsidRPr="007D3113">
      <w:t xml:space="preserve">; </w:t>
    </w:r>
    <w:r w:rsidR="00955FB6" w:rsidRPr="007D3113">
      <w:rPr>
        <w:rFonts w:eastAsia="Times New Roman"/>
        <w:lang w:val="lv-LV" w:eastAsia="lv-LV"/>
      </w:rPr>
      <w:t>Ministru kabineta noteikumu projekta „Grozījum</w:t>
    </w:r>
    <w:r w:rsidR="00955FB6">
      <w:rPr>
        <w:rFonts w:eastAsia="Times New Roman"/>
        <w:lang w:val="lv-LV" w:eastAsia="lv-LV"/>
      </w:rPr>
      <w:t>i</w:t>
    </w:r>
    <w:r w:rsidR="00955FB6" w:rsidRPr="007D3113">
      <w:rPr>
        <w:rFonts w:eastAsia="Times New Roman"/>
        <w:lang w:val="lv-LV" w:eastAsia="lv-LV"/>
      </w:rPr>
      <w:t xml:space="preserve"> Ministru kabineta 2010.gada 30.marta noteikumos Nr.328 „Noteikumi par darbības programmas </w:t>
    </w:r>
    <w:r w:rsidR="00955FB6">
      <w:rPr>
        <w:rFonts w:eastAsia="Times New Roman"/>
        <w:lang w:val="lv-LV" w:eastAsia="lv-LV"/>
      </w:rPr>
      <w:t>„</w:t>
    </w:r>
    <w:r w:rsidR="00955FB6" w:rsidRPr="007D3113">
      <w:rPr>
        <w:rFonts w:eastAsia="Times New Roman"/>
        <w:lang w:val="lv-LV" w:eastAsia="lv-LV"/>
      </w:rPr>
      <w:t>Cilvēkresursi un nodarbinātība</w:t>
    </w:r>
    <w:r w:rsidR="00955FB6">
      <w:rPr>
        <w:rFonts w:eastAsia="Times New Roman"/>
        <w:lang w:val="lv-LV" w:eastAsia="lv-LV"/>
      </w:rPr>
      <w:t>”</w:t>
    </w:r>
    <w:r w:rsidR="00955FB6" w:rsidRPr="007D3113">
      <w:rPr>
        <w:rFonts w:eastAsia="Times New Roman"/>
        <w:lang w:val="lv-LV" w:eastAsia="lv-LV"/>
      </w:rPr>
      <w:t xml:space="preserve"> papildinājuma 1.3.1.1.1.apakšaktivitātes </w:t>
    </w:r>
    <w:r w:rsidR="00955FB6">
      <w:rPr>
        <w:rFonts w:eastAsia="Times New Roman"/>
        <w:lang w:val="lv-LV" w:eastAsia="lv-LV"/>
      </w:rPr>
      <w:t>„</w:t>
    </w:r>
    <w:r w:rsidR="00955FB6" w:rsidRPr="007D3113">
      <w:rPr>
        <w:rFonts w:eastAsia="Times New Roman"/>
        <w:lang w:val="lv-LV" w:eastAsia="lv-LV"/>
      </w:rPr>
      <w:t>Atbalsts nodarbināto apmācībām komersantu konkurētspējas veicināšanai – atbalsts partnerībās organizētām apmācībām</w:t>
    </w:r>
    <w:r w:rsidR="00955FB6">
      <w:rPr>
        <w:rFonts w:eastAsia="Times New Roman"/>
        <w:lang w:val="lv-LV" w:eastAsia="lv-LV"/>
      </w:rPr>
      <w:t>”</w:t>
    </w:r>
    <w:r w:rsidR="00955FB6" w:rsidRPr="007D3113">
      <w:rPr>
        <w:rFonts w:eastAsia="Times New Roman"/>
        <w:lang w:val="lv-LV" w:eastAsia="lv-LV"/>
      </w:rPr>
      <w:t xml:space="preserve"> projektu iesniegumu atlases otro </w:t>
    </w:r>
    <w:r w:rsidR="00955FB6">
      <w:rPr>
        <w:rFonts w:eastAsia="Times New Roman"/>
        <w:lang w:val="lv-LV" w:eastAsia="lv-LV"/>
      </w:rPr>
      <w:t>kārtu</w:t>
    </w:r>
    <w:r w:rsidR="00955FB6" w:rsidRPr="007D3113">
      <w:rPr>
        <w:rFonts w:eastAsia="Times New Roman"/>
        <w:lang w:val="lv-LV" w:eastAsia="lv-LV"/>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9F6" w:rsidRDefault="002B29F6" w:rsidP="00B014C2">
      <w:r>
        <w:separator/>
      </w:r>
    </w:p>
  </w:footnote>
  <w:footnote w:type="continuationSeparator" w:id="0">
    <w:p w:rsidR="002B29F6" w:rsidRDefault="002B29F6" w:rsidP="00B01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FB6" w:rsidRPr="00B014C2" w:rsidRDefault="00F924ED">
    <w:pPr>
      <w:pStyle w:val="Header"/>
      <w:jc w:val="center"/>
      <w:rPr>
        <w:sz w:val="24"/>
        <w:szCs w:val="24"/>
      </w:rPr>
    </w:pPr>
    <w:r w:rsidRPr="00B014C2">
      <w:rPr>
        <w:sz w:val="24"/>
        <w:szCs w:val="24"/>
      </w:rPr>
      <w:fldChar w:fldCharType="begin"/>
    </w:r>
    <w:r w:rsidR="00955FB6" w:rsidRPr="00B014C2">
      <w:rPr>
        <w:sz w:val="24"/>
        <w:szCs w:val="24"/>
      </w:rPr>
      <w:instrText xml:space="preserve"> PAGE   \* MERGEFORMAT </w:instrText>
    </w:r>
    <w:r w:rsidRPr="00B014C2">
      <w:rPr>
        <w:sz w:val="24"/>
        <w:szCs w:val="24"/>
      </w:rPr>
      <w:fldChar w:fldCharType="separate"/>
    </w:r>
    <w:r w:rsidR="00EF1B0A">
      <w:rPr>
        <w:noProof/>
        <w:sz w:val="24"/>
        <w:szCs w:val="24"/>
      </w:rPr>
      <w:t>15</w:t>
    </w:r>
    <w:r w:rsidRPr="00B014C2">
      <w:rPr>
        <w:sz w:val="24"/>
        <w:szCs w:val="24"/>
      </w:rPr>
      <w:fldChar w:fldCharType="end"/>
    </w:r>
  </w:p>
  <w:p w:rsidR="00955FB6" w:rsidRDefault="00955F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284"/>
        </w:tabs>
        <w:ind w:left="284" w:firstLine="425"/>
      </w:pPr>
      <w:rPr>
        <w:rFonts w:hint="default"/>
        <w:color w:val="000000"/>
        <w:position w:val="0"/>
        <w:sz w:val="20"/>
      </w:rPr>
    </w:lvl>
    <w:lvl w:ilvl="1">
      <w:start w:val="1"/>
      <w:numFmt w:val="lowerLetter"/>
      <w:lvlText w:val="%2."/>
      <w:lvlJc w:val="left"/>
      <w:pPr>
        <w:tabs>
          <w:tab w:val="num" w:pos="360"/>
        </w:tabs>
        <w:ind w:left="360" w:firstLine="1789"/>
      </w:pPr>
      <w:rPr>
        <w:rFonts w:hint="default"/>
        <w:color w:val="000000"/>
        <w:position w:val="0"/>
        <w:sz w:val="20"/>
      </w:rPr>
    </w:lvl>
    <w:lvl w:ilvl="2">
      <w:start w:val="1"/>
      <w:numFmt w:val="lowerRoman"/>
      <w:lvlText w:val="%3."/>
      <w:lvlJc w:val="left"/>
      <w:pPr>
        <w:tabs>
          <w:tab w:val="num" w:pos="340"/>
        </w:tabs>
        <w:ind w:left="340" w:firstLine="2529"/>
      </w:pPr>
      <w:rPr>
        <w:rFonts w:hint="default"/>
        <w:color w:val="000000"/>
        <w:position w:val="0"/>
        <w:sz w:val="20"/>
      </w:rPr>
    </w:lvl>
    <w:lvl w:ilvl="3">
      <w:start w:val="1"/>
      <w:numFmt w:val="decimal"/>
      <w:isLgl/>
      <w:lvlText w:val="%4."/>
      <w:lvlJc w:val="left"/>
      <w:pPr>
        <w:tabs>
          <w:tab w:val="num" w:pos="360"/>
        </w:tabs>
        <w:ind w:left="360" w:firstLine="3229"/>
      </w:pPr>
      <w:rPr>
        <w:rFonts w:hint="default"/>
        <w:color w:val="000000"/>
        <w:position w:val="0"/>
        <w:sz w:val="20"/>
      </w:rPr>
    </w:lvl>
    <w:lvl w:ilvl="4">
      <w:start w:val="1"/>
      <w:numFmt w:val="lowerLetter"/>
      <w:lvlText w:val="%5."/>
      <w:lvlJc w:val="left"/>
      <w:pPr>
        <w:tabs>
          <w:tab w:val="num" w:pos="360"/>
        </w:tabs>
        <w:ind w:left="360" w:firstLine="3949"/>
      </w:pPr>
      <w:rPr>
        <w:rFonts w:hint="default"/>
        <w:color w:val="000000"/>
        <w:position w:val="0"/>
        <w:sz w:val="20"/>
      </w:rPr>
    </w:lvl>
    <w:lvl w:ilvl="5">
      <w:start w:val="1"/>
      <w:numFmt w:val="lowerRoman"/>
      <w:lvlText w:val="%6."/>
      <w:lvlJc w:val="left"/>
      <w:pPr>
        <w:tabs>
          <w:tab w:val="num" w:pos="340"/>
        </w:tabs>
        <w:ind w:left="340" w:firstLine="4689"/>
      </w:pPr>
      <w:rPr>
        <w:rFonts w:hint="default"/>
        <w:color w:val="000000"/>
        <w:position w:val="0"/>
        <w:sz w:val="20"/>
      </w:rPr>
    </w:lvl>
    <w:lvl w:ilvl="6">
      <w:start w:val="1"/>
      <w:numFmt w:val="decimal"/>
      <w:isLgl/>
      <w:lvlText w:val="%7."/>
      <w:lvlJc w:val="left"/>
      <w:pPr>
        <w:tabs>
          <w:tab w:val="num" w:pos="360"/>
        </w:tabs>
        <w:ind w:left="360" w:firstLine="5389"/>
      </w:pPr>
      <w:rPr>
        <w:rFonts w:hint="default"/>
        <w:color w:val="000000"/>
        <w:position w:val="0"/>
        <w:sz w:val="20"/>
      </w:rPr>
    </w:lvl>
    <w:lvl w:ilvl="7">
      <w:start w:val="1"/>
      <w:numFmt w:val="lowerLetter"/>
      <w:lvlText w:val="%8."/>
      <w:lvlJc w:val="left"/>
      <w:pPr>
        <w:tabs>
          <w:tab w:val="num" w:pos="360"/>
        </w:tabs>
        <w:ind w:left="360" w:firstLine="6109"/>
      </w:pPr>
      <w:rPr>
        <w:rFonts w:hint="default"/>
        <w:color w:val="000000"/>
        <w:position w:val="0"/>
        <w:sz w:val="20"/>
      </w:rPr>
    </w:lvl>
    <w:lvl w:ilvl="8">
      <w:start w:val="1"/>
      <w:numFmt w:val="lowerRoman"/>
      <w:lvlText w:val="%9."/>
      <w:lvlJc w:val="left"/>
      <w:pPr>
        <w:tabs>
          <w:tab w:val="num" w:pos="340"/>
        </w:tabs>
        <w:ind w:left="340" w:firstLine="6849"/>
      </w:pPr>
      <w:rPr>
        <w:rFonts w:hint="default"/>
        <w:color w:val="000000"/>
        <w:position w:val="0"/>
        <w:sz w:val="20"/>
      </w:rPr>
    </w:lvl>
  </w:abstractNum>
  <w:abstractNum w:abstractNumId="1">
    <w:nsid w:val="24E10539"/>
    <w:multiLevelType w:val="hybridMultilevel"/>
    <w:tmpl w:val="F8CA012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7E24C57"/>
    <w:multiLevelType w:val="hybridMultilevel"/>
    <w:tmpl w:val="D73CAAD6"/>
    <w:lvl w:ilvl="0" w:tplc="BFE8D564">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37C673D4"/>
    <w:multiLevelType w:val="hybridMultilevel"/>
    <w:tmpl w:val="937C8CC2"/>
    <w:lvl w:ilvl="0" w:tplc="C7F6DE7A">
      <w:start w:val="2009"/>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3C984F69"/>
    <w:multiLevelType w:val="hybridMultilevel"/>
    <w:tmpl w:val="001A3FCC"/>
    <w:lvl w:ilvl="0" w:tplc="013EF558">
      <w:start w:val="1"/>
      <w:numFmt w:val="decimal"/>
      <w:lvlText w:val="%1."/>
      <w:lvlJc w:val="left"/>
      <w:pPr>
        <w:tabs>
          <w:tab w:val="num" w:pos="1080"/>
        </w:tabs>
        <w:ind w:left="1080" w:hanging="360"/>
      </w:pPr>
      <w:rPr>
        <w:rFonts w:ascii="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nsid w:val="3D4B236C"/>
    <w:multiLevelType w:val="hybridMultilevel"/>
    <w:tmpl w:val="272065E8"/>
    <w:lvl w:ilvl="0" w:tplc="F22E746E">
      <w:start w:val="1"/>
      <w:numFmt w:val="bullet"/>
      <w:lvlText w:val="–"/>
      <w:lvlJc w:val="left"/>
      <w:pPr>
        <w:ind w:left="720" w:hanging="360"/>
      </w:pPr>
      <w:rPr>
        <w:rFonts w:ascii="Times New Roman" w:hAnsi="Times New Roman" w:cs="Times New Roman" w:hint="default"/>
        <w:color w:val="000000"/>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58DA79B7"/>
    <w:multiLevelType w:val="hybridMultilevel"/>
    <w:tmpl w:val="FFDE7B3C"/>
    <w:lvl w:ilvl="0" w:tplc="5EE8603C">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4B83233"/>
    <w:multiLevelType w:val="hybridMultilevel"/>
    <w:tmpl w:val="4BE2A3F4"/>
    <w:lvl w:ilvl="0" w:tplc="1124D03C">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nsid w:val="6BC77786"/>
    <w:multiLevelType w:val="hybridMultilevel"/>
    <w:tmpl w:val="B1CA10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F142C6F"/>
    <w:multiLevelType w:val="hybridMultilevel"/>
    <w:tmpl w:val="C55E3054"/>
    <w:lvl w:ilvl="0" w:tplc="EACE7F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712C625F"/>
    <w:multiLevelType w:val="hybridMultilevel"/>
    <w:tmpl w:val="C55E3054"/>
    <w:lvl w:ilvl="0" w:tplc="EACE7F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76026D52"/>
    <w:multiLevelType w:val="hybridMultilevel"/>
    <w:tmpl w:val="5AE0C3F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2">
    <w:nsid w:val="791B46C5"/>
    <w:multiLevelType w:val="hybridMultilevel"/>
    <w:tmpl w:val="C55E3054"/>
    <w:lvl w:ilvl="0" w:tplc="EACE7F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7C3F4FBC"/>
    <w:multiLevelType w:val="hybridMultilevel"/>
    <w:tmpl w:val="6F3E3712"/>
    <w:lvl w:ilvl="0" w:tplc="E2A8F72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12"/>
  </w:num>
  <w:num w:numId="6">
    <w:abstractNumId w:val="6"/>
  </w:num>
  <w:num w:numId="7">
    <w:abstractNumId w:val="4"/>
  </w:num>
  <w:num w:numId="8">
    <w:abstractNumId w:val="7"/>
  </w:num>
  <w:num w:numId="9">
    <w:abstractNumId w:val="11"/>
  </w:num>
  <w:num w:numId="10">
    <w:abstractNumId w:val="5"/>
  </w:num>
  <w:num w:numId="11">
    <w:abstractNumId w:val="1"/>
  </w:num>
  <w:num w:numId="12">
    <w:abstractNumId w:val="2"/>
  </w:num>
  <w:num w:numId="13">
    <w:abstractNumId w:val="13"/>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B09C5"/>
    <w:rsid w:val="000016AB"/>
    <w:rsid w:val="00004E51"/>
    <w:rsid w:val="00005DBB"/>
    <w:rsid w:val="0001186C"/>
    <w:rsid w:val="000125FF"/>
    <w:rsid w:val="000158C8"/>
    <w:rsid w:val="0001764D"/>
    <w:rsid w:val="000229E4"/>
    <w:rsid w:val="00025B0A"/>
    <w:rsid w:val="0002603A"/>
    <w:rsid w:val="00026C03"/>
    <w:rsid w:val="0002762A"/>
    <w:rsid w:val="0003046E"/>
    <w:rsid w:val="00036E03"/>
    <w:rsid w:val="000415DE"/>
    <w:rsid w:val="0004167C"/>
    <w:rsid w:val="00047EF5"/>
    <w:rsid w:val="00050EA4"/>
    <w:rsid w:val="00052996"/>
    <w:rsid w:val="00052D3E"/>
    <w:rsid w:val="00052E89"/>
    <w:rsid w:val="00063CC7"/>
    <w:rsid w:val="000643D5"/>
    <w:rsid w:val="00065AD2"/>
    <w:rsid w:val="00067A64"/>
    <w:rsid w:val="0007058B"/>
    <w:rsid w:val="000729ED"/>
    <w:rsid w:val="00077E10"/>
    <w:rsid w:val="00080022"/>
    <w:rsid w:val="00080026"/>
    <w:rsid w:val="00083227"/>
    <w:rsid w:val="00084A09"/>
    <w:rsid w:val="00085E74"/>
    <w:rsid w:val="000921C6"/>
    <w:rsid w:val="00093614"/>
    <w:rsid w:val="0009399C"/>
    <w:rsid w:val="0009661E"/>
    <w:rsid w:val="00097583"/>
    <w:rsid w:val="000A084D"/>
    <w:rsid w:val="000A10F8"/>
    <w:rsid w:val="000A2879"/>
    <w:rsid w:val="000A3AD0"/>
    <w:rsid w:val="000A434E"/>
    <w:rsid w:val="000A4AED"/>
    <w:rsid w:val="000A53E9"/>
    <w:rsid w:val="000A5F92"/>
    <w:rsid w:val="000A696F"/>
    <w:rsid w:val="000A7437"/>
    <w:rsid w:val="000B0719"/>
    <w:rsid w:val="000B4A38"/>
    <w:rsid w:val="000C0C3A"/>
    <w:rsid w:val="000C2D66"/>
    <w:rsid w:val="000D0388"/>
    <w:rsid w:val="000D1257"/>
    <w:rsid w:val="000D140B"/>
    <w:rsid w:val="000D2F05"/>
    <w:rsid w:val="000D30E0"/>
    <w:rsid w:val="000D4B8D"/>
    <w:rsid w:val="000D72B7"/>
    <w:rsid w:val="000E0262"/>
    <w:rsid w:val="000E409F"/>
    <w:rsid w:val="000E4277"/>
    <w:rsid w:val="000E5595"/>
    <w:rsid w:val="000F3F4C"/>
    <w:rsid w:val="000F4577"/>
    <w:rsid w:val="000F6DB2"/>
    <w:rsid w:val="000F6E9E"/>
    <w:rsid w:val="001002E4"/>
    <w:rsid w:val="00101FE0"/>
    <w:rsid w:val="0010410B"/>
    <w:rsid w:val="001047E8"/>
    <w:rsid w:val="001106FA"/>
    <w:rsid w:val="00110E66"/>
    <w:rsid w:val="00113586"/>
    <w:rsid w:val="00115E25"/>
    <w:rsid w:val="0011745E"/>
    <w:rsid w:val="001237C7"/>
    <w:rsid w:val="0012452E"/>
    <w:rsid w:val="00130C6B"/>
    <w:rsid w:val="00131092"/>
    <w:rsid w:val="00131C62"/>
    <w:rsid w:val="0013447D"/>
    <w:rsid w:val="001350FB"/>
    <w:rsid w:val="00141EF2"/>
    <w:rsid w:val="00142CBB"/>
    <w:rsid w:val="00143392"/>
    <w:rsid w:val="001507B4"/>
    <w:rsid w:val="00151A37"/>
    <w:rsid w:val="00156BF0"/>
    <w:rsid w:val="00157107"/>
    <w:rsid w:val="00166B88"/>
    <w:rsid w:val="0016720F"/>
    <w:rsid w:val="00167AFE"/>
    <w:rsid w:val="001705C0"/>
    <w:rsid w:val="001720E2"/>
    <w:rsid w:val="0017312C"/>
    <w:rsid w:val="001763ED"/>
    <w:rsid w:val="001764E7"/>
    <w:rsid w:val="00176C31"/>
    <w:rsid w:val="00177DD5"/>
    <w:rsid w:val="001831F7"/>
    <w:rsid w:val="001861FD"/>
    <w:rsid w:val="001871BB"/>
    <w:rsid w:val="00191102"/>
    <w:rsid w:val="0019399B"/>
    <w:rsid w:val="00193BE3"/>
    <w:rsid w:val="00195030"/>
    <w:rsid w:val="0019558A"/>
    <w:rsid w:val="00197296"/>
    <w:rsid w:val="001973A7"/>
    <w:rsid w:val="001A0D4B"/>
    <w:rsid w:val="001A48E1"/>
    <w:rsid w:val="001A4DDD"/>
    <w:rsid w:val="001A6894"/>
    <w:rsid w:val="001B3236"/>
    <w:rsid w:val="001B3656"/>
    <w:rsid w:val="001B5F59"/>
    <w:rsid w:val="001B6A67"/>
    <w:rsid w:val="001B6D15"/>
    <w:rsid w:val="001C1BFF"/>
    <w:rsid w:val="001C3410"/>
    <w:rsid w:val="001D04C0"/>
    <w:rsid w:val="001D1BF7"/>
    <w:rsid w:val="001D37CE"/>
    <w:rsid w:val="001D5E9C"/>
    <w:rsid w:val="001D62EC"/>
    <w:rsid w:val="001D6919"/>
    <w:rsid w:val="001D76FC"/>
    <w:rsid w:val="001E4A96"/>
    <w:rsid w:val="001E5031"/>
    <w:rsid w:val="001F02C1"/>
    <w:rsid w:val="001F301A"/>
    <w:rsid w:val="001F36BC"/>
    <w:rsid w:val="001F4FE9"/>
    <w:rsid w:val="001F53EB"/>
    <w:rsid w:val="001F6B1B"/>
    <w:rsid w:val="001F7479"/>
    <w:rsid w:val="001F7527"/>
    <w:rsid w:val="0020037C"/>
    <w:rsid w:val="00205FEE"/>
    <w:rsid w:val="002120AC"/>
    <w:rsid w:val="0021241F"/>
    <w:rsid w:val="00213D6A"/>
    <w:rsid w:val="00217BC1"/>
    <w:rsid w:val="00222C39"/>
    <w:rsid w:val="00223C20"/>
    <w:rsid w:val="002240A0"/>
    <w:rsid w:val="0022770E"/>
    <w:rsid w:val="0023085A"/>
    <w:rsid w:val="00230FB6"/>
    <w:rsid w:val="00231BC0"/>
    <w:rsid w:val="002323CF"/>
    <w:rsid w:val="00233657"/>
    <w:rsid w:val="00234F1B"/>
    <w:rsid w:val="00237DD2"/>
    <w:rsid w:val="00240CAE"/>
    <w:rsid w:val="00243A9D"/>
    <w:rsid w:val="00246E4B"/>
    <w:rsid w:val="00247529"/>
    <w:rsid w:val="002507A0"/>
    <w:rsid w:val="002528CF"/>
    <w:rsid w:val="00256DF2"/>
    <w:rsid w:val="00257A14"/>
    <w:rsid w:val="00257EAE"/>
    <w:rsid w:val="00263862"/>
    <w:rsid w:val="00264E33"/>
    <w:rsid w:val="00265959"/>
    <w:rsid w:val="0026604A"/>
    <w:rsid w:val="00271DF1"/>
    <w:rsid w:val="002720E3"/>
    <w:rsid w:val="002748FF"/>
    <w:rsid w:val="0027797E"/>
    <w:rsid w:val="0028114E"/>
    <w:rsid w:val="00281EF8"/>
    <w:rsid w:val="002845ED"/>
    <w:rsid w:val="00284615"/>
    <w:rsid w:val="00285B79"/>
    <w:rsid w:val="0028698C"/>
    <w:rsid w:val="00293A76"/>
    <w:rsid w:val="00296D3D"/>
    <w:rsid w:val="002A0CEE"/>
    <w:rsid w:val="002A126D"/>
    <w:rsid w:val="002A3206"/>
    <w:rsid w:val="002A32DE"/>
    <w:rsid w:val="002A646A"/>
    <w:rsid w:val="002B29F6"/>
    <w:rsid w:val="002B30CE"/>
    <w:rsid w:val="002B3871"/>
    <w:rsid w:val="002B4D01"/>
    <w:rsid w:val="002C0E0E"/>
    <w:rsid w:val="002C2026"/>
    <w:rsid w:val="002C20C8"/>
    <w:rsid w:val="002C4691"/>
    <w:rsid w:val="002C7CFA"/>
    <w:rsid w:val="002D549E"/>
    <w:rsid w:val="002D6463"/>
    <w:rsid w:val="002D7773"/>
    <w:rsid w:val="002D7DF1"/>
    <w:rsid w:val="002E0D23"/>
    <w:rsid w:val="002E2838"/>
    <w:rsid w:val="002E507C"/>
    <w:rsid w:val="002E5461"/>
    <w:rsid w:val="002E5F43"/>
    <w:rsid w:val="002E6122"/>
    <w:rsid w:val="002E6945"/>
    <w:rsid w:val="002E7530"/>
    <w:rsid w:val="002F063C"/>
    <w:rsid w:val="002F3311"/>
    <w:rsid w:val="002F423D"/>
    <w:rsid w:val="002F4553"/>
    <w:rsid w:val="002F53BF"/>
    <w:rsid w:val="002F54CE"/>
    <w:rsid w:val="002F5BBF"/>
    <w:rsid w:val="002F5C95"/>
    <w:rsid w:val="002F6D2C"/>
    <w:rsid w:val="003000F0"/>
    <w:rsid w:val="00300539"/>
    <w:rsid w:val="00303B7C"/>
    <w:rsid w:val="003108D5"/>
    <w:rsid w:val="003110AF"/>
    <w:rsid w:val="00314719"/>
    <w:rsid w:val="003170BD"/>
    <w:rsid w:val="003205FD"/>
    <w:rsid w:val="00320B71"/>
    <w:rsid w:val="00322A15"/>
    <w:rsid w:val="0032394F"/>
    <w:rsid w:val="003319EF"/>
    <w:rsid w:val="0033352C"/>
    <w:rsid w:val="00335837"/>
    <w:rsid w:val="003372CD"/>
    <w:rsid w:val="0034284E"/>
    <w:rsid w:val="00342D20"/>
    <w:rsid w:val="0034329B"/>
    <w:rsid w:val="00343918"/>
    <w:rsid w:val="003451DA"/>
    <w:rsid w:val="00350050"/>
    <w:rsid w:val="003523DA"/>
    <w:rsid w:val="003525FA"/>
    <w:rsid w:val="003529B2"/>
    <w:rsid w:val="00352F5C"/>
    <w:rsid w:val="0035511D"/>
    <w:rsid w:val="0035647E"/>
    <w:rsid w:val="00360437"/>
    <w:rsid w:val="00361DA6"/>
    <w:rsid w:val="00362A6F"/>
    <w:rsid w:val="003633B3"/>
    <w:rsid w:val="00363B7B"/>
    <w:rsid w:val="003708DF"/>
    <w:rsid w:val="00374AA5"/>
    <w:rsid w:val="00374BCF"/>
    <w:rsid w:val="003756B1"/>
    <w:rsid w:val="00375A4C"/>
    <w:rsid w:val="0038115B"/>
    <w:rsid w:val="00382BEB"/>
    <w:rsid w:val="00383500"/>
    <w:rsid w:val="00384799"/>
    <w:rsid w:val="00385381"/>
    <w:rsid w:val="0038691A"/>
    <w:rsid w:val="00387598"/>
    <w:rsid w:val="00387B0C"/>
    <w:rsid w:val="00392E75"/>
    <w:rsid w:val="00395947"/>
    <w:rsid w:val="003970C6"/>
    <w:rsid w:val="003A1360"/>
    <w:rsid w:val="003A22A8"/>
    <w:rsid w:val="003A2B62"/>
    <w:rsid w:val="003A5963"/>
    <w:rsid w:val="003A6B5D"/>
    <w:rsid w:val="003B3914"/>
    <w:rsid w:val="003B5EAA"/>
    <w:rsid w:val="003B7956"/>
    <w:rsid w:val="003C15B6"/>
    <w:rsid w:val="003C3FA4"/>
    <w:rsid w:val="003C3FF4"/>
    <w:rsid w:val="003C5A0B"/>
    <w:rsid w:val="003C5D28"/>
    <w:rsid w:val="003C7954"/>
    <w:rsid w:val="003D0E42"/>
    <w:rsid w:val="003D3F61"/>
    <w:rsid w:val="003E0167"/>
    <w:rsid w:val="003E1A89"/>
    <w:rsid w:val="003E28D2"/>
    <w:rsid w:val="003E2968"/>
    <w:rsid w:val="003E3604"/>
    <w:rsid w:val="003E6CB3"/>
    <w:rsid w:val="003F095C"/>
    <w:rsid w:val="003F1D99"/>
    <w:rsid w:val="003F464F"/>
    <w:rsid w:val="003F4E09"/>
    <w:rsid w:val="004001AA"/>
    <w:rsid w:val="00402B2B"/>
    <w:rsid w:val="00403279"/>
    <w:rsid w:val="00403EAD"/>
    <w:rsid w:val="00404D4B"/>
    <w:rsid w:val="00404E4B"/>
    <w:rsid w:val="004124AF"/>
    <w:rsid w:val="004133BC"/>
    <w:rsid w:val="004146B3"/>
    <w:rsid w:val="00415DA7"/>
    <w:rsid w:val="00420FC8"/>
    <w:rsid w:val="00423616"/>
    <w:rsid w:val="0042395B"/>
    <w:rsid w:val="0042472B"/>
    <w:rsid w:val="0042477D"/>
    <w:rsid w:val="00425D7C"/>
    <w:rsid w:val="004260C8"/>
    <w:rsid w:val="00427802"/>
    <w:rsid w:val="0043243D"/>
    <w:rsid w:val="004342BE"/>
    <w:rsid w:val="004368B2"/>
    <w:rsid w:val="00436E6A"/>
    <w:rsid w:val="00440420"/>
    <w:rsid w:val="004423A1"/>
    <w:rsid w:val="004459BC"/>
    <w:rsid w:val="004527EA"/>
    <w:rsid w:val="00455C37"/>
    <w:rsid w:val="00455EC9"/>
    <w:rsid w:val="00456ADC"/>
    <w:rsid w:val="00457E3C"/>
    <w:rsid w:val="00460A29"/>
    <w:rsid w:val="0046221D"/>
    <w:rsid w:val="00465585"/>
    <w:rsid w:val="004657AC"/>
    <w:rsid w:val="00466B95"/>
    <w:rsid w:val="00470C9C"/>
    <w:rsid w:val="00471B85"/>
    <w:rsid w:val="0047230F"/>
    <w:rsid w:val="00472755"/>
    <w:rsid w:val="0047631D"/>
    <w:rsid w:val="004775F4"/>
    <w:rsid w:val="00480DD4"/>
    <w:rsid w:val="004829AD"/>
    <w:rsid w:val="0048386E"/>
    <w:rsid w:val="00484C10"/>
    <w:rsid w:val="00485D96"/>
    <w:rsid w:val="00487693"/>
    <w:rsid w:val="004878E3"/>
    <w:rsid w:val="004936C3"/>
    <w:rsid w:val="00493D89"/>
    <w:rsid w:val="00496AEF"/>
    <w:rsid w:val="00497585"/>
    <w:rsid w:val="004A19D5"/>
    <w:rsid w:val="004A1A10"/>
    <w:rsid w:val="004A20FA"/>
    <w:rsid w:val="004A2D43"/>
    <w:rsid w:val="004A7CF9"/>
    <w:rsid w:val="004B083E"/>
    <w:rsid w:val="004B31C4"/>
    <w:rsid w:val="004B3CA5"/>
    <w:rsid w:val="004B5DBC"/>
    <w:rsid w:val="004B638C"/>
    <w:rsid w:val="004C54F0"/>
    <w:rsid w:val="004C7B7E"/>
    <w:rsid w:val="004D096F"/>
    <w:rsid w:val="004D0BE5"/>
    <w:rsid w:val="004D4704"/>
    <w:rsid w:val="004D4997"/>
    <w:rsid w:val="004D6AC5"/>
    <w:rsid w:val="004D6C4B"/>
    <w:rsid w:val="004D6D11"/>
    <w:rsid w:val="004E30F5"/>
    <w:rsid w:val="004E5580"/>
    <w:rsid w:val="004E5900"/>
    <w:rsid w:val="004E7663"/>
    <w:rsid w:val="004E7F2B"/>
    <w:rsid w:val="004F2359"/>
    <w:rsid w:val="004F2F91"/>
    <w:rsid w:val="004F5D06"/>
    <w:rsid w:val="004F6505"/>
    <w:rsid w:val="00502E9A"/>
    <w:rsid w:val="00503E08"/>
    <w:rsid w:val="005064C9"/>
    <w:rsid w:val="00510235"/>
    <w:rsid w:val="0051166F"/>
    <w:rsid w:val="005129D4"/>
    <w:rsid w:val="0051436F"/>
    <w:rsid w:val="00514B8A"/>
    <w:rsid w:val="0051571C"/>
    <w:rsid w:val="00516838"/>
    <w:rsid w:val="00517C20"/>
    <w:rsid w:val="00520070"/>
    <w:rsid w:val="00522B62"/>
    <w:rsid w:val="00522E31"/>
    <w:rsid w:val="0052331D"/>
    <w:rsid w:val="00526CAD"/>
    <w:rsid w:val="0052723E"/>
    <w:rsid w:val="005279FC"/>
    <w:rsid w:val="00531E23"/>
    <w:rsid w:val="00533893"/>
    <w:rsid w:val="0053500F"/>
    <w:rsid w:val="00537A29"/>
    <w:rsid w:val="00537FF6"/>
    <w:rsid w:val="005422C3"/>
    <w:rsid w:val="00542F49"/>
    <w:rsid w:val="00545DA2"/>
    <w:rsid w:val="0054660D"/>
    <w:rsid w:val="005471CA"/>
    <w:rsid w:val="00551B3C"/>
    <w:rsid w:val="00551D29"/>
    <w:rsid w:val="0055201A"/>
    <w:rsid w:val="00552966"/>
    <w:rsid w:val="00554A7A"/>
    <w:rsid w:val="00556A56"/>
    <w:rsid w:val="00560311"/>
    <w:rsid w:val="00561CB9"/>
    <w:rsid w:val="00562527"/>
    <w:rsid w:val="0056528D"/>
    <w:rsid w:val="005655BB"/>
    <w:rsid w:val="00575602"/>
    <w:rsid w:val="00575C67"/>
    <w:rsid w:val="00576B09"/>
    <w:rsid w:val="00580317"/>
    <w:rsid w:val="00580DE9"/>
    <w:rsid w:val="005814D0"/>
    <w:rsid w:val="0058249F"/>
    <w:rsid w:val="0058667B"/>
    <w:rsid w:val="0058679B"/>
    <w:rsid w:val="005867C2"/>
    <w:rsid w:val="005867EB"/>
    <w:rsid w:val="005877DA"/>
    <w:rsid w:val="005903C8"/>
    <w:rsid w:val="00590452"/>
    <w:rsid w:val="0059610C"/>
    <w:rsid w:val="005A59AB"/>
    <w:rsid w:val="005B1EC4"/>
    <w:rsid w:val="005B29DE"/>
    <w:rsid w:val="005B374A"/>
    <w:rsid w:val="005B4178"/>
    <w:rsid w:val="005B4D4E"/>
    <w:rsid w:val="005B5168"/>
    <w:rsid w:val="005C03F5"/>
    <w:rsid w:val="005C251D"/>
    <w:rsid w:val="005C3235"/>
    <w:rsid w:val="005C6DDB"/>
    <w:rsid w:val="005D0CB9"/>
    <w:rsid w:val="005D2DDC"/>
    <w:rsid w:val="005D3220"/>
    <w:rsid w:val="005D3658"/>
    <w:rsid w:val="005D39EF"/>
    <w:rsid w:val="005E2C40"/>
    <w:rsid w:val="005E668A"/>
    <w:rsid w:val="005F0648"/>
    <w:rsid w:val="005F129D"/>
    <w:rsid w:val="005F5121"/>
    <w:rsid w:val="005F65CE"/>
    <w:rsid w:val="005F71F0"/>
    <w:rsid w:val="00600819"/>
    <w:rsid w:val="00604375"/>
    <w:rsid w:val="006056A8"/>
    <w:rsid w:val="00606694"/>
    <w:rsid w:val="006126A9"/>
    <w:rsid w:val="00612C3B"/>
    <w:rsid w:val="00613019"/>
    <w:rsid w:val="00613323"/>
    <w:rsid w:val="00616CBC"/>
    <w:rsid w:val="006218A6"/>
    <w:rsid w:val="006224F7"/>
    <w:rsid w:val="00623730"/>
    <w:rsid w:val="00630367"/>
    <w:rsid w:val="00631039"/>
    <w:rsid w:val="006316BA"/>
    <w:rsid w:val="006349DF"/>
    <w:rsid w:val="00636440"/>
    <w:rsid w:val="00637231"/>
    <w:rsid w:val="006375F0"/>
    <w:rsid w:val="00644CE2"/>
    <w:rsid w:val="006456BB"/>
    <w:rsid w:val="00647FA6"/>
    <w:rsid w:val="00650716"/>
    <w:rsid w:val="00651669"/>
    <w:rsid w:val="006521EE"/>
    <w:rsid w:val="006539BF"/>
    <w:rsid w:val="00657421"/>
    <w:rsid w:val="00665C71"/>
    <w:rsid w:val="006677FB"/>
    <w:rsid w:val="00672A2F"/>
    <w:rsid w:val="00674BA7"/>
    <w:rsid w:val="00676770"/>
    <w:rsid w:val="00681496"/>
    <w:rsid w:val="00682B4A"/>
    <w:rsid w:val="00685458"/>
    <w:rsid w:val="00685AFD"/>
    <w:rsid w:val="00686E89"/>
    <w:rsid w:val="00687F3B"/>
    <w:rsid w:val="006910BE"/>
    <w:rsid w:val="006927E6"/>
    <w:rsid w:val="00693653"/>
    <w:rsid w:val="00693FAB"/>
    <w:rsid w:val="00696772"/>
    <w:rsid w:val="00696FB4"/>
    <w:rsid w:val="0069780B"/>
    <w:rsid w:val="006A22FE"/>
    <w:rsid w:val="006A59EB"/>
    <w:rsid w:val="006A7638"/>
    <w:rsid w:val="006B1596"/>
    <w:rsid w:val="006B584A"/>
    <w:rsid w:val="006C04B0"/>
    <w:rsid w:val="006C136E"/>
    <w:rsid w:val="006C1797"/>
    <w:rsid w:val="006C3B32"/>
    <w:rsid w:val="006C7341"/>
    <w:rsid w:val="006D0B9B"/>
    <w:rsid w:val="006D1F62"/>
    <w:rsid w:val="006D3A18"/>
    <w:rsid w:val="006D4C40"/>
    <w:rsid w:val="006D69A4"/>
    <w:rsid w:val="006E2C3C"/>
    <w:rsid w:val="006E3C5D"/>
    <w:rsid w:val="006E498A"/>
    <w:rsid w:val="006E53FC"/>
    <w:rsid w:val="006E67D7"/>
    <w:rsid w:val="006F0C19"/>
    <w:rsid w:val="006F24A8"/>
    <w:rsid w:val="006F29B4"/>
    <w:rsid w:val="006F56C1"/>
    <w:rsid w:val="006F7BDA"/>
    <w:rsid w:val="00700070"/>
    <w:rsid w:val="007058E9"/>
    <w:rsid w:val="0071026C"/>
    <w:rsid w:val="00713A16"/>
    <w:rsid w:val="007152A8"/>
    <w:rsid w:val="00717880"/>
    <w:rsid w:val="00717F0C"/>
    <w:rsid w:val="007217E4"/>
    <w:rsid w:val="0072267A"/>
    <w:rsid w:val="00725107"/>
    <w:rsid w:val="0072668A"/>
    <w:rsid w:val="007269D1"/>
    <w:rsid w:val="007278CF"/>
    <w:rsid w:val="007315C5"/>
    <w:rsid w:val="00732894"/>
    <w:rsid w:val="007335B6"/>
    <w:rsid w:val="007355DD"/>
    <w:rsid w:val="007363F2"/>
    <w:rsid w:val="00737AB8"/>
    <w:rsid w:val="00741F6A"/>
    <w:rsid w:val="00750AEA"/>
    <w:rsid w:val="00753C33"/>
    <w:rsid w:val="007547B1"/>
    <w:rsid w:val="00760465"/>
    <w:rsid w:val="007622F2"/>
    <w:rsid w:val="00762978"/>
    <w:rsid w:val="00766F64"/>
    <w:rsid w:val="00767185"/>
    <w:rsid w:val="007715C1"/>
    <w:rsid w:val="0077435A"/>
    <w:rsid w:val="00780424"/>
    <w:rsid w:val="00781268"/>
    <w:rsid w:val="0078538E"/>
    <w:rsid w:val="00787BED"/>
    <w:rsid w:val="00787DED"/>
    <w:rsid w:val="00791212"/>
    <w:rsid w:val="00791D10"/>
    <w:rsid w:val="00794B98"/>
    <w:rsid w:val="007A0D95"/>
    <w:rsid w:val="007A14D0"/>
    <w:rsid w:val="007A1D95"/>
    <w:rsid w:val="007A25F6"/>
    <w:rsid w:val="007A3DB5"/>
    <w:rsid w:val="007A52E8"/>
    <w:rsid w:val="007A7FC5"/>
    <w:rsid w:val="007B1BE8"/>
    <w:rsid w:val="007B6976"/>
    <w:rsid w:val="007C2992"/>
    <w:rsid w:val="007D0273"/>
    <w:rsid w:val="007D3113"/>
    <w:rsid w:val="007D6900"/>
    <w:rsid w:val="007D7613"/>
    <w:rsid w:val="007D7A8A"/>
    <w:rsid w:val="007E0AEC"/>
    <w:rsid w:val="007E268D"/>
    <w:rsid w:val="007E2F7C"/>
    <w:rsid w:val="007E34D8"/>
    <w:rsid w:val="007E3DF8"/>
    <w:rsid w:val="007E5D4D"/>
    <w:rsid w:val="007E66D5"/>
    <w:rsid w:val="007E6AE9"/>
    <w:rsid w:val="007E7623"/>
    <w:rsid w:val="007F0242"/>
    <w:rsid w:val="007F0C15"/>
    <w:rsid w:val="007F1028"/>
    <w:rsid w:val="007F2DC6"/>
    <w:rsid w:val="007F5D71"/>
    <w:rsid w:val="007F73A1"/>
    <w:rsid w:val="00801790"/>
    <w:rsid w:val="00801F32"/>
    <w:rsid w:val="00806BC5"/>
    <w:rsid w:val="00807DD6"/>
    <w:rsid w:val="00810454"/>
    <w:rsid w:val="00812990"/>
    <w:rsid w:val="00816E5A"/>
    <w:rsid w:val="00817839"/>
    <w:rsid w:val="00820F76"/>
    <w:rsid w:val="00823419"/>
    <w:rsid w:val="0082376A"/>
    <w:rsid w:val="00823CBA"/>
    <w:rsid w:val="00826588"/>
    <w:rsid w:val="008265EF"/>
    <w:rsid w:val="00827407"/>
    <w:rsid w:val="00832642"/>
    <w:rsid w:val="00840ABC"/>
    <w:rsid w:val="00842D5F"/>
    <w:rsid w:val="00843294"/>
    <w:rsid w:val="0084423C"/>
    <w:rsid w:val="00845F2C"/>
    <w:rsid w:val="008508CF"/>
    <w:rsid w:val="008549AE"/>
    <w:rsid w:val="00860387"/>
    <w:rsid w:val="00860C80"/>
    <w:rsid w:val="00860FDE"/>
    <w:rsid w:val="00861E48"/>
    <w:rsid w:val="00862D34"/>
    <w:rsid w:val="00871F60"/>
    <w:rsid w:val="008737CE"/>
    <w:rsid w:val="00874C25"/>
    <w:rsid w:val="0087598A"/>
    <w:rsid w:val="008764AE"/>
    <w:rsid w:val="00877265"/>
    <w:rsid w:val="00877FED"/>
    <w:rsid w:val="00883CA1"/>
    <w:rsid w:val="00884239"/>
    <w:rsid w:val="008850DE"/>
    <w:rsid w:val="00890831"/>
    <w:rsid w:val="0089090B"/>
    <w:rsid w:val="00891DAA"/>
    <w:rsid w:val="008927D8"/>
    <w:rsid w:val="00893263"/>
    <w:rsid w:val="0089622A"/>
    <w:rsid w:val="00896363"/>
    <w:rsid w:val="008972A4"/>
    <w:rsid w:val="00897C16"/>
    <w:rsid w:val="008A515D"/>
    <w:rsid w:val="008A6786"/>
    <w:rsid w:val="008A6918"/>
    <w:rsid w:val="008B485C"/>
    <w:rsid w:val="008B6C2F"/>
    <w:rsid w:val="008C0F58"/>
    <w:rsid w:val="008C14B4"/>
    <w:rsid w:val="008C37BE"/>
    <w:rsid w:val="008C46C8"/>
    <w:rsid w:val="008C47D6"/>
    <w:rsid w:val="008C76E4"/>
    <w:rsid w:val="008D0A17"/>
    <w:rsid w:val="008D11BF"/>
    <w:rsid w:val="008D17E5"/>
    <w:rsid w:val="008D6725"/>
    <w:rsid w:val="008D78FF"/>
    <w:rsid w:val="008E0248"/>
    <w:rsid w:val="008E2ECE"/>
    <w:rsid w:val="008E429C"/>
    <w:rsid w:val="008E45A6"/>
    <w:rsid w:val="008E5140"/>
    <w:rsid w:val="008E69C9"/>
    <w:rsid w:val="008F04B9"/>
    <w:rsid w:val="008F122D"/>
    <w:rsid w:val="008F48C1"/>
    <w:rsid w:val="008F4C9D"/>
    <w:rsid w:val="008F5394"/>
    <w:rsid w:val="0090048A"/>
    <w:rsid w:val="00900FF8"/>
    <w:rsid w:val="0090395A"/>
    <w:rsid w:val="0090449A"/>
    <w:rsid w:val="00904778"/>
    <w:rsid w:val="0090536A"/>
    <w:rsid w:val="009062D3"/>
    <w:rsid w:val="00906840"/>
    <w:rsid w:val="00906909"/>
    <w:rsid w:val="00910B4D"/>
    <w:rsid w:val="00911B94"/>
    <w:rsid w:val="00914CB3"/>
    <w:rsid w:val="00916054"/>
    <w:rsid w:val="00916509"/>
    <w:rsid w:val="009243DD"/>
    <w:rsid w:val="0092468A"/>
    <w:rsid w:val="00925417"/>
    <w:rsid w:val="00925C96"/>
    <w:rsid w:val="00926E4B"/>
    <w:rsid w:val="00927127"/>
    <w:rsid w:val="009277A4"/>
    <w:rsid w:val="00930DCC"/>
    <w:rsid w:val="00932BAE"/>
    <w:rsid w:val="00932C66"/>
    <w:rsid w:val="00933398"/>
    <w:rsid w:val="009347CA"/>
    <w:rsid w:val="00934C43"/>
    <w:rsid w:val="00937618"/>
    <w:rsid w:val="00937A69"/>
    <w:rsid w:val="00940388"/>
    <w:rsid w:val="009414BE"/>
    <w:rsid w:val="00944628"/>
    <w:rsid w:val="00944903"/>
    <w:rsid w:val="00945AEE"/>
    <w:rsid w:val="0094732D"/>
    <w:rsid w:val="00947AE5"/>
    <w:rsid w:val="00953044"/>
    <w:rsid w:val="00955FB6"/>
    <w:rsid w:val="009562F8"/>
    <w:rsid w:val="009566B7"/>
    <w:rsid w:val="0095696B"/>
    <w:rsid w:val="009578FD"/>
    <w:rsid w:val="00957CB6"/>
    <w:rsid w:val="00962CEA"/>
    <w:rsid w:val="0096453C"/>
    <w:rsid w:val="009658DE"/>
    <w:rsid w:val="009666E8"/>
    <w:rsid w:val="0096699E"/>
    <w:rsid w:val="0097021A"/>
    <w:rsid w:val="009741BB"/>
    <w:rsid w:val="00976DE4"/>
    <w:rsid w:val="00981D69"/>
    <w:rsid w:val="00982E41"/>
    <w:rsid w:val="00985F38"/>
    <w:rsid w:val="00990D1F"/>
    <w:rsid w:val="0099344A"/>
    <w:rsid w:val="00995388"/>
    <w:rsid w:val="0099575C"/>
    <w:rsid w:val="009A164D"/>
    <w:rsid w:val="009A35C7"/>
    <w:rsid w:val="009A38AD"/>
    <w:rsid w:val="009A4789"/>
    <w:rsid w:val="009B0DB2"/>
    <w:rsid w:val="009B2624"/>
    <w:rsid w:val="009B2F66"/>
    <w:rsid w:val="009B4731"/>
    <w:rsid w:val="009B60FF"/>
    <w:rsid w:val="009B623D"/>
    <w:rsid w:val="009C1935"/>
    <w:rsid w:val="009C2CF9"/>
    <w:rsid w:val="009C34B1"/>
    <w:rsid w:val="009C412F"/>
    <w:rsid w:val="009C4D17"/>
    <w:rsid w:val="009C63C0"/>
    <w:rsid w:val="009C7064"/>
    <w:rsid w:val="009D10C0"/>
    <w:rsid w:val="009D6B85"/>
    <w:rsid w:val="009E116E"/>
    <w:rsid w:val="009E182A"/>
    <w:rsid w:val="009E190F"/>
    <w:rsid w:val="009E1AEA"/>
    <w:rsid w:val="009E35B5"/>
    <w:rsid w:val="009E3D6E"/>
    <w:rsid w:val="009E42F2"/>
    <w:rsid w:val="009E604D"/>
    <w:rsid w:val="009E66C4"/>
    <w:rsid w:val="009E7DF3"/>
    <w:rsid w:val="009F1F15"/>
    <w:rsid w:val="009F22DF"/>
    <w:rsid w:val="009F37B4"/>
    <w:rsid w:val="009F4017"/>
    <w:rsid w:val="009F56B3"/>
    <w:rsid w:val="009F727D"/>
    <w:rsid w:val="00A04BD5"/>
    <w:rsid w:val="00A06AF5"/>
    <w:rsid w:val="00A104D4"/>
    <w:rsid w:val="00A126E6"/>
    <w:rsid w:val="00A14437"/>
    <w:rsid w:val="00A15971"/>
    <w:rsid w:val="00A20A03"/>
    <w:rsid w:val="00A24FA8"/>
    <w:rsid w:val="00A30576"/>
    <w:rsid w:val="00A30F97"/>
    <w:rsid w:val="00A326B1"/>
    <w:rsid w:val="00A34AC6"/>
    <w:rsid w:val="00A3527F"/>
    <w:rsid w:val="00A367CD"/>
    <w:rsid w:val="00A37760"/>
    <w:rsid w:val="00A37F07"/>
    <w:rsid w:val="00A419B3"/>
    <w:rsid w:val="00A425FC"/>
    <w:rsid w:val="00A44590"/>
    <w:rsid w:val="00A465E0"/>
    <w:rsid w:val="00A47339"/>
    <w:rsid w:val="00A473A7"/>
    <w:rsid w:val="00A47536"/>
    <w:rsid w:val="00A52937"/>
    <w:rsid w:val="00A52BA6"/>
    <w:rsid w:val="00A53A46"/>
    <w:rsid w:val="00A54D4C"/>
    <w:rsid w:val="00A54F7E"/>
    <w:rsid w:val="00A55C87"/>
    <w:rsid w:val="00A60E59"/>
    <w:rsid w:val="00A6113D"/>
    <w:rsid w:val="00A6164F"/>
    <w:rsid w:val="00A6168D"/>
    <w:rsid w:val="00A62155"/>
    <w:rsid w:val="00A62C9B"/>
    <w:rsid w:val="00A71A44"/>
    <w:rsid w:val="00A779C1"/>
    <w:rsid w:val="00A806F1"/>
    <w:rsid w:val="00A83B04"/>
    <w:rsid w:val="00A83E56"/>
    <w:rsid w:val="00A92DAD"/>
    <w:rsid w:val="00A94125"/>
    <w:rsid w:val="00A963C3"/>
    <w:rsid w:val="00AA44FA"/>
    <w:rsid w:val="00AA46D0"/>
    <w:rsid w:val="00AA53C4"/>
    <w:rsid w:val="00AA5C4F"/>
    <w:rsid w:val="00AA5F61"/>
    <w:rsid w:val="00AB067F"/>
    <w:rsid w:val="00AB0D9C"/>
    <w:rsid w:val="00AB248D"/>
    <w:rsid w:val="00AB2498"/>
    <w:rsid w:val="00AB2B93"/>
    <w:rsid w:val="00AB488D"/>
    <w:rsid w:val="00AB5720"/>
    <w:rsid w:val="00AB5B30"/>
    <w:rsid w:val="00AC0231"/>
    <w:rsid w:val="00AC1619"/>
    <w:rsid w:val="00AC4602"/>
    <w:rsid w:val="00AC51C0"/>
    <w:rsid w:val="00AD01D2"/>
    <w:rsid w:val="00AD03A6"/>
    <w:rsid w:val="00AD1A52"/>
    <w:rsid w:val="00AD2F9E"/>
    <w:rsid w:val="00AD452A"/>
    <w:rsid w:val="00AD5849"/>
    <w:rsid w:val="00AE05F1"/>
    <w:rsid w:val="00AE1659"/>
    <w:rsid w:val="00AE26A2"/>
    <w:rsid w:val="00AE51EC"/>
    <w:rsid w:val="00AE52B6"/>
    <w:rsid w:val="00AE6E0C"/>
    <w:rsid w:val="00AF01CF"/>
    <w:rsid w:val="00AF1E99"/>
    <w:rsid w:val="00AF32A9"/>
    <w:rsid w:val="00B014C2"/>
    <w:rsid w:val="00B01AC6"/>
    <w:rsid w:val="00B01E7B"/>
    <w:rsid w:val="00B033B8"/>
    <w:rsid w:val="00B04DBD"/>
    <w:rsid w:val="00B130BF"/>
    <w:rsid w:val="00B16BFA"/>
    <w:rsid w:val="00B17C2B"/>
    <w:rsid w:val="00B20369"/>
    <w:rsid w:val="00B219DE"/>
    <w:rsid w:val="00B221CA"/>
    <w:rsid w:val="00B23B0C"/>
    <w:rsid w:val="00B26A25"/>
    <w:rsid w:val="00B30133"/>
    <w:rsid w:val="00B30ED0"/>
    <w:rsid w:val="00B31842"/>
    <w:rsid w:val="00B37ECA"/>
    <w:rsid w:val="00B41D2B"/>
    <w:rsid w:val="00B4309E"/>
    <w:rsid w:val="00B45132"/>
    <w:rsid w:val="00B45711"/>
    <w:rsid w:val="00B45C8B"/>
    <w:rsid w:val="00B46611"/>
    <w:rsid w:val="00B52943"/>
    <w:rsid w:val="00B56AD2"/>
    <w:rsid w:val="00B6151B"/>
    <w:rsid w:val="00B62197"/>
    <w:rsid w:val="00B626F8"/>
    <w:rsid w:val="00B63137"/>
    <w:rsid w:val="00B67838"/>
    <w:rsid w:val="00B71C6B"/>
    <w:rsid w:val="00B74BCA"/>
    <w:rsid w:val="00B7774A"/>
    <w:rsid w:val="00B800E8"/>
    <w:rsid w:val="00B80D36"/>
    <w:rsid w:val="00B813DC"/>
    <w:rsid w:val="00B81761"/>
    <w:rsid w:val="00B81E82"/>
    <w:rsid w:val="00B82499"/>
    <w:rsid w:val="00B85F43"/>
    <w:rsid w:val="00B9092D"/>
    <w:rsid w:val="00B912E7"/>
    <w:rsid w:val="00B91475"/>
    <w:rsid w:val="00B931D1"/>
    <w:rsid w:val="00B954BB"/>
    <w:rsid w:val="00B97180"/>
    <w:rsid w:val="00B97542"/>
    <w:rsid w:val="00BA0A22"/>
    <w:rsid w:val="00BA7293"/>
    <w:rsid w:val="00BA7603"/>
    <w:rsid w:val="00BB09C5"/>
    <w:rsid w:val="00BB1832"/>
    <w:rsid w:val="00BB4180"/>
    <w:rsid w:val="00BB63D9"/>
    <w:rsid w:val="00BB6516"/>
    <w:rsid w:val="00BB6D20"/>
    <w:rsid w:val="00BC0302"/>
    <w:rsid w:val="00BC06E8"/>
    <w:rsid w:val="00BC16B4"/>
    <w:rsid w:val="00BC1DE4"/>
    <w:rsid w:val="00BC262B"/>
    <w:rsid w:val="00BC486B"/>
    <w:rsid w:val="00BC4AAD"/>
    <w:rsid w:val="00BC51A3"/>
    <w:rsid w:val="00BC70FB"/>
    <w:rsid w:val="00BD1934"/>
    <w:rsid w:val="00BD22EA"/>
    <w:rsid w:val="00BD3CD7"/>
    <w:rsid w:val="00BD44E2"/>
    <w:rsid w:val="00BE0EC8"/>
    <w:rsid w:val="00BE1338"/>
    <w:rsid w:val="00BE32A5"/>
    <w:rsid w:val="00BE4892"/>
    <w:rsid w:val="00BE515D"/>
    <w:rsid w:val="00BE6036"/>
    <w:rsid w:val="00BE622A"/>
    <w:rsid w:val="00BF13E2"/>
    <w:rsid w:val="00C024E1"/>
    <w:rsid w:val="00C02D2F"/>
    <w:rsid w:val="00C02EEC"/>
    <w:rsid w:val="00C044F2"/>
    <w:rsid w:val="00C04B3F"/>
    <w:rsid w:val="00C0764D"/>
    <w:rsid w:val="00C10CEA"/>
    <w:rsid w:val="00C11C6A"/>
    <w:rsid w:val="00C12C72"/>
    <w:rsid w:val="00C144AD"/>
    <w:rsid w:val="00C15742"/>
    <w:rsid w:val="00C1663D"/>
    <w:rsid w:val="00C16BBF"/>
    <w:rsid w:val="00C20EF9"/>
    <w:rsid w:val="00C21702"/>
    <w:rsid w:val="00C219FF"/>
    <w:rsid w:val="00C234B8"/>
    <w:rsid w:val="00C257B7"/>
    <w:rsid w:val="00C272F7"/>
    <w:rsid w:val="00C307D2"/>
    <w:rsid w:val="00C30B31"/>
    <w:rsid w:val="00C31F73"/>
    <w:rsid w:val="00C32F05"/>
    <w:rsid w:val="00C35132"/>
    <w:rsid w:val="00C37B14"/>
    <w:rsid w:val="00C37BC8"/>
    <w:rsid w:val="00C4088E"/>
    <w:rsid w:val="00C40FDA"/>
    <w:rsid w:val="00C43F6F"/>
    <w:rsid w:val="00C4520E"/>
    <w:rsid w:val="00C509E0"/>
    <w:rsid w:val="00C51784"/>
    <w:rsid w:val="00C5549D"/>
    <w:rsid w:val="00C60771"/>
    <w:rsid w:val="00C64F4A"/>
    <w:rsid w:val="00C66991"/>
    <w:rsid w:val="00C7152A"/>
    <w:rsid w:val="00C73791"/>
    <w:rsid w:val="00C73CB9"/>
    <w:rsid w:val="00C80D3A"/>
    <w:rsid w:val="00C82A06"/>
    <w:rsid w:val="00C82B27"/>
    <w:rsid w:val="00C85068"/>
    <w:rsid w:val="00C852AB"/>
    <w:rsid w:val="00C94E64"/>
    <w:rsid w:val="00CA051F"/>
    <w:rsid w:val="00CA0A26"/>
    <w:rsid w:val="00CA0B16"/>
    <w:rsid w:val="00CA181C"/>
    <w:rsid w:val="00CA334F"/>
    <w:rsid w:val="00CA4ADF"/>
    <w:rsid w:val="00CA5DE0"/>
    <w:rsid w:val="00CA6526"/>
    <w:rsid w:val="00CA6640"/>
    <w:rsid w:val="00CA7E59"/>
    <w:rsid w:val="00CB0847"/>
    <w:rsid w:val="00CB2CB2"/>
    <w:rsid w:val="00CB4D81"/>
    <w:rsid w:val="00CB5D7B"/>
    <w:rsid w:val="00CB6A16"/>
    <w:rsid w:val="00CB7A76"/>
    <w:rsid w:val="00CB7C96"/>
    <w:rsid w:val="00CB7E18"/>
    <w:rsid w:val="00CC1808"/>
    <w:rsid w:val="00CC76C2"/>
    <w:rsid w:val="00CD1E6F"/>
    <w:rsid w:val="00CD1F0C"/>
    <w:rsid w:val="00CD4C14"/>
    <w:rsid w:val="00CE09F6"/>
    <w:rsid w:val="00CE0F1A"/>
    <w:rsid w:val="00CE46A5"/>
    <w:rsid w:val="00CE5A53"/>
    <w:rsid w:val="00CF05DA"/>
    <w:rsid w:val="00CF370C"/>
    <w:rsid w:val="00CF5AE5"/>
    <w:rsid w:val="00CF5C7C"/>
    <w:rsid w:val="00D0275E"/>
    <w:rsid w:val="00D03BE9"/>
    <w:rsid w:val="00D07CDB"/>
    <w:rsid w:val="00D11D2F"/>
    <w:rsid w:val="00D135FA"/>
    <w:rsid w:val="00D159F5"/>
    <w:rsid w:val="00D16BE8"/>
    <w:rsid w:val="00D17FC9"/>
    <w:rsid w:val="00D215C9"/>
    <w:rsid w:val="00D22207"/>
    <w:rsid w:val="00D25DF0"/>
    <w:rsid w:val="00D30469"/>
    <w:rsid w:val="00D305DA"/>
    <w:rsid w:val="00D30630"/>
    <w:rsid w:val="00D315BC"/>
    <w:rsid w:val="00D33BC8"/>
    <w:rsid w:val="00D33C38"/>
    <w:rsid w:val="00D346C8"/>
    <w:rsid w:val="00D347F4"/>
    <w:rsid w:val="00D402F5"/>
    <w:rsid w:val="00D41B36"/>
    <w:rsid w:val="00D42829"/>
    <w:rsid w:val="00D4472A"/>
    <w:rsid w:val="00D507F1"/>
    <w:rsid w:val="00D5184D"/>
    <w:rsid w:val="00D51E6D"/>
    <w:rsid w:val="00D62CCB"/>
    <w:rsid w:val="00D67DC0"/>
    <w:rsid w:val="00D67E3F"/>
    <w:rsid w:val="00D7051C"/>
    <w:rsid w:val="00D71175"/>
    <w:rsid w:val="00D7256E"/>
    <w:rsid w:val="00D729A2"/>
    <w:rsid w:val="00D74282"/>
    <w:rsid w:val="00D751F5"/>
    <w:rsid w:val="00D75E37"/>
    <w:rsid w:val="00D81713"/>
    <w:rsid w:val="00D83212"/>
    <w:rsid w:val="00D84793"/>
    <w:rsid w:val="00D924D9"/>
    <w:rsid w:val="00D94C96"/>
    <w:rsid w:val="00D97223"/>
    <w:rsid w:val="00D97A9A"/>
    <w:rsid w:val="00DA3D80"/>
    <w:rsid w:val="00DA61A3"/>
    <w:rsid w:val="00DA723C"/>
    <w:rsid w:val="00DA7414"/>
    <w:rsid w:val="00DB28DC"/>
    <w:rsid w:val="00DB29B9"/>
    <w:rsid w:val="00DB35ED"/>
    <w:rsid w:val="00DB3BCB"/>
    <w:rsid w:val="00DC1972"/>
    <w:rsid w:val="00DC3053"/>
    <w:rsid w:val="00DC3091"/>
    <w:rsid w:val="00DC3289"/>
    <w:rsid w:val="00DC406B"/>
    <w:rsid w:val="00DC44CC"/>
    <w:rsid w:val="00DC4C6D"/>
    <w:rsid w:val="00DD0266"/>
    <w:rsid w:val="00DD28ED"/>
    <w:rsid w:val="00DD2D84"/>
    <w:rsid w:val="00DD32A1"/>
    <w:rsid w:val="00DD3C99"/>
    <w:rsid w:val="00DD42C2"/>
    <w:rsid w:val="00DD4ECC"/>
    <w:rsid w:val="00DD50FD"/>
    <w:rsid w:val="00DD7180"/>
    <w:rsid w:val="00DD7A97"/>
    <w:rsid w:val="00DE043D"/>
    <w:rsid w:val="00DE12EB"/>
    <w:rsid w:val="00DE1404"/>
    <w:rsid w:val="00DE5D69"/>
    <w:rsid w:val="00DE67FC"/>
    <w:rsid w:val="00DE6E2C"/>
    <w:rsid w:val="00DF0637"/>
    <w:rsid w:val="00DF0A7E"/>
    <w:rsid w:val="00DF2714"/>
    <w:rsid w:val="00DF4F04"/>
    <w:rsid w:val="00DF6643"/>
    <w:rsid w:val="00DF6B2B"/>
    <w:rsid w:val="00E007C1"/>
    <w:rsid w:val="00E02B02"/>
    <w:rsid w:val="00E03A78"/>
    <w:rsid w:val="00E07DF2"/>
    <w:rsid w:val="00E10D14"/>
    <w:rsid w:val="00E14351"/>
    <w:rsid w:val="00E147E0"/>
    <w:rsid w:val="00E2293F"/>
    <w:rsid w:val="00E22EBE"/>
    <w:rsid w:val="00E238D9"/>
    <w:rsid w:val="00E245B1"/>
    <w:rsid w:val="00E26AAA"/>
    <w:rsid w:val="00E26E54"/>
    <w:rsid w:val="00E33E43"/>
    <w:rsid w:val="00E374A8"/>
    <w:rsid w:val="00E4147B"/>
    <w:rsid w:val="00E424F8"/>
    <w:rsid w:val="00E42E89"/>
    <w:rsid w:val="00E45814"/>
    <w:rsid w:val="00E4618D"/>
    <w:rsid w:val="00E47E61"/>
    <w:rsid w:val="00E53C62"/>
    <w:rsid w:val="00E60458"/>
    <w:rsid w:val="00E650CE"/>
    <w:rsid w:val="00E65238"/>
    <w:rsid w:val="00E65F36"/>
    <w:rsid w:val="00E65F64"/>
    <w:rsid w:val="00E67992"/>
    <w:rsid w:val="00E70B81"/>
    <w:rsid w:val="00E73425"/>
    <w:rsid w:val="00E741B5"/>
    <w:rsid w:val="00E75633"/>
    <w:rsid w:val="00E76A2A"/>
    <w:rsid w:val="00E77E51"/>
    <w:rsid w:val="00E8088C"/>
    <w:rsid w:val="00E8283B"/>
    <w:rsid w:val="00E8717E"/>
    <w:rsid w:val="00E90C7E"/>
    <w:rsid w:val="00E91702"/>
    <w:rsid w:val="00E93D72"/>
    <w:rsid w:val="00E96283"/>
    <w:rsid w:val="00E96F82"/>
    <w:rsid w:val="00E97753"/>
    <w:rsid w:val="00EA2820"/>
    <w:rsid w:val="00EA34D6"/>
    <w:rsid w:val="00EA3F1F"/>
    <w:rsid w:val="00EA50BA"/>
    <w:rsid w:val="00EA5412"/>
    <w:rsid w:val="00EA57EF"/>
    <w:rsid w:val="00EB03F5"/>
    <w:rsid w:val="00EB11EE"/>
    <w:rsid w:val="00EB1BE8"/>
    <w:rsid w:val="00EB263C"/>
    <w:rsid w:val="00EB27E9"/>
    <w:rsid w:val="00EC2AD9"/>
    <w:rsid w:val="00EC3A4F"/>
    <w:rsid w:val="00EC59C9"/>
    <w:rsid w:val="00EC5C1C"/>
    <w:rsid w:val="00EC6973"/>
    <w:rsid w:val="00EC7346"/>
    <w:rsid w:val="00ED29AD"/>
    <w:rsid w:val="00ED3510"/>
    <w:rsid w:val="00ED377B"/>
    <w:rsid w:val="00ED6A1E"/>
    <w:rsid w:val="00EE1948"/>
    <w:rsid w:val="00EE2B7B"/>
    <w:rsid w:val="00EE424E"/>
    <w:rsid w:val="00EE4FC3"/>
    <w:rsid w:val="00EE7439"/>
    <w:rsid w:val="00EF0130"/>
    <w:rsid w:val="00EF02EC"/>
    <w:rsid w:val="00EF0674"/>
    <w:rsid w:val="00EF1B0A"/>
    <w:rsid w:val="00EF26A5"/>
    <w:rsid w:val="00EF335B"/>
    <w:rsid w:val="00EF4167"/>
    <w:rsid w:val="00EF5255"/>
    <w:rsid w:val="00EF662A"/>
    <w:rsid w:val="00EF6E5B"/>
    <w:rsid w:val="00EF7A99"/>
    <w:rsid w:val="00EF7D9D"/>
    <w:rsid w:val="00F010E4"/>
    <w:rsid w:val="00F067B2"/>
    <w:rsid w:val="00F06BE8"/>
    <w:rsid w:val="00F071F6"/>
    <w:rsid w:val="00F103C0"/>
    <w:rsid w:val="00F130C7"/>
    <w:rsid w:val="00F15932"/>
    <w:rsid w:val="00F16223"/>
    <w:rsid w:val="00F210C4"/>
    <w:rsid w:val="00F213B5"/>
    <w:rsid w:val="00F21BD7"/>
    <w:rsid w:val="00F24674"/>
    <w:rsid w:val="00F25271"/>
    <w:rsid w:val="00F258DB"/>
    <w:rsid w:val="00F27161"/>
    <w:rsid w:val="00F30110"/>
    <w:rsid w:val="00F303C0"/>
    <w:rsid w:val="00F3042A"/>
    <w:rsid w:val="00F33357"/>
    <w:rsid w:val="00F343C6"/>
    <w:rsid w:val="00F34BA0"/>
    <w:rsid w:val="00F34F76"/>
    <w:rsid w:val="00F35826"/>
    <w:rsid w:val="00F3582A"/>
    <w:rsid w:val="00F4573A"/>
    <w:rsid w:val="00F45FC6"/>
    <w:rsid w:val="00F46E40"/>
    <w:rsid w:val="00F5184C"/>
    <w:rsid w:val="00F53491"/>
    <w:rsid w:val="00F54C76"/>
    <w:rsid w:val="00F621F0"/>
    <w:rsid w:val="00F6350C"/>
    <w:rsid w:val="00F6526D"/>
    <w:rsid w:val="00F66DA2"/>
    <w:rsid w:val="00F708A4"/>
    <w:rsid w:val="00F73226"/>
    <w:rsid w:val="00F73CBA"/>
    <w:rsid w:val="00F73E4D"/>
    <w:rsid w:val="00F74837"/>
    <w:rsid w:val="00F768B2"/>
    <w:rsid w:val="00F77BBE"/>
    <w:rsid w:val="00F80221"/>
    <w:rsid w:val="00F86808"/>
    <w:rsid w:val="00F87021"/>
    <w:rsid w:val="00F924ED"/>
    <w:rsid w:val="00F9303A"/>
    <w:rsid w:val="00F938E2"/>
    <w:rsid w:val="00F93F65"/>
    <w:rsid w:val="00F942CC"/>
    <w:rsid w:val="00F94B10"/>
    <w:rsid w:val="00F95038"/>
    <w:rsid w:val="00F9656B"/>
    <w:rsid w:val="00FA1511"/>
    <w:rsid w:val="00FA2035"/>
    <w:rsid w:val="00FA3614"/>
    <w:rsid w:val="00FA6053"/>
    <w:rsid w:val="00FA6507"/>
    <w:rsid w:val="00FB128C"/>
    <w:rsid w:val="00FB1448"/>
    <w:rsid w:val="00FB2469"/>
    <w:rsid w:val="00FB4EBF"/>
    <w:rsid w:val="00FB55B2"/>
    <w:rsid w:val="00FC1889"/>
    <w:rsid w:val="00FC34C0"/>
    <w:rsid w:val="00FC4CC7"/>
    <w:rsid w:val="00FC6B93"/>
    <w:rsid w:val="00FC6E18"/>
    <w:rsid w:val="00FD42A6"/>
    <w:rsid w:val="00FD630D"/>
    <w:rsid w:val="00FE5007"/>
    <w:rsid w:val="00FE5EA3"/>
    <w:rsid w:val="00FE6043"/>
    <w:rsid w:val="00FE7777"/>
    <w:rsid w:val="00FE7937"/>
    <w:rsid w:val="00FF0BAE"/>
    <w:rsid w:val="00FF218F"/>
    <w:rsid w:val="00FF54DF"/>
    <w:rsid w:val="00FF5C79"/>
    <w:rsid w:val="00FF7B9D"/>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character" w:customStyle="1" w:styleId="apple-style-span">
    <w:name w:val="apple-style-span"/>
    <w:basedOn w:val="DefaultParagraphFont"/>
    <w:rsid w:val="00B97180"/>
  </w:style>
  <w:style w:type="paragraph" w:styleId="Signature">
    <w:name w:val="Signature"/>
    <w:basedOn w:val="Normal"/>
    <w:next w:val="EnvelopeReturn"/>
    <w:link w:val="SignatureChar"/>
    <w:rsid w:val="00CB6A16"/>
    <w:pPr>
      <w:keepNext/>
      <w:keepLines/>
      <w:widowControl w:val="0"/>
      <w:tabs>
        <w:tab w:val="right" w:pos="9072"/>
      </w:tabs>
      <w:suppressAutoHyphens/>
      <w:spacing w:before="600"/>
      <w:ind w:firstLine="720"/>
    </w:pPr>
    <w:rPr>
      <w:rFonts w:eastAsia="Times New Roman"/>
      <w:sz w:val="26"/>
    </w:rPr>
  </w:style>
  <w:style w:type="character" w:customStyle="1" w:styleId="SignatureChar">
    <w:name w:val="Signature Char"/>
    <w:basedOn w:val="DefaultParagraphFont"/>
    <w:link w:val="Signature"/>
    <w:rsid w:val="00CB6A16"/>
    <w:rPr>
      <w:rFonts w:eastAsia="Times New Roman" w:cs="Times New Roman"/>
      <w:sz w:val="26"/>
      <w:szCs w:val="20"/>
      <w:lang w:val="en-AU"/>
    </w:rPr>
  </w:style>
  <w:style w:type="paragraph" w:styleId="EnvelopeReturn">
    <w:name w:val="envelope return"/>
    <w:basedOn w:val="Normal"/>
    <w:uiPriority w:val="99"/>
    <w:unhideWhenUsed/>
    <w:rsid w:val="00CB6A16"/>
    <w:rPr>
      <w:rFonts w:ascii="Cambria" w:eastAsia="Times New Roman" w:hAnsi="Cambria"/>
    </w:rPr>
  </w:style>
  <w:style w:type="paragraph" w:customStyle="1" w:styleId="naisc">
    <w:name w:val="naisc"/>
    <w:basedOn w:val="Normal"/>
    <w:rsid w:val="00B17C2B"/>
    <w:pPr>
      <w:spacing w:before="94" w:after="94"/>
      <w:jc w:val="center"/>
    </w:pPr>
    <w:rPr>
      <w:rFonts w:eastAsia="Times New Roman"/>
      <w:sz w:val="24"/>
      <w:szCs w:val="24"/>
      <w:lang w:val="lv-LV" w:eastAsia="lv-LV"/>
    </w:rPr>
  </w:style>
  <w:style w:type="paragraph" w:styleId="NormalWeb">
    <w:name w:val="Normal (Web)"/>
    <w:basedOn w:val="Normal"/>
    <w:uiPriority w:val="99"/>
    <w:rsid w:val="00166B88"/>
    <w:pPr>
      <w:spacing w:before="100" w:beforeAutospacing="1" w:after="100" w:afterAutospacing="1"/>
    </w:pPr>
    <w:rPr>
      <w:rFonts w:eastAsia="Arial Unicode MS"/>
      <w:sz w:val="24"/>
      <w:szCs w:val="24"/>
      <w:lang w:val="en-GB"/>
    </w:rPr>
  </w:style>
  <w:style w:type="character" w:styleId="Emphasis">
    <w:name w:val="Emphasis"/>
    <w:basedOn w:val="DefaultParagraphFont"/>
    <w:uiPriority w:val="20"/>
    <w:qFormat/>
    <w:rsid w:val="00807DD6"/>
    <w:rPr>
      <w:i/>
      <w:iCs/>
    </w:rPr>
  </w:style>
  <w:style w:type="character" w:customStyle="1" w:styleId="st1">
    <w:name w:val="st1"/>
    <w:basedOn w:val="DefaultParagraphFont"/>
    <w:rsid w:val="004133BC"/>
  </w:style>
  <w:style w:type="character" w:styleId="CommentReference">
    <w:name w:val="annotation reference"/>
    <w:basedOn w:val="DefaultParagraphFont"/>
    <w:uiPriority w:val="99"/>
    <w:semiHidden/>
    <w:unhideWhenUsed/>
    <w:rsid w:val="00E8088C"/>
    <w:rPr>
      <w:sz w:val="16"/>
      <w:szCs w:val="16"/>
    </w:rPr>
  </w:style>
  <w:style w:type="paragraph" w:styleId="CommentText">
    <w:name w:val="annotation text"/>
    <w:basedOn w:val="Normal"/>
    <w:link w:val="CommentTextChar"/>
    <w:uiPriority w:val="99"/>
    <w:semiHidden/>
    <w:unhideWhenUsed/>
    <w:rsid w:val="00E8088C"/>
  </w:style>
  <w:style w:type="character" w:customStyle="1" w:styleId="CommentTextChar">
    <w:name w:val="Comment Text Char"/>
    <w:basedOn w:val="DefaultParagraphFont"/>
    <w:link w:val="CommentText"/>
    <w:uiPriority w:val="99"/>
    <w:semiHidden/>
    <w:rsid w:val="00E8088C"/>
    <w:rPr>
      <w:lang w:val="en-AU" w:eastAsia="en-US"/>
    </w:rPr>
  </w:style>
  <w:style w:type="paragraph" w:customStyle="1" w:styleId="tvhtml">
    <w:name w:val="tv_html"/>
    <w:basedOn w:val="Normal"/>
    <w:rsid w:val="008C14B4"/>
    <w:pPr>
      <w:spacing w:before="100" w:beforeAutospacing="1" w:after="100" w:afterAutospacing="1"/>
    </w:pPr>
    <w:rPr>
      <w:rFonts w:ascii="Verdana" w:eastAsia="Times New Roman" w:hAnsi="Verdana"/>
      <w:sz w:val="14"/>
      <w:szCs w:val="14"/>
      <w:lang w:val="lv-LV" w:eastAsia="lv-LV"/>
    </w:rPr>
  </w:style>
  <w:style w:type="paragraph" w:styleId="Date">
    <w:name w:val="Date"/>
    <w:basedOn w:val="Normal"/>
    <w:next w:val="Normal"/>
    <w:link w:val="DateChar"/>
    <w:uiPriority w:val="99"/>
    <w:semiHidden/>
    <w:unhideWhenUsed/>
    <w:rsid w:val="00EC6973"/>
  </w:style>
  <w:style w:type="character" w:customStyle="1" w:styleId="DateChar">
    <w:name w:val="Date Char"/>
    <w:basedOn w:val="DefaultParagraphFont"/>
    <w:link w:val="Date"/>
    <w:uiPriority w:val="99"/>
    <w:semiHidden/>
    <w:rsid w:val="00EC6973"/>
    <w:rPr>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550118591">
      <w:bodyDiv w:val="1"/>
      <w:marLeft w:val="0"/>
      <w:marRight w:val="0"/>
      <w:marTop w:val="0"/>
      <w:marBottom w:val="0"/>
      <w:divBdr>
        <w:top w:val="none" w:sz="0" w:space="0" w:color="auto"/>
        <w:left w:val="none" w:sz="0" w:space="0" w:color="auto"/>
        <w:bottom w:val="none" w:sz="0" w:space="0" w:color="auto"/>
        <w:right w:val="none" w:sz="0" w:space="0" w:color="auto"/>
      </w:divBdr>
    </w:div>
    <w:div w:id="693848510">
      <w:bodyDiv w:val="1"/>
      <w:marLeft w:val="0"/>
      <w:marRight w:val="0"/>
      <w:marTop w:val="0"/>
      <w:marBottom w:val="0"/>
      <w:divBdr>
        <w:top w:val="none" w:sz="0" w:space="0" w:color="auto"/>
        <w:left w:val="none" w:sz="0" w:space="0" w:color="auto"/>
        <w:bottom w:val="none" w:sz="0" w:space="0" w:color="auto"/>
        <w:right w:val="none" w:sz="0" w:space="0" w:color="auto"/>
      </w:divBdr>
    </w:div>
    <w:div w:id="1232346339">
      <w:bodyDiv w:val="1"/>
      <w:marLeft w:val="0"/>
      <w:marRight w:val="0"/>
      <w:marTop w:val="0"/>
      <w:marBottom w:val="0"/>
      <w:divBdr>
        <w:top w:val="none" w:sz="0" w:space="0" w:color="auto"/>
        <w:left w:val="none" w:sz="0" w:space="0" w:color="auto"/>
        <w:bottom w:val="none" w:sz="0" w:space="0" w:color="auto"/>
        <w:right w:val="none" w:sz="0" w:space="0" w:color="auto"/>
      </w:divBdr>
    </w:div>
    <w:div w:id="1620868621">
      <w:bodyDiv w:val="1"/>
      <w:marLeft w:val="0"/>
      <w:marRight w:val="0"/>
      <w:marTop w:val="0"/>
      <w:marBottom w:val="0"/>
      <w:divBdr>
        <w:top w:val="none" w:sz="0" w:space="0" w:color="auto"/>
        <w:left w:val="none" w:sz="0" w:space="0" w:color="auto"/>
        <w:bottom w:val="none" w:sz="0" w:space="0" w:color="auto"/>
        <w:right w:val="none" w:sz="0" w:space="0" w:color="auto"/>
      </w:divBdr>
    </w:div>
    <w:div w:id="190194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ur-lex.europa.eu/LexUriServ/LexUriServ.do?uri=OJ:L:2006:379:0005:01:LV: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06:379:0005:01:LV: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eur-lex.europa.eu/LexUriServ/LexUriServ.do?uri=OJ:L:2006:379:0005:01:LV:HTML" TargetMode="External"/><Relationship Id="rId4" Type="http://schemas.microsoft.com/office/2007/relationships/stylesWithEffects" Target="stylesWithEffects.xml"/><Relationship Id="rId9" Type="http://schemas.openxmlformats.org/officeDocument/2006/relationships/hyperlink" Target="http://eur-lex.europa.eu/LexUriServ/LexUriServ.do?uri=OJ:L:2008:214:0003:01:LV: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73B20B4-9315-4EF1-8281-5CC84271F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15</Pages>
  <Words>3695</Words>
  <Characters>26314</Characters>
  <Application>Microsoft Office Word</Application>
  <DocSecurity>0</DocSecurity>
  <Lines>1052</Lines>
  <Paragraphs>319</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2010.gada 30.marta noteikumos Nr.328 „Noteikumi par darbības programmas "Cilvēkresursi un nodarbinātība" papildinājuma 1.3.1.1.1.apakšaktivitātes "Atbalsts nodarbināto apmācībām komersantu </vt:lpstr>
    </vt:vector>
  </TitlesOfParts>
  <Company>LR Ekonomikas ministrija</Company>
  <LinksUpToDate>false</LinksUpToDate>
  <CharactersWithSpaces>29690</CharactersWithSpaces>
  <SharedDoc>false</SharedDoc>
  <HLinks>
    <vt:vector size="6" baseType="variant">
      <vt:variant>
        <vt:i4>8323164</vt:i4>
      </vt:variant>
      <vt:variant>
        <vt:i4>3</vt:i4>
      </vt:variant>
      <vt:variant>
        <vt:i4>0</vt:i4>
      </vt:variant>
      <vt:variant>
        <vt:i4>5</vt:i4>
      </vt:variant>
      <vt:variant>
        <vt:lpwstr>mailto:Viktorija.Rimjane@em.gov.lv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30.marta noteikumos Nr.328 „Noteikumi par darbības programmas "Cilvēkresursi un nodarbinātība" papildinājuma 1.3.1.1.1.apakšaktivitātes "Atbalsts nodarbināto apmācībām komersantu konkurētspējas veicināšanai – atbalsts partnerībās organizētām apmācībām" projektu iesniegumu atlases otro kārtu”” sākotnējās ietekmes novērtējuma ziņojums (anotācija)</dc:title>
  <dc:subject>Anotācija</dc:subject>
  <dc:creator>Zane.Dziluma@em.gov.lv</dc:creator>
  <dc:description>Zane.Dziluma@em.gov.lv, 67013225</dc:description>
  <cp:lastModifiedBy>Zane Dziļuma</cp:lastModifiedBy>
  <cp:revision>38</cp:revision>
  <cp:lastPrinted>2010-03-29T10:15:00Z</cp:lastPrinted>
  <dcterms:created xsi:type="dcterms:W3CDTF">2012-08-14T06:32:00Z</dcterms:created>
  <dcterms:modified xsi:type="dcterms:W3CDTF">2012-09-25T13:04:00Z</dcterms:modified>
</cp:coreProperties>
</file>