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B03D28" w:rsidRDefault="00880D7E" w:rsidP="00CE5A53">
      <w:pPr>
        <w:jc w:val="center"/>
        <w:outlineLvl w:val="0"/>
        <w:rPr>
          <w:rFonts w:eastAsia="Times New Roman"/>
          <w:b/>
          <w:sz w:val="24"/>
          <w:szCs w:val="24"/>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11"/>
      <w:bookmarkStart w:id="8" w:name="OLE_LINK3"/>
      <w:bookmarkStart w:id="9" w:name="OLE_LINK1"/>
      <w:bookmarkStart w:id="10" w:name="OLE_LINK2"/>
      <w:r w:rsidRPr="00B03D28">
        <w:rPr>
          <w:b/>
          <w:sz w:val="24"/>
          <w:szCs w:val="24"/>
          <w:lang w:val="lv-LV"/>
        </w:rPr>
        <w:t>Ministru kabine</w:t>
      </w:r>
      <w:r w:rsidR="000B5B40" w:rsidRPr="00B03D28">
        <w:rPr>
          <w:b/>
          <w:sz w:val="24"/>
          <w:szCs w:val="24"/>
          <w:lang w:val="lv-LV"/>
        </w:rPr>
        <w:t>ta noteikumu projekta „</w:t>
      </w:r>
      <w:r w:rsidR="002E3518" w:rsidRPr="00B03D28">
        <w:rPr>
          <w:b/>
          <w:sz w:val="24"/>
          <w:szCs w:val="24"/>
          <w:lang w:val="lv-LV"/>
        </w:rPr>
        <w:t>Grozījum</w:t>
      </w:r>
      <w:r w:rsidR="002E3518">
        <w:rPr>
          <w:b/>
          <w:sz w:val="24"/>
          <w:szCs w:val="24"/>
          <w:lang w:val="lv-LV"/>
        </w:rPr>
        <w:t>i</w:t>
      </w:r>
      <w:r w:rsidR="002E3518" w:rsidRPr="00B03D28">
        <w:rPr>
          <w:b/>
          <w:sz w:val="24"/>
          <w:szCs w:val="24"/>
          <w:lang w:val="lv-LV"/>
        </w:rPr>
        <w:t xml:space="preserve"> </w:t>
      </w:r>
      <w:r w:rsidRPr="00B03D28">
        <w:rPr>
          <w:b/>
          <w:sz w:val="24"/>
          <w:szCs w:val="24"/>
          <w:lang w:val="lv-LV"/>
        </w:rPr>
        <w:t>Ministru kabineta 2010.gada 13.aprīļa noteikumos Nr.361 „</w:t>
      </w:r>
      <w:r w:rsidRPr="00B03D28">
        <w:rPr>
          <w:rFonts w:eastAsia="Times New Roman"/>
          <w:b/>
          <w:bCs/>
          <w:sz w:val="24"/>
          <w:szCs w:val="24"/>
          <w:lang w:val="lv-LV" w:eastAsia="lv-LV"/>
        </w:rPr>
        <w:t>Noteikumi par darbības programmas „Uzņēmējdarbība un inovācijas” papildinājuma 2.1.2.1.1.apakšaktivitāti „Kompetences centri””</w:t>
      </w:r>
      <w:r w:rsidRPr="00B03D28">
        <w:rPr>
          <w:b/>
          <w:bCs/>
          <w:sz w:val="24"/>
          <w:szCs w:val="24"/>
          <w:lang w:val="lv-LV" w:eastAsia="lv-LV"/>
        </w:rPr>
        <w:t>”</w:t>
      </w:r>
      <w:r w:rsidR="007E5D4D" w:rsidRPr="00B03D28">
        <w:rPr>
          <w:rFonts w:eastAsia="Times New Roman"/>
          <w:b/>
          <w:sz w:val="24"/>
          <w:szCs w:val="24"/>
          <w:lang w:val="lv-LV" w:eastAsia="lv-LV"/>
        </w:rPr>
        <w:t xml:space="preserve"> sākotnējās ietekmes novērtējuma ziņojums (anotācija)</w:t>
      </w:r>
      <w:bookmarkEnd w:id="0"/>
      <w:bookmarkEnd w:id="1"/>
      <w:bookmarkEnd w:id="2"/>
    </w:p>
    <w:bookmarkEnd w:id="3"/>
    <w:bookmarkEnd w:id="4"/>
    <w:bookmarkEnd w:id="5"/>
    <w:bookmarkEnd w:id="6"/>
    <w:bookmarkEnd w:id="7"/>
    <w:p w:rsidR="004B638C" w:rsidRPr="00B03D28" w:rsidRDefault="004B638C"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BD3ABC"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8"/>
          <w:bookmarkEnd w:id="9"/>
          <w:bookmarkEnd w:id="10"/>
          <w:p w:rsidR="00BB09C5" w:rsidRPr="00B03D28" w:rsidRDefault="00E73425" w:rsidP="00CE5A53">
            <w:pPr>
              <w:jc w:val="center"/>
              <w:rPr>
                <w:rFonts w:eastAsia="Times New Roman"/>
                <w:b/>
                <w:sz w:val="24"/>
                <w:szCs w:val="24"/>
                <w:lang w:val="lv-LV" w:eastAsia="lv-LV"/>
              </w:rPr>
            </w:pPr>
            <w:r w:rsidRPr="00B03D28">
              <w:rPr>
                <w:rFonts w:eastAsia="Times New Roman"/>
                <w:b/>
                <w:sz w:val="24"/>
                <w:szCs w:val="24"/>
                <w:lang w:val="lv-LV" w:eastAsia="lv-LV"/>
              </w:rPr>
              <w:t xml:space="preserve">I.Tiesību akta projekta izstrādes </w:t>
            </w:r>
            <w:r w:rsidR="007E5D4D" w:rsidRPr="00B03D28">
              <w:rPr>
                <w:rFonts w:eastAsia="Times New Roman"/>
                <w:b/>
                <w:sz w:val="24"/>
                <w:szCs w:val="24"/>
                <w:lang w:val="lv-LV" w:eastAsia="lv-LV"/>
              </w:rPr>
              <w:t>nepieciešamība</w:t>
            </w:r>
          </w:p>
        </w:tc>
      </w:tr>
      <w:tr w:rsidR="00BB09C5" w:rsidRPr="00BD3ABC"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03D28" w:rsidRDefault="00BB09C5" w:rsidP="00CE5A53">
            <w:pPr>
              <w:rPr>
                <w:rFonts w:eastAsia="Times New Roman"/>
                <w:sz w:val="24"/>
                <w:szCs w:val="24"/>
                <w:lang w:val="lv-LV" w:eastAsia="lv-LV"/>
              </w:rPr>
            </w:pPr>
            <w:r w:rsidRPr="00B03D28">
              <w:rPr>
                <w:rFonts w:eastAsia="Times New Roman"/>
                <w:sz w:val="24"/>
                <w:szCs w:val="24"/>
                <w:lang w:val="lv-LV" w:eastAsia="lv-LV"/>
              </w:rPr>
              <w:t>1</w:t>
            </w:r>
            <w:r w:rsidR="00F15932" w:rsidRPr="00B03D28">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B03D28" w:rsidRDefault="00700070" w:rsidP="00CE5A53">
            <w:pPr>
              <w:jc w:val="both"/>
              <w:rPr>
                <w:sz w:val="24"/>
                <w:szCs w:val="24"/>
                <w:lang w:val="lv-LV"/>
              </w:rPr>
            </w:pPr>
            <w:r w:rsidRPr="00B03D28">
              <w:rPr>
                <w:sz w:val="24"/>
                <w:szCs w:val="24"/>
                <w:lang w:val="lv-LV"/>
              </w:rPr>
              <w:t xml:space="preserve">Noteikumu projekts sagatavots, pamatojoties uz Eiropas Savienības struktūrfondu un </w:t>
            </w:r>
            <w:r w:rsidRPr="00B03D28">
              <w:rPr>
                <w:sz w:val="24"/>
                <w:szCs w:val="24"/>
                <w:lang w:val="lv-LV"/>
              </w:rPr>
              <w:br/>
              <w:t xml:space="preserve">Kohēzijas fonda vadības likuma </w:t>
            </w:r>
            <w:r w:rsidRPr="00B03D28">
              <w:rPr>
                <w:sz w:val="24"/>
                <w:szCs w:val="24"/>
                <w:lang w:val="lv-LV"/>
              </w:rPr>
              <w:br/>
              <w:t>18.panta 10.punktu.</w:t>
            </w:r>
          </w:p>
        </w:tc>
      </w:tr>
      <w:tr w:rsidR="00BB09C5" w:rsidRPr="00BD3ABC"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03D28" w:rsidRDefault="00BB09C5" w:rsidP="00CE5A53">
            <w:pPr>
              <w:rPr>
                <w:rFonts w:eastAsia="Times New Roman"/>
                <w:sz w:val="24"/>
                <w:szCs w:val="24"/>
                <w:lang w:val="lv-LV" w:eastAsia="lv-LV"/>
              </w:rPr>
            </w:pPr>
            <w:r w:rsidRPr="00B03D28">
              <w:rPr>
                <w:rFonts w:eastAsia="Times New Roman"/>
                <w:sz w:val="24"/>
                <w:szCs w:val="24"/>
                <w:lang w:val="lv-LV" w:eastAsia="lv-LV"/>
              </w:rPr>
              <w:t>2</w:t>
            </w:r>
            <w:r w:rsidR="00F15932" w:rsidRPr="00B03D28">
              <w:rPr>
                <w:rFonts w:eastAsia="Times New Roman"/>
                <w:sz w:val="24"/>
                <w:szCs w:val="24"/>
                <w:lang w:val="lv-LV" w:eastAsia="lv-LV"/>
              </w:rPr>
              <w:t>. Pašreizējā situācija un problēma</w:t>
            </w:r>
            <w:r w:rsidR="007E5D4D" w:rsidRPr="00B03D28">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E7AD3" w:rsidRPr="00B03D28" w:rsidRDefault="001E7AD3" w:rsidP="001E7AD3">
            <w:pPr>
              <w:spacing w:before="75"/>
              <w:ind w:firstLine="552"/>
              <w:jc w:val="both"/>
              <w:rPr>
                <w:sz w:val="24"/>
                <w:szCs w:val="24"/>
                <w:lang w:val="lv-LV"/>
              </w:rPr>
            </w:pPr>
            <w:r w:rsidRPr="00B03D28">
              <w:rPr>
                <w:rFonts w:eastAsia="Times New Roman"/>
                <w:sz w:val="24"/>
                <w:szCs w:val="24"/>
                <w:lang w:val="lv-LV" w:eastAsia="lv-LV"/>
              </w:rPr>
              <w:t xml:space="preserve">2010.gada 13.aprīlī Ministru kabinets apstiprināja </w:t>
            </w:r>
            <w:r w:rsidRPr="00B03D28">
              <w:rPr>
                <w:sz w:val="24"/>
                <w:szCs w:val="24"/>
                <w:lang w:val="lv-LV"/>
              </w:rPr>
              <w:t>Ministru kabineta noteikumus Nr.361 „</w:t>
            </w:r>
            <w:r w:rsidRPr="00B03D28">
              <w:rPr>
                <w:rFonts w:eastAsia="Times New Roman"/>
                <w:bCs/>
                <w:sz w:val="24"/>
                <w:szCs w:val="24"/>
                <w:lang w:val="lv-LV" w:eastAsia="lv-LV"/>
              </w:rPr>
              <w:t>Noteikumi par darbības programmas „Uzņēmējdarbība un inovācijas” papildinājuma 2.1.2.1.1.apakšaktivitāti „Kompetences centri”” (turpmāk - MK noteikumi Nr.361).</w:t>
            </w:r>
          </w:p>
          <w:p w:rsidR="001E7AD3" w:rsidRPr="00B03D28" w:rsidRDefault="001E7AD3" w:rsidP="001E7AD3">
            <w:pPr>
              <w:spacing w:after="75"/>
              <w:ind w:firstLine="552"/>
              <w:jc w:val="both"/>
              <w:rPr>
                <w:sz w:val="24"/>
                <w:szCs w:val="24"/>
                <w:lang w:val="lv-LV"/>
              </w:rPr>
            </w:pPr>
            <w:r w:rsidRPr="00B03D28">
              <w:rPr>
                <w:rFonts w:eastAsia="Times New Roman"/>
                <w:sz w:val="24"/>
                <w:szCs w:val="24"/>
                <w:lang w:val="lv-LV" w:eastAsia="lv-LV"/>
              </w:rPr>
              <w:t xml:space="preserve">MK noteikumi Nr.361 nosaka, ka 2.1.2.1.1.apakšaktivitātē projektus iesniedz </w:t>
            </w:r>
            <w:r w:rsidRPr="00B03D28">
              <w:rPr>
                <w:sz w:val="24"/>
                <w:szCs w:val="24"/>
                <w:lang w:val="lv-LV"/>
              </w:rPr>
              <w:t xml:space="preserve">kompetences centri – juridiskas personas –, kas apvieno zinātniskos un nozares sadarbības partnerus (kopā saukti – sadarbības partneri). Kompetences centrā ir vismaz viens zinātniskais sadarbības partneris un vismaz trīs savstarpēji nesaistīti nozares sadarbības partneri. Maksimāli pieļaujamais </w:t>
            </w:r>
            <w:r w:rsidR="004E36C8" w:rsidRPr="00B03D28">
              <w:rPr>
                <w:sz w:val="24"/>
                <w:szCs w:val="24"/>
                <w:lang w:val="lv-LV"/>
              </w:rPr>
              <w:t>Eiropas Reģionālā attīstības fonda (turpmāk – ERAF)</w:t>
            </w:r>
            <w:r w:rsidRPr="00B03D28">
              <w:rPr>
                <w:sz w:val="24"/>
                <w:szCs w:val="24"/>
                <w:lang w:val="lv-LV"/>
              </w:rPr>
              <w:t xml:space="preserve"> finansējuma apmērs vienam projektam ir 6 250 000 latu. Kopējais 2.1.2.1.1.apakšaktivitātes ERAF finansējums ir 36 320 910,72 lati. </w:t>
            </w:r>
          </w:p>
          <w:p w:rsidR="001E7AD3" w:rsidRPr="00B03D28" w:rsidRDefault="001E7AD3" w:rsidP="001E7AD3">
            <w:pPr>
              <w:spacing w:after="75"/>
              <w:ind w:firstLine="552"/>
              <w:jc w:val="both"/>
              <w:rPr>
                <w:sz w:val="24"/>
                <w:szCs w:val="24"/>
                <w:lang w:val="lv-LV"/>
              </w:rPr>
            </w:pPr>
            <w:r w:rsidRPr="00B03D28">
              <w:rPr>
                <w:rFonts w:eastAsia="Times New Roman"/>
                <w:sz w:val="24"/>
                <w:szCs w:val="24"/>
                <w:lang w:val="lv-LV" w:eastAsia="lv-LV"/>
              </w:rPr>
              <w:t xml:space="preserve">Projekta iesniegumu pieņemšana 2.1.2.1.1.apakšaktivitātē notika no 2010.gada 2.augusta līdz 2010.gada 30.septembrim un kopā tika iesniegti 9 projekti par kopējo pieprasīto finansējumu </w:t>
            </w:r>
            <w:r w:rsidR="00054808" w:rsidRPr="00B03D28">
              <w:rPr>
                <w:bCs/>
                <w:sz w:val="24"/>
                <w:szCs w:val="24"/>
                <w:lang w:val="lv-LV"/>
              </w:rPr>
              <w:t>56 773 021</w:t>
            </w:r>
            <w:r w:rsidRPr="00B03D28">
              <w:rPr>
                <w:bCs/>
                <w:sz w:val="24"/>
                <w:szCs w:val="24"/>
                <w:lang w:val="lv-LV"/>
              </w:rPr>
              <w:t xml:space="preserve"> lati</w:t>
            </w:r>
            <w:r w:rsidR="00054808" w:rsidRPr="00B03D28">
              <w:rPr>
                <w:bCs/>
                <w:sz w:val="24"/>
                <w:szCs w:val="24"/>
                <w:lang w:val="lv-LV"/>
              </w:rPr>
              <w:t>em</w:t>
            </w:r>
            <w:r w:rsidRPr="00B03D28">
              <w:rPr>
                <w:bCs/>
                <w:sz w:val="24"/>
                <w:szCs w:val="24"/>
                <w:lang w:val="lv-LV"/>
              </w:rPr>
              <w:t>.</w:t>
            </w:r>
          </w:p>
          <w:p w:rsidR="001E7AD3" w:rsidRPr="00B03D28" w:rsidRDefault="001E7AD3" w:rsidP="001E7AD3">
            <w:pPr>
              <w:spacing w:after="75"/>
              <w:ind w:firstLine="552"/>
              <w:jc w:val="both"/>
              <w:rPr>
                <w:bCs/>
                <w:sz w:val="24"/>
                <w:szCs w:val="24"/>
                <w:lang w:val="lv-LV"/>
              </w:rPr>
            </w:pPr>
            <w:r w:rsidRPr="00B03D28">
              <w:rPr>
                <w:bCs/>
                <w:sz w:val="24"/>
                <w:szCs w:val="24"/>
                <w:lang w:val="lv-LV"/>
              </w:rPr>
              <w:t xml:space="preserve">Tā rezultātā aktuāls ir jautājums par papildu finansējuma pārdalīšanu 2.1.2.1.1.apakšaktivitātei, lai nodrošinātu tās efektīvu īstenošanu. Finansējuma pārdales nepieciešamība ir balstīta uz </w:t>
            </w:r>
            <w:r w:rsidR="00BF344D">
              <w:rPr>
                <w:bCs/>
                <w:sz w:val="24"/>
                <w:szCs w:val="24"/>
                <w:lang w:val="lv-LV"/>
              </w:rPr>
              <w:t>šādiem</w:t>
            </w:r>
            <w:r w:rsidR="00BF344D" w:rsidRPr="00B03D28">
              <w:rPr>
                <w:bCs/>
                <w:sz w:val="24"/>
                <w:szCs w:val="24"/>
                <w:lang w:val="lv-LV"/>
              </w:rPr>
              <w:t xml:space="preserve"> </w:t>
            </w:r>
            <w:r w:rsidRPr="00B03D28">
              <w:rPr>
                <w:bCs/>
                <w:sz w:val="24"/>
                <w:szCs w:val="24"/>
                <w:lang w:val="lv-LV"/>
              </w:rPr>
              <w:t xml:space="preserve">aspektiem: </w:t>
            </w:r>
          </w:p>
          <w:p w:rsidR="001E7AD3" w:rsidRPr="00B03D28" w:rsidRDefault="001E7AD3" w:rsidP="001E7AD3">
            <w:pPr>
              <w:spacing w:after="75"/>
              <w:ind w:firstLine="552"/>
              <w:jc w:val="both"/>
              <w:rPr>
                <w:bCs/>
                <w:sz w:val="24"/>
                <w:szCs w:val="24"/>
                <w:lang w:val="lv-LV"/>
              </w:rPr>
            </w:pPr>
            <w:r w:rsidRPr="00B03D28">
              <w:rPr>
                <w:bCs/>
                <w:sz w:val="24"/>
                <w:szCs w:val="24"/>
                <w:lang w:val="lv-LV"/>
              </w:rPr>
              <w:t>1) Pašreiz ir apstiprināt</w:t>
            </w:r>
            <w:r w:rsidR="00F4498B" w:rsidRPr="00B03D28">
              <w:rPr>
                <w:bCs/>
                <w:sz w:val="24"/>
                <w:szCs w:val="24"/>
                <w:lang w:val="lv-LV"/>
              </w:rPr>
              <w:t>i</w:t>
            </w:r>
            <w:r w:rsidRPr="00B03D28">
              <w:rPr>
                <w:bCs/>
                <w:sz w:val="24"/>
                <w:szCs w:val="24"/>
                <w:lang w:val="lv-LV"/>
              </w:rPr>
              <w:t xml:space="preserve"> </w:t>
            </w:r>
            <w:r w:rsidR="00762A8E">
              <w:rPr>
                <w:bCs/>
                <w:sz w:val="24"/>
                <w:szCs w:val="24"/>
                <w:lang w:val="lv-LV"/>
              </w:rPr>
              <w:t>pieci</w:t>
            </w:r>
            <w:r w:rsidR="00762A8E" w:rsidRPr="00B03D28">
              <w:rPr>
                <w:bCs/>
                <w:sz w:val="24"/>
                <w:szCs w:val="24"/>
                <w:lang w:val="lv-LV"/>
              </w:rPr>
              <w:t xml:space="preserve"> </w:t>
            </w:r>
            <w:r w:rsidRPr="00B03D28">
              <w:rPr>
                <w:bCs/>
                <w:sz w:val="24"/>
                <w:szCs w:val="24"/>
                <w:lang w:val="lv-LV"/>
              </w:rPr>
              <w:t>kompetences centru projekt</w:t>
            </w:r>
            <w:r w:rsidR="00F4498B" w:rsidRPr="00B03D28">
              <w:rPr>
                <w:bCs/>
                <w:sz w:val="24"/>
                <w:szCs w:val="24"/>
                <w:lang w:val="lv-LV"/>
              </w:rPr>
              <w:t>i</w:t>
            </w:r>
            <w:r w:rsidRPr="00B03D28">
              <w:rPr>
                <w:bCs/>
                <w:sz w:val="24"/>
                <w:szCs w:val="24"/>
                <w:lang w:val="lv-LV"/>
              </w:rPr>
              <w:t xml:space="preserve">, kam kopā ir </w:t>
            </w:r>
            <w:r w:rsidR="00F4498B" w:rsidRPr="00B03D28">
              <w:rPr>
                <w:bCs/>
                <w:sz w:val="24"/>
                <w:szCs w:val="24"/>
                <w:lang w:val="lv-LV"/>
              </w:rPr>
              <w:t>piešķirts</w:t>
            </w:r>
            <w:r w:rsidRPr="00B03D28">
              <w:rPr>
                <w:bCs/>
                <w:sz w:val="24"/>
                <w:szCs w:val="24"/>
                <w:lang w:val="lv-LV"/>
              </w:rPr>
              <w:t xml:space="preserve"> </w:t>
            </w:r>
            <w:r w:rsidR="00F4498B" w:rsidRPr="00B03D28">
              <w:rPr>
                <w:bCs/>
                <w:sz w:val="24"/>
                <w:szCs w:val="24"/>
                <w:lang w:val="lv-LV"/>
              </w:rPr>
              <w:t>31 124 243</w:t>
            </w:r>
            <w:r w:rsidRPr="00B03D28">
              <w:rPr>
                <w:bCs/>
                <w:sz w:val="24"/>
                <w:szCs w:val="24"/>
                <w:lang w:val="lv-LV"/>
              </w:rPr>
              <w:t xml:space="preserve"> latu liels ERAF finansējums. Tā rezultātā 2.1.2.1.1.apakšaktivitātes ietvaros neizmantoti paliek </w:t>
            </w:r>
            <w:r w:rsidR="00D77F11" w:rsidRPr="00B03D28">
              <w:rPr>
                <w:bCs/>
                <w:sz w:val="24"/>
                <w:szCs w:val="24"/>
                <w:lang w:val="lv-LV"/>
              </w:rPr>
              <w:t xml:space="preserve">5 196 668 </w:t>
            </w:r>
            <w:r w:rsidRPr="00B03D28">
              <w:rPr>
                <w:bCs/>
                <w:sz w:val="24"/>
                <w:szCs w:val="24"/>
                <w:lang w:val="lv-LV"/>
              </w:rPr>
              <w:t xml:space="preserve">lati. Lai papildus būtu iespējams finansēt vēl vienu kompetences centru, ir nepieciešams pārdalīt </w:t>
            </w:r>
            <w:r w:rsidR="00D77F11" w:rsidRPr="00B03D28">
              <w:rPr>
                <w:bCs/>
                <w:color w:val="000000"/>
                <w:sz w:val="24"/>
                <w:szCs w:val="24"/>
                <w:lang w:val="lv-LV"/>
              </w:rPr>
              <w:t>1 053 332</w:t>
            </w:r>
            <w:r w:rsidRPr="00B03D28">
              <w:rPr>
                <w:bCs/>
                <w:sz w:val="24"/>
                <w:szCs w:val="24"/>
                <w:lang w:val="lv-LV"/>
              </w:rPr>
              <w:t xml:space="preserve"> latus, kas nodrošinātu pilnīgu 2.1.2.1.1.apakšaktivitātes ERAF finansējuma apguvi. </w:t>
            </w:r>
          </w:p>
          <w:p w:rsidR="001E7AD3" w:rsidRPr="00B03D28" w:rsidRDefault="001E7AD3" w:rsidP="001E7AD3">
            <w:pPr>
              <w:ind w:firstLine="552"/>
              <w:jc w:val="both"/>
              <w:rPr>
                <w:sz w:val="24"/>
                <w:szCs w:val="24"/>
                <w:lang w:val="lv-LV"/>
              </w:rPr>
            </w:pPr>
            <w:r w:rsidRPr="00B03D28">
              <w:rPr>
                <w:sz w:val="24"/>
                <w:szCs w:val="24"/>
                <w:lang w:val="lv-LV"/>
              </w:rPr>
              <w:t>2) Pašreiz neapgūts finansējums</w:t>
            </w:r>
            <w:r w:rsidR="00350552" w:rsidRPr="00B03D28">
              <w:rPr>
                <w:sz w:val="24"/>
                <w:szCs w:val="24"/>
                <w:lang w:val="lv-LV"/>
              </w:rPr>
              <w:t xml:space="preserve"> ir</w:t>
            </w:r>
            <w:r w:rsidRPr="00B03D28">
              <w:rPr>
                <w:sz w:val="24"/>
                <w:szCs w:val="24"/>
                <w:lang w:val="lv-LV"/>
              </w:rPr>
              <w:t xml:space="preserve"> 2.1.2.1.2.apakšaktivitātē </w:t>
            </w:r>
            <w:r w:rsidR="00D77F11" w:rsidRPr="00B03D28">
              <w:rPr>
                <w:sz w:val="24"/>
                <w:szCs w:val="24"/>
                <w:lang w:val="lv-LV"/>
              </w:rPr>
              <w:t>204 230</w:t>
            </w:r>
            <w:r w:rsidRPr="00B03D28">
              <w:rPr>
                <w:sz w:val="24"/>
                <w:szCs w:val="24"/>
                <w:lang w:val="lv-LV"/>
              </w:rPr>
              <w:t xml:space="preserve"> lati, 2.1.2.2.1.apakšaktivitātē </w:t>
            </w:r>
            <w:r w:rsidR="00D77F11" w:rsidRPr="00B03D28">
              <w:rPr>
                <w:sz w:val="24"/>
                <w:szCs w:val="24"/>
                <w:lang w:val="lv-LV"/>
              </w:rPr>
              <w:t>674 132</w:t>
            </w:r>
            <w:r w:rsidRPr="00B03D28">
              <w:rPr>
                <w:sz w:val="24"/>
                <w:szCs w:val="24"/>
                <w:lang w:val="lv-LV"/>
              </w:rPr>
              <w:t xml:space="preserve"> lati un 2.1.2.2.3.apakšaktivitātē 646 </w:t>
            </w:r>
            <w:r w:rsidR="00D77F11" w:rsidRPr="00B03D28">
              <w:rPr>
                <w:sz w:val="24"/>
                <w:szCs w:val="24"/>
                <w:lang w:val="lv-LV"/>
              </w:rPr>
              <w:t>798</w:t>
            </w:r>
            <w:r w:rsidRPr="00B03D28">
              <w:rPr>
                <w:sz w:val="24"/>
                <w:szCs w:val="24"/>
                <w:lang w:val="lv-LV"/>
              </w:rPr>
              <w:t xml:space="preserve"> lati. Šo trīs apakšaktivitāšu neapgūtais finansējums kopā veido 1 525 </w:t>
            </w:r>
            <w:r w:rsidR="00D77F11" w:rsidRPr="00B03D28">
              <w:rPr>
                <w:sz w:val="24"/>
                <w:szCs w:val="24"/>
                <w:lang w:val="lv-LV"/>
              </w:rPr>
              <w:t>160</w:t>
            </w:r>
            <w:r w:rsidRPr="00B03D28">
              <w:rPr>
                <w:sz w:val="24"/>
                <w:szCs w:val="24"/>
                <w:lang w:val="lv-LV"/>
              </w:rPr>
              <w:t xml:space="preserve"> latus. </w:t>
            </w:r>
            <w:r w:rsidR="004E36C8" w:rsidRPr="00B03D28">
              <w:rPr>
                <w:sz w:val="24"/>
                <w:szCs w:val="24"/>
                <w:lang w:val="lv-LV"/>
              </w:rPr>
              <w:t xml:space="preserve">Tā kā iesniegumu pieņemšana šajās apakšaktivitātēs ir noslēgusies </w:t>
            </w:r>
            <w:r w:rsidR="004E36C8" w:rsidRPr="00B03D28">
              <w:rPr>
                <w:sz w:val="24"/>
                <w:szCs w:val="24"/>
                <w:lang w:val="lv-LV"/>
              </w:rPr>
              <w:lastRenderedPageBreak/>
              <w:t>un jauni uzsaukumi vairs netiek plānoti, tad i</w:t>
            </w:r>
            <w:r w:rsidR="00F4498B" w:rsidRPr="00B03D28">
              <w:rPr>
                <w:sz w:val="24"/>
                <w:szCs w:val="24"/>
                <w:lang w:val="lv-LV"/>
              </w:rPr>
              <w:t xml:space="preserve">r iespējams veikt finansējuma pārdali </w:t>
            </w:r>
            <w:r w:rsidR="004E36C8" w:rsidRPr="00B03D28">
              <w:rPr>
                <w:sz w:val="24"/>
                <w:szCs w:val="24"/>
                <w:lang w:val="lv-LV"/>
              </w:rPr>
              <w:t>par neizmantoto finansējumu no šīm apakšaktivitātēm. Šo</w:t>
            </w:r>
            <w:r w:rsidR="00F4498B" w:rsidRPr="00B03D28">
              <w:rPr>
                <w:sz w:val="24"/>
                <w:szCs w:val="24"/>
                <w:lang w:val="lv-LV"/>
              </w:rPr>
              <w:t xml:space="preserve"> </w:t>
            </w:r>
            <w:r w:rsidR="00BF344D">
              <w:rPr>
                <w:sz w:val="24"/>
                <w:szCs w:val="24"/>
                <w:lang w:val="lv-LV"/>
              </w:rPr>
              <w:t>trīs</w:t>
            </w:r>
            <w:r w:rsidR="00BF344D" w:rsidRPr="00B03D28">
              <w:rPr>
                <w:sz w:val="24"/>
                <w:szCs w:val="24"/>
                <w:lang w:val="lv-LV"/>
              </w:rPr>
              <w:t xml:space="preserve"> </w:t>
            </w:r>
            <w:r w:rsidR="00F4498B" w:rsidRPr="00B03D28">
              <w:rPr>
                <w:sz w:val="24"/>
                <w:szCs w:val="24"/>
                <w:lang w:val="lv-LV"/>
              </w:rPr>
              <w:t>apakšaktivitā</w:t>
            </w:r>
            <w:r w:rsidR="004E36C8" w:rsidRPr="00B03D28">
              <w:rPr>
                <w:sz w:val="24"/>
                <w:szCs w:val="24"/>
                <w:lang w:val="lv-LV"/>
              </w:rPr>
              <w:t>šu</w:t>
            </w:r>
            <w:r w:rsidR="00F4498B" w:rsidRPr="00B03D28">
              <w:rPr>
                <w:sz w:val="24"/>
                <w:szCs w:val="24"/>
                <w:lang w:val="lv-LV"/>
              </w:rPr>
              <w:t xml:space="preserve"> </w:t>
            </w:r>
            <w:r w:rsidR="00BF344D">
              <w:rPr>
                <w:sz w:val="24"/>
                <w:szCs w:val="24"/>
                <w:lang w:val="lv-LV"/>
              </w:rPr>
              <w:t>izvirzītie</w:t>
            </w:r>
            <w:r w:rsidR="00BF344D" w:rsidRPr="00B03D28">
              <w:rPr>
                <w:sz w:val="24"/>
                <w:szCs w:val="24"/>
                <w:lang w:val="lv-LV"/>
              </w:rPr>
              <w:t xml:space="preserve"> </w:t>
            </w:r>
            <w:r w:rsidR="00F4498B" w:rsidRPr="00B03D28">
              <w:rPr>
                <w:sz w:val="24"/>
                <w:szCs w:val="24"/>
                <w:lang w:val="lv-LV"/>
              </w:rPr>
              <w:t xml:space="preserve">mērķi </w:t>
            </w:r>
            <w:r w:rsidR="004E36C8" w:rsidRPr="00B03D28">
              <w:rPr>
                <w:sz w:val="24"/>
                <w:szCs w:val="24"/>
                <w:lang w:val="lv-LV"/>
              </w:rPr>
              <w:t xml:space="preserve">un sasniedzamie uzdevumi </w:t>
            </w:r>
            <w:r w:rsidR="00F4498B" w:rsidRPr="00B03D28">
              <w:rPr>
                <w:sz w:val="24"/>
                <w:szCs w:val="24"/>
                <w:lang w:val="lv-LV"/>
              </w:rPr>
              <w:t>ir ļoti līdzīg</w:t>
            </w:r>
            <w:r w:rsidR="004E36C8" w:rsidRPr="00B03D28">
              <w:rPr>
                <w:sz w:val="24"/>
                <w:szCs w:val="24"/>
                <w:lang w:val="lv-LV"/>
              </w:rPr>
              <w:t>i 2.1.2.1.1.apakšaktivitātes mērķiem un uzdevumiem</w:t>
            </w:r>
            <w:r w:rsidR="00F4498B" w:rsidRPr="00B03D28">
              <w:rPr>
                <w:sz w:val="24"/>
                <w:szCs w:val="24"/>
                <w:lang w:val="lv-LV"/>
              </w:rPr>
              <w:t xml:space="preserve">, jo </w:t>
            </w:r>
            <w:r w:rsidR="004E36C8" w:rsidRPr="00B03D28">
              <w:rPr>
                <w:sz w:val="24"/>
                <w:szCs w:val="24"/>
                <w:lang w:val="lv-LV"/>
              </w:rPr>
              <w:t>iepriekšminētajās</w:t>
            </w:r>
            <w:r w:rsidR="00F4498B" w:rsidRPr="00B03D28">
              <w:rPr>
                <w:sz w:val="24"/>
                <w:szCs w:val="24"/>
                <w:lang w:val="lv-LV"/>
              </w:rPr>
              <w:t xml:space="preserve"> apakšaktivitātē</w:t>
            </w:r>
            <w:r w:rsidR="004E36C8" w:rsidRPr="00B03D28">
              <w:rPr>
                <w:sz w:val="24"/>
                <w:szCs w:val="24"/>
                <w:lang w:val="lv-LV"/>
              </w:rPr>
              <w:t>s</w:t>
            </w:r>
            <w:r w:rsidR="00F4498B" w:rsidRPr="00B03D28">
              <w:rPr>
                <w:sz w:val="24"/>
                <w:szCs w:val="24"/>
                <w:lang w:val="lv-LV"/>
              </w:rPr>
              <w:t xml:space="preserve"> </w:t>
            </w:r>
            <w:r w:rsidR="004E36C8" w:rsidRPr="00B03D28">
              <w:rPr>
                <w:sz w:val="24"/>
                <w:szCs w:val="24"/>
                <w:lang w:val="lv-LV"/>
              </w:rPr>
              <w:t>tāpat tiek atbalstīta</w:t>
            </w:r>
            <w:r w:rsidR="00F4498B" w:rsidRPr="00B03D28">
              <w:rPr>
                <w:sz w:val="24"/>
                <w:szCs w:val="24"/>
                <w:lang w:val="lv-LV"/>
              </w:rPr>
              <w:t xml:space="preserve"> jaunu p</w:t>
            </w:r>
            <w:r w:rsidR="004E36C8" w:rsidRPr="00B03D28">
              <w:rPr>
                <w:sz w:val="24"/>
                <w:szCs w:val="24"/>
                <w:lang w:val="lv-LV"/>
              </w:rPr>
              <w:t>roduktu un tehnoloģiju izstrāde, zinātnes komercializācija</w:t>
            </w:r>
            <w:r w:rsidR="00F4498B" w:rsidRPr="00B03D28">
              <w:rPr>
                <w:sz w:val="24"/>
                <w:szCs w:val="24"/>
                <w:lang w:val="lv-LV"/>
              </w:rPr>
              <w:t xml:space="preserve"> un </w:t>
            </w:r>
            <w:r w:rsidR="004E36C8" w:rsidRPr="00B03D28">
              <w:rPr>
                <w:sz w:val="24"/>
                <w:szCs w:val="24"/>
                <w:lang w:val="lv-LV"/>
              </w:rPr>
              <w:t>prioritāro nozaru konkurētspējas vispārēja stiprināšana</w:t>
            </w:r>
            <w:r w:rsidR="00F4498B" w:rsidRPr="00B03D28">
              <w:rPr>
                <w:sz w:val="24"/>
                <w:szCs w:val="24"/>
                <w:lang w:val="lv-LV"/>
              </w:rPr>
              <w:t xml:space="preserve">. </w:t>
            </w:r>
            <w:r w:rsidR="004E36C8" w:rsidRPr="00B03D28">
              <w:rPr>
                <w:sz w:val="24"/>
                <w:szCs w:val="24"/>
                <w:lang w:val="lv-LV"/>
              </w:rPr>
              <w:t>Līdz ar to v</w:t>
            </w:r>
            <w:r w:rsidR="00F4498B" w:rsidRPr="00B03D28">
              <w:rPr>
                <w:sz w:val="24"/>
                <w:szCs w:val="24"/>
                <w:lang w:val="lv-LV"/>
              </w:rPr>
              <w:t xml:space="preserve">eicot pārdali </w:t>
            </w:r>
            <w:r w:rsidR="004E36C8" w:rsidRPr="00B03D28">
              <w:rPr>
                <w:sz w:val="24"/>
                <w:szCs w:val="24"/>
                <w:lang w:val="lv-LV"/>
              </w:rPr>
              <w:t xml:space="preserve">no šīm apakšaktivitātēm uz 2.1.2.1.1.apakšaktivitāti </w:t>
            </w:r>
            <w:r w:rsidR="00F4498B" w:rsidRPr="00B03D28">
              <w:rPr>
                <w:sz w:val="24"/>
                <w:szCs w:val="24"/>
                <w:lang w:val="lv-LV"/>
              </w:rPr>
              <w:t>maksimāli efektīvi tiktu izmantots finansējums tiem pašiem mērķiem</w:t>
            </w:r>
            <w:r w:rsidR="004E36C8" w:rsidRPr="00B03D28">
              <w:rPr>
                <w:sz w:val="24"/>
                <w:szCs w:val="24"/>
                <w:lang w:val="lv-LV"/>
              </w:rPr>
              <w:t xml:space="preserve"> un uzdevumiem</w:t>
            </w:r>
            <w:r w:rsidR="00F4498B" w:rsidRPr="00B03D28">
              <w:rPr>
                <w:sz w:val="24"/>
                <w:szCs w:val="24"/>
                <w:lang w:val="lv-LV"/>
              </w:rPr>
              <w:t>.</w:t>
            </w:r>
            <w:r w:rsidRPr="00B03D28">
              <w:rPr>
                <w:sz w:val="24"/>
                <w:szCs w:val="24"/>
                <w:lang w:val="lv-LV"/>
              </w:rPr>
              <w:t xml:space="preserve"> </w:t>
            </w:r>
          </w:p>
          <w:p w:rsidR="001E7AD3" w:rsidRPr="00B03D28" w:rsidRDefault="001E7AD3" w:rsidP="001E7AD3">
            <w:pPr>
              <w:ind w:firstLine="552"/>
              <w:jc w:val="both"/>
              <w:rPr>
                <w:sz w:val="24"/>
                <w:szCs w:val="24"/>
                <w:lang w:val="lv-LV"/>
              </w:rPr>
            </w:pPr>
            <w:r w:rsidRPr="00B03D28">
              <w:rPr>
                <w:sz w:val="24"/>
                <w:szCs w:val="24"/>
                <w:lang w:val="lv-LV"/>
              </w:rPr>
              <w:t xml:space="preserve">3) Atbalstot pašreiz iespējamos </w:t>
            </w:r>
            <w:r w:rsidR="00762A8E">
              <w:rPr>
                <w:sz w:val="24"/>
                <w:szCs w:val="24"/>
                <w:lang w:val="lv-LV"/>
              </w:rPr>
              <w:t>piecus</w:t>
            </w:r>
            <w:r w:rsidR="00762A8E" w:rsidRPr="00B03D28">
              <w:rPr>
                <w:sz w:val="24"/>
                <w:szCs w:val="24"/>
                <w:lang w:val="lv-LV"/>
              </w:rPr>
              <w:t xml:space="preserve"> </w:t>
            </w:r>
            <w:r w:rsidRPr="00B03D28">
              <w:rPr>
                <w:sz w:val="24"/>
                <w:szCs w:val="24"/>
                <w:lang w:val="lv-LV"/>
              </w:rPr>
              <w:t xml:space="preserve">kompetences centrus, finansējums tiek nodrošināts Latvijai tādām būtiskām nozarēm kā ķīmija un farmācija, informācijas un komunikāciju tehnoloģijas, kokapstrāde, transporta tehnika un elektriskās un kosmosa iekārtas. Veicot papildus pārdali un atbalstot 6. kompetences centru tiktu atbalstīta arī vides, biotehnoloģiju, bioenerģijas un </w:t>
            </w:r>
            <w:r w:rsidRPr="00B03D28">
              <w:rPr>
                <w:bCs/>
                <w:sz w:val="24"/>
                <w:szCs w:val="24"/>
                <w:lang w:val="lv-LV"/>
              </w:rPr>
              <w:t>nanostrukturēto un daudzfunkcionālo materiālu, konstrukciju un tehnoloģiju</w:t>
            </w:r>
            <w:r w:rsidRPr="00B03D28">
              <w:rPr>
                <w:sz w:val="24"/>
                <w:szCs w:val="24"/>
                <w:lang w:val="lv-LV"/>
              </w:rPr>
              <w:t xml:space="preserve"> nozares. </w:t>
            </w:r>
          </w:p>
          <w:p w:rsidR="001E7AD3" w:rsidRPr="00B03D28" w:rsidRDefault="001E7AD3" w:rsidP="001E7AD3">
            <w:pPr>
              <w:ind w:firstLine="552"/>
              <w:jc w:val="both"/>
              <w:rPr>
                <w:sz w:val="24"/>
                <w:szCs w:val="24"/>
                <w:lang w:val="lv-LV"/>
              </w:rPr>
            </w:pPr>
            <w:r w:rsidRPr="00B03D28">
              <w:rPr>
                <w:sz w:val="24"/>
                <w:szCs w:val="24"/>
                <w:lang w:val="lv-LV"/>
              </w:rPr>
              <w:t xml:space="preserve">Papildus būtisks aspekts ir, ka Ministru kabinets ir apstiprinājis </w:t>
            </w:r>
            <w:r w:rsidR="00BF344D">
              <w:rPr>
                <w:sz w:val="24"/>
                <w:szCs w:val="24"/>
                <w:lang w:val="lv-LV"/>
              </w:rPr>
              <w:t>deviņus</w:t>
            </w:r>
            <w:r w:rsidR="00BF344D" w:rsidRPr="00B03D28">
              <w:rPr>
                <w:sz w:val="24"/>
                <w:szCs w:val="24"/>
                <w:lang w:val="lv-LV"/>
              </w:rPr>
              <w:t xml:space="preserve"> </w:t>
            </w:r>
            <w:r w:rsidRPr="00B03D28">
              <w:rPr>
                <w:sz w:val="24"/>
                <w:szCs w:val="24"/>
                <w:lang w:val="lv-LV"/>
              </w:rPr>
              <w:t xml:space="preserve">valsts nozīmes pētniecības centrus (turpmāk – VNPC), ar ko ir paredzēts koncentrēt zinātnes resursus Eiropas līmeņa pētniecībai zinātnes prioritārajos virzienos, sekmējot Latvijas tautsaimniecības prioritāro nozaru un sabiedrības attīstību. Pašreizējā situācijā, kad Latvija ir definējusi savas prioritārās nozares, kā nākamais mērķis ir </w:t>
            </w:r>
            <w:r w:rsidR="00BF344D">
              <w:rPr>
                <w:sz w:val="24"/>
                <w:szCs w:val="24"/>
                <w:lang w:val="lv-LV"/>
              </w:rPr>
              <w:t>izvirzīts</w:t>
            </w:r>
            <w:r w:rsidR="00BF344D" w:rsidRPr="00B03D28">
              <w:rPr>
                <w:sz w:val="24"/>
                <w:szCs w:val="24"/>
                <w:lang w:val="lv-LV"/>
              </w:rPr>
              <w:t xml:space="preserve"> </w:t>
            </w:r>
            <w:r w:rsidRPr="00B03D28">
              <w:rPr>
                <w:sz w:val="24"/>
                <w:szCs w:val="24"/>
                <w:lang w:val="lv-LV"/>
              </w:rPr>
              <w:t>nepieciešamo resursu novirzīšana šīm nozarēm, kas tādā veidā ļautu sasniegt nozīmīgu ietekmi konkrētajās tautsaimniecības nozarēs ne tikai Latvijas, bet visas Eiropas līmenī. Lai nodrošinātu šādu resursu koncentrāciju, kas, tai skaitā, ir uzsvērta kā viena no pamatlietām Eiropas Savienības Kohēzijas politika</w:t>
            </w:r>
            <w:r w:rsidR="00BF344D">
              <w:rPr>
                <w:sz w:val="24"/>
                <w:szCs w:val="24"/>
                <w:lang w:val="lv-LV"/>
              </w:rPr>
              <w:t>s ietvaros</w:t>
            </w:r>
            <w:r w:rsidRPr="00B03D28">
              <w:rPr>
                <w:sz w:val="24"/>
                <w:szCs w:val="24"/>
                <w:lang w:val="lv-LV"/>
              </w:rPr>
              <w:t xml:space="preserve"> saskaņā ar Eiropas Komisijas sagatavoto Piekto ziņojumu par ekonomisko, sociālo un teritoriālo kohēziju, būtiski ir</w:t>
            </w:r>
            <w:r w:rsidR="00762A8E">
              <w:rPr>
                <w:sz w:val="24"/>
                <w:szCs w:val="24"/>
                <w:lang w:val="lv-LV"/>
              </w:rPr>
              <w:t xml:space="preserve"> dot šiem </w:t>
            </w:r>
            <w:r w:rsidRPr="00B03D28">
              <w:rPr>
                <w:sz w:val="24"/>
                <w:szCs w:val="24"/>
                <w:lang w:val="lv-LV"/>
              </w:rPr>
              <w:t xml:space="preserve">VNPC </w:t>
            </w:r>
            <w:r w:rsidR="00762A8E">
              <w:rPr>
                <w:sz w:val="24"/>
                <w:szCs w:val="24"/>
                <w:lang w:val="lv-LV"/>
              </w:rPr>
              <w:t xml:space="preserve"> iespēju veicināt tautsaimniecības attīstību, </w:t>
            </w:r>
            <w:r w:rsidR="00BF344D">
              <w:rPr>
                <w:sz w:val="24"/>
                <w:szCs w:val="24"/>
                <w:lang w:val="lv-LV"/>
              </w:rPr>
              <w:t>snie</w:t>
            </w:r>
            <w:r w:rsidR="00762A8E">
              <w:rPr>
                <w:sz w:val="24"/>
                <w:szCs w:val="24"/>
                <w:lang w:val="lv-LV"/>
              </w:rPr>
              <w:t>dzot</w:t>
            </w:r>
            <w:r w:rsidR="00BF344D">
              <w:rPr>
                <w:sz w:val="24"/>
                <w:szCs w:val="24"/>
                <w:lang w:val="lv-LV"/>
              </w:rPr>
              <w:t xml:space="preserve"> pakalpojumus</w:t>
            </w:r>
            <w:r w:rsidRPr="00B03D28">
              <w:rPr>
                <w:sz w:val="24"/>
                <w:szCs w:val="24"/>
                <w:lang w:val="lv-LV"/>
              </w:rPr>
              <w:t xml:space="preserve"> atbilstošiem kompetences centriem. Vienlaikus šādā veidā tiek nodrošināts, ka Latvijas iekšējā politika ir saskaņota un virzīta vienotu mērķu sasniegšanai. </w:t>
            </w:r>
          </w:p>
          <w:p w:rsidR="001E7AD3" w:rsidRPr="00B03D28" w:rsidRDefault="001E7AD3" w:rsidP="001E7AD3">
            <w:pPr>
              <w:ind w:firstLine="552"/>
              <w:jc w:val="both"/>
              <w:rPr>
                <w:bCs/>
                <w:color w:val="000000"/>
                <w:sz w:val="24"/>
                <w:szCs w:val="24"/>
                <w:lang w:val="lv-LV"/>
              </w:rPr>
            </w:pPr>
            <w:r w:rsidRPr="00B03D28">
              <w:rPr>
                <w:sz w:val="24"/>
                <w:szCs w:val="24"/>
                <w:lang w:val="lv-LV"/>
              </w:rPr>
              <w:t xml:space="preserve">Ar pašlaik apstiprinātajiem kompetences centriem </w:t>
            </w:r>
            <w:r w:rsidR="00762A8E">
              <w:rPr>
                <w:sz w:val="24"/>
                <w:szCs w:val="24"/>
                <w:lang w:val="lv-LV"/>
              </w:rPr>
              <w:t xml:space="preserve">sinerģija tiks veidota ar šādiem </w:t>
            </w:r>
            <w:r w:rsidRPr="00B03D28">
              <w:rPr>
                <w:sz w:val="24"/>
                <w:szCs w:val="24"/>
                <w:lang w:val="lv-LV"/>
              </w:rPr>
              <w:t>VNPC: „</w:t>
            </w:r>
            <w:r w:rsidRPr="00B03D28">
              <w:rPr>
                <w:bCs/>
                <w:color w:val="000000"/>
                <w:sz w:val="24"/>
                <w:szCs w:val="24"/>
                <w:lang w:val="lv-LV"/>
              </w:rPr>
              <w:t>Informācijas, komunikāciju un signālapstrādes tehnoloģiju VNPC”, „</w:t>
            </w:r>
            <w:r w:rsidRPr="00B03D28">
              <w:rPr>
                <w:sz w:val="24"/>
                <w:szCs w:val="24"/>
                <w:lang w:val="lv-LV"/>
              </w:rPr>
              <w:t>Latviešu valodas, kultūrvēsturiskā mantojuma un radošo tehnoloģiju VNPC”, „</w:t>
            </w:r>
            <w:r w:rsidRPr="00B03D28">
              <w:rPr>
                <w:bCs/>
                <w:color w:val="000000"/>
                <w:sz w:val="24"/>
                <w:szCs w:val="24"/>
                <w:lang w:val="lv-LV"/>
              </w:rPr>
              <w:t xml:space="preserve">Meža un ūdens resursu VNPC”, </w:t>
            </w:r>
            <w:r w:rsidRPr="00B03D28">
              <w:rPr>
                <w:sz w:val="24"/>
                <w:szCs w:val="24"/>
                <w:lang w:val="lv-LV"/>
              </w:rPr>
              <w:t>„</w:t>
            </w:r>
            <w:r w:rsidRPr="00B03D28">
              <w:rPr>
                <w:bCs/>
                <w:color w:val="000000"/>
                <w:sz w:val="24"/>
                <w:szCs w:val="24"/>
                <w:lang w:val="lv-LV"/>
              </w:rPr>
              <w:t>Fa</w:t>
            </w:r>
            <w:r w:rsidR="00F4498B" w:rsidRPr="00B03D28">
              <w:rPr>
                <w:bCs/>
                <w:color w:val="000000"/>
                <w:sz w:val="24"/>
                <w:szCs w:val="24"/>
                <w:lang w:val="lv-LV"/>
              </w:rPr>
              <w:t xml:space="preserve">rmācijas un biomedicīnas VNPC” un daļēji </w:t>
            </w:r>
            <w:r w:rsidR="00F4498B" w:rsidRPr="00B03D28">
              <w:rPr>
                <w:color w:val="000000"/>
                <w:sz w:val="24"/>
                <w:szCs w:val="24"/>
                <w:lang w:val="lv-LV"/>
              </w:rPr>
              <w:t>„</w:t>
            </w:r>
            <w:r w:rsidR="00F4498B" w:rsidRPr="00B03D28">
              <w:rPr>
                <w:bCs/>
                <w:color w:val="000000"/>
                <w:sz w:val="24"/>
                <w:szCs w:val="24"/>
                <w:lang w:val="lv-LV"/>
              </w:rPr>
              <w:t xml:space="preserve">Enerģijas un vides resursu ieguves un ilgtspējīgas izmantošanas tehnoloģiju VNPC” tā kā tas ietver arī „Transporta un mašīnbūves centra” attīstību.  </w:t>
            </w:r>
          </w:p>
          <w:p w:rsidR="00F73CBA" w:rsidRDefault="001E7AD3" w:rsidP="00BF344D">
            <w:pPr>
              <w:ind w:firstLine="720"/>
              <w:jc w:val="both"/>
              <w:rPr>
                <w:sz w:val="24"/>
                <w:szCs w:val="24"/>
                <w:lang w:val="lv-LV"/>
              </w:rPr>
            </w:pPr>
            <w:r w:rsidRPr="00B03D28">
              <w:rPr>
                <w:bCs/>
                <w:color w:val="000000"/>
                <w:sz w:val="24"/>
                <w:szCs w:val="24"/>
                <w:lang w:val="lv-LV"/>
              </w:rPr>
              <w:t xml:space="preserve">Piešķirot atbalstu papildu kompetences centram, </w:t>
            </w:r>
            <w:r w:rsidR="00762A8E">
              <w:rPr>
                <w:bCs/>
                <w:color w:val="000000"/>
                <w:sz w:val="24"/>
                <w:szCs w:val="24"/>
                <w:lang w:val="lv-LV"/>
              </w:rPr>
              <w:t>tiktu dota iespēja arī VNPC</w:t>
            </w:r>
            <w:r w:rsidRPr="00B03D28">
              <w:rPr>
                <w:bCs/>
                <w:color w:val="000000"/>
                <w:sz w:val="24"/>
                <w:szCs w:val="24"/>
                <w:lang w:val="lv-LV"/>
              </w:rPr>
              <w:t xml:space="preserve"> </w:t>
            </w:r>
            <w:r w:rsidRPr="00B03D28">
              <w:rPr>
                <w:color w:val="000000"/>
                <w:sz w:val="24"/>
                <w:szCs w:val="24"/>
                <w:lang w:val="lv-LV"/>
              </w:rPr>
              <w:t>„</w:t>
            </w:r>
            <w:r w:rsidRPr="00B03D28">
              <w:rPr>
                <w:bCs/>
                <w:color w:val="000000"/>
                <w:sz w:val="24"/>
                <w:szCs w:val="24"/>
                <w:lang w:val="lv-LV"/>
              </w:rPr>
              <w:t>Enerģijas un vides resursu ieguves un ilgtspējīgas izmantošanas tehnoloģiju VNPC” un „</w:t>
            </w:r>
            <w:r w:rsidRPr="00B03D28">
              <w:rPr>
                <w:sz w:val="24"/>
                <w:szCs w:val="24"/>
                <w:lang w:val="lv-LV"/>
              </w:rPr>
              <w:t>Nanostrukturēto un daudzfunkcionālo materiālu, konstrukciju un tehnoloģiju VNPC”</w:t>
            </w:r>
            <w:r w:rsidR="00762A8E">
              <w:rPr>
                <w:sz w:val="24"/>
                <w:szCs w:val="24"/>
                <w:lang w:val="lv-LV"/>
              </w:rPr>
              <w:t xml:space="preserve"> veidot sinerģiju un nozares attīstību ar atbilstošo kompetences centru</w:t>
            </w:r>
            <w:r w:rsidRPr="00B03D28">
              <w:rPr>
                <w:sz w:val="24"/>
                <w:szCs w:val="24"/>
                <w:lang w:val="lv-LV"/>
              </w:rPr>
              <w:t xml:space="preserve">. </w:t>
            </w:r>
            <w:bookmarkStart w:id="11" w:name="_GoBack"/>
            <w:bookmarkEnd w:id="11"/>
            <w:r w:rsidRPr="00B03D28">
              <w:rPr>
                <w:sz w:val="24"/>
                <w:szCs w:val="24"/>
                <w:lang w:val="lv-LV"/>
              </w:rPr>
              <w:t xml:space="preserve">Tā kā kompetences centra projekts ir laikietilpīgs un ņemot vērā to, ka </w:t>
            </w:r>
            <w:r w:rsidR="0054481A" w:rsidRPr="0054481A">
              <w:rPr>
                <w:bCs/>
                <w:sz w:val="24"/>
                <w:szCs w:val="24"/>
                <w:lang w:val="lv-LV"/>
              </w:rPr>
              <w:t>Eiropas Savienības struktūrfondu 2007-2013.gada plānošanas periods</w:t>
            </w:r>
            <w:r w:rsidR="00BF344D" w:rsidRPr="00BF344D">
              <w:rPr>
                <w:b/>
                <w:bCs/>
                <w:sz w:val="24"/>
                <w:szCs w:val="24"/>
                <w:lang w:val="lv-LV"/>
              </w:rPr>
              <w:t xml:space="preserve"> </w:t>
            </w:r>
            <w:r w:rsidRPr="00B03D28">
              <w:rPr>
                <w:sz w:val="24"/>
                <w:szCs w:val="24"/>
                <w:lang w:val="lv-LV"/>
              </w:rPr>
              <w:t>tuvojas noslēgumam, papildu finansējumu 2.1.2.1.1.apakšaktivitātes īstenošanai nepieciešams pārdalīt pēc iespējas īsākā termiņā.</w:t>
            </w:r>
          </w:p>
          <w:p w:rsidR="000D6F7F" w:rsidRPr="00B03D28" w:rsidRDefault="000D6F7F" w:rsidP="00BF344D">
            <w:pPr>
              <w:ind w:firstLine="720"/>
              <w:jc w:val="both"/>
              <w:rPr>
                <w:sz w:val="24"/>
                <w:szCs w:val="24"/>
                <w:lang w:val="lv-LV"/>
              </w:rPr>
            </w:pPr>
          </w:p>
        </w:tc>
      </w:tr>
      <w:tr w:rsidR="00537A29" w:rsidRPr="00B03D28"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03D28" w:rsidRDefault="00537A29" w:rsidP="00CE5A53">
            <w:pPr>
              <w:rPr>
                <w:rFonts w:eastAsia="Times New Roman"/>
                <w:sz w:val="24"/>
                <w:szCs w:val="24"/>
                <w:lang w:val="lv-LV" w:eastAsia="lv-LV"/>
              </w:rPr>
            </w:pPr>
            <w:r w:rsidRPr="00B03D28">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3D2C" w:rsidRPr="002C6DFF" w:rsidRDefault="00FA3D2C" w:rsidP="00FA3D2C">
            <w:pPr>
              <w:pStyle w:val="NormalWeb"/>
              <w:spacing w:before="0" w:beforeAutospacing="0" w:after="0" w:afterAutospacing="0"/>
              <w:rPr>
                <w:b/>
                <w:lang w:val="lv-LV"/>
              </w:rPr>
            </w:pPr>
            <w:r w:rsidRPr="002C6DFF">
              <w:rPr>
                <w:iCs/>
                <w:lang w:val="lv-LV"/>
              </w:rPr>
              <w:t>Projekts šo jomu neskar</w:t>
            </w:r>
            <w:r w:rsidRPr="002C6DFF">
              <w:rPr>
                <w:b/>
                <w:lang w:val="lv-LV"/>
              </w:rPr>
              <w:t>.</w:t>
            </w:r>
          </w:p>
          <w:p w:rsidR="00004E51" w:rsidRPr="00B03D28" w:rsidRDefault="00004E51" w:rsidP="00CE5A53">
            <w:pPr>
              <w:jc w:val="both"/>
              <w:rPr>
                <w:color w:val="000000"/>
                <w:sz w:val="24"/>
                <w:szCs w:val="24"/>
                <w:lang w:val="lv-LV"/>
              </w:rPr>
            </w:pPr>
          </w:p>
        </w:tc>
      </w:tr>
      <w:tr w:rsidR="00BB09C5" w:rsidRPr="00BD3ABC"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03D28" w:rsidRDefault="00537A29" w:rsidP="00CE5A53">
            <w:pPr>
              <w:rPr>
                <w:rFonts w:eastAsia="Times New Roman"/>
                <w:sz w:val="24"/>
                <w:szCs w:val="24"/>
                <w:lang w:val="lv-LV" w:eastAsia="lv-LV"/>
              </w:rPr>
            </w:pPr>
            <w:r w:rsidRPr="00B03D28">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B01C10" w:rsidRPr="00B01C10" w:rsidRDefault="002712EF" w:rsidP="000D16B7">
            <w:pPr>
              <w:jc w:val="both"/>
              <w:rPr>
                <w:color w:val="000000" w:themeColor="text1"/>
                <w:sz w:val="24"/>
                <w:szCs w:val="24"/>
                <w:lang w:val="lv-LV"/>
              </w:rPr>
            </w:pPr>
            <w:r w:rsidRPr="002712EF">
              <w:rPr>
                <w:color w:val="000000" w:themeColor="text1"/>
                <w:sz w:val="24"/>
                <w:szCs w:val="24"/>
                <w:lang w:val="lv-LV"/>
              </w:rPr>
              <w:t>Tiesību akta projekts paredz veikt grozījumu</w:t>
            </w:r>
            <w:r w:rsidR="005A15E6">
              <w:rPr>
                <w:color w:val="000000" w:themeColor="text1"/>
                <w:sz w:val="24"/>
                <w:szCs w:val="24"/>
                <w:lang w:val="lv-LV"/>
              </w:rPr>
              <w:t>s</w:t>
            </w:r>
            <w:r w:rsidRPr="002712EF">
              <w:rPr>
                <w:color w:val="000000" w:themeColor="text1"/>
                <w:sz w:val="24"/>
                <w:szCs w:val="24"/>
                <w:lang w:val="lv-LV"/>
              </w:rPr>
              <w:t xml:space="preserve"> MK noteikumos Nr.361, lai:</w:t>
            </w:r>
          </w:p>
          <w:p w:rsidR="00CB6A16" w:rsidRPr="00B01C10" w:rsidRDefault="002712EF" w:rsidP="000D16B7">
            <w:pPr>
              <w:jc w:val="both"/>
              <w:rPr>
                <w:color w:val="000000" w:themeColor="text1"/>
                <w:sz w:val="24"/>
                <w:szCs w:val="24"/>
                <w:lang w:val="lv-LV"/>
              </w:rPr>
            </w:pPr>
            <w:r w:rsidRPr="002712EF">
              <w:rPr>
                <w:color w:val="000000" w:themeColor="text1"/>
                <w:sz w:val="24"/>
                <w:szCs w:val="24"/>
                <w:lang w:val="lv-LV"/>
              </w:rPr>
              <w:t>Noteiktu, ka 2.1.2.1.1. apakšaktivitātē pieejamais ERAF finansējums ir 37 374 243 latu.</w:t>
            </w:r>
          </w:p>
          <w:p w:rsidR="007E20C4" w:rsidRPr="007E20C4" w:rsidRDefault="002712EF" w:rsidP="005F351C">
            <w:pPr>
              <w:jc w:val="both"/>
              <w:rPr>
                <w:sz w:val="24"/>
                <w:szCs w:val="24"/>
                <w:lang w:val="lv-LV"/>
              </w:rPr>
            </w:pPr>
            <w:r w:rsidRPr="002712EF">
              <w:rPr>
                <w:color w:val="000000" w:themeColor="text1"/>
                <w:sz w:val="24"/>
                <w:szCs w:val="24"/>
                <w:lang w:val="lv-LV"/>
              </w:rPr>
              <w:t>Sekmētu, ka finansējuma saņēmējs noslēguma pārskatu iesniedz tieši 15 darbdienu laikā pēc projekta īstenošanas pabeigšanas</w:t>
            </w:r>
            <w:r w:rsidR="005F351C">
              <w:rPr>
                <w:color w:val="000000" w:themeColor="text1"/>
                <w:sz w:val="24"/>
                <w:szCs w:val="24"/>
                <w:lang w:val="lv-LV"/>
              </w:rPr>
              <w:t>.</w:t>
            </w:r>
          </w:p>
        </w:tc>
      </w:tr>
      <w:tr w:rsidR="00537A29" w:rsidRPr="00B03D28"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03D28" w:rsidRDefault="00537A29" w:rsidP="00CE5A53">
            <w:pPr>
              <w:rPr>
                <w:rFonts w:eastAsia="Times New Roman"/>
                <w:sz w:val="24"/>
                <w:szCs w:val="24"/>
                <w:lang w:val="lv-LV" w:eastAsia="lv-LV"/>
              </w:rPr>
            </w:pPr>
            <w:r w:rsidRPr="00B03D28">
              <w:rPr>
                <w:rFonts w:eastAsia="Times New Roman"/>
                <w:sz w:val="24"/>
                <w:szCs w:val="24"/>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3D2C" w:rsidRPr="002C6DFF" w:rsidRDefault="00FA3D2C" w:rsidP="00FA3D2C">
            <w:pPr>
              <w:pStyle w:val="NormalWeb"/>
              <w:spacing w:before="0" w:beforeAutospacing="0" w:after="0" w:afterAutospacing="0"/>
              <w:rPr>
                <w:b/>
                <w:lang w:val="lv-LV"/>
              </w:rPr>
            </w:pPr>
            <w:r w:rsidRPr="002C6DFF">
              <w:rPr>
                <w:iCs/>
                <w:lang w:val="lv-LV"/>
              </w:rPr>
              <w:t>Projekts šo jomu neskar</w:t>
            </w:r>
            <w:r w:rsidRPr="002C6DFF">
              <w:rPr>
                <w:b/>
                <w:lang w:val="lv-LV"/>
              </w:rPr>
              <w:t>.</w:t>
            </w:r>
          </w:p>
          <w:p w:rsidR="00004E51" w:rsidRPr="00B03D28" w:rsidRDefault="00004E51" w:rsidP="00CE5A53">
            <w:pPr>
              <w:pStyle w:val="BodyText"/>
              <w:ind w:right="142"/>
              <w:rPr>
                <w:sz w:val="24"/>
                <w:szCs w:val="24"/>
              </w:rPr>
            </w:pPr>
          </w:p>
        </w:tc>
      </w:tr>
      <w:tr w:rsidR="00AB248D" w:rsidRPr="00B03D28"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B03D28" w:rsidRDefault="00AB248D" w:rsidP="00CE5A53">
            <w:pPr>
              <w:rPr>
                <w:rFonts w:eastAsia="Times New Roman"/>
                <w:sz w:val="24"/>
                <w:szCs w:val="24"/>
                <w:lang w:val="lv-LV" w:eastAsia="lv-LV"/>
              </w:rPr>
            </w:pPr>
            <w:r w:rsidRPr="00B03D28">
              <w:rPr>
                <w:rFonts w:eastAsia="Times New Roman"/>
                <w:sz w:val="24"/>
                <w:szCs w:val="24"/>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3D2C" w:rsidRPr="002C6DFF" w:rsidRDefault="00FA3D2C" w:rsidP="00FA3D2C">
            <w:pPr>
              <w:pStyle w:val="NormalWeb"/>
              <w:spacing w:before="0" w:beforeAutospacing="0" w:after="0" w:afterAutospacing="0"/>
              <w:rPr>
                <w:b/>
                <w:lang w:val="lv-LV"/>
              </w:rPr>
            </w:pPr>
            <w:r w:rsidRPr="002C6DFF">
              <w:rPr>
                <w:iCs/>
                <w:lang w:val="lv-LV"/>
              </w:rPr>
              <w:t>Projekts šo jomu neskar</w:t>
            </w:r>
            <w:r w:rsidRPr="002C6DFF">
              <w:rPr>
                <w:b/>
                <w:lang w:val="lv-LV"/>
              </w:rPr>
              <w:t>.</w:t>
            </w:r>
          </w:p>
          <w:p w:rsidR="00004E51" w:rsidRPr="00B03D28" w:rsidRDefault="00004E51" w:rsidP="00CE5A53">
            <w:pPr>
              <w:pStyle w:val="BodyText"/>
              <w:ind w:right="142"/>
              <w:rPr>
                <w:sz w:val="24"/>
                <w:szCs w:val="24"/>
              </w:rPr>
            </w:pPr>
          </w:p>
        </w:tc>
      </w:tr>
      <w:tr w:rsidR="00BB09C5" w:rsidRPr="00B03D28"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03D28" w:rsidRDefault="00D07CDB" w:rsidP="00CE5A53">
            <w:pPr>
              <w:rPr>
                <w:rFonts w:eastAsia="Times New Roman"/>
                <w:sz w:val="24"/>
                <w:szCs w:val="24"/>
                <w:lang w:val="lv-LV" w:eastAsia="lv-LV"/>
              </w:rPr>
            </w:pPr>
            <w:r w:rsidRPr="00B03D28">
              <w:rPr>
                <w:rFonts w:eastAsia="Times New Roman"/>
                <w:sz w:val="24"/>
                <w:szCs w:val="24"/>
                <w:lang w:val="lv-LV" w:eastAsia="lv-LV"/>
              </w:rPr>
              <w:t> 7</w:t>
            </w:r>
            <w:r w:rsidR="00BB09C5" w:rsidRPr="00B03D28">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B03D28" w:rsidRDefault="007E5D4D" w:rsidP="00CE5A53">
            <w:pPr>
              <w:jc w:val="both"/>
              <w:rPr>
                <w:sz w:val="24"/>
                <w:szCs w:val="24"/>
                <w:lang w:val="lv-LV"/>
              </w:rPr>
            </w:pPr>
            <w:r w:rsidRPr="00B03D28">
              <w:rPr>
                <w:sz w:val="24"/>
                <w:szCs w:val="24"/>
                <w:lang w:val="lv-LV"/>
              </w:rPr>
              <w:t>Nav.</w:t>
            </w:r>
          </w:p>
        </w:tc>
      </w:tr>
    </w:tbl>
    <w:p w:rsidR="004B638C" w:rsidRPr="00B03D28" w:rsidRDefault="004B638C" w:rsidP="00CE5A53">
      <w:pPr>
        <w:pStyle w:val="NormalWeb"/>
        <w:spacing w:before="0" w:beforeAutospacing="0" w:after="0" w:afterAutospacing="0"/>
        <w:jc w:val="center"/>
        <w:rPr>
          <w:b/>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F621F0" w:rsidRPr="00BD3ABC" w:rsidTr="00C35BF1">
        <w:tc>
          <w:tcPr>
            <w:tcW w:w="9356" w:type="dxa"/>
            <w:gridSpan w:val="3"/>
            <w:vAlign w:val="center"/>
          </w:tcPr>
          <w:p w:rsidR="00F621F0" w:rsidRPr="00B03D28" w:rsidRDefault="00C82B27" w:rsidP="00471B85">
            <w:pPr>
              <w:pStyle w:val="naisnod"/>
              <w:spacing w:before="0" w:after="0"/>
            </w:pPr>
            <w:r w:rsidRPr="00B03D28">
              <w:t>II. Tiesību akta projekta ietekme uz sabiedrību</w:t>
            </w:r>
          </w:p>
        </w:tc>
      </w:tr>
      <w:tr w:rsidR="00F621F0" w:rsidRPr="00BD3ABC" w:rsidTr="00C35BF1">
        <w:trPr>
          <w:trHeight w:val="467"/>
        </w:trPr>
        <w:tc>
          <w:tcPr>
            <w:tcW w:w="851" w:type="dxa"/>
          </w:tcPr>
          <w:p w:rsidR="00F621F0" w:rsidRPr="00B03D28" w:rsidRDefault="00C82B27" w:rsidP="00471B85">
            <w:pPr>
              <w:pStyle w:val="naiskr"/>
              <w:spacing w:before="0" w:after="0"/>
            </w:pPr>
            <w:r w:rsidRPr="00B03D28">
              <w:t>1.</w:t>
            </w:r>
          </w:p>
        </w:tc>
        <w:tc>
          <w:tcPr>
            <w:tcW w:w="3265" w:type="dxa"/>
          </w:tcPr>
          <w:p w:rsidR="007E5D4D" w:rsidRPr="00B03D28" w:rsidRDefault="00C82B27">
            <w:pPr>
              <w:pStyle w:val="naiskr"/>
              <w:spacing w:before="0" w:after="0"/>
            </w:pPr>
            <w:r w:rsidRPr="00B03D28">
              <w:t>Sabiedrības mērķgrupa</w:t>
            </w:r>
          </w:p>
        </w:tc>
        <w:tc>
          <w:tcPr>
            <w:tcW w:w="5240" w:type="dxa"/>
          </w:tcPr>
          <w:p w:rsidR="00404E4B" w:rsidRPr="00B03D28" w:rsidRDefault="00990026" w:rsidP="00535FD4">
            <w:pPr>
              <w:pStyle w:val="naiskr"/>
              <w:jc w:val="both"/>
              <w:rPr>
                <w:iCs/>
              </w:rPr>
            </w:pPr>
            <w:r w:rsidRPr="00B03D28">
              <w:rPr>
                <w:bCs/>
                <w:color w:val="000000"/>
              </w:rPr>
              <w:t>2.1.2.1.1.apakšaktivitātes mērķa grupa</w:t>
            </w:r>
            <w:r w:rsidR="00535FD4" w:rsidRPr="00B03D28">
              <w:rPr>
                <w:bCs/>
                <w:color w:val="000000"/>
              </w:rPr>
              <w:t xml:space="preserve"> ir</w:t>
            </w:r>
            <w:r w:rsidRPr="00B03D28">
              <w:rPr>
                <w:bCs/>
                <w:color w:val="000000"/>
              </w:rPr>
              <w:t xml:space="preserve"> </w:t>
            </w:r>
            <w:r w:rsidR="00535FD4" w:rsidRPr="00B03D28">
              <w:t>komersanti, to apvienības (biedrības, nodibinājumi), zinātniskās institūcijas, kuras ir reģistrētas zinātnisko institūciju reģistrā.</w:t>
            </w:r>
          </w:p>
        </w:tc>
      </w:tr>
      <w:tr w:rsidR="00F621F0" w:rsidRPr="00B03D28" w:rsidTr="00C35BF1">
        <w:trPr>
          <w:trHeight w:val="523"/>
        </w:trPr>
        <w:tc>
          <w:tcPr>
            <w:tcW w:w="851" w:type="dxa"/>
          </w:tcPr>
          <w:p w:rsidR="00F621F0" w:rsidRPr="00B03D28" w:rsidRDefault="00C82B27" w:rsidP="00471B85">
            <w:pPr>
              <w:pStyle w:val="naiskr"/>
              <w:spacing w:before="0" w:after="0"/>
            </w:pPr>
            <w:r w:rsidRPr="00B03D28">
              <w:t>2.</w:t>
            </w:r>
          </w:p>
        </w:tc>
        <w:tc>
          <w:tcPr>
            <w:tcW w:w="3265" w:type="dxa"/>
          </w:tcPr>
          <w:p w:rsidR="007E5D4D" w:rsidRPr="00B03D28" w:rsidRDefault="00C82B27">
            <w:pPr>
              <w:pStyle w:val="naiskr"/>
              <w:spacing w:before="0" w:after="0"/>
            </w:pPr>
            <w:r w:rsidRPr="00B03D28">
              <w:t>Citas sabiedrības grupas (bez mērķgrupas), kuras tiesiskais regulējums arī ietekmē vai varētu ietekmēt</w:t>
            </w:r>
          </w:p>
        </w:tc>
        <w:tc>
          <w:tcPr>
            <w:tcW w:w="5240" w:type="dxa"/>
          </w:tcPr>
          <w:p w:rsidR="00FA3D2C" w:rsidRPr="002C6DFF" w:rsidRDefault="00FA3D2C" w:rsidP="00FA3D2C">
            <w:pPr>
              <w:pStyle w:val="NormalWeb"/>
              <w:spacing w:before="0" w:beforeAutospacing="0" w:after="0" w:afterAutospacing="0"/>
              <w:rPr>
                <w:b/>
                <w:lang w:val="lv-LV"/>
              </w:rPr>
            </w:pPr>
            <w:r w:rsidRPr="002C6DFF">
              <w:rPr>
                <w:iCs/>
                <w:lang w:val="lv-LV"/>
              </w:rPr>
              <w:t>Projekts šo jomu neskar</w:t>
            </w:r>
            <w:r w:rsidRPr="002C6DFF">
              <w:rPr>
                <w:b/>
                <w:lang w:val="lv-LV"/>
              </w:rPr>
              <w:t>.</w:t>
            </w:r>
          </w:p>
          <w:p w:rsidR="007E5D4D" w:rsidRPr="00B03D28" w:rsidRDefault="007E5D4D">
            <w:pPr>
              <w:pStyle w:val="naiskr"/>
              <w:spacing w:before="0" w:after="0"/>
              <w:jc w:val="both"/>
            </w:pPr>
          </w:p>
        </w:tc>
      </w:tr>
      <w:tr w:rsidR="00F621F0" w:rsidRPr="00BD3ABC" w:rsidTr="00C35BF1">
        <w:trPr>
          <w:trHeight w:val="517"/>
        </w:trPr>
        <w:tc>
          <w:tcPr>
            <w:tcW w:w="851" w:type="dxa"/>
          </w:tcPr>
          <w:p w:rsidR="00F621F0" w:rsidRPr="00B03D28" w:rsidRDefault="00C82B27" w:rsidP="00471B85">
            <w:pPr>
              <w:pStyle w:val="naiskr"/>
              <w:spacing w:before="0" w:after="0"/>
            </w:pPr>
            <w:r w:rsidRPr="00B03D28">
              <w:t>3.</w:t>
            </w:r>
          </w:p>
        </w:tc>
        <w:tc>
          <w:tcPr>
            <w:tcW w:w="3265" w:type="dxa"/>
          </w:tcPr>
          <w:p w:rsidR="007E5D4D" w:rsidRPr="00B03D28" w:rsidRDefault="00C82B27">
            <w:pPr>
              <w:pStyle w:val="naiskr"/>
              <w:spacing w:before="0" w:after="0"/>
            </w:pPr>
            <w:r w:rsidRPr="00B03D28">
              <w:t>Tiesiskā regulējuma finansiālā ietekme</w:t>
            </w:r>
          </w:p>
        </w:tc>
        <w:tc>
          <w:tcPr>
            <w:tcW w:w="5240" w:type="dxa"/>
          </w:tcPr>
          <w:p w:rsidR="007E5D4D" w:rsidRPr="00B03D28" w:rsidRDefault="00B40127" w:rsidP="00B40127">
            <w:pPr>
              <w:pStyle w:val="naiskr"/>
              <w:spacing w:before="0" w:after="0"/>
              <w:jc w:val="both"/>
            </w:pPr>
            <w:r w:rsidRPr="00B03D28">
              <w:t xml:space="preserve">Noteikumu projekts paredz palielināt 2.1.2.1.1.apakšaktivitātes ietvaros pieejamā Eiropas Savienības fondu finansējuma apjomu līdz </w:t>
            </w:r>
            <w:r w:rsidR="00D77F11" w:rsidRPr="00B03D28">
              <w:t xml:space="preserve">37 374 243 </w:t>
            </w:r>
            <w:r w:rsidRPr="00B03D28">
              <w:t>latiem.</w:t>
            </w:r>
          </w:p>
        </w:tc>
      </w:tr>
      <w:tr w:rsidR="00F621F0" w:rsidRPr="00BD3ABC" w:rsidTr="00C35BF1">
        <w:trPr>
          <w:trHeight w:val="517"/>
        </w:trPr>
        <w:tc>
          <w:tcPr>
            <w:tcW w:w="851" w:type="dxa"/>
          </w:tcPr>
          <w:p w:rsidR="00F621F0" w:rsidRPr="00B03D28" w:rsidRDefault="00C82B27" w:rsidP="00471B85">
            <w:pPr>
              <w:pStyle w:val="naiskr"/>
              <w:spacing w:before="0" w:after="0"/>
            </w:pPr>
            <w:r w:rsidRPr="00B03D28">
              <w:t>4.</w:t>
            </w:r>
          </w:p>
        </w:tc>
        <w:tc>
          <w:tcPr>
            <w:tcW w:w="3265" w:type="dxa"/>
          </w:tcPr>
          <w:p w:rsidR="007E5D4D" w:rsidRPr="00B03D28" w:rsidRDefault="00C82B27">
            <w:pPr>
              <w:pStyle w:val="naiskr"/>
              <w:spacing w:before="0" w:after="0"/>
            </w:pPr>
            <w:r w:rsidRPr="00B03D28">
              <w:t>Tiesiskā regulējuma nefinansiālā ietekme</w:t>
            </w:r>
          </w:p>
        </w:tc>
        <w:tc>
          <w:tcPr>
            <w:tcW w:w="5240" w:type="dxa"/>
          </w:tcPr>
          <w:p w:rsidR="007E5D4D" w:rsidRPr="00B03D28" w:rsidRDefault="00DC5ABA" w:rsidP="008F122D">
            <w:pPr>
              <w:pStyle w:val="naiskr"/>
              <w:spacing w:before="0" w:after="0"/>
              <w:jc w:val="both"/>
              <w:rPr>
                <w:iCs/>
              </w:rPr>
            </w:pPr>
            <w:r w:rsidRPr="00B03D28">
              <w:rPr>
                <w:bCs/>
                <w:color w:val="000000"/>
              </w:rPr>
              <w:t>Izmaiņas pieejamā finansējumā apjomā ļaus nodrošināt 2.1.2.1.1.apakšaktivitātes ietvaros resursu koncentrāciju papildus vēl vienā Latvijas tautsaimniecībai prioritārā nozarē.</w:t>
            </w:r>
          </w:p>
        </w:tc>
      </w:tr>
      <w:tr w:rsidR="00F621F0" w:rsidRPr="00B03D28" w:rsidTr="00C35BF1">
        <w:trPr>
          <w:trHeight w:val="531"/>
        </w:trPr>
        <w:tc>
          <w:tcPr>
            <w:tcW w:w="851" w:type="dxa"/>
          </w:tcPr>
          <w:p w:rsidR="00F621F0" w:rsidRPr="00B03D28" w:rsidRDefault="00C82B27" w:rsidP="00471B85">
            <w:pPr>
              <w:pStyle w:val="naiskr"/>
              <w:spacing w:before="0" w:after="0"/>
            </w:pPr>
            <w:r w:rsidRPr="00B03D28">
              <w:t>5.</w:t>
            </w:r>
          </w:p>
        </w:tc>
        <w:tc>
          <w:tcPr>
            <w:tcW w:w="3265" w:type="dxa"/>
          </w:tcPr>
          <w:p w:rsidR="007E5D4D" w:rsidRPr="00B03D28" w:rsidRDefault="00C82B27">
            <w:pPr>
              <w:pStyle w:val="naiskr"/>
              <w:spacing w:before="0" w:after="0"/>
            </w:pPr>
            <w:r w:rsidRPr="00B03D28">
              <w:t>Administratīvās procedūras raksturojums</w:t>
            </w:r>
          </w:p>
        </w:tc>
        <w:tc>
          <w:tcPr>
            <w:tcW w:w="5240" w:type="dxa"/>
          </w:tcPr>
          <w:p w:rsidR="00FA3D2C" w:rsidRPr="002C6DFF" w:rsidRDefault="00FA3D2C" w:rsidP="00FA3D2C">
            <w:pPr>
              <w:pStyle w:val="NormalWeb"/>
              <w:spacing w:before="0" w:beforeAutospacing="0" w:after="0" w:afterAutospacing="0"/>
              <w:rPr>
                <w:b/>
                <w:lang w:val="lv-LV"/>
              </w:rPr>
            </w:pPr>
            <w:r w:rsidRPr="002C6DFF">
              <w:rPr>
                <w:iCs/>
                <w:lang w:val="lv-LV"/>
              </w:rPr>
              <w:t>Projekts šo jomu neskar</w:t>
            </w:r>
            <w:r w:rsidRPr="002C6DFF">
              <w:rPr>
                <w:b/>
                <w:lang w:val="lv-LV"/>
              </w:rPr>
              <w:t>.</w:t>
            </w:r>
          </w:p>
          <w:p w:rsidR="007E5D4D" w:rsidRPr="00B03D28" w:rsidRDefault="007E5D4D" w:rsidP="00B40127">
            <w:pPr>
              <w:pStyle w:val="naiskr"/>
              <w:spacing w:before="0" w:after="0"/>
            </w:pPr>
          </w:p>
        </w:tc>
      </w:tr>
      <w:tr w:rsidR="00F621F0" w:rsidRPr="00B03D28" w:rsidTr="00C35BF1">
        <w:trPr>
          <w:trHeight w:val="357"/>
        </w:trPr>
        <w:tc>
          <w:tcPr>
            <w:tcW w:w="851" w:type="dxa"/>
          </w:tcPr>
          <w:p w:rsidR="00F621F0" w:rsidRPr="00B03D28" w:rsidRDefault="00C82B27" w:rsidP="00471B85">
            <w:pPr>
              <w:pStyle w:val="naiskr"/>
              <w:spacing w:before="0" w:after="0"/>
            </w:pPr>
            <w:r w:rsidRPr="00B03D28">
              <w:t>6.</w:t>
            </w:r>
          </w:p>
        </w:tc>
        <w:tc>
          <w:tcPr>
            <w:tcW w:w="3265" w:type="dxa"/>
          </w:tcPr>
          <w:p w:rsidR="007E5D4D" w:rsidRPr="00B03D28" w:rsidRDefault="00C82B27">
            <w:pPr>
              <w:pStyle w:val="naiskr"/>
              <w:spacing w:before="0" w:after="0"/>
            </w:pPr>
            <w:r w:rsidRPr="00B03D28">
              <w:t>Administratīvo izmaksu monetārs novērtējums</w:t>
            </w:r>
          </w:p>
        </w:tc>
        <w:tc>
          <w:tcPr>
            <w:tcW w:w="5240" w:type="dxa"/>
          </w:tcPr>
          <w:p w:rsidR="00FA3D2C" w:rsidRPr="002C6DFF" w:rsidRDefault="00FA3D2C" w:rsidP="00FA3D2C">
            <w:pPr>
              <w:pStyle w:val="NormalWeb"/>
              <w:spacing w:before="0" w:beforeAutospacing="0" w:after="0" w:afterAutospacing="0"/>
              <w:rPr>
                <w:b/>
                <w:lang w:val="lv-LV"/>
              </w:rPr>
            </w:pPr>
            <w:r w:rsidRPr="002C6DFF">
              <w:rPr>
                <w:iCs/>
                <w:lang w:val="lv-LV"/>
              </w:rPr>
              <w:t>Projekts šo jomu neskar</w:t>
            </w:r>
            <w:r w:rsidRPr="002C6DFF">
              <w:rPr>
                <w:b/>
                <w:lang w:val="lv-LV"/>
              </w:rPr>
              <w:t>.</w:t>
            </w:r>
          </w:p>
          <w:p w:rsidR="007E5D4D" w:rsidRPr="00B03D28" w:rsidRDefault="007E5D4D" w:rsidP="00B40127">
            <w:pPr>
              <w:pStyle w:val="naiskr"/>
              <w:spacing w:before="0" w:after="0"/>
            </w:pPr>
          </w:p>
        </w:tc>
      </w:tr>
      <w:tr w:rsidR="00F621F0" w:rsidRPr="00B03D28" w:rsidTr="00C35BF1">
        <w:trPr>
          <w:trHeight w:val="489"/>
        </w:trPr>
        <w:tc>
          <w:tcPr>
            <w:tcW w:w="851" w:type="dxa"/>
          </w:tcPr>
          <w:p w:rsidR="00F621F0" w:rsidRPr="00B03D28" w:rsidRDefault="00C82B27" w:rsidP="00471B85">
            <w:pPr>
              <w:pStyle w:val="naiskr"/>
              <w:spacing w:before="0" w:after="0"/>
            </w:pPr>
            <w:r w:rsidRPr="00B03D28">
              <w:t>7.</w:t>
            </w:r>
          </w:p>
        </w:tc>
        <w:tc>
          <w:tcPr>
            <w:tcW w:w="3265" w:type="dxa"/>
          </w:tcPr>
          <w:p w:rsidR="007E5D4D" w:rsidRPr="00B03D28" w:rsidRDefault="00C82B27">
            <w:pPr>
              <w:pStyle w:val="naiskr"/>
              <w:spacing w:before="0" w:after="0"/>
            </w:pPr>
            <w:r w:rsidRPr="00B03D28">
              <w:t>Cita informācija</w:t>
            </w:r>
          </w:p>
        </w:tc>
        <w:tc>
          <w:tcPr>
            <w:tcW w:w="5240" w:type="dxa"/>
          </w:tcPr>
          <w:p w:rsidR="007E5D4D" w:rsidRPr="00B03D28" w:rsidRDefault="00C82B27">
            <w:pPr>
              <w:pStyle w:val="naiskr"/>
              <w:spacing w:before="0" w:after="0"/>
            </w:pPr>
            <w:r w:rsidRPr="00B03D28">
              <w:t>Nav.</w:t>
            </w:r>
          </w:p>
        </w:tc>
      </w:tr>
    </w:tbl>
    <w:p w:rsidR="00885AEF" w:rsidRPr="00B03D28" w:rsidRDefault="00885AEF" w:rsidP="00CE5A53">
      <w:pPr>
        <w:pStyle w:val="NormalWeb"/>
        <w:spacing w:before="0" w:beforeAutospacing="0" w:after="0" w:afterAutospacing="0"/>
        <w:jc w:val="center"/>
        <w:rPr>
          <w:b/>
          <w:lang w:val="lv-LV"/>
        </w:rPr>
      </w:pPr>
    </w:p>
    <w:p w:rsidR="004E7663" w:rsidRPr="00B03D28" w:rsidRDefault="004E7663" w:rsidP="00CE5A53">
      <w:pPr>
        <w:pStyle w:val="NormalWeb"/>
        <w:spacing w:before="0" w:beforeAutospacing="0" w:after="0" w:afterAutospacing="0"/>
        <w:jc w:val="center"/>
        <w:rPr>
          <w:b/>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BB09C5" w:rsidRPr="00BD3ABC" w:rsidTr="00B17C2B">
        <w:tc>
          <w:tcPr>
            <w:tcW w:w="9087" w:type="dxa"/>
            <w:gridSpan w:val="2"/>
            <w:hideMark/>
          </w:tcPr>
          <w:p w:rsidR="00BB09C5" w:rsidRPr="00B03D28" w:rsidRDefault="007E5D4D" w:rsidP="00CE5A53">
            <w:pPr>
              <w:jc w:val="center"/>
              <w:rPr>
                <w:rFonts w:eastAsia="Times New Roman"/>
                <w:b/>
                <w:sz w:val="24"/>
                <w:szCs w:val="24"/>
                <w:lang w:val="lv-LV" w:eastAsia="lv-LV"/>
              </w:rPr>
            </w:pPr>
            <w:r w:rsidRPr="00B03D28">
              <w:rPr>
                <w:rFonts w:eastAsia="Times New Roman"/>
                <w:b/>
                <w:sz w:val="24"/>
                <w:szCs w:val="24"/>
                <w:lang w:val="lv-LV" w:eastAsia="lv-LV"/>
              </w:rPr>
              <w:t>VII. Tiesību akta projekta izpildes nodrošināšana un tās ietekme uz institūcijām</w:t>
            </w:r>
          </w:p>
        </w:tc>
      </w:tr>
      <w:tr w:rsidR="00AB248D" w:rsidRPr="00BD3ABC" w:rsidTr="004B638C">
        <w:tc>
          <w:tcPr>
            <w:tcW w:w="3417" w:type="dxa"/>
            <w:hideMark/>
          </w:tcPr>
          <w:p w:rsidR="00AB248D" w:rsidRPr="00B03D28" w:rsidRDefault="00AB248D" w:rsidP="00CE5A53">
            <w:pPr>
              <w:rPr>
                <w:rFonts w:eastAsia="Times New Roman"/>
                <w:sz w:val="24"/>
                <w:szCs w:val="24"/>
                <w:lang w:val="lv-LV" w:eastAsia="lv-LV"/>
              </w:rPr>
            </w:pPr>
            <w:r w:rsidRPr="00B03D28">
              <w:rPr>
                <w:rFonts w:eastAsia="Times New Roman"/>
                <w:sz w:val="24"/>
                <w:szCs w:val="24"/>
                <w:lang w:val="lv-LV" w:eastAsia="lv-LV"/>
              </w:rPr>
              <w:t>1. Projekta izpildē iesaistītās institūcijas</w:t>
            </w:r>
          </w:p>
        </w:tc>
        <w:tc>
          <w:tcPr>
            <w:tcW w:w="5670" w:type="dxa"/>
            <w:hideMark/>
          </w:tcPr>
          <w:p w:rsidR="00004E51" w:rsidRPr="00B03D28" w:rsidRDefault="00C82B27" w:rsidP="002A126D">
            <w:pPr>
              <w:jc w:val="both"/>
              <w:rPr>
                <w:rFonts w:eastAsia="Times New Roman"/>
                <w:sz w:val="24"/>
                <w:szCs w:val="24"/>
                <w:lang w:val="lv-LV" w:eastAsia="lv-LV"/>
              </w:rPr>
            </w:pPr>
            <w:r w:rsidRPr="00B03D28">
              <w:rPr>
                <w:sz w:val="24"/>
                <w:szCs w:val="24"/>
                <w:lang w:val="lv-LV"/>
              </w:rPr>
              <w:t xml:space="preserve">Noteikumu projekta izpildē ir iesaistīta </w:t>
            </w:r>
            <w:r w:rsidR="00862D34" w:rsidRPr="00B03D28">
              <w:rPr>
                <w:sz w:val="24"/>
                <w:szCs w:val="24"/>
                <w:lang w:val="lv-LV"/>
              </w:rPr>
              <w:t>Latvijas Investīciju un attīstības aģentūra</w:t>
            </w:r>
            <w:r w:rsidR="002A126D" w:rsidRPr="00B03D28">
              <w:rPr>
                <w:sz w:val="24"/>
                <w:szCs w:val="24"/>
                <w:lang w:val="lv-LV"/>
              </w:rPr>
              <w:t>.</w:t>
            </w:r>
          </w:p>
        </w:tc>
      </w:tr>
      <w:tr w:rsidR="00AB248D" w:rsidRPr="00BD3ABC" w:rsidTr="004B638C">
        <w:tc>
          <w:tcPr>
            <w:tcW w:w="3417" w:type="dxa"/>
            <w:hideMark/>
          </w:tcPr>
          <w:p w:rsidR="00AB248D" w:rsidRPr="00B03D28" w:rsidRDefault="00AB248D" w:rsidP="00CE5A53">
            <w:pPr>
              <w:rPr>
                <w:rFonts w:eastAsia="Times New Roman"/>
                <w:sz w:val="24"/>
                <w:szCs w:val="24"/>
                <w:lang w:val="lv-LV" w:eastAsia="lv-LV"/>
              </w:rPr>
            </w:pPr>
            <w:r w:rsidRPr="00B03D28">
              <w:rPr>
                <w:rFonts w:eastAsia="Times New Roman"/>
                <w:sz w:val="24"/>
                <w:szCs w:val="24"/>
                <w:lang w:val="lv-LV" w:eastAsia="lv-LV"/>
              </w:rPr>
              <w:t xml:space="preserve">2. </w:t>
            </w:r>
            <w:r w:rsidR="00E07DF2" w:rsidRPr="00B03D28">
              <w:rPr>
                <w:rFonts w:eastAsia="Times New Roman"/>
                <w:sz w:val="24"/>
                <w:szCs w:val="24"/>
                <w:lang w:val="lv-LV" w:eastAsia="lv-LV"/>
              </w:rPr>
              <w:t>Projekta izpildes ietekme uz pārvaldes funkcijā</w:t>
            </w:r>
          </w:p>
        </w:tc>
        <w:tc>
          <w:tcPr>
            <w:tcW w:w="5670" w:type="dxa"/>
            <w:hideMark/>
          </w:tcPr>
          <w:p w:rsidR="00AB248D" w:rsidRPr="00B03D28" w:rsidRDefault="00C82B27" w:rsidP="002A126D">
            <w:pPr>
              <w:jc w:val="both"/>
              <w:rPr>
                <w:sz w:val="24"/>
                <w:szCs w:val="24"/>
                <w:lang w:val="lv-LV"/>
              </w:rPr>
            </w:pPr>
            <w:r w:rsidRPr="00B03D28">
              <w:rPr>
                <w:sz w:val="24"/>
                <w:szCs w:val="24"/>
                <w:lang w:val="lv-LV"/>
              </w:rPr>
              <w:t xml:space="preserve">Noteikumu projekta izpildi nodrošinās </w:t>
            </w:r>
            <w:r w:rsidR="00700070" w:rsidRPr="00B03D28">
              <w:rPr>
                <w:sz w:val="24"/>
                <w:szCs w:val="24"/>
                <w:lang w:val="lv-LV"/>
              </w:rPr>
              <w:t xml:space="preserve">Latvijas Investīciju un attīstības aģentūras </w:t>
            </w:r>
            <w:r w:rsidRPr="00B03D28">
              <w:rPr>
                <w:sz w:val="24"/>
                <w:szCs w:val="24"/>
                <w:lang w:val="lv-LV"/>
              </w:rPr>
              <w:t>darbības ietvaros.</w:t>
            </w:r>
          </w:p>
        </w:tc>
      </w:tr>
      <w:tr w:rsidR="00BB09C5" w:rsidRPr="00BF344D" w:rsidTr="004B638C">
        <w:trPr>
          <w:trHeight w:val="930"/>
        </w:trPr>
        <w:tc>
          <w:tcPr>
            <w:tcW w:w="3417" w:type="dxa"/>
            <w:hideMark/>
          </w:tcPr>
          <w:p w:rsidR="00BB09C5" w:rsidRPr="00B03D28" w:rsidRDefault="00E07DF2" w:rsidP="00CE5A53">
            <w:pPr>
              <w:rPr>
                <w:rFonts w:eastAsia="Times New Roman"/>
                <w:sz w:val="24"/>
                <w:szCs w:val="24"/>
                <w:lang w:val="lv-LV" w:eastAsia="lv-LV"/>
              </w:rPr>
            </w:pPr>
            <w:r w:rsidRPr="00B03D28">
              <w:rPr>
                <w:rFonts w:eastAsia="Times New Roman"/>
                <w:sz w:val="24"/>
                <w:szCs w:val="24"/>
                <w:lang w:val="lv-LV" w:eastAsia="lv-LV"/>
              </w:rPr>
              <w:t>3. Projekta izpildes ietekme uz pārvaldes institucionālo struktūru. Jaunu institūciju izveide</w:t>
            </w:r>
          </w:p>
        </w:tc>
        <w:tc>
          <w:tcPr>
            <w:tcW w:w="5670" w:type="dxa"/>
            <w:hideMark/>
          </w:tcPr>
          <w:p w:rsidR="00004E51" w:rsidRPr="00B03D28" w:rsidRDefault="00C82B27" w:rsidP="00CE5A53">
            <w:pPr>
              <w:jc w:val="both"/>
              <w:rPr>
                <w:rFonts w:eastAsia="Times New Roman"/>
                <w:sz w:val="24"/>
                <w:szCs w:val="24"/>
                <w:lang w:val="lv-LV" w:eastAsia="lv-LV"/>
              </w:rPr>
            </w:pPr>
            <w:r w:rsidRPr="00B03D28">
              <w:rPr>
                <w:sz w:val="24"/>
                <w:szCs w:val="24"/>
                <w:lang w:val="lv-LV"/>
              </w:rPr>
              <w:t>Noteikumu projekta izpildei nav nepieciešams radīt jaunas institūcijas.</w:t>
            </w:r>
          </w:p>
        </w:tc>
      </w:tr>
      <w:tr w:rsidR="00BB09C5" w:rsidRPr="00BD3ABC" w:rsidTr="004B638C">
        <w:trPr>
          <w:trHeight w:val="1133"/>
        </w:trPr>
        <w:tc>
          <w:tcPr>
            <w:tcW w:w="3417" w:type="dxa"/>
            <w:hideMark/>
          </w:tcPr>
          <w:p w:rsidR="00BB09C5" w:rsidRPr="00B03D28" w:rsidRDefault="00E07DF2" w:rsidP="00CE5A53">
            <w:pPr>
              <w:rPr>
                <w:rFonts w:eastAsia="Times New Roman"/>
                <w:sz w:val="24"/>
                <w:szCs w:val="24"/>
                <w:lang w:val="lv-LV" w:eastAsia="lv-LV"/>
              </w:rPr>
            </w:pPr>
            <w:r w:rsidRPr="00B03D28">
              <w:rPr>
                <w:rFonts w:eastAsia="Times New Roman"/>
                <w:sz w:val="24"/>
                <w:szCs w:val="24"/>
                <w:lang w:val="lv-LV" w:eastAsia="lv-LV"/>
              </w:rPr>
              <w:t>4. Projekta izpildes ietekmes uz pārvaldes institucionālo struktūru. Esošu institūciju likvidācija</w:t>
            </w:r>
          </w:p>
        </w:tc>
        <w:tc>
          <w:tcPr>
            <w:tcW w:w="5670" w:type="dxa"/>
            <w:hideMark/>
          </w:tcPr>
          <w:p w:rsidR="00004E51" w:rsidRPr="00B03D28" w:rsidRDefault="00C82B27" w:rsidP="00CE5A53">
            <w:pPr>
              <w:jc w:val="both"/>
              <w:rPr>
                <w:rFonts w:eastAsia="Times New Roman"/>
                <w:sz w:val="24"/>
                <w:szCs w:val="24"/>
                <w:lang w:val="lv-LV" w:eastAsia="lv-LV"/>
              </w:rPr>
            </w:pPr>
            <w:r w:rsidRPr="00B03D28">
              <w:rPr>
                <w:sz w:val="24"/>
                <w:szCs w:val="24"/>
                <w:lang w:val="lv-LV"/>
              </w:rPr>
              <w:t>Noteikumu projekta izpildei nav nepieciešams likvidēt esošās institūcijas.</w:t>
            </w:r>
          </w:p>
        </w:tc>
      </w:tr>
      <w:tr w:rsidR="00BB09C5" w:rsidRPr="00BF344D" w:rsidTr="004B638C">
        <w:trPr>
          <w:trHeight w:val="912"/>
        </w:trPr>
        <w:tc>
          <w:tcPr>
            <w:tcW w:w="3417" w:type="dxa"/>
            <w:hideMark/>
          </w:tcPr>
          <w:p w:rsidR="00BB09C5" w:rsidRPr="00B03D28" w:rsidRDefault="00E07DF2" w:rsidP="00CE5A53">
            <w:pPr>
              <w:rPr>
                <w:rFonts w:eastAsia="Times New Roman"/>
                <w:sz w:val="24"/>
                <w:szCs w:val="24"/>
                <w:lang w:val="lv-LV" w:eastAsia="lv-LV"/>
              </w:rPr>
            </w:pPr>
            <w:r w:rsidRPr="00B03D28">
              <w:rPr>
                <w:rFonts w:eastAsia="Times New Roman"/>
                <w:sz w:val="24"/>
                <w:szCs w:val="24"/>
                <w:lang w:val="lv-LV" w:eastAsia="lv-LV"/>
              </w:rPr>
              <w:t>5. Projekta izpildes ietekmes uz pārvaldes institucionālo struktūru. Esošu institūciju reorganizācija</w:t>
            </w:r>
          </w:p>
        </w:tc>
        <w:tc>
          <w:tcPr>
            <w:tcW w:w="5670" w:type="dxa"/>
            <w:hideMark/>
          </w:tcPr>
          <w:p w:rsidR="00004E51" w:rsidRPr="00B03D28" w:rsidRDefault="00C852AB" w:rsidP="00CE5A53">
            <w:pPr>
              <w:jc w:val="both"/>
              <w:rPr>
                <w:rFonts w:eastAsia="Times New Roman"/>
                <w:sz w:val="24"/>
                <w:szCs w:val="24"/>
                <w:lang w:val="lv-LV" w:eastAsia="lv-LV"/>
              </w:rPr>
            </w:pPr>
            <w:r w:rsidRPr="00B03D28">
              <w:rPr>
                <w:sz w:val="24"/>
                <w:szCs w:val="24"/>
                <w:lang w:val="lv-LV"/>
              </w:rPr>
              <w:t>Noteikumu projekta izpildei nav nepieciešams reorganizēt esošās institūcijas.</w:t>
            </w:r>
          </w:p>
        </w:tc>
      </w:tr>
      <w:tr w:rsidR="00BB09C5" w:rsidRPr="00FA3D2C" w:rsidTr="004B638C">
        <w:tc>
          <w:tcPr>
            <w:tcW w:w="3417" w:type="dxa"/>
            <w:hideMark/>
          </w:tcPr>
          <w:p w:rsidR="00BB09C5" w:rsidRPr="00FA3D2C" w:rsidRDefault="00E07DF2" w:rsidP="00CE5A53">
            <w:pPr>
              <w:rPr>
                <w:rFonts w:eastAsia="Times New Roman"/>
                <w:sz w:val="24"/>
                <w:szCs w:val="24"/>
                <w:lang w:val="lv-LV" w:eastAsia="lv-LV"/>
              </w:rPr>
            </w:pPr>
            <w:r w:rsidRPr="00FA3D2C">
              <w:rPr>
                <w:rFonts w:eastAsia="Times New Roman"/>
                <w:sz w:val="24"/>
                <w:szCs w:val="24"/>
                <w:lang w:val="lv-LV" w:eastAsia="lv-LV"/>
              </w:rPr>
              <w:t>6</w:t>
            </w:r>
            <w:r w:rsidR="00BB09C5" w:rsidRPr="00FA3D2C">
              <w:rPr>
                <w:rFonts w:eastAsia="Times New Roman"/>
                <w:sz w:val="24"/>
                <w:szCs w:val="24"/>
                <w:lang w:val="lv-LV" w:eastAsia="lv-LV"/>
              </w:rPr>
              <w:t>. Cita informācija</w:t>
            </w:r>
          </w:p>
        </w:tc>
        <w:tc>
          <w:tcPr>
            <w:tcW w:w="5670" w:type="dxa"/>
            <w:hideMark/>
          </w:tcPr>
          <w:p w:rsidR="00004E51" w:rsidRPr="00FA3D2C" w:rsidRDefault="00476ADF" w:rsidP="00CE5A53">
            <w:pPr>
              <w:rPr>
                <w:rFonts w:eastAsia="Times New Roman"/>
                <w:sz w:val="24"/>
                <w:szCs w:val="24"/>
                <w:lang w:val="lv-LV" w:eastAsia="lv-LV"/>
              </w:rPr>
            </w:pPr>
            <w:r>
              <w:rPr>
                <w:rFonts w:eastAsia="Times New Roman"/>
                <w:sz w:val="24"/>
                <w:szCs w:val="24"/>
                <w:lang w:val="lv-LV" w:eastAsia="lv-LV"/>
              </w:rPr>
              <w:t>Nav.</w:t>
            </w:r>
          </w:p>
        </w:tc>
      </w:tr>
    </w:tbl>
    <w:p w:rsidR="00403EAD" w:rsidRPr="00FA3D2C" w:rsidRDefault="00403EAD" w:rsidP="00CE5A53">
      <w:pPr>
        <w:tabs>
          <w:tab w:val="left" w:pos="7655"/>
        </w:tabs>
        <w:jc w:val="both"/>
        <w:rPr>
          <w:bCs/>
          <w:sz w:val="24"/>
          <w:szCs w:val="24"/>
          <w:lang w:val="lv-LV"/>
        </w:rPr>
      </w:pPr>
    </w:p>
    <w:p w:rsidR="004B638C" w:rsidRPr="00FA3D2C" w:rsidRDefault="006A7024" w:rsidP="00CE5A53">
      <w:pPr>
        <w:tabs>
          <w:tab w:val="left" w:pos="7655"/>
        </w:tabs>
        <w:jc w:val="both"/>
        <w:rPr>
          <w:bCs/>
          <w:sz w:val="24"/>
          <w:szCs w:val="24"/>
          <w:lang w:val="lv-LV"/>
        </w:rPr>
      </w:pPr>
      <w:r w:rsidRPr="006A7024">
        <w:rPr>
          <w:b/>
          <w:sz w:val="24"/>
          <w:szCs w:val="24"/>
          <w:lang w:val="lv-LV"/>
        </w:rPr>
        <w:t>Anotācijas III,</w:t>
      </w:r>
      <w:r w:rsidR="002712EF" w:rsidRPr="006A7024">
        <w:rPr>
          <w:b/>
          <w:sz w:val="24"/>
          <w:szCs w:val="24"/>
          <w:lang w:val="lv-LV"/>
        </w:rPr>
        <w:t xml:space="preserve"> </w:t>
      </w:r>
      <w:r w:rsidRPr="006A7024">
        <w:rPr>
          <w:b/>
          <w:sz w:val="24"/>
          <w:szCs w:val="24"/>
          <w:lang w:val="lv-LV"/>
        </w:rPr>
        <w:t xml:space="preserve">IV, V un VI </w:t>
      </w:r>
      <w:r w:rsidR="002712EF" w:rsidRPr="006A7024">
        <w:rPr>
          <w:b/>
          <w:sz w:val="24"/>
          <w:szCs w:val="24"/>
          <w:lang w:val="lv-LV"/>
        </w:rPr>
        <w:t>sadaļa</w:t>
      </w:r>
      <w:r w:rsidR="002712EF" w:rsidRPr="002712EF">
        <w:rPr>
          <w:b/>
          <w:sz w:val="24"/>
          <w:szCs w:val="24"/>
          <w:lang w:val="lv-LV"/>
        </w:rPr>
        <w:t xml:space="preserve"> - </w:t>
      </w:r>
      <w:r w:rsidR="002712EF" w:rsidRPr="002712EF">
        <w:rPr>
          <w:iCs/>
          <w:sz w:val="24"/>
          <w:szCs w:val="24"/>
          <w:lang w:val="lv-LV"/>
        </w:rPr>
        <w:t>projekts šīs jomas neskar</w:t>
      </w:r>
      <w:r w:rsidR="002712EF" w:rsidRPr="002712EF">
        <w:rPr>
          <w:b/>
          <w:sz w:val="24"/>
          <w:szCs w:val="24"/>
          <w:lang w:val="lv-LV"/>
        </w:rPr>
        <w:t>.</w:t>
      </w:r>
    </w:p>
    <w:p w:rsidR="00CE5A53" w:rsidRPr="00B03D28" w:rsidRDefault="00CE5A53" w:rsidP="00CE5A53">
      <w:pPr>
        <w:tabs>
          <w:tab w:val="left" w:pos="7655"/>
        </w:tabs>
        <w:jc w:val="both"/>
        <w:rPr>
          <w:bCs/>
          <w:sz w:val="24"/>
          <w:szCs w:val="24"/>
          <w:lang w:val="lv-LV"/>
        </w:rPr>
      </w:pPr>
    </w:p>
    <w:p w:rsidR="00FA3D2C" w:rsidRDefault="00FA3D2C" w:rsidP="00CE5A53">
      <w:pPr>
        <w:tabs>
          <w:tab w:val="left" w:pos="7655"/>
        </w:tabs>
        <w:jc w:val="both"/>
        <w:rPr>
          <w:bCs/>
          <w:sz w:val="24"/>
          <w:szCs w:val="24"/>
          <w:lang w:val="lv-LV"/>
        </w:rPr>
      </w:pPr>
    </w:p>
    <w:p w:rsidR="006A7024" w:rsidRDefault="006A7024" w:rsidP="00CE5A53">
      <w:pPr>
        <w:tabs>
          <w:tab w:val="left" w:pos="7655"/>
        </w:tabs>
        <w:jc w:val="both"/>
        <w:rPr>
          <w:bCs/>
          <w:sz w:val="24"/>
          <w:szCs w:val="24"/>
          <w:lang w:val="lv-LV"/>
        </w:rPr>
      </w:pPr>
    </w:p>
    <w:p w:rsidR="006A7024" w:rsidRDefault="006A7024" w:rsidP="00CE5A53">
      <w:pPr>
        <w:tabs>
          <w:tab w:val="left" w:pos="7655"/>
        </w:tabs>
        <w:jc w:val="both"/>
        <w:rPr>
          <w:bCs/>
          <w:sz w:val="24"/>
          <w:szCs w:val="24"/>
          <w:lang w:val="lv-LV"/>
        </w:rPr>
      </w:pPr>
    </w:p>
    <w:p w:rsidR="00403EAD" w:rsidRPr="00B03D28" w:rsidRDefault="00C82B27" w:rsidP="00CE5A53">
      <w:pPr>
        <w:tabs>
          <w:tab w:val="left" w:pos="7655"/>
        </w:tabs>
        <w:jc w:val="both"/>
        <w:rPr>
          <w:bCs/>
          <w:sz w:val="24"/>
          <w:szCs w:val="24"/>
          <w:lang w:val="lv-LV"/>
        </w:rPr>
      </w:pPr>
      <w:r w:rsidRPr="00B03D28">
        <w:rPr>
          <w:bCs/>
          <w:sz w:val="24"/>
          <w:szCs w:val="24"/>
          <w:lang w:val="lv-LV"/>
        </w:rPr>
        <w:t>Ekonomikas ministrs</w:t>
      </w:r>
      <w:r w:rsidRPr="00B03D28">
        <w:rPr>
          <w:bCs/>
          <w:sz w:val="24"/>
          <w:szCs w:val="24"/>
          <w:lang w:val="lv-LV"/>
        </w:rPr>
        <w:tab/>
        <w:t>A.Kampars</w:t>
      </w:r>
    </w:p>
    <w:p w:rsidR="00860FDE" w:rsidRPr="00B03D28" w:rsidRDefault="00860FDE" w:rsidP="00CE5A53">
      <w:pPr>
        <w:pStyle w:val="EnvelopeReturn"/>
        <w:jc w:val="both"/>
        <w:rPr>
          <w:rFonts w:ascii="Times New Roman" w:hAnsi="Times New Roman"/>
          <w:color w:val="000000"/>
          <w:sz w:val="24"/>
          <w:szCs w:val="24"/>
          <w:lang w:val="lv-LV"/>
        </w:rPr>
      </w:pPr>
    </w:p>
    <w:p w:rsidR="00CE5A53" w:rsidRPr="00B03D28" w:rsidRDefault="00CE5A53" w:rsidP="00CE5A53">
      <w:pPr>
        <w:pStyle w:val="EnvelopeReturn"/>
        <w:jc w:val="both"/>
        <w:rPr>
          <w:rFonts w:ascii="Times New Roman" w:hAnsi="Times New Roman"/>
          <w:color w:val="000000"/>
          <w:sz w:val="24"/>
          <w:szCs w:val="24"/>
          <w:lang w:val="lv-LV"/>
        </w:rPr>
      </w:pPr>
    </w:p>
    <w:p w:rsidR="004B638C" w:rsidRPr="00B03D28" w:rsidRDefault="004B638C" w:rsidP="00CE5A53">
      <w:pPr>
        <w:pStyle w:val="EnvelopeReturn"/>
        <w:jc w:val="both"/>
        <w:rPr>
          <w:rFonts w:ascii="Times New Roman" w:hAnsi="Times New Roman"/>
          <w:color w:val="000000"/>
          <w:sz w:val="24"/>
          <w:szCs w:val="24"/>
          <w:lang w:val="lv-LV"/>
        </w:rPr>
      </w:pPr>
    </w:p>
    <w:p w:rsidR="004B638C" w:rsidRPr="00B03D28" w:rsidRDefault="004B638C" w:rsidP="00CE5A53">
      <w:pPr>
        <w:pStyle w:val="EnvelopeReturn"/>
        <w:jc w:val="both"/>
        <w:rPr>
          <w:rFonts w:ascii="Times New Roman" w:hAnsi="Times New Roman"/>
          <w:color w:val="000000"/>
          <w:sz w:val="24"/>
          <w:szCs w:val="24"/>
          <w:lang w:val="lv-LV"/>
        </w:rPr>
      </w:pPr>
    </w:p>
    <w:p w:rsidR="00403EAD" w:rsidRPr="00B03D28" w:rsidRDefault="00C82B27" w:rsidP="00CE5A53">
      <w:pPr>
        <w:pStyle w:val="EnvelopeReturn"/>
        <w:jc w:val="both"/>
        <w:rPr>
          <w:rFonts w:ascii="Times New Roman" w:hAnsi="Times New Roman"/>
          <w:color w:val="000000"/>
          <w:sz w:val="24"/>
          <w:szCs w:val="24"/>
          <w:lang w:val="lv-LV"/>
        </w:rPr>
      </w:pPr>
      <w:r w:rsidRPr="00B03D28">
        <w:rPr>
          <w:rFonts w:ascii="Times New Roman" w:hAnsi="Times New Roman"/>
          <w:color w:val="000000"/>
          <w:sz w:val="24"/>
          <w:szCs w:val="24"/>
          <w:lang w:val="lv-LV"/>
        </w:rPr>
        <w:t>Vīza: Valsts sekretār</w:t>
      </w:r>
      <w:r w:rsidR="0054660D" w:rsidRPr="00B03D28">
        <w:rPr>
          <w:rFonts w:ascii="Times New Roman" w:hAnsi="Times New Roman"/>
          <w:color w:val="000000"/>
          <w:sz w:val="24"/>
          <w:szCs w:val="24"/>
          <w:lang w:val="lv-LV"/>
        </w:rPr>
        <w:t>s</w:t>
      </w:r>
      <w:r w:rsidR="0054660D" w:rsidRPr="00B03D28">
        <w:rPr>
          <w:rFonts w:ascii="Times New Roman" w:hAnsi="Times New Roman"/>
          <w:color w:val="000000"/>
          <w:sz w:val="24"/>
          <w:szCs w:val="24"/>
          <w:lang w:val="lv-LV"/>
        </w:rPr>
        <w:tab/>
      </w:r>
      <w:r w:rsidRPr="00B03D28">
        <w:rPr>
          <w:rFonts w:ascii="Times New Roman" w:hAnsi="Times New Roman"/>
          <w:color w:val="000000"/>
          <w:sz w:val="24"/>
          <w:szCs w:val="24"/>
          <w:lang w:val="lv-LV"/>
        </w:rPr>
        <w:tab/>
      </w:r>
      <w:r w:rsidRPr="00B03D28">
        <w:rPr>
          <w:rFonts w:ascii="Times New Roman" w:hAnsi="Times New Roman"/>
          <w:color w:val="000000"/>
          <w:sz w:val="24"/>
          <w:szCs w:val="24"/>
          <w:lang w:val="lv-LV"/>
        </w:rPr>
        <w:tab/>
      </w:r>
      <w:r w:rsidRPr="00B03D28">
        <w:rPr>
          <w:rFonts w:ascii="Times New Roman" w:hAnsi="Times New Roman"/>
          <w:color w:val="000000"/>
          <w:sz w:val="24"/>
          <w:szCs w:val="24"/>
          <w:lang w:val="lv-LV"/>
        </w:rPr>
        <w:tab/>
      </w:r>
      <w:r w:rsidRPr="00B03D28">
        <w:rPr>
          <w:rFonts w:ascii="Times New Roman" w:hAnsi="Times New Roman"/>
          <w:color w:val="000000"/>
          <w:sz w:val="24"/>
          <w:szCs w:val="24"/>
          <w:lang w:val="lv-LV"/>
        </w:rPr>
        <w:tab/>
      </w:r>
      <w:r w:rsidRPr="00B03D28">
        <w:rPr>
          <w:rFonts w:ascii="Times New Roman" w:hAnsi="Times New Roman"/>
          <w:color w:val="000000"/>
          <w:sz w:val="24"/>
          <w:szCs w:val="24"/>
          <w:lang w:val="lv-LV"/>
        </w:rPr>
        <w:tab/>
      </w:r>
      <w:r w:rsidRPr="00B03D28">
        <w:rPr>
          <w:rFonts w:ascii="Times New Roman" w:hAnsi="Times New Roman"/>
          <w:color w:val="000000"/>
          <w:sz w:val="24"/>
          <w:szCs w:val="24"/>
          <w:lang w:val="lv-LV"/>
        </w:rPr>
        <w:tab/>
      </w:r>
      <w:r w:rsidR="006A7024">
        <w:rPr>
          <w:rFonts w:ascii="Times New Roman" w:hAnsi="Times New Roman"/>
          <w:color w:val="000000"/>
          <w:sz w:val="24"/>
          <w:szCs w:val="24"/>
          <w:lang w:val="lv-LV"/>
        </w:rPr>
        <w:tab/>
      </w:r>
      <w:r w:rsidRPr="00B03D28">
        <w:rPr>
          <w:rFonts w:ascii="Times New Roman" w:hAnsi="Times New Roman"/>
          <w:color w:val="000000"/>
          <w:sz w:val="24"/>
          <w:szCs w:val="24"/>
          <w:lang w:val="lv-LV"/>
        </w:rPr>
        <w:t xml:space="preserve">      </w:t>
      </w:r>
      <w:r w:rsidR="0054660D" w:rsidRPr="00B03D28">
        <w:rPr>
          <w:rFonts w:ascii="Times New Roman" w:hAnsi="Times New Roman"/>
          <w:color w:val="000000"/>
          <w:sz w:val="24"/>
          <w:szCs w:val="24"/>
          <w:lang w:val="lv-LV"/>
        </w:rPr>
        <w:tab/>
        <w:t>J</w:t>
      </w:r>
      <w:r w:rsidRPr="00B03D28">
        <w:rPr>
          <w:rFonts w:ascii="Times New Roman" w:hAnsi="Times New Roman"/>
          <w:color w:val="000000"/>
          <w:sz w:val="24"/>
          <w:szCs w:val="24"/>
          <w:lang w:val="lv-LV"/>
        </w:rPr>
        <w:t>.</w:t>
      </w:r>
      <w:r w:rsidR="0054660D" w:rsidRPr="00B03D28">
        <w:rPr>
          <w:rFonts w:ascii="Times New Roman" w:hAnsi="Times New Roman"/>
          <w:color w:val="000000"/>
          <w:sz w:val="24"/>
          <w:szCs w:val="24"/>
          <w:lang w:val="lv-LV"/>
        </w:rPr>
        <w:t>Pūce</w:t>
      </w:r>
    </w:p>
    <w:p w:rsidR="00403EAD" w:rsidRPr="00B03D28" w:rsidRDefault="00403EAD" w:rsidP="00CE5A53">
      <w:pPr>
        <w:jc w:val="both"/>
        <w:rPr>
          <w:color w:val="000000"/>
          <w:sz w:val="24"/>
          <w:szCs w:val="24"/>
          <w:lang w:val="lv-LV"/>
        </w:rPr>
      </w:pPr>
    </w:p>
    <w:p w:rsidR="00403EAD" w:rsidRPr="00B03D28" w:rsidRDefault="00403EAD" w:rsidP="00CE5A53">
      <w:pPr>
        <w:jc w:val="both"/>
        <w:rPr>
          <w:color w:val="000000"/>
          <w:sz w:val="24"/>
          <w:szCs w:val="24"/>
          <w:lang w:val="lv-LV"/>
        </w:rPr>
      </w:pPr>
    </w:p>
    <w:p w:rsidR="00710EA1" w:rsidRPr="00B03D28" w:rsidRDefault="00710EA1" w:rsidP="00CE5A53">
      <w:pPr>
        <w:jc w:val="both"/>
        <w:rPr>
          <w:color w:val="000000"/>
          <w:sz w:val="24"/>
          <w:szCs w:val="24"/>
          <w:lang w:val="lv-LV"/>
        </w:rPr>
      </w:pPr>
    </w:p>
    <w:p w:rsidR="00710EA1" w:rsidRPr="00B03D28" w:rsidRDefault="00710EA1" w:rsidP="00CE5A53">
      <w:pPr>
        <w:jc w:val="both"/>
        <w:rPr>
          <w:color w:val="000000"/>
          <w:sz w:val="24"/>
          <w:szCs w:val="24"/>
          <w:lang w:val="lv-LV"/>
        </w:rPr>
      </w:pPr>
    </w:p>
    <w:p w:rsidR="00265959" w:rsidRPr="00B03D28" w:rsidRDefault="00265959" w:rsidP="00CE5A53">
      <w:pPr>
        <w:jc w:val="both"/>
        <w:rPr>
          <w:color w:val="000000"/>
          <w:sz w:val="24"/>
          <w:szCs w:val="24"/>
          <w:lang w:val="lv-LV"/>
        </w:rPr>
      </w:pPr>
    </w:p>
    <w:p w:rsidR="00BD3ABC" w:rsidRDefault="00BD3ABC" w:rsidP="00CE5A53">
      <w:pPr>
        <w:jc w:val="both"/>
        <w:rPr>
          <w:color w:val="000000"/>
          <w:lang w:val="lv-LV"/>
        </w:rPr>
      </w:pPr>
      <w:r>
        <w:rPr>
          <w:color w:val="000000"/>
          <w:lang w:val="lv-LV"/>
        </w:rPr>
        <w:t>2011.01.26. 16:01</w:t>
      </w:r>
    </w:p>
    <w:p w:rsidR="00D07CDB" w:rsidRPr="00B03D28" w:rsidRDefault="00504FBB" w:rsidP="00CE5A53">
      <w:pPr>
        <w:jc w:val="both"/>
        <w:rPr>
          <w:color w:val="000000"/>
          <w:lang w:val="lv-LV"/>
        </w:rPr>
      </w:pPr>
      <w:fldSimple w:instr=" NUMWORDS   \* MERGEFORMAT ">
        <w:r w:rsidR="006A7024" w:rsidRPr="006A7024">
          <w:rPr>
            <w:noProof/>
            <w:color w:val="000000"/>
            <w:lang w:val="lv-LV"/>
          </w:rPr>
          <w:t>985</w:t>
        </w:r>
      </w:fldSimple>
    </w:p>
    <w:p w:rsidR="00004E51" w:rsidRPr="00B03D28" w:rsidRDefault="00885AEF" w:rsidP="00CE5A53">
      <w:pPr>
        <w:jc w:val="both"/>
        <w:rPr>
          <w:color w:val="000000"/>
          <w:lang w:val="lv-LV"/>
        </w:rPr>
      </w:pPr>
      <w:r w:rsidRPr="00B03D28">
        <w:rPr>
          <w:color w:val="000000"/>
          <w:lang w:val="lv-LV"/>
        </w:rPr>
        <w:t>Māris Krūmiņš</w:t>
      </w:r>
    </w:p>
    <w:p w:rsidR="00FA1511" w:rsidRPr="00B03D28" w:rsidRDefault="00456ADC" w:rsidP="00CE5A53">
      <w:pPr>
        <w:jc w:val="both"/>
        <w:rPr>
          <w:lang w:val="lv-LV"/>
        </w:rPr>
      </w:pPr>
      <w:r w:rsidRPr="00B03D28">
        <w:rPr>
          <w:color w:val="000000"/>
          <w:lang w:val="lv-LV"/>
        </w:rPr>
        <w:t>67013</w:t>
      </w:r>
      <w:r w:rsidR="00885AEF" w:rsidRPr="00B03D28">
        <w:rPr>
          <w:color w:val="000000"/>
          <w:lang w:val="lv-LV"/>
        </w:rPr>
        <w:t>082</w:t>
      </w:r>
      <w:r w:rsidR="00C852AB" w:rsidRPr="00B03D28">
        <w:rPr>
          <w:color w:val="000000"/>
          <w:lang w:val="lv-LV"/>
        </w:rPr>
        <w:t xml:space="preserve">, </w:t>
      </w:r>
      <w:r w:rsidR="00885AEF" w:rsidRPr="00B03D28">
        <w:rPr>
          <w:lang w:val="lv-LV"/>
        </w:rPr>
        <w:t>Maris.Krumins</w:t>
      </w:r>
      <w:r w:rsidR="00C852AB" w:rsidRPr="00B03D28">
        <w:rPr>
          <w:lang w:val="lv-LV"/>
        </w:rPr>
        <w:t>@em.gov.lv</w:t>
      </w:r>
    </w:p>
    <w:sectPr w:rsidR="00FA1511" w:rsidRPr="00B03D28"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94" w:rsidRDefault="00B70794" w:rsidP="00B014C2">
      <w:r>
        <w:separator/>
      </w:r>
    </w:p>
  </w:endnote>
  <w:endnote w:type="continuationSeparator" w:id="0">
    <w:p w:rsidR="00B70794" w:rsidRDefault="00B70794"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Default="00504FBB" w:rsidP="003E6D2C">
    <w:pPr>
      <w:jc w:val="both"/>
      <w:outlineLvl w:val="0"/>
      <w:rPr>
        <w:rFonts w:eastAsia="Times New Roman"/>
        <w:b/>
        <w:sz w:val="28"/>
        <w:szCs w:val="28"/>
        <w:lang w:val="lv-LV" w:eastAsia="lv-LV"/>
      </w:rPr>
    </w:pPr>
    <w:fldSimple w:instr=" FILENAME   \* MERGEFORMAT ">
      <w:r w:rsidR="003E6D2C" w:rsidRPr="00AD1A60">
        <w:rPr>
          <w:noProof/>
        </w:rPr>
        <w:t>EMAnot_</w:t>
      </w:r>
      <w:r w:rsidR="00593488">
        <w:rPr>
          <w:noProof/>
        </w:rPr>
        <w:t>26</w:t>
      </w:r>
      <w:r w:rsidR="002E3518">
        <w:rPr>
          <w:noProof/>
        </w:rPr>
        <w:t>0111</w:t>
      </w:r>
      <w:r w:rsidR="003E6D2C" w:rsidRPr="00AD1A60">
        <w:rPr>
          <w:noProof/>
        </w:rPr>
        <w:t>_groz</w:t>
      </w:r>
      <w:r w:rsidR="003E6D2C">
        <w:rPr>
          <w:noProof/>
        </w:rPr>
        <w:t>361</w:t>
      </w:r>
    </w:fldSimple>
    <w:r w:rsidR="003E6D2C" w:rsidRPr="00AD1A60">
      <w:t xml:space="preserve">; </w:t>
    </w:r>
    <w:r w:rsidR="003E6D2C" w:rsidRPr="003E6D2C">
      <w:rPr>
        <w:lang w:val="lv-LV"/>
      </w:rPr>
      <w:t>Ministru kabine</w:t>
    </w:r>
    <w:r w:rsidR="000B5B40">
      <w:rPr>
        <w:lang w:val="lv-LV"/>
      </w:rPr>
      <w:t>ta noteikumu projekta „</w:t>
    </w:r>
    <w:r w:rsidR="002E3518">
      <w:rPr>
        <w:lang w:val="lv-LV"/>
      </w:rPr>
      <w:t>Grozījumi</w:t>
    </w:r>
    <w:r w:rsidR="002E3518" w:rsidRPr="003E6D2C">
      <w:rPr>
        <w:lang w:val="lv-LV"/>
      </w:rPr>
      <w:t xml:space="preserve"> </w:t>
    </w:r>
    <w:r w:rsidR="003E6D2C" w:rsidRPr="003E6D2C">
      <w:rPr>
        <w:lang w:val="lv-LV"/>
      </w:rPr>
      <w:t>Ministru kabineta 2010.gada 13.aprīļa noteikumos Nr.361 „</w:t>
    </w:r>
    <w:r w:rsidR="003E6D2C" w:rsidRPr="003E6D2C">
      <w:rPr>
        <w:rFonts w:eastAsia="Times New Roman"/>
        <w:bCs/>
        <w:lang w:val="lv-LV" w:eastAsia="lv-LV"/>
      </w:rPr>
      <w:t>Noteikumi par darbības programmas „Uzņēmējdarbība un inovācijas” papildinājuma 2.1.2.1.1.apakšaktivitāti „Kompetences centri””</w:t>
    </w:r>
    <w:r w:rsidR="003E6D2C" w:rsidRPr="003E6D2C">
      <w:rPr>
        <w:bCs/>
        <w:lang w:val="lv-LV" w:eastAsia="lv-LV"/>
      </w:rPr>
      <w:t>”</w:t>
    </w:r>
    <w:r w:rsidR="003E6D2C" w:rsidRPr="003E6D2C">
      <w:rPr>
        <w:rFonts w:eastAsia="Times New Roman"/>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Default="00504FBB" w:rsidP="003E6D2C">
    <w:pPr>
      <w:jc w:val="both"/>
      <w:outlineLvl w:val="0"/>
      <w:rPr>
        <w:rFonts w:eastAsia="Times New Roman"/>
        <w:b/>
        <w:sz w:val="28"/>
        <w:szCs w:val="28"/>
        <w:lang w:val="lv-LV" w:eastAsia="lv-LV"/>
      </w:rPr>
    </w:pPr>
    <w:fldSimple w:instr=" FILENAME   \* MERGEFORMAT ">
      <w:r w:rsidR="0054660D" w:rsidRPr="00AD1A60">
        <w:rPr>
          <w:noProof/>
        </w:rPr>
        <w:t>EMAnot_</w:t>
      </w:r>
      <w:r w:rsidR="00593488">
        <w:rPr>
          <w:noProof/>
        </w:rPr>
        <w:t>26</w:t>
      </w:r>
      <w:r w:rsidR="002E3518">
        <w:rPr>
          <w:noProof/>
        </w:rPr>
        <w:t>0111</w:t>
      </w:r>
      <w:r w:rsidR="0054660D" w:rsidRPr="00AD1A60">
        <w:rPr>
          <w:noProof/>
        </w:rPr>
        <w:t>_groz</w:t>
      </w:r>
      <w:r w:rsidR="003E6D2C">
        <w:rPr>
          <w:noProof/>
        </w:rPr>
        <w:t>361</w:t>
      </w:r>
    </w:fldSimple>
    <w:r w:rsidR="000D1257" w:rsidRPr="00AD1A60">
      <w:t xml:space="preserve">; </w:t>
    </w:r>
    <w:r w:rsidR="003E6D2C" w:rsidRPr="003E6D2C">
      <w:rPr>
        <w:lang w:val="lv-LV"/>
      </w:rPr>
      <w:t>Ministru kabine</w:t>
    </w:r>
    <w:r w:rsidR="000B5B40">
      <w:rPr>
        <w:lang w:val="lv-LV"/>
      </w:rPr>
      <w:t>ta noteikumu projekta „</w:t>
    </w:r>
    <w:r w:rsidR="002E3518">
      <w:rPr>
        <w:lang w:val="lv-LV"/>
      </w:rPr>
      <w:t>Grozījumi</w:t>
    </w:r>
    <w:r w:rsidR="002E3518" w:rsidRPr="003E6D2C">
      <w:rPr>
        <w:lang w:val="lv-LV"/>
      </w:rPr>
      <w:t xml:space="preserve"> </w:t>
    </w:r>
    <w:r w:rsidR="003E6D2C" w:rsidRPr="003E6D2C">
      <w:rPr>
        <w:lang w:val="lv-LV"/>
      </w:rPr>
      <w:t>Ministru kabineta 2010.gada 13.aprīļa noteikumos Nr.361 „</w:t>
    </w:r>
    <w:r w:rsidR="003E6D2C" w:rsidRPr="003E6D2C">
      <w:rPr>
        <w:rFonts w:eastAsia="Times New Roman"/>
        <w:bCs/>
        <w:lang w:val="lv-LV" w:eastAsia="lv-LV"/>
      </w:rPr>
      <w:t>Noteikumi par darbības programmas „Uzņēmējdarbība un inovācijas” papildinājuma 2.1.2.1.1.apakšaktivitāti „Kompetences centri””</w:t>
    </w:r>
    <w:r w:rsidR="003E6D2C" w:rsidRPr="003E6D2C">
      <w:rPr>
        <w:bCs/>
        <w:lang w:val="lv-LV" w:eastAsia="lv-LV"/>
      </w:rPr>
      <w:t>”</w:t>
    </w:r>
    <w:r w:rsidR="003E6D2C" w:rsidRPr="003E6D2C">
      <w:rPr>
        <w:rFonts w:eastAsia="Times New Roman"/>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94" w:rsidRDefault="00B70794" w:rsidP="00B014C2">
      <w:r>
        <w:separator/>
      </w:r>
    </w:p>
  </w:footnote>
  <w:footnote w:type="continuationSeparator" w:id="0">
    <w:p w:rsidR="00B70794" w:rsidRDefault="00B70794"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504FBB">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BD3ABC">
      <w:rPr>
        <w:noProof/>
        <w:sz w:val="24"/>
        <w:szCs w:val="24"/>
      </w:rPr>
      <w:t>3</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BB09C5"/>
    <w:rsid w:val="000016AB"/>
    <w:rsid w:val="00004E51"/>
    <w:rsid w:val="0001186C"/>
    <w:rsid w:val="000158C8"/>
    <w:rsid w:val="0001764D"/>
    <w:rsid w:val="000229E4"/>
    <w:rsid w:val="00025B0A"/>
    <w:rsid w:val="0002603A"/>
    <w:rsid w:val="00026C03"/>
    <w:rsid w:val="0002762A"/>
    <w:rsid w:val="0003046E"/>
    <w:rsid w:val="00036E03"/>
    <w:rsid w:val="000415DE"/>
    <w:rsid w:val="0004167C"/>
    <w:rsid w:val="00047EF5"/>
    <w:rsid w:val="00050EA4"/>
    <w:rsid w:val="00052E89"/>
    <w:rsid w:val="00054808"/>
    <w:rsid w:val="000643D5"/>
    <w:rsid w:val="0007058B"/>
    <w:rsid w:val="000729ED"/>
    <w:rsid w:val="00083227"/>
    <w:rsid w:val="00085E74"/>
    <w:rsid w:val="000921C6"/>
    <w:rsid w:val="0009399C"/>
    <w:rsid w:val="00097583"/>
    <w:rsid w:val="000A434E"/>
    <w:rsid w:val="000A4AED"/>
    <w:rsid w:val="000B0719"/>
    <w:rsid w:val="000B5B40"/>
    <w:rsid w:val="000D0388"/>
    <w:rsid w:val="000D1257"/>
    <w:rsid w:val="000D140B"/>
    <w:rsid w:val="000D16B7"/>
    <w:rsid w:val="000D2F05"/>
    <w:rsid w:val="000D30E0"/>
    <w:rsid w:val="000D4B8D"/>
    <w:rsid w:val="000D6F7F"/>
    <w:rsid w:val="000D72B7"/>
    <w:rsid w:val="000E409F"/>
    <w:rsid w:val="000E4277"/>
    <w:rsid w:val="000F3F4C"/>
    <w:rsid w:val="000F6E9E"/>
    <w:rsid w:val="001002E4"/>
    <w:rsid w:val="00101FE0"/>
    <w:rsid w:val="0010410B"/>
    <w:rsid w:val="001047E8"/>
    <w:rsid w:val="00107DB4"/>
    <w:rsid w:val="00110E66"/>
    <w:rsid w:val="00113586"/>
    <w:rsid w:val="00115CC4"/>
    <w:rsid w:val="00115E25"/>
    <w:rsid w:val="0011745E"/>
    <w:rsid w:val="001226E1"/>
    <w:rsid w:val="001237C7"/>
    <w:rsid w:val="00130C6B"/>
    <w:rsid w:val="00131C62"/>
    <w:rsid w:val="00141EF2"/>
    <w:rsid w:val="00142CBB"/>
    <w:rsid w:val="001507B4"/>
    <w:rsid w:val="00156BF0"/>
    <w:rsid w:val="00157107"/>
    <w:rsid w:val="00166B88"/>
    <w:rsid w:val="001705C0"/>
    <w:rsid w:val="001706B5"/>
    <w:rsid w:val="001720E2"/>
    <w:rsid w:val="0017312C"/>
    <w:rsid w:val="001764E7"/>
    <w:rsid w:val="00177A26"/>
    <w:rsid w:val="00177DD5"/>
    <w:rsid w:val="001831F7"/>
    <w:rsid w:val="001871BB"/>
    <w:rsid w:val="00191102"/>
    <w:rsid w:val="00193BE3"/>
    <w:rsid w:val="00195030"/>
    <w:rsid w:val="001973A7"/>
    <w:rsid w:val="001A0D4B"/>
    <w:rsid w:val="001A6894"/>
    <w:rsid w:val="001B3236"/>
    <w:rsid w:val="001B3656"/>
    <w:rsid w:val="001B5F59"/>
    <w:rsid w:val="001B6A67"/>
    <w:rsid w:val="001B6D15"/>
    <w:rsid w:val="001C1BFF"/>
    <w:rsid w:val="001D1BF7"/>
    <w:rsid w:val="001D37CE"/>
    <w:rsid w:val="001D5E9C"/>
    <w:rsid w:val="001D6919"/>
    <w:rsid w:val="001D76FC"/>
    <w:rsid w:val="001E5031"/>
    <w:rsid w:val="001E667B"/>
    <w:rsid w:val="001E7AD3"/>
    <w:rsid w:val="001F02C1"/>
    <w:rsid w:val="001F7479"/>
    <w:rsid w:val="001F7527"/>
    <w:rsid w:val="0020388F"/>
    <w:rsid w:val="00205FEE"/>
    <w:rsid w:val="0021241F"/>
    <w:rsid w:val="00213D6A"/>
    <w:rsid w:val="002167AA"/>
    <w:rsid w:val="00217BC1"/>
    <w:rsid w:val="00222C39"/>
    <w:rsid w:val="00223C20"/>
    <w:rsid w:val="0023085A"/>
    <w:rsid w:val="00230FB6"/>
    <w:rsid w:val="00233657"/>
    <w:rsid w:val="00240CAE"/>
    <w:rsid w:val="00243A9D"/>
    <w:rsid w:val="00247529"/>
    <w:rsid w:val="002507A0"/>
    <w:rsid w:val="00257A14"/>
    <w:rsid w:val="00257EAE"/>
    <w:rsid w:val="00265959"/>
    <w:rsid w:val="0026604A"/>
    <w:rsid w:val="002712EF"/>
    <w:rsid w:val="00271DF1"/>
    <w:rsid w:val="002720E3"/>
    <w:rsid w:val="002748FF"/>
    <w:rsid w:val="00277740"/>
    <w:rsid w:val="0028114E"/>
    <w:rsid w:val="00284615"/>
    <w:rsid w:val="0028698C"/>
    <w:rsid w:val="0029015A"/>
    <w:rsid w:val="002A0CEE"/>
    <w:rsid w:val="002A126D"/>
    <w:rsid w:val="002A646A"/>
    <w:rsid w:val="002B4D01"/>
    <w:rsid w:val="002C0E0E"/>
    <w:rsid w:val="002C20C8"/>
    <w:rsid w:val="002C7CFA"/>
    <w:rsid w:val="002D7773"/>
    <w:rsid w:val="002D7DF1"/>
    <w:rsid w:val="002E0D23"/>
    <w:rsid w:val="002E3518"/>
    <w:rsid w:val="002E507C"/>
    <w:rsid w:val="002E6122"/>
    <w:rsid w:val="002E7530"/>
    <w:rsid w:val="002F063C"/>
    <w:rsid w:val="002F2FD6"/>
    <w:rsid w:val="002F423D"/>
    <w:rsid w:val="002F4553"/>
    <w:rsid w:val="002F53BF"/>
    <w:rsid w:val="002F5BBF"/>
    <w:rsid w:val="002F6D2C"/>
    <w:rsid w:val="003000F0"/>
    <w:rsid w:val="00303B7C"/>
    <w:rsid w:val="003108D5"/>
    <w:rsid w:val="00315F0A"/>
    <w:rsid w:val="003205FD"/>
    <w:rsid w:val="00320B71"/>
    <w:rsid w:val="00322A15"/>
    <w:rsid w:val="0032394F"/>
    <w:rsid w:val="00325B53"/>
    <w:rsid w:val="0033352C"/>
    <w:rsid w:val="00335837"/>
    <w:rsid w:val="003372CD"/>
    <w:rsid w:val="0034284E"/>
    <w:rsid w:val="0034329B"/>
    <w:rsid w:val="003451DA"/>
    <w:rsid w:val="00347805"/>
    <w:rsid w:val="00350552"/>
    <w:rsid w:val="003525FA"/>
    <w:rsid w:val="0035647E"/>
    <w:rsid w:val="00360437"/>
    <w:rsid w:val="00361DA6"/>
    <w:rsid w:val="003633B3"/>
    <w:rsid w:val="00363B7B"/>
    <w:rsid w:val="00374BCF"/>
    <w:rsid w:val="003756B1"/>
    <w:rsid w:val="00375A4C"/>
    <w:rsid w:val="00382BEB"/>
    <w:rsid w:val="00383500"/>
    <w:rsid w:val="00384799"/>
    <w:rsid w:val="003970C6"/>
    <w:rsid w:val="003A2B62"/>
    <w:rsid w:val="003A5963"/>
    <w:rsid w:val="003C3FA4"/>
    <w:rsid w:val="003C5D28"/>
    <w:rsid w:val="003E0167"/>
    <w:rsid w:val="003E28D2"/>
    <w:rsid w:val="003E2968"/>
    <w:rsid w:val="003E3604"/>
    <w:rsid w:val="003E6CB3"/>
    <w:rsid w:val="003E6D2C"/>
    <w:rsid w:val="003F095C"/>
    <w:rsid w:val="003F464F"/>
    <w:rsid w:val="003F4E09"/>
    <w:rsid w:val="00402B2B"/>
    <w:rsid w:val="00403279"/>
    <w:rsid w:val="00403EAD"/>
    <w:rsid w:val="00404D4B"/>
    <w:rsid w:val="00404E4B"/>
    <w:rsid w:val="004124AF"/>
    <w:rsid w:val="00420FC8"/>
    <w:rsid w:val="0042395B"/>
    <w:rsid w:val="0042472B"/>
    <w:rsid w:val="004260C8"/>
    <w:rsid w:val="0043243D"/>
    <w:rsid w:val="004368B2"/>
    <w:rsid w:val="00436E6A"/>
    <w:rsid w:val="004527EA"/>
    <w:rsid w:val="00456ADC"/>
    <w:rsid w:val="00460A29"/>
    <w:rsid w:val="00465662"/>
    <w:rsid w:val="004657AC"/>
    <w:rsid w:val="00471B85"/>
    <w:rsid w:val="00472755"/>
    <w:rsid w:val="00476ADF"/>
    <w:rsid w:val="004775F4"/>
    <w:rsid w:val="004829AD"/>
    <w:rsid w:val="00484C10"/>
    <w:rsid w:val="00485D96"/>
    <w:rsid w:val="004878E3"/>
    <w:rsid w:val="004A19D5"/>
    <w:rsid w:val="004A1A10"/>
    <w:rsid w:val="004A20FA"/>
    <w:rsid w:val="004A3CF2"/>
    <w:rsid w:val="004A7CF9"/>
    <w:rsid w:val="004B3CA5"/>
    <w:rsid w:val="004B638C"/>
    <w:rsid w:val="004C54F0"/>
    <w:rsid w:val="004C7B7E"/>
    <w:rsid w:val="004D4997"/>
    <w:rsid w:val="004D6AC5"/>
    <w:rsid w:val="004E36C8"/>
    <w:rsid w:val="004E5E7D"/>
    <w:rsid w:val="004E7663"/>
    <w:rsid w:val="004E7F2B"/>
    <w:rsid w:val="004F2F91"/>
    <w:rsid w:val="004F7105"/>
    <w:rsid w:val="00502E9A"/>
    <w:rsid w:val="00504FBB"/>
    <w:rsid w:val="005064C9"/>
    <w:rsid w:val="00510235"/>
    <w:rsid w:val="00517C20"/>
    <w:rsid w:val="00522B62"/>
    <w:rsid w:val="005279FC"/>
    <w:rsid w:val="00531E23"/>
    <w:rsid w:val="00533893"/>
    <w:rsid w:val="0053500F"/>
    <w:rsid w:val="00535FD4"/>
    <w:rsid w:val="00537A29"/>
    <w:rsid w:val="005422C3"/>
    <w:rsid w:val="00542F49"/>
    <w:rsid w:val="00543C3A"/>
    <w:rsid w:val="0054481A"/>
    <w:rsid w:val="0054660D"/>
    <w:rsid w:val="005471CA"/>
    <w:rsid w:val="00551B3C"/>
    <w:rsid w:val="00554A7A"/>
    <w:rsid w:val="00556A56"/>
    <w:rsid w:val="00560311"/>
    <w:rsid w:val="00561CB9"/>
    <w:rsid w:val="00561D17"/>
    <w:rsid w:val="0056528D"/>
    <w:rsid w:val="00575602"/>
    <w:rsid w:val="00575C67"/>
    <w:rsid w:val="00576B09"/>
    <w:rsid w:val="00580317"/>
    <w:rsid w:val="0058249F"/>
    <w:rsid w:val="0058679B"/>
    <w:rsid w:val="005867C2"/>
    <w:rsid w:val="005867EB"/>
    <w:rsid w:val="005877DA"/>
    <w:rsid w:val="00593488"/>
    <w:rsid w:val="005A15E6"/>
    <w:rsid w:val="005B1EC4"/>
    <w:rsid w:val="005B29DE"/>
    <w:rsid w:val="005B4178"/>
    <w:rsid w:val="005B4D4E"/>
    <w:rsid w:val="005C03F5"/>
    <w:rsid w:val="005C251D"/>
    <w:rsid w:val="005C3235"/>
    <w:rsid w:val="005C6DDB"/>
    <w:rsid w:val="005D3658"/>
    <w:rsid w:val="005E2C40"/>
    <w:rsid w:val="005F129D"/>
    <w:rsid w:val="005F351C"/>
    <w:rsid w:val="005F36F7"/>
    <w:rsid w:val="005F5121"/>
    <w:rsid w:val="005F65CE"/>
    <w:rsid w:val="006056A8"/>
    <w:rsid w:val="00606694"/>
    <w:rsid w:val="006126A9"/>
    <w:rsid w:val="00613019"/>
    <w:rsid w:val="00616CBC"/>
    <w:rsid w:val="006218A6"/>
    <w:rsid w:val="006224F7"/>
    <w:rsid w:val="006232A1"/>
    <w:rsid w:val="00623730"/>
    <w:rsid w:val="00630367"/>
    <w:rsid w:val="00631039"/>
    <w:rsid w:val="006316BA"/>
    <w:rsid w:val="006349DF"/>
    <w:rsid w:val="00636440"/>
    <w:rsid w:val="006456BB"/>
    <w:rsid w:val="00647FA6"/>
    <w:rsid w:val="00650716"/>
    <w:rsid w:val="00651669"/>
    <w:rsid w:val="00672A2F"/>
    <w:rsid w:val="00674BA7"/>
    <w:rsid w:val="00676770"/>
    <w:rsid w:val="00681496"/>
    <w:rsid w:val="006910BE"/>
    <w:rsid w:val="00693FAB"/>
    <w:rsid w:val="00696772"/>
    <w:rsid w:val="0069780B"/>
    <w:rsid w:val="006A7024"/>
    <w:rsid w:val="006A7638"/>
    <w:rsid w:val="006B1596"/>
    <w:rsid w:val="006B584A"/>
    <w:rsid w:val="006C04B0"/>
    <w:rsid w:val="006C136E"/>
    <w:rsid w:val="006C1797"/>
    <w:rsid w:val="006C2143"/>
    <w:rsid w:val="006D0B9B"/>
    <w:rsid w:val="006D1F62"/>
    <w:rsid w:val="006D3A18"/>
    <w:rsid w:val="006D4C40"/>
    <w:rsid w:val="006D69A4"/>
    <w:rsid w:val="006E2C3C"/>
    <w:rsid w:val="006E3C5D"/>
    <w:rsid w:val="006E53FC"/>
    <w:rsid w:val="006E67D7"/>
    <w:rsid w:val="006E6F33"/>
    <w:rsid w:val="006F0C19"/>
    <w:rsid w:val="006F24A8"/>
    <w:rsid w:val="006F56C1"/>
    <w:rsid w:val="006F6E45"/>
    <w:rsid w:val="00700070"/>
    <w:rsid w:val="007058E9"/>
    <w:rsid w:val="0071026C"/>
    <w:rsid w:val="0071061F"/>
    <w:rsid w:val="00710EA1"/>
    <w:rsid w:val="0071224D"/>
    <w:rsid w:val="0071657D"/>
    <w:rsid w:val="007217E4"/>
    <w:rsid w:val="00725107"/>
    <w:rsid w:val="0072668A"/>
    <w:rsid w:val="007278CF"/>
    <w:rsid w:val="007315C5"/>
    <w:rsid w:val="007355DD"/>
    <w:rsid w:val="007363F2"/>
    <w:rsid w:val="00737AB8"/>
    <w:rsid w:val="00741F6A"/>
    <w:rsid w:val="007543C1"/>
    <w:rsid w:val="007547B1"/>
    <w:rsid w:val="00760465"/>
    <w:rsid w:val="00762A8E"/>
    <w:rsid w:val="00767185"/>
    <w:rsid w:val="0077435A"/>
    <w:rsid w:val="007821CF"/>
    <w:rsid w:val="00787BED"/>
    <w:rsid w:val="00794B98"/>
    <w:rsid w:val="007A0D95"/>
    <w:rsid w:val="007A14D0"/>
    <w:rsid w:val="007A1D95"/>
    <w:rsid w:val="007A25F6"/>
    <w:rsid w:val="007A3DB5"/>
    <w:rsid w:val="007A7FC5"/>
    <w:rsid w:val="007B1BE8"/>
    <w:rsid w:val="007C2992"/>
    <w:rsid w:val="007D6900"/>
    <w:rsid w:val="007D7613"/>
    <w:rsid w:val="007D7A8A"/>
    <w:rsid w:val="007E20C4"/>
    <w:rsid w:val="007E34D8"/>
    <w:rsid w:val="007E5D4D"/>
    <w:rsid w:val="007E6A88"/>
    <w:rsid w:val="007E7623"/>
    <w:rsid w:val="007F0242"/>
    <w:rsid w:val="007F0C15"/>
    <w:rsid w:val="00810454"/>
    <w:rsid w:val="00812990"/>
    <w:rsid w:val="00817839"/>
    <w:rsid w:val="00823419"/>
    <w:rsid w:val="0082376A"/>
    <w:rsid w:val="00823CBA"/>
    <w:rsid w:val="008265EF"/>
    <w:rsid w:val="00827407"/>
    <w:rsid w:val="00832642"/>
    <w:rsid w:val="008370D7"/>
    <w:rsid w:val="00843294"/>
    <w:rsid w:val="00845F2C"/>
    <w:rsid w:val="00852F12"/>
    <w:rsid w:val="008549AE"/>
    <w:rsid w:val="00860387"/>
    <w:rsid w:val="00860FDE"/>
    <w:rsid w:val="00862D34"/>
    <w:rsid w:val="00872146"/>
    <w:rsid w:val="00874C25"/>
    <w:rsid w:val="00877265"/>
    <w:rsid w:val="00877FED"/>
    <w:rsid w:val="00880D7E"/>
    <w:rsid w:val="00885AEF"/>
    <w:rsid w:val="00890831"/>
    <w:rsid w:val="0089090B"/>
    <w:rsid w:val="00891DAA"/>
    <w:rsid w:val="008927D8"/>
    <w:rsid w:val="00895A3D"/>
    <w:rsid w:val="0089622A"/>
    <w:rsid w:val="008972A4"/>
    <w:rsid w:val="00897C16"/>
    <w:rsid w:val="008A515D"/>
    <w:rsid w:val="008A6918"/>
    <w:rsid w:val="008B6C2F"/>
    <w:rsid w:val="008C37BE"/>
    <w:rsid w:val="008C446D"/>
    <w:rsid w:val="008C47D6"/>
    <w:rsid w:val="008C76E4"/>
    <w:rsid w:val="008C7B79"/>
    <w:rsid w:val="008D0A17"/>
    <w:rsid w:val="008D15AF"/>
    <w:rsid w:val="008D17E5"/>
    <w:rsid w:val="008D5529"/>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70A"/>
    <w:rsid w:val="00906840"/>
    <w:rsid w:val="00906909"/>
    <w:rsid w:val="00911B94"/>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50000"/>
    <w:rsid w:val="00953044"/>
    <w:rsid w:val="0095696B"/>
    <w:rsid w:val="00962CEA"/>
    <w:rsid w:val="0096699E"/>
    <w:rsid w:val="009741BB"/>
    <w:rsid w:val="00976DE4"/>
    <w:rsid w:val="00981078"/>
    <w:rsid w:val="00981D69"/>
    <w:rsid w:val="00990026"/>
    <w:rsid w:val="0099344A"/>
    <w:rsid w:val="00995388"/>
    <w:rsid w:val="009A164D"/>
    <w:rsid w:val="009A38AD"/>
    <w:rsid w:val="009A4789"/>
    <w:rsid w:val="009B0DB2"/>
    <w:rsid w:val="009B2624"/>
    <w:rsid w:val="009B2F66"/>
    <w:rsid w:val="009B4731"/>
    <w:rsid w:val="009B623D"/>
    <w:rsid w:val="009C2CF9"/>
    <w:rsid w:val="009C34B1"/>
    <w:rsid w:val="009C412F"/>
    <w:rsid w:val="009C7064"/>
    <w:rsid w:val="009D10C0"/>
    <w:rsid w:val="009D6B85"/>
    <w:rsid w:val="009E116E"/>
    <w:rsid w:val="009E182A"/>
    <w:rsid w:val="009E1AEA"/>
    <w:rsid w:val="009E2143"/>
    <w:rsid w:val="009E604D"/>
    <w:rsid w:val="009E66C4"/>
    <w:rsid w:val="009E7DF3"/>
    <w:rsid w:val="009F37B4"/>
    <w:rsid w:val="009F46C9"/>
    <w:rsid w:val="009F5980"/>
    <w:rsid w:val="00A14437"/>
    <w:rsid w:val="00A15971"/>
    <w:rsid w:val="00A20A03"/>
    <w:rsid w:val="00A225BC"/>
    <w:rsid w:val="00A30576"/>
    <w:rsid w:val="00A30F97"/>
    <w:rsid w:val="00A326B1"/>
    <w:rsid w:val="00A34AC6"/>
    <w:rsid w:val="00A419B3"/>
    <w:rsid w:val="00A425FC"/>
    <w:rsid w:val="00A44590"/>
    <w:rsid w:val="00A47339"/>
    <w:rsid w:val="00A47536"/>
    <w:rsid w:val="00A50326"/>
    <w:rsid w:val="00A52BA6"/>
    <w:rsid w:val="00A54D4C"/>
    <w:rsid w:val="00A54E1A"/>
    <w:rsid w:val="00A55C87"/>
    <w:rsid w:val="00A6113D"/>
    <w:rsid w:val="00A6164F"/>
    <w:rsid w:val="00A62C9B"/>
    <w:rsid w:val="00A7667E"/>
    <w:rsid w:val="00A806F1"/>
    <w:rsid w:val="00A92DAD"/>
    <w:rsid w:val="00A958DC"/>
    <w:rsid w:val="00A963C3"/>
    <w:rsid w:val="00AA04AA"/>
    <w:rsid w:val="00AA46D0"/>
    <w:rsid w:val="00AA5C4F"/>
    <w:rsid w:val="00AA5F61"/>
    <w:rsid w:val="00AB067F"/>
    <w:rsid w:val="00AB248D"/>
    <w:rsid w:val="00AB2498"/>
    <w:rsid w:val="00AB2B93"/>
    <w:rsid w:val="00AB488D"/>
    <w:rsid w:val="00AB5B30"/>
    <w:rsid w:val="00AC0231"/>
    <w:rsid w:val="00AC51C0"/>
    <w:rsid w:val="00AD01D2"/>
    <w:rsid w:val="00AD1A52"/>
    <w:rsid w:val="00AD1A60"/>
    <w:rsid w:val="00AD2F9E"/>
    <w:rsid w:val="00AD452A"/>
    <w:rsid w:val="00AD5849"/>
    <w:rsid w:val="00AE05F1"/>
    <w:rsid w:val="00AE1659"/>
    <w:rsid w:val="00AE51EC"/>
    <w:rsid w:val="00AE52B6"/>
    <w:rsid w:val="00AE6E0C"/>
    <w:rsid w:val="00AF1E99"/>
    <w:rsid w:val="00B014C2"/>
    <w:rsid w:val="00B01C10"/>
    <w:rsid w:val="00B033B8"/>
    <w:rsid w:val="00B03D28"/>
    <w:rsid w:val="00B166B5"/>
    <w:rsid w:val="00B17C2B"/>
    <w:rsid w:val="00B219DE"/>
    <w:rsid w:val="00B221CA"/>
    <w:rsid w:val="00B23B0C"/>
    <w:rsid w:val="00B26A25"/>
    <w:rsid w:val="00B30133"/>
    <w:rsid w:val="00B31842"/>
    <w:rsid w:val="00B373B9"/>
    <w:rsid w:val="00B37ECA"/>
    <w:rsid w:val="00B40127"/>
    <w:rsid w:val="00B4309E"/>
    <w:rsid w:val="00B45132"/>
    <w:rsid w:val="00B45711"/>
    <w:rsid w:val="00B46611"/>
    <w:rsid w:val="00B5466B"/>
    <w:rsid w:val="00B55CC8"/>
    <w:rsid w:val="00B6151B"/>
    <w:rsid w:val="00B62197"/>
    <w:rsid w:val="00B626F8"/>
    <w:rsid w:val="00B67838"/>
    <w:rsid w:val="00B70794"/>
    <w:rsid w:val="00B74BCA"/>
    <w:rsid w:val="00B7774A"/>
    <w:rsid w:val="00B81E82"/>
    <w:rsid w:val="00B8222C"/>
    <w:rsid w:val="00B82499"/>
    <w:rsid w:val="00B85F43"/>
    <w:rsid w:val="00B912E7"/>
    <w:rsid w:val="00B931D1"/>
    <w:rsid w:val="00B97180"/>
    <w:rsid w:val="00BA0A22"/>
    <w:rsid w:val="00BA7293"/>
    <w:rsid w:val="00BB09C5"/>
    <w:rsid w:val="00BB1832"/>
    <w:rsid w:val="00BB4180"/>
    <w:rsid w:val="00BB6516"/>
    <w:rsid w:val="00BB6D20"/>
    <w:rsid w:val="00BC06E8"/>
    <w:rsid w:val="00BC16B4"/>
    <w:rsid w:val="00BC1DE4"/>
    <w:rsid w:val="00BC262B"/>
    <w:rsid w:val="00BC486B"/>
    <w:rsid w:val="00BC4AAD"/>
    <w:rsid w:val="00BC51A3"/>
    <w:rsid w:val="00BC70FB"/>
    <w:rsid w:val="00BD1934"/>
    <w:rsid w:val="00BD22EA"/>
    <w:rsid w:val="00BD3ABC"/>
    <w:rsid w:val="00BE0EC8"/>
    <w:rsid w:val="00BE1338"/>
    <w:rsid w:val="00BE4892"/>
    <w:rsid w:val="00BF13E2"/>
    <w:rsid w:val="00BF1C29"/>
    <w:rsid w:val="00BF344D"/>
    <w:rsid w:val="00BF599F"/>
    <w:rsid w:val="00C044F2"/>
    <w:rsid w:val="00C04B3F"/>
    <w:rsid w:val="00C0764D"/>
    <w:rsid w:val="00C10877"/>
    <w:rsid w:val="00C10CEA"/>
    <w:rsid w:val="00C112CE"/>
    <w:rsid w:val="00C11C6A"/>
    <w:rsid w:val="00C12C72"/>
    <w:rsid w:val="00C1663D"/>
    <w:rsid w:val="00C16BBF"/>
    <w:rsid w:val="00C20EF9"/>
    <w:rsid w:val="00C21702"/>
    <w:rsid w:val="00C257B7"/>
    <w:rsid w:val="00C307D2"/>
    <w:rsid w:val="00C31F73"/>
    <w:rsid w:val="00C32F05"/>
    <w:rsid w:val="00C37B14"/>
    <w:rsid w:val="00C40FDA"/>
    <w:rsid w:val="00C43F6F"/>
    <w:rsid w:val="00C51843"/>
    <w:rsid w:val="00C5549D"/>
    <w:rsid w:val="00C7152A"/>
    <w:rsid w:val="00C73791"/>
    <w:rsid w:val="00C82A06"/>
    <w:rsid w:val="00C82B27"/>
    <w:rsid w:val="00C85068"/>
    <w:rsid w:val="00C852AB"/>
    <w:rsid w:val="00CA0B16"/>
    <w:rsid w:val="00CA181C"/>
    <w:rsid w:val="00CA334F"/>
    <w:rsid w:val="00CA4ADF"/>
    <w:rsid w:val="00CA5DE0"/>
    <w:rsid w:val="00CA6526"/>
    <w:rsid w:val="00CA7E59"/>
    <w:rsid w:val="00CB2CB2"/>
    <w:rsid w:val="00CB4D81"/>
    <w:rsid w:val="00CB5D7B"/>
    <w:rsid w:val="00CB6A16"/>
    <w:rsid w:val="00CB7A76"/>
    <w:rsid w:val="00CC69CD"/>
    <w:rsid w:val="00CC76C2"/>
    <w:rsid w:val="00CD787B"/>
    <w:rsid w:val="00CE09F6"/>
    <w:rsid w:val="00CE46A5"/>
    <w:rsid w:val="00CE5A53"/>
    <w:rsid w:val="00CF05DA"/>
    <w:rsid w:val="00CF370C"/>
    <w:rsid w:val="00CF5C7C"/>
    <w:rsid w:val="00D03BE9"/>
    <w:rsid w:val="00D07CDB"/>
    <w:rsid w:val="00D11D2F"/>
    <w:rsid w:val="00D135FA"/>
    <w:rsid w:val="00D16BE8"/>
    <w:rsid w:val="00D17FC9"/>
    <w:rsid w:val="00D215C9"/>
    <w:rsid w:val="00D23AF2"/>
    <w:rsid w:val="00D25DF0"/>
    <w:rsid w:val="00D270A9"/>
    <w:rsid w:val="00D30469"/>
    <w:rsid w:val="00D315BC"/>
    <w:rsid w:val="00D33BC8"/>
    <w:rsid w:val="00D347F4"/>
    <w:rsid w:val="00D402F5"/>
    <w:rsid w:val="00D5184D"/>
    <w:rsid w:val="00D51E6D"/>
    <w:rsid w:val="00D62CCB"/>
    <w:rsid w:val="00D71175"/>
    <w:rsid w:val="00D7256E"/>
    <w:rsid w:val="00D74282"/>
    <w:rsid w:val="00D751F5"/>
    <w:rsid w:val="00D77F11"/>
    <w:rsid w:val="00D84793"/>
    <w:rsid w:val="00D97223"/>
    <w:rsid w:val="00DA61A3"/>
    <w:rsid w:val="00DA7414"/>
    <w:rsid w:val="00DB28DC"/>
    <w:rsid w:val="00DB35ED"/>
    <w:rsid w:val="00DB3BCB"/>
    <w:rsid w:val="00DB41C8"/>
    <w:rsid w:val="00DC406B"/>
    <w:rsid w:val="00DC44CC"/>
    <w:rsid w:val="00DC4C6D"/>
    <w:rsid w:val="00DC5ABA"/>
    <w:rsid w:val="00DD0266"/>
    <w:rsid w:val="00DD1A9D"/>
    <w:rsid w:val="00DD28ED"/>
    <w:rsid w:val="00DD32A1"/>
    <w:rsid w:val="00DD3C99"/>
    <w:rsid w:val="00DD42C2"/>
    <w:rsid w:val="00DD50FD"/>
    <w:rsid w:val="00DD7A97"/>
    <w:rsid w:val="00DE043D"/>
    <w:rsid w:val="00DE1404"/>
    <w:rsid w:val="00DE54AB"/>
    <w:rsid w:val="00DE5D69"/>
    <w:rsid w:val="00DE67FC"/>
    <w:rsid w:val="00DF0637"/>
    <w:rsid w:val="00DF0A7E"/>
    <w:rsid w:val="00DF4F04"/>
    <w:rsid w:val="00DF6B2B"/>
    <w:rsid w:val="00E007C1"/>
    <w:rsid w:val="00E00CC5"/>
    <w:rsid w:val="00E03A78"/>
    <w:rsid w:val="00E07DF2"/>
    <w:rsid w:val="00E10D14"/>
    <w:rsid w:val="00E147E0"/>
    <w:rsid w:val="00E22EBE"/>
    <w:rsid w:val="00E26AAA"/>
    <w:rsid w:val="00E26E54"/>
    <w:rsid w:val="00E374A8"/>
    <w:rsid w:val="00E4147B"/>
    <w:rsid w:val="00E42E89"/>
    <w:rsid w:val="00E45814"/>
    <w:rsid w:val="00E47E61"/>
    <w:rsid w:val="00E53C62"/>
    <w:rsid w:val="00E60458"/>
    <w:rsid w:val="00E64B2F"/>
    <w:rsid w:val="00E65238"/>
    <w:rsid w:val="00E65F36"/>
    <w:rsid w:val="00E65F64"/>
    <w:rsid w:val="00E67992"/>
    <w:rsid w:val="00E70B81"/>
    <w:rsid w:val="00E73425"/>
    <w:rsid w:val="00E76A2A"/>
    <w:rsid w:val="00E77E51"/>
    <w:rsid w:val="00E8387C"/>
    <w:rsid w:val="00E83E29"/>
    <w:rsid w:val="00E90C7E"/>
    <w:rsid w:val="00E91702"/>
    <w:rsid w:val="00E93D72"/>
    <w:rsid w:val="00E943FC"/>
    <w:rsid w:val="00E96283"/>
    <w:rsid w:val="00E97B1A"/>
    <w:rsid w:val="00EA2820"/>
    <w:rsid w:val="00EA50BA"/>
    <w:rsid w:val="00EA5412"/>
    <w:rsid w:val="00EA57EF"/>
    <w:rsid w:val="00EB03F5"/>
    <w:rsid w:val="00EB1BE8"/>
    <w:rsid w:val="00EB263C"/>
    <w:rsid w:val="00EC2AD9"/>
    <w:rsid w:val="00EC59C9"/>
    <w:rsid w:val="00EC5C1C"/>
    <w:rsid w:val="00ED29AD"/>
    <w:rsid w:val="00ED377B"/>
    <w:rsid w:val="00EE1948"/>
    <w:rsid w:val="00EE2B7B"/>
    <w:rsid w:val="00EE424E"/>
    <w:rsid w:val="00EE4FC3"/>
    <w:rsid w:val="00EF0674"/>
    <w:rsid w:val="00EF26A5"/>
    <w:rsid w:val="00EF335B"/>
    <w:rsid w:val="00EF662A"/>
    <w:rsid w:val="00EF6E5B"/>
    <w:rsid w:val="00EF7A99"/>
    <w:rsid w:val="00EF7D9D"/>
    <w:rsid w:val="00F010E4"/>
    <w:rsid w:val="00F067B2"/>
    <w:rsid w:val="00F103C0"/>
    <w:rsid w:val="00F15932"/>
    <w:rsid w:val="00F210C4"/>
    <w:rsid w:val="00F213B5"/>
    <w:rsid w:val="00F24674"/>
    <w:rsid w:val="00F25271"/>
    <w:rsid w:val="00F258DB"/>
    <w:rsid w:val="00F27161"/>
    <w:rsid w:val="00F3042A"/>
    <w:rsid w:val="00F34F76"/>
    <w:rsid w:val="00F35826"/>
    <w:rsid w:val="00F4498B"/>
    <w:rsid w:val="00F45FC6"/>
    <w:rsid w:val="00F53491"/>
    <w:rsid w:val="00F53820"/>
    <w:rsid w:val="00F54C76"/>
    <w:rsid w:val="00F621F0"/>
    <w:rsid w:val="00F6350C"/>
    <w:rsid w:val="00F6526D"/>
    <w:rsid w:val="00F73226"/>
    <w:rsid w:val="00F73CBA"/>
    <w:rsid w:val="00F73E4D"/>
    <w:rsid w:val="00F74837"/>
    <w:rsid w:val="00F768B2"/>
    <w:rsid w:val="00F80221"/>
    <w:rsid w:val="00F86808"/>
    <w:rsid w:val="00F925CA"/>
    <w:rsid w:val="00F942CC"/>
    <w:rsid w:val="00F94B10"/>
    <w:rsid w:val="00F9656B"/>
    <w:rsid w:val="00FA1511"/>
    <w:rsid w:val="00FA2035"/>
    <w:rsid w:val="00FA3614"/>
    <w:rsid w:val="00FA3D2C"/>
    <w:rsid w:val="00FA6053"/>
    <w:rsid w:val="00FA6507"/>
    <w:rsid w:val="00FB1448"/>
    <w:rsid w:val="00FB2469"/>
    <w:rsid w:val="00FC1889"/>
    <w:rsid w:val="00FC4CC7"/>
    <w:rsid w:val="00FC6E18"/>
    <w:rsid w:val="00FD42A6"/>
    <w:rsid w:val="00FF375B"/>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40330337">
      <w:bodyDiv w:val="1"/>
      <w:marLeft w:val="0"/>
      <w:marRight w:val="0"/>
      <w:marTop w:val="0"/>
      <w:marBottom w:val="0"/>
      <w:divBdr>
        <w:top w:val="none" w:sz="0" w:space="0" w:color="auto"/>
        <w:left w:val="none" w:sz="0" w:space="0" w:color="auto"/>
        <w:bottom w:val="none" w:sz="0" w:space="0" w:color="auto"/>
        <w:right w:val="none" w:sz="0" w:space="0" w:color="auto"/>
      </w:divBdr>
    </w:div>
    <w:div w:id="153180399">
      <w:bodyDiv w:val="1"/>
      <w:marLeft w:val="0"/>
      <w:marRight w:val="0"/>
      <w:marTop w:val="0"/>
      <w:marBottom w:val="0"/>
      <w:divBdr>
        <w:top w:val="none" w:sz="0" w:space="0" w:color="auto"/>
        <w:left w:val="none" w:sz="0" w:space="0" w:color="auto"/>
        <w:bottom w:val="none" w:sz="0" w:space="0" w:color="auto"/>
        <w:right w:val="none" w:sz="0" w:space="0" w:color="auto"/>
      </w:divBdr>
      <w:divsChild>
        <w:div w:id="600144619">
          <w:marLeft w:val="0"/>
          <w:marRight w:val="0"/>
          <w:marTop w:val="0"/>
          <w:marBottom w:val="0"/>
          <w:divBdr>
            <w:top w:val="none" w:sz="0" w:space="0" w:color="auto"/>
            <w:left w:val="none" w:sz="0" w:space="0" w:color="auto"/>
            <w:bottom w:val="none" w:sz="0" w:space="0" w:color="auto"/>
            <w:right w:val="none" w:sz="0" w:space="0" w:color="auto"/>
          </w:divBdr>
        </w:div>
      </w:divsChild>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551187946">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2117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E833D49-CF28-41FE-BA64-336A20BC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1001</Words>
  <Characters>7381</Characters>
  <Application>Microsoft Office Word</Application>
  <DocSecurity>0</DocSecurity>
  <Lines>434</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projekta „Grozījumi Ministru kabineta 2010.gada 13.aprīļa noteikumos Nr.361 „Noteikumi par darbības programmas „Uzņēmējdarbība un inovācijas” papildinājuma 2.1.2.1.1.apakšaktivitāti „Kompetences centri””” sākotnējās ietekmes no</vt:lpstr>
      <vt:lpstr>Ministru kabineta noteikumu projekta „Grozījums Ministru kabineta 2010.gada 13.a</vt:lpstr>
    </vt:vector>
  </TitlesOfParts>
  <Company>LR Ekonomikas ministrija</Company>
  <LinksUpToDate>false</LinksUpToDate>
  <CharactersWithSpaces>8320</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13.aprīļa noteikumos Nr.361 „Noteikumi par darbības programmas „Uzņēmējdarbība un inovācijas” papildinājuma 2.1.2.1.1.apakšaktivitāti „Kompetences centri””” sākotnējās ietekmes novērtējuma ziņojums (anotācija)</dc:title>
  <dc:subject>Anotācija</dc:subject>
  <dc:creator>Māris Krūmiņš</dc:creator>
  <dc:description>Maris.Krumins@em.gov.lv, 67013082</dc:description>
  <cp:lastModifiedBy>Māris Krūmiņš</cp:lastModifiedBy>
  <cp:revision>16</cp:revision>
  <cp:lastPrinted>2010-03-29T10:15:00Z</cp:lastPrinted>
  <dcterms:created xsi:type="dcterms:W3CDTF">2011-01-17T06:42:00Z</dcterms:created>
  <dcterms:modified xsi:type="dcterms:W3CDTF">2011-01-26T14:01:00Z</dcterms:modified>
</cp:coreProperties>
</file>