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991085" w:rsidRDefault="00AD1A60" w:rsidP="00CE5A53">
      <w:pPr>
        <w:jc w:val="center"/>
        <w:outlineLvl w:val="0"/>
        <w:rPr>
          <w:rFonts w:eastAsia="Times New Roman"/>
          <w:b/>
          <w:sz w:val="28"/>
          <w:szCs w:val="28"/>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3"/>
      <w:bookmarkStart w:id="8" w:name="OLE_LINK1"/>
      <w:bookmarkStart w:id="9" w:name="OLE_LINK2"/>
      <w:r w:rsidRPr="00991085">
        <w:rPr>
          <w:b/>
          <w:sz w:val="28"/>
          <w:szCs w:val="28"/>
          <w:lang w:val="lv-LV"/>
        </w:rPr>
        <w:t>Ministru kabineta noteikumu projekta „</w:t>
      </w:r>
      <w:r w:rsidR="00F25134" w:rsidRPr="00991085">
        <w:rPr>
          <w:b/>
          <w:sz w:val="28"/>
          <w:szCs w:val="28"/>
          <w:lang w:val="lv-LV"/>
        </w:rPr>
        <w:t xml:space="preserve">Grozījumi </w:t>
      </w:r>
      <w:r w:rsidRPr="00991085">
        <w:rPr>
          <w:b/>
          <w:sz w:val="28"/>
          <w:szCs w:val="28"/>
          <w:lang w:val="lv-LV"/>
        </w:rPr>
        <w:t>Ministru kabineta 2008.gada 7.oktobra noteikumos Nr.834 „</w:t>
      </w:r>
      <w:r w:rsidRPr="00991085">
        <w:rPr>
          <w:rFonts w:eastAsia="Times New Roman"/>
          <w:b/>
          <w:bCs/>
          <w:sz w:val="28"/>
          <w:szCs w:val="28"/>
          <w:lang w:val="lv-LV"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r w:rsidRPr="00991085">
        <w:rPr>
          <w:b/>
          <w:bCs/>
          <w:sz w:val="28"/>
          <w:szCs w:val="28"/>
          <w:lang w:val="lv-LV" w:eastAsia="lv-LV"/>
        </w:rPr>
        <w:t>”</w:t>
      </w:r>
      <w:r w:rsidR="007E5D4D" w:rsidRPr="00991085">
        <w:rPr>
          <w:rFonts w:eastAsia="Times New Roman"/>
          <w:b/>
          <w:sz w:val="28"/>
          <w:szCs w:val="28"/>
          <w:lang w:val="lv-LV" w:eastAsia="lv-LV"/>
        </w:rPr>
        <w:t xml:space="preserve"> sākotnējās ietekmes novērtējuma ziņojums (anotācija)</w:t>
      </w:r>
      <w:bookmarkEnd w:id="0"/>
      <w:bookmarkEnd w:id="1"/>
      <w:bookmarkEnd w:id="2"/>
    </w:p>
    <w:bookmarkEnd w:id="3"/>
    <w:bookmarkEnd w:id="4"/>
    <w:bookmarkEnd w:id="5"/>
    <w:bookmarkEnd w:id="6"/>
    <w:p w:rsidR="004B638C" w:rsidRDefault="004B638C" w:rsidP="00CE5A53">
      <w:pPr>
        <w:jc w:val="center"/>
        <w:rPr>
          <w:rFonts w:eastAsia="Times New Roman"/>
          <w:b/>
          <w:sz w:val="24"/>
          <w:szCs w:val="24"/>
          <w:lang w:val="lv-LV" w:eastAsia="lv-LV"/>
        </w:rPr>
      </w:pPr>
    </w:p>
    <w:p w:rsidR="00991085" w:rsidRPr="00991085" w:rsidRDefault="00991085" w:rsidP="00CE5A53">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BB09C5" w:rsidRPr="00F627DB"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7"/>
          <w:bookmarkEnd w:id="8"/>
          <w:bookmarkEnd w:id="9"/>
          <w:p w:rsidR="00BB09C5" w:rsidRPr="00991085" w:rsidRDefault="00E73425" w:rsidP="00CE5A53">
            <w:pPr>
              <w:jc w:val="center"/>
              <w:rPr>
                <w:rFonts w:eastAsia="Times New Roman"/>
                <w:b/>
                <w:sz w:val="28"/>
                <w:szCs w:val="28"/>
                <w:lang w:val="lv-LV" w:eastAsia="lv-LV"/>
              </w:rPr>
            </w:pPr>
            <w:r w:rsidRPr="00991085">
              <w:rPr>
                <w:rFonts w:eastAsia="Times New Roman"/>
                <w:b/>
                <w:sz w:val="28"/>
                <w:szCs w:val="28"/>
                <w:lang w:val="lv-LV" w:eastAsia="lv-LV"/>
              </w:rPr>
              <w:t xml:space="preserve">I.Tiesību akta projekta izstrādes </w:t>
            </w:r>
            <w:r w:rsidR="007E5D4D" w:rsidRPr="00991085">
              <w:rPr>
                <w:rFonts w:eastAsia="Times New Roman"/>
                <w:b/>
                <w:sz w:val="28"/>
                <w:szCs w:val="28"/>
                <w:lang w:val="lv-LV" w:eastAsia="lv-LV"/>
              </w:rPr>
              <w:t>nepieciešamība</w:t>
            </w:r>
          </w:p>
        </w:tc>
      </w:tr>
      <w:tr w:rsidR="00BB09C5" w:rsidRPr="00F627DB"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991085" w:rsidRDefault="00BB09C5" w:rsidP="00CE5A53">
            <w:pPr>
              <w:rPr>
                <w:rFonts w:eastAsia="Times New Roman"/>
                <w:sz w:val="28"/>
                <w:szCs w:val="28"/>
                <w:lang w:val="lv-LV" w:eastAsia="lv-LV"/>
              </w:rPr>
            </w:pPr>
            <w:r w:rsidRPr="00991085">
              <w:rPr>
                <w:rFonts w:eastAsia="Times New Roman"/>
                <w:sz w:val="28"/>
                <w:szCs w:val="28"/>
                <w:lang w:val="lv-LV" w:eastAsia="lv-LV"/>
              </w:rPr>
              <w:t>1</w:t>
            </w:r>
            <w:r w:rsidR="00F15932" w:rsidRPr="00991085">
              <w:rPr>
                <w:rFonts w:eastAsia="Times New Roman"/>
                <w:sz w:val="28"/>
                <w:szCs w:val="28"/>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991085" w:rsidRDefault="00700070" w:rsidP="00CE5A53">
            <w:pPr>
              <w:jc w:val="both"/>
              <w:rPr>
                <w:sz w:val="28"/>
                <w:szCs w:val="28"/>
                <w:lang w:val="lv-LV"/>
              </w:rPr>
            </w:pPr>
            <w:r w:rsidRPr="00991085">
              <w:rPr>
                <w:sz w:val="28"/>
                <w:szCs w:val="28"/>
                <w:lang w:val="lv-LV"/>
              </w:rPr>
              <w:t xml:space="preserve">Noteikumu projekts sagatavots, pamatojoties uz Eiropas Savienības struktūrfondu un </w:t>
            </w:r>
            <w:r w:rsidRPr="00991085">
              <w:rPr>
                <w:sz w:val="28"/>
                <w:szCs w:val="28"/>
                <w:lang w:val="lv-LV"/>
              </w:rPr>
              <w:br/>
              <w:t xml:space="preserve">Kohēzijas fonda vadības likuma </w:t>
            </w:r>
            <w:r w:rsidRPr="00991085">
              <w:rPr>
                <w:sz w:val="28"/>
                <w:szCs w:val="28"/>
                <w:lang w:val="lv-LV"/>
              </w:rPr>
              <w:br/>
              <w:t>18.panta 10.punktu.</w:t>
            </w:r>
          </w:p>
        </w:tc>
      </w:tr>
      <w:tr w:rsidR="00BB09C5" w:rsidRPr="00991085"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991085" w:rsidRDefault="00BB09C5" w:rsidP="00CE5A53">
            <w:pPr>
              <w:rPr>
                <w:rFonts w:eastAsia="Times New Roman"/>
                <w:sz w:val="28"/>
                <w:szCs w:val="28"/>
                <w:lang w:val="lv-LV" w:eastAsia="lv-LV"/>
              </w:rPr>
            </w:pPr>
            <w:r w:rsidRPr="00991085">
              <w:rPr>
                <w:rFonts w:eastAsia="Times New Roman"/>
                <w:sz w:val="28"/>
                <w:szCs w:val="28"/>
                <w:lang w:val="lv-LV" w:eastAsia="lv-LV"/>
              </w:rPr>
              <w:t>2</w:t>
            </w:r>
            <w:r w:rsidR="00F15932" w:rsidRPr="00991085">
              <w:rPr>
                <w:rFonts w:eastAsia="Times New Roman"/>
                <w:sz w:val="28"/>
                <w:szCs w:val="28"/>
                <w:lang w:val="lv-LV" w:eastAsia="lv-LV"/>
              </w:rPr>
              <w:t>. Pašreizējā situācija un problēma</w:t>
            </w:r>
            <w:r w:rsidR="007E5D4D" w:rsidRPr="00991085">
              <w:rPr>
                <w:rFonts w:eastAsia="Times New Roman"/>
                <w:sz w:val="28"/>
                <w:szCs w:val="28"/>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73CBA" w:rsidRPr="00991085" w:rsidRDefault="005F65CE" w:rsidP="001E748E">
            <w:pPr>
              <w:ind w:firstLine="567"/>
              <w:jc w:val="both"/>
              <w:rPr>
                <w:bCs/>
                <w:sz w:val="28"/>
                <w:szCs w:val="28"/>
                <w:lang w:val="lv-LV" w:eastAsia="lv-LV"/>
              </w:rPr>
            </w:pPr>
            <w:r w:rsidRPr="00991085">
              <w:rPr>
                <w:sz w:val="28"/>
                <w:szCs w:val="28"/>
                <w:lang w:val="lv-LV"/>
              </w:rPr>
              <w:t xml:space="preserve"> </w:t>
            </w:r>
            <w:r w:rsidR="001E748E" w:rsidRPr="00991085">
              <w:rPr>
                <w:sz w:val="28"/>
                <w:szCs w:val="28"/>
                <w:lang w:val="lv-LV"/>
              </w:rPr>
              <w:t>2008.gada 7.oktobrī Ministru kabinets apstiprināja Ministru kabineta noteikumus Nr.834 „</w:t>
            </w:r>
            <w:r w:rsidR="001E748E" w:rsidRPr="00991085">
              <w:rPr>
                <w:rFonts w:eastAsia="Times New Roman"/>
                <w:bCs/>
                <w:sz w:val="28"/>
                <w:szCs w:val="28"/>
                <w:lang w:val="lv-LV"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w:t>
            </w:r>
            <w:r w:rsidR="000312E7" w:rsidRPr="00991085">
              <w:rPr>
                <w:rFonts w:eastAsia="Times New Roman"/>
                <w:bCs/>
                <w:sz w:val="28"/>
                <w:szCs w:val="28"/>
                <w:lang w:val="lv-LV" w:eastAsia="lv-LV"/>
              </w:rPr>
              <w:t>pašuma tiesību nostiprināšanai”</w:t>
            </w:r>
            <w:r w:rsidR="001E748E" w:rsidRPr="00991085">
              <w:rPr>
                <w:bCs/>
                <w:sz w:val="28"/>
                <w:szCs w:val="28"/>
                <w:lang w:val="lv-LV" w:eastAsia="lv-LV"/>
              </w:rPr>
              <w:t>” (turpmāk – MK noteikumi Nr.834).</w:t>
            </w:r>
          </w:p>
          <w:p w:rsidR="00F57D7E" w:rsidRPr="00991085" w:rsidRDefault="0066625A" w:rsidP="00991085">
            <w:pPr>
              <w:pStyle w:val="NormalWeb"/>
              <w:spacing w:before="0" w:beforeAutospacing="0" w:after="0" w:afterAutospacing="0"/>
              <w:jc w:val="both"/>
              <w:rPr>
                <w:bCs/>
                <w:sz w:val="28"/>
                <w:szCs w:val="28"/>
                <w:lang w:val="lv-LV" w:eastAsia="lv-LV"/>
              </w:rPr>
            </w:pPr>
            <w:r w:rsidRPr="00991085">
              <w:rPr>
                <w:bCs/>
                <w:sz w:val="28"/>
                <w:szCs w:val="28"/>
                <w:lang w:val="lv-LV" w:eastAsia="lv-LV"/>
              </w:rPr>
              <w:t xml:space="preserve">Projektu iesniegumu pieņemšana 2.1.2.2.1.apakšaktivitātē „Jaunu produktu un tehnoloģiju izstrāde” (turpmāk – 2.1.2.2.1.apakšaktivitāte) noslēdzās 2009.gada 23.janvārī. No 2.1.2.2.1.apakšaktivitātē pieejamā </w:t>
            </w:r>
            <w:r w:rsidR="006D7150" w:rsidRPr="00991085">
              <w:rPr>
                <w:sz w:val="28"/>
                <w:szCs w:val="28"/>
                <w:lang w:val="lv-LV"/>
              </w:rPr>
              <w:t>Eiropas Reģionālā attīstības fonda (turpmāk – ERAF)</w:t>
            </w:r>
            <w:r w:rsidRPr="00991085">
              <w:rPr>
                <w:bCs/>
                <w:sz w:val="28"/>
                <w:szCs w:val="28"/>
                <w:lang w:val="lv-LV" w:eastAsia="lv-LV"/>
              </w:rPr>
              <w:t xml:space="preserve"> finansējuma 8 299 659,82 lati, pašlaik līgumi ir noslēgti par </w:t>
            </w:r>
            <w:r w:rsidR="00316613" w:rsidRPr="00991085">
              <w:rPr>
                <w:bCs/>
                <w:sz w:val="28"/>
                <w:szCs w:val="28"/>
                <w:lang w:val="lv-LV" w:eastAsia="lv-LV"/>
              </w:rPr>
              <w:t>7 625 527 l</w:t>
            </w:r>
            <w:r w:rsidRPr="00991085">
              <w:rPr>
                <w:bCs/>
                <w:sz w:val="28"/>
                <w:szCs w:val="28"/>
                <w:lang w:val="lv-LV" w:eastAsia="lv-LV"/>
              </w:rPr>
              <w:t xml:space="preserve">atiem. Līdz ar to 2.1.2.2.1.apakšaktivitātes ietvaros </w:t>
            </w:r>
            <w:r w:rsidR="00686D4E" w:rsidRPr="00991085">
              <w:rPr>
                <w:bCs/>
                <w:sz w:val="28"/>
                <w:szCs w:val="28"/>
                <w:lang w:val="lv-LV" w:eastAsia="lv-LV"/>
              </w:rPr>
              <w:t>neizmantots</w:t>
            </w:r>
            <w:r w:rsidRPr="00991085">
              <w:rPr>
                <w:bCs/>
                <w:sz w:val="28"/>
                <w:szCs w:val="28"/>
                <w:lang w:val="lv-LV" w:eastAsia="lv-LV"/>
              </w:rPr>
              <w:t xml:space="preserve"> finansējums ir </w:t>
            </w:r>
            <w:r w:rsidR="00316613" w:rsidRPr="00991085">
              <w:rPr>
                <w:bCs/>
                <w:sz w:val="28"/>
                <w:szCs w:val="28"/>
                <w:lang w:val="lv-LV" w:eastAsia="lv-LV"/>
              </w:rPr>
              <w:t>674 132</w:t>
            </w:r>
            <w:r w:rsidRPr="00991085">
              <w:rPr>
                <w:bCs/>
                <w:sz w:val="28"/>
                <w:szCs w:val="28"/>
                <w:lang w:val="lv-LV" w:eastAsia="lv-LV"/>
              </w:rPr>
              <w:t xml:space="preserve"> latu.</w:t>
            </w:r>
            <w:r w:rsidR="00634665" w:rsidRPr="00991085">
              <w:rPr>
                <w:bCs/>
                <w:sz w:val="28"/>
                <w:szCs w:val="28"/>
                <w:lang w:val="lv-LV" w:eastAsia="lv-LV"/>
              </w:rPr>
              <w:t xml:space="preserve"> </w:t>
            </w:r>
          </w:p>
          <w:p w:rsidR="00F57D7E" w:rsidRPr="00991085" w:rsidRDefault="00634665" w:rsidP="00F57D7E">
            <w:pPr>
              <w:pStyle w:val="NormalWeb"/>
              <w:spacing w:before="0" w:beforeAutospacing="0" w:after="0" w:afterAutospacing="0"/>
              <w:jc w:val="both"/>
              <w:rPr>
                <w:rFonts w:eastAsia="Times New Roman"/>
                <w:sz w:val="28"/>
                <w:szCs w:val="28"/>
                <w:lang w:val="lv-LV" w:eastAsia="lv-LV"/>
              </w:rPr>
            </w:pPr>
            <w:r w:rsidRPr="00991085">
              <w:rPr>
                <w:bCs/>
                <w:color w:val="000000" w:themeColor="text1"/>
                <w:sz w:val="28"/>
                <w:szCs w:val="28"/>
                <w:lang w:val="lv-LV" w:eastAsia="lv-LV"/>
              </w:rPr>
              <w:t xml:space="preserve">Informējam, ka pašlaik </w:t>
            </w:r>
            <w:r w:rsidR="00F57D7E" w:rsidRPr="00991085">
              <w:rPr>
                <w:bCs/>
                <w:color w:val="000000" w:themeColor="text1"/>
                <w:sz w:val="28"/>
                <w:szCs w:val="28"/>
                <w:lang w:val="lv-LV" w:eastAsia="lv-LV"/>
              </w:rPr>
              <w:t xml:space="preserve">ir atšķirība starp pieejamā ERAF finansējuma apmēru MK noteikumos Nr.834, kur ir norādīts, ka </w:t>
            </w:r>
            <w:r w:rsidRPr="00991085">
              <w:rPr>
                <w:bCs/>
                <w:color w:val="000000" w:themeColor="text1"/>
                <w:sz w:val="28"/>
                <w:szCs w:val="28"/>
                <w:lang w:val="lv-LV" w:eastAsia="lv-LV"/>
              </w:rPr>
              <w:t xml:space="preserve">2.1.2.2.1.apakšaktivitātei ir </w:t>
            </w:r>
            <w:r w:rsidR="00F57D7E" w:rsidRPr="00991085">
              <w:rPr>
                <w:bCs/>
                <w:color w:val="000000" w:themeColor="text1"/>
                <w:sz w:val="28"/>
                <w:szCs w:val="28"/>
                <w:lang w:val="lv-LV" w:eastAsia="lv-LV"/>
              </w:rPr>
              <w:t>pieejami</w:t>
            </w:r>
            <w:r w:rsidRPr="00991085">
              <w:rPr>
                <w:bCs/>
                <w:color w:val="000000" w:themeColor="text1"/>
                <w:sz w:val="28"/>
                <w:szCs w:val="28"/>
                <w:lang w:val="lv-LV" w:eastAsia="lv-LV"/>
              </w:rPr>
              <w:t xml:space="preserve"> 43 567 016,30 lati</w:t>
            </w:r>
            <w:r w:rsidR="00F57D7E" w:rsidRPr="00991085">
              <w:rPr>
                <w:bCs/>
                <w:color w:val="000000" w:themeColor="text1"/>
                <w:sz w:val="28"/>
                <w:szCs w:val="28"/>
                <w:lang w:val="lv-LV" w:eastAsia="lv-LV"/>
              </w:rPr>
              <w:t>, un</w:t>
            </w:r>
            <w:r w:rsidRPr="00991085">
              <w:rPr>
                <w:bCs/>
                <w:color w:val="000000" w:themeColor="text1"/>
                <w:sz w:val="28"/>
                <w:szCs w:val="28"/>
                <w:lang w:val="lv-LV" w:eastAsia="lv-LV"/>
              </w:rPr>
              <w:t xml:space="preserve"> </w:t>
            </w:r>
            <w:r w:rsidRPr="00991085">
              <w:rPr>
                <w:color w:val="000000" w:themeColor="text1"/>
                <w:sz w:val="28"/>
                <w:szCs w:val="28"/>
                <w:lang w:val="lv-LV"/>
              </w:rPr>
              <w:t>darbības programmas „Uzņēmējdarbība un inovācijas” papildinājum</w:t>
            </w:r>
            <w:r w:rsidR="00F57D7E" w:rsidRPr="00991085">
              <w:rPr>
                <w:color w:val="000000" w:themeColor="text1"/>
                <w:sz w:val="28"/>
                <w:szCs w:val="28"/>
                <w:lang w:val="lv-LV"/>
              </w:rPr>
              <w:t>u (turpmāk – DPP), kur</w:t>
            </w:r>
            <w:r w:rsidRPr="00991085">
              <w:rPr>
                <w:bCs/>
                <w:color w:val="000000" w:themeColor="text1"/>
                <w:sz w:val="28"/>
                <w:szCs w:val="28"/>
                <w:lang w:val="lv-LV" w:eastAsia="lv-LV"/>
              </w:rPr>
              <w:t xml:space="preserve"> ir norādīt</w:t>
            </w:r>
            <w:r w:rsidR="00F57D7E" w:rsidRPr="00991085">
              <w:rPr>
                <w:bCs/>
                <w:color w:val="000000" w:themeColor="text1"/>
                <w:sz w:val="28"/>
                <w:szCs w:val="28"/>
                <w:lang w:val="lv-LV" w:eastAsia="lv-LV"/>
              </w:rPr>
              <w:t xml:space="preserve">s, ka </w:t>
            </w:r>
            <w:r w:rsidRPr="00991085">
              <w:rPr>
                <w:bCs/>
                <w:color w:val="000000" w:themeColor="text1"/>
                <w:sz w:val="28"/>
                <w:szCs w:val="28"/>
                <w:lang w:val="lv-LV" w:eastAsia="lv-LV"/>
              </w:rPr>
              <w:lastRenderedPageBreak/>
              <w:t xml:space="preserve">2.1.2.2.1.apakšaktivitātei ir </w:t>
            </w:r>
            <w:r w:rsidR="00F57D7E" w:rsidRPr="00991085">
              <w:rPr>
                <w:bCs/>
                <w:color w:val="000000" w:themeColor="text1"/>
                <w:sz w:val="28"/>
                <w:szCs w:val="28"/>
                <w:lang w:val="lv-LV" w:eastAsia="lv-LV"/>
              </w:rPr>
              <w:t>pieejami</w:t>
            </w:r>
            <w:r w:rsidRPr="00991085">
              <w:rPr>
                <w:bCs/>
                <w:color w:val="000000" w:themeColor="text1"/>
                <w:sz w:val="28"/>
                <w:szCs w:val="28"/>
                <w:lang w:val="lv-LV" w:eastAsia="lv-LV"/>
              </w:rPr>
              <w:t xml:space="preserve"> 8 299 659,82 lati. </w:t>
            </w:r>
            <w:r w:rsidR="00F57D7E" w:rsidRPr="00991085">
              <w:rPr>
                <w:bCs/>
                <w:color w:val="000000" w:themeColor="text1"/>
                <w:sz w:val="28"/>
                <w:szCs w:val="28"/>
                <w:lang w:val="lv-LV" w:eastAsia="lv-LV"/>
              </w:rPr>
              <w:t>Aktuālais finansējuma apmērs ir norādīts DPP, un š</w:t>
            </w:r>
            <w:r w:rsidRPr="00991085">
              <w:rPr>
                <w:bCs/>
                <w:color w:val="000000" w:themeColor="text1"/>
                <w:sz w:val="28"/>
                <w:szCs w:val="28"/>
                <w:lang w:val="lv-LV" w:eastAsia="lv-LV"/>
              </w:rPr>
              <w:t xml:space="preserve">ī atšķirība </w:t>
            </w:r>
            <w:r w:rsidR="00F57D7E" w:rsidRPr="00991085">
              <w:rPr>
                <w:bCs/>
                <w:color w:val="000000" w:themeColor="text1"/>
                <w:sz w:val="28"/>
                <w:szCs w:val="28"/>
                <w:lang w:val="lv-LV" w:eastAsia="lv-LV"/>
              </w:rPr>
              <w:t>ir veidojusies</w:t>
            </w:r>
            <w:r w:rsidRPr="00991085">
              <w:rPr>
                <w:bCs/>
                <w:color w:val="000000" w:themeColor="text1"/>
                <w:sz w:val="28"/>
                <w:szCs w:val="28"/>
                <w:lang w:val="lv-LV" w:eastAsia="lv-LV"/>
              </w:rPr>
              <w:t xml:space="preserve"> </w:t>
            </w:r>
            <w:r w:rsidR="00F57D7E" w:rsidRPr="00991085">
              <w:rPr>
                <w:bCs/>
                <w:color w:val="000000" w:themeColor="text1"/>
                <w:sz w:val="28"/>
                <w:szCs w:val="28"/>
                <w:lang w:val="lv-LV" w:eastAsia="lv-LV"/>
              </w:rPr>
              <w:t>saskaņā ar grozījumiem DPP, kas veikti pamatojoties uz</w:t>
            </w:r>
            <w:r w:rsidRPr="00991085">
              <w:rPr>
                <w:color w:val="000000" w:themeColor="text1"/>
                <w:sz w:val="28"/>
                <w:szCs w:val="28"/>
                <w:lang w:val="lv-LV"/>
              </w:rPr>
              <w:t xml:space="preserve"> </w:t>
            </w:r>
            <w:r w:rsidRPr="00991085">
              <w:rPr>
                <w:rFonts w:eastAsia="Times New Roman"/>
                <w:color w:val="000000" w:themeColor="text1"/>
                <w:sz w:val="28"/>
                <w:szCs w:val="28"/>
                <w:lang w:val="lv-LV" w:eastAsia="lv-LV"/>
              </w:rPr>
              <w:t>Ministru kabineta 2009.gada 23.novembra rīkojumu Nr.800</w:t>
            </w:r>
            <w:r w:rsidR="00F57D7E" w:rsidRPr="00991085">
              <w:rPr>
                <w:rFonts w:eastAsia="Times New Roman"/>
                <w:color w:val="000000" w:themeColor="text1"/>
                <w:sz w:val="28"/>
                <w:szCs w:val="28"/>
                <w:lang w:val="lv-LV" w:eastAsia="lv-LV"/>
              </w:rPr>
              <w:t xml:space="preserve"> </w:t>
            </w:r>
            <w:r w:rsidRPr="00991085">
              <w:rPr>
                <w:rFonts w:eastAsia="Times New Roman"/>
                <w:color w:val="000000" w:themeColor="text1"/>
                <w:sz w:val="28"/>
                <w:szCs w:val="28"/>
                <w:lang w:val="lv-LV" w:eastAsia="lv-LV"/>
              </w:rPr>
              <w:t>„Par grozījumiem darbības programmas „Uzņēmējdarbība un inovācijas” papildinājumā” (turpmāk – rīkojums Nr.800) un 2010.gada 8.marta rīkojumu Nr.132</w:t>
            </w:r>
            <w:r w:rsidR="00F57D7E" w:rsidRPr="00991085">
              <w:rPr>
                <w:rFonts w:eastAsia="Times New Roman"/>
                <w:color w:val="000000" w:themeColor="text1"/>
                <w:sz w:val="28"/>
                <w:szCs w:val="28"/>
                <w:lang w:val="lv-LV" w:eastAsia="lv-LV"/>
              </w:rPr>
              <w:t xml:space="preserve"> </w:t>
            </w:r>
            <w:r w:rsidRPr="00991085">
              <w:rPr>
                <w:rFonts w:eastAsia="Times New Roman"/>
                <w:color w:val="000000" w:themeColor="text1"/>
                <w:sz w:val="28"/>
                <w:szCs w:val="28"/>
                <w:lang w:val="lv-LV" w:eastAsia="lv-LV"/>
              </w:rPr>
              <w:t>„Par grozījumiem darbības programmas „Uzņēmējdarbība un inovācijas” papildinājumā”</w:t>
            </w:r>
            <w:r w:rsidR="00F57D7E" w:rsidRPr="00991085">
              <w:rPr>
                <w:rFonts w:eastAsia="Times New Roman"/>
                <w:color w:val="000000" w:themeColor="text1"/>
                <w:sz w:val="28"/>
                <w:szCs w:val="28"/>
                <w:lang w:val="lv-LV" w:eastAsia="lv-LV"/>
              </w:rPr>
              <w:t xml:space="preserve"> (turpmāk – rīkojums Nr.132)</w:t>
            </w:r>
            <w:r w:rsidRPr="00991085">
              <w:rPr>
                <w:rFonts w:eastAsia="Times New Roman"/>
                <w:color w:val="000000" w:themeColor="text1"/>
                <w:sz w:val="28"/>
                <w:szCs w:val="28"/>
                <w:lang w:val="lv-LV" w:eastAsia="lv-LV"/>
              </w:rPr>
              <w:t>. Ar rīkojumu Nr.800 tika noteikts, ka 2.1.2.2.1.apakšaktivitātes ietvaros pieejamais finansējums būs 26 104</w:t>
            </w:r>
            <w:r w:rsidR="00F57D7E" w:rsidRPr="00991085">
              <w:rPr>
                <w:rFonts w:eastAsia="Times New Roman"/>
                <w:color w:val="000000" w:themeColor="text1"/>
                <w:sz w:val="28"/>
                <w:szCs w:val="28"/>
                <w:lang w:val="lv-LV" w:eastAsia="lv-LV"/>
              </w:rPr>
              <w:t> </w:t>
            </w:r>
            <w:r w:rsidRPr="00991085">
              <w:rPr>
                <w:rFonts w:eastAsia="Times New Roman"/>
                <w:color w:val="000000" w:themeColor="text1"/>
                <w:sz w:val="28"/>
                <w:szCs w:val="28"/>
                <w:lang w:val="lv-LV" w:eastAsia="lv-LV"/>
              </w:rPr>
              <w:t>150</w:t>
            </w:r>
            <w:r w:rsidR="00F57D7E" w:rsidRPr="00991085">
              <w:rPr>
                <w:rFonts w:eastAsia="Times New Roman"/>
                <w:color w:val="000000" w:themeColor="text1"/>
                <w:sz w:val="28"/>
                <w:szCs w:val="28"/>
                <w:lang w:val="lv-LV" w:eastAsia="lv-LV"/>
              </w:rPr>
              <w:t>, 58</w:t>
            </w:r>
            <w:r w:rsidRPr="00991085">
              <w:rPr>
                <w:rFonts w:eastAsia="Times New Roman"/>
                <w:color w:val="000000" w:themeColor="text1"/>
                <w:sz w:val="28"/>
                <w:szCs w:val="28"/>
                <w:lang w:val="lv-LV" w:eastAsia="lv-LV"/>
              </w:rPr>
              <w:t xml:space="preserve"> lati, kur</w:t>
            </w:r>
            <w:r w:rsidRPr="00991085">
              <w:rPr>
                <w:color w:val="000000" w:themeColor="text1"/>
                <w:sz w:val="28"/>
                <w:szCs w:val="28"/>
                <w:lang w:val="lv-LV"/>
              </w:rPr>
              <w:t xml:space="preserve"> </w:t>
            </w:r>
            <w:r w:rsidRPr="00991085">
              <w:rPr>
                <w:color w:val="000000"/>
                <w:sz w:val="28"/>
                <w:szCs w:val="28"/>
                <w:lang w:val="lv-LV"/>
              </w:rPr>
              <w:t xml:space="preserve">atbilstoši </w:t>
            </w:r>
            <w:r w:rsidRPr="00991085">
              <w:rPr>
                <w:color w:val="000000" w:themeColor="text1"/>
                <w:sz w:val="28"/>
                <w:szCs w:val="28"/>
                <w:lang w:val="lv-LV"/>
              </w:rPr>
              <w:t>2009.gada</w:t>
            </w:r>
            <w:r w:rsidRPr="00991085">
              <w:rPr>
                <w:color w:val="000000"/>
                <w:sz w:val="28"/>
                <w:szCs w:val="28"/>
                <w:lang w:val="lv-LV"/>
              </w:rPr>
              <w:t xml:space="preserve"> 27.oktobra Ministru kabineta sēdē apstiprinātajiem grozījumiem darbības programmā, </w:t>
            </w:r>
            <w:r w:rsidRPr="00991085">
              <w:rPr>
                <w:color w:val="000000" w:themeColor="text1"/>
                <w:sz w:val="28"/>
                <w:szCs w:val="28"/>
                <w:lang w:val="lv-LV"/>
              </w:rPr>
              <w:t>tika</w:t>
            </w:r>
            <w:r w:rsidRPr="00991085">
              <w:rPr>
                <w:color w:val="000000"/>
                <w:sz w:val="28"/>
                <w:szCs w:val="28"/>
                <w:lang w:val="lv-LV"/>
              </w:rPr>
              <w:t xml:space="preserve"> pārdalīts finansējums uz 2.2.1.3.aktivitāti „Garantijas komersantu konkurētspējas uzlabošanai”.</w:t>
            </w:r>
            <w:r w:rsidR="00F57D7E" w:rsidRPr="00991085">
              <w:rPr>
                <w:color w:val="000000" w:themeColor="text1"/>
                <w:sz w:val="28"/>
                <w:szCs w:val="28"/>
                <w:lang w:val="lv-LV"/>
              </w:rPr>
              <w:t xml:space="preserve"> Savukārt ar rīkojumu Nr.</w:t>
            </w:r>
            <w:r w:rsidR="00A2576D" w:rsidRPr="00991085">
              <w:rPr>
                <w:color w:val="000000" w:themeColor="text1"/>
                <w:sz w:val="28"/>
                <w:szCs w:val="28"/>
                <w:lang w:val="lv-LV"/>
              </w:rPr>
              <w:t>132</w:t>
            </w:r>
            <w:r w:rsidR="00F57D7E" w:rsidRPr="00991085">
              <w:rPr>
                <w:color w:val="000000" w:themeColor="text1"/>
                <w:sz w:val="28"/>
                <w:szCs w:val="28"/>
                <w:lang w:val="lv-LV"/>
              </w:rPr>
              <w:t xml:space="preserve"> tika veikta </w:t>
            </w:r>
            <w:r w:rsidRPr="00991085">
              <w:rPr>
                <w:rFonts w:eastAsia="Times New Roman"/>
                <w:sz w:val="28"/>
                <w:szCs w:val="28"/>
                <w:lang w:val="lv-LV" w:eastAsia="lv-LV"/>
              </w:rPr>
              <w:t>finansējum</w:t>
            </w:r>
            <w:r w:rsidR="00F57D7E" w:rsidRPr="00991085">
              <w:rPr>
                <w:rFonts w:eastAsia="Times New Roman"/>
                <w:sz w:val="28"/>
                <w:szCs w:val="28"/>
                <w:lang w:val="lv-LV" w:eastAsia="lv-LV"/>
              </w:rPr>
              <w:t>a</w:t>
            </w:r>
            <w:r w:rsidR="00F57D7E" w:rsidRPr="00991085">
              <w:rPr>
                <w:bCs/>
                <w:sz w:val="28"/>
                <w:szCs w:val="28"/>
                <w:lang w:val="lv-LV"/>
              </w:rPr>
              <w:t xml:space="preserve"> pārdale uz </w:t>
            </w:r>
            <w:r w:rsidRPr="00991085">
              <w:rPr>
                <w:bCs/>
                <w:sz w:val="28"/>
                <w:szCs w:val="28"/>
                <w:lang w:val="lv-LV"/>
              </w:rPr>
              <w:t>2.1.2.4.</w:t>
            </w:r>
            <w:r w:rsidR="00F57D7E" w:rsidRPr="00991085">
              <w:rPr>
                <w:bCs/>
                <w:sz w:val="28"/>
                <w:szCs w:val="28"/>
                <w:lang w:val="lv-LV"/>
              </w:rPr>
              <w:t>aktivitāti</w:t>
            </w:r>
            <w:r w:rsidRPr="00991085">
              <w:rPr>
                <w:bCs/>
                <w:sz w:val="28"/>
                <w:szCs w:val="28"/>
                <w:lang w:val="lv-LV"/>
              </w:rPr>
              <w:t xml:space="preserve"> </w:t>
            </w:r>
            <w:r w:rsidR="00F57D7E" w:rsidRPr="00991085">
              <w:rPr>
                <w:bCs/>
                <w:sz w:val="28"/>
                <w:szCs w:val="28"/>
                <w:lang w:val="lv-LV"/>
              </w:rPr>
              <w:t>„</w:t>
            </w:r>
            <w:r w:rsidRPr="00991085">
              <w:rPr>
                <w:bCs/>
                <w:sz w:val="28"/>
                <w:szCs w:val="28"/>
                <w:lang w:val="lv-LV"/>
              </w:rPr>
              <w:t>Augstas pievienotās vērtības investīcijas</w:t>
            </w:r>
            <w:r w:rsidR="00F57D7E" w:rsidRPr="00991085">
              <w:rPr>
                <w:bCs/>
                <w:sz w:val="28"/>
                <w:szCs w:val="28"/>
                <w:lang w:val="lv-LV"/>
              </w:rPr>
              <w:t>”, pēc kā</w:t>
            </w:r>
            <w:r w:rsidR="00F57D7E" w:rsidRPr="00991085">
              <w:rPr>
                <w:rFonts w:eastAsia="Times New Roman"/>
                <w:sz w:val="28"/>
                <w:szCs w:val="28"/>
                <w:lang w:val="lv-LV" w:eastAsia="lv-LV"/>
              </w:rPr>
              <w:t xml:space="preserve"> </w:t>
            </w:r>
            <w:r w:rsidRPr="00991085">
              <w:rPr>
                <w:rFonts w:eastAsia="Times New Roman"/>
                <w:color w:val="000000" w:themeColor="text1"/>
                <w:sz w:val="28"/>
                <w:szCs w:val="28"/>
                <w:lang w:val="lv-LV" w:eastAsia="lv-LV"/>
              </w:rPr>
              <w:t>2.1.2.2.1.</w:t>
            </w:r>
            <w:r w:rsidRPr="00991085">
              <w:rPr>
                <w:rFonts w:eastAsia="Times New Roman"/>
                <w:sz w:val="28"/>
                <w:szCs w:val="28"/>
                <w:lang w:val="lv-LV" w:eastAsia="lv-LV"/>
              </w:rPr>
              <w:t xml:space="preserve">apakšaktivitātes ietvaros </w:t>
            </w:r>
            <w:r w:rsidR="00F57D7E" w:rsidRPr="00991085">
              <w:rPr>
                <w:rFonts w:eastAsia="Times New Roman"/>
                <w:sz w:val="28"/>
                <w:szCs w:val="28"/>
                <w:lang w:val="lv-LV" w:eastAsia="lv-LV"/>
              </w:rPr>
              <w:t>pieejamais finansējums samazinājās līdz</w:t>
            </w:r>
            <w:r w:rsidRPr="00991085">
              <w:rPr>
                <w:rFonts w:eastAsia="Times New Roman"/>
                <w:sz w:val="28"/>
                <w:szCs w:val="28"/>
                <w:lang w:val="lv-LV" w:eastAsia="lv-LV"/>
              </w:rPr>
              <w:t xml:space="preserve"> </w:t>
            </w:r>
            <w:r w:rsidR="00F57D7E" w:rsidRPr="00991085">
              <w:rPr>
                <w:rFonts w:eastAsia="Times New Roman"/>
                <w:sz w:val="28"/>
                <w:szCs w:val="28"/>
                <w:lang w:val="lv-LV" w:eastAsia="lv-LV"/>
              </w:rPr>
              <w:t xml:space="preserve">pašreiz aktuālajai summai </w:t>
            </w:r>
            <w:r w:rsidRPr="00991085">
              <w:rPr>
                <w:rFonts w:eastAsia="Times New Roman"/>
                <w:sz w:val="28"/>
                <w:szCs w:val="28"/>
                <w:lang w:val="lv-LV" w:eastAsia="lv-LV"/>
              </w:rPr>
              <w:t>8 299 659, 82 lati</w:t>
            </w:r>
            <w:r w:rsidR="00F57D7E" w:rsidRPr="00991085">
              <w:rPr>
                <w:rFonts w:eastAsia="Times New Roman"/>
                <w:sz w:val="28"/>
                <w:szCs w:val="28"/>
                <w:lang w:val="lv-LV" w:eastAsia="lv-LV"/>
              </w:rPr>
              <w:t>em.</w:t>
            </w:r>
          </w:p>
          <w:p w:rsidR="00883403" w:rsidRPr="00991085" w:rsidRDefault="00883403" w:rsidP="00316613">
            <w:pPr>
              <w:ind w:firstLine="567"/>
              <w:jc w:val="both"/>
              <w:rPr>
                <w:rFonts w:eastAsia="Times New Roman"/>
                <w:bCs/>
                <w:sz w:val="28"/>
                <w:szCs w:val="28"/>
                <w:lang w:val="lv-LV" w:eastAsia="lv-LV"/>
              </w:rPr>
            </w:pPr>
            <w:r w:rsidRPr="00991085">
              <w:rPr>
                <w:sz w:val="28"/>
                <w:szCs w:val="28"/>
                <w:lang w:val="lv-LV" w:eastAsia="lv-LV"/>
              </w:rPr>
              <w:t xml:space="preserve">Projekta iesniegumu pieņemšana 2.1.2.2.3.apakšaktivitātē </w:t>
            </w:r>
            <w:r w:rsidRPr="00991085">
              <w:rPr>
                <w:rFonts w:eastAsia="Times New Roman"/>
                <w:bCs/>
                <w:sz w:val="28"/>
                <w:szCs w:val="28"/>
                <w:lang w:val="lv-LV" w:eastAsia="lv-LV"/>
              </w:rPr>
              <w:t>„Jaunu produktu un tehnoloģiju izstrāde – atbalsts rūpnieciskā īpašuma tiesību nostiprināšanai” (turpmāk – 2.1.2.2.3.apakšaktivitāte) noslēdzās 2009.gada 30.decembrī. No 2.1.2.2.3.apakšaktivitātē pieejamā ERAF finansējuma 849 999,97 lati pa</w:t>
            </w:r>
            <w:r w:rsidR="00E775B6" w:rsidRPr="00991085">
              <w:rPr>
                <w:rFonts w:eastAsia="Times New Roman"/>
                <w:bCs/>
                <w:sz w:val="28"/>
                <w:szCs w:val="28"/>
                <w:lang w:val="lv-LV" w:eastAsia="lv-LV"/>
              </w:rPr>
              <w:t xml:space="preserve">šlaik līgumi ir noslēgti par </w:t>
            </w:r>
            <w:r w:rsidR="00316613" w:rsidRPr="00991085">
              <w:rPr>
                <w:rFonts w:eastAsia="Times New Roman"/>
                <w:bCs/>
                <w:sz w:val="28"/>
                <w:szCs w:val="28"/>
                <w:lang w:val="lv-LV" w:eastAsia="lv-LV"/>
              </w:rPr>
              <w:t>203 201</w:t>
            </w:r>
            <w:r w:rsidRPr="00991085">
              <w:rPr>
                <w:rFonts w:eastAsia="Times New Roman"/>
                <w:bCs/>
                <w:sz w:val="28"/>
                <w:szCs w:val="28"/>
                <w:lang w:val="lv-LV" w:eastAsia="lv-LV"/>
              </w:rPr>
              <w:t xml:space="preserve"> latiem. Līdz ar to 2.1.2.2.3.apakšaktivitātes ietvaros </w:t>
            </w:r>
            <w:r w:rsidR="00686D4E" w:rsidRPr="00991085">
              <w:rPr>
                <w:rFonts w:eastAsia="Times New Roman"/>
                <w:bCs/>
                <w:sz w:val="28"/>
                <w:szCs w:val="28"/>
                <w:lang w:val="lv-LV" w:eastAsia="lv-LV"/>
              </w:rPr>
              <w:t xml:space="preserve">neizmantots finansējums ir </w:t>
            </w:r>
            <w:r w:rsidR="00316613" w:rsidRPr="00991085">
              <w:rPr>
                <w:rFonts w:eastAsia="Times New Roman"/>
                <w:bCs/>
                <w:sz w:val="28"/>
                <w:szCs w:val="28"/>
                <w:lang w:val="lv-LV" w:eastAsia="lv-LV"/>
              </w:rPr>
              <w:t>646 798</w:t>
            </w:r>
            <w:r w:rsidR="00686D4E" w:rsidRPr="00991085">
              <w:rPr>
                <w:rFonts w:eastAsia="Times New Roman"/>
                <w:bCs/>
                <w:sz w:val="28"/>
                <w:szCs w:val="28"/>
                <w:lang w:val="lv-LV" w:eastAsia="lv-LV"/>
              </w:rPr>
              <w:t xml:space="preserve"> lati.</w:t>
            </w:r>
          </w:p>
        </w:tc>
      </w:tr>
      <w:tr w:rsidR="00537A29" w:rsidRPr="00991085"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991085" w:rsidRDefault="00537A29" w:rsidP="00CE5A53">
            <w:pPr>
              <w:rPr>
                <w:rFonts w:eastAsia="Times New Roman"/>
                <w:sz w:val="28"/>
                <w:szCs w:val="28"/>
                <w:lang w:val="lv-LV" w:eastAsia="lv-LV"/>
              </w:rPr>
            </w:pPr>
            <w:r w:rsidRPr="00991085">
              <w:rPr>
                <w:rFonts w:eastAsia="Times New Roman"/>
                <w:sz w:val="28"/>
                <w:szCs w:val="28"/>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80C67" w:rsidRPr="00991085" w:rsidRDefault="00580C67" w:rsidP="00580C67">
            <w:pPr>
              <w:pStyle w:val="NormalWeb"/>
              <w:spacing w:before="0" w:beforeAutospacing="0" w:after="0" w:afterAutospacing="0"/>
              <w:rPr>
                <w:b/>
                <w:sz w:val="28"/>
                <w:szCs w:val="28"/>
                <w:lang w:val="lv-LV"/>
              </w:rPr>
            </w:pPr>
            <w:r w:rsidRPr="00991085">
              <w:rPr>
                <w:iCs/>
                <w:sz w:val="28"/>
                <w:szCs w:val="28"/>
                <w:lang w:val="lv-LV"/>
              </w:rPr>
              <w:t>Projekts šo jomu neskar</w:t>
            </w:r>
            <w:r w:rsidRPr="00991085">
              <w:rPr>
                <w:b/>
                <w:sz w:val="28"/>
                <w:szCs w:val="28"/>
                <w:lang w:val="lv-LV"/>
              </w:rPr>
              <w:t>.</w:t>
            </w:r>
          </w:p>
          <w:p w:rsidR="00004E51" w:rsidRPr="00991085" w:rsidRDefault="00004E51" w:rsidP="00CE5A53">
            <w:pPr>
              <w:jc w:val="both"/>
              <w:rPr>
                <w:color w:val="000000"/>
                <w:sz w:val="28"/>
                <w:szCs w:val="28"/>
                <w:lang w:val="lv-LV"/>
              </w:rPr>
            </w:pPr>
          </w:p>
        </w:tc>
      </w:tr>
      <w:tr w:rsidR="00BB09C5" w:rsidRPr="00F627DB" w:rsidTr="00C257B7">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991085" w:rsidRDefault="00537A29" w:rsidP="00CE5A53">
            <w:pPr>
              <w:rPr>
                <w:rFonts w:eastAsia="Times New Roman"/>
                <w:sz w:val="28"/>
                <w:szCs w:val="28"/>
                <w:lang w:val="lv-LV" w:eastAsia="lv-LV"/>
              </w:rPr>
            </w:pPr>
            <w:r w:rsidRPr="00991085">
              <w:rPr>
                <w:rFonts w:eastAsia="Times New Roman"/>
                <w:sz w:val="28"/>
                <w:szCs w:val="28"/>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3629B0" w:rsidRPr="00991085" w:rsidRDefault="0066625A" w:rsidP="0066625A">
            <w:pPr>
              <w:jc w:val="both"/>
              <w:rPr>
                <w:sz w:val="28"/>
                <w:szCs w:val="28"/>
                <w:lang w:val="lv-LV"/>
              </w:rPr>
            </w:pPr>
            <w:r w:rsidRPr="00991085">
              <w:rPr>
                <w:sz w:val="28"/>
                <w:szCs w:val="28"/>
                <w:lang w:val="lv-LV"/>
              </w:rPr>
              <w:t>Tiesību akta projekts paredz veikt grozījumu MK noteikumos Nr.834, lai</w:t>
            </w:r>
            <w:r w:rsidR="003629B0" w:rsidRPr="00991085">
              <w:rPr>
                <w:sz w:val="28"/>
                <w:szCs w:val="28"/>
                <w:lang w:val="lv-LV"/>
              </w:rPr>
              <w:t>:</w:t>
            </w:r>
          </w:p>
          <w:p w:rsidR="007C35B2" w:rsidRPr="00991085" w:rsidRDefault="003629B0" w:rsidP="0066625A">
            <w:pPr>
              <w:jc w:val="both"/>
              <w:rPr>
                <w:sz w:val="28"/>
                <w:szCs w:val="28"/>
                <w:lang w:val="lv-LV"/>
              </w:rPr>
            </w:pPr>
            <w:r w:rsidRPr="00991085">
              <w:rPr>
                <w:sz w:val="28"/>
                <w:szCs w:val="28"/>
                <w:lang w:val="lv-LV"/>
              </w:rPr>
              <w:t>N</w:t>
            </w:r>
            <w:r w:rsidR="0066625A" w:rsidRPr="00991085">
              <w:rPr>
                <w:sz w:val="28"/>
                <w:szCs w:val="28"/>
                <w:lang w:val="lv-LV"/>
              </w:rPr>
              <w:t xml:space="preserve">oteiktu, ka 2.1.2.2.1.apakšaktivitātē pieejamais ERAF finansējums tiek samazināts par </w:t>
            </w:r>
            <w:r w:rsidR="00316613" w:rsidRPr="00991085">
              <w:rPr>
                <w:sz w:val="28"/>
                <w:szCs w:val="28"/>
                <w:lang w:val="lv-LV"/>
              </w:rPr>
              <w:t>202 304</w:t>
            </w:r>
            <w:r w:rsidR="0066625A" w:rsidRPr="00991085">
              <w:rPr>
                <w:sz w:val="28"/>
                <w:szCs w:val="28"/>
                <w:lang w:val="lv-LV"/>
              </w:rPr>
              <w:t xml:space="preserve"> latiem</w:t>
            </w:r>
            <w:r w:rsidR="00686D4E" w:rsidRPr="00991085">
              <w:rPr>
                <w:sz w:val="28"/>
                <w:szCs w:val="28"/>
                <w:lang w:val="lv-LV"/>
              </w:rPr>
              <w:t xml:space="preserve"> un 2.1.2.2.3.apakšaktivitātē pieejamais ERAF finansējums tiek samazināts par </w:t>
            </w:r>
            <w:r w:rsidR="00316613" w:rsidRPr="00991085">
              <w:rPr>
                <w:sz w:val="28"/>
                <w:szCs w:val="28"/>
                <w:lang w:val="lv-LV"/>
              </w:rPr>
              <w:t>646 798</w:t>
            </w:r>
            <w:r w:rsidR="00686D4E" w:rsidRPr="00991085">
              <w:rPr>
                <w:sz w:val="28"/>
                <w:szCs w:val="28"/>
                <w:lang w:val="lv-LV"/>
              </w:rPr>
              <w:t xml:space="preserve"> latiem.</w:t>
            </w:r>
            <w:r w:rsidR="00AC50C7" w:rsidRPr="00991085">
              <w:rPr>
                <w:sz w:val="28"/>
                <w:szCs w:val="28"/>
                <w:lang w:val="lv-LV"/>
              </w:rPr>
              <w:t xml:space="preserve"> Finansējums tiks pārdalīts uz 2.1.2.1.1.apakšaktivitāti „Kompetences centri”.</w:t>
            </w:r>
          </w:p>
          <w:p w:rsidR="00CB6A16" w:rsidRPr="00991085" w:rsidRDefault="003629B0" w:rsidP="007C35B2">
            <w:pPr>
              <w:jc w:val="both"/>
              <w:rPr>
                <w:sz w:val="28"/>
                <w:szCs w:val="28"/>
                <w:lang w:val="lv-LV"/>
              </w:rPr>
            </w:pPr>
            <w:r w:rsidRPr="00991085">
              <w:rPr>
                <w:sz w:val="28"/>
                <w:szCs w:val="28"/>
                <w:lang w:val="lv-LV"/>
              </w:rPr>
              <w:t xml:space="preserve">Noteiktu, ka </w:t>
            </w:r>
            <w:r w:rsidR="007C35B2" w:rsidRPr="00991085">
              <w:rPr>
                <w:sz w:val="28"/>
                <w:szCs w:val="28"/>
                <w:lang w:val="lv-LV"/>
              </w:rPr>
              <w:t>MK noteikumos Nr.834 publiskais finansējums 2.1.2.2.1. un 2.1.2.2. 3.apakšaktivitātēm tiek nodrošināts no ERAF finansējuma.</w:t>
            </w:r>
          </w:p>
          <w:p w:rsidR="003629B0" w:rsidRPr="00991085" w:rsidRDefault="003629B0" w:rsidP="007C35B2">
            <w:pPr>
              <w:jc w:val="both"/>
              <w:rPr>
                <w:sz w:val="28"/>
                <w:szCs w:val="28"/>
                <w:lang w:val="lv-LV"/>
              </w:rPr>
            </w:pPr>
            <w:r w:rsidRPr="00991085">
              <w:rPr>
                <w:color w:val="000000" w:themeColor="text1"/>
                <w:sz w:val="28"/>
                <w:szCs w:val="28"/>
                <w:lang w:val="lv-LV"/>
              </w:rPr>
              <w:t>Sekmētu, ka finansējuma saņēmējs noslēguma pārskatu iesniedz tieši 15 darbdienu laikā pēc projekta īstenošanas pabeigšanas, nevis līdz 2015.gada 1.jūlijam.</w:t>
            </w:r>
          </w:p>
        </w:tc>
      </w:tr>
      <w:tr w:rsidR="00537A29" w:rsidRPr="00991085"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991085" w:rsidRDefault="00537A29" w:rsidP="00CE5A53">
            <w:pPr>
              <w:rPr>
                <w:rFonts w:eastAsia="Times New Roman"/>
                <w:sz w:val="28"/>
                <w:szCs w:val="28"/>
                <w:lang w:val="lv-LV" w:eastAsia="lv-LV"/>
              </w:rPr>
            </w:pPr>
            <w:r w:rsidRPr="00991085">
              <w:rPr>
                <w:rFonts w:eastAsia="Times New Roman"/>
                <w:sz w:val="28"/>
                <w:szCs w:val="28"/>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80C67" w:rsidRPr="00991085" w:rsidRDefault="00580C67" w:rsidP="00580C67">
            <w:pPr>
              <w:pStyle w:val="NormalWeb"/>
              <w:spacing w:before="0" w:beforeAutospacing="0" w:after="0" w:afterAutospacing="0"/>
              <w:rPr>
                <w:b/>
                <w:sz w:val="28"/>
                <w:szCs w:val="28"/>
                <w:lang w:val="lv-LV"/>
              </w:rPr>
            </w:pPr>
            <w:r w:rsidRPr="00991085">
              <w:rPr>
                <w:iCs/>
                <w:sz w:val="28"/>
                <w:szCs w:val="28"/>
                <w:lang w:val="lv-LV"/>
              </w:rPr>
              <w:t>Projekts šo jomu neskar</w:t>
            </w:r>
            <w:r w:rsidRPr="00991085">
              <w:rPr>
                <w:b/>
                <w:sz w:val="28"/>
                <w:szCs w:val="28"/>
                <w:lang w:val="lv-LV"/>
              </w:rPr>
              <w:t>.</w:t>
            </w:r>
          </w:p>
          <w:p w:rsidR="00004E51" w:rsidRPr="00991085" w:rsidRDefault="00004E51" w:rsidP="00CE5A53">
            <w:pPr>
              <w:pStyle w:val="BodyText"/>
              <w:ind w:right="142"/>
              <w:rPr>
                <w:szCs w:val="28"/>
              </w:rPr>
            </w:pPr>
          </w:p>
        </w:tc>
      </w:tr>
      <w:tr w:rsidR="00AB248D" w:rsidRPr="00991085"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991085" w:rsidRDefault="00AB248D" w:rsidP="00CE5A53">
            <w:pPr>
              <w:rPr>
                <w:rFonts w:eastAsia="Times New Roman"/>
                <w:sz w:val="28"/>
                <w:szCs w:val="28"/>
                <w:lang w:val="lv-LV" w:eastAsia="lv-LV"/>
              </w:rPr>
            </w:pPr>
            <w:r w:rsidRPr="00991085">
              <w:rPr>
                <w:rFonts w:eastAsia="Times New Roman"/>
                <w:sz w:val="28"/>
                <w:szCs w:val="28"/>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80C67" w:rsidRPr="00991085" w:rsidRDefault="00580C67" w:rsidP="00580C67">
            <w:pPr>
              <w:pStyle w:val="NormalWeb"/>
              <w:spacing w:before="0" w:beforeAutospacing="0" w:after="0" w:afterAutospacing="0"/>
              <w:rPr>
                <w:b/>
                <w:sz w:val="28"/>
                <w:szCs w:val="28"/>
                <w:lang w:val="lv-LV"/>
              </w:rPr>
            </w:pPr>
            <w:r w:rsidRPr="00991085">
              <w:rPr>
                <w:iCs/>
                <w:sz w:val="28"/>
                <w:szCs w:val="28"/>
                <w:lang w:val="lv-LV"/>
              </w:rPr>
              <w:t>Projekts šo jomu neskar</w:t>
            </w:r>
            <w:r w:rsidRPr="00991085">
              <w:rPr>
                <w:b/>
                <w:sz w:val="28"/>
                <w:szCs w:val="28"/>
                <w:lang w:val="lv-LV"/>
              </w:rPr>
              <w:t>.</w:t>
            </w:r>
          </w:p>
          <w:p w:rsidR="00004E51" w:rsidRPr="00991085" w:rsidRDefault="00004E51" w:rsidP="00CE5A53">
            <w:pPr>
              <w:pStyle w:val="BodyText"/>
              <w:ind w:right="142"/>
              <w:rPr>
                <w:szCs w:val="28"/>
              </w:rPr>
            </w:pPr>
          </w:p>
        </w:tc>
      </w:tr>
      <w:tr w:rsidR="00BB09C5" w:rsidRPr="00991085"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991085" w:rsidRDefault="00D07CDB" w:rsidP="00CE5A53">
            <w:pPr>
              <w:rPr>
                <w:rFonts w:eastAsia="Times New Roman"/>
                <w:sz w:val="28"/>
                <w:szCs w:val="28"/>
                <w:lang w:val="lv-LV" w:eastAsia="lv-LV"/>
              </w:rPr>
            </w:pPr>
            <w:r w:rsidRPr="00991085">
              <w:rPr>
                <w:rFonts w:eastAsia="Times New Roman"/>
                <w:sz w:val="28"/>
                <w:szCs w:val="28"/>
                <w:lang w:val="lv-LV" w:eastAsia="lv-LV"/>
              </w:rPr>
              <w:t> 7</w:t>
            </w:r>
            <w:r w:rsidR="00BB09C5" w:rsidRPr="00991085">
              <w:rPr>
                <w:rFonts w:eastAsia="Times New Roman"/>
                <w:sz w:val="28"/>
                <w:szCs w:val="28"/>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991085" w:rsidRDefault="00FF5E89" w:rsidP="00580C67">
            <w:pPr>
              <w:pStyle w:val="NormalWeb"/>
              <w:spacing w:before="0" w:beforeAutospacing="0" w:after="0" w:afterAutospacing="0"/>
              <w:rPr>
                <w:b/>
                <w:sz w:val="28"/>
                <w:szCs w:val="28"/>
                <w:lang w:val="lv-LV"/>
              </w:rPr>
            </w:pPr>
            <w:r>
              <w:rPr>
                <w:iCs/>
                <w:sz w:val="28"/>
                <w:szCs w:val="28"/>
                <w:lang w:val="lv-LV"/>
              </w:rPr>
              <w:t>Nav.</w:t>
            </w:r>
          </w:p>
        </w:tc>
      </w:tr>
    </w:tbl>
    <w:p w:rsidR="004B638C" w:rsidRPr="00991085" w:rsidRDefault="004B638C" w:rsidP="00CE5A53">
      <w:pPr>
        <w:pStyle w:val="NormalWeb"/>
        <w:spacing w:before="0" w:beforeAutospacing="0" w:after="0" w:afterAutospacing="0"/>
        <w:jc w:val="center"/>
        <w:rPr>
          <w:b/>
          <w:sz w:val="28"/>
          <w:szCs w:val="28"/>
          <w:lang w:val="lv-LV"/>
        </w:rPr>
      </w:pPr>
    </w:p>
    <w:tbl>
      <w:tblPr>
        <w:tblpPr w:leftFromText="180" w:rightFromText="180" w:vertAnchor="text" w:horzAnchor="margin" w:tblpXSpec="center" w:tblpY="149"/>
        <w:tblW w:w="9013"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3149"/>
        <w:gridCol w:w="5864"/>
      </w:tblGrid>
      <w:tr w:rsidR="00AC50C7" w:rsidRPr="00991085" w:rsidTr="00AC50C7">
        <w:trPr>
          <w:trHeight w:val="467"/>
        </w:trPr>
        <w:tc>
          <w:tcPr>
            <w:tcW w:w="3149" w:type="dxa"/>
          </w:tcPr>
          <w:p w:rsidR="00AC50C7" w:rsidRPr="00991085" w:rsidRDefault="00AC50C7">
            <w:pPr>
              <w:pStyle w:val="naiskr"/>
              <w:spacing w:before="0" w:after="0"/>
              <w:rPr>
                <w:sz w:val="28"/>
                <w:szCs w:val="28"/>
              </w:rPr>
            </w:pPr>
            <w:r w:rsidRPr="00991085">
              <w:rPr>
                <w:sz w:val="28"/>
                <w:szCs w:val="28"/>
              </w:rPr>
              <w:t>1.Sabiedrības mērķgrupa</w:t>
            </w:r>
          </w:p>
        </w:tc>
        <w:tc>
          <w:tcPr>
            <w:tcW w:w="5864" w:type="dxa"/>
          </w:tcPr>
          <w:p w:rsidR="00AC50C7" w:rsidRPr="00991085" w:rsidRDefault="00AC50C7" w:rsidP="00686D4E">
            <w:pPr>
              <w:pStyle w:val="naiskr"/>
              <w:jc w:val="both"/>
              <w:rPr>
                <w:iCs/>
                <w:sz w:val="28"/>
                <w:szCs w:val="28"/>
              </w:rPr>
            </w:pPr>
            <w:r w:rsidRPr="00991085">
              <w:rPr>
                <w:bCs/>
                <w:color w:val="000000"/>
                <w:sz w:val="28"/>
                <w:szCs w:val="28"/>
              </w:rPr>
              <w:t>2.1.2.2.1.apakšaktivitātes un 2.1.2.2.3.apakšaktivitātes mērķa grupa ir komersanti.</w:t>
            </w:r>
          </w:p>
        </w:tc>
      </w:tr>
      <w:tr w:rsidR="00AC50C7" w:rsidRPr="00991085" w:rsidTr="00AC50C7">
        <w:trPr>
          <w:trHeight w:val="523"/>
        </w:trPr>
        <w:tc>
          <w:tcPr>
            <w:tcW w:w="3149" w:type="dxa"/>
          </w:tcPr>
          <w:p w:rsidR="00AC50C7" w:rsidRPr="00991085" w:rsidRDefault="00AC50C7">
            <w:pPr>
              <w:pStyle w:val="naiskr"/>
              <w:spacing w:before="0" w:after="0"/>
              <w:rPr>
                <w:sz w:val="28"/>
                <w:szCs w:val="28"/>
              </w:rPr>
            </w:pPr>
            <w:r w:rsidRPr="00991085">
              <w:rPr>
                <w:sz w:val="28"/>
                <w:szCs w:val="28"/>
              </w:rPr>
              <w:t>2.Citas sabiedrības grupas (bez mērķgrupas), kuras tiesiskais regulējums arī ietekmē vai varētu ietekmēt</w:t>
            </w:r>
          </w:p>
        </w:tc>
        <w:tc>
          <w:tcPr>
            <w:tcW w:w="5864" w:type="dxa"/>
          </w:tcPr>
          <w:p w:rsidR="00580C67" w:rsidRPr="00991085" w:rsidRDefault="00580C67" w:rsidP="00580C67">
            <w:pPr>
              <w:pStyle w:val="NormalWeb"/>
              <w:spacing w:before="0" w:beforeAutospacing="0" w:after="0" w:afterAutospacing="0"/>
              <w:rPr>
                <w:b/>
                <w:sz w:val="28"/>
                <w:szCs w:val="28"/>
                <w:lang w:val="lv-LV"/>
              </w:rPr>
            </w:pPr>
            <w:r w:rsidRPr="00991085">
              <w:rPr>
                <w:iCs/>
                <w:sz w:val="28"/>
                <w:szCs w:val="28"/>
                <w:lang w:val="lv-LV"/>
              </w:rPr>
              <w:t>Projekts šo jomu neskar</w:t>
            </w:r>
            <w:r w:rsidRPr="00991085">
              <w:rPr>
                <w:b/>
                <w:sz w:val="28"/>
                <w:szCs w:val="28"/>
                <w:lang w:val="lv-LV"/>
              </w:rPr>
              <w:t>.</w:t>
            </w:r>
          </w:p>
          <w:p w:rsidR="00AC50C7" w:rsidRPr="00991085" w:rsidRDefault="00AC50C7">
            <w:pPr>
              <w:pStyle w:val="naiskr"/>
              <w:spacing w:before="0" w:after="0"/>
              <w:jc w:val="both"/>
              <w:rPr>
                <w:sz w:val="28"/>
                <w:szCs w:val="28"/>
              </w:rPr>
            </w:pPr>
          </w:p>
        </w:tc>
      </w:tr>
      <w:tr w:rsidR="00AC50C7" w:rsidRPr="00F627DB" w:rsidTr="00AC50C7">
        <w:trPr>
          <w:trHeight w:val="517"/>
        </w:trPr>
        <w:tc>
          <w:tcPr>
            <w:tcW w:w="3149" w:type="dxa"/>
          </w:tcPr>
          <w:p w:rsidR="00AC50C7" w:rsidRPr="00991085" w:rsidRDefault="00AC50C7">
            <w:pPr>
              <w:pStyle w:val="naiskr"/>
              <w:spacing w:before="0" w:after="0"/>
              <w:rPr>
                <w:sz w:val="28"/>
                <w:szCs w:val="28"/>
              </w:rPr>
            </w:pPr>
            <w:r w:rsidRPr="00991085">
              <w:rPr>
                <w:sz w:val="28"/>
                <w:szCs w:val="28"/>
              </w:rPr>
              <w:t>3.Tiesiskā regulējuma finansiālā ietekme</w:t>
            </w:r>
          </w:p>
        </w:tc>
        <w:tc>
          <w:tcPr>
            <w:tcW w:w="5864" w:type="dxa"/>
          </w:tcPr>
          <w:p w:rsidR="00AC50C7" w:rsidRPr="00991085" w:rsidRDefault="00AC50C7" w:rsidP="00D76982">
            <w:pPr>
              <w:pStyle w:val="naiskr"/>
              <w:spacing w:before="0" w:after="0"/>
              <w:jc w:val="both"/>
              <w:rPr>
                <w:sz w:val="28"/>
                <w:szCs w:val="28"/>
              </w:rPr>
            </w:pPr>
            <w:r w:rsidRPr="00991085">
              <w:rPr>
                <w:sz w:val="28"/>
                <w:szCs w:val="28"/>
              </w:rPr>
              <w:t xml:space="preserve">Noteikumu projekts paredz samazināt 2.1.2.2.1.apakšaktivitātes ietvaros pieejamā ERAF finansējuma apjomu par </w:t>
            </w:r>
            <w:r w:rsidR="00316613" w:rsidRPr="00991085">
              <w:rPr>
                <w:sz w:val="28"/>
                <w:szCs w:val="28"/>
              </w:rPr>
              <w:t xml:space="preserve">202 304 </w:t>
            </w:r>
            <w:r w:rsidRPr="00991085">
              <w:rPr>
                <w:sz w:val="28"/>
                <w:szCs w:val="28"/>
              </w:rPr>
              <w:t xml:space="preserve">latiem un 2.1.2.2.3.apakšaktivitātes ietvaros pieejamo ERAF finansējumu par </w:t>
            </w:r>
            <w:r w:rsidR="00316613" w:rsidRPr="00991085">
              <w:rPr>
                <w:sz w:val="28"/>
                <w:szCs w:val="28"/>
              </w:rPr>
              <w:t xml:space="preserve">646 798 </w:t>
            </w:r>
            <w:r w:rsidRPr="00991085">
              <w:rPr>
                <w:sz w:val="28"/>
                <w:szCs w:val="28"/>
              </w:rPr>
              <w:t>latiem.</w:t>
            </w:r>
          </w:p>
        </w:tc>
      </w:tr>
      <w:tr w:rsidR="00AC50C7" w:rsidRPr="00991085" w:rsidTr="00AC50C7">
        <w:trPr>
          <w:trHeight w:val="517"/>
        </w:trPr>
        <w:tc>
          <w:tcPr>
            <w:tcW w:w="3149" w:type="dxa"/>
          </w:tcPr>
          <w:p w:rsidR="00AC50C7" w:rsidRPr="00991085" w:rsidRDefault="00AC50C7">
            <w:pPr>
              <w:pStyle w:val="naiskr"/>
              <w:spacing w:before="0" w:after="0"/>
              <w:rPr>
                <w:sz w:val="28"/>
                <w:szCs w:val="28"/>
              </w:rPr>
            </w:pPr>
            <w:r w:rsidRPr="00991085">
              <w:rPr>
                <w:sz w:val="28"/>
                <w:szCs w:val="28"/>
              </w:rPr>
              <w:t>4.Tiesiskā regulējuma nefinansiālā ietekme</w:t>
            </w:r>
          </w:p>
        </w:tc>
        <w:tc>
          <w:tcPr>
            <w:tcW w:w="5864" w:type="dxa"/>
          </w:tcPr>
          <w:p w:rsidR="00AC50C7" w:rsidRPr="00991085" w:rsidRDefault="00580C67" w:rsidP="00580C67">
            <w:pPr>
              <w:pStyle w:val="NormalWeb"/>
              <w:spacing w:before="0" w:beforeAutospacing="0" w:after="0" w:afterAutospacing="0"/>
              <w:rPr>
                <w:b/>
                <w:sz w:val="28"/>
                <w:szCs w:val="28"/>
                <w:lang w:val="lv-LV"/>
              </w:rPr>
            </w:pPr>
            <w:r w:rsidRPr="00991085">
              <w:rPr>
                <w:iCs/>
                <w:sz w:val="28"/>
                <w:szCs w:val="28"/>
                <w:lang w:val="lv-LV"/>
              </w:rPr>
              <w:t>Projekts šo jomu neskar</w:t>
            </w:r>
            <w:r w:rsidRPr="00991085">
              <w:rPr>
                <w:b/>
                <w:sz w:val="28"/>
                <w:szCs w:val="28"/>
                <w:lang w:val="lv-LV"/>
              </w:rPr>
              <w:t>.</w:t>
            </w:r>
          </w:p>
        </w:tc>
      </w:tr>
      <w:tr w:rsidR="00AC50C7" w:rsidRPr="00991085" w:rsidTr="00AC50C7">
        <w:trPr>
          <w:trHeight w:val="531"/>
        </w:trPr>
        <w:tc>
          <w:tcPr>
            <w:tcW w:w="3149" w:type="dxa"/>
          </w:tcPr>
          <w:p w:rsidR="00AC50C7" w:rsidRPr="00991085" w:rsidRDefault="00AC50C7">
            <w:pPr>
              <w:pStyle w:val="naiskr"/>
              <w:spacing w:before="0" w:after="0"/>
              <w:rPr>
                <w:sz w:val="28"/>
                <w:szCs w:val="28"/>
              </w:rPr>
            </w:pPr>
            <w:r w:rsidRPr="00991085">
              <w:rPr>
                <w:sz w:val="28"/>
                <w:szCs w:val="28"/>
              </w:rPr>
              <w:t>5.Administratīvās procedūras raksturojums</w:t>
            </w:r>
          </w:p>
        </w:tc>
        <w:tc>
          <w:tcPr>
            <w:tcW w:w="5864" w:type="dxa"/>
          </w:tcPr>
          <w:p w:rsidR="00AC50C7" w:rsidRPr="00991085" w:rsidRDefault="00580C67" w:rsidP="00580C67">
            <w:pPr>
              <w:pStyle w:val="NormalWeb"/>
              <w:spacing w:before="0" w:beforeAutospacing="0" w:after="0" w:afterAutospacing="0"/>
              <w:rPr>
                <w:b/>
                <w:sz w:val="28"/>
                <w:szCs w:val="28"/>
                <w:lang w:val="lv-LV"/>
              </w:rPr>
            </w:pPr>
            <w:r w:rsidRPr="00991085">
              <w:rPr>
                <w:iCs/>
                <w:sz w:val="28"/>
                <w:szCs w:val="28"/>
                <w:lang w:val="lv-LV"/>
              </w:rPr>
              <w:t>Projekts šo jomu neskar</w:t>
            </w:r>
            <w:r w:rsidRPr="00991085">
              <w:rPr>
                <w:b/>
                <w:sz w:val="28"/>
                <w:szCs w:val="28"/>
                <w:lang w:val="lv-LV"/>
              </w:rPr>
              <w:t>.</w:t>
            </w:r>
          </w:p>
        </w:tc>
      </w:tr>
      <w:tr w:rsidR="00AC50C7" w:rsidRPr="00991085" w:rsidTr="00AC50C7">
        <w:trPr>
          <w:trHeight w:val="357"/>
        </w:trPr>
        <w:tc>
          <w:tcPr>
            <w:tcW w:w="3149" w:type="dxa"/>
          </w:tcPr>
          <w:p w:rsidR="00AC50C7" w:rsidRPr="00991085" w:rsidRDefault="00AC50C7">
            <w:pPr>
              <w:pStyle w:val="naiskr"/>
              <w:spacing w:before="0" w:after="0"/>
              <w:rPr>
                <w:sz w:val="28"/>
                <w:szCs w:val="28"/>
              </w:rPr>
            </w:pPr>
            <w:r w:rsidRPr="00991085">
              <w:rPr>
                <w:sz w:val="28"/>
                <w:szCs w:val="28"/>
              </w:rPr>
              <w:t>6.Administratīvo izmaksu monetārs novērtējums</w:t>
            </w:r>
          </w:p>
        </w:tc>
        <w:tc>
          <w:tcPr>
            <w:tcW w:w="5864" w:type="dxa"/>
          </w:tcPr>
          <w:p w:rsidR="00AC50C7" w:rsidRPr="00991085" w:rsidRDefault="00580C67" w:rsidP="00580C67">
            <w:pPr>
              <w:pStyle w:val="NormalWeb"/>
              <w:spacing w:before="0" w:beforeAutospacing="0" w:after="0" w:afterAutospacing="0"/>
              <w:rPr>
                <w:b/>
                <w:sz w:val="28"/>
                <w:szCs w:val="28"/>
                <w:lang w:val="lv-LV"/>
              </w:rPr>
            </w:pPr>
            <w:r w:rsidRPr="00991085">
              <w:rPr>
                <w:iCs/>
                <w:sz w:val="28"/>
                <w:szCs w:val="28"/>
                <w:lang w:val="lv-LV"/>
              </w:rPr>
              <w:t>Projekts šo jomu neskar</w:t>
            </w:r>
            <w:r w:rsidRPr="00991085">
              <w:rPr>
                <w:b/>
                <w:sz w:val="28"/>
                <w:szCs w:val="28"/>
                <w:lang w:val="lv-LV"/>
              </w:rPr>
              <w:t>.</w:t>
            </w:r>
          </w:p>
        </w:tc>
      </w:tr>
      <w:tr w:rsidR="00AC50C7" w:rsidRPr="00991085" w:rsidTr="00AC50C7">
        <w:trPr>
          <w:trHeight w:val="489"/>
        </w:trPr>
        <w:tc>
          <w:tcPr>
            <w:tcW w:w="3149" w:type="dxa"/>
          </w:tcPr>
          <w:p w:rsidR="00AC50C7" w:rsidRPr="00991085" w:rsidRDefault="00AC50C7">
            <w:pPr>
              <w:pStyle w:val="naiskr"/>
              <w:spacing w:before="0" w:after="0"/>
              <w:rPr>
                <w:sz w:val="28"/>
                <w:szCs w:val="28"/>
              </w:rPr>
            </w:pPr>
            <w:r w:rsidRPr="00991085">
              <w:rPr>
                <w:sz w:val="28"/>
                <w:szCs w:val="28"/>
              </w:rPr>
              <w:t>7.Cita informācija</w:t>
            </w:r>
          </w:p>
        </w:tc>
        <w:tc>
          <w:tcPr>
            <w:tcW w:w="5864" w:type="dxa"/>
          </w:tcPr>
          <w:p w:rsidR="00AC50C7" w:rsidRPr="00991085" w:rsidRDefault="00AC50C7">
            <w:pPr>
              <w:pStyle w:val="naiskr"/>
              <w:spacing w:before="0" w:after="0"/>
              <w:rPr>
                <w:sz w:val="28"/>
                <w:szCs w:val="28"/>
              </w:rPr>
            </w:pPr>
            <w:r w:rsidRPr="00991085">
              <w:rPr>
                <w:sz w:val="28"/>
                <w:szCs w:val="28"/>
              </w:rPr>
              <w:t>Nav.</w:t>
            </w:r>
          </w:p>
        </w:tc>
      </w:tr>
    </w:tbl>
    <w:p w:rsidR="00885AEF" w:rsidRPr="00991085" w:rsidRDefault="00885AEF" w:rsidP="00CE5A53">
      <w:pPr>
        <w:pStyle w:val="NormalWeb"/>
        <w:spacing w:before="0" w:beforeAutospacing="0" w:after="0" w:afterAutospacing="0"/>
        <w:jc w:val="center"/>
        <w:rPr>
          <w:b/>
          <w:sz w:val="28"/>
          <w:szCs w:val="28"/>
          <w:lang w:val="lv-LV"/>
        </w:rPr>
      </w:pPr>
    </w:p>
    <w:p w:rsidR="004E7663" w:rsidRPr="00991085" w:rsidRDefault="004E7663" w:rsidP="00CE5A53">
      <w:pPr>
        <w:pStyle w:val="NormalWeb"/>
        <w:spacing w:before="0" w:beforeAutospacing="0" w:after="0" w:afterAutospacing="0"/>
        <w:jc w:val="center"/>
        <w:rPr>
          <w:b/>
          <w:sz w:val="28"/>
          <w:szCs w:val="28"/>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134"/>
        <w:gridCol w:w="5953"/>
      </w:tblGrid>
      <w:tr w:rsidR="00BB09C5" w:rsidRPr="00F627DB" w:rsidTr="00B17C2B">
        <w:tc>
          <w:tcPr>
            <w:tcW w:w="9087" w:type="dxa"/>
            <w:gridSpan w:val="2"/>
            <w:hideMark/>
          </w:tcPr>
          <w:p w:rsidR="00BB09C5" w:rsidRPr="00991085" w:rsidRDefault="007E5D4D" w:rsidP="00CE5A53">
            <w:pPr>
              <w:jc w:val="center"/>
              <w:rPr>
                <w:rFonts w:eastAsia="Times New Roman"/>
                <w:b/>
                <w:sz w:val="28"/>
                <w:szCs w:val="28"/>
                <w:lang w:val="lv-LV" w:eastAsia="lv-LV"/>
              </w:rPr>
            </w:pPr>
            <w:r w:rsidRPr="00991085">
              <w:rPr>
                <w:rFonts w:eastAsia="Times New Roman"/>
                <w:b/>
                <w:sz w:val="28"/>
                <w:szCs w:val="28"/>
                <w:lang w:val="lv-LV" w:eastAsia="lv-LV"/>
              </w:rPr>
              <w:t>VII. Tiesību akta projekta izpildes nodrošināšana un tās ietekme uz institūcijām</w:t>
            </w:r>
          </w:p>
        </w:tc>
      </w:tr>
      <w:tr w:rsidR="00AB248D" w:rsidRPr="00F627DB" w:rsidTr="00AC50C7">
        <w:tc>
          <w:tcPr>
            <w:tcW w:w="3134" w:type="dxa"/>
            <w:hideMark/>
          </w:tcPr>
          <w:p w:rsidR="00AB248D" w:rsidRPr="00991085" w:rsidRDefault="00AB248D" w:rsidP="00CE5A53">
            <w:pPr>
              <w:rPr>
                <w:rFonts w:eastAsia="Times New Roman"/>
                <w:sz w:val="28"/>
                <w:szCs w:val="28"/>
                <w:lang w:val="lv-LV" w:eastAsia="lv-LV"/>
              </w:rPr>
            </w:pPr>
            <w:r w:rsidRPr="00991085">
              <w:rPr>
                <w:rFonts w:eastAsia="Times New Roman"/>
                <w:sz w:val="28"/>
                <w:szCs w:val="28"/>
                <w:lang w:val="lv-LV" w:eastAsia="lv-LV"/>
              </w:rPr>
              <w:t>1. Projekta izpildē iesaistītās institūcijas</w:t>
            </w:r>
          </w:p>
        </w:tc>
        <w:tc>
          <w:tcPr>
            <w:tcW w:w="5953" w:type="dxa"/>
            <w:hideMark/>
          </w:tcPr>
          <w:p w:rsidR="00004E51" w:rsidRPr="00991085" w:rsidRDefault="00C82B27" w:rsidP="002A126D">
            <w:pPr>
              <w:jc w:val="both"/>
              <w:rPr>
                <w:rFonts w:eastAsia="Times New Roman"/>
                <w:sz w:val="28"/>
                <w:szCs w:val="28"/>
                <w:lang w:val="lv-LV" w:eastAsia="lv-LV"/>
              </w:rPr>
            </w:pPr>
            <w:r w:rsidRPr="00991085">
              <w:rPr>
                <w:sz w:val="28"/>
                <w:szCs w:val="28"/>
                <w:lang w:val="lv-LV"/>
              </w:rPr>
              <w:t xml:space="preserve">Noteikumu projekta izpildē ir iesaistīta </w:t>
            </w:r>
            <w:r w:rsidR="00862D34" w:rsidRPr="00991085">
              <w:rPr>
                <w:sz w:val="28"/>
                <w:szCs w:val="28"/>
                <w:lang w:val="lv-LV"/>
              </w:rPr>
              <w:t>Latvijas Investīciju un attīstības aģentūra</w:t>
            </w:r>
            <w:r w:rsidR="002A126D" w:rsidRPr="00991085">
              <w:rPr>
                <w:sz w:val="28"/>
                <w:szCs w:val="28"/>
                <w:lang w:val="lv-LV"/>
              </w:rPr>
              <w:t>.</w:t>
            </w:r>
          </w:p>
        </w:tc>
      </w:tr>
      <w:tr w:rsidR="00AB248D" w:rsidRPr="00F627DB" w:rsidTr="00AC50C7">
        <w:tc>
          <w:tcPr>
            <w:tcW w:w="3134" w:type="dxa"/>
            <w:hideMark/>
          </w:tcPr>
          <w:p w:rsidR="00AB248D" w:rsidRPr="00991085" w:rsidRDefault="00AB248D" w:rsidP="00CE5A53">
            <w:pPr>
              <w:rPr>
                <w:rFonts w:eastAsia="Times New Roman"/>
                <w:sz w:val="28"/>
                <w:szCs w:val="28"/>
                <w:lang w:val="lv-LV" w:eastAsia="lv-LV"/>
              </w:rPr>
            </w:pPr>
            <w:r w:rsidRPr="00991085">
              <w:rPr>
                <w:rFonts w:eastAsia="Times New Roman"/>
                <w:sz w:val="28"/>
                <w:szCs w:val="28"/>
                <w:lang w:val="lv-LV" w:eastAsia="lv-LV"/>
              </w:rPr>
              <w:t xml:space="preserve">2. </w:t>
            </w:r>
            <w:r w:rsidR="00E07DF2" w:rsidRPr="00991085">
              <w:rPr>
                <w:rFonts w:eastAsia="Times New Roman"/>
                <w:sz w:val="28"/>
                <w:szCs w:val="28"/>
                <w:lang w:val="lv-LV" w:eastAsia="lv-LV"/>
              </w:rPr>
              <w:t>Projekta izpildes ietekme uz pārvaldes funkcijā</w:t>
            </w:r>
          </w:p>
        </w:tc>
        <w:tc>
          <w:tcPr>
            <w:tcW w:w="5953" w:type="dxa"/>
            <w:hideMark/>
          </w:tcPr>
          <w:p w:rsidR="00AB248D" w:rsidRPr="00991085" w:rsidRDefault="00C82B27" w:rsidP="002A126D">
            <w:pPr>
              <w:jc w:val="both"/>
              <w:rPr>
                <w:sz w:val="28"/>
                <w:szCs w:val="28"/>
                <w:lang w:val="lv-LV"/>
              </w:rPr>
            </w:pPr>
            <w:r w:rsidRPr="00991085">
              <w:rPr>
                <w:sz w:val="28"/>
                <w:szCs w:val="28"/>
                <w:lang w:val="lv-LV"/>
              </w:rPr>
              <w:t xml:space="preserve">Noteikumu projekta izpildi nodrošinās </w:t>
            </w:r>
            <w:r w:rsidR="00700070" w:rsidRPr="00991085">
              <w:rPr>
                <w:sz w:val="28"/>
                <w:szCs w:val="28"/>
                <w:lang w:val="lv-LV"/>
              </w:rPr>
              <w:t xml:space="preserve">Latvijas Investīciju un attīstības aģentūras </w:t>
            </w:r>
            <w:r w:rsidRPr="00991085">
              <w:rPr>
                <w:sz w:val="28"/>
                <w:szCs w:val="28"/>
                <w:lang w:val="lv-LV"/>
              </w:rPr>
              <w:t>darbības ietvaros.</w:t>
            </w:r>
          </w:p>
        </w:tc>
      </w:tr>
      <w:tr w:rsidR="00BB09C5" w:rsidRPr="00991085" w:rsidTr="00AC50C7">
        <w:trPr>
          <w:trHeight w:val="930"/>
        </w:trPr>
        <w:tc>
          <w:tcPr>
            <w:tcW w:w="3134" w:type="dxa"/>
            <w:hideMark/>
          </w:tcPr>
          <w:p w:rsidR="00BB09C5" w:rsidRPr="00991085" w:rsidRDefault="00E07DF2" w:rsidP="00CE5A53">
            <w:pPr>
              <w:rPr>
                <w:rFonts w:eastAsia="Times New Roman"/>
                <w:sz w:val="28"/>
                <w:szCs w:val="28"/>
                <w:lang w:val="lv-LV" w:eastAsia="lv-LV"/>
              </w:rPr>
            </w:pPr>
            <w:r w:rsidRPr="00991085">
              <w:rPr>
                <w:rFonts w:eastAsia="Times New Roman"/>
                <w:sz w:val="28"/>
                <w:szCs w:val="28"/>
                <w:lang w:val="lv-LV" w:eastAsia="lv-LV"/>
              </w:rPr>
              <w:t>3. Projekta izpildes ietekme uz pārvaldes institucionālo struktūru. Jaunu institūciju izveide</w:t>
            </w:r>
          </w:p>
        </w:tc>
        <w:tc>
          <w:tcPr>
            <w:tcW w:w="5953" w:type="dxa"/>
            <w:hideMark/>
          </w:tcPr>
          <w:p w:rsidR="00004E51" w:rsidRPr="00991085" w:rsidRDefault="00C82B27" w:rsidP="00CE5A53">
            <w:pPr>
              <w:jc w:val="both"/>
              <w:rPr>
                <w:rFonts w:eastAsia="Times New Roman"/>
                <w:sz w:val="28"/>
                <w:szCs w:val="28"/>
                <w:lang w:val="lv-LV" w:eastAsia="lv-LV"/>
              </w:rPr>
            </w:pPr>
            <w:r w:rsidRPr="00991085">
              <w:rPr>
                <w:sz w:val="28"/>
                <w:szCs w:val="28"/>
                <w:lang w:val="lv-LV"/>
              </w:rPr>
              <w:t>Noteikumu projekta izpildei nav nepieciešams radīt jaunas institūcijas.</w:t>
            </w:r>
          </w:p>
        </w:tc>
      </w:tr>
      <w:tr w:rsidR="00BB09C5" w:rsidRPr="00F627DB" w:rsidTr="00AC50C7">
        <w:trPr>
          <w:trHeight w:val="1133"/>
        </w:trPr>
        <w:tc>
          <w:tcPr>
            <w:tcW w:w="3134" w:type="dxa"/>
            <w:hideMark/>
          </w:tcPr>
          <w:p w:rsidR="00BB09C5" w:rsidRPr="00991085" w:rsidRDefault="00E07DF2" w:rsidP="00CE5A53">
            <w:pPr>
              <w:rPr>
                <w:rFonts w:eastAsia="Times New Roman"/>
                <w:sz w:val="28"/>
                <w:szCs w:val="28"/>
                <w:lang w:val="lv-LV" w:eastAsia="lv-LV"/>
              </w:rPr>
            </w:pPr>
            <w:r w:rsidRPr="00991085">
              <w:rPr>
                <w:rFonts w:eastAsia="Times New Roman"/>
                <w:sz w:val="28"/>
                <w:szCs w:val="28"/>
                <w:lang w:val="lv-LV" w:eastAsia="lv-LV"/>
              </w:rPr>
              <w:t>4. Projekta izpildes ietekmes uz pārvaldes institucionālo struktūru. Esošu institūciju likvidācija</w:t>
            </w:r>
          </w:p>
        </w:tc>
        <w:tc>
          <w:tcPr>
            <w:tcW w:w="5953" w:type="dxa"/>
            <w:hideMark/>
          </w:tcPr>
          <w:p w:rsidR="00004E51" w:rsidRPr="00991085" w:rsidRDefault="00C82B27" w:rsidP="00CE5A53">
            <w:pPr>
              <w:jc w:val="both"/>
              <w:rPr>
                <w:rFonts w:eastAsia="Times New Roman"/>
                <w:sz w:val="28"/>
                <w:szCs w:val="28"/>
                <w:lang w:val="lv-LV" w:eastAsia="lv-LV"/>
              </w:rPr>
            </w:pPr>
            <w:r w:rsidRPr="00991085">
              <w:rPr>
                <w:sz w:val="28"/>
                <w:szCs w:val="28"/>
                <w:lang w:val="lv-LV"/>
              </w:rPr>
              <w:t>Noteikumu projekta izpildei nav nepieciešams likvidēt esošās institūcijas.</w:t>
            </w:r>
          </w:p>
        </w:tc>
      </w:tr>
      <w:tr w:rsidR="00BB09C5" w:rsidRPr="00991085" w:rsidTr="00AC50C7">
        <w:trPr>
          <w:trHeight w:val="912"/>
        </w:trPr>
        <w:tc>
          <w:tcPr>
            <w:tcW w:w="3134" w:type="dxa"/>
            <w:hideMark/>
          </w:tcPr>
          <w:p w:rsidR="00BB09C5" w:rsidRPr="00991085" w:rsidRDefault="00E07DF2" w:rsidP="00CE5A53">
            <w:pPr>
              <w:rPr>
                <w:rFonts w:eastAsia="Times New Roman"/>
                <w:sz w:val="28"/>
                <w:szCs w:val="28"/>
                <w:lang w:val="lv-LV" w:eastAsia="lv-LV"/>
              </w:rPr>
            </w:pPr>
            <w:r w:rsidRPr="00991085">
              <w:rPr>
                <w:rFonts w:eastAsia="Times New Roman"/>
                <w:sz w:val="28"/>
                <w:szCs w:val="28"/>
                <w:lang w:val="lv-LV" w:eastAsia="lv-LV"/>
              </w:rPr>
              <w:t>5. Projekta izpildes ietekmes uz pārvaldes institucionālo struktūru. Esošu institūciju reorganizācija</w:t>
            </w:r>
          </w:p>
        </w:tc>
        <w:tc>
          <w:tcPr>
            <w:tcW w:w="5953" w:type="dxa"/>
            <w:hideMark/>
          </w:tcPr>
          <w:p w:rsidR="00004E51" w:rsidRPr="00991085" w:rsidRDefault="00C852AB" w:rsidP="00CE5A53">
            <w:pPr>
              <w:jc w:val="both"/>
              <w:rPr>
                <w:rFonts w:eastAsia="Times New Roman"/>
                <w:sz w:val="28"/>
                <w:szCs w:val="28"/>
                <w:lang w:val="lv-LV" w:eastAsia="lv-LV"/>
              </w:rPr>
            </w:pPr>
            <w:r w:rsidRPr="00991085">
              <w:rPr>
                <w:sz w:val="28"/>
                <w:szCs w:val="28"/>
                <w:lang w:val="lv-LV"/>
              </w:rPr>
              <w:t>Noteikumu projekta izpildei nav nepieciešams reorganizēt esošās institūcijas.</w:t>
            </w:r>
          </w:p>
        </w:tc>
      </w:tr>
      <w:tr w:rsidR="00BB09C5" w:rsidRPr="00991085" w:rsidTr="00AC50C7">
        <w:tc>
          <w:tcPr>
            <w:tcW w:w="3134" w:type="dxa"/>
            <w:hideMark/>
          </w:tcPr>
          <w:p w:rsidR="00BB09C5" w:rsidRPr="00991085" w:rsidRDefault="00E07DF2" w:rsidP="00CE5A53">
            <w:pPr>
              <w:rPr>
                <w:rFonts w:eastAsia="Times New Roman"/>
                <w:sz w:val="28"/>
                <w:szCs w:val="28"/>
                <w:lang w:val="lv-LV" w:eastAsia="lv-LV"/>
              </w:rPr>
            </w:pPr>
            <w:r w:rsidRPr="00991085">
              <w:rPr>
                <w:rFonts w:eastAsia="Times New Roman"/>
                <w:sz w:val="28"/>
                <w:szCs w:val="28"/>
                <w:lang w:val="lv-LV" w:eastAsia="lv-LV"/>
              </w:rPr>
              <w:t>6</w:t>
            </w:r>
            <w:r w:rsidR="00BB09C5" w:rsidRPr="00991085">
              <w:rPr>
                <w:rFonts w:eastAsia="Times New Roman"/>
                <w:sz w:val="28"/>
                <w:szCs w:val="28"/>
                <w:lang w:val="lv-LV" w:eastAsia="lv-LV"/>
              </w:rPr>
              <w:t>. Cita informācija</w:t>
            </w:r>
          </w:p>
        </w:tc>
        <w:tc>
          <w:tcPr>
            <w:tcW w:w="5953" w:type="dxa"/>
            <w:hideMark/>
          </w:tcPr>
          <w:p w:rsidR="00004E51" w:rsidRPr="00991085" w:rsidRDefault="007E5D4D" w:rsidP="00CE5A53">
            <w:pPr>
              <w:rPr>
                <w:rFonts w:eastAsia="Times New Roman"/>
                <w:sz w:val="28"/>
                <w:szCs w:val="28"/>
                <w:lang w:val="lv-LV" w:eastAsia="lv-LV"/>
              </w:rPr>
            </w:pPr>
            <w:r w:rsidRPr="00991085">
              <w:rPr>
                <w:rFonts w:eastAsia="Times New Roman"/>
                <w:sz w:val="28"/>
                <w:szCs w:val="28"/>
                <w:lang w:val="lv-LV" w:eastAsia="lv-LV"/>
              </w:rPr>
              <w:t>Nav.</w:t>
            </w:r>
          </w:p>
        </w:tc>
      </w:tr>
    </w:tbl>
    <w:p w:rsidR="00403EAD" w:rsidRPr="00991085" w:rsidRDefault="00403EAD" w:rsidP="00CE5A53">
      <w:pPr>
        <w:tabs>
          <w:tab w:val="left" w:pos="7655"/>
        </w:tabs>
        <w:jc w:val="both"/>
        <w:rPr>
          <w:bCs/>
          <w:sz w:val="24"/>
          <w:szCs w:val="24"/>
          <w:lang w:val="lv-LV"/>
        </w:rPr>
      </w:pPr>
    </w:p>
    <w:p w:rsidR="00580C67" w:rsidRPr="00991085" w:rsidRDefault="00580C67" w:rsidP="00580C67">
      <w:pPr>
        <w:pStyle w:val="NormalWeb"/>
        <w:spacing w:before="0" w:beforeAutospacing="0" w:after="0" w:afterAutospacing="0"/>
        <w:rPr>
          <w:b/>
          <w:lang w:val="lv-LV"/>
        </w:rPr>
      </w:pPr>
      <w:r w:rsidRPr="00991085">
        <w:rPr>
          <w:b/>
          <w:lang w:val="lv-LV"/>
        </w:rPr>
        <w:t xml:space="preserve">Anotācijas III, IV, V un VI sadaļa - </w:t>
      </w:r>
      <w:r w:rsidRPr="00991085">
        <w:rPr>
          <w:iCs/>
          <w:sz w:val="28"/>
          <w:szCs w:val="28"/>
          <w:lang w:val="lv-LV"/>
        </w:rPr>
        <w:t>projekts šīs jomas neskar</w:t>
      </w:r>
      <w:r w:rsidRPr="00991085">
        <w:rPr>
          <w:b/>
          <w:lang w:val="lv-LV"/>
        </w:rPr>
        <w:t>.</w:t>
      </w:r>
    </w:p>
    <w:p w:rsidR="004B638C" w:rsidRPr="00991085" w:rsidRDefault="004B638C" w:rsidP="00CE5A53">
      <w:pPr>
        <w:tabs>
          <w:tab w:val="left" w:pos="7655"/>
        </w:tabs>
        <w:jc w:val="both"/>
        <w:rPr>
          <w:bCs/>
          <w:sz w:val="24"/>
          <w:szCs w:val="24"/>
          <w:lang w:val="lv-LV"/>
        </w:rPr>
      </w:pPr>
    </w:p>
    <w:p w:rsidR="00CE5A53" w:rsidRPr="00991085" w:rsidRDefault="00CE5A53" w:rsidP="00CE5A53">
      <w:pPr>
        <w:tabs>
          <w:tab w:val="left" w:pos="7655"/>
        </w:tabs>
        <w:jc w:val="both"/>
        <w:rPr>
          <w:bCs/>
          <w:sz w:val="24"/>
          <w:szCs w:val="24"/>
          <w:lang w:val="lv-LV"/>
        </w:rPr>
      </w:pPr>
    </w:p>
    <w:p w:rsidR="00403EAD" w:rsidRPr="00991085" w:rsidRDefault="00C82B27" w:rsidP="00CE5A53">
      <w:pPr>
        <w:tabs>
          <w:tab w:val="left" w:pos="7655"/>
        </w:tabs>
        <w:jc w:val="both"/>
        <w:rPr>
          <w:bCs/>
          <w:sz w:val="24"/>
          <w:szCs w:val="24"/>
          <w:lang w:val="lv-LV"/>
        </w:rPr>
      </w:pPr>
      <w:r w:rsidRPr="00991085">
        <w:rPr>
          <w:bCs/>
          <w:sz w:val="24"/>
          <w:szCs w:val="24"/>
          <w:lang w:val="lv-LV"/>
        </w:rPr>
        <w:t>Ekonomikas ministrs</w:t>
      </w:r>
      <w:r w:rsidRPr="00991085">
        <w:rPr>
          <w:bCs/>
          <w:sz w:val="24"/>
          <w:szCs w:val="24"/>
          <w:lang w:val="lv-LV"/>
        </w:rPr>
        <w:tab/>
        <w:t>A.Kampars</w:t>
      </w:r>
    </w:p>
    <w:p w:rsidR="00860FDE" w:rsidRPr="00991085" w:rsidRDefault="00860FDE" w:rsidP="00CE5A53">
      <w:pPr>
        <w:pStyle w:val="EnvelopeReturn"/>
        <w:jc w:val="both"/>
        <w:rPr>
          <w:rFonts w:ascii="Times New Roman" w:hAnsi="Times New Roman"/>
          <w:color w:val="000000"/>
          <w:sz w:val="24"/>
          <w:szCs w:val="24"/>
          <w:lang w:val="lv-LV"/>
        </w:rPr>
      </w:pPr>
    </w:p>
    <w:p w:rsidR="00CE5A53" w:rsidRPr="00991085" w:rsidRDefault="00CE5A53" w:rsidP="00CE5A53">
      <w:pPr>
        <w:pStyle w:val="EnvelopeReturn"/>
        <w:jc w:val="both"/>
        <w:rPr>
          <w:rFonts w:ascii="Times New Roman" w:hAnsi="Times New Roman"/>
          <w:color w:val="000000"/>
          <w:sz w:val="24"/>
          <w:szCs w:val="24"/>
          <w:lang w:val="lv-LV"/>
        </w:rPr>
      </w:pPr>
    </w:p>
    <w:p w:rsidR="00991085" w:rsidRPr="00991085" w:rsidRDefault="00991085" w:rsidP="00CE5A53">
      <w:pPr>
        <w:pStyle w:val="EnvelopeReturn"/>
        <w:jc w:val="both"/>
        <w:rPr>
          <w:rFonts w:ascii="Times New Roman" w:hAnsi="Times New Roman"/>
          <w:color w:val="000000"/>
          <w:sz w:val="24"/>
          <w:szCs w:val="24"/>
          <w:lang w:val="lv-LV"/>
        </w:rPr>
      </w:pPr>
    </w:p>
    <w:p w:rsidR="00403EAD" w:rsidRPr="00991085" w:rsidRDefault="00C82B27" w:rsidP="00CE5A53">
      <w:pPr>
        <w:pStyle w:val="EnvelopeReturn"/>
        <w:jc w:val="both"/>
        <w:rPr>
          <w:rFonts w:ascii="Times New Roman" w:hAnsi="Times New Roman"/>
          <w:color w:val="000000"/>
          <w:sz w:val="24"/>
          <w:szCs w:val="24"/>
          <w:lang w:val="lv-LV"/>
        </w:rPr>
      </w:pPr>
      <w:r w:rsidRPr="00991085">
        <w:rPr>
          <w:rFonts w:ascii="Times New Roman" w:hAnsi="Times New Roman"/>
          <w:color w:val="000000"/>
          <w:sz w:val="24"/>
          <w:szCs w:val="24"/>
          <w:lang w:val="lv-LV"/>
        </w:rPr>
        <w:t>Vīza: Valsts sekretār</w:t>
      </w:r>
      <w:r w:rsidR="0054660D" w:rsidRPr="00991085">
        <w:rPr>
          <w:rFonts w:ascii="Times New Roman" w:hAnsi="Times New Roman"/>
          <w:color w:val="000000"/>
          <w:sz w:val="24"/>
          <w:szCs w:val="24"/>
          <w:lang w:val="lv-LV"/>
        </w:rPr>
        <w:t>s</w:t>
      </w:r>
      <w:r w:rsidR="0054660D" w:rsidRPr="00991085">
        <w:rPr>
          <w:rFonts w:ascii="Times New Roman" w:hAnsi="Times New Roman"/>
          <w:color w:val="000000"/>
          <w:sz w:val="24"/>
          <w:szCs w:val="24"/>
          <w:lang w:val="lv-LV"/>
        </w:rPr>
        <w:tab/>
      </w:r>
      <w:r w:rsidRPr="00991085">
        <w:rPr>
          <w:rFonts w:ascii="Times New Roman" w:hAnsi="Times New Roman"/>
          <w:color w:val="000000"/>
          <w:sz w:val="24"/>
          <w:szCs w:val="24"/>
          <w:lang w:val="lv-LV"/>
        </w:rPr>
        <w:tab/>
      </w:r>
      <w:r w:rsidRPr="00991085">
        <w:rPr>
          <w:rFonts w:ascii="Times New Roman" w:hAnsi="Times New Roman"/>
          <w:color w:val="000000"/>
          <w:sz w:val="24"/>
          <w:szCs w:val="24"/>
          <w:lang w:val="lv-LV"/>
        </w:rPr>
        <w:tab/>
      </w:r>
      <w:r w:rsidRPr="00991085">
        <w:rPr>
          <w:rFonts w:ascii="Times New Roman" w:hAnsi="Times New Roman"/>
          <w:color w:val="000000"/>
          <w:sz w:val="24"/>
          <w:szCs w:val="24"/>
          <w:lang w:val="lv-LV"/>
        </w:rPr>
        <w:tab/>
      </w:r>
      <w:r w:rsidRPr="00991085">
        <w:rPr>
          <w:rFonts w:ascii="Times New Roman" w:hAnsi="Times New Roman"/>
          <w:color w:val="000000"/>
          <w:sz w:val="24"/>
          <w:szCs w:val="24"/>
          <w:lang w:val="lv-LV"/>
        </w:rPr>
        <w:tab/>
      </w:r>
      <w:r w:rsidRPr="00991085">
        <w:rPr>
          <w:rFonts w:ascii="Times New Roman" w:hAnsi="Times New Roman"/>
          <w:color w:val="000000"/>
          <w:sz w:val="24"/>
          <w:szCs w:val="24"/>
          <w:lang w:val="lv-LV"/>
        </w:rPr>
        <w:tab/>
      </w:r>
      <w:r w:rsidRPr="00991085">
        <w:rPr>
          <w:rFonts w:ascii="Times New Roman" w:hAnsi="Times New Roman"/>
          <w:color w:val="000000"/>
          <w:sz w:val="24"/>
          <w:szCs w:val="24"/>
          <w:lang w:val="lv-LV"/>
        </w:rPr>
        <w:tab/>
        <w:t xml:space="preserve">     </w:t>
      </w:r>
      <w:r w:rsidR="00AC50C7" w:rsidRPr="00991085">
        <w:rPr>
          <w:rFonts w:ascii="Times New Roman" w:hAnsi="Times New Roman"/>
          <w:color w:val="000000"/>
          <w:sz w:val="24"/>
          <w:szCs w:val="24"/>
          <w:lang w:val="lv-LV"/>
        </w:rPr>
        <w:tab/>
      </w:r>
      <w:r w:rsidRPr="00991085">
        <w:rPr>
          <w:rFonts w:ascii="Times New Roman" w:hAnsi="Times New Roman"/>
          <w:color w:val="000000"/>
          <w:sz w:val="24"/>
          <w:szCs w:val="24"/>
          <w:lang w:val="lv-LV"/>
        </w:rPr>
        <w:t xml:space="preserve"> </w:t>
      </w:r>
      <w:r w:rsidR="0054660D" w:rsidRPr="00991085">
        <w:rPr>
          <w:rFonts w:ascii="Times New Roman" w:hAnsi="Times New Roman"/>
          <w:color w:val="000000"/>
          <w:sz w:val="24"/>
          <w:szCs w:val="24"/>
          <w:lang w:val="lv-LV"/>
        </w:rPr>
        <w:tab/>
        <w:t>J</w:t>
      </w:r>
      <w:r w:rsidRPr="00991085">
        <w:rPr>
          <w:rFonts w:ascii="Times New Roman" w:hAnsi="Times New Roman"/>
          <w:color w:val="000000"/>
          <w:sz w:val="24"/>
          <w:szCs w:val="24"/>
          <w:lang w:val="lv-LV"/>
        </w:rPr>
        <w:t>.</w:t>
      </w:r>
      <w:r w:rsidR="0054660D" w:rsidRPr="00991085">
        <w:rPr>
          <w:rFonts w:ascii="Times New Roman" w:hAnsi="Times New Roman"/>
          <w:color w:val="000000"/>
          <w:sz w:val="24"/>
          <w:szCs w:val="24"/>
          <w:lang w:val="lv-LV"/>
        </w:rPr>
        <w:t>Pūce</w:t>
      </w:r>
    </w:p>
    <w:p w:rsidR="00403EAD" w:rsidRDefault="00403EAD" w:rsidP="00CE5A53">
      <w:pPr>
        <w:jc w:val="both"/>
        <w:rPr>
          <w:color w:val="000000"/>
          <w:sz w:val="28"/>
          <w:szCs w:val="28"/>
          <w:lang w:val="lv-LV"/>
        </w:rPr>
      </w:pPr>
    </w:p>
    <w:p w:rsidR="00AC50C7" w:rsidRDefault="00AC50C7" w:rsidP="00CE5A53">
      <w:pPr>
        <w:jc w:val="both"/>
        <w:rPr>
          <w:color w:val="000000"/>
          <w:sz w:val="28"/>
          <w:szCs w:val="28"/>
          <w:lang w:val="lv-LV"/>
        </w:rPr>
      </w:pPr>
    </w:p>
    <w:p w:rsidR="00F627DB" w:rsidRDefault="00F627DB" w:rsidP="00CE5A53">
      <w:pPr>
        <w:jc w:val="both"/>
        <w:rPr>
          <w:color w:val="000000"/>
          <w:lang w:val="lv-LV"/>
        </w:rPr>
      </w:pPr>
      <w:r>
        <w:rPr>
          <w:color w:val="000000"/>
          <w:lang w:val="lv-LV"/>
        </w:rPr>
        <w:t>2011.01.26. 16:08</w:t>
      </w:r>
    </w:p>
    <w:p w:rsidR="00D07CDB" w:rsidRPr="00AC50C7" w:rsidRDefault="008C3576" w:rsidP="00CE5A53">
      <w:pPr>
        <w:jc w:val="both"/>
        <w:rPr>
          <w:color w:val="000000"/>
          <w:lang w:val="lv-LV"/>
        </w:rPr>
      </w:pPr>
      <w:fldSimple w:instr=" NUMWORDS   \* MERGEFORMAT ">
        <w:r w:rsidR="006857A8" w:rsidRPr="006857A8">
          <w:rPr>
            <w:noProof/>
            <w:color w:val="000000"/>
            <w:lang w:val="lv-LV"/>
          </w:rPr>
          <w:t>703</w:t>
        </w:r>
      </w:fldSimple>
    </w:p>
    <w:p w:rsidR="00004E51" w:rsidRPr="00AC50C7" w:rsidRDefault="00885AEF" w:rsidP="00CE5A53">
      <w:pPr>
        <w:jc w:val="both"/>
        <w:rPr>
          <w:color w:val="000000"/>
          <w:lang w:val="lv-LV"/>
        </w:rPr>
      </w:pPr>
      <w:r w:rsidRPr="00AC50C7">
        <w:rPr>
          <w:color w:val="000000"/>
          <w:lang w:val="lv-LV"/>
        </w:rPr>
        <w:t>Māris Krūmiņš</w:t>
      </w:r>
    </w:p>
    <w:p w:rsidR="00FA1511" w:rsidRPr="00AC50C7" w:rsidRDefault="00456ADC" w:rsidP="00CE5A53">
      <w:pPr>
        <w:jc w:val="both"/>
        <w:rPr>
          <w:lang w:val="lv-LV"/>
        </w:rPr>
      </w:pPr>
      <w:r w:rsidRPr="00AC50C7">
        <w:rPr>
          <w:color w:val="000000"/>
          <w:lang w:val="lv-LV"/>
        </w:rPr>
        <w:t>67013</w:t>
      </w:r>
      <w:r w:rsidR="00885AEF" w:rsidRPr="00AC50C7">
        <w:rPr>
          <w:color w:val="000000"/>
          <w:lang w:val="lv-LV"/>
        </w:rPr>
        <w:t>082</w:t>
      </w:r>
      <w:r w:rsidR="00C852AB" w:rsidRPr="00AC50C7">
        <w:rPr>
          <w:color w:val="000000"/>
          <w:lang w:val="lv-LV"/>
        </w:rPr>
        <w:t xml:space="preserve">, </w:t>
      </w:r>
      <w:r w:rsidR="00885AEF" w:rsidRPr="00AC50C7">
        <w:rPr>
          <w:lang w:val="lv-LV"/>
        </w:rPr>
        <w:t>Maris.Krumins</w:t>
      </w:r>
      <w:r w:rsidR="00C852AB" w:rsidRPr="00AC50C7">
        <w:rPr>
          <w:lang w:val="lv-LV"/>
        </w:rPr>
        <w:t>@em.gov.lv</w:t>
      </w:r>
    </w:p>
    <w:sectPr w:rsidR="00FA1511" w:rsidRPr="00AC50C7"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7F" w:rsidRDefault="00D42F7F" w:rsidP="00B014C2">
      <w:r>
        <w:separator/>
      </w:r>
    </w:p>
  </w:endnote>
  <w:endnote w:type="continuationSeparator" w:id="0">
    <w:p w:rsidR="00D42F7F" w:rsidRDefault="00D42F7F"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60" w:rsidRPr="00AD1A60" w:rsidRDefault="008C3576" w:rsidP="00AD1A60">
    <w:pPr>
      <w:jc w:val="both"/>
      <w:outlineLvl w:val="0"/>
      <w:rPr>
        <w:rFonts w:eastAsia="Times New Roman"/>
        <w:lang w:val="lv-LV" w:eastAsia="lv-LV"/>
      </w:rPr>
    </w:pPr>
    <w:fldSimple w:instr=" FILENAME   \* MERGEFORMAT ">
      <w:r w:rsidR="00AD1A60" w:rsidRPr="00AD1A60">
        <w:rPr>
          <w:noProof/>
        </w:rPr>
        <w:t>EMAnot_</w:t>
      </w:r>
      <w:r w:rsidR="00991085">
        <w:rPr>
          <w:noProof/>
        </w:rPr>
        <w:t>26</w:t>
      </w:r>
      <w:r w:rsidR="00676C93">
        <w:rPr>
          <w:noProof/>
        </w:rPr>
        <w:t>0111</w:t>
      </w:r>
      <w:r w:rsidR="00AD1A60" w:rsidRPr="00AD1A60">
        <w:rPr>
          <w:noProof/>
        </w:rPr>
        <w:t>_groz834</w:t>
      </w:r>
    </w:fldSimple>
    <w:r w:rsidR="00AD1A60" w:rsidRPr="00AD1A60">
      <w:t xml:space="preserve">; </w:t>
    </w:r>
    <w:r w:rsidR="00AD1A60" w:rsidRPr="00AD1A60">
      <w:rPr>
        <w:lang w:val="lv-LV"/>
      </w:rPr>
      <w:t xml:space="preserve">Ministru kabineta noteikumu </w:t>
    </w:r>
    <w:r w:rsidR="00257028">
      <w:rPr>
        <w:lang w:val="lv-LV"/>
      </w:rPr>
      <w:t>projekta „Grozījum</w:t>
    </w:r>
    <w:r w:rsidR="00676C93">
      <w:rPr>
        <w:lang w:val="lv-LV"/>
      </w:rPr>
      <w:t>i</w:t>
    </w:r>
    <w:r w:rsidR="00AD1A60" w:rsidRPr="00AD1A60">
      <w:rPr>
        <w:lang w:val="lv-LV"/>
      </w:rPr>
      <w:t xml:space="preserve"> Ministru kabineta 2008.gada 7.oktobra noteikumos Nr.834 „</w:t>
    </w:r>
    <w:r w:rsidR="00AD1A60" w:rsidRPr="00AD1A60">
      <w:rPr>
        <w:rFonts w:eastAsia="Times New Roman"/>
        <w:bCs/>
        <w:lang w:val="lv-LV"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r w:rsidR="00AD1A60" w:rsidRPr="00AD1A60">
      <w:rPr>
        <w:bCs/>
        <w:lang w:val="lv-LV" w:eastAsia="lv-LV"/>
      </w:rPr>
      <w:t>”</w:t>
    </w:r>
    <w:r w:rsidR="00AD1A60" w:rsidRPr="00AD1A60">
      <w:rPr>
        <w:rFonts w:eastAsia="Times New Roman"/>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AD1A60" w:rsidRDefault="008C3576" w:rsidP="00DD7A97">
    <w:pPr>
      <w:jc w:val="both"/>
      <w:outlineLvl w:val="0"/>
      <w:rPr>
        <w:rFonts w:eastAsia="Times New Roman"/>
        <w:lang w:val="lv-LV" w:eastAsia="lv-LV"/>
      </w:rPr>
    </w:pPr>
    <w:fldSimple w:instr=" FILENAME   \* MERGEFORMAT ">
      <w:r w:rsidR="0054660D" w:rsidRPr="00AD1A60">
        <w:rPr>
          <w:noProof/>
        </w:rPr>
        <w:t>EMAnot_</w:t>
      </w:r>
      <w:r w:rsidR="00991085">
        <w:rPr>
          <w:noProof/>
        </w:rPr>
        <w:t>26</w:t>
      </w:r>
      <w:r w:rsidR="00676C93">
        <w:rPr>
          <w:noProof/>
        </w:rPr>
        <w:t>0111</w:t>
      </w:r>
      <w:r w:rsidR="0054660D" w:rsidRPr="00AD1A60">
        <w:rPr>
          <w:noProof/>
        </w:rPr>
        <w:t>_groz</w:t>
      </w:r>
      <w:r w:rsidR="00AD1A60" w:rsidRPr="00AD1A60">
        <w:rPr>
          <w:noProof/>
        </w:rPr>
        <w:t>834</w:t>
      </w:r>
    </w:fldSimple>
    <w:r w:rsidR="000D1257" w:rsidRPr="00AD1A60">
      <w:t xml:space="preserve">; </w:t>
    </w:r>
    <w:r w:rsidR="00AD1A60" w:rsidRPr="00AD1A60">
      <w:rPr>
        <w:lang w:val="lv-LV"/>
      </w:rPr>
      <w:t>Ministru kabineta noteikumu projekta „</w:t>
    </w:r>
    <w:r w:rsidR="00676C93" w:rsidRPr="00AD1A60">
      <w:rPr>
        <w:lang w:val="lv-LV"/>
      </w:rPr>
      <w:t>Grozījum</w:t>
    </w:r>
    <w:r w:rsidR="00676C93">
      <w:rPr>
        <w:lang w:val="lv-LV"/>
      </w:rPr>
      <w:t>i</w:t>
    </w:r>
    <w:r w:rsidR="00676C93" w:rsidRPr="00AD1A60">
      <w:rPr>
        <w:lang w:val="lv-LV"/>
      </w:rPr>
      <w:t xml:space="preserve"> </w:t>
    </w:r>
    <w:r w:rsidR="00AD1A60" w:rsidRPr="00AD1A60">
      <w:rPr>
        <w:lang w:val="lv-LV"/>
      </w:rPr>
      <w:t>Ministru kabineta 2008.gada 7.oktobra noteikumos Nr.834 „</w:t>
    </w:r>
    <w:r w:rsidR="00AD1A60" w:rsidRPr="00AD1A60">
      <w:rPr>
        <w:rFonts w:eastAsia="Times New Roman"/>
        <w:bCs/>
        <w:lang w:val="lv-LV"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r w:rsidR="00AD1A60" w:rsidRPr="00AD1A60">
      <w:rPr>
        <w:bCs/>
        <w:lang w:val="lv-LV" w:eastAsia="lv-LV"/>
      </w:rPr>
      <w:t>”</w:t>
    </w:r>
    <w:r w:rsidR="00AD1A60" w:rsidRPr="00AD1A60">
      <w:rPr>
        <w:rFonts w:eastAsia="Times New Roman"/>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7F" w:rsidRDefault="00D42F7F" w:rsidP="00B014C2">
      <w:r>
        <w:separator/>
      </w:r>
    </w:p>
  </w:footnote>
  <w:footnote w:type="continuationSeparator" w:id="0">
    <w:p w:rsidR="00D42F7F" w:rsidRDefault="00D42F7F"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8C3576">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F627DB">
      <w:rPr>
        <w:noProof/>
        <w:sz w:val="24"/>
        <w:szCs w:val="24"/>
      </w:rPr>
      <w:t>3</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BB09C5"/>
    <w:rsid w:val="000016AB"/>
    <w:rsid w:val="00004E51"/>
    <w:rsid w:val="0001186C"/>
    <w:rsid w:val="000158C8"/>
    <w:rsid w:val="0001764D"/>
    <w:rsid w:val="000229E4"/>
    <w:rsid w:val="00025B0A"/>
    <w:rsid w:val="0002603A"/>
    <w:rsid w:val="00026C03"/>
    <w:rsid w:val="0002762A"/>
    <w:rsid w:val="0003046E"/>
    <w:rsid w:val="000312E7"/>
    <w:rsid w:val="00036E03"/>
    <w:rsid w:val="000415DE"/>
    <w:rsid w:val="0004167C"/>
    <w:rsid w:val="00047EF5"/>
    <w:rsid w:val="00050EA4"/>
    <w:rsid w:val="000529CC"/>
    <w:rsid w:val="00052E89"/>
    <w:rsid w:val="000643D5"/>
    <w:rsid w:val="0007058B"/>
    <w:rsid w:val="000729ED"/>
    <w:rsid w:val="000770B5"/>
    <w:rsid w:val="00083227"/>
    <w:rsid w:val="00085E74"/>
    <w:rsid w:val="000921C6"/>
    <w:rsid w:val="0009399C"/>
    <w:rsid w:val="00097583"/>
    <w:rsid w:val="000A434E"/>
    <w:rsid w:val="000A4AED"/>
    <w:rsid w:val="000B0719"/>
    <w:rsid w:val="000D0388"/>
    <w:rsid w:val="000D1257"/>
    <w:rsid w:val="000D140B"/>
    <w:rsid w:val="000D2F05"/>
    <w:rsid w:val="000D30E0"/>
    <w:rsid w:val="000D4B8D"/>
    <w:rsid w:val="000D72B7"/>
    <w:rsid w:val="000E409F"/>
    <w:rsid w:val="000E4277"/>
    <w:rsid w:val="000F3F4C"/>
    <w:rsid w:val="000F6E9E"/>
    <w:rsid w:val="001002E4"/>
    <w:rsid w:val="00101FE0"/>
    <w:rsid w:val="0010410B"/>
    <w:rsid w:val="001047E8"/>
    <w:rsid w:val="00110E66"/>
    <w:rsid w:val="00113586"/>
    <w:rsid w:val="00115E25"/>
    <w:rsid w:val="0011745E"/>
    <w:rsid w:val="001226E1"/>
    <w:rsid w:val="001237C7"/>
    <w:rsid w:val="00130C6B"/>
    <w:rsid w:val="00131C62"/>
    <w:rsid w:val="00141EF2"/>
    <w:rsid w:val="00142CBB"/>
    <w:rsid w:val="001507B4"/>
    <w:rsid w:val="00156BF0"/>
    <w:rsid w:val="00157107"/>
    <w:rsid w:val="00166B88"/>
    <w:rsid w:val="001705C0"/>
    <w:rsid w:val="001720E2"/>
    <w:rsid w:val="0017312C"/>
    <w:rsid w:val="001764E7"/>
    <w:rsid w:val="00177A26"/>
    <w:rsid w:val="00177DD5"/>
    <w:rsid w:val="001831F7"/>
    <w:rsid w:val="00184350"/>
    <w:rsid w:val="001871BB"/>
    <w:rsid w:val="00191102"/>
    <w:rsid w:val="00193BE3"/>
    <w:rsid w:val="00195030"/>
    <w:rsid w:val="001973A7"/>
    <w:rsid w:val="001A0D4B"/>
    <w:rsid w:val="001A6894"/>
    <w:rsid w:val="001B3236"/>
    <w:rsid w:val="001B3656"/>
    <w:rsid w:val="001B5F59"/>
    <w:rsid w:val="001B6A67"/>
    <w:rsid w:val="001B6D15"/>
    <w:rsid w:val="001C1BFF"/>
    <w:rsid w:val="001C3E23"/>
    <w:rsid w:val="001D1BF7"/>
    <w:rsid w:val="001D37CE"/>
    <w:rsid w:val="001D5E9C"/>
    <w:rsid w:val="001D6919"/>
    <w:rsid w:val="001D76FC"/>
    <w:rsid w:val="001E3E6F"/>
    <w:rsid w:val="001E5031"/>
    <w:rsid w:val="001E748E"/>
    <w:rsid w:val="001F02C1"/>
    <w:rsid w:val="001F7479"/>
    <w:rsid w:val="001F7527"/>
    <w:rsid w:val="00202855"/>
    <w:rsid w:val="0020345E"/>
    <w:rsid w:val="00205FEE"/>
    <w:rsid w:val="0021241F"/>
    <w:rsid w:val="00213D6A"/>
    <w:rsid w:val="002142A2"/>
    <w:rsid w:val="00217BC1"/>
    <w:rsid w:val="00222C39"/>
    <w:rsid w:val="00223C20"/>
    <w:rsid w:val="0023085A"/>
    <w:rsid w:val="00230FB6"/>
    <w:rsid w:val="00233657"/>
    <w:rsid w:val="00240CAE"/>
    <w:rsid w:val="00243A9D"/>
    <w:rsid w:val="00247529"/>
    <w:rsid w:val="002507A0"/>
    <w:rsid w:val="00257028"/>
    <w:rsid w:val="00257A14"/>
    <w:rsid w:val="00257EAE"/>
    <w:rsid w:val="00265959"/>
    <w:rsid w:val="0026604A"/>
    <w:rsid w:val="00271DF1"/>
    <w:rsid w:val="002720E3"/>
    <w:rsid w:val="002748FF"/>
    <w:rsid w:val="00274A8B"/>
    <w:rsid w:val="0028114E"/>
    <w:rsid w:val="00284615"/>
    <w:rsid w:val="0028698C"/>
    <w:rsid w:val="002A0CEE"/>
    <w:rsid w:val="002A126D"/>
    <w:rsid w:val="002A646A"/>
    <w:rsid w:val="002B4D01"/>
    <w:rsid w:val="002C0E0E"/>
    <w:rsid w:val="002C20C8"/>
    <w:rsid w:val="002C7CFA"/>
    <w:rsid w:val="002D7773"/>
    <w:rsid w:val="002D7DF1"/>
    <w:rsid w:val="002E0D23"/>
    <w:rsid w:val="002E507C"/>
    <w:rsid w:val="002E6122"/>
    <w:rsid w:val="002E7530"/>
    <w:rsid w:val="002F063C"/>
    <w:rsid w:val="002F2FD6"/>
    <w:rsid w:val="002F423D"/>
    <w:rsid w:val="002F4553"/>
    <w:rsid w:val="002F53BF"/>
    <w:rsid w:val="002F5BBF"/>
    <w:rsid w:val="002F65BB"/>
    <w:rsid w:val="002F6D2C"/>
    <w:rsid w:val="0030005E"/>
    <w:rsid w:val="003000F0"/>
    <w:rsid w:val="00303B7C"/>
    <w:rsid w:val="003108D5"/>
    <w:rsid w:val="00316613"/>
    <w:rsid w:val="003205FD"/>
    <w:rsid w:val="00320B71"/>
    <w:rsid w:val="00322A15"/>
    <w:rsid w:val="0032394F"/>
    <w:rsid w:val="0033352C"/>
    <w:rsid w:val="00335837"/>
    <w:rsid w:val="003372CD"/>
    <w:rsid w:val="0034284E"/>
    <w:rsid w:val="0034329B"/>
    <w:rsid w:val="003451DA"/>
    <w:rsid w:val="003525FA"/>
    <w:rsid w:val="0035647E"/>
    <w:rsid w:val="00360437"/>
    <w:rsid w:val="00361DA6"/>
    <w:rsid w:val="003629B0"/>
    <w:rsid w:val="003633B3"/>
    <w:rsid w:val="00363B7B"/>
    <w:rsid w:val="00374BCF"/>
    <w:rsid w:val="003756B1"/>
    <w:rsid w:val="00375A4C"/>
    <w:rsid w:val="00382BEB"/>
    <w:rsid w:val="00383500"/>
    <w:rsid w:val="00384799"/>
    <w:rsid w:val="00384983"/>
    <w:rsid w:val="003970C6"/>
    <w:rsid w:val="003A2B62"/>
    <w:rsid w:val="003A5963"/>
    <w:rsid w:val="003C3FA4"/>
    <w:rsid w:val="003C5D28"/>
    <w:rsid w:val="003E0167"/>
    <w:rsid w:val="003E28D2"/>
    <w:rsid w:val="003E2968"/>
    <w:rsid w:val="003E3604"/>
    <w:rsid w:val="003E6CB3"/>
    <w:rsid w:val="003E748C"/>
    <w:rsid w:val="003F095C"/>
    <w:rsid w:val="003F32B6"/>
    <w:rsid w:val="003F464F"/>
    <w:rsid w:val="003F4E09"/>
    <w:rsid w:val="00402B2B"/>
    <w:rsid w:val="00403279"/>
    <w:rsid w:val="00403EAD"/>
    <w:rsid w:val="00404D4B"/>
    <w:rsid w:val="00404E4B"/>
    <w:rsid w:val="004124AF"/>
    <w:rsid w:val="00420FC8"/>
    <w:rsid w:val="0042395B"/>
    <w:rsid w:val="0042472B"/>
    <w:rsid w:val="004260C8"/>
    <w:rsid w:val="0043243D"/>
    <w:rsid w:val="004368B2"/>
    <w:rsid w:val="00436E6A"/>
    <w:rsid w:val="004527EA"/>
    <w:rsid w:val="00456ADC"/>
    <w:rsid w:val="00460A29"/>
    <w:rsid w:val="0046143F"/>
    <w:rsid w:val="004657AC"/>
    <w:rsid w:val="00471B85"/>
    <w:rsid w:val="004722FD"/>
    <w:rsid w:val="00472755"/>
    <w:rsid w:val="0047619D"/>
    <w:rsid w:val="004775F4"/>
    <w:rsid w:val="004829AD"/>
    <w:rsid w:val="00484C10"/>
    <w:rsid w:val="00485D96"/>
    <w:rsid w:val="004878E3"/>
    <w:rsid w:val="004A19D5"/>
    <w:rsid w:val="004A1A10"/>
    <w:rsid w:val="004A20FA"/>
    <w:rsid w:val="004A7CF9"/>
    <w:rsid w:val="004B3CA5"/>
    <w:rsid w:val="004B638C"/>
    <w:rsid w:val="004C54F0"/>
    <w:rsid w:val="004C7B7E"/>
    <w:rsid w:val="004D074A"/>
    <w:rsid w:val="004D4997"/>
    <w:rsid w:val="004D6AC5"/>
    <w:rsid w:val="004E15EA"/>
    <w:rsid w:val="004E5E7D"/>
    <w:rsid w:val="004E7663"/>
    <w:rsid w:val="004E7F2B"/>
    <w:rsid w:val="004F2F91"/>
    <w:rsid w:val="00502E9A"/>
    <w:rsid w:val="005064C9"/>
    <w:rsid w:val="00510235"/>
    <w:rsid w:val="00517C20"/>
    <w:rsid w:val="00522B62"/>
    <w:rsid w:val="005279FC"/>
    <w:rsid w:val="00531E23"/>
    <w:rsid w:val="00533893"/>
    <w:rsid w:val="0053500F"/>
    <w:rsid w:val="00537A29"/>
    <w:rsid w:val="005422C3"/>
    <w:rsid w:val="00542F49"/>
    <w:rsid w:val="0054660D"/>
    <w:rsid w:val="005471CA"/>
    <w:rsid w:val="00551B3C"/>
    <w:rsid w:val="00554A7A"/>
    <w:rsid w:val="00556A56"/>
    <w:rsid w:val="00560311"/>
    <w:rsid w:val="00561CB9"/>
    <w:rsid w:val="0056528D"/>
    <w:rsid w:val="00575602"/>
    <w:rsid w:val="00575C67"/>
    <w:rsid w:val="00576B09"/>
    <w:rsid w:val="00580317"/>
    <w:rsid w:val="00580C67"/>
    <w:rsid w:val="0058249F"/>
    <w:rsid w:val="0058679B"/>
    <w:rsid w:val="005867C2"/>
    <w:rsid w:val="005867EB"/>
    <w:rsid w:val="005877DA"/>
    <w:rsid w:val="005B1EC4"/>
    <w:rsid w:val="005B29DE"/>
    <w:rsid w:val="005B4178"/>
    <w:rsid w:val="005B4D4E"/>
    <w:rsid w:val="005C03F5"/>
    <w:rsid w:val="005C251D"/>
    <w:rsid w:val="005C3235"/>
    <w:rsid w:val="005C6DDB"/>
    <w:rsid w:val="005D3658"/>
    <w:rsid w:val="005E2C40"/>
    <w:rsid w:val="005F129D"/>
    <w:rsid w:val="005F3880"/>
    <w:rsid w:val="005F5121"/>
    <w:rsid w:val="005F65CE"/>
    <w:rsid w:val="006056A8"/>
    <w:rsid w:val="00606694"/>
    <w:rsid w:val="006126A9"/>
    <w:rsid w:val="00613019"/>
    <w:rsid w:val="00616CBC"/>
    <w:rsid w:val="006218A6"/>
    <w:rsid w:val="006224F7"/>
    <w:rsid w:val="00623730"/>
    <w:rsid w:val="00630367"/>
    <w:rsid w:val="00631039"/>
    <w:rsid w:val="006316BA"/>
    <w:rsid w:val="00634665"/>
    <w:rsid w:val="006349DF"/>
    <w:rsid w:val="00636440"/>
    <w:rsid w:val="006456BB"/>
    <w:rsid w:val="00647FA6"/>
    <w:rsid w:val="00650716"/>
    <w:rsid w:val="00651669"/>
    <w:rsid w:val="0066625A"/>
    <w:rsid w:val="00672A2F"/>
    <w:rsid w:val="00674BA7"/>
    <w:rsid w:val="00676770"/>
    <w:rsid w:val="00676C93"/>
    <w:rsid w:val="00681496"/>
    <w:rsid w:val="00681CDB"/>
    <w:rsid w:val="006857A8"/>
    <w:rsid w:val="00686D4E"/>
    <w:rsid w:val="006910BE"/>
    <w:rsid w:val="00693FAB"/>
    <w:rsid w:val="00696772"/>
    <w:rsid w:val="0069780B"/>
    <w:rsid w:val="006A7638"/>
    <w:rsid w:val="006B1596"/>
    <w:rsid w:val="006B584A"/>
    <w:rsid w:val="006C04B0"/>
    <w:rsid w:val="006C136E"/>
    <w:rsid w:val="006C1797"/>
    <w:rsid w:val="006C21E7"/>
    <w:rsid w:val="006D0B9B"/>
    <w:rsid w:val="006D1F62"/>
    <w:rsid w:val="006D3A18"/>
    <w:rsid w:val="006D4C40"/>
    <w:rsid w:val="006D69A4"/>
    <w:rsid w:val="006D7150"/>
    <w:rsid w:val="006E2C3C"/>
    <w:rsid w:val="006E3C5D"/>
    <w:rsid w:val="006E53FC"/>
    <w:rsid w:val="006E67D7"/>
    <w:rsid w:val="006F0C19"/>
    <w:rsid w:val="006F24A8"/>
    <w:rsid w:val="006F56C1"/>
    <w:rsid w:val="00700070"/>
    <w:rsid w:val="007058E9"/>
    <w:rsid w:val="0071026C"/>
    <w:rsid w:val="0071224D"/>
    <w:rsid w:val="007217E4"/>
    <w:rsid w:val="00725107"/>
    <w:rsid w:val="0072668A"/>
    <w:rsid w:val="007278CF"/>
    <w:rsid w:val="007315C5"/>
    <w:rsid w:val="007355DD"/>
    <w:rsid w:val="007363F2"/>
    <w:rsid w:val="00737AB8"/>
    <w:rsid w:val="00741F6A"/>
    <w:rsid w:val="007547B1"/>
    <w:rsid w:val="00760465"/>
    <w:rsid w:val="007630E1"/>
    <w:rsid w:val="00767185"/>
    <w:rsid w:val="0077435A"/>
    <w:rsid w:val="0078712D"/>
    <w:rsid w:val="00787BED"/>
    <w:rsid w:val="00794B98"/>
    <w:rsid w:val="007A0D95"/>
    <w:rsid w:val="007A14D0"/>
    <w:rsid w:val="007A1D95"/>
    <w:rsid w:val="007A25F6"/>
    <w:rsid w:val="007A388B"/>
    <w:rsid w:val="007A3DB5"/>
    <w:rsid w:val="007A7FC5"/>
    <w:rsid w:val="007B1BE8"/>
    <w:rsid w:val="007C2992"/>
    <w:rsid w:val="007C35B2"/>
    <w:rsid w:val="007C3AD7"/>
    <w:rsid w:val="007D6900"/>
    <w:rsid w:val="007D7613"/>
    <w:rsid w:val="007D7A8A"/>
    <w:rsid w:val="007E34D8"/>
    <w:rsid w:val="007E5D4D"/>
    <w:rsid w:val="007E7623"/>
    <w:rsid w:val="007F0242"/>
    <w:rsid w:val="007F0C15"/>
    <w:rsid w:val="008068F1"/>
    <w:rsid w:val="00810454"/>
    <w:rsid w:val="00812990"/>
    <w:rsid w:val="00817839"/>
    <w:rsid w:val="00823419"/>
    <w:rsid w:val="0082376A"/>
    <w:rsid w:val="00823CBA"/>
    <w:rsid w:val="008265EF"/>
    <w:rsid w:val="00827407"/>
    <w:rsid w:val="00832642"/>
    <w:rsid w:val="00843294"/>
    <w:rsid w:val="00845F2C"/>
    <w:rsid w:val="00850DBE"/>
    <w:rsid w:val="008549AE"/>
    <w:rsid w:val="00860387"/>
    <w:rsid w:val="00860FDE"/>
    <w:rsid w:val="00862D34"/>
    <w:rsid w:val="00874C25"/>
    <w:rsid w:val="00877265"/>
    <w:rsid w:val="00877FED"/>
    <w:rsid w:val="00883403"/>
    <w:rsid w:val="00885AEF"/>
    <w:rsid w:val="00890831"/>
    <w:rsid w:val="0089090B"/>
    <w:rsid w:val="00891DAA"/>
    <w:rsid w:val="008927D8"/>
    <w:rsid w:val="0089622A"/>
    <w:rsid w:val="008972A4"/>
    <w:rsid w:val="00897C16"/>
    <w:rsid w:val="008A515D"/>
    <w:rsid w:val="008A6918"/>
    <w:rsid w:val="008B5BED"/>
    <w:rsid w:val="008B6C2F"/>
    <w:rsid w:val="008C3576"/>
    <w:rsid w:val="008C37BE"/>
    <w:rsid w:val="008C47D6"/>
    <w:rsid w:val="008C76E4"/>
    <w:rsid w:val="008D0A17"/>
    <w:rsid w:val="008D17E5"/>
    <w:rsid w:val="008D6725"/>
    <w:rsid w:val="008D78FF"/>
    <w:rsid w:val="008E0248"/>
    <w:rsid w:val="008E2ECE"/>
    <w:rsid w:val="008E45A6"/>
    <w:rsid w:val="008F122D"/>
    <w:rsid w:val="008F48C1"/>
    <w:rsid w:val="008F4C9D"/>
    <w:rsid w:val="008F5394"/>
    <w:rsid w:val="0090048A"/>
    <w:rsid w:val="0090395A"/>
    <w:rsid w:val="0090449A"/>
    <w:rsid w:val="0090536A"/>
    <w:rsid w:val="009062D3"/>
    <w:rsid w:val="00906840"/>
    <w:rsid w:val="00906909"/>
    <w:rsid w:val="00911B94"/>
    <w:rsid w:val="00914CB3"/>
    <w:rsid w:val="00916054"/>
    <w:rsid w:val="00916509"/>
    <w:rsid w:val="009243DD"/>
    <w:rsid w:val="0092468A"/>
    <w:rsid w:val="00925417"/>
    <w:rsid w:val="00925C96"/>
    <w:rsid w:val="00927127"/>
    <w:rsid w:val="00932C66"/>
    <w:rsid w:val="009347CA"/>
    <w:rsid w:val="00937618"/>
    <w:rsid w:val="00940388"/>
    <w:rsid w:val="009414BE"/>
    <w:rsid w:val="00944628"/>
    <w:rsid w:val="00944903"/>
    <w:rsid w:val="00945AEE"/>
    <w:rsid w:val="0094732D"/>
    <w:rsid w:val="00953044"/>
    <w:rsid w:val="0095696B"/>
    <w:rsid w:val="00962CEA"/>
    <w:rsid w:val="0096699E"/>
    <w:rsid w:val="009741BB"/>
    <w:rsid w:val="0097644C"/>
    <w:rsid w:val="00976DE4"/>
    <w:rsid w:val="00981D69"/>
    <w:rsid w:val="00991085"/>
    <w:rsid w:val="0099344A"/>
    <w:rsid w:val="00995388"/>
    <w:rsid w:val="009A164D"/>
    <w:rsid w:val="009A38AD"/>
    <w:rsid w:val="009A4789"/>
    <w:rsid w:val="009B0DB2"/>
    <w:rsid w:val="009B2624"/>
    <w:rsid w:val="009B2F66"/>
    <w:rsid w:val="009B4731"/>
    <w:rsid w:val="009B623D"/>
    <w:rsid w:val="009C2CF9"/>
    <w:rsid w:val="009C34B1"/>
    <w:rsid w:val="009C412F"/>
    <w:rsid w:val="009C7064"/>
    <w:rsid w:val="009D0CB9"/>
    <w:rsid w:val="009D10C0"/>
    <w:rsid w:val="009D6B85"/>
    <w:rsid w:val="009E116E"/>
    <w:rsid w:val="009E182A"/>
    <w:rsid w:val="009E1AEA"/>
    <w:rsid w:val="009E604D"/>
    <w:rsid w:val="009E66C4"/>
    <w:rsid w:val="009E7DF3"/>
    <w:rsid w:val="009F37B4"/>
    <w:rsid w:val="00A14437"/>
    <w:rsid w:val="00A15971"/>
    <w:rsid w:val="00A20A03"/>
    <w:rsid w:val="00A2576D"/>
    <w:rsid w:val="00A30576"/>
    <w:rsid w:val="00A30F97"/>
    <w:rsid w:val="00A326B1"/>
    <w:rsid w:val="00A34AC6"/>
    <w:rsid w:val="00A419B3"/>
    <w:rsid w:val="00A425FC"/>
    <w:rsid w:val="00A44590"/>
    <w:rsid w:val="00A46F4B"/>
    <w:rsid w:val="00A47339"/>
    <w:rsid w:val="00A47536"/>
    <w:rsid w:val="00A52BA6"/>
    <w:rsid w:val="00A54D4C"/>
    <w:rsid w:val="00A55C87"/>
    <w:rsid w:val="00A6113D"/>
    <w:rsid w:val="00A6164F"/>
    <w:rsid w:val="00A62C9B"/>
    <w:rsid w:val="00A806F1"/>
    <w:rsid w:val="00A92DAD"/>
    <w:rsid w:val="00A963C3"/>
    <w:rsid w:val="00A97500"/>
    <w:rsid w:val="00A97A44"/>
    <w:rsid w:val="00AA46D0"/>
    <w:rsid w:val="00AA5C4F"/>
    <w:rsid w:val="00AA5F61"/>
    <w:rsid w:val="00AB067F"/>
    <w:rsid w:val="00AB248D"/>
    <w:rsid w:val="00AB2498"/>
    <w:rsid w:val="00AB2B93"/>
    <w:rsid w:val="00AB488D"/>
    <w:rsid w:val="00AB5B30"/>
    <w:rsid w:val="00AC0231"/>
    <w:rsid w:val="00AC50C7"/>
    <w:rsid w:val="00AC51C0"/>
    <w:rsid w:val="00AD01D2"/>
    <w:rsid w:val="00AD1A52"/>
    <w:rsid w:val="00AD1A60"/>
    <w:rsid w:val="00AD2F9E"/>
    <w:rsid w:val="00AD452A"/>
    <w:rsid w:val="00AD5849"/>
    <w:rsid w:val="00AD715B"/>
    <w:rsid w:val="00AE05F1"/>
    <w:rsid w:val="00AE1659"/>
    <w:rsid w:val="00AE51EC"/>
    <w:rsid w:val="00AE52B6"/>
    <w:rsid w:val="00AE6E0C"/>
    <w:rsid w:val="00AF1E99"/>
    <w:rsid w:val="00B014C2"/>
    <w:rsid w:val="00B033B8"/>
    <w:rsid w:val="00B17C2B"/>
    <w:rsid w:val="00B219DE"/>
    <w:rsid w:val="00B221CA"/>
    <w:rsid w:val="00B23B0C"/>
    <w:rsid w:val="00B26A25"/>
    <w:rsid w:val="00B30133"/>
    <w:rsid w:val="00B31842"/>
    <w:rsid w:val="00B37ECA"/>
    <w:rsid w:val="00B4309E"/>
    <w:rsid w:val="00B45132"/>
    <w:rsid w:val="00B45711"/>
    <w:rsid w:val="00B46611"/>
    <w:rsid w:val="00B5466B"/>
    <w:rsid w:val="00B6151B"/>
    <w:rsid w:val="00B62197"/>
    <w:rsid w:val="00B626F8"/>
    <w:rsid w:val="00B67838"/>
    <w:rsid w:val="00B74BCA"/>
    <w:rsid w:val="00B7774A"/>
    <w:rsid w:val="00B81E82"/>
    <w:rsid w:val="00B82499"/>
    <w:rsid w:val="00B85F43"/>
    <w:rsid w:val="00B912E7"/>
    <w:rsid w:val="00B9200D"/>
    <w:rsid w:val="00B931D1"/>
    <w:rsid w:val="00B97180"/>
    <w:rsid w:val="00BA0A22"/>
    <w:rsid w:val="00BA7293"/>
    <w:rsid w:val="00BB09C5"/>
    <w:rsid w:val="00BB1832"/>
    <w:rsid w:val="00BB4180"/>
    <w:rsid w:val="00BB6516"/>
    <w:rsid w:val="00BB6D20"/>
    <w:rsid w:val="00BC06E8"/>
    <w:rsid w:val="00BC16B4"/>
    <w:rsid w:val="00BC1DE4"/>
    <w:rsid w:val="00BC262B"/>
    <w:rsid w:val="00BC3A03"/>
    <w:rsid w:val="00BC486B"/>
    <w:rsid w:val="00BC4AAD"/>
    <w:rsid w:val="00BC51A3"/>
    <w:rsid w:val="00BC70FB"/>
    <w:rsid w:val="00BD1934"/>
    <w:rsid w:val="00BD22EA"/>
    <w:rsid w:val="00BE0EC8"/>
    <w:rsid w:val="00BE1338"/>
    <w:rsid w:val="00BE4892"/>
    <w:rsid w:val="00BF13E2"/>
    <w:rsid w:val="00BF232B"/>
    <w:rsid w:val="00C044F2"/>
    <w:rsid w:val="00C04B3F"/>
    <w:rsid w:val="00C0764D"/>
    <w:rsid w:val="00C10CEA"/>
    <w:rsid w:val="00C11C6A"/>
    <w:rsid w:val="00C12C72"/>
    <w:rsid w:val="00C1663D"/>
    <w:rsid w:val="00C16BBF"/>
    <w:rsid w:val="00C20EF9"/>
    <w:rsid w:val="00C21702"/>
    <w:rsid w:val="00C257B7"/>
    <w:rsid w:val="00C307D2"/>
    <w:rsid w:val="00C31F73"/>
    <w:rsid w:val="00C32F05"/>
    <w:rsid w:val="00C37B14"/>
    <w:rsid w:val="00C40FDA"/>
    <w:rsid w:val="00C43F6F"/>
    <w:rsid w:val="00C5549D"/>
    <w:rsid w:val="00C7152A"/>
    <w:rsid w:val="00C73791"/>
    <w:rsid w:val="00C74EF8"/>
    <w:rsid w:val="00C82A06"/>
    <w:rsid w:val="00C82B27"/>
    <w:rsid w:val="00C85068"/>
    <w:rsid w:val="00C852AB"/>
    <w:rsid w:val="00CA0B16"/>
    <w:rsid w:val="00CA181C"/>
    <w:rsid w:val="00CA334F"/>
    <w:rsid w:val="00CA4ADF"/>
    <w:rsid w:val="00CA5DE0"/>
    <w:rsid w:val="00CA6526"/>
    <w:rsid w:val="00CA7E59"/>
    <w:rsid w:val="00CB2CB2"/>
    <w:rsid w:val="00CB4D81"/>
    <w:rsid w:val="00CB5D7B"/>
    <w:rsid w:val="00CB6A16"/>
    <w:rsid w:val="00CB7A76"/>
    <w:rsid w:val="00CC76C2"/>
    <w:rsid w:val="00CE09F6"/>
    <w:rsid w:val="00CE46A5"/>
    <w:rsid w:val="00CE5A53"/>
    <w:rsid w:val="00CF05DA"/>
    <w:rsid w:val="00CF370C"/>
    <w:rsid w:val="00CF5C7C"/>
    <w:rsid w:val="00D03BE9"/>
    <w:rsid w:val="00D07CDB"/>
    <w:rsid w:val="00D11D2F"/>
    <w:rsid w:val="00D135FA"/>
    <w:rsid w:val="00D16BE8"/>
    <w:rsid w:val="00D17FC9"/>
    <w:rsid w:val="00D215C9"/>
    <w:rsid w:val="00D255D7"/>
    <w:rsid w:val="00D25DF0"/>
    <w:rsid w:val="00D30469"/>
    <w:rsid w:val="00D315BC"/>
    <w:rsid w:val="00D33BC8"/>
    <w:rsid w:val="00D347F4"/>
    <w:rsid w:val="00D402F5"/>
    <w:rsid w:val="00D42F7F"/>
    <w:rsid w:val="00D5184D"/>
    <w:rsid w:val="00D51E6D"/>
    <w:rsid w:val="00D55E4C"/>
    <w:rsid w:val="00D62CCB"/>
    <w:rsid w:val="00D71175"/>
    <w:rsid w:val="00D7256E"/>
    <w:rsid w:val="00D74282"/>
    <w:rsid w:val="00D751F5"/>
    <w:rsid w:val="00D76982"/>
    <w:rsid w:val="00D84793"/>
    <w:rsid w:val="00D97223"/>
    <w:rsid w:val="00DA61A3"/>
    <w:rsid w:val="00DA7414"/>
    <w:rsid w:val="00DB28DC"/>
    <w:rsid w:val="00DB35ED"/>
    <w:rsid w:val="00DB3BCB"/>
    <w:rsid w:val="00DC1D17"/>
    <w:rsid w:val="00DC406B"/>
    <w:rsid w:val="00DC44CC"/>
    <w:rsid w:val="00DC4C6D"/>
    <w:rsid w:val="00DD0266"/>
    <w:rsid w:val="00DD28ED"/>
    <w:rsid w:val="00DD32A1"/>
    <w:rsid w:val="00DD3C99"/>
    <w:rsid w:val="00DD42C2"/>
    <w:rsid w:val="00DD50FD"/>
    <w:rsid w:val="00DD7A97"/>
    <w:rsid w:val="00DE043D"/>
    <w:rsid w:val="00DE1404"/>
    <w:rsid w:val="00DE5D69"/>
    <w:rsid w:val="00DE67FC"/>
    <w:rsid w:val="00DF0637"/>
    <w:rsid w:val="00DF0A7E"/>
    <w:rsid w:val="00DF3572"/>
    <w:rsid w:val="00DF4F04"/>
    <w:rsid w:val="00DF6B2B"/>
    <w:rsid w:val="00E007C1"/>
    <w:rsid w:val="00E03A78"/>
    <w:rsid w:val="00E07DF2"/>
    <w:rsid w:val="00E10D14"/>
    <w:rsid w:val="00E147E0"/>
    <w:rsid w:val="00E22EBE"/>
    <w:rsid w:val="00E26AAA"/>
    <w:rsid w:val="00E26E54"/>
    <w:rsid w:val="00E374A8"/>
    <w:rsid w:val="00E4147B"/>
    <w:rsid w:val="00E42E89"/>
    <w:rsid w:val="00E45814"/>
    <w:rsid w:val="00E47E61"/>
    <w:rsid w:val="00E47F99"/>
    <w:rsid w:val="00E53C62"/>
    <w:rsid w:val="00E60458"/>
    <w:rsid w:val="00E65238"/>
    <w:rsid w:val="00E65F36"/>
    <w:rsid w:val="00E65F64"/>
    <w:rsid w:val="00E67992"/>
    <w:rsid w:val="00E70B81"/>
    <w:rsid w:val="00E73425"/>
    <w:rsid w:val="00E76A2A"/>
    <w:rsid w:val="00E775B6"/>
    <w:rsid w:val="00E77E51"/>
    <w:rsid w:val="00E90C7E"/>
    <w:rsid w:val="00E91702"/>
    <w:rsid w:val="00E93D72"/>
    <w:rsid w:val="00E96283"/>
    <w:rsid w:val="00EA2820"/>
    <w:rsid w:val="00EA50BA"/>
    <w:rsid w:val="00EA5412"/>
    <w:rsid w:val="00EA57EF"/>
    <w:rsid w:val="00EB03F5"/>
    <w:rsid w:val="00EB1BE8"/>
    <w:rsid w:val="00EB263C"/>
    <w:rsid w:val="00EC2AD9"/>
    <w:rsid w:val="00EC59C9"/>
    <w:rsid w:val="00EC5C1C"/>
    <w:rsid w:val="00ED29AD"/>
    <w:rsid w:val="00ED377B"/>
    <w:rsid w:val="00EE1948"/>
    <w:rsid w:val="00EE2B7B"/>
    <w:rsid w:val="00EE424E"/>
    <w:rsid w:val="00EE4FC3"/>
    <w:rsid w:val="00EF0674"/>
    <w:rsid w:val="00EF26A5"/>
    <w:rsid w:val="00EF335B"/>
    <w:rsid w:val="00EF662A"/>
    <w:rsid w:val="00EF6E5B"/>
    <w:rsid w:val="00EF7A99"/>
    <w:rsid w:val="00EF7D9D"/>
    <w:rsid w:val="00F00BB6"/>
    <w:rsid w:val="00F010E4"/>
    <w:rsid w:val="00F067B2"/>
    <w:rsid w:val="00F103C0"/>
    <w:rsid w:val="00F15932"/>
    <w:rsid w:val="00F210C4"/>
    <w:rsid w:val="00F213B5"/>
    <w:rsid w:val="00F24674"/>
    <w:rsid w:val="00F25134"/>
    <w:rsid w:val="00F25271"/>
    <w:rsid w:val="00F258DB"/>
    <w:rsid w:val="00F27161"/>
    <w:rsid w:val="00F3042A"/>
    <w:rsid w:val="00F34F76"/>
    <w:rsid w:val="00F35826"/>
    <w:rsid w:val="00F45FC6"/>
    <w:rsid w:val="00F53491"/>
    <w:rsid w:val="00F54C76"/>
    <w:rsid w:val="00F57D7E"/>
    <w:rsid w:val="00F621F0"/>
    <w:rsid w:val="00F627DB"/>
    <w:rsid w:val="00F6350C"/>
    <w:rsid w:val="00F6526D"/>
    <w:rsid w:val="00F73226"/>
    <w:rsid w:val="00F73CBA"/>
    <w:rsid w:val="00F73E4D"/>
    <w:rsid w:val="00F74837"/>
    <w:rsid w:val="00F768B2"/>
    <w:rsid w:val="00F80221"/>
    <w:rsid w:val="00F86808"/>
    <w:rsid w:val="00F942CC"/>
    <w:rsid w:val="00F94B10"/>
    <w:rsid w:val="00F9656B"/>
    <w:rsid w:val="00FA1511"/>
    <w:rsid w:val="00FA2035"/>
    <w:rsid w:val="00FA3614"/>
    <w:rsid w:val="00FA6053"/>
    <w:rsid w:val="00FA6507"/>
    <w:rsid w:val="00FB1448"/>
    <w:rsid w:val="00FB2469"/>
    <w:rsid w:val="00FC1889"/>
    <w:rsid w:val="00FC4CC7"/>
    <w:rsid w:val="00FC6E18"/>
    <w:rsid w:val="00FD02D3"/>
    <w:rsid w:val="00FD42A6"/>
    <w:rsid w:val="00FF54DF"/>
    <w:rsid w:val="00FF5C79"/>
    <w:rsid w:val="00FF5E8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14794184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22062079">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704713200">
      <w:bodyDiv w:val="1"/>
      <w:marLeft w:val="0"/>
      <w:marRight w:val="0"/>
      <w:marTop w:val="0"/>
      <w:marBottom w:val="0"/>
      <w:divBdr>
        <w:top w:val="none" w:sz="0" w:space="0" w:color="auto"/>
        <w:left w:val="none" w:sz="0" w:space="0" w:color="auto"/>
        <w:bottom w:val="none" w:sz="0" w:space="0" w:color="auto"/>
        <w:right w:val="none" w:sz="0" w:space="0" w:color="auto"/>
      </w:divBdr>
    </w:div>
    <w:div w:id="947196543">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330984780">
      <w:bodyDiv w:val="1"/>
      <w:marLeft w:val="0"/>
      <w:marRight w:val="0"/>
      <w:marTop w:val="0"/>
      <w:marBottom w:val="0"/>
      <w:divBdr>
        <w:top w:val="none" w:sz="0" w:space="0" w:color="auto"/>
        <w:left w:val="none" w:sz="0" w:space="0" w:color="auto"/>
        <w:bottom w:val="none" w:sz="0" w:space="0" w:color="auto"/>
        <w:right w:val="none" w:sz="0" w:space="0" w:color="auto"/>
      </w:divBdr>
    </w:div>
    <w:div w:id="1352609812">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801414099">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 w:id="1919511606">
      <w:bodyDiv w:val="1"/>
      <w:marLeft w:val="0"/>
      <w:marRight w:val="0"/>
      <w:marTop w:val="0"/>
      <w:marBottom w:val="0"/>
      <w:divBdr>
        <w:top w:val="none" w:sz="0" w:space="0" w:color="auto"/>
        <w:left w:val="none" w:sz="0" w:space="0" w:color="auto"/>
        <w:bottom w:val="none" w:sz="0" w:space="0" w:color="auto"/>
        <w:right w:val="none" w:sz="0" w:space="0" w:color="auto"/>
      </w:divBdr>
    </w:div>
    <w:div w:id="21150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E464EB-93EA-4F2F-8469-42AA614E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748</Words>
  <Characters>5513</Characters>
  <Application>Microsoft Office Word</Application>
  <DocSecurity>0</DocSecurity>
  <Lines>324</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projekta „Grozījums Ministru kabineta 2008.gada 7.oktobra noteikumos Nr.834 „Noteikumi par darbības programmas „Uzņēmējdarbība un inovācijas” papildinājuma 2.1.2.2.aktivitātes „Jaunu produktu un tehnoloģiju izstrāde” 2.1.2.2.1.</vt:lpstr>
      <vt:lpstr>Ministru kabineta noteikumu projekta „Grozījums Ministru kabineta 2008.gada 7.ok</vt:lpstr>
    </vt:vector>
  </TitlesOfParts>
  <Company>LR Ekonomikas ministrija</Company>
  <LinksUpToDate>false</LinksUpToDate>
  <CharactersWithSpaces>6215</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7.oktobra noteikumos Nr.834 „Noteikumi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 sākotnējās ietekmes novērtējuma ziņojums (anotācija)</dc:title>
  <dc:subject>Anotācija</dc:subject>
  <dc:creator>Māris Krūmiņš</dc:creator>
  <dc:description>Maris.Krumins@em.gov.lv, 67013082</dc:description>
  <cp:lastModifiedBy>Māris Krūmiņš</cp:lastModifiedBy>
  <cp:revision>30</cp:revision>
  <cp:lastPrinted>2010-03-29T10:15:00Z</cp:lastPrinted>
  <dcterms:created xsi:type="dcterms:W3CDTF">2010-12-25T14:52:00Z</dcterms:created>
  <dcterms:modified xsi:type="dcterms:W3CDTF">2011-01-26T14:08:00Z</dcterms:modified>
</cp:coreProperties>
</file>