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38" w:rsidRPr="00E20AE9" w:rsidRDefault="00A607D2" w:rsidP="008D50B2">
      <w:pPr>
        <w:jc w:val="center"/>
        <w:rPr>
          <w:b/>
          <w:sz w:val="28"/>
          <w:szCs w:val="28"/>
        </w:rPr>
      </w:pPr>
      <w:bookmarkStart w:id="0" w:name="OLE_LINK7"/>
      <w:bookmarkStart w:id="1" w:name="OLE_LINK8"/>
      <w:r>
        <w:rPr>
          <w:b/>
          <w:sz w:val="28"/>
          <w:szCs w:val="28"/>
        </w:rPr>
        <w:t xml:space="preserve">Likumprojekta </w:t>
      </w:r>
      <w:r w:rsidRPr="00A607D2">
        <w:rPr>
          <w:b/>
          <w:sz w:val="28"/>
          <w:szCs w:val="28"/>
        </w:rPr>
        <w:t>Grozījum</w:t>
      </w:r>
      <w:r w:rsidR="008D50B2">
        <w:rPr>
          <w:b/>
          <w:sz w:val="28"/>
          <w:szCs w:val="28"/>
        </w:rPr>
        <w:t>i Reklāmas</w:t>
      </w:r>
      <w:r w:rsidRPr="00A607D2">
        <w:rPr>
          <w:b/>
          <w:sz w:val="28"/>
          <w:szCs w:val="28"/>
        </w:rPr>
        <w:t xml:space="preserve"> likumā </w:t>
      </w:r>
      <w:bookmarkEnd w:id="0"/>
      <w:bookmarkEnd w:id="1"/>
      <w:r w:rsidRPr="00E20AE9">
        <w:rPr>
          <w:b/>
          <w:sz w:val="28"/>
          <w:szCs w:val="28"/>
        </w:rPr>
        <w:t>sākotnējās ietekmes novērtējuma ziņojums</w:t>
      </w:r>
      <w:r w:rsidR="008D50B2">
        <w:rPr>
          <w:b/>
          <w:sz w:val="28"/>
          <w:szCs w:val="28"/>
        </w:rPr>
        <w:t xml:space="preserve"> </w:t>
      </w:r>
      <w:r w:rsidR="00A72338" w:rsidRPr="00E20AE9">
        <w:rPr>
          <w:b/>
          <w:sz w:val="28"/>
          <w:szCs w:val="28"/>
        </w:rPr>
        <w:t>(anotācija)</w:t>
      </w:r>
    </w:p>
    <w:p w:rsidR="00B13F7C" w:rsidRDefault="00B13F7C" w:rsidP="00A72338">
      <w:pPr>
        <w:pStyle w:val="naislab"/>
        <w:spacing w:before="0" w:after="0"/>
        <w:jc w:val="center"/>
        <w:outlineLvl w:val="0"/>
        <w:rPr>
          <w:b/>
          <w:sz w:val="28"/>
          <w:szCs w:val="28"/>
        </w:rPr>
      </w:pPr>
    </w:p>
    <w:p w:rsidR="004729AF" w:rsidRPr="00E20AE9" w:rsidRDefault="004729AF" w:rsidP="00A72338">
      <w:pPr>
        <w:pStyle w:val="naislab"/>
        <w:spacing w:before="0" w:after="0"/>
        <w:jc w:val="center"/>
        <w:outlineLvl w:val="0"/>
        <w:rPr>
          <w:b/>
          <w:sz w:val="28"/>
          <w:szCs w:val="28"/>
        </w:rPr>
      </w:pP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85"/>
        <w:gridCol w:w="1435"/>
        <w:gridCol w:w="7560"/>
      </w:tblGrid>
      <w:tr w:rsidR="00852042" w:rsidRPr="002746DC">
        <w:tc>
          <w:tcPr>
            <w:tcW w:w="9480" w:type="dxa"/>
            <w:gridSpan w:val="3"/>
            <w:vAlign w:val="center"/>
          </w:tcPr>
          <w:p w:rsidR="00852042" w:rsidRPr="002862D0" w:rsidRDefault="00852042" w:rsidP="006C4607">
            <w:pPr>
              <w:pStyle w:val="naisnod"/>
              <w:spacing w:before="0" w:after="0"/>
              <w:rPr>
                <w:sz w:val="26"/>
                <w:szCs w:val="26"/>
              </w:rPr>
            </w:pPr>
            <w:r w:rsidRPr="002862D0">
              <w:rPr>
                <w:sz w:val="26"/>
                <w:szCs w:val="26"/>
              </w:rPr>
              <w:t>I</w:t>
            </w:r>
            <w:r w:rsidR="000941C5" w:rsidRPr="002862D0">
              <w:rPr>
                <w:sz w:val="26"/>
                <w:szCs w:val="26"/>
              </w:rPr>
              <w:t>.</w:t>
            </w:r>
            <w:r w:rsidRPr="002862D0">
              <w:rPr>
                <w:sz w:val="26"/>
                <w:szCs w:val="26"/>
              </w:rPr>
              <w:t xml:space="preserve"> Tiesību akta </w:t>
            </w:r>
            <w:r w:rsidR="002E3FF4" w:rsidRPr="002862D0">
              <w:rPr>
                <w:sz w:val="26"/>
                <w:szCs w:val="26"/>
              </w:rPr>
              <w:t xml:space="preserve">projekta </w:t>
            </w:r>
            <w:r w:rsidRPr="002862D0">
              <w:rPr>
                <w:sz w:val="26"/>
                <w:szCs w:val="26"/>
              </w:rPr>
              <w:t>izstrādes nepieciešamība</w:t>
            </w:r>
          </w:p>
        </w:tc>
      </w:tr>
      <w:tr w:rsidR="00262E2B" w:rsidRPr="002746DC">
        <w:trPr>
          <w:trHeight w:val="630"/>
        </w:trPr>
        <w:tc>
          <w:tcPr>
            <w:tcW w:w="485" w:type="dxa"/>
          </w:tcPr>
          <w:p w:rsidR="00262E2B" w:rsidRPr="002862D0" w:rsidRDefault="00262E2B" w:rsidP="006C4607">
            <w:pPr>
              <w:pStyle w:val="naiskr"/>
              <w:spacing w:before="0" w:after="0"/>
            </w:pPr>
            <w:r w:rsidRPr="002862D0">
              <w:t>1.</w:t>
            </w:r>
          </w:p>
        </w:tc>
        <w:tc>
          <w:tcPr>
            <w:tcW w:w="1435" w:type="dxa"/>
          </w:tcPr>
          <w:p w:rsidR="00262E2B" w:rsidRPr="002862D0" w:rsidRDefault="002D7F54" w:rsidP="006C4607">
            <w:pPr>
              <w:pStyle w:val="naiskr"/>
              <w:spacing w:before="0" w:after="0"/>
              <w:ind w:hanging="10"/>
            </w:pPr>
            <w:r w:rsidRPr="002862D0">
              <w:t>Pamatojums</w:t>
            </w:r>
          </w:p>
        </w:tc>
        <w:tc>
          <w:tcPr>
            <w:tcW w:w="7560" w:type="dxa"/>
          </w:tcPr>
          <w:p w:rsidR="000A0BF8" w:rsidRDefault="000A0BF8" w:rsidP="000A0BF8">
            <w:pPr>
              <w:pStyle w:val="naiskr"/>
              <w:spacing w:before="0" w:after="0"/>
              <w:ind w:left="70" w:hanging="5"/>
              <w:jc w:val="both"/>
            </w:pPr>
            <w:r>
              <w:t xml:space="preserve">2011.gada 19.oktobrī Ministru kabineta atbalstīts Tieslietu ministrija izstrādātais likumprojekts </w:t>
            </w:r>
            <w:r w:rsidRPr="00077E4A">
              <w:t>"Grozījumi Latvijas Administratīvo pārkāpumu kodeksā"</w:t>
            </w:r>
            <w:r>
              <w:t xml:space="preserve"> (</w:t>
            </w:r>
            <w:r w:rsidRPr="008879C2">
              <w:t>TA-2352</w:t>
            </w:r>
            <w:r>
              <w:t xml:space="preserve">) paredz ar </w:t>
            </w:r>
            <w:r w:rsidRPr="00875D39">
              <w:t>2012. gada 1.</w:t>
            </w:r>
            <w:r w:rsidR="00A74BF8">
              <w:t>jūliju</w:t>
            </w:r>
            <w:r>
              <w:t xml:space="preserve"> nodrošināt</w:t>
            </w:r>
            <w:r w:rsidRPr="00077E4A">
              <w:t xml:space="preserve"> vispārējās jurisdikcijas tiesām iespēju skatīt administratīvo pārkāpumu lietas, piemērojot tikai </w:t>
            </w:r>
            <w:r>
              <w:t xml:space="preserve">Latvijas Administratīvo pārkāpumu kodeksā </w:t>
            </w:r>
            <w:r w:rsidR="008D5861">
              <w:t xml:space="preserve">(turpmāk –LAPK) </w:t>
            </w:r>
            <w:r w:rsidRPr="00077E4A">
              <w:t>paredzēto regulējumu</w:t>
            </w:r>
            <w:r>
              <w:t xml:space="preserve">. </w:t>
            </w:r>
          </w:p>
          <w:p w:rsidR="00262E2B" w:rsidRDefault="0042326E" w:rsidP="006B2DC9">
            <w:pPr>
              <w:pStyle w:val="naiskr"/>
              <w:spacing w:before="0" w:after="0"/>
              <w:ind w:left="70" w:hanging="5"/>
              <w:jc w:val="both"/>
            </w:pPr>
            <w:r>
              <w:t xml:space="preserve">Efektīvai </w:t>
            </w:r>
            <w:r w:rsidR="00EB6230">
              <w:t>Patērētāju tiesību aizsardzības centra (turpmāk –</w:t>
            </w:r>
            <w:r w:rsidR="00A164B1">
              <w:t xml:space="preserve"> </w:t>
            </w:r>
            <w:r w:rsidRPr="00EB6230">
              <w:t>PTAC</w:t>
            </w:r>
            <w:r w:rsidR="00EB6230" w:rsidRPr="00EB6230">
              <w:t>)</w:t>
            </w:r>
            <w:r w:rsidR="00EB6230">
              <w:t xml:space="preserve"> un Konkurences padomes (turpmāk –</w:t>
            </w:r>
            <w:r w:rsidR="00A164B1">
              <w:t xml:space="preserve"> </w:t>
            </w:r>
            <w:r w:rsidR="00EB6230">
              <w:t>KP)</w:t>
            </w:r>
            <w:r>
              <w:t xml:space="preserve"> funkciju turpmākai īstenošanai nepieciešams, lai </w:t>
            </w:r>
            <w:r w:rsidR="006130EB">
              <w:t xml:space="preserve"> iespējamie pārkāpumi reklāmas jomā </w:t>
            </w:r>
            <w:r>
              <w:t xml:space="preserve">tiktu izskatīti Administratīvā procesa likumā noteiktajā kārtībā saskaņā ar speciālo regulējumu, kas tiks noteikts </w:t>
            </w:r>
            <w:r w:rsidR="0067324D">
              <w:t>Reklāmas likumā (turpmāk- Likums)</w:t>
            </w:r>
            <w:r>
              <w:t>.</w:t>
            </w:r>
            <w:r w:rsidR="000A0BF8" w:rsidRPr="0052531F">
              <w:t xml:space="preserve"> MK sēdes protokollēmumā Ekonomikas ministrijai dots attiecīgs uzdevums. (19.10.2011. Prot.Nr.60</w:t>
            </w:r>
            <w:bookmarkStart w:id="2" w:name="62"/>
            <w:r w:rsidR="000A0BF8" w:rsidRPr="0052531F">
              <w:t>, 62</w:t>
            </w:r>
            <w:bookmarkEnd w:id="2"/>
            <w:r w:rsidR="000A0BF8" w:rsidRPr="0052531F">
              <w:t>.§)</w:t>
            </w:r>
          </w:p>
          <w:p w:rsidR="00B363D1" w:rsidRPr="00C0284E" w:rsidRDefault="00B363D1" w:rsidP="006B2DC9">
            <w:pPr>
              <w:pStyle w:val="naiskr"/>
              <w:spacing w:before="0" w:after="0"/>
              <w:ind w:left="70" w:hanging="5"/>
              <w:jc w:val="both"/>
            </w:pPr>
            <w:r w:rsidRPr="00752E02">
              <w:rPr>
                <w:b/>
              </w:rPr>
              <w:t xml:space="preserve">2012.gada 26.aprīlī Eiropas Komisija nosūtīja formālo paziņojumu </w:t>
            </w:r>
            <w:proofErr w:type="spellStart"/>
            <w:r w:rsidRPr="00752E02">
              <w:rPr>
                <w:b/>
              </w:rPr>
              <w:t>Nr.SGGereffe</w:t>
            </w:r>
            <w:proofErr w:type="spellEnd"/>
            <w:r w:rsidRPr="00752E02">
              <w:rPr>
                <w:b/>
              </w:rPr>
              <w:t>(2012)D/7625 lietā Nr.2011/2113 par Eiropas Parlamenta un  Padomes 2009.gada 23.aprīļa direktīvas 2009/22/EK par aizliegumiem saistībā ar patērētāju interešu aizsardzību, ar kuru atceļ un aizstāja Direktīvu 98/27/EK</w:t>
            </w:r>
            <w:r>
              <w:rPr>
                <w:b/>
              </w:rPr>
              <w:t xml:space="preserve"> (turpmāk – Direktīva) </w:t>
            </w:r>
            <w:r w:rsidRPr="00752E02">
              <w:rPr>
                <w:b/>
              </w:rPr>
              <w:t xml:space="preserve">pārkāpumu. Lai nodrošinātu Direktīvas pilnīgu transponēšanu, likumprojektu nepieciešams steidzami virzīt izskatīšanai Ministru kabinetā.  </w:t>
            </w:r>
          </w:p>
        </w:tc>
      </w:tr>
      <w:tr w:rsidR="008F14B7" w:rsidRPr="002746DC">
        <w:trPr>
          <w:trHeight w:val="472"/>
        </w:trPr>
        <w:tc>
          <w:tcPr>
            <w:tcW w:w="485" w:type="dxa"/>
          </w:tcPr>
          <w:p w:rsidR="008F14B7" w:rsidRPr="002862D0" w:rsidRDefault="008F14B7" w:rsidP="006C4607">
            <w:pPr>
              <w:pStyle w:val="naiskr"/>
              <w:spacing w:before="0" w:after="0"/>
            </w:pPr>
            <w:r w:rsidRPr="002862D0">
              <w:t>2.</w:t>
            </w:r>
          </w:p>
        </w:tc>
        <w:tc>
          <w:tcPr>
            <w:tcW w:w="1435" w:type="dxa"/>
          </w:tcPr>
          <w:p w:rsidR="008F14B7" w:rsidRPr="002862D0" w:rsidRDefault="008F14B7" w:rsidP="006C4607">
            <w:pPr>
              <w:pStyle w:val="naiskr"/>
              <w:tabs>
                <w:tab w:val="left" w:pos="170"/>
              </w:tabs>
              <w:spacing w:before="0" w:after="0"/>
            </w:pPr>
            <w:r w:rsidRPr="002862D0">
              <w:t>Pašreizējā situācija un problēmas</w:t>
            </w:r>
          </w:p>
        </w:tc>
        <w:tc>
          <w:tcPr>
            <w:tcW w:w="7560" w:type="dxa"/>
          </w:tcPr>
          <w:p w:rsidR="002B33E3" w:rsidRPr="00551A3A" w:rsidRDefault="002B33E3" w:rsidP="002B33E3">
            <w:pPr>
              <w:pStyle w:val="naiskr"/>
              <w:spacing w:before="40" w:after="0"/>
              <w:ind w:right="140"/>
              <w:jc w:val="both"/>
              <w:rPr>
                <w:u w:val="single"/>
              </w:rPr>
            </w:pPr>
            <w:r w:rsidRPr="00551A3A">
              <w:rPr>
                <w:u w:val="single"/>
              </w:rPr>
              <w:t xml:space="preserve">Kā būtiskākās problēmas </w:t>
            </w:r>
            <w:r w:rsidR="0067324D">
              <w:rPr>
                <w:u w:val="single"/>
              </w:rPr>
              <w:t xml:space="preserve">pašreiz spēkā esošajā regulējumā </w:t>
            </w:r>
            <w:r w:rsidRPr="00551A3A">
              <w:rPr>
                <w:u w:val="single"/>
              </w:rPr>
              <w:t>būtu minamas:</w:t>
            </w:r>
          </w:p>
          <w:p w:rsidR="002B33E3" w:rsidRDefault="002B33E3" w:rsidP="002B33E3">
            <w:pPr>
              <w:pStyle w:val="naiskr"/>
              <w:numPr>
                <w:ilvl w:val="0"/>
                <w:numId w:val="30"/>
              </w:numPr>
              <w:spacing w:before="40" w:after="0"/>
              <w:ind w:left="779" w:right="140" w:hanging="426"/>
              <w:jc w:val="both"/>
            </w:pPr>
            <w:r>
              <w:t xml:space="preserve">Uzraudzības iestāde ir spiesta vērtēt un izmeklēt pēc būtības ikvienu iesniegumu par iespējamu reklāmas noteikumu pārkāpumu, t.sk. maznozīmīgu, tādējādi nelietderīgi tiek tērēti iestādes resursi. </w:t>
            </w:r>
          </w:p>
          <w:p w:rsidR="002B33E3" w:rsidRDefault="002B33E3" w:rsidP="002B33E3">
            <w:pPr>
              <w:jc w:val="both"/>
            </w:pPr>
            <w:r w:rsidRPr="00A961A8">
              <w:t>Likumā</w:t>
            </w:r>
            <w:r>
              <w:t xml:space="preserve"> nepieciešami grozījumi, lai optimizētu un atvieglotu uzraudzības iestāžu darbu saistībā ar reklāmas atbilstības normatīvo aktu prasībām izvērtēšanu, lai tās rīkotos atbilstoši iestādes noteiktajām uzraudzības prioritātēm pēc savas iniciatīvas.</w:t>
            </w:r>
          </w:p>
          <w:p w:rsidR="0067324D" w:rsidRDefault="0067324D" w:rsidP="0067324D">
            <w:pPr>
              <w:jc w:val="both"/>
            </w:pPr>
            <w:r w:rsidRPr="0043226E">
              <w:t>Personas</w:t>
            </w:r>
            <w:r w:rsidRPr="007371D8">
              <w:t xml:space="preserve"> iesniegums vai citas iestādes sniegta informācija p</w:t>
            </w:r>
            <w:r>
              <w:t>ar iespējamu reklāmas pārkāpumu</w:t>
            </w:r>
            <w:r w:rsidRPr="007371D8">
              <w:t xml:space="preserve"> kalpo tikai kā informācijas avots normatīvajos aktos noteikto pasākumu veikšanai, lai novērstu iespējamu pārkāpumu. Uzraudzības iestāde, veicot uzraudzības darbības, darbojas, lai sasniegtu </w:t>
            </w:r>
            <w:r>
              <w:t>L</w:t>
            </w:r>
            <w:r w:rsidRPr="007371D8">
              <w:t xml:space="preserve">ikuma 2.pantā noteikto likuma mērķi, nevis lai lemtu par konkrētai personai iespējamu nodarītu kaitējumu. Līdz ar to iestādes veiktās darbības reklāmas uzraudzības jomā nevar tiešā veidā ietekmēt konkrētās personas tiesiskās situācijas atrisinājumu. </w:t>
            </w:r>
            <w:r>
              <w:t>Tomēr uzraudzības iestāde arī turpmāk izvērtēs katru iesniegumu par iespējamo pārkāpumu un informēs komersantu par attiecīgas lietas izskatīšanas rezultātu.</w:t>
            </w:r>
          </w:p>
          <w:p w:rsidR="00B363D1" w:rsidRDefault="00B363D1" w:rsidP="0067324D">
            <w:pPr>
              <w:jc w:val="both"/>
            </w:pPr>
            <w:r w:rsidRPr="006F4FF7">
              <w:rPr>
                <w:b/>
              </w:rPr>
              <w:t xml:space="preserve">2012.gada 26.aprīlī Eiropas Komisija nosūtīja formālo paziņojumu </w:t>
            </w:r>
            <w:proofErr w:type="spellStart"/>
            <w:r w:rsidRPr="006F4FF7">
              <w:rPr>
                <w:b/>
              </w:rPr>
              <w:t>Nr.SGGereffe</w:t>
            </w:r>
            <w:proofErr w:type="spellEnd"/>
            <w:r w:rsidRPr="006F4FF7">
              <w:rPr>
                <w:b/>
              </w:rPr>
              <w:t xml:space="preserve">(2012)D/7625 lietā Nr.2011/2113 par </w:t>
            </w:r>
            <w:r>
              <w:rPr>
                <w:b/>
              </w:rPr>
              <w:t>D</w:t>
            </w:r>
            <w:r w:rsidRPr="006F4FF7">
              <w:rPr>
                <w:b/>
              </w:rPr>
              <w:t>irektīvas pārkāpumu.</w:t>
            </w:r>
            <w:r w:rsidRPr="00D353C6">
              <w:t xml:space="preserve"> </w:t>
            </w:r>
            <w:r>
              <w:t xml:space="preserve">Komisija uzskata, ka Latvija nav pilnībā ieviesusi Direktīvas 2.panta 1.punktu un 4.panta 1.punktu, kas lasāmi saistībā ar Direktīvas 1.panta 2.punktu un I pielikuma 3. un 9.punktu. Lai nodrošinātu Nacionālās elektronisko plašsaziņas līdzekļu padomei un Veselības inspekcijai tiesības veikt darbības, kuru mērķis ir aizsargāt patērētāju kolektīvās intereses, kas ir </w:t>
            </w:r>
            <w:r>
              <w:lastRenderedPageBreak/>
              <w:t xml:space="preserve">paredzētas valsts tiesību aktos, pamatojoties uz tādas Eiropas Savienības iestādei iesniegumu, kura ir iekļauta Direktīvas I pielikumā minēto direktīvu sarakstā, nepieciešams steidzami virzīt grozījumus NKAL un Reklāmas likumā </w:t>
            </w:r>
            <w:r w:rsidRPr="00D353C6">
              <w:t xml:space="preserve"> izskatīšanai Ministru kabinetā.</w:t>
            </w:r>
          </w:p>
          <w:p w:rsidR="002B33E3" w:rsidRPr="00B65FE2" w:rsidRDefault="002B33E3" w:rsidP="002B33E3">
            <w:pPr>
              <w:jc w:val="both"/>
            </w:pPr>
            <w:r>
              <w:t>U</w:t>
            </w:r>
            <w:r w:rsidRPr="00B65FE2">
              <w:t xml:space="preserve">zraudzības iestādei ir uzlikts pienākums izvērtēt reklāmas neatbilstību normatīvo aktu prasībām 20 dienu laikā no personas iesnieguma vai citas iestādes sniegtās informācijas saņemšanas dienas vai no dienas, kad tā pēc savas iniciatīvas uzsākusi izvērtēt reklāmas atbilstību normatīvo aktu prasībām, kā arī dotas tiesības nepieciešamības gadījumā pagarināt šo termiņu līdz četriem mēnešiem no attiecīgā brīža, par to paziņojot attiecīgajai personai/iestādei. </w:t>
            </w:r>
            <w:r>
              <w:t>L</w:t>
            </w:r>
            <w:r w:rsidRPr="00B65FE2">
              <w:t>ikuma 14.panta otrajā daļā noteikto termiņu ievērošana reklāmas izvērtēšanā nav iespējama, ņemot vērā reklām</w:t>
            </w:r>
            <w:r>
              <w:t>as</w:t>
            </w:r>
            <w:r w:rsidRPr="00B65FE2">
              <w:t xml:space="preserve"> raksturu, būtību, </w:t>
            </w:r>
            <w:r>
              <w:t>saturu, jo reklāmas izvērtēšana</w:t>
            </w:r>
            <w:r w:rsidRPr="00B65FE2">
              <w:t xml:space="preserve"> prasa papildu darbību veikšanu, piemēram, </w:t>
            </w:r>
            <w:r>
              <w:t>informācijas, paskaidrojumu</w:t>
            </w:r>
            <w:r w:rsidRPr="00B65FE2">
              <w:t>, pierādījumu</w:t>
            </w:r>
            <w:r>
              <w:t xml:space="preserve">, atzinumu </w:t>
            </w:r>
            <w:r w:rsidRPr="00B65FE2">
              <w:t xml:space="preserve">no reklāmas devējiem, reklāmas izplatītājiem, kompetentajām iestādēm </w:t>
            </w:r>
            <w:r>
              <w:t>vākšan</w:t>
            </w:r>
            <w:r w:rsidR="0067324D">
              <w:t>u</w:t>
            </w:r>
            <w:r>
              <w:t xml:space="preserve"> un analīz</w:t>
            </w:r>
            <w:r w:rsidR="0067324D">
              <w:t>i</w:t>
            </w:r>
            <w:r w:rsidRPr="00B65FE2">
              <w:t>. Turklāt šāda norma ir pretrunā ar jaunākām N</w:t>
            </w:r>
            <w:r w:rsidR="0067324D">
              <w:t>egodīgas komercprakses aizlieguma likumā</w:t>
            </w:r>
            <w:r w:rsidRPr="00B65FE2">
              <w:t xml:space="preserve"> ietvertajām tiesību normām, kas cita starpā regulē uzraudzības iestādes darbības, izvērtējot reklāmu kā vienu no komercprakses izpausmes veidiem, un kas neparedz noteiktus termiņus komercprakses izvērtēšanai. Turklāt jāņem vērā, ka 14.panta otr</w:t>
            </w:r>
            <w:r>
              <w:t>ā daļa</w:t>
            </w:r>
            <w:r w:rsidRPr="00B65FE2">
              <w:t xml:space="preserve"> ietverta Likumā laikā, kad vēl nebija spēkā stājies Administratīvā procesa likums</w:t>
            </w:r>
            <w:r w:rsidR="0067324D">
              <w:t xml:space="preserve"> un Likumā nebija noteikta pagaidu noregulējuma procedūra</w:t>
            </w:r>
            <w:r w:rsidRPr="00B65FE2">
              <w:t>.</w:t>
            </w:r>
          </w:p>
          <w:p w:rsidR="002B33E3" w:rsidRDefault="002B33E3" w:rsidP="002B33E3">
            <w:pPr>
              <w:pStyle w:val="naiskr"/>
              <w:numPr>
                <w:ilvl w:val="0"/>
                <w:numId w:val="30"/>
              </w:numPr>
              <w:spacing w:before="40" w:after="0"/>
              <w:ind w:right="140"/>
              <w:jc w:val="both"/>
            </w:pPr>
            <w:r>
              <w:t>Administratīvo pārkāpumu lietās plānotais regulējums nav piemērojams attiecībā uz pārkāpumiem reklāmas jomā.</w:t>
            </w:r>
          </w:p>
          <w:p w:rsidR="002B33E3" w:rsidRDefault="0067324D" w:rsidP="002B33E3">
            <w:pPr>
              <w:pStyle w:val="naiskr"/>
              <w:spacing w:before="40" w:after="0"/>
              <w:ind w:right="140"/>
              <w:jc w:val="both"/>
            </w:pPr>
            <w:r w:rsidRPr="0037309A">
              <w:t>2011</w:t>
            </w:r>
            <w:r>
              <w:t xml:space="preserve">.gada 19.oktobrī Ministru kabinetā tika atbalstīts likumprojekts </w:t>
            </w:r>
            <w:r w:rsidR="002B33E3" w:rsidRPr="00077E4A">
              <w:t>"Grozījumi Latvijas Administratīvo pārkāpumu kodeksā"</w:t>
            </w:r>
            <w:r w:rsidR="002B33E3">
              <w:t xml:space="preserve">, kura </w:t>
            </w:r>
            <w:r w:rsidR="002B33E3" w:rsidRPr="00077E4A">
              <w:t>mērķis ir izstrādāt procesuālo regulējumu, kas nodrošinātu vispārējās jurisdikcijas tiesām iespēju skatīt administratīvo pārkāpumu lietas, piemērojot tikai LAPK paredzēto regulējumu,</w:t>
            </w:r>
            <w:r w:rsidR="002B33E3">
              <w:t xml:space="preserve"> no 2012. gada 1.</w:t>
            </w:r>
            <w:r w:rsidR="00A74BF8">
              <w:t>jūlija</w:t>
            </w:r>
            <w:r w:rsidR="002B33E3" w:rsidRPr="00875D39">
              <w:t>,</w:t>
            </w:r>
            <w:r w:rsidR="002B33E3" w:rsidRPr="00077E4A">
              <w:t xml:space="preserve"> kā arī ievērojot pieeju, kas ir ietverta kriminālprocesuālajos principos.</w:t>
            </w:r>
            <w:r w:rsidR="002B33E3">
              <w:t xml:space="preserve"> </w:t>
            </w:r>
          </w:p>
          <w:p w:rsidR="002B33E3" w:rsidRDefault="002B33E3" w:rsidP="002B33E3">
            <w:pPr>
              <w:pStyle w:val="naiskr"/>
              <w:spacing w:before="40" w:after="0"/>
              <w:ind w:right="140"/>
              <w:jc w:val="both"/>
            </w:pPr>
            <w:r>
              <w:t xml:space="preserve">Efektīvai </w:t>
            </w:r>
            <w:r w:rsidRPr="00BF0A75">
              <w:t>PTAC</w:t>
            </w:r>
            <w:r>
              <w:t xml:space="preserve"> </w:t>
            </w:r>
            <w:r w:rsidR="00BF0A75">
              <w:t xml:space="preserve">un KP </w:t>
            </w:r>
            <w:r>
              <w:t xml:space="preserve">funkciju turpmākai īstenošanai nepieciešams, lai iespējamie pārkāpumi reklāmas jomā tiktu izskatīti Administratīvā procesa likumā noteiktajā kārtībā saskaņā ar speciālo regulējumu, kas tiks noteikts Likumā. Nepieciešams papildināt Likumu ar regulējumu par </w:t>
            </w:r>
            <w:r w:rsidR="00E0593C">
              <w:t xml:space="preserve">naudas </w:t>
            </w:r>
            <w:r>
              <w:t xml:space="preserve">soda piemērošanu un īpašiem noteikumiem piespiedu </w:t>
            </w:r>
            <w:r w:rsidRPr="007E3C21">
              <w:t>izpildei</w:t>
            </w:r>
            <w:r>
              <w:t xml:space="preserve">. </w:t>
            </w:r>
          </w:p>
          <w:p w:rsidR="002B33E3" w:rsidRDefault="002B33E3" w:rsidP="002B33E3">
            <w:pPr>
              <w:numPr>
                <w:ilvl w:val="0"/>
                <w:numId w:val="30"/>
              </w:numPr>
              <w:jc w:val="both"/>
              <w:rPr>
                <w:szCs w:val="26"/>
              </w:rPr>
            </w:pPr>
            <w:r>
              <w:rPr>
                <w:szCs w:val="26"/>
              </w:rPr>
              <w:t xml:space="preserve">Nepieciešams paredzēt jaunus </w:t>
            </w:r>
            <w:r w:rsidRPr="006B619C">
              <w:rPr>
                <w:szCs w:val="26"/>
              </w:rPr>
              <w:t xml:space="preserve">noteikumus attiecībā uz </w:t>
            </w:r>
            <w:r>
              <w:rPr>
                <w:szCs w:val="26"/>
              </w:rPr>
              <w:t xml:space="preserve">komersanta </w:t>
            </w:r>
            <w:r w:rsidRPr="006B619C">
              <w:rPr>
                <w:szCs w:val="26"/>
              </w:rPr>
              <w:t>labprātīg</w:t>
            </w:r>
            <w:r>
              <w:rPr>
                <w:szCs w:val="26"/>
              </w:rPr>
              <w:t>ajām</w:t>
            </w:r>
            <w:r w:rsidRPr="006B619C">
              <w:rPr>
                <w:szCs w:val="26"/>
              </w:rPr>
              <w:t xml:space="preserve"> darbīb</w:t>
            </w:r>
            <w:r>
              <w:rPr>
                <w:szCs w:val="26"/>
              </w:rPr>
              <w:t>ām, kas vērstas uz pārkāpumu novēršanu, veikšanu un pārkāpumu turpmāku nepieļaušanu.</w:t>
            </w:r>
          </w:p>
          <w:p w:rsidR="002B33E3" w:rsidRPr="00210DCE" w:rsidRDefault="002B33E3" w:rsidP="002B33E3">
            <w:pPr>
              <w:jc w:val="both"/>
            </w:pPr>
            <w:r>
              <w:t>L</w:t>
            </w:r>
            <w:r w:rsidRPr="00210DCE">
              <w:t>ikum</w:t>
            </w:r>
            <w:r>
              <w:t>s</w:t>
            </w:r>
            <w:r w:rsidRPr="00210DCE">
              <w:t xml:space="preserve"> nosaka pienākumu uzraudzības iestādei, konstatējot reklāmas neatbilstību normatīvo aktu prasībām, pieņemt kādu no </w:t>
            </w:r>
            <w:r>
              <w:t>L</w:t>
            </w:r>
            <w:r w:rsidRPr="00210DCE">
              <w:t>ikuma 15.panta ceturtajā daļā minētajiem lēmumiem, kas ir pretrunā ar Likuma 15.panta treš</w:t>
            </w:r>
            <w:r>
              <w:t>o</w:t>
            </w:r>
            <w:r w:rsidRPr="00210DCE">
              <w:t xml:space="preserve"> daļ</w:t>
            </w:r>
            <w:r>
              <w:t>u, kas</w:t>
            </w:r>
            <w:r w:rsidRPr="00210DCE">
              <w:t xml:space="preserve"> paredz iestādes tiesības veikt arī citas darbības, konstatējot reklāmas neatbilstību normatīvo aktu noteikumiem, proti, tiesības ierosināt, lai noteiktā termiņā tiktu nodrošināta reklāmas atbilstība normatīvo aktu prasībām vai iesniegta rakstveida apņemšanās noteiktā termiņ</w:t>
            </w:r>
            <w:r>
              <w:t>ā novērst konstatēto pārkāpumu</w:t>
            </w:r>
            <w:r w:rsidRPr="00210DCE">
              <w:t xml:space="preserve">, </w:t>
            </w:r>
            <w:r>
              <w:t>un</w:t>
            </w:r>
            <w:r w:rsidRPr="00210DCE">
              <w:t xml:space="preserve"> Likuma 15.panta ceturt</w:t>
            </w:r>
            <w:r>
              <w:t>o</w:t>
            </w:r>
            <w:r w:rsidRPr="00210DCE">
              <w:t xml:space="preserve"> daļ</w:t>
            </w:r>
            <w:r>
              <w:t>u, saskaņā ar kuru</w:t>
            </w:r>
            <w:r w:rsidRPr="00210DCE">
              <w:t xml:space="preserve"> uzraudzības iestādei ir piešķirtas tiesības (nevis uzlikts pienākums) pieņemt attiecīgu lēmumu.</w:t>
            </w:r>
          </w:p>
          <w:p w:rsidR="002B33E3" w:rsidRDefault="002B33E3" w:rsidP="002B33E3">
            <w:pPr>
              <w:jc w:val="both"/>
            </w:pPr>
            <w:r>
              <w:t xml:space="preserve">Pašreizēja Likuma 15.panta trešās daļas redakcija paredz, ka uzraudzības iestāde ir tiesīga ierosināt, lai reklāmas devējs, reklāmas izgatavotājs vai </w:t>
            </w:r>
            <w:r>
              <w:lastRenderedPageBreak/>
              <w:t xml:space="preserve">izplatītājs nodrošina reklāmas atbilstību normatīvo aktu prasībām un/vai rakstveidā </w:t>
            </w:r>
            <w:r w:rsidR="004632EF">
              <w:t>apņemas</w:t>
            </w:r>
            <w:r>
              <w:t xml:space="preserve"> novērst konstatēto pārkāpumu, tomēr nav atrunātas uzraudzības iestādes darbības gadījumā, kad pārkāpums vairs nav novēršams, tādējādi liedzot veikt preventīvus pasākumus. </w:t>
            </w:r>
          </w:p>
          <w:p w:rsidR="002B33E3" w:rsidRPr="002C56B8" w:rsidRDefault="002B33E3" w:rsidP="002B33E3">
            <w:pPr>
              <w:jc w:val="both"/>
            </w:pPr>
            <w:r>
              <w:t>Likums neparedz uzraudzības iestādei tiesības noteikt termiņu lēmumu</w:t>
            </w:r>
            <w:r w:rsidR="00D03013">
              <w:t xml:space="preserve"> izpildei</w:t>
            </w:r>
            <w:r>
              <w:t xml:space="preserve">, ar kuru uzlikts par pienākumu sniegt papildu informāciju, pieprasīts izslēgt no reklāmas atsevišķus elementus, aizliegts izplatīt reklāmu </w:t>
            </w:r>
            <w:r w:rsidR="00D03013">
              <w:t>vai pieprasīts reklāmu atsaukt. Tāpat</w:t>
            </w:r>
            <w:r>
              <w:t xml:space="preserve"> Likum</w:t>
            </w:r>
            <w:r w:rsidR="00D03013">
              <w:t>s neparedz</w:t>
            </w:r>
            <w:r>
              <w:t xml:space="preserve"> pārkāpējam pienākumu informēt uzraudzības iestādi par noteikto darbību izpildi.</w:t>
            </w:r>
          </w:p>
          <w:p w:rsidR="002B33E3" w:rsidRDefault="007B13CC" w:rsidP="00AD2037">
            <w:pPr>
              <w:jc w:val="both"/>
              <w:rPr>
                <w:szCs w:val="26"/>
              </w:rPr>
            </w:pPr>
            <w:r>
              <w:rPr>
                <w:szCs w:val="26"/>
              </w:rPr>
              <w:t xml:space="preserve">Papildus nepieciešams paredzēt jaunus </w:t>
            </w:r>
            <w:r w:rsidRPr="006B619C">
              <w:rPr>
                <w:szCs w:val="26"/>
              </w:rPr>
              <w:t xml:space="preserve">noteikumus attiecībā uz </w:t>
            </w:r>
            <w:r>
              <w:rPr>
                <w:szCs w:val="26"/>
              </w:rPr>
              <w:t xml:space="preserve">komersanta </w:t>
            </w:r>
            <w:r w:rsidRPr="006B619C">
              <w:rPr>
                <w:szCs w:val="26"/>
              </w:rPr>
              <w:t>labprātīg</w:t>
            </w:r>
            <w:r>
              <w:rPr>
                <w:szCs w:val="26"/>
              </w:rPr>
              <w:t>ajām</w:t>
            </w:r>
            <w:r w:rsidRPr="006B619C">
              <w:rPr>
                <w:szCs w:val="26"/>
              </w:rPr>
              <w:t xml:space="preserve"> darbīb</w:t>
            </w:r>
            <w:r>
              <w:rPr>
                <w:szCs w:val="26"/>
              </w:rPr>
              <w:t xml:space="preserve">ām, kas vērstas uz pārkāpumu novēršanu, veikšanu un pārkāpumu turpmāku nepieļaušanu: 1) paredzot uzraudzības iestādes tiesības pieņemt lēmumu par lietas izbeigšanu, izsakot aicinājumu </w:t>
            </w:r>
            <w:r w:rsidRPr="000731D5">
              <w:rPr>
                <w:szCs w:val="26"/>
              </w:rPr>
              <w:t>reklāmas devēj</w:t>
            </w:r>
            <w:r>
              <w:rPr>
                <w:szCs w:val="26"/>
              </w:rPr>
              <w:t>am</w:t>
            </w:r>
            <w:r w:rsidRPr="000731D5">
              <w:rPr>
                <w:szCs w:val="26"/>
              </w:rPr>
              <w:t>, reklāmas izgatavotāj</w:t>
            </w:r>
            <w:r>
              <w:rPr>
                <w:szCs w:val="26"/>
              </w:rPr>
              <w:t>am</w:t>
            </w:r>
            <w:r w:rsidRPr="000731D5">
              <w:rPr>
                <w:szCs w:val="26"/>
              </w:rPr>
              <w:t xml:space="preserve"> vai reklāmas izplatītāj</w:t>
            </w:r>
            <w:r>
              <w:rPr>
                <w:szCs w:val="26"/>
              </w:rPr>
              <w:t>am turpmāk savā darbībā nodrošināt reklāmas atbilstību normatīvo aktu prasībām; 2) paredzot rakstveida apņemšanās par pārkāpumu novēršanu iespējamo saturu, pārkāpumu novēršanas termiņu, kā arī noteikumu, ka rakstveida apņemšanos saskaņo ar uzraudzības iestādi (iestādes apstiprinājums uzskatāms par rakstveida apņemšanās saņemšanas brīdi).</w:t>
            </w:r>
          </w:p>
          <w:p w:rsidR="00665887" w:rsidRDefault="00665887" w:rsidP="00AD2037">
            <w:pPr>
              <w:jc w:val="both"/>
            </w:pPr>
            <w:r w:rsidRPr="00FB12D5">
              <w:t>Saskaņā ar Administratīvā procesa likuma 370.panta pirmās daļas noteikumiem, ja administratīvais akts uzliek adresātam pienā</w:t>
            </w:r>
            <w:r w:rsidR="008D5861">
              <w:t xml:space="preserve">kumu izpildīt noteiktu darbību </w:t>
            </w:r>
            <w:r w:rsidRPr="00FB12D5">
              <w:t>v</w:t>
            </w:r>
            <w:r w:rsidR="008D5861">
              <w:t>a</w:t>
            </w:r>
            <w:r w:rsidRPr="00FB12D5">
              <w:t>i atturēties no tās un viņš šo pienākumu nepilda, adresātam var uzlikt piespiedu naudu. 370.panta trešā daļa paredz piespiedu naudas maksimālo apmēru – 1000 latu, kas nav pietiekams un tāds, kas motivētu novērst pārkāpumu</w:t>
            </w:r>
            <w:r>
              <w:t xml:space="preserve"> reklāmas jomā</w:t>
            </w:r>
            <w:r w:rsidRPr="00FB12D5">
              <w:t>.</w:t>
            </w:r>
          </w:p>
          <w:p w:rsidR="002B33E3" w:rsidRDefault="002B33E3" w:rsidP="002B33E3">
            <w:pPr>
              <w:jc w:val="both"/>
            </w:pPr>
            <w:r>
              <w:t>P</w:t>
            </w:r>
            <w:r w:rsidRPr="007E3C7C">
              <w:t xml:space="preserve">rasības attiecībā uz patērētājiem adresētu maldinošu un salīdzinošu reklāmu ir paredzētas gan </w:t>
            </w:r>
            <w:r>
              <w:t>Likumā</w:t>
            </w:r>
            <w:r w:rsidRPr="007E3C7C">
              <w:t>, gan Negodīgas komercprakses aizlieguma likumā</w:t>
            </w:r>
            <w:r>
              <w:t xml:space="preserve"> (turpmāk – NKAL)</w:t>
            </w:r>
            <w:r w:rsidRPr="007E3C7C">
              <w:t xml:space="preserve">. Šāds „dubultais” tiesiskais regulējums </w:t>
            </w:r>
            <w:r w:rsidRPr="001D5788">
              <w:t>praksē rada neskaidrības</w:t>
            </w:r>
            <w:r w:rsidRPr="007E3C7C">
              <w:t xml:space="preserve"> attiecībā uz piemērojamo likumu. </w:t>
            </w:r>
          </w:p>
          <w:p w:rsidR="000731D5" w:rsidRPr="000731D5" w:rsidRDefault="00046A47" w:rsidP="00CB79DF">
            <w:pPr>
              <w:autoSpaceDE w:val="0"/>
              <w:autoSpaceDN w:val="0"/>
              <w:adjustRightInd w:val="0"/>
              <w:jc w:val="both"/>
              <w:rPr>
                <w:szCs w:val="26"/>
              </w:rPr>
            </w:pPr>
            <w:r>
              <w:t xml:space="preserve">2005.gada 11.maija </w:t>
            </w:r>
            <w:r w:rsidR="00280A37">
              <w:t xml:space="preserve">Eiropas parlamenta un Padomes </w:t>
            </w:r>
            <w:r w:rsidR="00592398" w:rsidRPr="007E3C7C">
              <w:t>Direktīvā 2005/2</w:t>
            </w:r>
            <w:r w:rsidR="0078198A">
              <w:t>9/EK</w:t>
            </w:r>
            <w:r w:rsidR="00280A37">
              <w:t>,</w:t>
            </w:r>
            <w:r w:rsidR="0078198A">
              <w:t xml:space="preserve"> </w:t>
            </w:r>
            <w:r w:rsidR="00280A37" w:rsidRPr="00280A37">
              <w:t>kas attiecas uz uz</w:t>
            </w:r>
            <w:r w:rsidR="00280A37" w:rsidRPr="00280A37">
              <w:rPr>
                <w:rFonts w:hint="eastAsia"/>
              </w:rPr>
              <w:t>ņē</w:t>
            </w:r>
            <w:r w:rsidR="00280A37" w:rsidRPr="00280A37">
              <w:t>m</w:t>
            </w:r>
            <w:r w:rsidR="00280A37" w:rsidRPr="00280A37">
              <w:rPr>
                <w:rFonts w:hint="eastAsia"/>
              </w:rPr>
              <w:t>ē</w:t>
            </w:r>
            <w:r w:rsidR="00280A37" w:rsidRPr="00280A37">
              <w:t>ju negod</w:t>
            </w:r>
            <w:r w:rsidR="00280A37" w:rsidRPr="00280A37">
              <w:rPr>
                <w:rFonts w:hint="eastAsia"/>
              </w:rPr>
              <w:t>ī</w:t>
            </w:r>
            <w:r w:rsidR="00280A37" w:rsidRPr="00280A37">
              <w:t>gu komercpraksi iek</w:t>
            </w:r>
            <w:r w:rsidR="00280A37" w:rsidRPr="00280A37">
              <w:rPr>
                <w:rFonts w:hint="eastAsia"/>
              </w:rPr>
              <w:t>šē</w:t>
            </w:r>
            <w:r w:rsidR="00280A37" w:rsidRPr="00280A37">
              <w:t>j</w:t>
            </w:r>
            <w:r w:rsidR="00280A37" w:rsidRPr="00280A37">
              <w:rPr>
                <w:rFonts w:hint="eastAsia"/>
              </w:rPr>
              <w:t>ā</w:t>
            </w:r>
            <w:r w:rsidR="00280A37" w:rsidRPr="00280A37">
              <w:t xml:space="preserve"> tirg</w:t>
            </w:r>
            <w:r w:rsidR="00280A37" w:rsidRPr="00280A37">
              <w:rPr>
                <w:rFonts w:hint="eastAsia"/>
              </w:rPr>
              <w:t>ū</w:t>
            </w:r>
            <w:r w:rsidR="00280A37" w:rsidRPr="00280A37">
              <w:t xml:space="preserve"> attiec</w:t>
            </w:r>
            <w:r w:rsidR="00280A37" w:rsidRPr="00280A37">
              <w:rPr>
                <w:rFonts w:hint="eastAsia"/>
              </w:rPr>
              <w:t>ī</w:t>
            </w:r>
            <w:r w:rsidR="00280A37" w:rsidRPr="00280A37">
              <w:t>b</w:t>
            </w:r>
            <w:r w:rsidR="00280A37" w:rsidRPr="00280A37">
              <w:rPr>
                <w:rFonts w:hint="eastAsia"/>
              </w:rPr>
              <w:t>ā</w:t>
            </w:r>
            <w:r w:rsidR="00280A37" w:rsidRPr="00280A37">
              <w:t xml:space="preserve"> pret pat</w:t>
            </w:r>
            <w:r w:rsidR="00280A37" w:rsidRPr="00280A37">
              <w:rPr>
                <w:rFonts w:hint="eastAsia"/>
              </w:rPr>
              <w:t>ē</w:t>
            </w:r>
            <w:r w:rsidR="00280A37" w:rsidRPr="00280A37">
              <w:t>r</w:t>
            </w:r>
            <w:r w:rsidR="00280A37" w:rsidRPr="00280A37">
              <w:rPr>
                <w:rFonts w:hint="eastAsia"/>
              </w:rPr>
              <w:t>ē</w:t>
            </w:r>
            <w:r w:rsidR="00280A37" w:rsidRPr="00280A37">
              <w:t>t</w:t>
            </w:r>
            <w:r w:rsidR="00280A37" w:rsidRPr="00280A37">
              <w:rPr>
                <w:rFonts w:hint="eastAsia"/>
              </w:rPr>
              <w:t>ā</w:t>
            </w:r>
            <w:r w:rsidR="00280A37" w:rsidRPr="00280A37">
              <w:t>jiem un ar ko</w:t>
            </w:r>
            <w:r>
              <w:t xml:space="preserve"> </w:t>
            </w:r>
            <w:r w:rsidR="00280A37" w:rsidRPr="00280A37">
              <w:t>groza Padomes Direkt</w:t>
            </w:r>
            <w:r w:rsidR="00280A37" w:rsidRPr="00280A37">
              <w:rPr>
                <w:rFonts w:hint="eastAsia"/>
              </w:rPr>
              <w:t>ī</w:t>
            </w:r>
            <w:r w:rsidR="00280A37" w:rsidRPr="00280A37">
              <w:t>vu 84/450/EEK un Eiropas Parlamenta un Padomes Direkt</w:t>
            </w:r>
            <w:r w:rsidR="00280A37" w:rsidRPr="00280A37">
              <w:rPr>
                <w:rFonts w:hint="eastAsia"/>
              </w:rPr>
              <w:t>ī</w:t>
            </w:r>
            <w:r w:rsidR="00280A37" w:rsidRPr="00280A37">
              <w:t>vas 97/7/EK,</w:t>
            </w:r>
            <w:r w:rsidR="00102E60">
              <w:t xml:space="preserve"> </w:t>
            </w:r>
            <w:r w:rsidR="00280A37" w:rsidRPr="00280A37">
              <w:t>98/27/EK un 2002/65/EK un Eiropas Parlamenta un Padomes Regulu (EK) Nr. 2006/2004</w:t>
            </w:r>
            <w:r w:rsidR="00102E60">
              <w:t xml:space="preserve"> </w:t>
            </w:r>
            <w:r w:rsidR="00280A37" w:rsidRPr="00280A37">
              <w:t>(</w:t>
            </w:r>
            <w:r w:rsidR="00102E60">
              <w:t xml:space="preserve">turpmāk - </w:t>
            </w:r>
            <w:r w:rsidR="00280A37" w:rsidRPr="00280A37">
              <w:t>Negod</w:t>
            </w:r>
            <w:r w:rsidR="00280A37" w:rsidRPr="00280A37">
              <w:rPr>
                <w:rFonts w:hint="eastAsia"/>
              </w:rPr>
              <w:t>ī</w:t>
            </w:r>
            <w:r w:rsidR="00280A37" w:rsidRPr="00280A37">
              <w:t>gas komercprakses direkt</w:t>
            </w:r>
            <w:r w:rsidR="00280A37" w:rsidRPr="00280A37">
              <w:rPr>
                <w:rFonts w:hint="eastAsia"/>
              </w:rPr>
              <w:t>ī</w:t>
            </w:r>
            <w:r w:rsidR="00280A37" w:rsidRPr="00280A37">
              <w:t>va)</w:t>
            </w:r>
            <w:r w:rsidR="00592398" w:rsidRPr="007E3C7C">
              <w:t xml:space="preserve"> paredzēts, ka šī direktīva neaptver un neietekmē </w:t>
            </w:r>
            <w:r w:rsidR="0078198A">
              <w:t xml:space="preserve">Eiropas Padomes </w:t>
            </w:r>
            <w:r w:rsidR="0078198A" w:rsidRPr="0078198A">
              <w:t>1984.gada 10.septembr</w:t>
            </w:r>
            <w:r w:rsidR="0078198A">
              <w:t>a</w:t>
            </w:r>
            <w:r w:rsidR="0078198A" w:rsidRPr="007E3C7C">
              <w:t xml:space="preserve"> </w:t>
            </w:r>
            <w:r w:rsidR="00592398" w:rsidRPr="007E3C7C">
              <w:t xml:space="preserve">Direktīvas 84/450/EEK </w:t>
            </w:r>
            <w:r w:rsidR="00796A35" w:rsidRPr="00796A35">
              <w:t>par dalībvalstu normatīvo un administratīvo aktu tuvināšanu attiecībā uz maldinošu reklāmu</w:t>
            </w:r>
            <w:r w:rsidR="00796A35">
              <w:t xml:space="preserve"> (turpmāk – Maldinošas reklāmas direktīva)</w:t>
            </w:r>
            <w:r w:rsidR="00796A35" w:rsidRPr="007E3C7C">
              <w:t xml:space="preserve"> </w:t>
            </w:r>
            <w:r w:rsidR="00592398" w:rsidRPr="007E3C7C">
              <w:t xml:space="preserve">noteikumus par reklāmu, </w:t>
            </w:r>
            <w:r w:rsidR="00592398" w:rsidRPr="00387593">
              <w:t>kas maldina uzņēmējus</w:t>
            </w:r>
            <w:r w:rsidR="00592398" w:rsidRPr="007E3C7C">
              <w:t>, bet nemaldina patērē</w:t>
            </w:r>
            <w:r w:rsidR="005D1EF7">
              <w:t>tājus, un salīdzinošu reklāmu (</w:t>
            </w:r>
            <w:r w:rsidR="00592398" w:rsidRPr="007E3C7C">
              <w:t>Negodīgas komercprakses direktīvas preambulas 6.punkts).</w:t>
            </w:r>
            <w:r w:rsidR="00DE7775">
              <w:t xml:space="preserve"> </w:t>
            </w:r>
            <w:r w:rsidR="007E3C7C" w:rsidRPr="007E3C7C">
              <w:t xml:space="preserve">Turklāt </w:t>
            </w:r>
            <w:r w:rsidR="004572A6">
              <w:t>L</w:t>
            </w:r>
            <w:r w:rsidR="007E3C7C" w:rsidRPr="007E3C7C">
              <w:t>ikuma 6.panta noteikumi, kuri attiecināmi tikai uz reklāmām, kas varētu skart personu, kas nodarbojas ar saimniecisko vai profes</w:t>
            </w:r>
            <w:r w:rsidR="009B424D">
              <w:t xml:space="preserve">ionālo darbību, ir pretrunā ar </w:t>
            </w:r>
            <w:r w:rsidR="007E3C7C" w:rsidRPr="007E3C7C">
              <w:t xml:space="preserve">Negodīgas komercprakses direktīvas prasībām, saskaņā ar kurām dalībvalstis nedrīkst paredzēt noteikumus, ar ko nosaka vairāk ierobežojumu vai prasību, salīdzinot ar šo direktīvu. </w:t>
            </w:r>
          </w:p>
        </w:tc>
      </w:tr>
      <w:tr w:rsidR="008F14B7" w:rsidRPr="002746DC">
        <w:trPr>
          <w:trHeight w:val="530"/>
        </w:trPr>
        <w:tc>
          <w:tcPr>
            <w:tcW w:w="485" w:type="dxa"/>
          </w:tcPr>
          <w:p w:rsidR="008F14B7" w:rsidRPr="002862D0" w:rsidRDefault="008F14B7" w:rsidP="006C4607">
            <w:pPr>
              <w:pStyle w:val="naiskr"/>
              <w:spacing w:before="0" w:after="0"/>
            </w:pPr>
            <w:r w:rsidRPr="002862D0">
              <w:lastRenderedPageBreak/>
              <w:t>3.</w:t>
            </w:r>
          </w:p>
        </w:tc>
        <w:tc>
          <w:tcPr>
            <w:tcW w:w="1435" w:type="dxa"/>
          </w:tcPr>
          <w:p w:rsidR="008F14B7" w:rsidRPr="002862D0" w:rsidRDefault="008F14B7" w:rsidP="006C4607">
            <w:pPr>
              <w:pStyle w:val="naiskr"/>
              <w:spacing w:before="0" w:after="0"/>
            </w:pPr>
            <w:r w:rsidRPr="002862D0">
              <w:t>Saistītie politikas ietekmes novērtējumi un pētījumi</w:t>
            </w:r>
          </w:p>
        </w:tc>
        <w:tc>
          <w:tcPr>
            <w:tcW w:w="7560" w:type="dxa"/>
          </w:tcPr>
          <w:p w:rsidR="008F14B7" w:rsidRPr="00CA0B36" w:rsidRDefault="00CA0B36" w:rsidP="007877F8">
            <w:pPr>
              <w:pStyle w:val="FootnoteText"/>
              <w:rPr>
                <w:sz w:val="24"/>
                <w:szCs w:val="24"/>
              </w:rPr>
            </w:pPr>
            <w:r w:rsidRPr="00CA0B36">
              <w:rPr>
                <w:sz w:val="24"/>
                <w:szCs w:val="24"/>
              </w:rPr>
              <w:t>Projekts šo jomu neskar</w:t>
            </w:r>
          </w:p>
        </w:tc>
      </w:tr>
      <w:tr w:rsidR="0051699D" w:rsidRPr="002746DC">
        <w:trPr>
          <w:trHeight w:val="384"/>
        </w:trPr>
        <w:tc>
          <w:tcPr>
            <w:tcW w:w="485" w:type="dxa"/>
          </w:tcPr>
          <w:p w:rsidR="0051699D" w:rsidRPr="002862D0" w:rsidRDefault="0051699D" w:rsidP="006C4607">
            <w:pPr>
              <w:pStyle w:val="naiskr"/>
              <w:spacing w:before="0" w:after="0"/>
            </w:pPr>
            <w:r w:rsidRPr="002862D0">
              <w:lastRenderedPageBreak/>
              <w:t>4.</w:t>
            </w:r>
          </w:p>
        </w:tc>
        <w:tc>
          <w:tcPr>
            <w:tcW w:w="1435" w:type="dxa"/>
          </w:tcPr>
          <w:p w:rsidR="0051699D" w:rsidRPr="002862D0" w:rsidRDefault="0051699D" w:rsidP="006C4607">
            <w:pPr>
              <w:pStyle w:val="naiskr"/>
              <w:spacing w:before="0" w:after="0"/>
            </w:pPr>
            <w:r w:rsidRPr="002862D0">
              <w:t>Tiesiskā regulējuma mērķis un būtība</w:t>
            </w:r>
          </w:p>
        </w:tc>
        <w:tc>
          <w:tcPr>
            <w:tcW w:w="7560" w:type="dxa"/>
          </w:tcPr>
          <w:p w:rsidR="002B33E3" w:rsidRPr="002E5655" w:rsidRDefault="002B33E3" w:rsidP="002B33E3">
            <w:pPr>
              <w:spacing w:before="40"/>
              <w:ind w:firstLine="353"/>
              <w:jc w:val="both"/>
              <w:rPr>
                <w:b/>
                <w:u w:val="single"/>
              </w:rPr>
            </w:pPr>
            <w:r w:rsidRPr="002E5655">
              <w:rPr>
                <w:b/>
                <w:u w:val="single"/>
              </w:rPr>
              <w:t>Būtiskākās izmaiņas:</w:t>
            </w:r>
          </w:p>
          <w:p w:rsidR="00AA0FF8" w:rsidRDefault="00894AD2" w:rsidP="00D45099">
            <w:pPr>
              <w:jc w:val="both"/>
            </w:pPr>
            <w:r>
              <w:t xml:space="preserve">- </w:t>
            </w:r>
            <w:r w:rsidR="00AA0FF8">
              <w:t>precizēta Likuma darbības joma, kā arī 2.</w:t>
            </w:r>
            <w:r w:rsidR="00AA0FF8">
              <w:rPr>
                <w:vertAlign w:val="superscript"/>
              </w:rPr>
              <w:t xml:space="preserve">1 </w:t>
            </w:r>
            <w:r w:rsidR="00AA0FF8">
              <w:t>pantā esošās normas attiecībā uz Likuma un Negodīgas komercprakses aizlieguma likuma piemērošanu, ņemot vērā, ka reklāma ir viens no komercprakses veidiem. Minētie grozījumi kopā ar Likuma 14.panta sesto daļu skaidro Likuma piemērošanu  gadījumos, kad reklāmā tiktu konstatēts negodīgas komercprakses regulējuma pārkāpums.</w:t>
            </w:r>
          </w:p>
          <w:p w:rsidR="0071653E" w:rsidRDefault="00AA0FF8" w:rsidP="00D45099">
            <w:pPr>
              <w:jc w:val="both"/>
            </w:pPr>
            <w:r>
              <w:t xml:space="preserve">- </w:t>
            </w:r>
            <w:r w:rsidR="00D45099">
              <w:t>Grozīts</w:t>
            </w:r>
            <w:r w:rsidR="00D45099" w:rsidRPr="007371D8">
              <w:t xml:space="preserve"> </w:t>
            </w:r>
            <w:r w:rsidR="00D45099">
              <w:t>L</w:t>
            </w:r>
            <w:r w:rsidR="00D45099" w:rsidRPr="007371D8">
              <w:t>ikuma 14.pant</w:t>
            </w:r>
            <w:r w:rsidR="00D45099">
              <w:t>s.</w:t>
            </w:r>
            <w:r w:rsidR="00D45099" w:rsidRPr="007371D8">
              <w:t xml:space="preserve"> </w:t>
            </w:r>
            <w:r w:rsidR="00D45099">
              <w:t>U</w:t>
            </w:r>
            <w:r w:rsidR="00D45099" w:rsidRPr="007371D8">
              <w:t>zraudzības iestāde varēs lemt par resursu efektīvu izlietojumu, veicot uzraudzības pasākumus reklāmas jomā, novēr</w:t>
            </w:r>
            <w:r w:rsidR="00D45099">
              <w:t>šot</w:t>
            </w:r>
            <w:r w:rsidR="00D45099" w:rsidRPr="007371D8">
              <w:t xml:space="preserve"> pārkāpum</w:t>
            </w:r>
            <w:r w:rsidR="00D45099">
              <w:t>us</w:t>
            </w:r>
            <w:r w:rsidR="00D45099" w:rsidRPr="007371D8">
              <w:t xml:space="preserve">, kas skar plašu patērētāju tiesisko interešu aizskārumu, ņemot vērā iestādes </w:t>
            </w:r>
            <w:r w:rsidR="00D45099">
              <w:t>noteiktās uzraudzības prioritātes. Likumprojekts paredz papildināt Likuma 14.pantu ar jaunu 1</w:t>
            </w:r>
            <w:r w:rsidR="008D5861">
              <w:t>.</w:t>
            </w:r>
            <w:r w:rsidR="00D45099" w:rsidRPr="008360B5">
              <w:rPr>
                <w:vertAlign w:val="superscript"/>
              </w:rPr>
              <w:t>1</w:t>
            </w:r>
            <w:r w:rsidR="00872278">
              <w:t xml:space="preserve"> </w:t>
            </w:r>
            <w:r w:rsidR="00D45099">
              <w:t>daļu, kas paredz, ka, s</w:t>
            </w:r>
            <w:r w:rsidR="00D45099" w:rsidRPr="00607A28">
              <w:t xml:space="preserve">aņemot personas iesniegumu par iespējamu pārkāpumu, </w:t>
            </w:r>
            <w:r w:rsidR="00D45099">
              <w:t>u</w:t>
            </w:r>
            <w:r w:rsidR="00D45099" w:rsidRPr="00607A28">
              <w:t>zraudzības iestāde izvērtē sniegto informāciju un izmanto to uzraudzības darbību plānošanai</w:t>
            </w:r>
            <w:r w:rsidR="00D45099">
              <w:t>, attiecīgi informējot iesniedzēju.</w:t>
            </w:r>
            <w:r w:rsidR="00D45099">
              <w:rPr>
                <w:lang w:eastAsia="en-US"/>
              </w:rPr>
              <w:t xml:space="preserve"> </w:t>
            </w:r>
            <w:r w:rsidR="0071653E" w:rsidRPr="0071653E">
              <w:t xml:space="preserve">Uzraudzības iestāde </w:t>
            </w:r>
            <w:r w:rsidR="0071653E">
              <w:t>turpmāk veiks</w:t>
            </w:r>
            <w:r w:rsidR="0071653E" w:rsidRPr="0071653E">
              <w:t xml:space="preserve"> reklāmas uzraudzību, atbilstoši iestādes noteiktajām uzraudzības prioritātēm, kā arī izvērtējot iespējamā pārkāpuma ietekmi uz patērētāju kolektīvajām interesēm</w:t>
            </w:r>
            <w:r w:rsidR="0071653E">
              <w:t>.</w:t>
            </w:r>
          </w:p>
          <w:p w:rsidR="00D45099" w:rsidRDefault="0071653E" w:rsidP="00D45099">
            <w:pPr>
              <w:jc w:val="both"/>
              <w:rPr>
                <w:lang w:eastAsia="en-US"/>
              </w:rPr>
            </w:pPr>
            <w:r w:rsidRPr="00A677D8">
              <w:rPr>
                <w:lang w:eastAsia="en-US"/>
              </w:rPr>
              <w:t>Uzraudzības iestāde</w:t>
            </w:r>
            <w:r>
              <w:rPr>
                <w:lang w:eastAsia="en-US"/>
              </w:rPr>
              <w:t>s</w:t>
            </w:r>
            <w:r w:rsidRPr="00A677D8">
              <w:rPr>
                <w:lang w:eastAsia="en-US"/>
              </w:rPr>
              <w:t xml:space="preserve"> privātpersona</w:t>
            </w:r>
            <w:r>
              <w:rPr>
                <w:lang w:eastAsia="en-US"/>
              </w:rPr>
              <w:t>i</w:t>
            </w:r>
            <w:r w:rsidRPr="00A677D8">
              <w:rPr>
                <w:lang w:eastAsia="en-US"/>
              </w:rPr>
              <w:t xml:space="preserve"> sniegs atbildi</w:t>
            </w:r>
            <w:r>
              <w:rPr>
                <w:lang w:eastAsia="en-US"/>
              </w:rPr>
              <w:t xml:space="preserve"> saskaņā ar Iesniegumu likumu, savukārt, </w:t>
            </w:r>
            <w:r w:rsidRPr="000E0BF7">
              <w:rPr>
                <w:b/>
              </w:rPr>
              <w:t xml:space="preserve"> </w:t>
            </w:r>
            <w:r w:rsidRPr="0071653E">
              <w:t>Patērētāju tiesību aizsardzības centrs privātpersonu iesniegumus turpmāk izskatīs saskaņā ar Patērētāju tiesību aizsardzības likuma 25.panta noteikumiem.</w:t>
            </w:r>
            <w:r>
              <w:rPr>
                <w:lang w:eastAsia="en-US"/>
              </w:rPr>
              <w:t xml:space="preserve"> </w:t>
            </w:r>
            <w:r w:rsidR="00793797">
              <w:rPr>
                <w:lang w:eastAsia="en-US"/>
              </w:rPr>
              <w:t xml:space="preserve">Attiecīgi tiek svītrota Likuma 14.panta otrā daļa. </w:t>
            </w:r>
            <w:r w:rsidR="00D45099" w:rsidRPr="008266D0">
              <w:t>Ar šādu normatīvo regulējumu tiks nodrošināta uzraudzības iestādes resursu ekonomija, sniedzot iespēju tos novirzīt būtisko pārkāpumu novēršanai.</w:t>
            </w:r>
            <w:r w:rsidR="00D45099">
              <w:t xml:space="preserve"> </w:t>
            </w:r>
          </w:p>
          <w:p w:rsidR="00D45099" w:rsidRDefault="00D45099" w:rsidP="00D45099">
            <w:pPr>
              <w:jc w:val="both"/>
              <w:rPr>
                <w:lang w:eastAsia="en-US"/>
              </w:rPr>
            </w:pPr>
            <w:r>
              <w:rPr>
                <w:lang w:eastAsia="en-US"/>
              </w:rPr>
              <w:t xml:space="preserve">Saistībā ar grozījumiem </w:t>
            </w:r>
            <w:r w:rsidRPr="00C67E34">
              <w:rPr>
                <w:lang w:eastAsia="en-US"/>
              </w:rPr>
              <w:t>14.panta pirm</w:t>
            </w:r>
            <w:r>
              <w:rPr>
                <w:lang w:eastAsia="en-US"/>
              </w:rPr>
              <w:t>aj</w:t>
            </w:r>
            <w:r w:rsidRPr="00C67E34">
              <w:rPr>
                <w:lang w:eastAsia="en-US"/>
              </w:rPr>
              <w:t>ā daļ</w:t>
            </w:r>
            <w:r>
              <w:rPr>
                <w:lang w:eastAsia="en-US"/>
              </w:rPr>
              <w:t xml:space="preserve">ā, </w:t>
            </w:r>
            <w:r w:rsidR="008D5861">
              <w:rPr>
                <w:lang w:eastAsia="en-US"/>
              </w:rPr>
              <w:t>Likuma</w:t>
            </w:r>
            <w:r>
              <w:rPr>
                <w:lang w:eastAsia="en-US"/>
              </w:rPr>
              <w:t xml:space="preserve"> 14.</w:t>
            </w:r>
            <w:r w:rsidRPr="003409DB">
              <w:rPr>
                <w:vertAlign w:val="superscript"/>
                <w:lang w:eastAsia="en-US"/>
              </w:rPr>
              <w:t>1</w:t>
            </w:r>
            <w:r>
              <w:rPr>
                <w:lang w:eastAsia="en-US"/>
              </w:rPr>
              <w:t>panta otrā daļā nepieciešams paredzēt, ka iesniegumā, kas ir adresēts Konkurences padomei, norāda dokumentāri pamatotu informāciju par faktiem, kas liecina, ka ar pārkāpumu ir nodarīts vai var tikt nodarīts būtisks kaitējums konkurencei.</w:t>
            </w:r>
          </w:p>
          <w:p w:rsidR="00D45099" w:rsidRDefault="00D45099" w:rsidP="00D45099">
            <w:pPr>
              <w:jc w:val="both"/>
            </w:pPr>
            <w:r>
              <w:rPr>
                <w:lang w:eastAsia="en-US"/>
              </w:rPr>
              <w:t xml:space="preserve">Precizēta Likuma 15.panta pirmā daļa, paredzot, ka, </w:t>
            </w:r>
            <w:r>
              <w:t>vērtējot reklāmas atbilstību Likumam, uzraudzības iestāde ir tiesīga pieprasīt un saņemt visu lietas būtības noskaidrošanai nepieciešamo informāciju, nosakot ne tikai iesniegšanas termiņu, bet arī veidu.</w:t>
            </w:r>
          </w:p>
          <w:p w:rsidR="00760D6C" w:rsidRDefault="00760D6C" w:rsidP="00760D6C">
            <w:pPr>
              <w:spacing w:before="40"/>
              <w:jc w:val="both"/>
            </w:pPr>
            <w:r>
              <w:t xml:space="preserve">- </w:t>
            </w:r>
            <w:r w:rsidRPr="006E73D3">
              <w:t>Ar grozījumiem</w:t>
            </w:r>
            <w:r>
              <w:t xml:space="preserve"> 1</w:t>
            </w:r>
            <w:r w:rsidR="006E73D3">
              <w:t>4</w:t>
            </w:r>
            <w:r>
              <w:t xml:space="preserve">.panta pirmajā daļā tiks nodrošinātas Nacionālās elektronisko plašsaziņas līdzekļu padomes un Veselības inspekcijas tiesības veikt darbības, kuru mērķis ir aizsargāt patērētāju kolektīvās intereses, kas ir paredzētas valsts tiesību aktos, pamatojoties uz tādas Eiropas Savienības iestādei iesniegumu, kura ir iekļauta Direktīvas I pielikumā minēto direktīvu sarakstā. Tādējādi Latvija pilnībā ieviesīs Direktīvas 2.panta 1.punktu un 4.panta 1.punktu, kas lasāmi saistībā ar Direktīvas 1.panta 2.punktu un I pielikuma 3. un 9.punktu. </w:t>
            </w:r>
          </w:p>
          <w:p w:rsidR="00C9632B" w:rsidRDefault="00894AD2" w:rsidP="00D45099">
            <w:pPr>
              <w:jc w:val="both"/>
            </w:pPr>
            <w:r>
              <w:t xml:space="preserve">- </w:t>
            </w:r>
            <w:r w:rsidR="00D45099" w:rsidRPr="00AB6E1B">
              <w:t xml:space="preserve">Ar grozījumiem </w:t>
            </w:r>
            <w:r w:rsidR="00D45099">
              <w:t>L</w:t>
            </w:r>
            <w:r w:rsidR="00D45099" w:rsidRPr="00AB6E1B">
              <w:t>ikuma 15.panta trešajā daļā tiks nodrošināta tiesiska iespēja uzraudzības iestādei veikt noteiktas darbības, neizdodot saistošus administratīvus aktus, gadījumos, kad pieļautais pārkāpums ir atzīstams par objektīvi maznozīmīgu (nav konstatējams būtisks patērētāju tiesību un ekonomisko interešu aizskārums), un Likuma 15.panta ceturtajā daļā noteikto lē</w:t>
            </w:r>
            <w:r w:rsidR="00872278">
              <w:t xml:space="preserve">mumu pieņemšana nav lietderīga  un </w:t>
            </w:r>
            <w:r w:rsidR="00D45099" w:rsidRPr="00AB6E1B">
              <w:t>samērīga, lai sasniegtu likumā noteikto mērķi, kā arī Likuma 15.panta trešās daļas 1. un 2.punktā minēto uzraudzības iestādes ti</w:t>
            </w:r>
            <w:r w:rsidR="00D45099">
              <w:t>esību izmantošana nav iespējama</w:t>
            </w:r>
            <w:r w:rsidR="00D45099" w:rsidRPr="00AB6E1B">
              <w:t xml:space="preserve"> tādēļ, ka pārkāpums vairs nav novēršams. Maznozīmīgu pārkāpumu gadījumā izsakot aicinājumu reklāmas devējam, reklāmas izgatavotājam vai reklāmas izplatītājam turpmāk savā darbībā nodrošināt tās atbilstību normatīvo aktu pr</w:t>
            </w:r>
            <w:r w:rsidR="00D45099">
              <w:t>asībām, tiks sasniegts Likuma</w:t>
            </w:r>
            <w:r w:rsidR="00D45099" w:rsidRPr="00AB6E1B">
              <w:t xml:space="preserve"> mērķis, jo attiecīgai personai tiks norādīts uz pieļauto pārkāpumu, </w:t>
            </w:r>
            <w:r w:rsidR="00D45099" w:rsidRPr="00AB6E1B">
              <w:lastRenderedPageBreak/>
              <w:t>vēršot uzmanību uz pieļauto pārkāpumu ar aicinājumu atturēties no lī</w:t>
            </w:r>
            <w:r w:rsidR="00D45099">
              <w:t>dzīgu pārkāpumu pieļaušanas un veicin</w:t>
            </w:r>
            <w:r w:rsidR="00D45099" w:rsidRPr="00AB6E1B">
              <w:t>ot patērētāju tiesības saņemt normatīvajiem aktiem atbilstošu reklāmu nākotnē. Ar šādu normatīvo regulējumu tiks nodrošināta preventīvu pasākumu īstenošana attiecība uz reklāmai izvirzīto prasību ievērošanu un vienlaikus tiks nodrošināta uzraudzības iestādes resursu ekonomija, sniedzot iespēju tos novirzīt būtisko pārkāpumu novēršanai.</w:t>
            </w:r>
            <w:r w:rsidR="00D45099">
              <w:t xml:space="preserve"> Sakarā ar iepriekšminētajiem grozījumiem attiecīgi precizēta Likuma 16.panta otrā daļa.</w:t>
            </w:r>
            <w:r w:rsidR="00F13EDC">
              <w:t xml:space="preserve"> </w:t>
            </w:r>
            <w:r w:rsidR="00286EAF">
              <w:t>Lēmumā par reklāmas atsaukumu Uzraudzības iestāde ir tiesīga noteikt atsaukuma saturu, apjomu, veidu un izdevumu segšanas kārtību – izdevumus segs attiecīgais reklāmas devējs vai izplatītājs, kas ir norādīts lēmumā.</w:t>
            </w:r>
          </w:p>
          <w:p w:rsidR="00B62177" w:rsidRDefault="00C9632B" w:rsidP="00B62177">
            <w:pPr>
              <w:spacing w:before="40"/>
              <w:jc w:val="both"/>
            </w:pPr>
            <w:r>
              <w:t xml:space="preserve">- </w:t>
            </w:r>
            <w:r w:rsidR="00F13EDC">
              <w:t>Likumpro</w:t>
            </w:r>
            <w:r w:rsidR="00473052">
              <w:t>j</w:t>
            </w:r>
            <w:r w:rsidR="00F13EDC">
              <w:t>e</w:t>
            </w:r>
            <w:r w:rsidR="00473052">
              <w:t>k</w:t>
            </w:r>
            <w:r w:rsidR="00F13EDC">
              <w:t>ts precizē, ka</w:t>
            </w:r>
            <w:r w:rsidR="00F13EDC">
              <w:rPr>
                <w:sz w:val="28"/>
                <w:szCs w:val="28"/>
              </w:rPr>
              <w:t xml:space="preserve"> </w:t>
            </w:r>
            <w:r w:rsidR="002B2DE5" w:rsidRPr="002B2DE5">
              <w:t>Uzraudzības iestāde lēmumu par pārkāpumiem reklāmas jomā pieņem sešu mēnešu laikā no liet</w:t>
            </w:r>
            <w:r w:rsidR="007659A2">
              <w:t>as</w:t>
            </w:r>
            <w:r w:rsidR="002B2DE5" w:rsidRPr="002B2DE5">
              <w:t xml:space="preserve"> ierosināšanas </w:t>
            </w:r>
            <w:r w:rsidR="007659A2">
              <w:t>dienas</w:t>
            </w:r>
            <w:r w:rsidR="00F13EDC">
              <w:t xml:space="preserve"> un šo termiņu var pagarināt līdz diviem gadiem.</w:t>
            </w:r>
            <w:r w:rsidR="00473052">
              <w:t xml:space="preserve"> </w:t>
            </w:r>
            <w:r w:rsidR="00B62177" w:rsidRPr="00473052">
              <w:t>Pārkāpumu reklāmas jomā izmeklēšanai ir nepieciešams ilgāks laiks, jo termiņi var tikt pagarināti gan pašu komersantu rīcības dēļ, gan saistībā ar lietas sarežģītību</w:t>
            </w:r>
            <w:r w:rsidR="00851017" w:rsidRPr="00473052">
              <w:t xml:space="preserve"> u.c.</w:t>
            </w:r>
          </w:p>
          <w:p w:rsidR="00B62177" w:rsidRDefault="00B62177" w:rsidP="00B62177">
            <w:pPr>
              <w:autoSpaceDE w:val="0"/>
              <w:autoSpaceDN w:val="0"/>
              <w:jc w:val="both"/>
            </w:pPr>
            <w:r>
              <w:t>Izskatot SIA ”</w:t>
            </w:r>
            <w:proofErr w:type="spellStart"/>
            <w:r>
              <w:t>ZetCom</w:t>
            </w:r>
            <w:proofErr w:type="spellEnd"/>
            <w:r>
              <w:t xml:space="preserve">” īstenoto </w:t>
            </w:r>
            <w:proofErr w:type="spellStart"/>
            <w:r>
              <w:t>komercpraksi</w:t>
            </w:r>
            <w:proofErr w:type="spellEnd"/>
            <w:r>
              <w:t>, kas izpaudās kā salīdzinošo reklāmu, kuru ietvaros SIA ”</w:t>
            </w:r>
            <w:proofErr w:type="spellStart"/>
            <w:r>
              <w:t>ZetCom</w:t>
            </w:r>
            <w:proofErr w:type="spellEnd"/>
            <w:r>
              <w:t>” salīdzināja vidējos tās un SIA ”Bite Latvija” ieņēmums no viena lietotāja mēnesī par SIA ”Bite Latvija” un SIA ”</w:t>
            </w:r>
            <w:proofErr w:type="spellStart"/>
            <w:r>
              <w:t>ZetCom</w:t>
            </w:r>
            <w:proofErr w:type="spellEnd"/>
            <w:r>
              <w:t>” piedāvāto mobilo sakaru pakalpojumu izmantošanu, sniegšana (lieta ierosināta 12.01.2012. pēc personas sniegtās informācijas), lai pilnīgi izvērtētu SIA ”</w:t>
            </w:r>
            <w:proofErr w:type="spellStart"/>
            <w:r>
              <w:t>ZetCom</w:t>
            </w:r>
            <w:proofErr w:type="spellEnd"/>
            <w:r>
              <w:t xml:space="preserve">” īstenoto </w:t>
            </w:r>
            <w:proofErr w:type="spellStart"/>
            <w:r>
              <w:t>komercpraksi</w:t>
            </w:r>
            <w:proofErr w:type="spellEnd"/>
            <w:r>
              <w:t>, PTAC vairakkārt sazinājās gan ar SIA ”</w:t>
            </w:r>
            <w:proofErr w:type="spellStart"/>
            <w:r>
              <w:t>ZetCom</w:t>
            </w:r>
            <w:proofErr w:type="spellEnd"/>
            <w:r>
              <w:t xml:space="preserve">”, gan SIA ”Bite Latvija”, lai iegūtu komercprakses izvērtēšanai nepieciešamo informāciju un pierādījumus, piemēram, iesniegt pierādījumus par </w:t>
            </w:r>
            <w:proofErr w:type="spellStart"/>
            <w:r>
              <w:t>komercpraksē</w:t>
            </w:r>
            <w:proofErr w:type="spellEnd"/>
            <w:r>
              <w:t xml:space="preserve"> izmantotās informācijas patiesumu, informāciju par salīdzinājuma aprēķina veikšanai izmantoto metodi u.c. Ņemot vērā pieprasītās informācijas apjomu, specifiku, laiku, kas nepieciešams saņemtās informācijas izvērtēšanai, lietas sarežģītību, kā arī ņemot vērā lietā iesaistītajiem komersantiem nepieciešamo laiku informācijas apstrādei un iesniegšanai uzraudzības iestādei, konkrētās lietas izskatīšana tika pabeigta 27.10.2011., tas ir, pēc vairāk kā desmit mēnešiem no lietas ierosināšanas brīža (PTAC 27.10.2011. lēmums Nr.E03-KREUD-22). </w:t>
            </w:r>
          </w:p>
          <w:p w:rsidR="00D45099" w:rsidRDefault="00894AD2" w:rsidP="00AD2037">
            <w:pPr>
              <w:jc w:val="both"/>
            </w:pPr>
            <w:r>
              <w:t xml:space="preserve">- </w:t>
            </w:r>
            <w:r w:rsidR="00D45099">
              <w:t xml:space="preserve">Likumprojekts paredz papildināt Likumu ar 20.pantu, kas nosaka </w:t>
            </w:r>
            <w:r w:rsidR="00942AB0">
              <w:t xml:space="preserve">naudas </w:t>
            </w:r>
            <w:r w:rsidR="00D45099">
              <w:t xml:space="preserve">soda piemērošanas kārtību un paredz īpašus noteikumus to piespiedu izpildei. Ņemot vērā, ka </w:t>
            </w:r>
            <w:r w:rsidR="009443B8" w:rsidRPr="00473052">
              <w:t>Uzraudzības iestādes</w:t>
            </w:r>
            <w:r w:rsidR="00BF0A75">
              <w:t xml:space="preserve"> </w:t>
            </w:r>
            <w:r w:rsidR="00D45099">
              <w:t>turpmāk lietas par pārkāpumiem reklāmas jomā izskatīs Administratīvā procesa likuma noteiktajā kārtībā, attiecīgi tiek paredzēti grozījumi 15.panta ceturtajā daļā, pants papildināts ar desmito daļu.</w:t>
            </w:r>
            <w:r w:rsidR="00E30FF4">
              <w:t xml:space="preserve"> Attiecīgie naudas sodi šobrīd tiek piemēroti saskaņā ar Administratīvo pārkāpumu kodeksu un nav </w:t>
            </w:r>
            <w:proofErr w:type="spellStart"/>
            <w:r w:rsidR="00E30FF4">
              <w:t>paredzēt</w:t>
            </w:r>
            <w:r w:rsidR="00E0593C">
              <w:t>i</w:t>
            </w:r>
            <w:r w:rsidR="00E30FF4">
              <w:t>s</w:t>
            </w:r>
            <w:proofErr w:type="spellEnd"/>
            <w:r w:rsidR="00E30FF4">
              <w:t xml:space="preserve"> papildu naudas</w:t>
            </w:r>
            <w:r w:rsidR="00E0593C">
              <w:t xml:space="preserve"> sodi</w:t>
            </w:r>
            <w:r w:rsidR="00E30FF4">
              <w:t>.</w:t>
            </w:r>
          </w:p>
          <w:p w:rsidR="00275639" w:rsidRDefault="00894AD2" w:rsidP="00AD2037">
            <w:pPr>
              <w:jc w:val="both"/>
            </w:pPr>
            <w:r>
              <w:t xml:space="preserve">- </w:t>
            </w:r>
            <w:r w:rsidR="00A96EEB">
              <w:t xml:space="preserve">Papildinot </w:t>
            </w:r>
            <w:r w:rsidR="004D6DD3">
              <w:t>L</w:t>
            </w:r>
            <w:r w:rsidR="00A96EEB">
              <w:t>ikuma 2.</w:t>
            </w:r>
            <w:r w:rsidR="00A96EEB" w:rsidRPr="006D47D3">
              <w:rPr>
                <w:vertAlign w:val="superscript"/>
              </w:rPr>
              <w:t>1</w:t>
            </w:r>
            <w:r w:rsidR="00A96EEB">
              <w:t xml:space="preserve">pantu ar otro daļu </w:t>
            </w:r>
            <w:r w:rsidR="00592398" w:rsidRPr="007E3C7C">
              <w:t xml:space="preserve"> tiks skaidri definēts, ka </w:t>
            </w:r>
            <w:r w:rsidR="004D6DD3">
              <w:t>L</w:t>
            </w:r>
            <w:r w:rsidR="00592398" w:rsidRPr="007E3C7C">
              <w:t>ikuma noteikumi, kas nosaka prasības attiecībā uz maldinošu un salīdzinošu reklāmu, ir attiecināmi uz reklāmām, kuras ir adresētas komersantiem un citiem saimnieciskās vai profesionālās darbības veicējiem un kuras neskar patērētāju tiesiskās intereses.</w:t>
            </w:r>
            <w:r w:rsidR="00EF7B9B">
              <w:t xml:space="preserve"> Atbilstoši ir papildināms Likuma 2.pants, precizējot Likums subjektu attiecībā uz maldinošas un salīdzinošas reklāmas noteikumiem.</w:t>
            </w:r>
          </w:p>
          <w:p w:rsidR="006D47D3" w:rsidRDefault="00894AD2" w:rsidP="00AD2037">
            <w:pPr>
              <w:jc w:val="both"/>
            </w:pPr>
            <w:r>
              <w:t xml:space="preserve">- </w:t>
            </w:r>
            <w:r w:rsidR="006D47D3">
              <w:t xml:space="preserve">Likumprojekts paredz izslēgt Reklāmas likuma 5.panta ceturtās daļas 5.punktu, kas satur normu, identisku NKAL </w:t>
            </w:r>
            <w:r w:rsidR="006D47D3" w:rsidRPr="006D47D3">
              <w:t xml:space="preserve">13.panta 5.punktā (agresīva </w:t>
            </w:r>
            <w:r w:rsidR="006D47D3" w:rsidRPr="007371D8">
              <w:t>komercprakse) ietvertajam regulējumam.</w:t>
            </w:r>
          </w:p>
          <w:p w:rsidR="00415045" w:rsidRDefault="00894AD2" w:rsidP="00AD2037">
            <w:pPr>
              <w:jc w:val="both"/>
            </w:pPr>
            <w:r>
              <w:t xml:space="preserve">- </w:t>
            </w:r>
            <w:r w:rsidR="00AF17C8">
              <w:t xml:space="preserve">Lai nodrošinātu veiksmīgu pieņemto lēmumu izpildes uzraudzību, likumprojekts paredz </w:t>
            </w:r>
            <w:r w:rsidR="00657CC8">
              <w:t xml:space="preserve">uzraudzības iestādēm tiesības noteikt termiņu ar </w:t>
            </w:r>
            <w:r w:rsidR="00657CC8">
              <w:lastRenderedPageBreak/>
              <w:t>lēmumu uzlikto pienākumu izpildei, kā arī uzliek pārkāpējam informēšanas pienākumu.</w:t>
            </w:r>
          </w:p>
          <w:p w:rsidR="009A1CB6" w:rsidRDefault="00894AD2" w:rsidP="00AD2037">
            <w:pPr>
              <w:jc w:val="both"/>
            </w:pPr>
            <w:r>
              <w:t xml:space="preserve">- </w:t>
            </w:r>
            <w:r w:rsidR="009A1CB6" w:rsidRPr="00E53FDF">
              <w:t xml:space="preserve">Likumprojekts paredz precizēt, kas ir rakstveida apņemšanās novērst </w:t>
            </w:r>
            <w:r w:rsidR="001F4AD4">
              <w:t>pārkāpumu</w:t>
            </w:r>
            <w:r w:rsidR="00AE5864">
              <w:t xml:space="preserve"> reklām</w:t>
            </w:r>
            <w:r w:rsidR="001F4AD4">
              <w:t>ā</w:t>
            </w:r>
            <w:r w:rsidR="009A1CB6" w:rsidRPr="00E53FDF">
              <w:t xml:space="preserve"> un </w:t>
            </w:r>
            <w:r w:rsidR="001F4AD4">
              <w:t>pārkāpuma radītās</w:t>
            </w:r>
            <w:r w:rsidR="009A1CB6" w:rsidRPr="00E53FDF">
              <w:t xml:space="preserve"> sekas, kā arī nosaka kārtību, kādā rakstveida apņemšanās tiek saskaņota ar </w:t>
            </w:r>
            <w:r w:rsidR="009A1CB6">
              <w:t>u</w:t>
            </w:r>
            <w:r w:rsidR="009A1CB6" w:rsidRPr="00E53FDF">
              <w:t xml:space="preserve">zraudzības iestādi, apņemšanās saturu un izpildes termiņus, kā arī </w:t>
            </w:r>
            <w:r w:rsidR="009A1CB6">
              <w:t>u</w:t>
            </w:r>
            <w:r w:rsidR="009A1CB6" w:rsidRPr="00E53FDF">
              <w:t>zraudzības iestādes tiesības, ja rakstveida apņemšanās netiek pildīta.</w:t>
            </w:r>
          </w:p>
          <w:p w:rsidR="00BF3008" w:rsidRDefault="00894AD2" w:rsidP="00AD2037">
            <w:pPr>
              <w:jc w:val="both"/>
            </w:pPr>
            <w:r>
              <w:t xml:space="preserve">- </w:t>
            </w:r>
            <w:r w:rsidR="006844CF">
              <w:t xml:space="preserve">Likumprojekts paredz grozīt </w:t>
            </w:r>
            <w:r w:rsidR="004D155C">
              <w:t>L</w:t>
            </w:r>
            <w:r w:rsidR="00BF3008" w:rsidRPr="00191BDC">
              <w:t>ikuma 12.panta ceturt</w:t>
            </w:r>
            <w:r w:rsidR="006844CF">
              <w:t>o</w:t>
            </w:r>
            <w:r w:rsidR="00BF3008" w:rsidRPr="00191BDC">
              <w:t xml:space="preserve"> daļ</w:t>
            </w:r>
            <w:r w:rsidR="006844CF">
              <w:t>u</w:t>
            </w:r>
            <w:r w:rsidR="00BF3008">
              <w:t xml:space="preserve"> atbilstoši </w:t>
            </w:r>
            <w:r w:rsidR="00BF3008" w:rsidRPr="00191BDC">
              <w:t xml:space="preserve">Latvijas Administratīvo pārkāpumu kodeksa 166.¹³panta otrās daļas noteikumiem, kas </w:t>
            </w:r>
            <w:r w:rsidR="006844CF">
              <w:t>nosaka</w:t>
            </w:r>
            <w:r w:rsidR="00BF3008" w:rsidRPr="00191BDC">
              <w:t xml:space="preserve"> administratīvo atbildību par normatīvajiem aktiem neatbilstošas (ne aizliegtas) reklāmas izplatīšanu. Šāds regulējums </w:t>
            </w:r>
            <w:r w:rsidR="00BF3008">
              <w:t>neuzliks</w:t>
            </w:r>
            <w:r w:rsidR="00BF3008" w:rsidRPr="00191BDC">
              <w:t xml:space="preserve"> reklāmas izplatītājiem papildu atbildību, jo reklāmas izplatītājs būs atbildīgs tikai par tādu normatīvajiem aktiem neatbilstošu reklāmu, par kuras neatbilstību viņ</w:t>
            </w:r>
            <w:r w:rsidR="00B1336E">
              <w:t>š</w:t>
            </w:r>
            <w:r w:rsidR="00BF3008" w:rsidRPr="00191BDC">
              <w:t xml:space="preserve"> zināja vai viņam vajadzēja zināt.</w:t>
            </w:r>
          </w:p>
          <w:p w:rsidR="00974D67" w:rsidRDefault="00974D67" w:rsidP="00AD2037">
            <w:pPr>
              <w:jc w:val="both"/>
            </w:pPr>
            <w:r>
              <w:t xml:space="preserve">- Likumprojekts paredz izslēgt Likuma 6.pantu, jo </w:t>
            </w:r>
            <w:r w:rsidR="00AD79A1">
              <w:t>regulējums par speciālajiem piedāvājumiem un izpārdošanām ir zaudējis aktualitāti ar Negodīgas komercprakses aizlieguma likuma pieņemšanu.</w:t>
            </w:r>
          </w:p>
          <w:p w:rsidR="00582603" w:rsidRDefault="00894AD2" w:rsidP="00AD2037">
            <w:pPr>
              <w:jc w:val="both"/>
            </w:pPr>
            <w:r>
              <w:rPr>
                <w:lang w:eastAsia="en-US"/>
              </w:rPr>
              <w:t xml:space="preserve">- </w:t>
            </w:r>
            <w:r w:rsidR="00582603">
              <w:rPr>
                <w:lang w:eastAsia="en-US"/>
              </w:rPr>
              <w:t xml:space="preserve">Grozījumi 17.panta pirmajā daļā ir nepieciešami, lai </w:t>
            </w:r>
            <w:r w:rsidR="00582603" w:rsidRPr="00EC440D">
              <w:t>precizēt</w:t>
            </w:r>
            <w:r w:rsidR="00582603">
              <w:t>u</w:t>
            </w:r>
            <w:r w:rsidR="00582603" w:rsidRPr="00EC440D">
              <w:t xml:space="preserve"> tiesību subjekt</w:t>
            </w:r>
            <w:r w:rsidR="00582603">
              <w:t>u</w:t>
            </w:r>
            <w:r w:rsidR="00582603" w:rsidRPr="00EC440D">
              <w:t xml:space="preserve">, kas ir tiesīgs pārsūdzēt uzraudzības iestādes lēmumu, </w:t>
            </w:r>
            <w:r w:rsidR="00582603">
              <w:t xml:space="preserve">un lēmuma </w:t>
            </w:r>
            <w:r w:rsidR="00582603" w:rsidRPr="00EC440D">
              <w:t>pārsūdzības kārtīb</w:t>
            </w:r>
            <w:r w:rsidR="00582603">
              <w:t>u.</w:t>
            </w:r>
          </w:p>
          <w:p w:rsidR="005F5E0D" w:rsidRDefault="00894AD2" w:rsidP="00AD2037">
            <w:pPr>
              <w:jc w:val="both"/>
            </w:pPr>
            <w:r>
              <w:rPr>
                <w:lang w:eastAsia="en-US"/>
              </w:rPr>
              <w:t xml:space="preserve">- </w:t>
            </w:r>
            <w:r w:rsidR="005F5E0D">
              <w:rPr>
                <w:lang w:eastAsia="en-US"/>
              </w:rPr>
              <w:t>Likuma 17.panta otr</w:t>
            </w:r>
            <w:r w:rsidR="004632EF">
              <w:rPr>
                <w:lang w:eastAsia="en-US"/>
              </w:rPr>
              <w:t>ā</w:t>
            </w:r>
            <w:r w:rsidR="005F5E0D">
              <w:rPr>
                <w:lang w:eastAsia="en-US"/>
              </w:rPr>
              <w:t xml:space="preserve"> daļa nosaka pārkāpumu veidus, kurus līdztekus Uzraudzības iestādēm var konstatēt arī tiesa. Likumprojekts paplašina tiesas kompetenci vērtēt speciālu piedāvājumu un izpārdošanu atbilstību vispārējām reklāmas prasībām, jo  </w:t>
            </w:r>
            <w:r w:rsidR="005F5E0D" w:rsidRPr="00B629AC">
              <w:rPr>
                <w:lang w:eastAsia="en-US"/>
              </w:rPr>
              <w:t>var izveidoties situācija, ka šajā tiesību normā ietverto noteikumu uzraudzību praktiski nenodrošina</w:t>
            </w:r>
            <w:r w:rsidR="005F5E0D">
              <w:rPr>
                <w:lang w:eastAsia="en-US"/>
              </w:rPr>
              <w:t xml:space="preserve"> neviena institūcija.</w:t>
            </w:r>
          </w:p>
          <w:p w:rsidR="004632EF" w:rsidRDefault="00894AD2" w:rsidP="0096192C">
            <w:pPr>
              <w:jc w:val="both"/>
            </w:pPr>
            <w:r>
              <w:t xml:space="preserve">- </w:t>
            </w:r>
            <w:r w:rsidR="00A824C1">
              <w:t>Likuma 17</w:t>
            </w:r>
            <w:r w:rsidR="008D5861">
              <w:t>.</w:t>
            </w:r>
            <w:r w:rsidR="00A824C1" w:rsidRPr="00050101">
              <w:rPr>
                <w:vertAlign w:val="superscript"/>
              </w:rPr>
              <w:t>1</w:t>
            </w:r>
            <w:r w:rsidR="008D5861">
              <w:rPr>
                <w:vertAlign w:val="superscript"/>
              </w:rPr>
              <w:t xml:space="preserve"> </w:t>
            </w:r>
            <w:r w:rsidR="00A824C1">
              <w:t>pant</w:t>
            </w:r>
            <w:r w:rsidR="005C3306">
              <w:t>ā</w:t>
            </w:r>
            <w:r w:rsidR="00A824C1">
              <w:t xml:space="preserve"> precizēt</w:t>
            </w:r>
            <w:r w:rsidR="005C3306">
              <w:t>as</w:t>
            </w:r>
            <w:r w:rsidR="00A824C1">
              <w:t xml:space="preserve"> person</w:t>
            </w:r>
            <w:r w:rsidR="005C3306">
              <w:t>as</w:t>
            </w:r>
            <w:r w:rsidR="00A824C1">
              <w:t>, kuras var pārsūdzēt Uzraudzības iestādes lēmumu par pagaidu noregulējumu.</w:t>
            </w:r>
          </w:p>
          <w:p w:rsidR="00580BD3" w:rsidRDefault="00894AD2" w:rsidP="00580BD3">
            <w:pPr>
              <w:jc w:val="both"/>
            </w:pPr>
            <w:r>
              <w:t xml:space="preserve">- </w:t>
            </w:r>
            <w:r w:rsidR="004D2C31">
              <w:t>Likumprojekta 1</w:t>
            </w:r>
            <w:r w:rsidR="00871CD0">
              <w:t>4</w:t>
            </w:r>
            <w:r w:rsidR="004D2C31">
              <w:t xml:space="preserve">.pants novērš atsauču uz  </w:t>
            </w:r>
            <w:r w:rsidR="004D2C31" w:rsidRPr="006F40AF">
              <w:t>Eiropas Parlamenta un Padomes</w:t>
            </w:r>
            <w:r w:rsidR="004D2C31">
              <w:t xml:space="preserve"> direktīv</w:t>
            </w:r>
            <w:r w:rsidR="006C13A1">
              <w:t>ām</w:t>
            </w:r>
            <w:r w:rsidR="004D2C31">
              <w:t xml:space="preserve"> dublēšanu</w:t>
            </w:r>
            <w:r w:rsidR="00942AB0">
              <w:t xml:space="preserve">, kā arī papildina sarakstu ar </w:t>
            </w:r>
            <w:r w:rsidR="00580BD3">
              <w:t>Direktīvu</w:t>
            </w:r>
            <w:r w:rsidR="00AA0FF8">
              <w:t xml:space="preserve"> </w:t>
            </w:r>
            <w:r w:rsidR="00AA0FF8" w:rsidRPr="00AA0FF8">
              <w:t>2009/22/EK</w:t>
            </w:r>
            <w:r w:rsidR="00580BD3">
              <w:t>, kuras norma</w:t>
            </w:r>
            <w:r w:rsidR="00AA0FF8">
              <w:t>s</w:t>
            </w:r>
            <w:r w:rsidR="00580BD3">
              <w:t xml:space="preserve"> ir iestrādāta</w:t>
            </w:r>
            <w:r w:rsidR="00AA0FF8">
              <w:t>s</w:t>
            </w:r>
            <w:r w:rsidR="00580BD3">
              <w:t xml:space="preserve"> likumprojektā</w:t>
            </w:r>
            <w:r w:rsidR="00AA0FF8">
              <w:t>, lai novērstu pārkāpuma procedūru</w:t>
            </w:r>
            <w:r w:rsidR="004D2C31">
              <w:t xml:space="preserve">. </w:t>
            </w:r>
          </w:p>
          <w:p w:rsidR="00415045" w:rsidRPr="00B93ED6" w:rsidRDefault="00C33EB4" w:rsidP="00580BD3">
            <w:pPr>
              <w:jc w:val="both"/>
            </w:pPr>
            <w:r>
              <w:t xml:space="preserve">Likumprojekts pilnībā atrisina Anotācijas I daļas </w:t>
            </w:r>
            <w:r w:rsidR="00D574E1">
              <w:t>2</w:t>
            </w:r>
            <w:r>
              <w:t>.punktā minētās problēmas.</w:t>
            </w:r>
          </w:p>
        </w:tc>
      </w:tr>
      <w:tr w:rsidR="0051699D" w:rsidRPr="002746DC">
        <w:trPr>
          <w:trHeight w:val="476"/>
        </w:trPr>
        <w:tc>
          <w:tcPr>
            <w:tcW w:w="485" w:type="dxa"/>
          </w:tcPr>
          <w:p w:rsidR="0051699D" w:rsidRPr="002862D0" w:rsidRDefault="0051699D" w:rsidP="006C4607">
            <w:pPr>
              <w:pStyle w:val="naiskr"/>
              <w:spacing w:before="0" w:after="0"/>
            </w:pPr>
            <w:r w:rsidRPr="002862D0">
              <w:lastRenderedPageBreak/>
              <w:t>5.</w:t>
            </w:r>
          </w:p>
        </w:tc>
        <w:tc>
          <w:tcPr>
            <w:tcW w:w="1435" w:type="dxa"/>
          </w:tcPr>
          <w:p w:rsidR="0051699D" w:rsidRPr="002862D0" w:rsidRDefault="0051699D" w:rsidP="006C4607">
            <w:pPr>
              <w:pStyle w:val="naiskr"/>
              <w:spacing w:before="0" w:after="0"/>
            </w:pPr>
            <w:r w:rsidRPr="002862D0">
              <w:t>Projekta izstrādē iesaistītās institūcijas</w:t>
            </w:r>
          </w:p>
        </w:tc>
        <w:tc>
          <w:tcPr>
            <w:tcW w:w="7560" w:type="dxa"/>
          </w:tcPr>
          <w:p w:rsidR="0051699D" w:rsidRDefault="000B1045" w:rsidP="00A75655">
            <w:pPr>
              <w:pStyle w:val="naiskr"/>
              <w:spacing w:before="0" w:after="0"/>
              <w:jc w:val="both"/>
            </w:pPr>
            <w:r>
              <w:t>Ekonomikas ministrija un Patērētāju tiesību aizsardzības centrs</w:t>
            </w:r>
            <w:r w:rsidR="004632EF">
              <w:t>.</w:t>
            </w:r>
          </w:p>
          <w:p w:rsidR="005C762D" w:rsidRPr="000B1045" w:rsidRDefault="005C762D" w:rsidP="00A75655">
            <w:pPr>
              <w:pStyle w:val="naiskr"/>
              <w:spacing w:before="0" w:after="0"/>
              <w:jc w:val="both"/>
              <w:rPr>
                <w:sz w:val="28"/>
                <w:szCs w:val="28"/>
              </w:rPr>
            </w:pPr>
            <w:r>
              <w:t xml:space="preserve">2011.gada 10.maijā Ekonomikas ministrija izstrādāto likumprojektu nosūtīja Patērētāju tiesību aizsardzības centram, Konkurences padomei, Nacionālajai elektronisko plašsaziņas līdzekļu padomei, Veselības inspekcijai un Pārtikas un veterinārajam dienestam apspriešanai. Iestāžu sniegtie priekšlikumi tika ņemti vērā, izstrādājot likumprojektu un </w:t>
            </w:r>
            <w:r w:rsidR="00253E94">
              <w:t xml:space="preserve">tā </w:t>
            </w:r>
            <w:r>
              <w:t>anotāciju.</w:t>
            </w:r>
          </w:p>
        </w:tc>
      </w:tr>
      <w:tr w:rsidR="007877F8" w:rsidRPr="002746DC">
        <w:trPr>
          <w:trHeight w:val="1340"/>
        </w:trPr>
        <w:tc>
          <w:tcPr>
            <w:tcW w:w="485" w:type="dxa"/>
          </w:tcPr>
          <w:p w:rsidR="007877F8" w:rsidRPr="002862D0" w:rsidRDefault="007877F8" w:rsidP="007877F8">
            <w:pPr>
              <w:pStyle w:val="naiskr"/>
              <w:spacing w:before="0" w:after="0"/>
            </w:pPr>
            <w:r w:rsidRPr="002862D0">
              <w:t>6.</w:t>
            </w:r>
          </w:p>
        </w:tc>
        <w:tc>
          <w:tcPr>
            <w:tcW w:w="1435" w:type="dxa"/>
          </w:tcPr>
          <w:p w:rsidR="007877F8" w:rsidRPr="002862D0" w:rsidRDefault="007877F8" w:rsidP="007877F8">
            <w:pPr>
              <w:pStyle w:val="naiskr"/>
              <w:spacing w:before="0" w:after="0"/>
              <w:rPr>
                <w:i/>
                <w:highlight w:val="yellow"/>
              </w:rPr>
            </w:pPr>
            <w:r w:rsidRPr="002862D0">
              <w:t>Iemesli, kādēļ netika nodrošināta sabiedrības līdzdalība</w:t>
            </w:r>
          </w:p>
        </w:tc>
        <w:tc>
          <w:tcPr>
            <w:tcW w:w="7560" w:type="dxa"/>
          </w:tcPr>
          <w:p w:rsidR="007877F8" w:rsidRPr="002746DC" w:rsidRDefault="00912A08" w:rsidP="000B1045">
            <w:pPr>
              <w:pStyle w:val="FootnoteText"/>
              <w:rPr>
                <w:sz w:val="28"/>
                <w:szCs w:val="28"/>
              </w:rPr>
            </w:pPr>
            <w:r w:rsidRPr="00912A08">
              <w:rPr>
                <w:sz w:val="24"/>
                <w:szCs w:val="24"/>
              </w:rPr>
              <w:t>Projekts šo jomu neskar</w:t>
            </w:r>
          </w:p>
        </w:tc>
      </w:tr>
      <w:tr w:rsidR="007877F8" w:rsidRPr="002746DC">
        <w:tc>
          <w:tcPr>
            <w:tcW w:w="485" w:type="dxa"/>
          </w:tcPr>
          <w:p w:rsidR="007877F8" w:rsidRPr="002862D0" w:rsidRDefault="007877F8" w:rsidP="007877F8">
            <w:pPr>
              <w:pStyle w:val="naiskr"/>
              <w:spacing w:before="0" w:after="0"/>
            </w:pPr>
            <w:r w:rsidRPr="002862D0">
              <w:t>7.</w:t>
            </w:r>
          </w:p>
        </w:tc>
        <w:tc>
          <w:tcPr>
            <w:tcW w:w="1435" w:type="dxa"/>
          </w:tcPr>
          <w:p w:rsidR="007877F8" w:rsidRPr="002862D0" w:rsidRDefault="007877F8" w:rsidP="007877F8">
            <w:pPr>
              <w:pStyle w:val="naiskr"/>
              <w:spacing w:before="0" w:after="0"/>
            </w:pPr>
            <w:r w:rsidRPr="002862D0">
              <w:t>Cita informācija</w:t>
            </w:r>
          </w:p>
        </w:tc>
        <w:tc>
          <w:tcPr>
            <w:tcW w:w="7560" w:type="dxa"/>
          </w:tcPr>
          <w:p w:rsidR="007C7307" w:rsidRPr="009B3E26" w:rsidRDefault="00E35A81" w:rsidP="00484B9A">
            <w:pPr>
              <w:pStyle w:val="naiskr"/>
              <w:spacing w:before="0" w:after="0"/>
              <w:jc w:val="both"/>
            </w:pPr>
            <w:r>
              <w:t>Nav</w:t>
            </w:r>
          </w:p>
        </w:tc>
      </w:tr>
    </w:tbl>
    <w:p w:rsidR="00C97A84" w:rsidRDefault="00C97A84" w:rsidP="00C97A84">
      <w:pPr>
        <w:spacing w:line="270" w:lineRule="atLeast"/>
        <w:rPr>
          <w:rStyle w:val="apple-style-span"/>
          <w:color w:val="000000"/>
          <w:sz w:val="28"/>
          <w:szCs w:val="28"/>
        </w:rPr>
      </w:pPr>
    </w:p>
    <w:p w:rsidR="004729AF" w:rsidRPr="00E20AE9" w:rsidRDefault="004729AF" w:rsidP="00C97A84">
      <w:pPr>
        <w:spacing w:line="270" w:lineRule="atLeast"/>
        <w:rPr>
          <w:rStyle w:val="apple-style-span"/>
          <w:color w:val="000000"/>
          <w:sz w:val="28"/>
          <w:szCs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84"/>
        <w:gridCol w:w="3812"/>
        <w:gridCol w:w="5102"/>
      </w:tblGrid>
      <w:tr w:rsidR="00C97A84" w:rsidRPr="00E20AE9" w:rsidTr="00E20AE9">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C97A84" w:rsidRPr="00E82CCB" w:rsidRDefault="00C97A84" w:rsidP="00C4491E">
            <w:pPr>
              <w:pStyle w:val="NormalWeb"/>
              <w:jc w:val="center"/>
              <w:rPr>
                <w:b/>
                <w:bCs/>
                <w:sz w:val="26"/>
                <w:szCs w:val="26"/>
              </w:rPr>
            </w:pPr>
            <w:r w:rsidRPr="00E82CCB">
              <w:rPr>
                <w:b/>
                <w:bCs/>
                <w:sz w:val="26"/>
                <w:szCs w:val="26"/>
              </w:rPr>
              <w:t>II. Tiesību akta projekta ietekme uz sabiedrību</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1.</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 xml:space="preserve">Sabiedrības </w:t>
            </w:r>
            <w:proofErr w:type="spellStart"/>
            <w:r w:rsidRPr="00E82CCB">
              <w:t>mērķgrupa</w:t>
            </w:r>
            <w:proofErr w:type="spellEnd"/>
          </w:p>
        </w:tc>
        <w:tc>
          <w:tcPr>
            <w:tcW w:w="2686" w:type="pct"/>
            <w:tcBorders>
              <w:top w:val="outset" w:sz="6" w:space="0" w:color="000000"/>
              <w:left w:val="outset" w:sz="6" w:space="0" w:color="000000"/>
              <w:bottom w:val="outset" w:sz="6" w:space="0" w:color="000000"/>
              <w:right w:val="outset" w:sz="6" w:space="0" w:color="000000"/>
            </w:tcBorders>
          </w:tcPr>
          <w:p w:rsidR="0069502B" w:rsidRPr="00E82CCB" w:rsidRDefault="00AB326B" w:rsidP="00E36C93">
            <w:pPr>
              <w:pStyle w:val="NormalWeb"/>
              <w:spacing w:before="0" w:beforeAutospacing="0" w:after="0" w:afterAutospacing="0"/>
              <w:jc w:val="both"/>
            </w:pPr>
            <w:r>
              <w:t>Reklāmas devēji, reklāmas izgatavotāji, reklāmas izplatītāji</w:t>
            </w:r>
            <w:r w:rsidR="00E36C93">
              <w:t xml:space="preserve">, personas, kuras vēršas uzraudzības iestādē ar iesniegumu par reklāmas neatbilstību </w:t>
            </w:r>
            <w:r w:rsidR="00E36C93">
              <w:lastRenderedPageBreak/>
              <w:t>normatīvo aktu prasībām</w:t>
            </w:r>
            <w:r w:rsidR="00447D55">
              <w:t>.</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lastRenderedPageBreak/>
              <w:t>2.</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Citas sabiedrības grupas (bez mērķgrupas), kuras tiesiskais regulējums arī ietekmē vai varētu ietekmēt</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9B6822" w:rsidP="00A8742A">
            <w:pPr>
              <w:pStyle w:val="NormalWeb"/>
              <w:jc w:val="both"/>
            </w:pPr>
            <w:r w:rsidRPr="004D76FD">
              <w:t>Projekts šo jomu neskar</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3.</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Tiesiskā regulējuma finansiālā ietekme</w:t>
            </w:r>
          </w:p>
        </w:tc>
        <w:tc>
          <w:tcPr>
            <w:tcW w:w="2686" w:type="pct"/>
            <w:tcBorders>
              <w:top w:val="outset" w:sz="6" w:space="0" w:color="000000"/>
              <w:left w:val="outset" w:sz="6" w:space="0" w:color="000000"/>
              <w:bottom w:val="outset" w:sz="6" w:space="0" w:color="000000"/>
              <w:right w:val="outset" w:sz="6" w:space="0" w:color="000000"/>
            </w:tcBorders>
          </w:tcPr>
          <w:p w:rsidR="00253580" w:rsidRPr="00A67BA3" w:rsidRDefault="009B6822" w:rsidP="00666E2D">
            <w:pPr>
              <w:pStyle w:val="NormalWeb"/>
              <w:spacing w:before="0" w:beforeAutospacing="0" w:after="0" w:afterAutospacing="0"/>
              <w:jc w:val="both"/>
              <w:rPr>
                <w:color w:val="FF0000"/>
              </w:rPr>
            </w:pPr>
            <w:r w:rsidRPr="004D76FD">
              <w:t>Projekts šo jomu neskar</w:t>
            </w:r>
            <w:r w:rsidR="00786A20" w:rsidRPr="00321646">
              <w:rPr>
                <w:color w:val="FF0000"/>
              </w:rPr>
              <w:t xml:space="preserve"> </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4.</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1B7FFE">
              <w:t>Tiesiskā</w:t>
            </w:r>
            <w:r w:rsidRPr="00E82CCB">
              <w:t xml:space="preserve"> regulējuma nefinansiālā ietekme</w:t>
            </w:r>
          </w:p>
        </w:tc>
        <w:tc>
          <w:tcPr>
            <w:tcW w:w="2686" w:type="pct"/>
            <w:tcBorders>
              <w:top w:val="outset" w:sz="6" w:space="0" w:color="000000"/>
              <w:left w:val="outset" w:sz="6" w:space="0" w:color="000000"/>
              <w:bottom w:val="outset" w:sz="6" w:space="0" w:color="000000"/>
              <w:right w:val="outset" w:sz="6" w:space="0" w:color="000000"/>
            </w:tcBorders>
          </w:tcPr>
          <w:p w:rsidR="001B7FFE" w:rsidRDefault="00E83CC3" w:rsidP="00A67BA3">
            <w:pPr>
              <w:pStyle w:val="NormalWeb"/>
              <w:spacing w:before="0" w:beforeAutospacing="0" w:after="0" w:afterAutospacing="0"/>
              <w:jc w:val="both"/>
            </w:pPr>
            <w:r>
              <w:t>Likumprojekt</w:t>
            </w:r>
            <w:r w:rsidR="00A67BA3">
              <w:t xml:space="preserve">s </w:t>
            </w:r>
            <w:r w:rsidR="001B7FFE">
              <w:t>ne</w:t>
            </w:r>
            <w:r w:rsidR="00A67BA3">
              <w:t>nosaka jaunu</w:t>
            </w:r>
            <w:r w:rsidR="001B7FFE">
              <w:t>s</w:t>
            </w:r>
            <w:r w:rsidR="00A67BA3">
              <w:t xml:space="preserve"> tiesisku</w:t>
            </w:r>
            <w:r w:rsidR="001B7FFE">
              <w:t>s</w:t>
            </w:r>
            <w:r w:rsidR="00A67BA3">
              <w:t xml:space="preserve"> pienākumu</w:t>
            </w:r>
            <w:r w:rsidR="001B7FFE">
              <w:t>s</w:t>
            </w:r>
            <w:r w:rsidR="00A67BA3">
              <w:t xml:space="preserve"> </w:t>
            </w:r>
            <w:r w:rsidR="001B7FFE" w:rsidRPr="001B7FFE">
              <w:t>reklāmas devējam, reklāmas izgatavotājam vai reklāmas izplatītājam</w:t>
            </w:r>
            <w:r w:rsidR="001B7FFE">
              <w:t>.</w:t>
            </w:r>
          </w:p>
          <w:p w:rsidR="00C97A84" w:rsidRPr="00E82CCB" w:rsidRDefault="00C97A84" w:rsidP="00A67BA3">
            <w:pPr>
              <w:pStyle w:val="NormalWeb"/>
              <w:spacing w:before="0" w:beforeAutospacing="0" w:after="0" w:afterAutospacing="0"/>
              <w:jc w:val="both"/>
            </w:pP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5.</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Administratīvās procedūras raksturojums</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956EB5" w:rsidP="00956EB5">
            <w:pPr>
              <w:pStyle w:val="NormalWeb"/>
              <w:jc w:val="both"/>
              <w:rPr>
                <w:highlight w:val="yellow"/>
              </w:rPr>
            </w:pPr>
            <w:r w:rsidRPr="00E82CCB">
              <w:t xml:space="preserve">Indivīds savas tiesības varēs aizstāvēt normatīvajos </w:t>
            </w:r>
            <w:smartTag w:uri="schemas-tilde-lv/tildestengine" w:element="veidnes">
              <w:smartTagPr>
                <w:attr w:name="baseform" w:val="akt|s"/>
                <w:attr w:name="id" w:val="-1"/>
                <w:attr w:name="text" w:val="aktos"/>
              </w:smartTagPr>
              <w:r w:rsidRPr="00E82CCB">
                <w:t>aktos</w:t>
              </w:r>
            </w:smartTag>
            <w:r w:rsidRPr="00E82CCB">
              <w:t xml:space="preserve"> noteiktajā kārtībā (</w:t>
            </w:r>
            <w:r w:rsidR="00055275" w:rsidRPr="00E82CCB">
              <w:t>Administrat</w:t>
            </w:r>
            <w:r w:rsidRPr="00E82CCB">
              <w:t>īvā procesa likums)</w:t>
            </w:r>
            <w:r w:rsidR="00C565D0" w:rsidRPr="00E82CCB">
              <w:t>.</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6.</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Administratīvo izmaksu monetārs novērtējums</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A924B0" w:rsidP="00E83CC3">
            <w:pPr>
              <w:pStyle w:val="NormalWeb"/>
              <w:jc w:val="both"/>
              <w:rPr>
                <w:color w:val="000000"/>
              </w:rPr>
            </w:pPr>
            <w:r w:rsidRPr="00E82CCB">
              <w:rPr>
                <w:rStyle w:val="apple-style-span"/>
                <w:color w:val="000000"/>
              </w:rPr>
              <w:t>Administratīvā procesa likumā noteiktā valsts nodeva 20 latu apmērā par pieteikumu par lietas ierosināšanu tiesā.</w:t>
            </w:r>
          </w:p>
        </w:tc>
      </w:tr>
      <w:tr w:rsidR="00C97A84" w:rsidRPr="00E20AE9" w:rsidTr="002A2650">
        <w:tc>
          <w:tcPr>
            <w:tcW w:w="3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7.</w:t>
            </w:r>
          </w:p>
        </w:tc>
        <w:tc>
          <w:tcPr>
            <w:tcW w:w="2007" w:type="pct"/>
            <w:tcBorders>
              <w:top w:val="outset" w:sz="6" w:space="0" w:color="000000"/>
              <w:left w:val="outset" w:sz="6" w:space="0" w:color="000000"/>
              <w:bottom w:val="outset" w:sz="6" w:space="0" w:color="000000"/>
              <w:right w:val="outset" w:sz="6" w:space="0" w:color="000000"/>
            </w:tcBorders>
          </w:tcPr>
          <w:p w:rsidR="00C97A84" w:rsidRPr="00E82CCB" w:rsidRDefault="00C97A84" w:rsidP="00C4491E">
            <w:pPr>
              <w:pStyle w:val="NormalWeb"/>
            </w:pPr>
            <w:r w:rsidRPr="00E82CCB">
              <w:t>Cita informācija</w:t>
            </w:r>
          </w:p>
        </w:tc>
        <w:tc>
          <w:tcPr>
            <w:tcW w:w="2686" w:type="pct"/>
            <w:tcBorders>
              <w:top w:val="outset" w:sz="6" w:space="0" w:color="000000"/>
              <w:left w:val="outset" w:sz="6" w:space="0" w:color="000000"/>
              <w:bottom w:val="outset" w:sz="6" w:space="0" w:color="000000"/>
              <w:right w:val="outset" w:sz="6" w:space="0" w:color="000000"/>
            </w:tcBorders>
          </w:tcPr>
          <w:p w:rsidR="00C97A84" w:rsidRPr="00E82CCB" w:rsidRDefault="00C565D0" w:rsidP="00C4491E">
            <w:pPr>
              <w:pStyle w:val="NormalWeb"/>
            </w:pPr>
            <w:r w:rsidRPr="00E82CCB">
              <w:t>Nav</w:t>
            </w:r>
          </w:p>
        </w:tc>
      </w:tr>
    </w:tbl>
    <w:p w:rsidR="008D5861" w:rsidRDefault="008D5861" w:rsidP="003124E6"/>
    <w:p w:rsidR="004729AF" w:rsidRDefault="004729AF" w:rsidP="003124E6"/>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498"/>
      </w:tblGrid>
      <w:tr w:rsidR="008D5861" w:rsidRPr="008D5861" w:rsidTr="008D5861">
        <w:tc>
          <w:tcPr>
            <w:tcW w:w="5000" w:type="pct"/>
            <w:tcBorders>
              <w:top w:val="single" w:sz="4" w:space="0" w:color="auto"/>
              <w:left w:val="outset" w:sz="6" w:space="0" w:color="000000"/>
              <w:bottom w:val="outset" w:sz="6" w:space="0" w:color="000000"/>
              <w:right w:val="outset" w:sz="6" w:space="0" w:color="000000"/>
            </w:tcBorders>
            <w:hideMark/>
          </w:tcPr>
          <w:p w:rsidR="008D5861" w:rsidRPr="008D5861" w:rsidRDefault="008D5861" w:rsidP="008D5861">
            <w:pPr>
              <w:pStyle w:val="NormalWeb"/>
              <w:jc w:val="center"/>
              <w:rPr>
                <w:b/>
                <w:bCs/>
              </w:rPr>
            </w:pPr>
            <w:r w:rsidRPr="008D5861">
              <w:rPr>
                <w:b/>
                <w:bCs/>
              </w:rPr>
              <w:t>III. Tiesību akta projekta ietekme uz valsts budžetu un pašvaldību budžetiem</w:t>
            </w:r>
          </w:p>
        </w:tc>
      </w:tr>
      <w:tr w:rsidR="008D5861" w:rsidRPr="002F1307" w:rsidTr="008D5861">
        <w:tc>
          <w:tcPr>
            <w:tcW w:w="5000" w:type="pct"/>
            <w:tcBorders>
              <w:top w:val="single" w:sz="4" w:space="0" w:color="auto"/>
              <w:left w:val="outset" w:sz="6" w:space="0" w:color="000000"/>
              <w:bottom w:val="outset" w:sz="6" w:space="0" w:color="000000"/>
              <w:right w:val="outset" w:sz="6" w:space="0" w:color="000000"/>
            </w:tcBorders>
            <w:hideMark/>
          </w:tcPr>
          <w:p w:rsidR="008D5861" w:rsidRPr="008D5861" w:rsidRDefault="008D5861" w:rsidP="008D5861">
            <w:pPr>
              <w:pStyle w:val="NormalWeb"/>
              <w:jc w:val="center"/>
              <w:rPr>
                <w:bCs/>
                <w:sz w:val="26"/>
                <w:szCs w:val="26"/>
              </w:rPr>
            </w:pPr>
            <w:r w:rsidRPr="008D5861">
              <w:rPr>
                <w:bCs/>
                <w:sz w:val="26"/>
                <w:szCs w:val="26"/>
              </w:rPr>
              <w:t>Projekts šo jomu neskar</w:t>
            </w:r>
          </w:p>
        </w:tc>
      </w:tr>
    </w:tbl>
    <w:p w:rsidR="008D5861" w:rsidRDefault="008D5861" w:rsidP="003124E6"/>
    <w:tbl>
      <w:tblPr>
        <w:tblW w:w="948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988"/>
        <w:gridCol w:w="6096"/>
      </w:tblGrid>
      <w:tr w:rsidR="00270FB4" w:rsidRPr="00711F59" w:rsidTr="00270FB4">
        <w:trPr>
          <w:jc w:val="center"/>
        </w:trPr>
        <w:tc>
          <w:tcPr>
            <w:tcW w:w="9480" w:type="dxa"/>
            <w:gridSpan w:val="3"/>
          </w:tcPr>
          <w:p w:rsidR="00270FB4" w:rsidRPr="007C0F2C" w:rsidRDefault="00270FB4" w:rsidP="00F523A8">
            <w:pPr>
              <w:pStyle w:val="naisnod"/>
              <w:spacing w:before="0" w:after="0"/>
            </w:pPr>
            <w:r w:rsidRPr="007C0F2C">
              <w:t>IV. Tiesību akta projekta ietekme uz spēkā esošo tiesību normu sistēmu</w:t>
            </w:r>
          </w:p>
        </w:tc>
      </w:tr>
      <w:tr w:rsidR="00270FB4" w:rsidRPr="009A542B" w:rsidTr="00270FB4">
        <w:trPr>
          <w:jc w:val="center"/>
        </w:trPr>
        <w:tc>
          <w:tcPr>
            <w:tcW w:w="271" w:type="dxa"/>
          </w:tcPr>
          <w:p w:rsidR="00270FB4" w:rsidRPr="009A542B" w:rsidRDefault="00270FB4" w:rsidP="00F523A8">
            <w:pPr>
              <w:pStyle w:val="naiskr"/>
              <w:tabs>
                <w:tab w:val="left" w:pos="2628"/>
              </w:tabs>
              <w:spacing w:before="0" w:after="0"/>
              <w:jc w:val="both"/>
              <w:rPr>
                <w:iCs/>
              </w:rPr>
            </w:pPr>
            <w:r w:rsidRPr="009A542B">
              <w:rPr>
                <w:iCs/>
              </w:rPr>
              <w:t>1.</w:t>
            </w:r>
          </w:p>
        </w:tc>
        <w:tc>
          <w:tcPr>
            <w:tcW w:w="3018" w:type="dxa"/>
          </w:tcPr>
          <w:p w:rsidR="00270FB4" w:rsidRPr="009A542B" w:rsidRDefault="00270FB4" w:rsidP="00F523A8">
            <w:pPr>
              <w:pStyle w:val="naiskr"/>
              <w:tabs>
                <w:tab w:val="left" w:pos="2628"/>
              </w:tabs>
              <w:spacing w:before="0" w:after="0"/>
              <w:rPr>
                <w:iCs/>
              </w:rPr>
            </w:pPr>
            <w:r w:rsidRPr="009A542B">
              <w:t>Nepieciešamie saistītie tiesību aktu projekti</w:t>
            </w:r>
          </w:p>
        </w:tc>
        <w:tc>
          <w:tcPr>
            <w:tcW w:w="6191" w:type="dxa"/>
          </w:tcPr>
          <w:p w:rsidR="00270FB4" w:rsidRPr="006178D0" w:rsidRDefault="00270FB4" w:rsidP="00F523A8">
            <w:pPr>
              <w:pStyle w:val="naiskr"/>
              <w:tabs>
                <w:tab w:val="left" w:pos="2628"/>
              </w:tabs>
              <w:spacing w:before="0" w:after="0"/>
              <w:jc w:val="both"/>
            </w:pPr>
            <w:r>
              <w:t xml:space="preserve">Efektīvai </w:t>
            </w:r>
            <w:r w:rsidRPr="00BF0A75">
              <w:t>PTAC</w:t>
            </w:r>
            <w:r>
              <w:t xml:space="preserve"> un KP funkciju turpmākai īstenošanai nepieciešams, lai iespējamie pārkāpumi reklāmas un komercprakses jomā tiktu izskatīti Administratīvā procesa likumā noteiktajā kārtībā saskaņā ar speciālo regulējumu, kas tiks noteikts L</w:t>
            </w:r>
            <w:r w:rsidR="000147BC">
              <w:t>ikumā</w:t>
            </w:r>
            <w:r>
              <w:t xml:space="preserve"> un </w:t>
            </w:r>
            <w:r w:rsidR="000147BC">
              <w:t>Negodīgas komercprakses likumā</w:t>
            </w:r>
            <w:r>
              <w:t xml:space="preserve">.  Sakarā ar grozījumiem iepriekš minētajos likumos nepieciešams izslēgt no </w:t>
            </w:r>
            <w:r w:rsidR="000147BC">
              <w:rPr>
                <w:iCs/>
              </w:rPr>
              <w:t>Latvijas Administratīvo pārkāpumu kodeksa</w:t>
            </w:r>
            <w:r w:rsidR="000147BC">
              <w:t xml:space="preserve"> </w:t>
            </w:r>
            <w:r>
              <w:t>pantus par pārkāpumiem reklāmas un komercprakses jomā, kā arī atsauces uz izslēdzamajiem pantiem.</w:t>
            </w:r>
          </w:p>
          <w:p w:rsidR="00270FB4" w:rsidRPr="009A542B" w:rsidRDefault="00270FB4" w:rsidP="00270FB4">
            <w:pPr>
              <w:pStyle w:val="naiskr"/>
              <w:tabs>
                <w:tab w:val="left" w:pos="2628"/>
              </w:tabs>
              <w:spacing w:before="0" w:after="0"/>
              <w:jc w:val="both"/>
              <w:rPr>
                <w:iCs/>
              </w:rPr>
            </w:pPr>
            <w:r>
              <w:rPr>
                <w:iCs/>
              </w:rPr>
              <w:t xml:space="preserve">Likumprojekts izstrādāts, lai nodrošinātu saistīto likumprojektu „Grozījumi Latvijas Administratīvo pārkāpumu kodeksā” un „Grozījumi Negodīgas komercprakses aizlieguma likumā” (VSS-1281, 17.11.2011., prot.Nr.45.) vienlaicīgu spēkā stāšanos. </w:t>
            </w:r>
          </w:p>
        </w:tc>
      </w:tr>
      <w:tr w:rsidR="00270FB4" w:rsidRPr="009A542B" w:rsidTr="00270FB4">
        <w:trPr>
          <w:jc w:val="center"/>
        </w:trPr>
        <w:tc>
          <w:tcPr>
            <w:tcW w:w="271" w:type="dxa"/>
          </w:tcPr>
          <w:p w:rsidR="00270FB4" w:rsidRPr="009A542B" w:rsidRDefault="00270FB4" w:rsidP="00F523A8">
            <w:pPr>
              <w:pStyle w:val="naiskr"/>
              <w:tabs>
                <w:tab w:val="left" w:pos="2628"/>
              </w:tabs>
              <w:spacing w:before="0" w:after="0"/>
              <w:jc w:val="both"/>
              <w:rPr>
                <w:iCs/>
              </w:rPr>
            </w:pPr>
            <w:r w:rsidRPr="009A542B">
              <w:rPr>
                <w:iCs/>
              </w:rPr>
              <w:t>2.</w:t>
            </w:r>
          </w:p>
        </w:tc>
        <w:tc>
          <w:tcPr>
            <w:tcW w:w="3018" w:type="dxa"/>
          </w:tcPr>
          <w:p w:rsidR="00270FB4" w:rsidRPr="009A542B" w:rsidRDefault="00270FB4" w:rsidP="00F523A8">
            <w:pPr>
              <w:pStyle w:val="naiskr"/>
              <w:tabs>
                <w:tab w:val="left" w:pos="2628"/>
              </w:tabs>
              <w:spacing w:before="0" w:after="0"/>
              <w:rPr>
                <w:iCs/>
              </w:rPr>
            </w:pPr>
            <w:r w:rsidRPr="009A542B">
              <w:t>Cita informācija</w:t>
            </w:r>
          </w:p>
        </w:tc>
        <w:tc>
          <w:tcPr>
            <w:tcW w:w="6191" w:type="dxa"/>
          </w:tcPr>
          <w:p w:rsidR="00270FB4" w:rsidRPr="009A542B" w:rsidRDefault="00270FB4" w:rsidP="00F523A8">
            <w:pPr>
              <w:pStyle w:val="naiskr"/>
              <w:tabs>
                <w:tab w:val="left" w:pos="2628"/>
              </w:tabs>
              <w:spacing w:before="0" w:after="0"/>
              <w:jc w:val="both"/>
              <w:rPr>
                <w:iCs/>
              </w:rPr>
            </w:pPr>
            <w:r w:rsidRPr="009A542B">
              <w:t>Nav</w:t>
            </w:r>
          </w:p>
        </w:tc>
      </w:tr>
    </w:tbl>
    <w:p w:rsidR="00270FB4" w:rsidRDefault="00270FB4" w:rsidP="008D5861">
      <w:pPr>
        <w:pStyle w:val="NormalWeb"/>
        <w:spacing w:before="0" w:beforeAutospacing="0" w:after="0" w:afterAutospacing="0"/>
        <w:rPr>
          <w:b/>
          <w:i/>
          <w:color w:val="000000"/>
        </w:rPr>
      </w:pPr>
    </w:p>
    <w:tbl>
      <w:tblPr>
        <w:tblW w:w="9498"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51"/>
        <w:gridCol w:w="3118"/>
        <w:gridCol w:w="5529"/>
      </w:tblGrid>
      <w:tr w:rsidR="00CF0572" w:rsidRPr="00BA3C4F" w:rsidTr="001E7D3D">
        <w:tc>
          <w:tcPr>
            <w:tcW w:w="9498" w:type="dxa"/>
            <w:gridSpan w:val="3"/>
            <w:tcBorders>
              <w:top w:val="outset" w:sz="6" w:space="0" w:color="auto"/>
              <w:left w:val="outset" w:sz="6" w:space="0" w:color="auto"/>
              <w:bottom w:val="outset" w:sz="6" w:space="0" w:color="auto"/>
              <w:right w:val="outset" w:sz="6" w:space="0" w:color="auto"/>
            </w:tcBorders>
            <w:vAlign w:val="center"/>
          </w:tcPr>
          <w:p w:rsidR="00CF0572" w:rsidRPr="00BA3C4F" w:rsidRDefault="00CF0572" w:rsidP="001E7D3D">
            <w:pPr>
              <w:jc w:val="center"/>
              <w:rPr>
                <w:b/>
              </w:rPr>
            </w:pPr>
            <w:r w:rsidRPr="00BA3C4F">
              <w:rPr>
                <w:b/>
              </w:rPr>
              <w:t>V. Tiesību akta projekta atbilstība Latvijas Republikas starptautiskajām saistībām</w:t>
            </w:r>
          </w:p>
        </w:tc>
      </w:tr>
      <w:tr w:rsidR="00CF0572" w:rsidRPr="00BA3C4F" w:rsidTr="001E7D3D">
        <w:tc>
          <w:tcPr>
            <w:tcW w:w="851"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1.</w:t>
            </w:r>
          </w:p>
        </w:tc>
        <w:tc>
          <w:tcPr>
            <w:tcW w:w="3118"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Saistības pret Eiropas Savienību</w:t>
            </w:r>
          </w:p>
        </w:tc>
        <w:tc>
          <w:tcPr>
            <w:tcW w:w="5529" w:type="dxa"/>
            <w:tcBorders>
              <w:top w:val="outset" w:sz="6" w:space="0" w:color="auto"/>
              <w:left w:val="outset" w:sz="6" w:space="0" w:color="auto"/>
              <w:bottom w:val="outset" w:sz="6" w:space="0" w:color="auto"/>
              <w:right w:val="outset" w:sz="6" w:space="0" w:color="auto"/>
            </w:tcBorders>
          </w:tcPr>
          <w:p w:rsidR="00CF0572" w:rsidRPr="00BA3C4F" w:rsidRDefault="00CF0572" w:rsidP="00411C5B">
            <w:pPr>
              <w:ind w:left="57"/>
            </w:pPr>
            <w:r w:rsidRPr="00E248E7">
              <w:t>Eiropas Parlamenta un  Padomes 2009.gada 23.aprīļa direktīvas 2009/22/EK par aizliegumiem saistībā ar patērētāju interešu aizsardzību, ar kuru atceļ un aizstāja Direktīvu 98/27/EK</w:t>
            </w:r>
            <w:r>
              <w:t>.</w:t>
            </w:r>
          </w:p>
        </w:tc>
      </w:tr>
      <w:tr w:rsidR="00CF0572" w:rsidRPr="00BA3C4F" w:rsidTr="001E7D3D">
        <w:tc>
          <w:tcPr>
            <w:tcW w:w="851"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2.</w:t>
            </w:r>
          </w:p>
        </w:tc>
        <w:tc>
          <w:tcPr>
            <w:tcW w:w="3118"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Citas starptautiskās saistības</w:t>
            </w:r>
          </w:p>
        </w:tc>
        <w:tc>
          <w:tcPr>
            <w:tcW w:w="5529"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t>Projekts šo jomu neskar</w:t>
            </w:r>
          </w:p>
        </w:tc>
      </w:tr>
      <w:tr w:rsidR="00CF0572" w:rsidRPr="00BA3C4F" w:rsidTr="001E7D3D">
        <w:tc>
          <w:tcPr>
            <w:tcW w:w="851"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3.</w:t>
            </w:r>
          </w:p>
        </w:tc>
        <w:tc>
          <w:tcPr>
            <w:tcW w:w="3118"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Cita informācija</w:t>
            </w:r>
          </w:p>
        </w:tc>
        <w:tc>
          <w:tcPr>
            <w:tcW w:w="5529"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Nav</w:t>
            </w:r>
          </w:p>
        </w:tc>
      </w:tr>
    </w:tbl>
    <w:p w:rsidR="00CF0572" w:rsidRPr="00BA3C4F" w:rsidRDefault="00CF0572" w:rsidP="00CF0572"/>
    <w:p w:rsidR="00CF0572" w:rsidRPr="002550F1" w:rsidRDefault="00CF0572" w:rsidP="00CF0572">
      <w:pPr>
        <w:rPr>
          <w:sz w:val="2"/>
          <w:szCs w:val="2"/>
        </w:rPr>
      </w:pPr>
    </w:p>
    <w:tbl>
      <w:tblPr>
        <w:tblW w:w="9782"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391"/>
        <w:gridCol w:w="1852"/>
        <w:gridCol w:w="2719"/>
        <w:gridCol w:w="2820"/>
      </w:tblGrid>
      <w:tr w:rsidR="00CF0572" w:rsidRPr="00BA3C4F" w:rsidTr="00C67E18">
        <w:trPr>
          <w:cantSplit/>
          <w:trHeight w:val="523"/>
        </w:trPr>
        <w:tc>
          <w:tcPr>
            <w:tcW w:w="9782" w:type="dxa"/>
            <w:gridSpan w:val="4"/>
            <w:tcBorders>
              <w:top w:val="outset" w:sz="6" w:space="0" w:color="auto"/>
              <w:left w:val="outset" w:sz="6" w:space="0" w:color="auto"/>
              <w:bottom w:val="outset" w:sz="6" w:space="0" w:color="auto"/>
              <w:right w:val="outset" w:sz="6" w:space="0" w:color="auto"/>
            </w:tcBorders>
            <w:vAlign w:val="center"/>
          </w:tcPr>
          <w:p w:rsidR="00CF0572" w:rsidRPr="00BA3C4F" w:rsidRDefault="00CF0572" w:rsidP="001E7D3D">
            <w:pPr>
              <w:ind w:left="57"/>
              <w:jc w:val="center"/>
              <w:rPr>
                <w:b/>
              </w:rPr>
            </w:pPr>
            <w:r w:rsidRPr="00BA3C4F">
              <w:rPr>
                <w:b/>
              </w:rPr>
              <w:t>1.tabula</w:t>
            </w:r>
          </w:p>
          <w:p w:rsidR="00CF0572" w:rsidRPr="00BA3C4F" w:rsidRDefault="00CF0572" w:rsidP="001E7D3D">
            <w:pPr>
              <w:ind w:left="57"/>
              <w:jc w:val="center"/>
            </w:pPr>
            <w:r w:rsidRPr="00BA3C4F">
              <w:rPr>
                <w:b/>
              </w:rPr>
              <w:t>Tiesību akta projekta atbilstība ES tiesību aktiem</w:t>
            </w:r>
          </w:p>
        </w:tc>
      </w:tr>
      <w:tr w:rsidR="00CF0572" w:rsidRPr="00BA3C4F" w:rsidTr="00C67E18">
        <w:trPr>
          <w:cantSplit/>
        </w:trPr>
        <w:tc>
          <w:tcPr>
            <w:tcW w:w="2391"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p>
        </w:tc>
        <w:tc>
          <w:tcPr>
            <w:tcW w:w="7391" w:type="dxa"/>
            <w:gridSpan w:val="3"/>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p>
        </w:tc>
      </w:tr>
      <w:tr w:rsidR="00CF0572" w:rsidRPr="00BA3C4F" w:rsidTr="00C67E18">
        <w:trPr>
          <w:cantSplit/>
        </w:trPr>
        <w:tc>
          <w:tcPr>
            <w:tcW w:w="2391" w:type="dxa"/>
            <w:tcBorders>
              <w:top w:val="outset" w:sz="6" w:space="0" w:color="auto"/>
              <w:left w:val="outset" w:sz="6" w:space="0" w:color="auto"/>
              <w:bottom w:val="outset" w:sz="6" w:space="0" w:color="auto"/>
              <w:right w:val="outset" w:sz="6" w:space="0" w:color="auto"/>
            </w:tcBorders>
            <w:vAlign w:val="center"/>
          </w:tcPr>
          <w:p w:rsidR="00CF0572" w:rsidRPr="00BA3C4F" w:rsidRDefault="00CF0572" w:rsidP="001E7D3D">
            <w:pPr>
              <w:ind w:left="57"/>
              <w:jc w:val="center"/>
            </w:pPr>
            <w:r w:rsidRPr="00BA3C4F">
              <w:t>A</w:t>
            </w:r>
          </w:p>
        </w:tc>
        <w:tc>
          <w:tcPr>
            <w:tcW w:w="1852" w:type="dxa"/>
            <w:tcBorders>
              <w:top w:val="outset" w:sz="6" w:space="0" w:color="auto"/>
              <w:left w:val="outset" w:sz="6" w:space="0" w:color="auto"/>
              <w:bottom w:val="outset" w:sz="6" w:space="0" w:color="auto"/>
              <w:right w:val="outset" w:sz="6" w:space="0" w:color="auto"/>
            </w:tcBorders>
            <w:vAlign w:val="center"/>
          </w:tcPr>
          <w:p w:rsidR="00CF0572" w:rsidRPr="00BA3C4F" w:rsidRDefault="00CF0572" w:rsidP="001E7D3D">
            <w:pPr>
              <w:ind w:left="57"/>
              <w:jc w:val="center"/>
            </w:pPr>
            <w:r w:rsidRPr="00BA3C4F">
              <w:t>B</w:t>
            </w:r>
          </w:p>
        </w:tc>
        <w:tc>
          <w:tcPr>
            <w:tcW w:w="2719" w:type="dxa"/>
            <w:tcBorders>
              <w:top w:val="outset" w:sz="6" w:space="0" w:color="auto"/>
              <w:left w:val="outset" w:sz="6" w:space="0" w:color="auto"/>
              <w:bottom w:val="outset" w:sz="6" w:space="0" w:color="auto"/>
              <w:right w:val="outset" w:sz="6" w:space="0" w:color="auto"/>
            </w:tcBorders>
            <w:vAlign w:val="center"/>
          </w:tcPr>
          <w:p w:rsidR="00CF0572" w:rsidRPr="00BA3C4F" w:rsidRDefault="00CF0572" w:rsidP="001E7D3D">
            <w:pPr>
              <w:ind w:left="57"/>
              <w:jc w:val="center"/>
            </w:pPr>
            <w:r w:rsidRPr="00BA3C4F">
              <w:t>C</w:t>
            </w:r>
          </w:p>
        </w:tc>
        <w:tc>
          <w:tcPr>
            <w:tcW w:w="2820" w:type="dxa"/>
            <w:tcBorders>
              <w:top w:val="outset" w:sz="6" w:space="0" w:color="auto"/>
              <w:left w:val="outset" w:sz="6" w:space="0" w:color="auto"/>
              <w:bottom w:val="outset" w:sz="6" w:space="0" w:color="auto"/>
              <w:right w:val="outset" w:sz="6" w:space="0" w:color="auto"/>
            </w:tcBorders>
            <w:vAlign w:val="center"/>
          </w:tcPr>
          <w:p w:rsidR="00CF0572" w:rsidRPr="00BA3C4F" w:rsidRDefault="00CF0572" w:rsidP="001E7D3D">
            <w:pPr>
              <w:ind w:left="57"/>
              <w:jc w:val="center"/>
            </w:pPr>
            <w:r w:rsidRPr="00BA3C4F">
              <w:t>D</w:t>
            </w:r>
          </w:p>
        </w:tc>
      </w:tr>
      <w:tr w:rsidR="00CF0572" w:rsidRPr="00BA3C4F" w:rsidTr="00C67E18">
        <w:trPr>
          <w:cantSplit/>
          <w:trHeight w:val="639"/>
        </w:trPr>
        <w:tc>
          <w:tcPr>
            <w:tcW w:w="2391" w:type="dxa"/>
            <w:tcBorders>
              <w:top w:val="outset" w:sz="6" w:space="0" w:color="auto"/>
              <w:left w:val="outset" w:sz="6" w:space="0" w:color="auto"/>
              <w:bottom w:val="outset" w:sz="6" w:space="0" w:color="auto"/>
              <w:right w:val="outset" w:sz="6" w:space="0" w:color="auto"/>
            </w:tcBorders>
          </w:tcPr>
          <w:p w:rsidR="00CF0572" w:rsidRPr="002E1455" w:rsidRDefault="00CF0572" w:rsidP="001E7D3D">
            <w:pPr>
              <w:spacing w:after="120"/>
              <w:ind w:left="57"/>
            </w:pPr>
            <w:r>
              <w:t>D</w:t>
            </w:r>
            <w:r w:rsidRPr="00E248E7">
              <w:t>irektīvas 2009/22/EK</w:t>
            </w:r>
            <w:r>
              <w:t xml:space="preserve"> 2.panta 1.punkts</w:t>
            </w:r>
          </w:p>
        </w:tc>
        <w:tc>
          <w:tcPr>
            <w:tcW w:w="1852" w:type="dxa"/>
            <w:tcBorders>
              <w:top w:val="outset" w:sz="6" w:space="0" w:color="auto"/>
              <w:left w:val="outset" w:sz="6" w:space="0" w:color="auto"/>
              <w:bottom w:val="outset" w:sz="6" w:space="0" w:color="auto"/>
              <w:right w:val="outset" w:sz="6" w:space="0" w:color="auto"/>
            </w:tcBorders>
          </w:tcPr>
          <w:p w:rsidR="00CF0572" w:rsidRPr="00BD31AE" w:rsidRDefault="00CF0572" w:rsidP="00411C5B">
            <w:pPr>
              <w:spacing w:after="120"/>
              <w:ind w:left="57"/>
              <w:rPr>
                <w:sz w:val="26"/>
                <w:szCs w:val="26"/>
              </w:rPr>
            </w:pPr>
            <w:r>
              <w:rPr>
                <w:sz w:val="26"/>
                <w:szCs w:val="26"/>
              </w:rPr>
              <w:t>1</w:t>
            </w:r>
            <w:r w:rsidR="00411C5B">
              <w:rPr>
                <w:sz w:val="26"/>
                <w:szCs w:val="26"/>
              </w:rPr>
              <w:t>4</w:t>
            </w:r>
            <w:r>
              <w:rPr>
                <w:sz w:val="26"/>
                <w:szCs w:val="26"/>
              </w:rPr>
              <w:t>.panta pirmās daļas 3.punkts</w:t>
            </w:r>
          </w:p>
        </w:tc>
        <w:tc>
          <w:tcPr>
            <w:tcW w:w="2719" w:type="dxa"/>
            <w:tcBorders>
              <w:top w:val="outset" w:sz="6" w:space="0" w:color="auto"/>
              <w:left w:val="outset" w:sz="6" w:space="0" w:color="auto"/>
              <w:bottom w:val="outset" w:sz="6" w:space="0" w:color="auto"/>
              <w:right w:val="outset" w:sz="6" w:space="0" w:color="auto"/>
            </w:tcBorders>
          </w:tcPr>
          <w:p w:rsidR="00CF0572" w:rsidRDefault="00CF0572" w:rsidP="001E7D3D">
            <w:pPr>
              <w:spacing w:after="120"/>
              <w:ind w:left="57"/>
            </w:pPr>
            <w:r>
              <w:t>Ieviests pilnībā.</w:t>
            </w:r>
          </w:p>
        </w:tc>
        <w:tc>
          <w:tcPr>
            <w:tcW w:w="2820" w:type="dxa"/>
            <w:tcBorders>
              <w:top w:val="outset" w:sz="6" w:space="0" w:color="auto"/>
              <w:left w:val="outset" w:sz="6" w:space="0" w:color="auto"/>
              <w:bottom w:val="outset" w:sz="6" w:space="0" w:color="auto"/>
              <w:right w:val="outset" w:sz="6" w:space="0" w:color="auto"/>
            </w:tcBorders>
          </w:tcPr>
          <w:p w:rsidR="00CF0572" w:rsidRDefault="00CF0572" w:rsidP="001E7D3D">
            <w:pPr>
              <w:spacing w:after="120"/>
              <w:ind w:left="57"/>
            </w:pPr>
            <w:r>
              <w:t>Stingrākas prasības nav paredzētas.</w:t>
            </w:r>
          </w:p>
        </w:tc>
      </w:tr>
      <w:tr w:rsidR="00CF0572" w:rsidRPr="00BA3C4F" w:rsidTr="00C67E18">
        <w:trPr>
          <w:cantSplit/>
          <w:trHeight w:val="639"/>
        </w:trPr>
        <w:tc>
          <w:tcPr>
            <w:tcW w:w="2391" w:type="dxa"/>
            <w:tcBorders>
              <w:top w:val="outset" w:sz="6" w:space="0" w:color="auto"/>
              <w:left w:val="outset" w:sz="6" w:space="0" w:color="auto"/>
              <w:bottom w:val="outset" w:sz="6" w:space="0" w:color="auto"/>
              <w:right w:val="outset" w:sz="6" w:space="0" w:color="auto"/>
            </w:tcBorders>
          </w:tcPr>
          <w:p w:rsidR="00CF0572" w:rsidRPr="002E1455" w:rsidRDefault="00CF0572" w:rsidP="001E7D3D">
            <w:pPr>
              <w:spacing w:after="120"/>
              <w:ind w:left="57"/>
            </w:pPr>
            <w:r>
              <w:t>D</w:t>
            </w:r>
            <w:r w:rsidRPr="00E248E7">
              <w:t>irektīvas 2009/22/EK</w:t>
            </w:r>
            <w:r>
              <w:t xml:space="preserve"> 4.panta 1.punkts</w:t>
            </w:r>
          </w:p>
        </w:tc>
        <w:tc>
          <w:tcPr>
            <w:tcW w:w="1852" w:type="dxa"/>
            <w:tcBorders>
              <w:top w:val="outset" w:sz="6" w:space="0" w:color="auto"/>
              <w:left w:val="outset" w:sz="6" w:space="0" w:color="auto"/>
              <w:bottom w:val="outset" w:sz="6" w:space="0" w:color="auto"/>
              <w:right w:val="outset" w:sz="6" w:space="0" w:color="auto"/>
            </w:tcBorders>
          </w:tcPr>
          <w:p w:rsidR="00CF0572" w:rsidRPr="00BD31AE" w:rsidRDefault="00CF0572" w:rsidP="00411C5B">
            <w:pPr>
              <w:spacing w:after="120"/>
              <w:ind w:left="57"/>
              <w:rPr>
                <w:sz w:val="26"/>
                <w:szCs w:val="26"/>
              </w:rPr>
            </w:pPr>
            <w:r>
              <w:rPr>
                <w:sz w:val="26"/>
                <w:szCs w:val="26"/>
              </w:rPr>
              <w:t>1</w:t>
            </w:r>
            <w:r w:rsidR="00411C5B">
              <w:rPr>
                <w:sz w:val="26"/>
                <w:szCs w:val="26"/>
              </w:rPr>
              <w:t>4</w:t>
            </w:r>
            <w:r>
              <w:rPr>
                <w:sz w:val="26"/>
                <w:szCs w:val="26"/>
              </w:rPr>
              <w:t>.panta pirmās daļas 3.punkts</w:t>
            </w:r>
          </w:p>
        </w:tc>
        <w:tc>
          <w:tcPr>
            <w:tcW w:w="2719" w:type="dxa"/>
            <w:tcBorders>
              <w:top w:val="outset" w:sz="6" w:space="0" w:color="auto"/>
              <w:left w:val="outset" w:sz="6" w:space="0" w:color="auto"/>
              <w:bottom w:val="outset" w:sz="6" w:space="0" w:color="auto"/>
              <w:right w:val="outset" w:sz="6" w:space="0" w:color="auto"/>
            </w:tcBorders>
          </w:tcPr>
          <w:p w:rsidR="00CF0572" w:rsidRDefault="00CF0572" w:rsidP="001E7D3D">
            <w:pPr>
              <w:spacing w:after="120"/>
              <w:ind w:left="57"/>
            </w:pPr>
            <w:r>
              <w:t>Ieviests pilnībā.</w:t>
            </w:r>
          </w:p>
        </w:tc>
        <w:tc>
          <w:tcPr>
            <w:tcW w:w="2820" w:type="dxa"/>
            <w:tcBorders>
              <w:top w:val="outset" w:sz="6" w:space="0" w:color="auto"/>
              <w:left w:val="outset" w:sz="6" w:space="0" w:color="auto"/>
              <w:bottom w:val="outset" w:sz="6" w:space="0" w:color="auto"/>
              <w:right w:val="outset" w:sz="6" w:space="0" w:color="auto"/>
            </w:tcBorders>
          </w:tcPr>
          <w:p w:rsidR="00CF0572" w:rsidRDefault="00CF0572" w:rsidP="001E7D3D">
            <w:pPr>
              <w:spacing w:after="120"/>
              <w:ind w:left="57"/>
            </w:pPr>
            <w:r>
              <w:t>Stingrākas prasības nav paredzētas.</w:t>
            </w:r>
          </w:p>
        </w:tc>
      </w:tr>
      <w:tr w:rsidR="00CF0572" w:rsidRPr="00BA3C4F" w:rsidTr="00C67E18">
        <w:trPr>
          <w:cantSplit/>
          <w:trHeight w:val="281"/>
        </w:trPr>
        <w:tc>
          <w:tcPr>
            <w:tcW w:w="2391" w:type="dxa"/>
            <w:tcBorders>
              <w:top w:val="outset" w:sz="6" w:space="0" w:color="auto"/>
              <w:left w:val="outset" w:sz="6" w:space="0" w:color="auto"/>
              <w:bottom w:val="outset" w:sz="6" w:space="0" w:color="auto"/>
              <w:right w:val="outset" w:sz="6" w:space="0" w:color="auto"/>
            </w:tcBorders>
          </w:tcPr>
          <w:p w:rsidR="00CF0572" w:rsidRPr="00D71109" w:rsidRDefault="00CF0572" w:rsidP="001E7D3D">
            <w:pPr>
              <w:ind w:left="57"/>
              <w:rPr>
                <w:spacing w:val="-3"/>
              </w:rPr>
            </w:pPr>
            <w:r w:rsidRPr="00D71109">
              <w:rPr>
                <w:spacing w:val="-3"/>
              </w:rPr>
              <w:t>Kā ir izmantota ES tiesību aktā paredzētā rīcības brīvība dalībvalstij pārņemt vai ieviest noteiktas ES tiesību akta normas</w:t>
            </w:r>
            <w:r>
              <w:rPr>
                <w:spacing w:val="-3"/>
              </w:rPr>
              <w:t>?</w:t>
            </w:r>
          </w:p>
          <w:p w:rsidR="00CF0572" w:rsidRPr="00D71109" w:rsidRDefault="00CF0572" w:rsidP="001E7D3D">
            <w:pPr>
              <w:ind w:left="57"/>
              <w:rPr>
                <w:spacing w:val="-3"/>
              </w:rPr>
            </w:pPr>
            <w:r w:rsidRPr="00D71109">
              <w:rPr>
                <w:spacing w:val="-3"/>
              </w:rPr>
              <w:t>Kādēļ?</w:t>
            </w:r>
          </w:p>
        </w:tc>
        <w:tc>
          <w:tcPr>
            <w:tcW w:w="7391" w:type="dxa"/>
            <w:gridSpan w:val="3"/>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Pr>
                <w:iCs/>
              </w:rPr>
              <w:t>Likumprojektā iekļautās ES tiesību akta normas neparedz rīcības brīvību dalībvalstīm.</w:t>
            </w:r>
          </w:p>
        </w:tc>
      </w:tr>
      <w:tr w:rsidR="00CF0572" w:rsidRPr="00BA3C4F" w:rsidTr="00C67E18">
        <w:trPr>
          <w:cantSplit/>
          <w:trHeight w:val="913"/>
        </w:trPr>
        <w:tc>
          <w:tcPr>
            <w:tcW w:w="2391" w:type="dxa"/>
            <w:tcBorders>
              <w:top w:val="outset" w:sz="6" w:space="0" w:color="auto"/>
              <w:left w:val="outset" w:sz="6" w:space="0" w:color="auto"/>
              <w:bottom w:val="outset" w:sz="6" w:space="0" w:color="auto"/>
              <w:right w:val="outset" w:sz="6" w:space="0" w:color="auto"/>
            </w:tcBorders>
          </w:tcPr>
          <w:p w:rsidR="00CF0572" w:rsidRPr="00D71109" w:rsidRDefault="00CF0572" w:rsidP="001E7D3D">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91" w:type="dxa"/>
            <w:gridSpan w:val="3"/>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t>Nav</w:t>
            </w:r>
          </w:p>
        </w:tc>
      </w:tr>
      <w:tr w:rsidR="00CF0572" w:rsidRPr="00BA3C4F" w:rsidTr="00C67E18">
        <w:trPr>
          <w:cantSplit/>
          <w:trHeight w:val="381"/>
        </w:trPr>
        <w:tc>
          <w:tcPr>
            <w:tcW w:w="2391" w:type="dxa"/>
            <w:tcBorders>
              <w:top w:val="outset" w:sz="6" w:space="0" w:color="auto"/>
              <w:left w:val="outset" w:sz="6" w:space="0" w:color="auto"/>
              <w:bottom w:val="outset" w:sz="6" w:space="0" w:color="auto"/>
              <w:right w:val="outset" w:sz="6" w:space="0" w:color="auto"/>
            </w:tcBorders>
          </w:tcPr>
          <w:p w:rsidR="00CF0572" w:rsidRPr="00BA3C4F" w:rsidRDefault="00CF0572" w:rsidP="001E7D3D">
            <w:pPr>
              <w:ind w:left="57"/>
            </w:pPr>
            <w:r w:rsidRPr="00BA3C4F">
              <w:t>Cita informācija</w:t>
            </w:r>
          </w:p>
        </w:tc>
        <w:tc>
          <w:tcPr>
            <w:tcW w:w="7391" w:type="dxa"/>
            <w:gridSpan w:val="3"/>
            <w:tcBorders>
              <w:top w:val="outset" w:sz="6" w:space="0" w:color="auto"/>
              <w:left w:val="outset" w:sz="6" w:space="0" w:color="auto"/>
              <w:bottom w:val="outset" w:sz="6" w:space="0" w:color="auto"/>
              <w:right w:val="outset" w:sz="6" w:space="0" w:color="auto"/>
            </w:tcBorders>
          </w:tcPr>
          <w:p w:rsidR="00CF0572" w:rsidRPr="00BA3C4F" w:rsidRDefault="00CF0572" w:rsidP="000147BC">
            <w:pPr>
              <w:ind w:left="57"/>
            </w:pPr>
            <w:r>
              <w:t xml:space="preserve">Likumprojekts precizē </w:t>
            </w:r>
            <w:r w:rsidR="000147BC">
              <w:t>Reklāmas likuma</w:t>
            </w:r>
            <w:r>
              <w:t xml:space="preserve"> normas atbilstoši Direktīvas tekstam.</w:t>
            </w:r>
          </w:p>
        </w:tc>
      </w:tr>
    </w:tbl>
    <w:p w:rsidR="00CF0572" w:rsidRDefault="00CF0572" w:rsidP="008D5861">
      <w:pPr>
        <w:pStyle w:val="NormalWeb"/>
        <w:spacing w:before="0" w:beforeAutospacing="0" w:after="0" w:afterAutospacing="0"/>
        <w:rPr>
          <w:b/>
          <w:i/>
          <w:color w:val="000000"/>
          <w:sz w:val="26"/>
          <w:szCs w:val="26"/>
        </w:rPr>
      </w:pPr>
    </w:p>
    <w:tbl>
      <w:tblPr>
        <w:tblW w:w="5326" w:type="pct"/>
        <w:tblInd w:w="-388"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515"/>
        <w:gridCol w:w="2698"/>
        <w:gridCol w:w="27"/>
        <w:gridCol w:w="3243"/>
        <w:gridCol w:w="3243"/>
      </w:tblGrid>
      <w:tr w:rsidR="00EE2934" w:rsidRPr="00FD5898" w:rsidTr="00270FB4">
        <w:tc>
          <w:tcPr>
            <w:tcW w:w="5000" w:type="pct"/>
            <w:gridSpan w:val="5"/>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aisnod"/>
              <w:spacing w:before="120" w:after="120"/>
              <w:ind w:left="57" w:right="57"/>
            </w:pPr>
            <w:r w:rsidRPr="00FD5898">
              <w:t>VI. Sabiedrības līdzdalība un šīs līdzdalības rezultāti</w:t>
            </w:r>
          </w:p>
        </w:tc>
      </w:tr>
      <w:tr w:rsidR="00EE2934" w:rsidRPr="00FD5898" w:rsidTr="00270FB4">
        <w:tc>
          <w:tcPr>
            <w:tcW w:w="265"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1.</w:t>
            </w:r>
          </w:p>
        </w:tc>
        <w:tc>
          <w:tcPr>
            <w:tcW w:w="1387"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Sabiedrības informēšana par projekta izstrādes uzsākšanu</w:t>
            </w:r>
          </w:p>
        </w:tc>
        <w:tc>
          <w:tcPr>
            <w:tcW w:w="3348"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4729AF">
            <w:pPr>
              <w:pStyle w:val="NormalWeb"/>
              <w:spacing w:before="0" w:beforeAutospacing="0" w:after="0" w:afterAutospacing="0"/>
              <w:jc w:val="both"/>
            </w:pPr>
            <w:r>
              <w:t>2011.gada 10.maijā Ekonomikas ministrija izstrādāto likumprojektu nosūtīja Latvijas Reklāmas asociācijai, Latvijas Preses izdevēju asociācijai, Latvijas Darba devēju konfederācijai, Latvijas Tirgotāju asociācijai un Latvijas Patērētāju interešu aizstāvības asociācijai apspriešanai. Biedrību sniegtie priekšlikumi tika ņemti vērā, izstrādājot likumprojektu un anotāciju.</w:t>
            </w:r>
          </w:p>
        </w:tc>
      </w:tr>
      <w:tr w:rsidR="00EE2934" w:rsidRPr="00FD5898" w:rsidTr="00270FB4">
        <w:tc>
          <w:tcPr>
            <w:tcW w:w="265"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2.</w:t>
            </w:r>
          </w:p>
        </w:tc>
        <w:tc>
          <w:tcPr>
            <w:tcW w:w="1387"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Sabiedrības līdzdalība projekta izstrādē</w:t>
            </w:r>
          </w:p>
        </w:tc>
        <w:tc>
          <w:tcPr>
            <w:tcW w:w="3348"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477F4A">
            <w:pPr>
              <w:pStyle w:val="NormalWeb"/>
              <w:spacing w:before="0" w:beforeAutospacing="0" w:after="0" w:afterAutospacing="0"/>
              <w:jc w:val="both"/>
            </w:pPr>
            <w:r>
              <w:t>2011.gada 11.oktobrī notika atkārtota konsultācija ar asociāciju pārstāvjiem, kuras laikā tika uzklausīti viedokļi par likumprojektā paredzamajam izmaiņām esošā regulējumā</w:t>
            </w:r>
            <w:r w:rsidR="00CB79DF">
              <w:t xml:space="preserve"> attiecībā uz </w:t>
            </w:r>
            <w:r w:rsidR="00477F4A">
              <w:t xml:space="preserve">naudas </w:t>
            </w:r>
            <w:r w:rsidR="00CB79DF">
              <w:t>soda noteikšanu.</w:t>
            </w:r>
            <w:r>
              <w:t xml:space="preserve"> </w:t>
            </w:r>
          </w:p>
        </w:tc>
      </w:tr>
      <w:tr w:rsidR="00EE2934" w:rsidRPr="00FD5898" w:rsidTr="00270FB4">
        <w:tc>
          <w:tcPr>
            <w:tcW w:w="265"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3.</w:t>
            </w:r>
          </w:p>
        </w:tc>
        <w:tc>
          <w:tcPr>
            <w:tcW w:w="1387"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Sabiedrības līdzdalības rezultāti</w:t>
            </w:r>
          </w:p>
        </w:tc>
        <w:tc>
          <w:tcPr>
            <w:tcW w:w="3348"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4729AF">
            <w:pPr>
              <w:pStyle w:val="NormalWeb"/>
              <w:jc w:val="both"/>
            </w:pPr>
            <w:r>
              <w:t xml:space="preserve">Latvijas Patērētāju interešu aizstāvības asociācija atbalsta projekta tālāko virzību, norādot, ka nepieciešams paredzēt stingrākus noteikumus attiecībā uz pārkāpējiem, lai atturētu pārkāpējus no </w:t>
            </w:r>
            <w:r w:rsidR="001350B3">
              <w:lastRenderedPageBreak/>
              <w:t>pārkāpumiem reklāmas jomā</w:t>
            </w:r>
            <w:r>
              <w:t xml:space="preserve">. </w:t>
            </w:r>
          </w:p>
        </w:tc>
      </w:tr>
      <w:tr w:rsidR="00EE2934" w:rsidRPr="00FD5898" w:rsidTr="00270FB4">
        <w:tc>
          <w:tcPr>
            <w:tcW w:w="265"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lastRenderedPageBreak/>
              <w:t>4.</w:t>
            </w:r>
          </w:p>
        </w:tc>
        <w:tc>
          <w:tcPr>
            <w:tcW w:w="1387"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B90A16">
            <w:pPr>
              <w:pStyle w:val="NormalWeb"/>
            </w:pPr>
            <w:r w:rsidRPr="00FD5898">
              <w:t>Saeimas un ekspertu līdzdalība</w:t>
            </w:r>
          </w:p>
        </w:tc>
        <w:tc>
          <w:tcPr>
            <w:tcW w:w="3348"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F55D2A" w:rsidP="00B90A16">
            <w:pPr>
              <w:pStyle w:val="NormalWeb"/>
            </w:pPr>
            <w:r w:rsidRPr="004D76FD">
              <w:t>Projekts šo jomu neskar</w:t>
            </w:r>
          </w:p>
        </w:tc>
      </w:tr>
      <w:tr w:rsidR="00EE2934" w:rsidRPr="00FD5898" w:rsidTr="00270FB4">
        <w:tc>
          <w:tcPr>
            <w:tcW w:w="1666"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4729AF">
            <w:pPr>
              <w:pStyle w:val="NormalWeb"/>
            </w:pPr>
            <w:r w:rsidRPr="00FD5898">
              <w:t>5.</w:t>
            </w:r>
          </w:p>
        </w:tc>
        <w:tc>
          <w:tcPr>
            <w:tcW w:w="1667"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4729AF">
            <w:pPr>
              <w:pStyle w:val="NormalWeb"/>
            </w:pPr>
            <w:r w:rsidRPr="00FD5898">
              <w:t>Cita informācija</w:t>
            </w:r>
          </w:p>
        </w:tc>
        <w:tc>
          <w:tcPr>
            <w:tcW w:w="1667" w:type="pct"/>
            <w:tcBorders>
              <w:top w:val="outset" w:sz="6" w:space="0" w:color="000000"/>
              <w:left w:val="outset" w:sz="6" w:space="0" w:color="000000"/>
              <w:bottom w:val="outset" w:sz="6" w:space="0" w:color="000000"/>
              <w:right w:val="outset" w:sz="6" w:space="0" w:color="000000"/>
            </w:tcBorders>
            <w:shd w:val="clear" w:color="auto" w:fill="FFFFFF"/>
            <w:hideMark/>
          </w:tcPr>
          <w:p w:rsidR="00EE2934" w:rsidRPr="00FD5898" w:rsidRDefault="00EE2934" w:rsidP="004729AF">
            <w:pPr>
              <w:pStyle w:val="NormalWeb"/>
            </w:pPr>
            <w:r>
              <w:t>Nav</w:t>
            </w:r>
          </w:p>
        </w:tc>
      </w:tr>
    </w:tbl>
    <w:p w:rsidR="004729AF" w:rsidRDefault="004729AF" w:rsidP="00262C5D">
      <w:pPr>
        <w:pStyle w:val="NormalWeb"/>
        <w:tabs>
          <w:tab w:val="left" w:pos="3036"/>
          <w:tab w:val="left" w:pos="6187"/>
        </w:tabs>
        <w:spacing w:before="0" w:beforeAutospacing="0" w:after="0" w:afterAutospacing="0"/>
        <w:ind w:left="-113"/>
      </w:pPr>
      <w:r w:rsidRPr="00FD5898">
        <w:tab/>
      </w:r>
    </w:p>
    <w:tbl>
      <w:tblPr>
        <w:tblW w:w="5326" w:type="pct"/>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7"/>
        <w:gridCol w:w="3059"/>
        <w:gridCol w:w="5956"/>
      </w:tblGrid>
      <w:tr w:rsidR="0023436E" w:rsidRPr="00E20AE9" w:rsidTr="004729AF">
        <w:trPr>
          <w:jc w:val="center"/>
        </w:trPr>
        <w:tc>
          <w:tcPr>
            <w:tcW w:w="5000" w:type="pct"/>
            <w:gridSpan w:val="3"/>
            <w:tcBorders>
              <w:top w:val="single" w:sz="4" w:space="0" w:color="auto"/>
            </w:tcBorders>
          </w:tcPr>
          <w:p w:rsidR="0023436E" w:rsidRPr="00414FE6" w:rsidRDefault="0023436E" w:rsidP="00EE2934">
            <w:pPr>
              <w:pStyle w:val="naisnod"/>
              <w:spacing w:before="120" w:after="120"/>
              <w:ind w:left="57" w:right="57"/>
            </w:pPr>
            <w:r w:rsidRPr="00414FE6">
              <w:t>VII</w:t>
            </w:r>
            <w:r w:rsidR="000941C5" w:rsidRPr="00414FE6">
              <w:t>.</w:t>
            </w:r>
            <w:r w:rsidRPr="00414FE6">
              <w:t xml:space="preserve"> Tiesību akta projekta izpildes nodrošināšana un tās ietekme uz institūcijām</w:t>
            </w:r>
          </w:p>
        </w:tc>
      </w:tr>
      <w:tr w:rsidR="0023436E" w:rsidRPr="00E20AE9" w:rsidTr="004729AF">
        <w:trPr>
          <w:trHeight w:val="427"/>
          <w:jc w:val="center"/>
        </w:trPr>
        <w:tc>
          <w:tcPr>
            <w:tcW w:w="364" w:type="pct"/>
          </w:tcPr>
          <w:p w:rsidR="0023436E" w:rsidRPr="00414FE6" w:rsidRDefault="0023436E" w:rsidP="000E348C">
            <w:pPr>
              <w:pStyle w:val="naisnod"/>
              <w:spacing w:before="0" w:after="0"/>
              <w:ind w:left="57" w:right="57"/>
              <w:jc w:val="left"/>
              <w:rPr>
                <w:b w:val="0"/>
              </w:rPr>
            </w:pPr>
            <w:r w:rsidRPr="00414FE6">
              <w:rPr>
                <w:b w:val="0"/>
              </w:rPr>
              <w:t>1.</w:t>
            </w:r>
          </w:p>
        </w:tc>
        <w:tc>
          <w:tcPr>
            <w:tcW w:w="1573" w:type="pct"/>
          </w:tcPr>
          <w:p w:rsidR="0023436E" w:rsidRPr="00414FE6" w:rsidRDefault="001A4066" w:rsidP="000E348C">
            <w:pPr>
              <w:pStyle w:val="naisf"/>
              <w:spacing w:before="0" w:after="0"/>
              <w:ind w:left="57" w:right="57" w:firstLine="0"/>
              <w:jc w:val="left"/>
            </w:pPr>
            <w:r w:rsidRPr="00414FE6">
              <w:t>P</w:t>
            </w:r>
            <w:r w:rsidR="0023436E" w:rsidRPr="00414FE6">
              <w:t xml:space="preserve">rojekta izpildē iesaistītās institūcijas </w:t>
            </w:r>
          </w:p>
        </w:tc>
        <w:tc>
          <w:tcPr>
            <w:tcW w:w="3063" w:type="pct"/>
          </w:tcPr>
          <w:p w:rsidR="002061A5" w:rsidRDefault="00122C93">
            <w:pPr>
              <w:jc w:val="both"/>
              <w:rPr>
                <w:b/>
                <w:bCs/>
              </w:rPr>
            </w:pPr>
            <w:r w:rsidRPr="001977DB">
              <w:rPr>
                <w:bCs/>
              </w:rPr>
              <w:t xml:space="preserve">Projekta izpildi nodrošina </w:t>
            </w:r>
            <w:r w:rsidR="00C22306" w:rsidRPr="001977DB">
              <w:rPr>
                <w:bCs/>
              </w:rPr>
              <w:t xml:space="preserve">Patērētāju tiesību aizsardzības centrs, Konkurences padome, </w:t>
            </w:r>
            <w:r w:rsidR="001977DB" w:rsidRPr="001977DB">
              <w:rPr>
                <w:bCs/>
              </w:rPr>
              <w:t>Nacionālā e</w:t>
            </w:r>
            <w:r w:rsidR="001C592D" w:rsidRPr="001977DB">
              <w:rPr>
                <w:bCs/>
              </w:rPr>
              <w:t>lektronisko plašsaziņas</w:t>
            </w:r>
            <w:r w:rsidR="00C22306" w:rsidRPr="001977DB">
              <w:rPr>
                <w:bCs/>
              </w:rPr>
              <w:t xml:space="preserve"> </w:t>
            </w:r>
            <w:r w:rsidR="001C592D" w:rsidRPr="001977DB">
              <w:rPr>
                <w:bCs/>
              </w:rPr>
              <w:t>līdzekļu padome</w:t>
            </w:r>
            <w:r w:rsidR="0096192C">
              <w:rPr>
                <w:bCs/>
              </w:rPr>
              <w:t>, Pārtikas un veterinārais dienests</w:t>
            </w:r>
            <w:r w:rsidR="009E3372">
              <w:rPr>
                <w:bCs/>
              </w:rPr>
              <w:t xml:space="preserve"> un</w:t>
            </w:r>
            <w:r w:rsidR="00C22306" w:rsidRPr="001977DB">
              <w:rPr>
                <w:bCs/>
              </w:rPr>
              <w:t xml:space="preserve"> Veselības inspekcija</w:t>
            </w:r>
            <w:r w:rsidR="00695B92" w:rsidRPr="001977DB">
              <w:rPr>
                <w:bCs/>
              </w:rPr>
              <w:t>.</w:t>
            </w:r>
            <w:r w:rsidR="00E21ED0">
              <w:rPr>
                <w:bCs/>
              </w:rPr>
              <w:t xml:space="preserve"> </w:t>
            </w:r>
          </w:p>
        </w:tc>
      </w:tr>
      <w:tr w:rsidR="0023436E" w:rsidRPr="00E20AE9" w:rsidTr="004729AF">
        <w:trPr>
          <w:trHeight w:val="463"/>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2.</w:t>
            </w:r>
          </w:p>
        </w:tc>
        <w:tc>
          <w:tcPr>
            <w:tcW w:w="1573" w:type="pct"/>
          </w:tcPr>
          <w:p w:rsidR="0023436E" w:rsidRPr="00414FE6" w:rsidRDefault="001A4066" w:rsidP="007D099D">
            <w:pPr>
              <w:pStyle w:val="naisf"/>
              <w:spacing w:before="0" w:after="0"/>
              <w:ind w:left="57" w:right="57" w:firstLine="0"/>
              <w:jc w:val="left"/>
            </w:pPr>
            <w:r w:rsidRPr="00414FE6">
              <w:t>Projekta i</w:t>
            </w:r>
            <w:r w:rsidR="0023436E" w:rsidRPr="00414FE6">
              <w:t xml:space="preserve">zpildes ietekme uz pārvaldes funkcijām </w:t>
            </w:r>
          </w:p>
        </w:tc>
        <w:tc>
          <w:tcPr>
            <w:tcW w:w="3063" w:type="pct"/>
          </w:tcPr>
          <w:p w:rsidR="009E3372" w:rsidRPr="00414FE6" w:rsidRDefault="00515C00" w:rsidP="005958F4">
            <w:pPr>
              <w:pStyle w:val="naisnod"/>
              <w:spacing w:before="0" w:after="0"/>
              <w:ind w:left="57" w:right="57"/>
              <w:jc w:val="both"/>
              <w:rPr>
                <w:b w:val="0"/>
              </w:rPr>
            </w:pPr>
            <w:r w:rsidRPr="00414FE6">
              <w:rPr>
                <w:b w:val="0"/>
              </w:rPr>
              <w:t xml:space="preserve">Projekts paredz </w:t>
            </w:r>
            <w:r w:rsidR="004729AF">
              <w:rPr>
                <w:b w:val="0"/>
              </w:rPr>
              <w:t>uzraudzības iestādēm</w:t>
            </w:r>
            <w:r>
              <w:rPr>
                <w:b w:val="0"/>
              </w:rPr>
              <w:t xml:space="preserve"> jaunas tiesības veikt </w:t>
            </w:r>
            <w:r w:rsidR="00C46B73">
              <w:rPr>
                <w:b w:val="0"/>
              </w:rPr>
              <w:t>reklāmas</w:t>
            </w:r>
            <w:r>
              <w:rPr>
                <w:b w:val="0"/>
              </w:rPr>
              <w:t xml:space="preserve"> uzraudzību atbilstoši noteiktajām uzraudzības prioritātēm, pieņemt lēmumu par lietas izbeigšanu, izsakot aicinājumu </w:t>
            </w:r>
            <w:r w:rsidR="00C46B73" w:rsidRPr="003E4AD0">
              <w:rPr>
                <w:b w:val="0"/>
              </w:rPr>
              <w:t xml:space="preserve">reklāmas devējam, reklāmas izgatavotājam vai reklāmas izplatītājam </w:t>
            </w:r>
            <w:r>
              <w:rPr>
                <w:b w:val="0"/>
              </w:rPr>
              <w:t xml:space="preserve">savā darbībā turpmāk nodrošināt </w:t>
            </w:r>
            <w:r w:rsidR="00C46B73">
              <w:rPr>
                <w:b w:val="0"/>
              </w:rPr>
              <w:t>reklāmas</w:t>
            </w:r>
            <w:r>
              <w:rPr>
                <w:b w:val="0"/>
              </w:rPr>
              <w:t xml:space="preserve"> atbilstību normatīvo aktu prasībām, apstiprināt rakstveida apņemšanos novērst konstatēto pārkāpumu. </w:t>
            </w:r>
            <w:r w:rsidR="000E7DC9">
              <w:rPr>
                <w:b w:val="0"/>
              </w:rPr>
              <w:t>Uzraudzības iestādei</w:t>
            </w:r>
            <w:r>
              <w:rPr>
                <w:b w:val="0"/>
              </w:rPr>
              <w:t xml:space="preserve"> turpmāk būs tiesības piemērot piespiedu ietekmēšanas līdzekli – </w:t>
            </w:r>
            <w:r w:rsidR="00477F4A">
              <w:rPr>
                <w:b w:val="0"/>
              </w:rPr>
              <w:t>naudas sodu</w:t>
            </w:r>
            <w:r>
              <w:rPr>
                <w:b w:val="0"/>
              </w:rPr>
              <w:t>, un izskatīt iesniegumus saskaņā ar Administratīvā procesa likumu.</w:t>
            </w:r>
          </w:p>
        </w:tc>
      </w:tr>
      <w:tr w:rsidR="0023436E" w:rsidRPr="00E20AE9" w:rsidTr="004729AF">
        <w:trPr>
          <w:trHeight w:val="725"/>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3.</w:t>
            </w:r>
          </w:p>
        </w:tc>
        <w:tc>
          <w:tcPr>
            <w:tcW w:w="1573" w:type="pct"/>
          </w:tcPr>
          <w:p w:rsidR="0023436E" w:rsidRPr="00414FE6" w:rsidRDefault="001A4066" w:rsidP="007D099D">
            <w:pPr>
              <w:pStyle w:val="naisf"/>
              <w:spacing w:before="0" w:after="0"/>
              <w:ind w:left="57" w:right="57" w:firstLine="0"/>
              <w:jc w:val="left"/>
            </w:pPr>
            <w:r w:rsidRPr="00414FE6">
              <w:t>Projekta iz</w:t>
            </w:r>
            <w:r w:rsidR="0023436E" w:rsidRPr="00414FE6">
              <w:t>pildes ietekme uz pārvaldes institucionālo struktūru.</w:t>
            </w:r>
          </w:p>
          <w:p w:rsidR="0023436E" w:rsidRPr="00414FE6" w:rsidRDefault="006C4607" w:rsidP="007D099D">
            <w:pPr>
              <w:pStyle w:val="naisf"/>
              <w:spacing w:before="0" w:after="0"/>
              <w:ind w:left="57" w:right="57" w:firstLine="0"/>
              <w:jc w:val="left"/>
            </w:pPr>
            <w:r w:rsidRPr="00414FE6">
              <w:t>Jaunu institūciju izveide</w:t>
            </w:r>
          </w:p>
        </w:tc>
        <w:tc>
          <w:tcPr>
            <w:tcW w:w="3063" w:type="pct"/>
          </w:tcPr>
          <w:p w:rsidR="0023436E" w:rsidRPr="00414FE6" w:rsidRDefault="00103517" w:rsidP="007D099D">
            <w:pPr>
              <w:pStyle w:val="naisnod"/>
              <w:spacing w:before="0" w:after="0"/>
              <w:ind w:left="57" w:right="57"/>
              <w:jc w:val="left"/>
              <w:rPr>
                <w:b w:val="0"/>
              </w:rPr>
            </w:pPr>
            <w:r w:rsidRPr="00414FE6">
              <w:rPr>
                <w:b w:val="0"/>
              </w:rPr>
              <w:t>Projekts neparedz veidot jaunas valsts institūcijas</w:t>
            </w:r>
            <w:r w:rsidR="00695B92" w:rsidRPr="00414FE6">
              <w:rPr>
                <w:b w:val="0"/>
              </w:rPr>
              <w:t>.</w:t>
            </w:r>
          </w:p>
        </w:tc>
      </w:tr>
      <w:tr w:rsidR="0023436E" w:rsidRPr="00E20AE9" w:rsidTr="004729AF">
        <w:trPr>
          <w:trHeight w:val="780"/>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4.</w:t>
            </w:r>
          </w:p>
        </w:tc>
        <w:tc>
          <w:tcPr>
            <w:tcW w:w="1573" w:type="pct"/>
          </w:tcPr>
          <w:p w:rsidR="0023436E" w:rsidRPr="00414FE6" w:rsidRDefault="001A4066" w:rsidP="007D099D">
            <w:pPr>
              <w:pStyle w:val="naisf"/>
              <w:spacing w:before="0" w:after="0"/>
              <w:ind w:left="57" w:right="57" w:firstLine="0"/>
              <w:jc w:val="left"/>
            </w:pPr>
            <w:r w:rsidRPr="00414FE6">
              <w:t>Projekta i</w:t>
            </w:r>
            <w:r w:rsidR="0023436E" w:rsidRPr="00414FE6">
              <w:t>zpildes ietekme uz pārvaldes institucionālo struktūru.</w:t>
            </w:r>
          </w:p>
          <w:p w:rsidR="0023436E" w:rsidRPr="00414FE6" w:rsidRDefault="006C4607" w:rsidP="007D099D">
            <w:pPr>
              <w:pStyle w:val="naisf"/>
              <w:spacing w:before="0" w:after="0"/>
              <w:ind w:left="57" w:right="57" w:firstLine="0"/>
              <w:jc w:val="left"/>
            </w:pPr>
            <w:r w:rsidRPr="00414FE6">
              <w:t>Esošu institūciju likvidācija</w:t>
            </w:r>
          </w:p>
        </w:tc>
        <w:tc>
          <w:tcPr>
            <w:tcW w:w="3063" w:type="pct"/>
          </w:tcPr>
          <w:p w:rsidR="0023436E" w:rsidRPr="009B6822" w:rsidRDefault="009B6822" w:rsidP="00D37AE1">
            <w:pPr>
              <w:pStyle w:val="naisnod"/>
              <w:spacing w:before="0" w:after="0"/>
              <w:ind w:left="57" w:right="57"/>
              <w:jc w:val="left"/>
              <w:rPr>
                <w:b w:val="0"/>
              </w:rPr>
            </w:pPr>
            <w:r w:rsidRPr="009B6822">
              <w:rPr>
                <w:b w:val="0"/>
              </w:rPr>
              <w:t>Projekts šo jomu neskar</w:t>
            </w:r>
          </w:p>
        </w:tc>
      </w:tr>
      <w:tr w:rsidR="0023436E" w:rsidRPr="00E20AE9" w:rsidTr="004729AF">
        <w:trPr>
          <w:trHeight w:val="703"/>
          <w:jc w:val="center"/>
        </w:trPr>
        <w:tc>
          <w:tcPr>
            <w:tcW w:w="364" w:type="pct"/>
          </w:tcPr>
          <w:p w:rsidR="0023436E" w:rsidRPr="00414FE6" w:rsidRDefault="0023436E" w:rsidP="007D099D">
            <w:pPr>
              <w:pStyle w:val="naisnod"/>
              <w:spacing w:before="0" w:after="0"/>
              <w:ind w:left="57" w:right="57"/>
              <w:jc w:val="left"/>
              <w:rPr>
                <w:b w:val="0"/>
              </w:rPr>
            </w:pPr>
            <w:r w:rsidRPr="00414FE6">
              <w:rPr>
                <w:b w:val="0"/>
              </w:rPr>
              <w:t>5.</w:t>
            </w:r>
          </w:p>
        </w:tc>
        <w:tc>
          <w:tcPr>
            <w:tcW w:w="1573" w:type="pct"/>
          </w:tcPr>
          <w:p w:rsidR="0023436E" w:rsidRPr="00414FE6" w:rsidRDefault="001A4066" w:rsidP="007D099D">
            <w:pPr>
              <w:pStyle w:val="naisf"/>
              <w:spacing w:before="0" w:after="0"/>
              <w:ind w:left="57" w:right="57" w:firstLine="0"/>
              <w:jc w:val="left"/>
            </w:pPr>
            <w:r w:rsidRPr="00414FE6">
              <w:t>Projekta i</w:t>
            </w:r>
            <w:r w:rsidR="0023436E" w:rsidRPr="00414FE6">
              <w:t>zpildes ietekme uz pārvaldes institucionālo struktūru.</w:t>
            </w:r>
          </w:p>
          <w:p w:rsidR="0023436E" w:rsidRPr="00414FE6" w:rsidRDefault="0023436E" w:rsidP="007D099D">
            <w:pPr>
              <w:pStyle w:val="naisf"/>
              <w:spacing w:before="0" w:after="0"/>
              <w:ind w:left="57" w:right="57" w:firstLine="0"/>
              <w:jc w:val="left"/>
            </w:pPr>
            <w:r w:rsidRPr="00414FE6">
              <w:t>Esošu institūciju reorganizācija</w:t>
            </w:r>
          </w:p>
        </w:tc>
        <w:tc>
          <w:tcPr>
            <w:tcW w:w="3063" w:type="pct"/>
          </w:tcPr>
          <w:p w:rsidR="0023436E" w:rsidRPr="009B6822" w:rsidRDefault="009B6822" w:rsidP="00D37AE1">
            <w:pPr>
              <w:pStyle w:val="naisnod"/>
              <w:spacing w:before="0" w:after="0"/>
              <w:ind w:left="57" w:right="57"/>
              <w:jc w:val="both"/>
              <w:rPr>
                <w:b w:val="0"/>
              </w:rPr>
            </w:pPr>
            <w:r w:rsidRPr="009B6822">
              <w:rPr>
                <w:b w:val="0"/>
              </w:rPr>
              <w:t>Projekts šo jomu neskar</w:t>
            </w:r>
          </w:p>
        </w:tc>
      </w:tr>
      <w:tr w:rsidR="0023436E" w:rsidRPr="00E20AE9" w:rsidTr="004729AF">
        <w:trPr>
          <w:trHeight w:val="476"/>
          <w:jc w:val="center"/>
        </w:trPr>
        <w:tc>
          <w:tcPr>
            <w:tcW w:w="364" w:type="pct"/>
          </w:tcPr>
          <w:p w:rsidR="0023436E" w:rsidRPr="00414FE6" w:rsidRDefault="00F63DAC" w:rsidP="007D099D">
            <w:pPr>
              <w:pStyle w:val="naiskr"/>
              <w:spacing w:before="0" w:after="0"/>
              <w:ind w:left="57" w:right="57"/>
            </w:pPr>
            <w:r w:rsidRPr="00414FE6">
              <w:t>6</w:t>
            </w:r>
            <w:r w:rsidR="0023436E" w:rsidRPr="00414FE6">
              <w:t>.</w:t>
            </w:r>
          </w:p>
        </w:tc>
        <w:tc>
          <w:tcPr>
            <w:tcW w:w="1573" w:type="pct"/>
          </w:tcPr>
          <w:p w:rsidR="0023436E" w:rsidRPr="00414FE6" w:rsidRDefault="006C4607" w:rsidP="007D099D">
            <w:pPr>
              <w:pStyle w:val="naiskr"/>
              <w:spacing w:before="0" w:after="0"/>
              <w:ind w:left="57" w:right="57"/>
            </w:pPr>
            <w:r w:rsidRPr="00414FE6">
              <w:t>Cita informācija</w:t>
            </w:r>
          </w:p>
        </w:tc>
        <w:tc>
          <w:tcPr>
            <w:tcW w:w="3063" w:type="pct"/>
          </w:tcPr>
          <w:p w:rsidR="0023436E" w:rsidRPr="00414FE6" w:rsidRDefault="00A5252F" w:rsidP="007D099D">
            <w:pPr>
              <w:pStyle w:val="naiskr"/>
              <w:spacing w:before="0" w:after="0"/>
              <w:ind w:left="57" w:right="57"/>
            </w:pPr>
            <w:r w:rsidRPr="00414FE6">
              <w:t>Nav</w:t>
            </w:r>
          </w:p>
        </w:tc>
      </w:tr>
    </w:tbl>
    <w:p w:rsidR="00214094" w:rsidRPr="00E20AE9" w:rsidRDefault="00214094" w:rsidP="006C4607">
      <w:pPr>
        <w:pStyle w:val="naisf"/>
        <w:tabs>
          <w:tab w:val="left" w:pos="5760"/>
        </w:tabs>
        <w:spacing w:before="0" w:after="0"/>
        <w:ind w:firstLine="720"/>
        <w:rPr>
          <w:sz w:val="28"/>
          <w:szCs w:val="28"/>
        </w:rPr>
      </w:pPr>
    </w:p>
    <w:p w:rsidR="00262C5D" w:rsidRPr="00E94C46" w:rsidRDefault="00262C5D" w:rsidP="007030AC">
      <w:pPr>
        <w:rPr>
          <w:b/>
          <w:bCs/>
        </w:rPr>
      </w:pPr>
    </w:p>
    <w:p w:rsidR="007030AC" w:rsidRPr="00E94C46" w:rsidRDefault="007030AC" w:rsidP="007030AC">
      <w:pPr>
        <w:pStyle w:val="Heading1"/>
        <w:tabs>
          <w:tab w:val="left" w:pos="6237"/>
        </w:tabs>
        <w:jc w:val="both"/>
        <w:rPr>
          <w:szCs w:val="28"/>
        </w:rPr>
      </w:pPr>
      <w:r w:rsidRPr="00E94C46">
        <w:rPr>
          <w:szCs w:val="28"/>
        </w:rPr>
        <w:t>Ekonomikas ministrs</w:t>
      </w:r>
      <w:r w:rsidR="0048588D">
        <w:rPr>
          <w:szCs w:val="28"/>
        </w:rPr>
        <w:tab/>
      </w:r>
      <w:r w:rsidR="0048588D">
        <w:rPr>
          <w:szCs w:val="28"/>
        </w:rPr>
        <w:tab/>
      </w:r>
      <w:r w:rsidRPr="00E94C46">
        <w:rPr>
          <w:szCs w:val="28"/>
        </w:rPr>
        <w:tab/>
      </w:r>
      <w:proofErr w:type="spellStart"/>
      <w:r w:rsidR="003A50CC">
        <w:rPr>
          <w:szCs w:val="28"/>
        </w:rPr>
        <w:t>D.Pavļuts</w:t>
      </w:r>
      <w:proofErr w:type="spellEnd"/>
    </w:p>
    <w:p w:rsidR="007030AC" w:rsidRPr="00AE27A2" w:rsidRDefault="007030AC" w:rsidP="007030AC">
      <w:pPr>
        <w:rPr>
          <w:sz w:val="20"/>
          <w:szCs w:val="20"/>
        </w:rPr>
      </w:pPr>
    </w:p>
    <w:p w:rsidR="007030AC" w:rsidRDefault="007030AC" w:rsidP="007030AC">
      <w:pPr>
        <w:tabs>
          <w:tab w:val="left" w:pos="6237"/>
        </w:tabs>
        <w:rPr>
          <w:bCs/>
          <w:sz w:val="28"/>
          <w:szCs w:val="28"/>
        </w:rPr>
      </w:pPr>
    </w:p>
    <w:p w:rsidR="007030AC" w:rsidRPr="00E94C46" w:rsidRDefault="007030AC" w:rsidP="007030AC">
      <w:pPr>
        <w:tabs>
          <w:tab w:val="left" w:pos="6237"/>
        </w:tabs>
        <w:rPr>
          <w:bCs/>
          <w:sz w:val="28"/>
          <w:szCs w:val="28"/>
        </w:rPr>
      </w:pPr>
      <w:r>
        <w:rPr>
          <w:bCs/>
          <w:sz w:val="28"/>
          <w:szCs w:val="28"/>
        </w:rPr>
        <w:t>Vīza: Valsts sekretārs</w:t>
      </w:r>
      <w:r w:rsidR="0048588D">
        <w:rPr>
          <w:bCs/>
          <w:sz w:val="28"/>
          <w:szCs w:val="28"/>
        </w:rPr>
        <w:tab/>
      </w:r>
      <w:r w:rsidR="0048588D">
        <w:rPr>
          <w:bCs/>
          <w:sz w:val="28"/>
          <w:szCs w:val="28"/>
        </w:rPr>
        <w:tab/>
      </w:r>
      <w:r w:rsidRPr="00E94C46">
        <w:rPr>
          <w:bCs/>
          <w:sz w:val="28"/>
          <w:szCs w:val="28"/>
        </w:rPr>
        <w:tab/>
      </w:r>
      <w:r>
        <w:rPr>
          <w:bCs/>
          <w:sz w:val="28"/>
          <w:szCs w:val="28"/>
        </w:rPr>
        <w:t>J</w:t>
      </w:r>
      <w:r w:rsidRPr="00E94C46">
        <w:rPr>
          <w:bCs/>
          <w:sz w:val="28"/>
          <w:szCs w:val="28"/>
        </w:rPr>
        <w:t>.</w:t>
      </w:r>
      <w:r>
        <w:rPr>
          <w:bCs/>
          <w:sz w:val="28"/>
          <w:szCs w:val="28"/>
        </w:rPr>
        <w:t>Pūce</w:t>
      </w:r>
    </w:p>
    <w:p w:rsidR="007030AC" w:rsidRDefault="007030AC" w:rsidP="007030AC">
      <w:pPr>
        <w:pStyle w:val="naisf"/>
        <w:spacing w:before="0" w:after="0"/>
        <w:ind w:firstLine="720"/>
        <w:rPr>
          <w:sz w:val="20"/>
          <w:szCs w:val="20"/>
        </w:rPr>
      </w:pPr>
    </w:p>
    <w:p w:rsidR="00BA7A06" w:rsidRPr="00AE27A2" w:rsidRDefault="00BA7A06" w:rsidP="007030AC">
      <w:pPr>
        <w:pStyle w:val="naisf"/>
        <w:spacing w:before="0" w:after="0"/>
        <w:ind w:firstLine="720"/>
        <w:rPr>
          <w:sz w:val="20"/>
          <w:szCs w:val="20"/>
        </w:rPr>
      </w:pPr>
    </w:p>
    <w:p w:rsidR="007030AC" w:rsidRDefault="00AA0FF8" w:rsidP="007030AC">
      <w:pPr>
        <w:pStyle w:val="naisf"/>
        <w:tabs>
          <w:tab w:val="left" w:pos="0"/>
        </w:tabs>
        <w:spacing w:before="0" w:after="0"/>
        <w:ind w:firstLine="0"/>
        <w:rPr>
          <w:sz w:val="20"/>
        </w:rPr>
      </w:pPr>
      <w:r>
        <w:rPr>
          <w:sz w:val="20"/>
        </w:rPr>
        <w:t>2</w:t>
      </w:r>
      <w:r w:rsidR="005076C5">
        <w:rPr>
          <w:sz w:val="20"/>
        </w:rPr>
        <w:t>6</w:t>
      </w:r>
      <w:r w:rsidR="007030AC">
        <w:rPr>
          <w:sz w:val="20"/>
        </w:rPr>
        <w:t>.</w:t>
      </w:r>
      <w:r w:rsidR="00F40DA2">
        <w:rPr>
          <w:sz w:val="20"/>
        </w:rPr>
        <w:t>0</w:t>
      </w:r>
      <w:r w:rsidR="001B171B">
        <w:rPr>
          <w:sz w:val="20"/>
        </w:rPr>
        <w:t>6</w:t>
      </w:r>
      <w:r w:rsidR="007030AC">
        <w:rPr>
          <w:sz w:val="20"/>
        </w:rPr>
        <w:t>.201</w:t>
      </w:r>
      <w:r w:rsidR="006E4485">
        <w:rPr>
          <w:sz w:val="20"/>
        </w:rPr>
        <w:t>2</w:t>
      </w:r>
      <w:r w:rsidR="00AD2037">
        <w:rPr>
          <w:sz w:val="20"/>
        </w:rPr>
        <w:t xml:space="preserve">. </w:t>
      </w:r>
      <w:r w:rsidR="00BA5A9E">
        <w:rPr>
          <w:sz w:val="20"/>
        </w:rPr>
        <w:t>15</w:t>
      </w:r>
      <w:r w:rsidR="006E3FD9">
        <w:rPr>
          <w:sz w:val="20"/>
        </w:rPr>
        <w:t>:</w:t>
      </w:r>
      <w:r w:rsidR="00BA5A9E">
        <w:rPr>
          <w:sz w:val="20"/>
        </w:rPr>
        <w:t>15</w:t>
      </w:r>
    </w:p>
    <w:p w:rsidR="007030AC" w:rsidRPr="00744DDA" w:rsidRDefault="00B554C1" w:rsidP="007030AC">
      <w:pPr>
        <w:pStyle w:val="naisf"/>
        <w:tabs>
          <w:tab w:val="left" w:pos="0"/>
        </w:tabs>
        <w:spacing w:before="0" w:after="0"/>
        <w:ind w:firstLine="0"/>
        <w:rPr>
          <w:sz w:val="20"/>
        </w:rPr>
      </w:pPr>
      <w:fldSimple w:instr=" NUMWORDS  \* MERGEFORMAT ">
        <w:r w:rsidR="00BA5A9E" w:rsidRPr="00BA5A9E">
          <w:rPr>
            <w:noProof/>
            <w:sz w:val="20"/>
          </w:rPr>
          <w:t>3043</w:t>
        </w:r>
      </w:fldSimple>
    </w:p>
    <w:p w:rsidR="007030AC" w:rsidRDefault="00135EAB" w:rsidP="007030AC">
      <w:pPr>
        <w:pStyle w:val="naisf"/>
        <w:tabs>
          <w:tab w:val="left" w:pos="0"/>
        </w:tabs>
        <w:spacing w:before="0" w:after="0"/>
        <w:ind w:firstLine="0"/>
        <w:rPr>
          <w:sz w:val="20"/>
        </w:rPr>
      </w:pPr>
      <w:r>
        <w:rPr>
          <w:sz w:val="20"/>
        </w:rPr>
        <w:t>S.</w:t>
      </w:r>
      <w:r w:rsidR="00900D9A">
        <w:rPr>
          <w:sz w:val="20"/>
        </w:rPr>
        <w:t>Petrov</w:t>
      </w:r>
      <w:r>
        <w:rPr>
          <w:sz w:val="20"/>
        </w:rPr>
        <w:t>a</w:t>
      </w:r>
      <w:r w:rsidR="007030AC">
        <w:rPr>
          <w:sz w:val="20"/>
        </w:rPr>
        <w:t>, 67013</w:t>
      </w:r>
      <w:r>
        <w:rPr>
          <w:sz w:val="20"/>
        </w:rPr>
        <w:t>072</w:t>
      </w:r>
    </w:p>
    <w:p w:rsidR="00B13F7C" w:rsidRDefault="00B554C1" w:rsidP="00AD2037">
      <w:pPr>
        <w:pStyle w:val="naisf"/>
        <w:tabs>
          <w:tab w:val="left" w:pos="0"/>
        </w:tabs>
        <w:spacing w:before="0" w:after="0"/>
        <w:ind w:firstLine="0"/>
        <w:rPr>
          <w:color w:val="000000"/>
          <w:sz w:val="20"/>
          <w:szCs w:val="20"/>
        </w:rPr>
      </w:pPr>
      <w:hyperlink r:id="rId8" w:history="1">
        <w:r w:rsidR="00900D9A" w:rsidRPr="000E133C">
          <w:rPr>
            <w:rStyle w:val="Hyperlink"/>
            <w:sz w:val="20"/>
          </w:rPr>
          <w:t>Svetlana.Petrova@em.gov.lv</w:t>
        </w:r>
      </w:hyperlink>
    </w:p>
    <w:sectPr w:rsidR="00B13F7C" w:rsidSect="00230A4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EE" w:rsidRDefault="00101CEE">
      <w:r>
        <w:separator/>
      </w:r>
    </w:p>
  </w:endnote>
  <w:endnote w:type="continuationSeparator" w:id="0">
    <w:p w:rsidR="00101CEE" w:rsidRDefault="0010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53" w:rsidRPr="0062716C" w:rsidRDefault="001E4053" w:rsidP="007D6837">
    <w:pPr>
      <w:jc w:val="both"/>
      <w:rPr>
        <w:sz w:val="20"/>
        <w:szCs w:val="20"/>
      </w:rPr>
    </w:pPr>
    <w:r>
      <w:rPr>
        <w:sz w:val="20"/>
        <w:szCs w:val="20"/>
      </w:rPr>
      <w:t>EMAnot_</w:t>
    </w:r>
    <w:r w:rsidR="005012BF">
      <w:rPr>
        <w:sz w:val="20"/>
        <w:szCs w:val="20"/>
      </w:rPr>
      <w:t>2</w:t>
    </w:r>
    <w:r w:rsidR="00BA5A9E">
      <w:rPr>
        <w:sz w:val="20"/>
        <w:szCs w:val="20"/>
      </w:rPr>
      <w:t>6</w:t>
    </w:r>
    <w:r w:rsidR="004632EF">
      <w:rPr>
        <w:sz w:val="20"/>
        <w:szCs w:val="20"/>
      </w:rPr>
      <w:t>06</w:t>
    </w:r>
    <w:r>
      <w:rPr>
        <w:sz w:val="20"/>
        <w:szCs w:val="20"/>
      </w:rPr>
      <w:t>12_GrozRL</w:t>
    </w:r>
    <w:r w:rsidRPr="0062716C">
      <w:rPr>
        <w:sz w:val="20"/>
        <w:szCs w:val="20"/>
      </w:rPr>
      <w:t xml:space="preserve">; </w:t>
    </w:r>
    <w:r>
      <w:rPr>
        <w:sz w:val="20"/>
        <w:szCs w:val="20"/>
      </w:rPr>
      <w:t>Likumprojekta „Grozījumi Reklāmas likumā” anotācija</w:t>
    </w:r>
  </w:p>
  <w:p w:rsidR="001E4053" w:rsidRPr="007D6837" w:rsidRDefault="001E4053" w:rsidP="007D683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53" w:rsidRPr="0062716C" w:rsidRDefault="001E4053" w:rsidP="00B164CD">
    <w:pPr>
      <w:jc w:val="both"/>
      <w:rPr>
        <w:sz w:val="20"/>
        <w:szCs w:val="20"/>
      </w:rPr>
    </w:pPr>
    <w:r>
      <w:rPr>
        <w:sz w:val="20"/>
        <w:szCs w:val="20"/>
      </w:rPr>
      <w:t>EMAnot_</w:t>
    </w:r>
    <w:r w:rsidR="005012BF">
      <w:rPr>
        <w:sz w:val="20"/>
        <w:szCs w:val="20"/>
      </w:rPr>
      <w:t>2</w:t>
    </w:r>
    <w:r w:rsidR="00BA5A9E">
      <w:rPr>
        <w:sz w:val="20"/>
        <w:szCs w:val="20"/>
      </w:rPr>
      <w:t>6</w:t>
    </w:r>
    <w:r w:rsidR="004632EF">
      <w:rPr>
        <w:sz w:val="20"/>
        <w:szCs w:val="20"/>
      </w:rPr>
      <w:t>06</w:t>
    </w:r>
    <w:r>
      <w:rPr>
        <w:sz w:val="20"/>
        <w:szCs w:val="20"/>
      </w:rPr>
      <w:t>12_GrozRL</w:t>
    </w:r>
    <w:r w:rsidRPr="0062716C">
      <w:rPr>
        <w:sz w:val="20"/>
        <w:szCs w:val="20"/>
      </w:rPr>
      <w:t xml:space="preserve">; </w:t>
    </w:r>
    <w:r>
      <w:rPr>
        <w:sz w:val="20"/>
        <w:szCs w:val="20"/>
      </w:rPr>
      <w:t>Likumprojekta „Grozījumi Reklāmas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EE" w:rsidRDefault="00101CEE">
      <w:r>
        <w:separator/>
      </w:r>
    </w:p>
  </w:footnote>
  <w:footnote w:type="continuationSeparator" w:id="0">
    <w:p w:rsidR="00101CEE" w:rsidRDefault="0010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53" w:rsidRDefault="00B554C1" w:rsidP="003C449B">
    <w:pPr>
      <w:pStyle w:val="Header"/>
      <w:framePr w:wrap="around" w:vAnchor="text" w:hAnchor="margin" w:xAlign="center" w:y="1"/>
      <w:rPr>
        <w:rStyle w:val="PageNumber"/>
      </w:rPr>
    </w:pPr>
    <w:r>
      <w:rPr>
        <w:rStyle w:val="PageNumber"/>
      </w:rPr>
      <w:fldChar w:fldCharType="begin"/>
    </w:r>
    <w:r w:rsidR="001E4053">
      <w:rPr>
        <w:rStyle w:val="PageNumber"/>
      </w:rPr>
      <w:instrText xml:space="preserve">PAGE  </w:instrText>
    </w:r>
    <w:r>
      <w:rPr>
        <w:rStyle w:val="PageNumber"/>
      </w:rPr>
      <w:fldChar w:fldCharType="end"/>
    </w:r>
  </w:p>
  <w:p w:rsidR="001E4053" w:rsidRDefault="001E40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53" w:rsidRDefault="00B554C1" w:rsidP="003C449B">
    <w:pPr>
      <w:pStyle w:val="Header"/>
      <w:framePr w:wrap="around" w:vAnchor="text" w:hAnchor="margin" w:xAlign="center" w:y="1"/>
      <w:rPr>
        <w:rStyle w:val="PageNumber"/>
      </w:rPr>
    </w:pPr>
    <w:r>
      <w:rPr>
        <w:rStyle w:val="PageNumber"/>
      </w:rPr>
      <w:fldChar w:fldCharType="begin"/>
    </w:r>
    <w:r w:rsidR="001E4053">
      <w:rPr>
        <w:rStyle w:val="PageNumber"/>
      </w:rPr>
      <w:instrText xml:space="preserve">PAGE  </w:instrText>
    </w:r>
    <w:r>
      <w:rPr>
        <w:rStyle w:val="PageNumber"/>
      </w:rPr>
      <w:fldChar w:fldCharType="separate"/>
    </w:r>
    <w:r w:rsidR="00BA5A9E">
      <w:rPr>
        <w:rStyle w:val="PageNumber"/>
        <w:noProof/>
      </w:rPr>
      <w:t>9</w:t>
    </w:r>
    <w:r>
      <w:rPr>
        <w:rStyle w:val="PageNumber"/>
      </w:rPr>
      <w:fldChar w:fldCharType="end"/>
    </w:r>
  </w:p>
  <w:p w:rsidR="001E4053" w:rsidRDefault="001E4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5D0"/>
    <w:multiLevelType w:val="hybridMultilevel"/>
    <w:tmpl w:val="2CD6550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117BC8"/>
    <w:multiLevelType w:val="hybridMultilevel"/>
    <w:tmpl w:val="016E1DD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DEF3F21"/>
    <w:multiLevelType w:val="hybridMultilevel"/>
    <w:tmpl w:val="E09AFD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E2836AE"/>
    <w:multiLevelType w:val="hybridMultilevel"/>
    <w:tmpl w:val="9A4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A010CF"/>
    <w:multiLevelType w:val="hybridMultilevel"/>
    <w:tmpl w:val="D3528940"/>
    <w:lvl w:ilvl="0" w:tplc="4450221C">
      <w:start w:val="1"/>
      <w:numFmt w:val="decimal"/>
      <w:lvlText w:val="%1)"/>
      <w:lvlJc w:val="left"/>
      <w:pPr>
        <w:ind w:left="377" w:hanging="360"/>
      </w:pPr>
      <w:rPr>
        <w:rFonts w:hint="default"/>
      </w:rPr>
    </w:lvl>
    <w:lvl w:ilvl="1" w:tplc="04260019" w:tentative="1">
      <w:start w:val="1"/>
      <w:numFmt w:val="lowerLetter"/>
      <w:lvlText w:val="%2."/>
      <w:lvlJc w:val="left"/>
      <w:pPr>
        <w:ind w:left="1097" w:hanging="360"/>
      </w:pPr>
    </w:lvl>
    <w:lvl w:ilvl="2" w:tplc="0426001B" w:tentative="1">
      <w:start w:val="1"/>
      <w:numFmt w:val="lowerRoman"/>
      <w:lvlText w:val="%3."/>
      <w:lvlJc w:val="right"/>
      <w:pPr>
        <w:ind w:left="1817" w:hanging="180"/>
      </w:pPr>
    </w:lvl>
    <w:lvl w:ilvl="3" w:tplc="0426000F" w:tentative="1">
      <w:start w:val="1"/>
      <w:numFmt w:val="decimal"/>
      <w:lvlText w:val="%4."/>
      <w:lvlJc w:val="left"/>
      <w:pPr>
        <w:ind w:left="2537" w:hanging="360"/>
      </w:pPr>
    </w:lvl>
    <w:lvl w:ilvl="4" w:tplc="04260019" w:tentative="1">
      <w:start w:val="1"/>
      <w:numFmt w:val="lowerLetter"/>
      <w:lvlText w:val="%5."/>
      <w:lvlJc w:val="left"/>
      <w:pPr>
        <w:ind w:left="3257" w:hanging="360"/>
      </w:pPr>
    </w:lvl>
    <w:lvl w:ilvl="5" w:tplc="0426001B" w:tentative="1">
      <w:start w:val="1"/>
      <w:numFmt w:val="lowerRoman"/>
      <w:lvlText w:val="%6."/>
      <w:lvlJc w:val="right"/>
      <w:pPr>
        <w:ind w:left="3977" w:hanging="180"/>
      </w:pPr>
    </w:lvl>
    <w:lvl w:ilvl="6" w:tplc="0426000F" w:tentative="1">
      <w:start w:val="1"/>
      <w:numFmt w:val="decimal"/>
      <w:lvlText w:val="%7."/>
      <w:lvlJc w:val="left"/>
      <w:pPr>
        <w:ind w:left="4697" w:hanging="360"/>
      </w:pPr>
    </w:lvl>
    <w:lvl w:ilvl="7" w:tplc="04260019" w:tentative="1">
      <w:start w:val="1"/>
      <w:numFmt w:val="lowerLetter"/>
      <w:lvlText w:val="%8."/>
      <w:lvlJc w:val="left"/>
      <w:pPr>
        <w:ind w:left="5417" w:hanging="360"/>
      </w:pPr>
    </w:lvl>
    <w:lvl w:ilvl="8" w:tplc="0426001B" w:tentative="1">
      <w:start w:val="1"/>
      <w:numFmt w:val="lowerRoman"/>
      <w:lvlText w:val="%9."/>
      <w:lvlJc w:val="right"/>
      <w:pPr>
        <w:ind w:left="6137"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A863A72"/>
    <w:multiLevelType w:val="hybridMultilevel"/>
    <w:tmpl w:val="C6FEA3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F523EA8"/>
    <w:multiLevelType w:val="hybridMultilevel"/>
    <w:tmpl w:val="9A4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C085B96"/>
    <w:multiLevelType w:val="hybridMultilevel"/>
    <w:tmpl w:val="FA8C8C2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255182D"/>
    <w:multiLevelType w:val="hybridMultilevel"/>
    <w:tmpl w:val="7988E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E51C07"/>
    <w:multiLevelType w:val="hybridMultilevel"/>
    <w:tmpl w:val="BAF2792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7541357"/>
    <w:multiLevelType w:val="hybridMultilevel"/>
    <w:tmpl w:val="6F76903C"/>
    <w:lvl w:ilvl="0" w:tplc="04260005">
      <w:start w:val="1"/>
      <w:numFmt w:val="bullet"/>
      <w:lvlText w:val=""/>
      <w:lvlJc w:val="left"/>
      <w:pPr>
        <w:ind w:left="-252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360" w:hanging="360"/>
      </w:pPr>
      <w:rPr>
        <w:rFonts w:ascii="Courier New" w:hAnsi="Courier New" w:cs="Courier New" w:hint="default"/>
      </w:rPr>
    </w:lvl>
    <w:lvl w:ilvl="5" w:tplc="04260005" w:tentative="1">
      <w:start w:val="1"/>
      <w:numFmt w:val="bullet"/>
      <w:lvlText w:val=""/>
      <w:lvlJc w:val="left"/>
      <w:pPr>
        <w:ind w:left="1080" w:hanging="360"/>
      </w:pPr>
      <w:rPr>
        <w:rFonts w:ascii="Wingdings" w:hAnsi="Wingdings" w:hint="default"/>
      </w:rPr>
    </w:lvl>
    <w:lvl w:ilvl="6" w:tplc="04260001" w:tentative="1">
      <w:start w:val="1"/>
      <w:numFmt w:val="bullet"/>
      <w:lvlText w:val=""/>
      <w:lvlJc w:val="left"/>
      <w:pPr>
        <w:ind w:left="1800" w:hanging="360"/>
      </w:pPr>
      <w:rPr>
        <w:rFonts w:ascii="Symbol" w:hAnsi="Symbol" w:hint="default"/>
      </w:rPr>
    </w:lvl>
    <w:lvl w:ilvl="7" w:tplc="04260003" w:tentative="1">
      <w:start w:val="1"/>
      <w:numFmt w:val="bullet"/>
      <w:lvlText w:val="o"/>
      <w:lvlJc w:val="left"/>
      <w:pPr>
        <w:ind w:left="2520" w:hanging="360"/>
      </w:pPr>
      <w:rPr>
        <w:rFonts w:ascii="Courier New" w:hAnsi="Courier New" w:cs="Courier New" w:hint="default"/>
      </w:rPr>
    </w:lvl>
    <w:lvl w:ilvl="8" w:tplc="04260005" w:tentative="1">
      <w:start w:val="1"/>
      <w:numFmt w:val="bullet"/>
      <w:lvlText w:val=""/>
      <w:lvlJc w:val="left"/>
      <w:pPr>
        <w:ind w:left="3240" w:hanging="360"/>
      </w:pPr>
      <w:rPr>
        <w:rFonts w:ascii="Wingdings" w:hAnsi="Wingdings" w:hint="default"/>
      </w:rPr>
    </w:lvl>
  </w:abstractNum>
  <w:abstractNum w:abstractNumId="26">
    <w:nsid w:val="7D7F4AF9"/>
    <w:multiLevelType w:val="hybridMultilevel"/>
    <w:tmpl w:val="DF5C5BAE"/>
    <w:lvl w:ilvl="0" w:tplc="B6D236F0">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8"/>
  </w:num>
  <w:num w:numId="2">
    <w:abstractNumId w:val="21"/>
  </w:num>
  <w:num w:numId="3">
    <w:abstractNumId w:val="6"/>
  </w:num>
  <w:num w:numId="4">
    <w:abstractNumId w:val="4"/>
  </w:num>
  <w:num w:numId="5">
    <w:abstractNumId w:val="1"/>
  </w:num>
  <w:num w:numId="6">
    <w:abstractNumId w:val="17"/>
  </w:num>
  <w:num w:numId="7">
    <w:abstractNumId w:val="23"/>
  </w:num>
  <w:num w:numId="8">
    <w:abstractNumId w:val="12"/>
  </w:num>
  <w:num w:numId="9">
    <w:abstractNumId w:val="5"/>
  </w:num>
  <w:num w:numId="10">
    <w:abstractNumId w:val="13"/>
  </w:num>
  <w:num w:numId="11">
    <w:abstractNumId w:val="14"/>
  </w:num>
  <w:num w:numId="12">
    <w:abstractNumId w:val="18"/>
  </w:num>
  <w:num w:numId="13">
    <w:abstractNumId w:val="20"/>
  </w:num>
  <w:num w:numId="14">
    <w:abstractNumId w:val="22"/>
  </w:num>
  <w:num w:numId="15">
    <w:abstractNumId w:val="3"/>
  </w:num>
  <w:num w:numId="16">
    <w:abstractNumId w:val="2"/>
  </w:num>
  <w:num w:numId="17">
    <w:abstractNumId w:val="27"/>
  </w:num>
  <w:num w:numId="18">
    <w:abstractNumId w:val="26"/>
  </w:num>
  <w:num w:numId="19">
    <w:abstractNumId w:val="15"/>
  </w:num>
  <w:num w:numId="20">
    <w:abstractNumId w:val="25"/>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9"/>
  </w:num>
  <w:num w:numId="28">
    <w:abstractNumId w:val="7"/>
  </w:num>
  <w:num w:numId="29">
    <w:abstractNumId w:val="11"/>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rsids>
    <w:rsidRoot w:val="008C5649"/>
    <w:rsid w:val="00004E97"/>
    <w:rsid w:val="00011D24"/>
    <w:rsid w:val="00013FF4"/>
    <w:rsid w:val="000147BC"/>
    <w:rsid w:val="000153FC"/>
    <w:rsid w:val="00020602"/>
    <w:rsid w:val="00020FE1"/>
    <w:rsid w:val="00022E13"/>
    <w:rsid w:val="000251A3"/>
    <w:rsid w:val="000252EE"/>
    <w:rsid w:val="00032388"/>
    <w:rsid w:val="000334E6"/>
    <w:rsid w:val="00035BCC"/>
    <w:rsid w:val="00035CE2"/>
    <w:rsid w:val="00035CEB"/>
    <w:rsid w:val="0004254B"/>
    <w:rsid w:val="00046A47"/>
    <w:rsid w:val="00050101"/>
    <w:rsid w:val="00051A1E"/>
    <w:rsid w:val="00055275"/>
    <w:rsid w:val="0005553B"/>
    <w:rsid w:val="0005580C"/>
    <w:rsid w:val="000569E5"/>
    <w:rsid w:val="000604D2"/>
    <w:rsid w:val="00070F35"/>
    <w:rsid w:val="000731D5"/>
    <w:rsid w:val="0008448D"/>
    <w:rsid w:val="0009005E"/>
    <w:rsid w:val="00090F81"/>
    <w:rsid w:val="00094024"/>
    <w:rsid w:val="000941C5"/>
    <w:rsid w:val="000A0BF8"/>
    <w:rsid w:val="000A4DD1"/>
    <w:rsid w:val="000A6451"/>
    <w:rsid w:val="000B064E"/>
    <w:rsid w:val="000B1045"/>
    <w:rsid w:val="000B69CF"/>
    <w:rsid w:val="000B716E"/>
    <w:rsid w:val="000C1465"/>
    <w:rsid w:val="000C4342"/>
    <w:rsid w:val="000C5A50"/>
    <w:rsid w:val="000C790C"/>
    <w:rsid w:val="000D7F3A"/>
    <w:rsid w:val="000E25C6"/>
    <w:rsid w:val="000E348C"/>
    <w:rsid w:val="000E6C94"/>
    <w:rsid w:val="000E7DC9"/>
    <w:rsid w:val="000F061D"/>
    <w:rsid w:val="000F0CA3"/>
    <w:rsid w:val="000F1122"/>
    <w:rsid w:val="000F1CE5"/>
    <w:rsid w:val="000F4794"/>
    <w:rsid w:val="0010130C"/>
    <w:rsid w:val="00101CEE"/>
    <w:rsid w:val="00102E60"/>
    <w:rsid w:val="00103517"/>
    <w:rsid w:val="001042B0"/>
    <w:rsid w:val="001103CE"/>
    <w:rsid w:val="00110FFC"/>
    <w:rsid w:val="0011129C"/>
    <w:rsid w:val="00113A09"/>
    <w:rsid w:val="00122C93"/>
    <w:rsid w:val="001233A3"/>
    <w:rsid w:val="00124F12"/>
    <w:rsid w:val="0012745E"/>
    <w:rsid w:val="001318D6"/>
    <w:rsid w:val="00133B31"/>
    <w:rsid w:val="001350B3"/>
    <w:rsid w:val="00135465"/>
    <w:rsid w:val="00135EAB"/>
    <w:rsid w:val="00136CBE"/>
    <w:rsid w:val="001411D2"/>
    <w:rsid w:val="00144E3A"/>
    <w:rsid w:val="0015060C"/>
    <w:rsid w:val="0016018A"/>
    <w:rsid w:val="00161F0E"/>
    <w:rsid w:val="0016269F"/>
    <w:rsid w:val="0016550D"/>
    <w:rsid w:val="00170E2A"/>
    <w:rsid w:val="00177394"/>
    <w:rsid w:val="00177C0F"/>
    <w:rsid w:val="001820EA"/>
    <w:rsid w:val="00182C18"/>
    <w:rsid w:val="00183CC2"/>
    <w:rsid w:val="00183EFA"/>
    <w:rsid w:val="001900E4"/>
    <w:rsid w:val="00190F88"/>
    <w:rsid w:val="00191BDC"/>
    <w:rsid w:val="00193070"/>
    <w:rsid w:val="00193931"/>
    <w:rsid w:val="00194DFC"/>
    <w:rsid w:val="001956FA"/>
    <w:rsid w:val="00196D2D"/>
    <w:rsid w:val="001977DB"/>
    <w:rsid w:val="001A146F"/>
    <w:rsid w:val="001A1620"/>
    <w:rsid w:val="001A395E"/>
    <w:rsid w:val="001A4066"/>
    <w:rsid w:val="001A4207"/>
    <w:rsid w:val="001A6AE4"/>
    <w:rsid w:val="001B01FD"/>
    <w:rsid w:val="001B171B"/>
    <w:rsid w:val="001B1A3A"/>
    <w:rsid w:val="001B3DF0"/>
    <w:rsid w:val="001B4A6F"/>
    <w:rsid w:val="001B4A71"/>
    <w:rsid w:val="001B4E01"/>
    <w:rsid w:val="001B5486"/>
    <w:rsid w:val="001B7435"/>
    <w:rsid w:val="001B7C1A"/>
    <w:rsid w:val="001B7FFE"/>
    <w:rsid w:val="001C1F73"/>
    <w:rsid w:val="001C3BE8"/>
    <w:rsid w:val="001C592D"/>
    <w:rsid w:val="001D5788"/>
    <w:rsid w:val="001D5B54"/>
    <w:rsid w:val="001E1DBF"/>
    <w:rsid w:val="001E4053"/>
    <w:rsid w:val="001E4639"/>
    <w:rsid w:val="001E4A7D"/>
    <w:rsid w:val="001E5D78"/>
    <w:rsid w:val="001E7374"/>
    <w:rsid w:val="001F23F4"/>
    <w:rsid w:val="001F2AEA"/>
    <w:rsid w:val="001F42E6"/>
    <w:rsid w:val="001F43A8"/>
    <w:rsid w:val="001F4AD4"/>
    <w:rsid w:val="001F5CD6"/>
    <w:rsid w:val="001F7043"/>
    <w:rsid w:val="001F7E7E"/>
    <w:rsid w:val="00200516"/>
    <w:rsid w:val="00203E82"/>
    <w:rsid w:val="00205400"/>
    <w:rsid w:val="002061A5"/>
    <w:rsid w:val="00210DCE"/>
    <w:rsid w:val="0021263D"/>
    <w:rsid w:val="00213F0C"/>
    <w:rsid w:val="00214094"/>
    <w:rsid w:val="0021592D"/>
    <w:rsid w:val="00215E22"/>
    <w:rsid w:val="0022195B"/>
    <w:rsid w:val="00222D76"/>
    <w:rsid w:val="00223EB1"/>
    <w:rsid w:val="00230A43"/>
    <w:rsid w:val="00231344"/>
    <w:rsid w:val="002316B2"/>
    <w:rsid w:val="0023436E"/>
    <w:rsid w:val="002347C0"/>
    <w:rsid w:val="0023688B"/>
    <w:rsid w:val="00241A6C"/>
    <w:rsid w:val="00242D2B"/>
    <w:rsid w:val="0024534C"/>
    <w:rsid w:val="00253371"/>
    <w:rsid w:val="00253580"/>
    <w:rsid w:val="00253E94"/>
    <w:rsid w:val="0025491E"/>
    <w:rsid w:val="00262C5D"/>
    <w:rsid w:val="00262E2B"/>
    <w:rsid w:val="002647D7"/>
    <w:rsid w:val="002648C2"/>
    <w:rsid w:val="00267074"/>
    <w:rsid w:val="002702EC"/>
    <w:rsid w:val="0027030E"/>
    <w:rsid w:val="00270429"/>
    <w:rsid w:val="00270F12"/>
    <w:rsid w:val="00270FB4"/>
    <w:rsid w:val="002723E9"/>
    <w:rsid w:val="00272F9D"/>
    <w:rsid w:val="002746DC"/>
    <w:rsid w:val="00275639"/>
    <w:rsid w:val="00277929"/>
    <w:rsid w:val="00280A37"/>
    <w:rsid w:val="0028244A"/>
    <w:rsid w:val="00283B82"/>
    <w:rsid w:val="002846E9"/>
    <w:rsid w:val="00284C34"/>
    <w:rsid w:val="002862D0"/>
    <w:rsid w:val="002863F0"/>
    <w:rsid w:val="00286EAF"/>
    <w:rsid w:val="0029066C"/>
    <w:rsid w:val="00290838"/>
    <w:rsid w:val="0029498F"/>
    <w:rsid w:val="002A093B"/>
    <w:rsid w:val="002A2650"/>
    <w:rsid w:val="002A7296"/>
    <w:rsid w:val="002B2DE5"/>
    <w:rsid w:val="002B33E3"/>
    <w:rsid w:val="002B50DB"/>
    <w:rsid w:val="002C12AB"/>
    <w:rsid w:val="002C254F"/>
    <w:rsid w:val="002C2E62"/>
    <w:rsid w:val="002C3148"/>
    <w:rsid w:val="002C4245"/>
    <w:rsid w:val="002C5443"/>
    <w:rsid w:val="002C56B8"/>
    <w:rsid w:val="002C608F"/>
    <w:rsid w:val="002C7CAC"/>
    <w:rsid w:val="002D0D98"/>
    <w:rsid w:val="002D3306"/>
    <w:rsid w:val="002D48AA"/>
    <w:rsid w:val="002D7BAA"/>
    <w:rsid w:val="002D7F54"/>
    <w:rsid w:val="002E2EDB"/>
    <w:rsid w:val="002E3FF4"/>
    <w:rsid w:val="002E7B46"/>
    <w:rsid w:val="002F0C08"/>
    <w:rsid w:val="002F10B7"/>
    <w:rsid w:val="002F1B14"/>
    <w:rsid w:val="002F405E"/>
    <w:rsid w:val="002F7292"/>
    <w:rsid w:val="002F78C8"/>
    <w:rsid w:val="003019E3"/>
    <w:rsid w:val="00301CF3"/>
    <w:rsid w:val="00303BEB"/>
    <w:rsid w:val="00304D7A"/>
    <w:rsid w:val="0031077D"/>
    <w:rsid w:val="003124E6"/>
    <w:rsid w:val="003138B6"/>
    <w:rsid w:val="00321646"/>
    <w:rsid w:val="0032715C"/>
    <w:rsid w:val="00330520"/>
    <w:rsid w:val="00334280"/>
    <w:rsid w:val="00337CA5"/>
    <w:rsid w:val="00341CB6"/>
    <w:rsid w:val="00352CE9"/>
    <w:rsid w:val="00356F68"/>
    <w:rsid w:val="00362478"/>
    <w:rsid w:val="00364A7E"/>
    <w:rsid w:val="003670A1"/>
    <w:rsid w:val="003705F2"/>
    <w:rsid w:val="0037102E"/>
    <w:rsid w:val="003724D5"/>
    <w:rsid w:val="00373D84"/>
    <w:rsid w:val="00375B25"/>
    <w:rsid w:val="003773E3"/>
    <w:rsid w:val="003811FF"/>
    <w:rsid w:val="0038190D"/>
    <w:rsid w:val="003855E3"/>
    <w:rsid w:val="00387090"/>
    <w:rsid w:val="00387593"/>
    <w:rsid w:val="003922C6"/>
    <w:rsid w:val="0039241A"/>
    <w:rsid w:val="00396542"/>
    <w:rsid w:val="0039685B"/>
    <w:rsid w:val="003A0F38"/>
    <w:rsid w:val="003A10BC"/>
    <w:rsid w:val="003A31A6"/>
    <w:rsid w:val="003A50CC"/>
    <w:rsid w:val="003A63D4"/>
    <w:rsid w:val="003A7940"/>
    <w:rsid w:val="003A7F0C"/>
    <w:rsid w:val="003A7F79"/>
    <w:rsid w:val="003B046B"/>
    <w:rsid w:val="003B0A96"/>
    <w:rsid w:val="003B6404"/>
    <w:rsid w:val="003C449B"/>
    <w:rsid w:val="003C4A5E"/>
    <w:rsid w:val="003D0994"/>
    <w:rsid w:val="003D21FF"/>
    <w:rsid w:val="003D7A2B"/>
    <w:rsid w:val="003E0128"/>
    <w:rsid w:val="003E4AD0"/>
    <w:rsid w:val="003F0112"/>
    <w:rsid w:val="003F071A"/>
    <w:rsid w:val="003F160B"/>
    <w:rsid w:val="003F2839"/>
    <w:rsid w:val="003F30D4"/>
    <w:rsid w:val="003F5F89"/>
    <w:rsid w:val="003F60ED"/>
    <w:rsid w:val="003F6818"/>
    <w:rsid w:val="00400032"/>
    <w:rsid w:val="00400B5B"/>
    <w:rsid w:val="00402E8C"/>
    <w:rsid w:val="00403036"/>
    <w:rsid w:val="00405A00"/>
    <w:rsid w:val="00411C5B"/>
    <w:rsid w:val="00412CEF"/>
    <w:rsid w:val="00414FE6"/>
    <w:rsid w:val="00415045"/>
    <w:rsid w:val="00416E4B"/>
    <w:rsid w:val="00417D7B"/>
    <w:rsid w:val="00420870"/>
    <w:rsid w:val="0042326E"/>
    <w:rsid w:val="0043226E"/>
    <w:rsid w:val="00433962"/>
    <w:rsid w:val="00436994"/>
    <w:rsid w:val="00437189"/>
    <w:rsid w:val="0043791B"/>
    <w:rsid w:val="004402FB"/>
    <w:rsid w:val="00441483"/>
    <w:rsid w:val="00441B93"/>
    <w:rsid w:val="00441BCB"/>
    <w:rsid w:val="00443349"/>
    <w:rsid w:val="00447D55"/>
    <w:rsid w:val="0045088C"/>
    <w:rsid w:val="004510C8"/>
    <w:rsid w:val="0045176A"/>
    <w:rsid w:val="004540B5"/>
    <w:rsid w:val="00456332"/>
    <w:rsid w:val="004572A6"/>
    <w:rsid w:val="00461826"/>
    <w:rsid w:val="004632EF"/>
    <w:rsid w:val="004635BD"/>
    <w:rsid w:val="00463A59"/>
    <w:rsid w:val="004729AF"/>
    <w:rsid w:val="00473052"/>
    <w:rsid w:val="00473986"/>
    <w:rsid w:val="0047760D"/>
    <w:rsid w:val="00477F4A"/>
    <w:rsid w:val="004800F9"/>
    <w:rsid w:val="004820B0"/>
    <w:rsid w:val="00484B9A"/>
    <w:rsid w:val="0048588D"/>
    <w:rsid w:val="004879B9"/>
    <w:rsid w:val="0049134A"/>
    <w:rsid w:val="00494A6A"/>
    <w:rsid w:val="004A1E23"/>
    <w:rsid w:val="004A358D"/>
    <w:rsid w:val="004A407D"/>
    <w:rsid w:val="004A4687"/>
    <w:rsid w:val="004A58CB"/>
    <w:rsid w:val="004A78B3"/>
    <w:rsid w:val="004B0436"/>
    <w:rsid w:val="004B1795"/>
    <w:rsid w:val="004B56DD"/>
    <w:rsid w:val="004C020F"/>
    <w:rsid w:val="004C1AFD"/>
    <w:rsid w:val="004C558B"/>
    <w:rsid w:val="004D009B"/>
    <w:rsid w:val="004D155C"/>
    <w:rsid w:val="004D1E4B"/>
    <w:rsid w:val="004D2C31"/>
    <w:rsid w:val="004D6DD3"/>
    <w:rsid w:val="004D6E8A"/>
    <w:rsid w:val="004E353B"/>
    <w:rsid w:val="004E4617"/>
    <w:rsid w:val="004E6AE2"/>
    <w:rsid w:val="004F0D2E"/>
    <w:rsid w:val="004F116E"/>
    <w:rsid w:val="004F1F88"/>
    <w:rsid w:val="004F59DC"/>
    <w:rsid w:val="004F5F1B"/>
    <w:rsid w:val="005012BF"/>
    <w:rsid w:val="00502374"/>
    <w:rsid w:val="00502620"/>
    <w:rsid w:val="00502D0F"/>
    <w:rsid w:val="00505E1C"/>
    <w:rsid w:val="005060A1"/>
    <w:rsid w:val="005076C5"/>
    <w:rsid w:val="005108DD"/>
    <w:rsid w:val="005147C9"/>
    <w:rsid w:val="00515C00"/>
    <w:rsid w:val="00516072"/>
    <w:rsid w:val="0051699D"/>
    <w:rsid w:val="005249E3"/>
    <w:rsid w:val="0052566A"/>
    <w:rsid w:val="005332EC"/>
    <w:rsid w:val="00534418"/>
    <w:rsid w:val="005346A9"/>
    <w:rsid w:val="005353AB"/>
    <w:rsid w:val="005407BB"/>
    <w:rsid w:val="00540FB6"/>
    <w:rsid w:val="005560BC"/>
    <w:rsid w:val="005573BE"/>
    <w:rsid w:val="0056264E"/>
    <w:rsid w:val="00564D3D"/>
    <w:rsid w:val="00570E89"/>
    <w:rsid w:val="00572700"/>
    <w:rsid w:val="005730BF"/>
    <w:rsid w:val="005768C5"/>
    <w:rsid w:val="00576DFB"/>
    <w:rsid w:val="00580468"/>
    <w:rsid w:val="0058069E"/>
    <w:rsid w:val="00580BD3"/>
    <w:rsid w:val="00581189"/>
    <w:rsid w:val="00582603"/>
    <w:rsid w:val="0058603B"/>
    <w:rsid w:val="0058707D"/>
    <w:rsid w:val="00590C84"/>
    <w:rsid w:val="00592398"/>
    <w:rsid w:val="00592453"/>
    <w:rsid w:val="00593147"/>
    <w:rsid w:val="0059431B"/>
    <w:rsid w:val="005958F4"/>
    <w:rsid w:val="0059662F"/>
    <w:rsid w:val="00597550"/>
    <w:rsid w:val="005A0160"/>
    <w:rsid w:val="005A39CC"/>
    <w:rsid w:val="005A77FF"/>
    <w:rsid w:val="005B4730"/>
    <w:rsid w:val="005B653D"/>
    <w:rsid w:val="005C3306"/>
    <w:rsid w:val="005C3476"/>
    <w:rsid w:val="005C393B"/>
    <w:rsid w:val="005C627D"/>
    <w:rsid w:val="005C6DCF"/>
    <w:rsid w:val="005C762D"/>
    <w:rsid w:val="005D1EF7"/>
    <w:rsid w:val="005D258A"/>
    <w:rsid w:val="005D54F3"/>
    <w:rsid w:val="005E05D7"/>
    <w:rsid w:val="005E068E"/>
    <w:rsid w:val="005E41E7"/>
    <w:rsid w:val="005E450F"/>
    <w:rsid w:val="005F22BF"/>
    <w:rsid w:val="005F45D0"/>
    <w:rsid w:val="005F5E0D"/>
    <w:rsid w:val="0060346B"/>
    <w:rsid w:val="00607AE3"/>
    <w:rsid w:val="006130EB"/>
    <w:rsid w:val="00614426"/>
    <w:rsid w:val="00617B4D"/>
    <w:rsid w:val="00620597"/>
    <w:rsid w:val="0062298A"/>
    <w:rsid w:val="00624A76"/>
    <w:rsid w:val="00625BD4"/>
    <w:rsid w:val="00626514"/>
    <w:rsid w:val="00626589"/>
    <w:rsid w:val="0062716C"/>
    <w:rsid w:val="006339A0"/>
    <w:rsid w:val="00633B52"/>
    <w:rsid w:val="00633CB3"/>
    <w:rsid w:val="006352A4"/>
    <w:rsid w:val="006413A8"/>
    <w:rsid w:val="00642E56"/>
    <w:rsid w:val="00645C3A"/>
    <w:rsid w:val="006464C9"/>
    <w:rsid w:val="00651E00"/>
    <w:rsid w:val="0065272D"/>
    <w:rsid w:val="00654702"/>
    <w:rsid w:val="00657CC8"/>
    <w:rsid w:val="00657D63"/>
    <w:rsid w:val="00660565"/>
    <w:rsid w:val="00665887"/>
    <w:rsid w:val="00666D78"/>
    <w:rsid w:val="00666E2D"/>
    <w:rsid w:val="00671B7F"/>
    <w:rsid w:val="0067324D"/>
    <w:rsid w:val="00674572"/>
    <w:rsid w:val="00681090"/>
    <w:rsid w:val="006844CF"/>
    <w:rsid w:val="006865F6"/>
    <w:rsid w:val="00687763"/>
    <w:rsid w:val="00692B0D"/>
    <w:rsid w:val="00693E0E"/>
    <w:rsid w:val="0069502B"/>
    <w:rsid w:val="00695B92"/>
    <w:rsid w:val="00697FD1"/>
    <w:rsid w:val="006A0493"/>
    <w:rsid w:val="006A1124"/>
    <w:rsid w:val="006A1AE3"/>
    <w:rsid w:val="006A2FC3"/>
    <w:rsid w:val="006B2DC9"/>
    <w:rsid w:val="006C13A1"/>
    <w:rsid w:val="006C30E1"/>
    <w:rsid w:val="006C435A"/>
    <w:rsid w:val="006C4607"/>
    <w:rsid w:val="006D47D3"/>
    <w:rsid w:val="006D48F1"/>
    <w:rsid w:val="006D4B8B"/>
    <w:rsid w:val="006D59F0"/>
    <w:rsid w:val="006E3FD9"/>
    <w:rsid w:val="006E4485"/>
    <w:rsid w:val="006E73D3"/>
    <w:rsid w:val="006F068F"/>
    <w:rsid w:val="006F14BA"/>
    <w:rsid w:val="006F17CA"/>
    <w:rsid w:val="006F1DE0"/>
    <w:rsid w:val="006F40AF"/>
    <w:rsid w:val="006F43DC"/>
    <w:rsid w:val="006F45BE"/>
    <w:rsid w:val="006F60CF"/>
    <w:rsid w:val="00700404"/>
    <w:rsid w:val="007004FC"/>
    <w:rsid w:val="007030AC"/>
    <w:rsid w:val="00704FF2"/>
    <w:rsid w:val="00706670"/>
    <w:rsid w:val="00706674"/>
    <w:rsid w:val="00711473"/>
    <w:rsid w:val="007130C1"/>
    <w:rsid w:val="00714112"/>
    <w:rsid w:val="0071653E"/>
    <w:rsid w:val="00716EA7"/>
    <w:rsid w:val="0072417C"/>
    <w:rsid w:val="00724B47"/>
    <w:rsid w:val="00734450"/>
    <w:rsid w:val="007371D8"/>
    <w:rsid w:val="00745F67"/>
    <w:rsid w:val="00746E60"/>
    <w:rsid w:val="0075039E"/>
    <w:rsid w:val="00750A90"/>
    <w:rsid w:val="007524B2"/>
    <w:rsid w:val="007526F9"/>
    <w:rsid w:val="00752D9D"/>
    <w:rsid w:val="00754784"/>
    <w:rsid w:val="00756C75"/>
    <w:rsid w:val="00757C6E"/>
    <w:rsid w:val="00760AD2"/>
    <w:rsid w:val="00760D6C"/>
    <w:rsid w:val="0076140D"/>
    <w:rsid w:val="00762AA9"/>
    <w:rsid w:val="00762BDA"/>
    <w:rsid w:val="00763C2B"/>
    <w:rsid w:val="00764667"/>
    <w:rsid w:val="007659A2"/>
    <w:rsid w:val="0077047E"/>
    <w:rsid w:val="00774E42"/>
    <w:rsid w:val="007805FD"/>
    <w:rsid w:val="007815FA"/>
    <w:rsid w:val="0078198A"/>
    <w:rsid w:val="007819AB"/>
    <w:rsid w:val="00784208"/>
    <w:rsid w:val="00784422"/>
    <w:rsid w:val="00785CC4"/>
    <w:rsid w:val="00786A20"/>
    <w:rsid w:val="00786AE4"/>
    <w:rsid w:val="007877F8"/>
    <w:rsid w:val="007918A2"/>
    <w:rsid w:val="00793797"/>
    <w:rsid w:val="00796A35"/>
    <w:rsid w:val="007A1185"/>
    <w:rsid w:val="007B0387"/>
    <w:rsid w:val="007B05C4"/>
    <w:rsid w:val="007B13CC"/>
    <w:rsid w:val="007B25C1"/>
    <w:rsid w:val="007B3B54"/>
    <w:rsid w:val="007B3FA0"/>
    <w:rsid w:val="007B59F4"/>
    <w:rsid w:val="007B5C98"/>
    <w:rsid w:val="007B5F96"/>
    <w:rsid w:val="007C0F2C"/>
    <w:rsid w:val="007C166B"/>
    <w:rsid w:val="007C2BCC"/>
    <w:rsid w:val="007C3CFE"/>
    <w:rsid w:val="007C4EF0"/>
    <w:rsid w:val="007C649D"/>
    <w:rsid w:val="007C7307"/>
    <w:rsid w:val="007D099D"/>
    <w:rsid w:val="007D26CA"/>
    <w:rsid w:val="007D4BE5"/>
    <w:rsid w:val="007D6837"/>
    <w:rsid w:val="007D73C8"/>
    <w:rsid w:val="007E2664"/>
    <w:rsid w:val="007E3ABF"/>
    <w:rsid w:val="007E3C21"/>
    <w:rsid w:val="007E3C7C"/>
    <w:rsid w:val="007E4D91"/>
    <w:rsid w:val="007E5BFA"/>
    <w:rsid w:val="007E6689"/>
    <w:rsid w:val="007E731C"/>
    <w:rsid w:val="007F0A03"/>
    <w:rsid w:val="007F28A4"/>
    <w:rsid w:val="007F2E99"/>
    <w:rsid w:val="007F7B9B"/>
    <w:rsid w:val="008017D3"/>
    <w:rsid w:val="0080582F"/>
    <w:rsid w:val="00805D4E"/>
    <w:rsid w:val="00805F17"/>
    <w:rsid w:val="00810040"/>
    <w:rsid w:val="008152D1"/>
    <w:rsid w:val="0082023A"/>
    <w:rsid w:val="00821A7A"/>
    <w:rsid w:val="0082237F"/>
    <w:rsid w:val="008253F8"/>
    <w:rsid w:val="008266E6"/>
    <w:rsid w:val="00827060"/>
    <w:rsid w:val="008301C3"/>
    <w:rsid w:val="008325E4"/>
    <w:rsid w:val="00832A2B"/>
    <w:rsid w:val="00833F4F"/>
    <w:rsid w:val="00840373"/>
    <w:rsid w:val="00843229"/>
    <w:rsid w:val="00845811"/>
    <w:rsid w:val="00846994"/>
    <w:rsid w:val="00850451"/>
    <w:rsid w:val="00851017"/>
    <w:rsid w:val="00852042"/>
    <w:rsid w:val="008534C9"/>
    <w:rsid w:val="008541AC"/>
    <w:rsid w:val="0085599D"/>
    <w:rsid w:val="00862BAC"/>
    <w:rsid w:val="008677DC"/>
    <w:rsid w:val="00871CD0"/>
    <w:rsid w:val="00872278"/>
    <w:rsid w:val="0087288F"/>
    <w:rsid w:val="0087510C"/>
    <w:rsid w:val="0088104A"/>
    <w:rsid w:val="008824E2"/>
    <w:rsid w:val="00887C04"/>
    <w:rsid w:val="00891BD3"/>
    <w:rsid w:val="00892A0A"/>
    <w:rsid w:val="00894AD2"/>
    <w:rsid w:val="008964D5"/>
    <w:rsid w:val="0089738E"/>
    <w:rsid w:val="008A2504"/>
    <w:rsid w:val="008A2D34"/>
    <w:rsid w:val="008A7C28"/>
    <w:rsid w:val="008B2976"/>
    <w:rsid w:val="008B57FB"/>
    <w:rsid w:val="008B5FDB"/>
    <w:rsid w:val="008B6ED3"/>
    <w:rsid w:val="008C05CE"/>
    <w:rsid w:val="008C082D"/>
    <w:rsid w:val="008C25D7"/>
    <w:rsid w:val="008C50F4"/>
    <w:rsid w:val="008C5649"/>
    <w:rsid w:val="008D3075"/>
    <w:rsid w:val="008D50B2"/>
    <w:rsid w:val="008D523D"/>
    <w:rsid w:val="008D5861"/>
    <w:rsid w:val="008D7C94"/>
    <w:rsid w:val="008E10F0"/>
    <w:rsid w:val="008E201A"/>
    <w:rsid w:val="008E3175"/>
    <w:rsid w:val="008E44A2"/>
    <w:rsid w:val="008E697D"/>
    <w:rsid w:val="008F14B7"/>
    <w:rsid w:val="008F24B2"/>
    <w:rsid w:val="008F70DE"/>
    <w:rsid w:val="00900D9A"/>
    <w:rsid w:val="0090195E"/>
    <w:rsid w:val="00903263"/>
    <w:rsid w:val="009033AE"/>
    <w:rsid w:val="00906A21"/>
    <w:rsid w:val="009079C3"/>
    <w:rsid w:val="00910462"/>
    <w:rsid w:val="00912049"/>
    <w:rsid w:val="00912A08"/>
    <w:rsid w:val="00915AB1"/>
    <w:rsid w:val="00916197"/>
    <w:rsid w:val="00917532"/>
    <w:rsid w:val="00920A9A"/>
    <w:rsid w:val="009235BA"/>
    <w:rsid w:val="00924023"/>
    <w:rsid w:val="00924CE2"/>
    <w:rsid w:val="00925B9F"/>
    <w:rsid w:val="00926811"/>
    <w:rsid w:val="00931AED"/>
    <w:rsid w:val="00934350"/>
    <w:rsid w:val="009359C7"/>
    <w:rsid w:val="009366BF"/>
    <w:rsid w:val="009412D0"/>
    <w:rsid w:val="00942AB0"/>
    <w:rsid w:val="009443B8"/>
    <w:rsid w:val="009476A3"/>
    <w:rsid w:val="00950DBF"/>
    <w:rsid w:val="0095334F"/>
    <w:rsid w:val="009548E5"/>
    <w:rsid w:val="009564CF"/>
    <w:rsid w:val="00956EB5"/>
    <w:rsid w:val="00957EC8"/>
    <w:rsid w:val="0096192C"/>
    <w:rsid w:val="00965897"/>
    <w:rsid w:val="0096765C"/>
    <w:rsid w:val="0097244D"/>
    <w:rsid w:val="009727E4"/>
    <w:rsid w:val="00972877"/>
    <w:rsid w:val="00974D67"/>
    <w:rsid w:val="00980B0E"/>
    <w:rsid w:val="009823B8"/>
    <w:rsid w:val="00983EFB"/>
    <w:rsid w:val="009861E0"/>
    <w:rsid w:val="00991C5B"/>
    <w:rsid w:val="009934C5"/>
    <w:rsid w:val="00994C0F"/>
    <w:rsid w:val="009A1CB6"/>
    <w:rsid w:val="009A4D1C"/>
    <w:rsid w:val="009A7176"/>
    <w:rsid w:val="009B22D7"/>
    <w:rsid w:val="009B3E26"/>
    <w:rsid w:val="009B424D"/>
    <w:rsid w:val="009B6822"/>
    <w:rsid w:val="009B7104"/>
    <w:rsid w:val="009B72ED"/>
    <w:rsid w:val="009C40F0"/>
    <w:rsid w:val="009C6DEB"/>
    <w:rsid w:val="009D6504"/>
    <w:rsid w:val="009E12D7"/>
    <w:rsid w:val="009E3372"/>
    <w:rsid w:val="009E661A"/>
    <w:rsid w:val="009E66F0"/>
    <w:rsid w:val="009F1EA9"/>
    <w:rsid w:val="009F303C"/>
    <w:rsid w:val="00A03753"/>
    <w:rsid w:val="00A06781"/>
    <w:rsid w:val="00A074C3"/>
    <w:rsid w:val="00A1509C"/>
    <w:rsid w:val="00A164B1"/>
    <w:rsid w:val="00A22120"/>
    <w:rsid w:val="00A23DAE"/>
    <w:rsid w:val="00A34260"/>
    <w:rsid w:val="00A3686D"/>
    <w:rsid w:val="00A36E50"/>
    <w:rsid w:val="00A36F76"/>
    <w:rsid w:val="00A37ACF"/>
    <w:rsid w:val="00A4630D"/>
    <w:rsid w:val="00A5074F"/>
    <w:rsid w:val="00A514CB"/>
    <w:rsid w:val="00A5252F"/>
    <w:rsid w:val="00A54AA8"/>
    <w:rsid w:val="00A56DEF"/>
    <w:rsid w:val="00A607D2"/>
    <w:rsid w:val="00A6265A"/>
    <w:rsid w:val="00A64554"/>
    <w:rsid w:val="00A64E59"/>
    <w:rsid w:val="00A67BA3"/>
    <w:rsid w:val="00A7076B"/>
    <w:rsid w:val="00A70CFD"/>
    <w:rsid w:val="00A7160B"/>
    <w:rsid w:val="00A72338"/>
    <w:rsid w:val="00A72A0B"/>
    <w:rsid w:val="00A72B2B"/>
    <w:rsid w:val="00A74BF8"/>
    <w:rsid w:val="00A75655"/>
    <w:rsid w:val="00A81E42"/>
    <w:rsid w:val="00A824C1"/>
    <w:rsid w:val="00A83DA2"/>
    <w:rsid w:val="00A864FE"/>
    <w:rsid w:val="00A86F41"/>
    <w:rsid w:val="00A8742A"/>
    <w:rsid w:val="00A87D04"/>
    <w:rsid w:val="00A915C0"/>
    <w:rsid w:val="00A91780"/>
    <w:rsid w:val="00A924B0"/>
    <w:rsid w:val="00A932D7"/>
    <w:rsid w:val="00A93B2C"/>
    <w:rsid w:val="00A944BB"/>
    <w:rsid w:val="00A950C5"/>
    <w:rsid w:val="00A961A8"/>
    <w:rsid w:val="00A96EEB"/>
    <w:rsid w:val="00A971B3"/>
    <w:rsid w:val="00AA0FF8"/>
    <w:rsid w:val="00AA1D25"/>
    <w:rsid w:val="00AA7D7D"/>
    <w:rsid w:val="00AB2B1A"/>
    <w:rsid w:val="00AB2F8A"/>
    <w:rsid w:val="00AB326B"/>
    <w:rsid w:val="00AB397F"/>
    <w:rsid w:val="00AB46B7"/>
    <w:rsid w:val="00AB5832"/>
    <w:rsid w:val="00AB6E1B"/>
    <w:rsid w:val="00AC0F7D"/>
    <w:rsid w:val="00AC51F2"/>
    <w:rsid w:val="00AC65E3"/>
    <w:rsid w:val="00AD2037"/>
    <w:rsid w:val="00AD79A1"/>
    <w:rsid w:val="00AE44EE"/>
    <w:rsid w:val="00AE5066"/>
    <w:rsid w:val="00AE5864"/>
    <w:rsid w:val="00AE5E24"/>
    <w:rsid w:val="00AE6011"/>
    <w:rsid w:val="00AE61B7"/>
    <w:rsid w:val="00AE6CBA"/>
    <w:rsid w:val="00AE79AD"/>
    <w:rsid w:val="00AF17C8"/>
    <w:rsid w:val="00AF35E4"/>
    <w:rsid w:val="00AF54FF"/>
    <w:rsid w:val="00AF5CDE"/>
    <w:rsid w:val="00AF5FFB"/>
    <w:rsid w:val="00B11A57"/>
    <w:rsid w:val="00B1336E"/>
    <w:rsid w:val="00B13F7C"/>
    <w:rsid w:val="00B164CD"/>
    <w:rsid w:val="00B172D9"/>
    <w:rsid w:val="00B211C3"/>
    <w:rsid w:val="00B25597"/>
    <w:rsid w:val="00B267B9"/>
    <w:rsid w:val="00B32F56"/>
    <w:rsid w:val="00B33E09"/>
    <w:rsid w:val="00B3454B"/>
    <w:rsid w:val="00B363D1"/>
    <w:rsid w:val="00B368D4"/>
    <w:rsid w:val="00B426F2"/>
    <w:rsid w:val="00B435D8"/>
    <w:rsid w:val="00B50708"/>
    <w:rsid w:val="00B50C68"/>
    <w:rsid w:val="00B51293"/>
    <w:rsid w:val="00B514B5"/>
    <w:rsid w:val="00B52B1E"/>
    <w:rsid w:val="00B55481"/>
    <w:rsid w:val="00B554C1"/>
    <w:rsid w:val="00B56C32"/>
    <w:rsid w:val="00B57ACF"/>
    <w:rsid w:val="00B62177"/>
    <w:rsid w:val="00B62C3D"/>
    <w:rsid w:val="00B64BB1"/>
    <w:rsid w:val="00B64C2F"/>
    <w:rsid w:val="00B65B69"/>
    <w:rsid w:val="00B65E47"/>
    <w:rsid w:val="00B65FE2"/>
    <w:rsid w:val="00B73166"/>
    <w:rsid w:val="00B7657D"/>
    <w:rsid w:val="00B804C3"/>
    <w:rsid w:val="00B83475"/>
    <w:rsid w:val="00B8426C"/>
    <w:rsid w:val="00B90A16"/>
    <w:rsid w:val="00B910EB"/>
    <w:rsid w:val="00B91B8D"/>
    <w:rsid w:val="00B92BED"/>
    <w:rsid w:val="00B93ED6"/>
    <w:rsid w:val="00B94E90"/>
    <w:rsid w:val="00B96003"/>
    <w:rsid w:val="00BA4836"/>
    <w:rsid w:val="00BA5A9E"/>
    <w:rsid w:val="00BA7632"/>
    <w:rsid w:val="00BA7A06"/>
    <w:rsid w:val="00BB0A82"/>
    <w:rsid w:val="00BB1B8C"/>
    <w:rsid w:val="00BB573A"/>
    <w:rsid w:val="00BB7C94"/>
    <w:rsid w:val="00BC0A9D"/>
    <w:rsid w:val="00BC35D1"/>
    <w:rsid w:val="00BD306C"/>
    <w:rsid w:val="00BD3A97"/>
    <w:rsid w:val="00BD496C"/>
    <w:rsid w:val="00BD49CF"/>
    <w:rsid w:val="00BD7F31"/>
    <w:rsid w:val="00BE0FB9"/>
    <w:rsid w:val="00BE2221"/>
    <w:rsid w:val="00BE2B46"/>
    <w:rsid w:val="00BE533F"/>
    <w:rsid w:val="00BE634E"/>
    <w:rsid w:val="00BF0A75"/>
    <w:rsid w:val="00BF3008"/>
    <w:rsid w:val="00BF3F4F"/>
    <w:rsid w:val="00BF40ED"/>
    <w:rsid w:val="00BF5B44"/>
    <w:rsid w:val="00BF5BC2"/>
    <w:rsid w:val="00C00DC7"/>
    <w:rsid w:val="00C0284E"/>
    <w:rsid w:val="00C0697A"/>
    <w:rsid w:val="00C06BB9"/>
    <w:rsid w:val="00C07080"/>
    <w:rsid w:val="00C1133D"/>
    <w:rsid w:val="00C22306"/>
    <w:rsid w:val="00C23FE3"/>
    <w:rsid w:val="00C25444"/>
    <w:rsid w:val="00C2794C"/>
    <w:rsid w:val="00C27A08"/>
    <w:rsid w:val="00C27EE6"/>
    <w:rsid w:val="00C30988"/>
    <w:rsid w:val="00C31312"/>
    <w:rsid w:val="00C326C6"/>
    <w:rsid w:val="00C33A2D"/>
    <w:rsid w:val="00C33EB4"/>
    <w:rsid w:val="00C35295"/>
    <w:rsid w:val="00C36ADD"/>
    <w:rsid w:val="00C36E74"/>
    <w:rsid w:val="00C40595"/>
    <w:rsid w:val="00C41621"/>
    <w:rsid w:val="00C43E2E"/>
    <w:rsid w:val="00C4491E"/>
    <w:rsid w:val="00C449FA"/>
    <w:rsid w:val="00C4564F"/>
    <w:rsid w:val="00C45A98"/>
    <w:rsid w:val="00C46B73"/>
    <w:rsid w:val="00C5012D"/>
    <w:rsid w:val="00C501DB"/>
    <w:rsid w:val="00C5384F"/>
    <w:rsid w:val="00C565D0"/>
    <w:rsid w:val="00C56964"/>
    <w:rsid w:val="00C56E24"/>
    <w:rsid w:val="00C579CA"/>
    <w:rsid w:val="00C6009B"/>
    <w:rsid w:val="00C637D6"/>
    <w:rsid w:val="00C656D5"/>
    <w:rsid w:val="00C66428"/>
    <w:rsid w:val="00C67103"/>
    <w:rsid w:val="00C67E18"/>
    <w:rsid w:val="00C7016C"/>
    <w:rsid w:val="00C71BB9"/>
    <w:rsid w:val="00C75C2F"/>
    <w:rsid w:val="00C770B4"/>
    <w:rsid w:val="00C77D3C"/>
    <w:rsid w:val="00C83750"/>
    <w:rsid w:val="00C851D6"/>
    <w:rsid w:val="00C860E6"/>
    <w:rsid w:val="00C94C28"/>
    <w:rsid w:val="00C9632B"/>
    <w:rsid w:val="00C97A84"/>
    <w:rsid w:val="00CA0B36"/>
    <w:rsid w:val="00CA293C"/>
    <w:rsid w:val="00CB0247"/>
    <w:rsid w:val="00CB3440"/>
    <w:rsid w:val="00CB4A8F"/>
    <w:rsid w:val="00CB79DF"/>
    <w:rsid w:val="00CC1692"/>
    <w:rsid w:val="00CC1BD1"/>
    <w:rsid w:val="00CC7506"/>
    <w:rsid w:val="00CD1177"/>
    <w:rsid w:val="00CD138B"/>
    <w:rsid w:val="00CD3E31"/>
    <w:rsid w:val="00CD74A3"/>
    <w:rsid w:val="00CE0527"/>
    <w:rsid w:val="00CE5B23"/>
    <w:rsid w:val="00CE74C2"/>
    <w:rsid w:val="00CF0572"/>
    <w:rsid w:val="00CF3265"/>
    <w:rsid w:val="00CF3453"/>
    <w:rsid w:val="00CF3834"/>
    <w:rsid w:val="00CF41C0"/>
    <w:rsid w:val="00CF70AD"/>
    <w:rsid w:val="00CF7729"/>
    <w:rsid w:val="00D00059"/>
    <w:rsid w:val="00D01A5A"/>
    <w:rsid w:val="00D03013"/>
    <w:rsid w:val="00D03962"/>
    <w:rsid w:val="00D107FA"/>
    <w:rsid w:val="00D12275"/>
    <w:rsid w:val="00D12766"/>
    <w:rsid w:val="00D17B5E"/>
    <w:rsid w:val="00D20FF4"/>
    <w:rsid w:val="00D23EED"/>
    <w:rsid w:val="00D24605"/>
    <w:rsid w:val="00D24D2C"/>
    <w:rsid w:val="00D35881"/>
    <w:rsid w:val="00D37588"/>
    <w:rsid w:val="00D37AE1"/>
    <w:rsid w:val="00D41268"/>
    <w:rsid w:val="00D4219E"/>
    <w:rsid w:val="00D42B71"/>
    <w:rsid w:val="00D45099"/>
    <w:rsid w:val="00D45701"/>
    <w:rsid w:val="00D477C6"/>
    <w:rsid w:val="00D51D26"/>
    <w:rsid w:val="00D52A8B"/>
    <w:rsid w:val="00D574E1"/>
    <w:rsid w:val="00D60240"/>
    <w:rsid w:val="00D60A85"/>
    <w:rsid w:val="00D61096"/>
    <w:rsid w:val="00D6401C"/>
    <w:rsid w:val="00D66F21"/>
    <w:rsid w:val="00D67B90"/>
    <w:rsid w:val="00D72AFA"/>
    <w:rsid w:val="00D73277"/>
    <w:rsid w:val="00D74FEA"/>
    <w:rsid w:val="00D7755C"/>
    <w:rsid w:val="00D83613"/>
    <w:rsid w:val="00D94096"/>
    <w:rsid w:val="00D97197"/>
    <w:rsid w:val="00DA4B6F"/>
    <w:rsid w:val="00DA533A"/>
    <w:rsid w:val="00DA5FE3"/>
    <w:rsid w:val="00DA7DA5"/>
    <w:rsid w:val="00DB073B"/>
    <w:rsid w:val="00DB12E2"/>
    <w:rsid w:val="00DB3CD1"/>
    <w:rsid w:val="00DB46EB"/>
    <w:rsid w:val="00DB501C"/>
    <w:rsid w:val="00DB5121"/>
    <w:rsid w:val="00DB78F0"/>
    <w:rsid w:val="00DC1E77"/>
    <w:rsid w:val="00DC2E43"/>
    <w:rsid w:val="00DC4E65"/>
    <w:rsid w:val="00DD095C"/>
    <w:rsid w:val="00DD1020"/>
    <w:rsid w:val="00DD1330"/>
    <w:rsid w:val="00DE0B83"/>
    <w:rsid w:val="00DE1A81"/>
    <w:rsid w:val="00DE1C13"/>
    <w:rsid w:val="00DE2B49"/>
    <w:rsid w:val="00DE2F39"/>
    <w:rsid w:val="00DE335B"/>
    <w:rsid w:val="00DE4E10"/>
    <w:rsid w:val="00DE7775"/>
    <w:rsid w:val="00DF0EFA"/>
    <w:rsid w:val="00DF3C54"/>
    <w:rsid w:val="00DF5936"/>
    <w:rsid w:val="00DF64C8"/>
    <w:rsid w:val="00DF6D2F"/>
    <w:rsid w:val="00E02ABF"/>
    <w:rsid w:val="00E0593C"/>
    <w:rsid w:val="00E06C24"/>
    <w:rsid w:val="00E13BE0"/>
    <w:rsid w:val="00E14995"/>
    <w:rsid w:val="00E16AC5"/>
    <w:rsid w:val="00E179CD"/>
    <w:rsid w:val="00E17A56"/>
    <w:rsid w:val="00E20AE9"/>
    <w:rsid w:val="00E211D1"/>
    <w:rsid w:val="00E21ED0"/>
    <w:rsid w:val="00E23E8D"/>
    <w:rsid w:val="00E26071"/>
    <w:rsid w:val="00E26434"/>
    <w:rsid w:val="00E26C34"/>
    <w:rsid w:val="00E30FF4"/>
    <w:rsid w:val="00E332BB"/>
    <w:rsid w:val="00E35A81"/>
    <w:rsid w:val="00E3639F"/>
    <w:rsid w:val="00E36745"/>
    <w:rsid w:val="00E36C93"/>
    <w:rsid w:val="00E37F98"/>
    <w:rsid w:val="00E40D22"/>
    <w:rsid w:val="00E42477"/>
    <w:rsid w:val="00E46559"/>
    <w:rsid w:val="00E5559C"/>
    <w:rsid w:val="00E62AC9"/>
    <w:rsid w:val="00E6465B"/>
    <w:rsid w:val="00E64A21"/>
    <w:rsid w:val="00E6670C"/>
    <w:rsid w:val="00E670DE"/>
    <w:rsid w:val="00E67F37"/>
    <w:rsid w:val="00E700C0"/>
    <w:rsid w:val="00E745A8"/>
    <w:rsid w:val="00E76751"/>
    <w:rsid w:val="00E76A96"/>
    <w:rsid w:val="00E776E8"/>
    <w:rsid w:val="00E8094A"/>
    <w:rsid w:val="00E80DD1"/>
    <w:rsid w:val="00E81075"/>
    <w:rsid w:val="00E81B85"/>
    <w:rsid w:val="00E82CCB"/>
    <w:rsid w:val="00E83CC3"/>
    <w:rsid w:val="00E8515E"/>
    <w:rsid w:val="00E86428"/>
    <w:rsid w:val="00E87221"/>
    <w:rsid w:val="00E91FD3"/>
    <w:rsid w:val="00E92C1F"/>
    <w:rsid w:val="00E9351C"/>
    <w:rsid w:val="00E95D4B"/>
    <w:rsid w:val="00EA354F"/>
    <w:rsid w:val="00EA5F15"/>
    <w:rsid w:val="00EA7178"/>
    <w:rsid w:val="00EA7C6B"/>
    <w:rsid w:val="00EB1659"/>
    <w:rsid w:val="00EB199F"/>
    <w:rsid w:val="00EB6230"/>
    <w:rsid w:val="00EC1E51"/>
    <w:rsid w:val="00EC2250"/>
    <w:rsid w:val="00EC23F7"/>
    <w:rsid w:val="00EC3099"/>
    <w:rsid w:val="00EC38C0"/>
    <w:rsid w:val="00EC3EF1"/>
    <w:rsid w:val="00EC4BD8"/>
    <w:rsid w:val="00EC5959"/>
    <w:rsid w:val="00EC6083"/>
    <w:rsid w:val="00EC63EB"/>
    <w:rsid w:val="00EC7581"/>
    <w:rsid w:val="00ED3A0F"/>
    <w:rsid w:val="00ED412F"/>
    <w:rsid w:val="00ED51E3"/>
    <w:rsid w:val="00EE094A"/>
    <w:rsid w:val="00EE2934"/>
    <w:rsid w:val="00EE334B"/>
    <w:rsid w:val="00EE66D9"/>
    <w:rsid w:val="00EF1484"/>
    <w:rsid w:val="00EF36B2"/>
    <w:rsid w:val="00EF7B9B"/>
    <w:rsid w:val="00F05869"/>
    <w:rsid w:val="00F066CE"/>
    <w:rsid w:val="00F117B7"/>
    <w:rsid w:val="00F13EDC"/>
    <w:rsid w:val="00F201EC"/>
    <w:rsid w:val="00F208A9"/>
    <w:rsid w:val="00F35DD2"/>
    <w:rsid w:val="00F40341"/>
    <w:rsid w:val="00F40DA2"/>
    <w:rsid w:val="00F40FBD"/>
    <w:rsid w:val="00F41D75"/>
    <w:rsid w:val="00F50BC3"/>
    <w:rsid w:val="00F5139D"/>
    <w:rsid w:val="00F52FB2"/>
    <w:rsid w:val="00F545FA"/>
    <w:rsid w:val="00F55D2A"/>
    <w:rsid w:val="00F56201"/>
    <w:rsid w:val="00F56C71"/>
    <w:rsid w:val="00F6152E"/>
    <w:rsid w:val="00F63DAC"/>
    <w:rsid w:val="00F6775F"/>
    <w:rsid w:val="00F70A2A"/>
    <w:rsid w:val="00F7454F"/>
    <w:rsid w:val="00F77988"/>
    <w:rsid w:val="00F77F48"/>
    <w:rsid w:val="00F8555E"/>
    <w:rsid w:val="00F87131"/>
    <w:rsid w:val="00F957D9"/>
    <w:rsid w:val="00FB30F1"/>
    <w:rsid w:val="00FB53E7"/>
    <w:rsid w:val="00FB7558"/>
    <w:rsid w:val="00FC070B"/>
    <w:rsid w:val="00FC0FA1"/>
    <w:rsid w:val="00FC270D"/>
    <w:rsid w:val="00FC5A63"/>
    <w:rsid w:val="00FC6EBE"/>
    <w:rsid w:val="00FE1522"/>
    <w:rsid w:val="00FE24C1"/>
    <w:rsid w:val="00FE2B9C"/>
    <w:rsid w:val="00FE5AB7"/>
    <w:rsid w:val="00FE747A"/>
    <w:rsid w:val="00FF19CC"/>
    <w:rsid w:val="00FF432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1">
    <w:name w:val="heading 1"/>
    <w:basedOn w:val="Normal"/>
    <w:next w:val="Normal"/>
    <w:link w:val="Heading1Char"/>
    <w:qFormat/>
    <w:rsid w:val="007030AC"/>
    <w:pPr>
      <w:keepNext/>
      <w:jc w:val="righ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rsid w:val="0088104A"/>
    <w:pPr>
      <w:widowControl w:val="0"/>
      <w:overflowPunct w:val="0"/>
      <w:autoSpaceDE w:val="0"/>
      <w:autoSpaceDN w:val="0"/>
      <w:adjustRightInd w:val="0"/>
      <w:textAlignment w:val="baseline"/>
    </w:pPr>
    <w:rPr>
      <w:i/>
      <w:sz w:val="28"/>
      <w:szCs w:val="20"/>
      <w:lang w:val="en-US" w:eastAsia="en-US"/>
    </w:rPr>
  </w:style>
  <w:style w:type="paragraph" w:customStyle="1" w:styleId="basetext">
    <w:name w:val="base text"/>
    <w:rsid w:val="00D6024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apple-style-span">
    <w:name w:val="apple-style-span"/>
    <w:basedOn w:val="DefaultParagraphFont"/>
    <w:rsid w:val="000E348C"/>
  </w:style>
  <w:style w:type="character" w:customStyle="1" w:styleId="apple-converted-space">
    <w:name w:val="apple-converted-space"/>
    <w:basedOn w:val="DefaultParagraphFont"/>
    <w:rsid w:val="000E348C"/>
  </w:style>
  <w:style w:type="paragraph" w:styleId="NormalWeb">
    <w:name w:val="Normal (Web)"/>
    <w:basedOn w:val="Normal"/>
    <w:rsid w:val="00C97A84"/>
    <w:pPr>
      <w:spacing w:before="100" w:beforeAutospacing="1" w:after="100" w:afterAutospacing="1"/>
    </w:pPr>
  </w:style>
  <w:style w:type="paragraph" w:styleId="ListParagraph">
    <w:name w:val="List Paragraph"/>
    <w:basedOn w:val="Normal"/>
    <w:uiPriority w:val="34"/>
    <w:qFormat/>
    <w:rsid w:val="00BB573A"/>
    <w:pPr>
      <w:ind w:left="720"/>
    </w:pPr>
    <w:rPr>
      <w:rFonts w:ascii="Calibri" w:eastAsia="Calibri" w:hAnsi="Calibri"/>
      <w:sz w:val="22"/>
      <w:szCs w:val="22"/>
    </w:rPr>
  </w:style>
  <w:style w:type="character" w:customStyle="1" w:styleId="Heading1Char">
    <w:name w:val="Heading 1 Char"/>
    <w:basedOn w:val="DefaultParagraphFont"/>
    <w:link w:val="Heading1"/>
    <w:rsid w:val="007030AC"/>
    <w:rPr>
      <w:sz w:val="28"/>
    </w:rPr>
  </w:style>
  <w:style w:type="paragraph" w:styleId="Subtitle">
    <w:name w:val="Subtitle"/>
    <w:basedOn w:val="Normal"/>
    <w:link w:val="SubtitleChar"/>
    <w:qFormat/>
    <w:rsid w:val="007030AC"/>
    <w:pPr>
      <w:ind w:left="851"/>
      <w:jc w:val="both"/>
    </w:pPr>
    <w:rPr>
      <w:sz w:val="28"/>
      <w:szCs w:val="20"/>
    </w:rPr>
  </w:style>
  <w:style w:type="character" w:customStyle="1" w:styleId="SubtitleChar">
    <w:name w:val="Subtitle Char"/>
    <w:basedOn w:val="DefaultParagraphFont"/>
    <w:link w:val="Subtitle"/>
    <w:rsid w:val="007030AC"/>
    <w:rPr>
      <w:sz w:val="28"/>
    </w:rPr>
  </w:style>
</w:styles>
</file>

<file path=word/webSettings.xml><?xml version="1.0" encoding="utf-8"?>
<w:webSettings xmlns:r="http://schemas.openxmlformats.org/officeDocument/2006/relationships" xmlns:w="http://schemas.openxmlformats.org/wordprocessingml/2006/main">
  <w:divs>
    <w:div w:id="509301197">
      <w:bodyDiv w:val="1"/>
      <w:marLeft w:val="0"/>
      <w:marRight w:val="0"/>
      <w:marTop w:val="0"/>
      <w:marBottom w:val="0"/>
      <w:divBdr>
        <w:top w:val="none" w:sz="0" w:space="0" w:color="auto"/>
        <w:left w:val="none" w:sz="0" w:space="0" w:color="auto"/>
        <w:bottom w:val="none" w:sz="0" w:space="0" w:color="auto"/>
        <w:right w:val="none" w:sz="0" w:space="0" w:color="auto"/>
      </w:divBdr>
    </w:div>
    <w:div w:id="899097746">
      <w:bodyDiv w:val="1"/>
      <w:marLeft w:val="0"/>
      <w:marRight w:val="0"/>
      <w:marTop w:val="0"/>
      <w:marBottom w:val="0"/>
      <w:divBdr>
        <w:top w:val="none" w:sz="0" w:space="0" w:color="auto"/>
        <w:left w:val="none" w:sz="0" w:space="0" w:color="auto"/>
        <w:bottom w:val="none" w:sz="0" w:space="0" w:color="auto"/>
        <w:right w:val="none" w:sz="0" w:space="0" w:color="auto"/>
      </w:divBdr>
    </w:div>
    <w:div w:id="1603999630">
      <w:bodyDiv w:val="1"/>
      <w:marLeft w:val="0"/>
      <w:marRight w:val="0"/>
      <w:marTop w:val="0"/>
      <w:marBottom w:val="0"/>
      <w:divBdr>
        <w:top w:val="none" w:sz="0" w:space="0" w:color="auto"/>
        <w:left w:val="none" w:sz="0" w:space="0" w:color="auto"/>
        <w:bottom w:val="none" w:sz="0" w:space="0" w:color="auto"/>
        <w:right w:val="none" w:sz="0" w:space="0" w:color="auto"/>
      </w:divBdr>
    </w:div>
    <w:div w:id="1680355597">
      <w:bodyDiv w:val="1"/>
      <w:marLeft w:val="0"/>
      <w:marRight w:val="0"/>
      <w:marTop w:val="0"/>
      <w:marBottom w:val="0"/>
      <w:divBdr>
        <w:top w:val="none" w:sz="0" w:space="0" w:color="auto"/>
        <w:left w:val="none" w:sz="0" w:space="0" w:color="auto"/>
        <w:bottom w:val="none" w:sz="0" w:space="0" w:color="auto"/>
        <w:right w:val="none" w:sz="0" w:space="0" w:color="auto"/>
      </w:divBdr>
    </w:div>
    <w:div w:id="20688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tlana.Petro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6B46-3E63-4D42-BED5-496A90CC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3043</Words>
  <Characters>22348</Characters>
  <Application>Microsoft Office Word</Application>
  <DocSecurity>0</DocSecurity>
  <Lines>545</Lines>
  <Paragraphs>193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Reklāmas likumā” sākotnējās ietekmes novērtējuma ziņojums</vt:lpstr>
      <vt:lpstr>EMAnot_130110_GrKPnolik3.doc; Ministru kabineta noteikumu projekta „Grozījumi Ministru kabineta 2008.gada 29.septembra noteikumos Nr.795 „Konkurences padomes nolikums”” sākotnējās ietekmes novērtējuma ziņojums (anotācija) </vt:lpstr>
    </vt:vector>
  </TitlesOfParts>
  <Company>EM</Company>
  <LinksUpToDate>false</LinksUpToDate>
  <CharactersWithSpaces>25198</CharactersWithSpaces>
  <SharedDoc>false</SharedDoc>
  <HLinks>
    <vt:vector size="6" baseType="variant">
      <vt:variant>
        <vt:i4>6881352</vt:i4>
      </vt:variant>
      <vt:variant>
        <vt:i4>3</vt:i4>
      </vt:variant>
      <vt:variant>
        <vt:i4>0</vt:i4>
      </vt:variant>
      <vt:variant>
        <vt:i4>5</vt:i4>
      </vt:variant>
      <vt:variant>
        <vt:lpwstr>mailto:Svetlana.Petrova@em.gov.lv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Reklāmas likumā” sākotnējās ietekmes novērtējuma ziņojums</dc:title>
  <dc:subject>Anotācija</dc:subject>
  <dc:creator>Svetlana Petrova</dc:creator>
  <cp:keywords/>
  <dc:description>Svetlana Petrova, 67013072, svetlana.petrova@em.gov.lv</dc:description>
  <cp:lastModifiedBy>RegzdinaS</cp:lastModifiedBy>
  <cp:revision>10</cp:revision>
  <cp:lastPrinted>2012-02-17T12:12:00Z</cp:lastPrinted>
  <dcterms:created xsi:type="dcterms:W3CDTF">2012-06-22T13:56:00Z</dcterms:created>
  <dcterms:modified xsi:type="dcterms:W3CDTF">2012-06-26T12:15:00Z</dcterms:modified>
</cp:coreProperties>
</file>