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0C" w:rsidRPr="003F7A44" w:rsidRDefault="009622AF" w:rsidP="00774214">
      <w:pPr>
        <w:pStyle w:val="naisnod"/>
        <w:spacing w:before="0" w:beforeAutospacing="0" w:after="0" w:afterAutospacing="0"/>
        <w:jc w:val="center"/>
        <w:rPr>
          <w:b/>
          <w:bCs/>
          <w:sz w:val="26"/>
          <w:szCs w:val="26"/>
        </w:rPr>
      </w:pPr>
      <w:r w:rsidRPr="003F7A44">
        <w:rPr>
          <w:b/>
          <w:bCs/>
          <w:sz w:val="26"/>
          <w:szCs w:val="26"/>
        </w:rPr>
        <w:t>Ministru kabineta noteikumu</w:t>
      </w:r>
      <w:r w:rsidR="0089380C" w:rsidRPr="003F7A44">
        <w:rPr>
          <w:b/>
          <w:bCs/>
          <w:sz w:val="26"/>
          <w:szCs w:val="26"/>
        </w:rPr>
        <w:t xml:space="preserve"> projekta</w:t>
      </w:r>
      <w:r w:rsidRPr="003F7A44">
        <w:rPr>
          <w:b/>
          <w:bCs/>
          <w:sz w:val="26"/>
          <w:szCs w:val="26"/>
        </w:rPr>
        <w:t xml:space="preserve"> </w:t>
      </w:r>
      <w:r w:rsidR="004D67E9" w:rsidRPr="003F7A44">
        <w:rPr>
          <w:b/>
          <w:bCs/>
          <w:sz w:val="26"/>
          <w:szCs w:val="26"/>
        </w:rPr>
        <w:t>„</w:t>
      </w:r>
      <w:r w:rsidR="004D67E9" w:rsidRPr="003F7A44">
        <w:rPr>
          <w:b/>
          <w:sz w:val="26"/>
          <w:szCs w:val="26"/>
        </w:rPr>
        <w:t>Noteikumi par publisko elektroapgādes tīklu sprieguma prasībām”</w:t>
      </w:r>
      <w:r w:rsidR="004D67E9" w:rsidRPr="003F7A44">
        <w:rPr>
          <w:b/>
          <w:bCs/>
          <w:sz w:val="26"/>
          <w:szCs w:val="26"/>
        </w:rPr>
        <w:t xml:space="preserve"> </w:t>
      </w:r>
      <w:r w:rsidR="003F7A44" w:rsidRPr="003F7A44">
        <w:rPr>
          <w:b/>
          <w:bCs/>
          <w:sz w:val="26"/>
          <w:szCs w:val="26"/>
        </w:rPr>
        <w:t xml:space="preserve">sākotnējās ietekmes novērtējuma ziņojums (anotācija) </w:t>
      </w:r>
    </w:p>
    <w:p w:rsidR="00774214" w:rsidRPr="003F7A44" w:rsidRDefault="00774214" w:rsidP="00774214">
      <w:pPr>
        <w:pStyle w:val="naisnod"/>
        <w:spacing w:before="0" w:beforeAutospacing="0" w:after="0" w:afterAutospacing="0"/>
        <w:jc w:val="center"/>
        <w:rPr>
          <w:b/>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3030"/>
        <w:gridCol w:w="5542"/>
      </w:tblGrid>
      <w:tr w:rsidR="0089380C" w:rsidRPr="003F7A44" w:rsidTr="00710F3A">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3F7A44" w:rsidRDefault="0089380C">
            <w:pPr>
              <w:pStyle w:val="naisc"/>
              <w:rPr>
                <w:sz w:val="26"/>
                <w:szCs w:val="26"/>
              </w:rPr>
            </w:pPr>
            <w:r w:rsidRPr="003F7A44">
              <w:rPr>
                <w:b/>
                <w:bCs/>
                <w:sz w:val="26"/>
                <w:szCs w:val="26"/>
              </w:rPr>
              <w:t> I. Tiesību akta projekta izstrādes nepieciešamība</w:t>
            </w:r>
          </w:p>
        </w:tc>
      </w:tr>
      <w:tr w:rsidR="0089380C" w:rsidRPr="003F7A44" w:rsidTr="00710F3A">
        <w:trPr>
          <w:trHeight w:val="630"/>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1.</w:t>
            </w:r>
          </w:p>
        </w:tc>
        <w:tc>
          <w:tcPr>
            <w:tcW w:w="3030" w:type="dxa"/>
            <w:tcBorders>
              <w:top w:val="outset" w:sz="6" w:space="0" w:color="auto"/>
              <w:left w:val="outset" w:sz="6" w:space="0" w:color="auto"/>
              <w:bottom w:val="outset" w:sz="6" w:space="0" w:color="auto"/>
              <w:right w:val="outset" w:sz="6" w:space="0" w:color="auto"/>
            </w:tcBorders>
          </w:tcPr>
          <w:p w:rsidR="0089380C" w:rsidRPr="00AA1613" w:rsidRDefault="0089380C" w:rsidP="008C222E">
            <w:pPr>
              <w:pStyle w:val="naislab"/>
              <w:jc w:val="both"/>
            </w:pPr>
            <w:r w:rsidRPr="00AA1613">
              <w:t> Pamatojums</w:t>
            </w:r>
          </w:p>
        </w:tc>
        <w:tc>
          <w:tcPr>
            <w:tcW w:w="5542" w:type="dxa"/>
            <w:tcBorders>
              <w:top w:val="outset" w:sz="6" w:space="0" w:color="auto"/>
              <w:left w:val="outset" w:sz="6" w:space="0" w:color="auto"/>
              <w:bottom w:val="outset" w:sz="6" w:space="0" w:color="auto"/>
              <w:right w:val="outset" w:sz="6" w:space="0" w:color="auto"/>
            </w:tcBorders>
          </w:tcPr>
          <w:p w:rsidR="0089380C" w:rsidRPr="00AA1613" w:rsidRDefault="004D67E9" w:rsidP="004D67E9">
            <w:pPr>
              <w:pStyle w:val="naislab"/>
              <w:spacing w:before="0" w:after="0"/>
              <w:jc w:val="both"/>
            </w:pPr>
            <w:r w:rsidRPr="00AA1613">
              <w:rPr>
                <w:bCs/>
              </w:rPr>
              <w:t>Standartizācijas likuma 13.panta otrā daļa</w:t>
            </w:r>
            <w:r w:rsidRPr="00AA1613">
              <w:rPr>
                <w:b/>
                <w:bCs/>
              </w:rPr>
              <w:t xml:space="preserve"> </w:t>
            </w:r>
            <w:r w:rsidRPr="00AA1613">
              <w:t xml:space="preserve">nosaka, ka Ministru kabinets var noteikt obligāti piemērojamus Latvijas nacionālos standartus. </w:t>
            </w:r>
          </w:p>
        </w:tc>
      </w:tr>
      <w:tr w:rsidR="0089380C" w:rsidRPr="003F7A44" w:rsidTr="00710F3A">
        <w:trPr>
          <w:trHeight w:val="47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2.</w:t>
            </w:r>
          </w:p>
        </w:tc>
        <w:tc>
          <w:tcPr>
            <w:tcW w:w="3030" w:type="dxa"/>
            <w:tcBorders>
              <w:top w:val="outset" w:sz="6" w:space="0" w:color="auto"/>
              <w:left w:val="outset" w:sz="6" w:space="0" w:color="auto"/>
              <w:bottom w:val="outset" w:sz="6" w:space="0" w:color="auto"/>
              <w:right w:val="outset" w:sz="6" w:space="0" w:color="auto"/>
            </w:tcBorders>
          </w:tcPr>
          <w:p w:rsidR="0089380C" w:rsidRPr="00AA1613" w:rsidRDefault="0089380C" w:rsidP="008C222E">
            <w:pPr>
              <w:pStyle w:val="naiskr"/>
              <w:jc w:val="both"/>
            </w:pPr>
            <w:r w:rsidRPr="00AA1613">
              <w:t> Pašreizējā situācija un problēmas</w:t>
            </w:r>
          </w:p>
        </w:tc>
        <w:tc>
          <w:tcPr>
            <w:tcW w:w="5542" w:type="dxa"/>
            <w:tcBorders>
              <w:top w:val="outset" w:sz="6" w:space="0" w:color="auto"/>
              <w:left w:val="outset" w:sz="6" w:space="0" w:color="auto"/>
              <w:bottom w:val="outset" w:sz="6" w:space="0" w:color="auto"/>
              <w:right w:val="outset" w:sz="6" w:space="0" w:color="auto"/>
            </w:tcBorders>
          </w:tcPr>
          <w:p w:rsidR="00AA1613" w:rsidRPr="00AA1613" w:rsidRDefault="00AA1613" w:rsidP="00AA1613">
            <w:pPr>
              <w:pStyle w:val="naiskr"/>
              <w:jc w:val="both"/>
            </w:pPr>
            <w:r w:rsidRPr="00AA1613">
              <w:t>Pamatojoties uz Lielo un stratēģiski nozīmīgo investīciju projektu koordinācijas padomes 2011.gada 22.marta sēdes protokolā Nr.6 minēto, Ekonomikas ministrija kopā ar AS „Sadales tīkls” izveidoja sprieguma kvalitātes darba grupu ar mērķi izvērtēt iespējas atsevišķās teritorijās rast risinājumus investoriem nepieļaujamo sprieguma iekritumu mazināšanai. Dalībai darba grupā tika pieaicināti arī Latvijas investīciju un attīstības aģentūras (turpmāk – LIAA), Sabiedrisko pakalpojumu regulēšanas komisijas (SPRK), kā arī Latvijas tirdzniecības un rūpniecības kameras (turpmāk – LTRK) pārstāvji. Notika vairākas darba grupas sēdes, pēdējā sēdē, kas notika 2011.gada 12.maijā tika pieņemts lēmums darba grupas darbību turpināt pastāvīgi, sēdes sasaucot pēc vajadzības, pēc darba grupas locekļu iniciatīvas.</w:t>
            </w:r>
          </w:p>
          <w:p w:rsidR="00AA1613" w:rsidRPr="00B71D07" w:rsidRDefault="00AA1613" w:rsidP="00AA1613">
            <w:pPr>
              <w:pStyle w:val="naiskr"/>
              <w:jc w:val="both"/>
            </w:pPr>
            <w:r w:rsidRPr="00AA1613">
              <w:t>Analizējot situāciju attiecībā uz sprieguma iekritumiem ārvalstīs, darba grupa secināja, ka līdzīgas problēmas ir arī citās valstīs, piemēram, Lietuvā, Igaunijā un Skandināvijā. Tādējādi sprieguma kvalitātes problēma nav uzskatāma par tikai Latvijai  raksturīgu situāciju. Ņemot vērā pēdējos gados piedzīvotās izmaiņas laika apstākļos (sniega daudzumu, biežās vētras), visās iepriekšminētajās valstīs pēdējā laikā ir būtiski pieaugusi sabiedriskā aktivitāte attiecībā uz energoapgāde</w:t>
            </w:r>
            <w:r w:rsidR="00B201EB">
              <w:t>s drošumu un sprieguma kvalitāti</w:t>
            </w:r>
            <w:r w:rsidRPr="00AA1613">
              <w:t>. Situācija tiek risināta līdzīgi kā Latvijā, īstenojot ilgtermiņa plānus pārejai uz ka</w:t>
            </w:r>
            <w:r w:rsidRPr="00B71D07">
              <w:t xml:space="preserve">beļu tīklu.  </w:t>
            </w:r>
          </w:p>
          <w:p w:rsidR="00C60E5F" w:rsidRPr="00C60E5F" w:rsidRDefault="00AA1613" w:rsidP="00C60E5F">
            <w:pPr>
              <w:pStyle w:val="naiskr"/>
              <w:jc w:val="both"/>
            </w:pPr>
            <w:r w:rsidRPr="00B71D07">
              <w:t xml:space="preserve">Sanāksmju laikā AS „Sadales tīkls” (turpmāk – ST) pārstāvji informēja, ka savā darbā vadās pēc Eiropas valstīs spēkā esošā standarta LVS </w:t>
            </w:r>
            <w:r w:rsidRPr="00B71D07">
              <w:rPr>
                <w:bCs/>
                <w:kern w:val="36"/>
              </w:rPr>
              <w:t>EN 50160:2010</w:t>
            </w:r>
            <w:r w:rsidRPr="00B71D07">
              <w:t xml:space="preserve"> „Publisko elektroapgādes tīklu sprieguma raksturlielumi”, kas tiek plaši pielietots Eiropā</w:t>
            </w:r>
            <w:r w:rsidR="00581469" w:rsidRPr="00B71D07">
              <w:t xml:space="preserve">. Saskaņā ar Eiropas </w:t>
            </w:r>
            <w:proofErr w:type="spellStart"/>
            <w:r w:rsidR="00581469" w:rsidRPr="00B71D07">
              <w:t>energoregulatoru</w:t>
            </w:r>
            <w:proofErr w:type="spellEnd"/>
            <w:r w:rsidR="00581469" w:rsidRPr="00B71D07">
              <w:t xml:space="preserve"> (</w:t>
            </w:r>
            <w:proofErr w:type="spellStart"/>
            <w:r w:rsidR="00581469" w:rsidRPr="00B71D07">
              <w:t>European</w:t>
            </w:r>
            <w:proofErr w:type="spellEnd"/>
            <w:r w:rsidR="00581469" w:rsidRPr="00B71D07">
              <w:t xml:space="preserve"> </w:t>
            </w:r>
            <w:proofErr w:type="spellStart"/>
            <w:r w:rsidR="00581469" w:rsidRPr="00B71D07">
              <w:t>Energy</w:t>
            </w:r>
            <w:proofErr w:type="spellEnd"/>
            <w:r w:rsidR="00581469" w:rsidRPr="00B71D07">
              <w:t xml:space="preserve"> Regulators) sniegto informāciju Eiropas standarts EN 50160 nav iztulkots valsts valodā tikai Latvijā. </w:t>
            </w:r>
            <w:r w:rsidR="00C60E5F" w:rsidRPr="00B71D07">
              <w:t xml:space="preserve">Standarts EN 50160 ir obligāti piemērojams sekojošās valstīs: Austrija, Somija, Grieķija, Īrija, Luksemburga, Slovēnija, Čehija, (atsauce uz standarta piemērošanu </w:t>
            </w:r>
            <w:r w:rsidR="00C60E5F" w:rsidRPr="00B71D07">
              <w:lastRenderedPageBreak/>
              <w:t xml:space="preserve">attiecīgajos nozari regulējos normatīvajos aktos), Bulgārija, Kipra,  Lietuva, Dānija (pārņemts obligāti piemērojama standarta statusā ar attiecīgās valsts standartizācijas iestādes lēmumu),  Slovākija, Ungārija (atsevišķs tiesību akts par standarta atzīšanu par obligātu). </w:t>
            </w:r>
          </w:p>
          <w:p w:rsidR="00AA1613" w:rsidRPr="00AA1613" w:rsidRDefault="00065F75" w:rsidP="00AA1613">
            <w:pPr>
              <w:pStyle w:val="naiskr"/>
              <w:jc w:val="both"/>
              <w:rPr>
                <w:color w:val="000000"/>
              </w:rPr>
            </w:pPr>
            <w:r>
              <w:t>K</w:t>
            </w:r>
            <w:r w:rsidR="00AA1613" w:rsidRPr="00AA1613">
              <w:t xml:space="preserve">amēr Latvijā sprieguma kvalitātes standarts nav noteikts kā obligāts, nevar tikt veikta sprieguma kvalitātes uzraudzība un veikti </w:t>
            </w:r>
            <w:r w:rsidR="00AA1613" w:rsidRPr="00AA1613">
              <w:rPr>
                <w:color w:val="000000"/>
              </w:rPr>
              <w:t xml:space="preserve">sprieguma kvalitātes uzlabošanas pasākumi </w:t>
            </w:r>
            <w:proofErr w:type="spellStart"/>
            <w:r w:rsidR="00AA1613" w:rsidRPr="00AA1613">
              <w:rPr>
                <w:color w:val="000000"/>
              </w:rPr>
              <w:t>vidsprieguma</w:t>
            </w:r>
            <w:proofErr w:type="spellEnd"/>
            <w:r w:rsidR="00AA1613" w:rsidRPr="00AA1613">
              <w:rPr>
                <w:color w:val="000000"/>
              </w:rPr>
              <w:t xml:space="preserve"> tīklos, līdz ar to SPRK nav iespējams to kontrolēt.</w:t>
            </w:r>
          </w:p>
          <w:p w:rsidR="00AA1613" w:rsidRPr="00AA1613" w:rsidRDefault="00AA1613" w:rsidP="00AA1613">
            <w:pPr>
              <w:pStyle w:val="naiskr"/>
              <w:jc w:val="both"/>
            </w:pPr>
            <w:r w:rsidRPr="00AA1613">
              <w:rPr>
                <w:color w:val="000000"/>
              </w:rPr>
              <w:t>Ja standarts tiktu pieņemts kā obligāti piemērojams, tad SPRK varētu veikt pārbaudes un izvērtēt, vai sprieguma kvalitāte atbilst noteiktajiem standartiem.</w:t>
            </w:r>
          </w:p>
          <w:p w:rsidR="00AA1613" w:rsidRDefault="00AA1613" w:rsidP="00AA1613">
            <w:pPr>
              <w:pStyle w:val="naiskr"/>
              <w:jc w:val="both"/>
              <w:rPr>
                <w:bCs/>
                <w:kern w:val="36"/>
              </w:rPr>
            </w:pPr>
            <w:r w:rsidRPr="00AA1613">
              <w:rPr>
                <w:bCs/>
              </w:rPr>
              <w:t>Standarts</w:t>
            </w:r>
            <w:r w:rsidRPr="00AA1613">
              <w:rPr>
                <w:bCs/>
                <w:kern w:val="36"/>
              </w:rPr>
              <w:t xml:space="preserve"> LVS EN 50160:2010 ir atpazīstams visā Eiropā un tā obligāta piemērošana sniegs informāciju ārvalstu investoriem par elektroenerģijas kvalitātes līmeni Latvijas elektroenerģijas sadales tīklos. Līdz ar to standarta LVS EN 50160:2010 piemērošana var sekmēt investoru ienākšanu Latvijā.</w:t>
            </w:r>
          </w:p>
          <w:p w:rsidR="00065F75" w:rsidRPr="00AA1613" w:rsidRDefault="00065F75" w:rsidP="00AA1613">
            <w:pPr>
              <w:pStyle w:val="naiskr"/>
              <w:jc w:val="both"/>
              <w:rPr>
                <w:bCs/>
                <w:kern w:val="36"/>
              </w:rPr>
            </w:pPr>
            <w:r w:rsidRPr="00B71D07">
              <w:rPr>
                <w:bCs/>
                <w:kern w:val="36"/>
              </w:rPr>
              <w:t>Attīstoties tehnoloģijām un elektrotīkliem, rodas nepieciešamība veikt izmaiņas sprieguma kvalitāti reglamentējošajos dokumentos.</w:t>
            </w:r>
            <w:r w:rsidR="000751CC" w:rsidRPr="00B71D07">
              <w:rPr>
                <w:bCs/>
                <w:kern w:val="36"/>
              </w:rPr>
              <w:t xml:space="preserve"> </w:t>
            </w:r>
            <w:r w:rsidRPr="00B71D07">
              <w:rPr>
                <w:bCs/>
                <w:kern w:val="36"/>
              </w:rPr>
              <w:t xml:space="preserve"> </w:t>
            </w:r>
            <w:r w:rsidR="009C5B27" w:rsidRPr="00B71D07">
              <w:rPr>
                <w:bCs/>
                <w:kern w:val="36"/>
              </w:rPr>
              <w:t>Līdz ar to standarts tiek papildināts un aizstāts ar aktuālo versiju. Ja sprieguma kvalitātes raksturlielumi tiks noteikti Ministru kabineta noteikumos, tad mainoties EN 50610,  nāktos veikt grozījumus arī Ministru kabineta noteikumos, turklāt zināmu  laiku pastāvētu  situācija, ka paralēli eksistē divi atšķirīgi normatīvi</w:t>
            </w:r>
            <w:r w:rsidR="000751CC" w:rsidRPr="00B71D07">
              <w:rPr>
                <w:bCs/>
                <w:kern w:val="36"/>
              </w:rPr>
              <w:t>.</w:t>
            </w:r>
          </w:p>
          <w:p w:rsidR="00710F3A" w:rsidRPr="00AA1613" w:rsidRDefault="00AA1613" w:rsidP="00AA1613">
            <w:pPr>
              <w:pStyle w:val="naiskr"/>
              <w:jc w:val="both"/>
              <w:rPr>
                <w:bCs/>
              </w:rPr>
            </w:pPr>
            <w:r w:rsidRPr="00AA1613">
              <w:rPr>
                <w:bCs/>
              </w:rPr>
              <w:t>Ņemot vērā augstāk minēto, nepieciešams izdot Ministru kabineta noteikumus, kas nosaka standartu</w:t>
            </w:r>
            <w:r w:rsidRPr="00AA1613">
              <w:rPr>
                <w:bCs/>
                <w:kern w:val="36"/>
              </w:rPr>
              <w:t xml:space="preserve"> LVS EN 50160:2010 par obligāti piemērojamu.</w:t>
            </w:r>
          </w:p>
        </w:tc>
      </w:tr>
      <w:tr w:rsidR="0089380C" w:rsidRPr="003F7A44" w:rsidTr="00DD0D72">
        <w:trPr>
          <w:trHeight w:val="657"/>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lastRenderedPageBreak/>
              <w:t> 3.</w:t>
            </w:r>
          </w:p>
        </w:tc>
        <w:tc>
          <w:tcPr>
            <w:tcW w:w="3030" w:type="dxa"/>
            <w:tcBorders>
              <w:top w:val="outset" w:sz="6" w:space="0" w:color="auto"/>
              <w:left w:val="outset" w:sz="6" w:space="0" w:color="auto"/>
              <w:bottom w:val="outset" w:sz="6" w:space="0" w:color="auto"/>
              <w:right w:val="outset" w:sz="6" w:space="0" w:color="auto"/>
            </w:tcBorders>
          </w:tcPr>
          <w:p w:rsidR="0089380C" w:rsidRPr="00AA1613" w:rsidRDefault="0089380C" w:rsidP="008C222E">
            <w:pPr>
              <w:pStyle w:val="naiskr"/>
              <w:jc w:val="both"/>
            </w:pPr>
            <w:r w:rsidRPr="00AA1613">
              <w:t> Saistītie politikas ietekmes novērtējumi un pētījumi</w:t>
            </w:r>
          </w:p>
        </w:tc>
        <w:tc>
          <w:tcPr>
            <w:tcW w:w="5542" w:type="dxa"/>
            <w:tcBorders>
              <w:top w:val="outset" w:sz="6" w:space="0" w:color="auto"/>
              <w:left w:val="outset" w:sz="6" w:space="0" w:color="auto"/>
              <w:bottom w:val="outset" w:sz="6" w:space="0" w:color="auto"/>
              <w:right w:val="outset" w:sz="6" w:space="0" w:color="auto"/>
            </w:tcBorders>
          </w:tcPr>
          <w:p w:rsidR="0089380C" w:rsidRPr="00AA1613" w:rsidRDefault="001A6C2B" w:rsidP="00964F2B">
            <w:pPr>
              <w:pStyle w:val="naiskr"/>
            </w:pPr>
            <w:r w:rsidRPr="00AA1613">
              <w:t> </w:t>
            </w:r>
            <w:r w:rsidR="00964F2B" w:rsidRPr="00AA1613">
              <w:t>Projekts šo jomu neskar.</w:t>
            </w:r>
          </w:p>
        </w:tc>
      </w:tr>
      <w:tr w:rsidR="0089380C" w:rsidRPr="003F7A44" w:rsidTr="00DD0D72">
        <w:trPr>
          <w:trHeight w:val="384"/>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4.</w:t>
            </w:r>
          </w:p>
        </w:tc>
        <w:tc>
          <w:tcPr>
            <w:tcW w:w="3030" w:type="dxa"/>
            <w:tcBorders>
              <w:top w:val="outset" w:sz="6" w:space="0" w:color="auto"/>
              <w:left w:val="outset" w:sz="6" w:space="0" w:color="auto"/>
              <w:bottom w:val="outset" w:sz="6" w:space="0" w:color="auto"/>
              <w:right w:val="outset" w:sz="6" w:space="0" w:color="auto"/>
            </w:tcBorders>
          </w:tcPr>
          <w:p w:rsidR="0089380C" w:rsidRPr="00AA1613" w:rsidRDefault="0089380C" w:rsidP="008C222E">
            <w:pPr>
              <w:pStyle w:val="naiskr"/>
              <w:jc w:val="both"/>
            </w:pPr>
            <w:r w:rsidRPr="00AA1613">
              <w:t> Tiesiskā regulējuma mērķis un būtība</w:t>
            </w:r>
          </w:p>
        </w:tc>
        <w:tc>
          <w:tcPr>
            <w:tcW w:w="5542" w:type="dxa"/>
            <w:tcBorders>
              <w:top w:val="outset" w:sz="6" w:space="0" w:color="auto"/>
              <w:left w:val="outset" w:sz="6" w:space="0" w:color="auto"/>
              <w:bottom w:val="outset" w:sz="6" w:space="0" w:color="auto"/>
              <w:right w:val="outset" w:sz="6" w:space="0" w:color="auto"/>
            </w:tcBorders>
          </w:tcPr>
          <w:p w:rsidR="003B65AE" w:rsidRPr="00AA1613" w:rsidRDefault="00DD0D72" w:rsidP="002F2B39">
            <w:pPr>
              <w:pStyle w:val="naiskr"/>
              <w:jc w:val="both"/>
            </w:pPr>
            <w:r w:rsidRPr="00AA1613">
              <w:t>Noteikumu projekta mērķis ir noteikt obligāti piemērojamo standartu, kas attiecināms uz publisk</w:t>
            </w:r>
            <w:r w:rsidR="006C390F" w:rsidRPr="00AA1613">
              <w:t>o elektroapgādes tīklu sprieguma kvalitāti.</w:t>
            </w:r>
            <w:r w:rsidRPr="00AA1613">
              <w:t xml:space="preserve"> </w:t>
            </w:r>
          </w:p>
        </w:tc>
      </w:tr>
      <w:tr w:rsidR="0089380C" w:rsidRPr="003F7A44" w:rsidTr="00DD0D72">
        <w:trPr>
          <w:trHeight w:val="476"/>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5.</w:t>
            </w:r>
          </w:p>
        </w:tc>
        <w:tc>
          <w:tcPr>
            <w:tcW w:w="3030" w:type="dxa"/>
            <w:tcBorders>
              <w:top w:val="outset" w:sz="6" w:space="0" w:color="auto"/>
              <w:left w:val="outset" w:sz="6" w:space="0" w:color="auto"/>
              <w:bottom w:val="outset" w:sz="6" w:space="0" w:color="auto"/>
              <w:right w:val="outset" w:sz="6" w:space="0" w:color="auto"/>
            </w:tcBorders>
          </w:tcPr>
          <w:p w:rsidR="0089380C" w:rsidRPr="00AA1613" w:rsidRDefault="0089380C">
            <w:pPr>
              <w:pStyle w:val="naiskr"/>
            </w:pPr>
            <w:r w:rsidRPr="00AA1613">
              <w:t> Projekta izstrādē iesaistītās institūcijas</w:t>
            </w:r>
          </w:p>
        </w:tc>
        <w:tc>
          <w:tcPr>
            <w:tcW w:w="5542" w:type="dxa"/>
            <w:tcBorders>
              <w:top w:val="outset" w:sz="6" w:space="0" w:color="auto"/>
              <w:left w:val="outset" w:sz="6" w:space="0" w:color="auto"/>
              <w:bottom w:val="outset" w:sz="6" w:space="0" w:color="auto"/>
              <w:right w:val="outset" w:sz="6" w:space="0" w:color="auto"/>
            </w:tcBorders>
          </w:tcPr>
          <w:p w:rsidR="0089380C" w:rsidRPr="00AA1613" w:rsidRDefault="00964F2B" w:rsidP="002F2B39">
            <w:pPr>
              <w:pStyle w:val="naiskr"/>
              <w:jc w:val="both"/>
            </w:pPr>
            <w:r w:rsidRPr="00AA1613">
              <w:t>Projekts šo jomu neskar.</w:t>
            </w:r>
          </w:p>
        </w:tc>
      </w:tr>
      <w:tr w:rsidR="00AA1613" w:rsidRPr="003F7A44" w:rsidTr="00DD0D72">
        <w:trPr>
          <w:trHeight w:val="652"/>
          <w:tblCellSpacing w:w="0" w:type="dxa"/>
        </w:trPr>
        <w:tc>
          <w:tcPr>
            <w:tcW w:w="529" w:type="dxa"/>
            <w:tcBorders>
              <w:top w:val="outset" w:sz="6" w:space="0" w:color="auto"/>
              <w:left w:val="outset" w:sz="6" w:space="0" w:color="auto"/>
              <w:bottom w:val="outset" w:sz="6" w:space="0" w:color="auto"/>
              <w:right w:val="outset" w:sz="6" w:space="0" w:color="auto"/>
            </w:tcBorders>
          </w:tcPr>
          <w:p w:rsidR="00AA1613" w:rsidRPr="003F7A44" w:rsidRDefault="00AA1613">
            <w:pPr>
              <w:pStyle w:val="naiskr"/>
              <w:rPr>
                <w:sz w:val="26"/>
                <w:szCs w:val="26"/>
              </w:rPr>
            </w:pPr>
            <w:r w:rsidRPr="003F7A44">
              <w:rPr>
                <w:sz w:val="26"/>
                <w:szCs w:val="26"/>
              </w:rPr>
              <w:t> 6.</w:t>
            </w:r>
          </w:p>
        </w:tc>
        <w:tc>
          <w:tcPr>
            <w:tcW w:w="3030" w:type="dxa"/>
            <w:tcBorders>
              <w:top w:val="outset" w:sz="6" w:space="0" w:color="auto"/>
              <w:left w:val="outset" w:sz="6" w:space="0" w:color="auto"/>
              <w:bottom w:val="outset" w:sz="6" w:space="0" w:color="auto"/>
              <w:right w:val="outset" w:sz="6" w:space="0" w:color="auto"/>
            </w:tcBorders>
          </w:tcPr>
          <w:p w:rsidR="00AA1613" w:rsidRPr="00AA1613" w:rsidRDefault="00AA1613" w:rsidP="008C222E">
            <w:pPr>
              <w:pStyle w:val="naiskr"/>
              <w:jc w:val="both"/>
            </w:pPr>
            <w:r w:rsidRPr="00AA1613">
              <w:t> Iemesli, kādēļ netika nodrošināta sabiedrības līdzdalība</w:t>
            </w:r>
          </w:p>
        </w:tc>
        <w:tc>
          <w:tcPr>
            <w:tcW w:w="5542" w:type="dxa"/>
            <w:tcBorders>
              <w:top w:val="outset" w:sz="6" w:space="0" w:color="auto"/>
              <w:left w:val="outset" w:sz="6" w:space="0" w:color="auto"/>
              <w:bottom w:val="outset" w:sz="6" w:space="0" w:color="auto"/>
              <w:right w:val="outset" w:sz="6" w:space="0" w:color="auto"/>
            </w:tcBorders>
          </w:tcPr>
          <w:p w:rsidR="00AA1613" w:rsidRPr="00C27CE7" w:rsidRDefault="00AA1613" w:rsidP="00B201EB">
            <w:pPr>
              <w:pStyle w:val="naiskr"/>
              <w:jc w:val="both"/>
            </w:pPr>
            <w:r w:rsidRPr="00C27CE7">
              <w:t>Projekts tiek izstrādāts ņemot vērā sabiedrisko organizāciju pārstāvju (LTRK) viedokli.</w:t>
            </w:r>
          </w:p>
        </w:tc>
      </w:tr>
      <w:tr w:rsidR="00AA1613" w:rsidRPr="003F7A44" w:rsidTr="00DD0D72">
        <w:trPr>
          <w:tblCellSpacing w:w="0" w:type="dxa"/>
        </w:trPr>
        <w:tc>
          <w:tcPr>
            <w:tcW w:w="529" w:type="dxa"/>
            <w:tcBorders>
              <w:top w:val="outset" w:sz="6" w:space="0" w:color="auto"/>
              <w:left w:val="outset" w:sz="6" w:space="0" w:color="auto"/>
              <w:bottom w:val="outset" w:sz="6" w:space="0" w:color="auto"/>
              <w:right w:val="outset" w:sz="6" w:space="0" w:color="auto"/>
            </w:tcBorders>
          </w:tcPr>
          <w:p w:rsidR="00AA1613" w:rsidRPr="003F7A44" w:rsidRDefault="00AA1613">
            <w:pPr>
              <w:pStyle w:val="naiskr"/>
              <w:rPr>
                <w:sz w:val="26"/>
                <w:szCs w:val="26"/>
              </w:rPr>
            </w:pPr>
            <w:r w:rsidRPr="003F7A44">
              <w:rPr>
                <w:sz w:val="26"/>
                <w:szCs w:val="26"/>
              </w:rPr>
              <w:t> 7.</w:t>
            </w:r>
          </w:p>
        </w:tc>
        <w:tc>
          <w:tcPr>
            <w:tcW w:w="3030" w:type="dxa"/>
            <w:tcBorders>
              <w:top w:val="outset" w:sz="6" w:space="0" w:color="auto"/>
              <w:left w:val="outset" w:sz="6" w:space="0" w:color="auto"/>
              <w:bottom w:val="outset" w:sz="6" w:space="0" w:color="auto"/>
              <w:right w:val="outset" w:sz="6" w:space="0" w:color="auto"/>
            </w:tcBorders>
          </w:tcPr>
          <w:p w:rsidR="00AA1613" w:rsidRPr="00AA1613" w:rsidRDefault="00AA1613">
            <w:pPr>
              <w:pStyle w:val="naiskr"/>
            </w:pPr>
            <w:r w:rsidRPr="00AA1613">
              <w:t> Cita informācija</w:t>
            </w:r>
          </w:p>
        </w:tc>
        <w:tc>
          <w:tcPr>
            <w:tcW w:w="5542" w:type="dxa"/>
            <w:tcBorders>
              <w:top w:val="outset" w:sz="6" w:space="0" w:color="auto"/>
              <w:left w:val="outset" w:sz="6" w:space="0" w:color="auto"/>
              <w:bottom w:val="outset" w:sz="6" w:space="0" w:color="auto"/>
              <w:right w:val="outset" w:sz="6" w:space="0" w:color="auto"/>
            </w:tcBorders>
          </w:tcPr>
          <w:p w:rsidR="00AA1613" w:rsidRPr="00C27CE7" w:rsidRDefault="006279E3" w:rsidP="000C2D9A">
            <w:pPr>
              <w:pStyle w:val="naiskr"/>
              <w:rPr>
                <w:bCs/>
                <w:kern w:val="36"/>
              </w:rPr>
            </w:pPr>
            <w:r w:rsidRPr="00C27CE7">
              <w:t>S</w:t>
            </w:r>
            <w:r w:rsidR="00AA1613" w:rsidRPr="00C27CE7">
              <w:t xml:space="preserve">tandarts LVS </w:t>
            </w:r>
            <w:r w:rsidR="00AA1613" w:rsidRPr="00C27CE7">
              <w:rPr>
                <w:bCs/>
                <w:kern w:val="36"/>
              </w:rPr>
              <w:t xml:space="preserve">EN 50160:2010 </w:t>
            </w:r>
            <w:r w:rsidRPr="00C27CE7">
              <w:rPr>
                <w:bCs/>
                <w:kern w:val="36"/>
              </w:rPr>
              <w:t>ir iz</w:t>
            </w:r>
            <w:r w:rsidR="00AA1613" w:rsidRPr="00C27CE7">
              <w:rPr>
                <w:bCs/>
                <w:kern w:val="36"/>
              </w:rPr>
              <w:t>tulkots</w:t>
            </w:r>
            <w:r w:rsidR="005D60E4" w:rsidRPr="00C27CE7">
              <w:rPr>
                <w:bCs/>
                <w:kern w:val="36"/>
              </w:rPr>
              <w:t>,</w:t>
            </w:r>
            <w:r w:rsidR="00AA1613" w:rsidRPr="00C27CE7">
              <w:rPr>
                <w:bCs/>
                <w:kern w:val="36"/>
              </w:rPr>
              <w:t xml:space="preserve"> izmantojot Ekonomikas ministrijas esošos resursus. Līdz ar to papildu </w:t>
            </w:r>
            <w:r w:rsidRPr="00C27CE7">
              <w:rPr>
                <w:bCs/>
                <w:kern w:val="36"/>
              </w:rPr>
              <w:t>finansējuma avots tulkošanai nebija</w:t>
            </w:r>
            <w:r w:rsidR="00AA1613" w:rsidRPr="00C27CE7">
              <w:rPr>
                <w:bCs/>
                <w:kern w:val="36"/>
              </w:rPr>
              <w:t xml:space="preserve"> nepieciešams. </w:t>
            </w:r>
            <w:r w:rsidR="005D60E4" w:rsidRPr="00C27CE7">
              <w:rPr>
                <w:bCs/>
                <w:kern w:val="36"/>
              </w:rPr>
              <w:t xml:space="preserve">Pēc tulkojuma pabeigšanas </w:t>
            </w:r>
            <w:r w:rsidR="000C2D9A" w:rsidRPr="00C27CE7">
              <w:rPr>
                <w:bCs/>
                <w:kern w:val="36"/>
              </w:rPr>
              <w:t>t</w:t>
            </w:r>
            <w:r w:rsidR="00AA1613" w:rsidRPr="00C27CE7">
              <w:rPr>
                <w:bCs/>
                <w:kern w:val="36"/>
              </w:rPr>
              <w:t xml:space="preserve">ulkojums </w:t>
            </w:r>
            <w:r w:rsidR="005D60E4" w:rsidRPr="00C27CE7">
              <w:rPr>
                <w:bCs/>
                <w:kern w:val="36"/>
              </w:rPr>
              <w:t>tika i</w:t>
            </w:r>
            <w:r w:rsidR="00AA1613" w:rsidRPr="00C27CE7">
              <w:rPr>
                <w:bCs/>
                <w:kern w:val="36"/>
              </w:rPr>
              <w:t xml:space="preserve">esniegts izvērtēšanai </w:t>
            </w:r>
            <w:r w:rsidRPr="00C27CE7">
              <w:rPr>
                <w:bCs/>
                <w:kern w:val="36"/>
              </w:rPr>
              <w:t>LZA T</w:t>
            </w:r>
            <w:r w:rsidR="00B201EB">
              <w:rPr>
                <w:bCs/>
                <w:kern w:val="36"/>
              </w:rPr>
              <w:t>erminoloģijas komisijas</w:t>
            </w:r>
            <w:r w:rsidRPr="00C27CE7">
              <w:rPr>
                <w:bCs/>
                <w:kern w:val="36"/>
              </w:rPr>
              <w:t xml:space="preserve"> Enerģētikas terminoloģijas apakškomisijai</w:t>
            </w:r>
            <w:r w:rsidR="005D60E4" w:rsidRPr="00C27CE7">
              <w:rPr>
                <w:bCs/>
                <w:kern w:val="36"/>
              </w:rPr>
              <w:t xml:space="preserve">. Pēc atzinuma saņemšanas </w:t>
            </w:r>
            <w:r w:rsidRPr="00C27CE7">
              <w:rPr>
                <w:bCs/>
                <w:kern w:val="36"/>
              </w:rPr>
              <w:t xml:space="preserve"> tulkojumu</w:t>
            </w:r>
            <w:r w:rsidR="005D60E4" w:rsidRPr="00C27CE7">
              <w:rPr>
                <w:bCs/>
                <w:kern w:val="36"/>
              </w:rPr>
              <w:t>s tika precizēts atb</w:t>
            </w:r>
            <w:r w:rsidR="000C1A1C">
              <w:rPr>
                <w:bCs/>
                <w:kern w:val="36"/>
              </w:rPr>
              <w:t>ilstoši komisijas atzinumam.  25</w:t>
            </w:r>
            <w:r w:rsidR="005D60E4" w:rsidRPr="00C27CE7">
              <w:rPr>
                <w:bCs/>
                <w:kern w:val="36"/>
              </w:rPr>
              <w:t xml:space="preserve">.08. tulkojums tika </w:t>
            </w:r>
            <w:r w:rsidRPr="00C27CE7">
              <w:rPr>
                <w:bCs/>
                <w:kern w:val="36"/>
              </w:rPr>
              <w:t xml:space="preserve">iesniegts </w:t>
            </w:r>
            <w:r w:rsidRPr="00C27CE7">
              <w:t xml:space="preserve">SIA “Standartizācijas, akreditācijas un metroloģijas centrs” </w:t>
            </w:r>
            <w:r w:rsidRPr="00C27CE7">
              <w:rPr>
                <w:rStyle w:val="Emphasis"/>
                <w:i w:val="0"/>
              </w:rPr>
              <w:t>Standartizācijas birojā</w:t>
            </w:r>
            <w:r w:rsidR="005D60E4" w:rsidRPr="00C27CE7">
              <w:rPr>
                <w:rStyle w:val="Emphasis"/>
                <w:i w:val="0"/>
              </w:rPr>
              <w:t xml:space="preserve"> ar lūgumu to</w:t>
            </w:r>
            <w:r w:rsidR="008B4920" w:rsidRPr="00C27CE7">
              <w:rPr>
                <w:rStyle w:val="Emphasis"/>
                <w:i w:val="0"/>
              </w:rPr>
              <w:t xml:space="preserve"> reģistrē</w:t>
            </w:r>
            <w:r w:rsidR="005D60E4" w:rsidRPr="00C27CE7">
              <w:rPr>
                <w:rStyle w:val="Emphasis"/>
                <w:i w:val="0"/>
              </w:rPr>
              <w:t>t</w:t>
            </w:r>
            <w:r w:rsidR="008B4920" w:rsidRPr="00C27CE7">
              <w:rPr>
                <w:rStyle w:val="Emphasis"/>
                <w:i w:val="0"/>
              </w:rPr>
              <w:t xml:space="preserve"> </w:t>
            </w:r>
            <w:r w:rsidR="008B4920" w:rsidRPr="00C27CE7">
              <w:t>Latvijas standarta statusā.</w:t>
            </w:r>
          </w:p>
        </w:tc>
      </w:tr>
    </w:tbl>
    <w:p w:rsidR="0089380C" w:rsidRPr="003F7A44" w:rsidRDefault="0089380C" w:rsidP="0089380C">
      <w:pPr>
        <w:pStyle w:val="naisf"/>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9"/>
        <w:gridCol w:w="3040"/>
        <w:gridCol w:w="5542"/>
      </w:tblGrid>
      <w:tr w:rsidR="0089380C" w:rsidRPr="003F7A44" w:rsidTr="0068412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3F7A44" w:rsidRDefault="0089380C">
            <w:pPr>
              <w:pStyle w:val="naisnod"/>
              <w:rPr>
                <w:b/>
                <w:sz w:val="26"/>
                <w:szCs w:val="26"/>
              </w:rPr>
            </w:pPr>
            <w:r w:rsidRPr="003F7A44">
              <w:rPr>
                <w:sz w:val="26"/>
                <w:szCs w:val="26"/>
              </w:rPr>
              <w:t> </w:t>
            </w:r>
            <w:r w:rsidRPr="003F7A44">
              <w:rPr>
                <w:b/>
                <w:sz w:val="26"/>
                <w:szCs w:val="26"/>
              </w:rPr>
              <w:t>II. Tiesību akta projekta ietekme uz sabiedrību</w:t>
            </w:r>
          </w:p>
        </w:tc>
      </w:tr>
      <w:tr w:rsidR="00AA1613" w:rsidRPr="003F7A44" w:rsidTr="009421E2">
        <w:trPr>
          <w:trHeight w:val="467"/>
          <w:tblCellSpacing w:w="0" w:type="dxa"/>
        </w:trPr>
        <w:tc>
          <w:tcPr>
            <w:tcW w:w="519" w:type="dxa"/>
            <w:tcBorders>
              <w:top w:val="outset" w:sz="6" w:space="0" w:color="auto"/>
              <w:left w:val="outset" w:sz="6" w:space="0" w:color="auto"/>
              <w:bottom w:val="outset" w:sz="6" w:space="0" w:color="auto"/>
              <w:right w:val="outset" w:sz="6" w:space="0" w:color="auto"/>
            </w:tcBorders>
          </w:tcPr>
          <w:p w:rsidR="00AA1613" w:rsidRPr="003F7A44" w:rsidRDefault="00AA1613">
            <w:pPr>
              <w:pStyle w:val="naiskr"/>
              <w:rPr>
                <w:sz w:val="26"/>
                <w:szCs w:val="26"/>
              </w:rPr>
            </w:pPr>
            <w:r w:rsidRPr="003F7A44">
              <w:rPr>
                <w:sz w:val="26"/>
                <w:szCs w:val="26"/>
              </w:rPr>
              <w:t> 1.</w:t>
            </w:r>
          </w:p>
        </w:tc>
        <w:tc>
          <w:tcPr>
            <w:tcW w:w="3040" w:type="dxa"/>
            <w:tcBorders>
              <w:top w:val="outset" w:sz="6" w:space="0" w:color="auto"/>
              <w:left w:val="outset" w:sz="6" w:space="0" w:color="auto"/>
              <w:bottom w:val="outset" w:sz="6" w:space="0" w:color="auto"/>
              <w:right w:val="outset" w:sz="6" w:space="0" w:color="auto"/>
            </w:tcBorders>
          </w:tcPr>
          <w:p w:rsidR="00AA1613" w:rsidRPr="00AA1613" w:rsidRDefault="00AA1613">
            <w:pPr>
              <w:pStyle w:val="naiskr"/>
            </w:pPr>
            <w:r w:rsidRPr="00AA1613">
              <w:rPr>
                <w:color w:val="FF0000"/>
              </w:rPr>
              <w:t> </w:t>
            </w:r>
            <w:r w:rsidRPr="00AA1613">
              <w:t xml:space="preserve">Sabiedrības </w:t>
            </w:r>
            <w:proofErr w:type="spellStart"/>
            <w:r w:rsidRPr="00AA1613">
              <w:t>mērķgrupa</w:t>
            </w:r>
            <w:proofErr w:type="spellEnd"/>
          </w:p>
        </w:tc>
        <w:tc>
          <w:tcPr>
            <w:tcW w:w="5542" w:type="dxa"/>
            <w:tcBorders>
              <w:top w:val="outset" w:sz="6" w:space="0" w:color="auto"/>
              <w:left w:val="outset" w:sz="6" w:space="0" w:color="auto"/>
              <w:bottom w:val="outset" w:sz="6" w:space="0" w:color="auto"/>
              <w:right w:val="outset" w:sz="6" w:space="0" w:color="auto"/>
            </w:tcBorders>
          </w:tcPr>
          <w:p w:rsidR="00AA1613" w:rsidRPr="00AA1613" w:rsidRDefault="00AA1613" w:rsidP="00F05935">
            <w:pPr>
              <w:pStyle w:val="naiskr"/>
              <w:spacing w:before="0" w:after="0"/>
              <w:ind w:hanging="57"/>
              <w:jc w:val="both"/>
            </w:pPr>
            <w:r w:rsidRPr="00AA1613">
              <w:rPr>
                <w:color w:val="FF0000"/>
              </w:rPr>
              <w:t>  </w:t>
            </w:r>
            <w:r w:rsidRPr="00AA1613">
              <w:rPr>
                <w:iCs/>
              </w:rPr>
              <w:t xml:space="preserve">Noteikumu projekts attiecas uz </w:t>
            </w:r>
            <w:r w:rsidR="00B201EB">
              <w:rPr>
                <w:iCs/>
              </w:rPr>
              <w:t xml:space="preserve">elektroenerģijas </w:t>
            </w:r>
            <w:r w:rsidRPr="00AA1613">
              <w:rPr>
                <w:iCs/>
              </w:rPr>
              <w:t>sistēmas operatoriem</w:t>
            </w:r>
            <w:r w:rsidR="000C1A1C">
              <w:rPr>
                <w:iCs/>
              </w:rPr>
              <w:t>, elektroenerģijas ražotājiem</w:t>
            </w:r>
            <w:r w:rsidRPr="00AA1613">
              <w:rPr>
                <w:iCs/>
              </w:rPr>
              <w:t xml:space="preserve"> un elektroenerģijas lietotājiem. Saskaņā ar SPRK mājas lapā ievietoto informāciju, Latvijā darbojas 11 uzņēmumi kuriem ir l</w:t>
            </w:r>
            <w:r w:rsidR="00A76CB9">
              <w:rPr>
                <w:iCs/>
              </w:rPr>
              <w:t>icences elektroenerģijas sadalei</w:t>
            </w:r>
            <w:r w:rsidRPr="00AA1613">
              <w:rPr>
                <w:iCs/>
              </w:rPr>
              <w:t xml:space="preserve"> un 1 uzņēmums, kuram ir licence elektroenerģijas pārvadei. Elektroenerģijas lietotāju skaits Latvijā sastāda aptuveni 1110000.</w:t>
            </w:r>
          </w:p>
        </w:tc>
      </w:tr>
      <w:tr w:rsidR="0089380C" w:rsidRPr="003F7A44" w:rsidTr="009421E2">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2.</w:t>
            </w:r>
          </w:p>
        </w:tc>
        <w:tc>
          <w:tcPr>
            <w:tcW w:w="3040" w:type="dxa"/>
            <w:tcBorders>
              <w:top w:val="outset" w:sz="6" w:space="0" w:color="auto"/>
              <w:left w:val="outset" w:sz="6" w:space="0" w:color="auto"/>
              <w:bottom w:val="outset" w:sz="6" w:space="0" w:color="auto"/>
              <w:right w:val="outset" w:sz="6" w:space="0" w:color="auto"/>
            </w:tcBorders>
          </w:tcPr>
          <w:p w:rsidR="0089380C" w:rsidRPr="00AA1613" w:rsidRDefault="0089380C">
            <w:pPr>
              <w:pStyle w:val="naiskr"/>
            </w:pPr>
            <w:r w:rsidRPr="00AA1613">
              <w:t xml:space="preserve"> Citas sabiedrības grupas (bez </w:t>
            </w:r>
            <w:proofErr w:type="spellStart"/>
            <w:r w:rsidRPr="00AA1613">
              <w:t>mērķgrupas</w:t>
            </w:r>
            <w:proofErr w:type="spellEnd"/>
            <w:r w:rsidRPr="00AA1613">
              <w:t>), kuras tiesiskais regulējums arī ietekmē vai varētu ietekmēt</w:t>
            </w:r>
          </w:p>
        </w:tc>
        <w:tc>
          <w:tcPr>
            <w:tcW w:w="5542" w:type="dxa"/>
            <w:tcBorders>
              <w:top w:val="outset" w:sz="6" w:space="0" w:color="auto"/>
              <w:left w:val="outset" w:sz="6" w:space="0" w:color="auto"/>
              <w:bottom w:val="outset" w:sz="6" w:space="0" w:color="auto"/>
              <w:right w:val="outset" w:sz="6" w:space="0" w:color="auto"/>
            </w:tcBorders>
          </w:tcPr>
          <w:p w:rsidR="0089380C" w:rsidRPr="00AA1613" w:rsidRDefault="0089380C">
            <w:pPr>
              <w:pStyle w:val="naiskr"/>
            </w:pPr>
            <w:r w:rsidRPr="00AA1613">
              <w:t> </w:t>
            </w:r>
            <w:r w:rsidR="00964F2B" w:rsidRPr="00AA1613">
              <w:t>Projekts šo jomu neskar.</w:t>
            </w:r>
          </w:p>
        </w:tc>
      </w:tr>
      <w:tr w:rsidR="0089380C" w:rsidRPr="003F7A44" w:rsidTr="009421E2">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3.</w:t>
            </w:r>
          </w:p>
        </w:tc>
        <w:tc>
          <w:tcPr>
            <w:tcW w:w="3040"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Tiesiskā regulējuma finansiālā ietekme</w:t>
            </w:r>
          </w:p>
        </w:tc>
        <w:tc>
          <w:tcPr>
            <w:tcW w:w="5542" w:type="dxa"/>
            <w:tcBorders>
              <w:top w:val="outset" w:sz="6" w:space="0" w:color="auto"/>
              <w:left w:val="outset" w:sz="6" w:space="0" w:color="auto"/>
              <w:bottom w:val="outset" w:sz="6" w:space="0" w:color="auto"/>
              <w:right w:val="outset" w:sz="6" w:space="0" w:color="auto"/>
            </w:tcBorders>
          </w:tcPr>
          <w:p w:rsidR="0089380C" w:rsidRPr="003F7A44" w:rsidRDefault="007A7613" w:rsidP="002F2B39">
            <w:pPr>
              <w:pStyle w:val="naiskr"/>
              <w:jc w:val="both"/>
              <w:rPr>
                <w:sz w:val="26"/>
                <w:szCs w:val="26"/>
              </w:rPr>
            </w:pPr>
            <w:r w:rsidRPr="003F7A44">
              <w:rPr>
                <w:sz w:val="26"/>
                <w:szCs w:val="26"/>
              </w:rPr>
              <w:t>Noteikumu projekts nerada finansiālo ietekmi valsts budžetam</w:t>
            </w:r>
            <w:r w:rsidR="001C0CBF" w:rsidRPr="003F7A44">
              <w:rPr>
                <w:sz w:val="26"/>
                <w:szCs w:val="26"/>
              </w:rPr>
              <w:t>.</w:t>
            </w:r>
          </w:p>
        </w:tc>
      </w:tr>
      <w:tr w:rsidR="0089380C" w:rsidRPr="003F7A44" w:rsidTr="009421E2">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4.</w:t>
            </w:r>
          </w:p>
        </w:tc>
        <w:tc>
          <w:tcPr>
            <w:tcW w:w="3040"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Tiesiskā regulējuma nefinansiālā ietekme</w:t>
            </w:r>
          </w:p>
        </w:tc>
        <w:tc>
          <w:tcPr>
            <w:tcW w:w="5542" w:type="dxa"/>
            <w:tcBorders>
              <w:top w:val="outset" w:sz="6" w:space="0" w:color="auto"/>
              <w:left w:val="outset" w:sz="6" w:space="0" w:color="auto"/>
              <w:bottom w:val="outset" w:sz="6" w:space="0" w:color="auto"/>
              <w:right w:val="outset" w:sz="6" w:space="0" w:color="auto"/>
            </w:tcBorders>
          </w:tcPr>
          <w:p w:rsidR="0089380C" w:rsidRPr="003F7A44" w:rsidRDefault="00964F2B" w:rsidP="00964F2B">
            <w:pPr>
              <w:pStyle w:val="naiskr"/>
              <w:jc w:val="both"/>
              <w:rPr>
                <w:sz w:val="26"/>
                <w:szCs w:val="26"/>
              </w:rPr>
            </w:pPr>
            <w:r w:rsidRPr="003F7A44">
              <w:rPr>
                <w:color w:val="000000"/>
                <w:sz w:val="26"/>
                <w:szCs w:val="26"/>
              </w:rPr>
              <w:t xml:space="preserve">Saņemot lietotāja sūdzību par sprieguma kvalitāti, SPRK būs iespējams izvērtēt sūdzības pamatotību, pamatojoties uz noteiktām prasībām, kas attiecināmas uz sprieguma raksturlielumiem.  </w:t>
            </w:r>
          </w:p>
        </w:tc>
      </w:tr>
      <w:tr w:rsidR="0089380C" w:rsidRPr="003F7A44" w:rsidTr="009421E2">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5.</w:t>
            </w:r>
          </w:p>
        </w:tc>
        <w:tc>
          <w:tcPr>
            <w:tcW w:w="3040"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Administratīvās procedūras raksturojums</w:t>
            </w:r>
          </w:p>
        </w:tc>
        <w:tc>
          <w:tcPr>
            <w:tcW w:w="5542" w:type="dxa"/>
            <w:tcBorders>
              <w:top w:val="outset" w:sz="6" w:space="0" w:color="auto"/>
              <w:left w:val="outset" w:sz="6" w:space="0" w:color="auto"/>
              <w:bottom w:val="outset" w:sz="6" w:space="0" w:color="auto"/>
              <w:right w:val="outset" w:sz="6" w:space="0" w:color="auto"/>
            </w:tcBorders>
          </w:tcPr>
          <w:p w:rsidR="00964F2B" w:rsidRPr="003F7A44" w:rsidRDefault="0089380C" w:rsidP="00964F2B">
            <w:pPr>
              <w:pStyle w:val="naiskr"/>
              <w:jc w:val="both"/>
              <w:rPr>
                <w:sz w:val="26"/>
                <w:szCs w:val="26"/>
              </w:rPr>
            </w:pPr>
            <w:r w:rsidRPr="003F7A44">
              <w:rPr>
                <w:sz w:val="26"/>
                <w:szCs w:val="26"/>
              </w:rPr>
              <w:t> </w:t>
            </w:r>
            <w:r w:rsidR="00964F2B" w:rsidRPr="003F7A44">
              <w:rPr>
                <w:sz w:val="26"/>
                <w:szCs w:val="26"/>
              </w:rPr>
              <w:t>Projekts šo jomu neskar.</w:t>
            </w:r>
            <w:r w:rsidR="00964F2B" w:rsidRPr="003F7A44">
              <w:rPr>
                <w:color w:val="000000"/>
                <w:sz w:val="26"/>
                <w:szCs w:val="26"/>
              </w:rPr>
              <w:t xml:space="preserve"> </w:t>
            </w:r>
          </w:p>
          <w:p w:rsidR="0089380C" w:rsidRPr="003F7A44" w:rsidRDefault="0089380C" w:rsidP="007A7613">
            <w:pPr>
              <w:pStyle w:val="naiskr"/>
              <w:jc w:val="both"/>
              <w:rPr>
                <w:sz w:val="26"/>
                <w:szCs w:val="26"/>
              </w:rPr>
            </w:pPr>
          </w:p>
        </w:tc>
      </w:tr>
      <w:tr w:rsidR="0089380C" w:rsidRPr="003F7A44" w:rsidTr="009421E2">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6.</w:t>
            </w:r>
          </w:p>
        </w:tc>
        <w:tc>
          <w:tcPr>
            <w:tcW w:w="3040"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Administratīvo izmaksu monetārs novērtējums</w:t>
            </w:r>
          </w:p>
        </w:tc>
        <w:tc>
          <w:tcPr>
            <w:tcW w:w="5542" w:type="dxa"/>
            <w:tcBorders>
              <w:top w:val="outset" w:sz="6" w:space="0" w:color="auto"/>
              <w:left w:val="outset" w:sz="6" w:space="0" w:color="auto"/>
              <w:bottom w:val="outset" w:sz="6" w:space="0" w:color="auto"/>
              <w:right w:val="outset" w:sz="6" w:space="0" w:color="auto"/>
            </w:tcBorders>
          </w:tcPr>
          <w:p w:rsidR="0089380C" w:rsidRPr="003F7A44" w:rsidRDefault="0089380C" w:rsidP="00EE2530">
            <w:pPr>
              <w:pStyle w:val="naiskr"/>
              <w:jc w:val="both"/>
              <w:rPr>
                <w:sz w:val="26"/>
                <w:szCs w:val="26"/>
              </w:rPr>
            </w:pPr>
            <w:r w:rsidRPr="003F7A44">
              <w:rPr>
                <w:sz w:val="26"/>
                <w:szCs w:val="26"/>
              </w:rPr>
              <w:t> </w:t>
            </w:r>
            <w:r w:rsidR="00964F2B" w:rsidRPr="003F7A44">
              <w:rPr>
                <w:sz w:val="26"/>
                <w:szCs w:val="26"/>
              </w:rPr>
              <w:t>Projekts šo jomu neskar.</w:t>
            </w:r>
          </w:p>
        </w:tc>
      </w:tr>
      <w:tr w:rsidR="0089380C" w:rsidRPr="003F7A44" w:rsidTr="009421E2">
        <w:trPr>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7.</w:t>
            </w:r>
          </w:p>
        </w:tc>
        <w:tc>
          <w:tcPr>
            <w:tcW w:w="3040"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Cita informācija</w:t>
            </w:r>
          </w:p>
        </w:tc>
        <w:tc>
          <w:tcPr>
            <w:tcW w:w="5542"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w:t>
            </w:r>
            <w:r w:rsidR="00510E71" w:rsidRPr="003F7A44">
              <w:rPr>
                <w:sz w:val="26"/>
                <w:szCs w:val="26"/>
              </w:rPr>
              <w:t>Nav.</w:t>
            </w:r>
          </w:p>
        </w:tc>
      </w:tr>
    </w:tbl>
    <w:p w:rsidR="0089380C" w:rsidRPr="003F7A44" w:rsidRDefault="0089380C" w:rsidP="0089380C">
      <w:pPr>
        <w:pStyle w:val="naisf"/>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6"/>
        <w:gridCol w:w="3762"/>
        <w:gridCol w:w="4833"/>
      </w:tblGrid>
      <w:tr w:rsidR="0089380C" w:rsidRPr="003F7A44" w:rsidTr="009421E2">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89380C" w:rsidRPr="003F7A44" w:rsidRDefault="0089380C">
            <w:pPr>
              <w:pStyle w:val="naisc"/>
              <w:rPr>
                <w:sz w:val="26"/>
                <w:szCs w:val="26"/>
              </w:rPr>
            </w:pPr>
            <w:r w:rsidRPr="003F7A44">
              <w:rPr>
                <w:b/>
                <w:bCs/>
                <w:sz w:val="26"/>
                <w:szCs w:val="26"/>
              </w:rPr>
              <w:t> VII. Tiesību akta projekta izpildes nodrošināšana un tās ietekme uz institūcijām</w:t>
            </w:r>
          </w:p>
        </w:tc>
      </w:tr>
      <w:tr w:rsidR="0089380C" w:rsidRPr="003F7A44" w:rsidTr="009421E2">
        <w:trPr>
          <w:trHeight w:val="427"/>
          <w:tblCellSpacing w:w="0" w:type="dxa"/>
        </w:trPr>
        <w:tc>
          <w:tcPr>
            <w:tcW w:w="506"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1.</w:t>
            </w:r>
          </w:p>
        </w:tc>
        <w:tc>
          <w:tcPr>
            <w:tcW w:w="3762"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Projekta izpildē iesaistītās institūcijas</w:t>
            </w:r>
          </w:p>
        </w:tc>
        <w:tc>
          <w:tcPr>
            <w:tcW w:w="4833" w:type="dxa"/>
            <w:tcBorders>
              <w:top w:val="outset" w:sz="6" w:space="0" w:color="auto"/>
              <w:left w:val="outset" w:sz="6" w:space="0" w:color="auto"/>
              <w:bottom w:val="outset" w:sz="6" w:space="0" w:color="auto"/>
              <w:right w:val="outset" w:sz="6" w:space="0" w:color="auto"/>
            </w:tcBorders>
          </w:tcPr>
          <w:p w:rsidR="0089380C" w:rsidRPr="003F7A44" w:rsidRDefault="001D1B66" w:rsidP="00307109">
            <w:pPr>
              <w:pStyle w:val="naiskr"/>
              <w:jc w:val="both"/>
              <w:rPr>
                <w:sz w:val="26"/>
                <w:szCs w:val="26"/>
              </w:rPr>
            </w:pPr>
            <w:r w:rsidRPr="003F7A44">
              <w:rPr>
                <w:sz w:val="26"/>
                <w:szCs w:val="26"/>
              </w:rPr>
              <w:t xml:space="preserve">Noteikumu projekta normas </w:t>
            </w:r>
            <w:r w:rsidR="000C4F32" w:rsidRPr="003F7A44">
              <w:rPr>
                <w:sz w:val="26"/>
                <w:szCs w:val="26"/>
              </w:rPr>
              <w:t>piemēros</w:t>
            </w:r>
            <w:r w:rsidRPr="003F7A44">
              <w:rPr>
                <w:sz w:val="26"/>
                <w:szCs w:val="26"/>
              </w:rPr>
              <w:t xml:space="preserve"> </w:t>
            </w:r>
            <w:r w:rsidR="00307109" w:rsidRPr="003F7A44">
              <w:rPr>
                <w:sz w:val="26"/>
                <w:szCs w:val="26"/>
              </w:rPr>
              <w:t>sistēmas operatori un</w:t>
            </w:r>
            <w:r w:rsidR="00C56A93" w:rsidRPr="003F7A44">
              <w:rPr>
                <w:sz w:val="26"/>
                <w:szCs w:val="26"/>
              </w:rPr>
              <w:t xml:space="preserve"> Sabiedrisko pakalpojumu regulēšanas komisija.</w:t>
            </w:r>
          </w:p>
        </w:tc>
      </w:tr>
      <w:tr w:rsidR="0089380C" w:rsidRPr="003F7A44" w:rsidTr="009421E2">
        <w:trPr>
          <w:trHeight w:val="463"/>
          <w:tblCellSpacing w:w="0" w:type="dxa"/>
        </w:trPr>
        <w:tc>
          <w:tcPr>
            <w:tcW w:w="506"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2.</w:t>
            </w:r>
          </w:p>
        </w:tc>
        <w:tc>
          <w:tcPr>
            <w:tcW w:w="3762"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Projekta izpildes ietekme uz pārvaldes funkcijām</w:t>
            </w:r>
          </w:p>
        </w:tc>
        <w:tc>
          <w:tcPr>
            <w:tcW w:w="4833" w:type="dxa"/>
            <w:tcBorders>
              <w:top w:val="outset" w:sz="6" w:space="0" w:color="auto"/>
              <w:left w:val="outset" w:sz="6" w:space="0" w:color="auto"/>
              <w:bottom w:val="outset" w:sz="6" w:space="0" w:color="auto"/>
              <w:right w:val="outset" w:sz="6" w:space="0" w:color="auto"/>
            </w:tcBorders>
          </w:tcPr>
          <w:p w:rsidR="0089380C" w:rsidRPr="003F7A44" w:rsidRDefault="00115B9B" w:rsidP="00115B9B">
            <w:pPr>
              <w:pStyle w:val="naiskr"/>
              <w:jc w:val="both"/>
              <w:rPr>
                <w:sz w:val="26"/>
                <w:szCs w:val="26"/>
              </w:rPr>
            </w:pPr>
            <w:r w:rsidRPr="003F7A44">
              <w:rPr>
                <w:sz w:val="26"/>
                <w:szCs w:val="26"/>
              </w:rPr>
              <w:t xml:space="preserve">Sprieguma kvalitātes atbilstību noteikumu prasībām uzraudzīs Sabiedrisko pakalpojumu regulēšanas komisija. </w:t>
            </w:r>
          </w:p>
        </w:tc>
      </w:tr>
      <w:tr w:rsidR="0089380C" w:rsidRPr="003F7A44" w:rsidTr="009421E2">
        <w:trPr>
          <w:trHeight w:val="725"/>
          <w:tblCellSpacing w:w="0" w:type="dxa"/>
        </w:trPr>
        <w:tc>
          <w:tcPr>
            <w:tcW w:w="506"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3.</w:t>
            </w:r>
          </w:p>
        </w:tc>
        <w:tc>
          <w:tcPr>
            <w:tcW w:w="3762"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Projekta izpildes ietekme uz pārvaldes institucionālo struktūru.</w:t>
            </w:r>
          </w:p>
          <w:p w:rsidR="0089380C" w:rsidRPr="003F7A44" w:rsidRDefault="0089380C">
            <w:pPr>
              <w:pStyle w:val="naiskr"/>
              <w:rPr>
                <w:sz w:val="26"/>
                <w:szCs w:val="26"/>
              </w:rPr>
            </w:pPr>
            <w:r w:rsidRPr="003F7A44">
              <w:rPr>
                <w:sz w:val="26"/>
                <w:szCs w:val="26"/>
              </w:rPr>
              <w:t>Jaunu institūciju izveide</w:t>
            </w:r>
          </w:p>
        </w:tc>
        <w:tc>
          <w:tcPr>
            <w:tcW w:w="4833"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w:t>
            </w:r>
            <w:r w:rsidR="00115B9B" w:rsidRPr="003F7A44">
              <w:rPr>
                <w:sz w:val="26"/>
                <w:szCs w:val="26"/>
              </w:rPr>
              <w:t>Projekts šo jomu neskar.</w:t>
            </w:r>
          </w:p>
        </w:tc>
      </w:tr>
      <w:tr w:rsidR="0089380C" w:rsidRPr="003F7A44" w:rsidTr="009421E2">
        <w:trPr>
          <w:trHeight w:val="780"/>
          <w:tblCellSpacing w:w="0" w:type="dxa"/>
        </w:trPr>
        <w:tc>
          <w:tcPr>
            <w:tcW w:w="506"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4.</w:t>
            </w:r>
          </w:p>
        </w:tc>
        <w:tc>
          <w:tcPr>
            <w:tcW w:w="3762"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Projekta izpildes ietekme uz pārvaldes institucionālo struktūru.</w:t>
            </w:r>
          </w:p>
          <w:p w:rsidR="0089380C" w:rsidRPr="003F7A44" w:rsidRDefault="0089380C">
            <w:pPr>
              <w:pStyle w:val="naiskr"/>
              <w:rPr>
                <w:sz w:val="26"/>
                <w:szCs w:val="26"/>
              </w:rPr>
            </w:pPr>
            <w:r w:rsidRPr="003F7A44">
              <w:rPr>
                <w:sz w:val="26"/>
                <w:szCs w:val="26"/>
              </w:rPr>
              <w:t>Esošu institūciju likvidācija</w:t>
            </w:r>
          </w:p>
        </w:tc>
        <w:tc>
          <w:tcPr>
            <w:tcW w:w="4833"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w:t>
            </w:r>
            <w:r w:rsidR="00115B9B" w:rsidRPr="003F7A44">
              <w:rPr>
                <w:sz w:val="26"/>
                <w:szCs w:val="26"/>
              </w:rPr>
              <w:t>Projekts šo jomu neskar.</w:t>
            </w:r>
          </w:p>
        </w:tc>
      </w:tr>
      <w:tr w:rsidR="0089380C" w:rsidRPr="003F7A44" w:rsidTr="009421E2">
        <w:trPr>
          <w:trHeight w:val="703"/>
          <w:tblCellSpacing w:w="0" w:type="dxa"/>
        </w:trPr>
        <w:tc>
          <w:tcPr>
            <w:tcW w:w="506"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5.</w:t>
            </w:r>
          </w:p>
        </w:tc>
        <w:tc>
          <w:tcPr>
            <w:tcW w:w="3762" w:type="dxa"/>
            <w:tcBorders>
              <w:top w:val="outset" w:sz="6" w:space="0" w:color="auto"/>
              <w:left w:val="outset" w:sz="6" w:space="0" w:color="auto"/>
              <w:bottom w:val="outset" w:sz="6" w:space="0" w:color="auto"/>
              <w:right w:val="outset" w:sz="6" w:space="0" w:color="auto"/>
            </w:tcBorders>
          </w:tcPr>
          <w:p w:rsidR="00115B9B" w:rsidRPr="003F7A44" w:rsidRDefault="0089380C">
            <w:pPr>
              <w:pStyle w:val="naiskr"/>
              <w:rPr>
                <w:sz w:val="26"/>
                <w:szCs w:val="26"/>
              </w:rPr>
            </w:pPr>
            <w:r w:rsidRPr="003F7A44">
              <w:rPr>
                <w:sz w:val="26"/>
                <w:szCs w:val="26"/>
              </w:rPr>
              <w:t> Projekta izpildes ietekme uz pārvaldes institucionālo struktūru.</w:t>
            </w:r>
          </w:p>
          <w:p w:rsidR="0089380C" w:rsidRPr="003F7A44" w:rsidRDefault="0089380C">
            <w:pPr>
              <w:pStyle w:val="naiskr"/>
              <w:rPr>
                <w:sz w:val="26"/>
                <w:szCs w:val="26"/>
              </w:rPr>
            </w:pPr>
            <w:r w:rsidRPr="003F7A44">
              <w:rPr>
                <w:sz w:val="26"/>
                <w:szCs w:val="26"/>
              </w:rPr>
              <w:t>Esošu institūciju reorganizācija</w:t>
            </w:r>
          </w:p>
        </w:tc>
        <w:tc>
          <w:tcPr>
            <w:tcW w:w="4833" w:type="dxa"/>
            <w:tcBorders>
              <w:top w:val="outset" w:sz="6" w:space="0" w:color="auto"/>
              <w:left w:val="outset" w:sz="6" w:space="0" w:color="auto"/>
              <w:bottom w:val="outset" w:sz="6" w:space="0" w:color="auto"/>
              <w:right w:val="outset" w:sz="6" w:space="0" w:color="auto"/>
            </w:tcBorders>
          </w:tcPr>
          <w:p w:rsidR="0089380C" w:rsidRPr="003F7A44" w:rsidRDefault="0089380C" w:rsidP="007C1A95">
            <w:pPr>
              <w:pStyle w:val="naiskr"/>
              <w:rPr>
                <w:sz w:val="26"/>
                <w:szCs w:val="26"/>
              </w:rPr>
            </w:pPr>
            <w:r w:rsidRPr="003F7A44">
              <w:rPr>
                <w:sz w:val="26"/>
                <w:szCs w:val="26"/>
              </w:rPr>
              <w:t> </w:t>
            </w:r>
            <w:r w:rsidR="00115B9B" w:rsidRPr="003F7A44">
              <w:rPr>
                <w:sz w:val="26"/>
                <w:szCs w:val="26"/>
              </w:rPr>
              <w:t>Projekts šo jomu neskar.</w:t>
            </w:r>
          </w:p>
        </w:tc>
      </w:tr>
      <w:tr w:rsidR="0089380C" w:rsidRPr="003F7A44" w:rsidTr="009421E2">
        <w:trPr>
          <w:trHeight w:val="476"/>
          <w:tblCellSpacing w:w="0" w:type="dxa"/>
        </w:trPr>
        <w:tc>
          <w:tcPr>
            <w:tcW w:w="506"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6.</w:t>
            </w:r>
          </w:p>
        </w:tc>
        <w:tc>
          <w:tcPr>
            <w:tcW w:w="3762" w:type="dxa"/>
            <w:tcBorders>
              <w:top w:val="outset" w:sz="6" w:space="0" w:color="auto"/>
              <w:left w:val="outset" w:sz="6" w:space="0" w:color="auto"/>
              <w:bottom w:val="outset" w:sz="6" w:space="0" w:color="auto"/>
              <w:right w:val="outset" w:sz="6" w:space="0" w:color="auto"/>
            </w:tcBorders>
          </w:tcPr>
          <w:p w:rsidR="0089380C" w:rsidRPr="003F7A44" w:rsidRDefault="0089380C">
            <w:pPr>
              <w:pStyle w:val="naiskr"/>
              <w:rPr>
                <w:sz w:val="26"/>
                <w:szCs w:val="26"/>
              </w:rPr>
            </w:pPr>
            <w:r w:rsidRPr="003F7A44">
              <w:rPr>
                <w:sz w:val="26"/>
                <w:szCs w:val="26"/>
              </w:rPr>
              <w:t> Cita informācija</w:t>
            </w:r>
          </w:p>
        </w:tc>
        <w:tc>
          <w:tcPr>
            <w:tcW w:w="4833" w:type="dxa"/>
            <w:tcBorders>
              <w:top w:val="outset" w:sz="6" w:space="0" w:color="auto"/>
              <w:left w:val="outset" w:sz="6" w:space="0" w:color="auto"/>
              <w:bottom w:val="outset" w:sz="6" w:space="0" w:color="auto"/>
              <w:right w:val="outset" w:sz="6" w:space="0" w:color="auto"/>
            </w:tcBorders>
          </w:tcPr>
          <w:p w:rsidR="0089380C" w:rsidRPr="003F7A44" w:rsidRDefault="007C1A95">
            <w:pPr>
              <w:pStyle w:val="naiskr"/>
              <w:rPr>
                <w:sz w:val="26"/>
                <w:szCs w:val="26"/>
              </w:rPr>
            </w:pPr>
            <w:r w:rsidRPr="003F7A44">
              <w:rPr>
                <w:sz w:val="26"/>
                <w:szCs w:val="26"/>
              </w:rPr>
              <w:t>Nav.</w:t>
            </w:r>
          </w:p>
        </w:tc>
      </w:tr>
    </w:tbl>
    <w:p w:rsidR="00435C4E" w:rsidRDefault="00435C4E" w:rsidP="00435C4E">
      <w:pPr>
        <w:pStyle w:val="naisf"/>
        <w:tabs>
          <w:tab w:val="left" w:pos="5760"/>
        </w:tabs>
        <w:spacing w:before="0" w:after="0"/>
        <w:ind w:firstLine="720"/>
        <w:rPr>
          <w:sz w:val="26"/>
          <w:szCs w:val="26"/>
        </w:rPr>
      </w:pPr>
      <w:r w:rsidRPr="003F7A44">
        <w:rPr>
          <w:sz w:val="26"/>
          <w:szCs w:val="26"/>
        </w:rPr>
        <w:t>Anotācijas III, IV, V un VI sadaļa – </w:t>
      </w:r>
      <w:r w:rsidR="009421E2">
        <w:rPr>
          <w:sz w:val="26"/>
          <w:szCs w:val="26"/>
        </w:rPr>
        <w:t>projekts šīs jomas neskar</w:t>
      </w:r>
    </w:p>
    <w:p w:rsidR="003F7A44" w:rsidRPr="003F7A44" w:rsidRDefault="003F7A44" w:rsidP="00435C4E">
      <w:pPr>
        <w:pStyle w:val="naisf"/>
        <w:tabs>
          <w:tab w:val="left" w:pos="5760"/>
        </w:tabs>
        <w:spacing w:before="0" w:after="0"/>
        <w:ind w:firstLine="720"/>
        <w:rPr>
          <w:sz w:val="26"/>
          <w:szCs w:val="26"/>
        </w:rPr>
      </w:pPr>
    </w:p>
    <w:p w:rsidR="001D1B66" w:rsidRDefault="00ED0E45" w:rsidP="001D1B66">
      <w:pPr>
        <w:rPr>
          <w:sz w:val="26"/>
          <w:szCs w:val="26"/>
        </w:rPr>
      </w:pPr>
      <w:r>
        <w:rPr>
          <w:sz w:val="26"/>
          <w:szCs w:val="26"/>
        </w:rPr>
        <w:t>Ministru prezidents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D1B66" w:rsidRPr="003F7A44">
        <w:rPr>
          <w:sz w:val="26"/>
          <w:szCs w:val="26"/>
        </w:rPr>
        <w:t xml:space="preserve">V. </w:t>
      </w:r>
      <w:proofErr w:type="spellStart"/>
      <w:r w:rsidR="001D1B66" w:rsidRPr="003F7A44">
        <w:rPr>
          <w:sz w:val="26"/>
          <w:szCs w:val="26"/>
        </w:rPr>
        <w:t>Dombrovskis</w:t>
      </w:r>
      <w:proofErr w:type="spellEnd"/>
    </w:p>
    <w:p w:rsidR="003F7A44" w:rsidRPr="003F7A44" w:rsidRDefault="003F7A44" w:rsidP="001D1B66">
      <w:pPr>
        <w:rPr>
          <w:sz w:val="26"/>
          <w:szCs w:val="26"/>
        </w:rPr>
      </w:pPr>
    </w:p>
    <w:p w:rsidR="001D1B66" w:rsidRPr="003F7A44" w:rsidRDefault="001D1B66" w:rsidP="001D1B66">
      <w:pPr>
        <w:rPr>
          <w:sz w:val="26"/>
          <w:szCs w:val="26"/>
        </w:rPr>
      </w:pPr>
    </w:p>
    <w:p w:rsidR="001D1B66" w:rsidRDefault="001D1B66" w:rsidP="001D1B66">
      <w:pPr>
        <w:rPr>
          <w:sz w:val="26"/>
          <w:szCs w:val="26"/>
        </w:rPr>
      </w:pPr>
      <w:r w:rsidRPr="003F7A44">
        <w:rPr>
          <w:sz w:val="26"/>
          <w:szCs w:val="26"/>
        </w:rPr>
        <w:t>Ekonomikas ministrs</w:t>
      </w:r>
      <w:r w:rsidR="00ED0E45">
        <w:rPr>
          <w:sz w:val="26"/>
          <w:szCs w:val="26"/>
        </w:rPr>
        <w:tab/>
      </w:r>
      <w:r w:rsidR="00ED0E45">
        <w:rPr>
          <w:sz w:val="26"/>
          <w:szCs w:val="26"/>
        </w:rPr>
        <w:tab/>
      </w:r>
      <w:r w:rsidR="00ED0E45">
        <w:rPr>
          <w:sz w:val="26"/>
          <w:szCs w:val="26"/>
        </w:rPr>
        <w:tab/>
      </w:r>
      <w:r w:rsidR="00ED0E45">
        <w:rPr>
          <w:sz w:val="26"/>
          <w:szCs w:val="26"/>
        </w:rPr>
        <w:tab/>
      </w:r>
      <w:r w:rsidR="00ED0E45">
        <w:rPr>
          <w:sz w:val="26"/>
          <w:szCs w:val="26"/>
        </w:rPr>
        <w:tab/>
      </w:r>
      <w:r w:rsidR="00ED0E45">
        <w:rPr>
          <w:sz w:val="26"/>
          <w:szCs w:val="26"/>
        </w:rPr>
        <w:tab/>
      </w:r>
      <w:r w:rsidRPr="003F7A44">
        <w:rPr>
          <w:sz w:val="26"/>
          <w:szCs w:val="26"/>
        </w:rPr>
        <w:t>A.Kampars</w:t>
      </w:r>
    </w:p>
    <w:p w:rsidR="003F7A44" w:rsidRPr="003F7A44" w:rsidRDefault="003F7A44" w:rsidP="001D1B66">
      <w:pPr>
        <w:rPr>
          <w:sz w:val="26"/>
          <w:szCs w:val="26"/>
        </w:rPr>
      </w:pPr>
    </w:p>
    <w:p w:rsidR="001D1B66" w:rsidRPr="003F7A44" w:rsidRDefault="001D1B66" w:rsidP="001D1B66">
      <w:pPr>
        <w:ind w:left="-284"/>
        <w:rPr>
          <w:sz w:val="26"/>
          <w:szCs w:val="26"/>
        </w:rPr>
      </w:pPr>
    </w:p>
    <w:p w:rsidR="001D1B66" w:rsidRDefault="001D1B66" w:rsidP="001D1B66">
      <w:pPr>
        <w:rPr>
          <w:sz w:val="26"/>
          <w:szCs w:val="26"/>
        </w:rPr>
      </w:pPr>
      <w:r w:rsidRPr="003F7A44">
        <w:rPr>
          <w:sz w:val="26"/>
          <w:szCs w:val="26"/>
        </w:rPr>
        <w:t>Iesniedzējs: Ekonomikas ministrs</w:t>
      </w:r>
      <w:r w:rsidR="00ED0E45">
        <w:rPr>
          <w:sz w:val="26"/>
          <w:szCs w:val="26"/>
        </w:rPr>
        <w:tab/>
      </w:r>
      <w:r w:rsidR="00ED0E45">
        <w:rPr>
          <w:sz w:val="26"/>
          <w:szCs w:val="26"/>
        </w:rPr>
        <w:tab/>
      </w:r>
      <w:r w:rsidR="00ED0E45">
        <w:rPr>
          <w:sz w:val="26"/>
          <w:szCs w:val="26"/>
        </w:rPr>
        <w:tab/>
      </w:r>
      <w:r w:rsidR="00ED0E45">
        <w:rPr>
          <w:sz w:val="26"/>
          <w:szCs w:val="26"/>
        </w:rPr>
        <w:tab/>
      </w:r>
      <w:r w:rsidR="00ED0E45">
        <w:rPr>
          <w:sz w:val="26"/>
          <w:szCs w:val="26"/>
        </w:rPr>
        <w:tab/>
      </w:r>
      <w:r w:rsidRPr="003F7A44">
        <w:rPr>
          <w:sz w:val="26"/>
          <w:szCs w:val="26"/>
        </w:rPr>
        <w:t>A. Kampars</w:t>
      </w:r>
    </w:p>
    <w:p w:rsidR="003F7A44" w:rsidRPr="003F7A44" w:rsidRDefault="003F7A44" w:rsidP="001D1B66">
      <w:pPr>
        <w:rPr>
          <w:sz w:val="26"/>
          <w:szCs w:val="26"/>
        </w:rPr>
      </w:pPr>
    </w:p>
    <w:p w:rsidR="001D1B66" w:rsidRPr="003F7A44" w:rsidRDefault="001D1B66" w:rsidP="001D1B66">
      <w:pPr>
        <w:ind w:left="-284"/>
        <w:rPr>
          <w:sz w:val="26"/>
          <w:szCs w:val="26"/>
        </w:rPr>
      </w:pPr>
    </w:p>
    <w:p w:rsidR="001D1B66" w:rsidRPr="003F7A44" w:rsidRDefault="001D1B66" w:rsidP="001D1B66">
      <w:pPr>
        <w:rPr>
          <w:sz w:val="26"/>
          <w:szCs w:val="26"/>
        </w:rPr>
      </w:pPr>
      <w:r w:rsidRPr="003F7A44">
        <w:rPr>
          <w:sz w:val="26"/>
          <w:szCs w:val="26"/>
        </w:rPr>
        <w:t>Vīza: Valsts sekretārs</w:t>
      </w:r>
      <w:r w:rsidR="00ED0E45">
        <w:rPr>
          <w:sz w:val="26"/>
          <w:szCs w:val="26"/>
        </w:rPr>
        <w:tab/>
      </w:r>
      <w:r w:rsidR="00ED0E45">
        <w:rPr>
          <w:sz w:val="26"/>
          <w:szCs w:val="26"/>
        </w:rPr>
        <w:tab/>
      </w:r>
      <w:r w:rsidR="00ED0E45">
        <w:rPr>
          <w:sz w:val="26"/>
          <w:szCs w:val="26"/>
        </w:rPr>
        <w:tab/>
      </w:r>
      <w:r w:rsidR="00ED0E45">
        <w:rPr>
          <w:sz w:val="26"/>
          <w:szCs w:val="26"/>
        </w:rPr>
        <w:tab/>
      </w:r>
      <w:r w:rsidR="00ED0E45">
        <w:rPr>
          <w:sz w:val="26"/>
          <w:szCs w:val="26"/>
        </w:rPr>
        <w:tab/>
      </w:r>
      <w:r w:rsidR="00ED0E45">
        <w:rPr>
          <w:sz w:val="26"/>
          <w:szCs w:val="26"/>
        </w:rPr>
        <w:tab/>
        <w:t>J.</w:t>
      </w:r>
      <w:r w:rsidRPr="003F7A44">
        <w:rPr>
          <w:sz w:val="26"/>
          <w:szCs w:val="26"/>
        </w:rPr>
        <w:t>Pūce</w:t>
      </w:r>
    </w:p>
    <w:p w:rsidR="001D1B66" w:rsidRDefault="001D1B66" w:rsidP="001D1B66">
      <w:pPr>
        <w:rPr>
          <w:sz w:val="26"/>
          <w:szCs w:val="26"/>
        </w:rPr>
      </w:pPr>
    </w:p>
    <w:p w:rsidR="003F7A44" w:rsidRDefault="003F7A44" w:rsidP="001D1B66">
      <w:pPr>
        <w:rPr>
          <w:sz w:val="26"/>
          <w:szCs w:val="26"/>
        </w:rPr>
      </w:pPr>
    </w:p>
    <w:p w:rsidR="003F7A44" w:rsidRDefault="003F7A44" w:rsidP="001D1B66">
      <w:pPr>
        <w:rPr>
          <w:sz w:val="26"/>
          <w:szCs w:val="26"/>
        </w:rPr>
      </w:pPr>
    </w:p>
    <w:p w:rsidR="003F7A44" w:rsidRDefault="003F7A44" w:rsidP="001D1B66">
      <w:pPr>
        <w:rPr>
          <w:sz w:val="26"/>
          <w:szCs w:val="26"/>
        </w:rPr>
      </w:pPr>
    </w:p>
    <w:p w:rsidR="003F7A44" w:rsidRDefault="003F7A44" w:rsidP="001D1B66">
      <w:pPr>
        <w:rPr>
          <w:sz w:val="26"/>
          <w:szCs w:val="26"/>
        </w:rPr>
      </w:pPr>
    </w:p>
    <w:p w:rsidR="003F7A44" w:rsidRDefault="003F7A44" w:rsidP="001D1B66">
      <w:pPr>
        <w:rPr>
          <w:sz w:val="26"/>
          <w:szCs w:val="26"/>
        </w:rPr>
      </w:pPr>
    </w:p>
    <w:p w:rsidR="003F7A44" w:rsidRPr="003F7A44" w:rsidRDefault="003F7A44" w:rsidP="003F7A44">
      <w:pPr>
        <w:tabs>
          <w:tab w:val="left" w:pos="3244"/>
        </w:tabs>
        <w:rPr>
          <w:sz w:val="26"/>
          <w:szCs w:val="26"/>
        </w:rPr>
      </w:pPr>
      <w:r>
        <w:rPr>
          <w:sz w:val="26"/>
          <w:szCs w:val="26"/>
        </w:rPr>
        <w:tab/>
      </w:r>
    </w:p>
    <w:p w:rsidR="00E8796A" w:rsidRPr="003F7A44" w:rsidRDefault="00BA02DB" w:rsidP="000C624C">
      <w:pPr>
        <w:tabs>
          <w:tab w:val="left" w:pos="5972"/>
        </w:tabs>
        <w:rPr>
          <w:sz w:val="22"/>
          <w:szCs w:val="22"/>
        </w:rPr>
      </w:pPr>
      <w:r w:rsidRPr="003F7A44">
        <w:rPr>
          <w:sz w:val="22"/>
          <w:szCs w:val="22"/>
        </w:rPr>
        <w:fldChar w:fldCharType="begin"/>
      </w:r>
      <w:r w:rsidR="00E8796A" w:rsidRPr="003F7A44">
        <w:rPr>
          <w:sz w:val="22"/>
          <w:szCs w:val="22"/>
        </w:rPr>
        <w:instrText xml:space="preserve"> DATE  \@ "dd.MM.yyyy HH:mm"  \* MERGEFORMAT </w:instrText>
      </w:r>
      <w:r w:rsidRPr="003F7A44">
        <w:rPr>
          <w:sz w:val="22"/>
          <w:szCs w:val="22"/>
        </w:rPr>
        <w:fldChar w:fldCharType="separate"/>
      </w:r>
      <w:r w:rsidR="00A76CB9">
        <w:rPr>
          <w:noProof/>
          <w:sz w:val="22"/>
          <w:szCs w:val="22"/>
        </w:rPr>
        <w:t>26.08.2011 08:56</w:t>
      </w:r>
      <w:r w:rsidRPr="003F7A44">
        <w:rPr>
          <w:sz w:val="22"/>
          <w:szCs w:val="22"/>
        </w:rPr>
        <w:fldChar w:fldCharType="end"/>
      </w:r>
    </w:p>
    <w:p w:rsidR="007C1A95" w:rsidRPr="003F7A44" w:rsidRDefault="00B201EB" w:rsidP="003F7A44">
      <w:pPr>
        <w:tabs>
          <w:tab w:val="left" w:pos="925"/>
        </w:tabs>
        <w:rPr>
          <w:sz w:val="22"/>
          <w:szCs w:val="22"/>
        </w:rPr>
      </w:pPr>
      <w:fldSimple w:instr=" NUMWORDS   \* MERGEFORMAT ">
        <w:r w:rsidR="00A76CB9">
          <w:rPr>
            <w:noProof/>
          </w:rPr>
          <w:t>856</w:t>
        </w:r>
      </w:fldSimple>
      <w:r w:rsidR="003F7A44">
        <w:rPr>
          <w:sz w:val="22"/>
          <w:szCs w:val="22"/>
        </w:rPr>
        <w:tab/>
      </w:r>
    </w:p>
    <w:p w:rsidR="001D1B66" w:rsidRPr="003F7A44" w:rsidRDefault="002F2B39" w:rsidP="007C1A95">
      <w:pPr>
        <w:tabs>
          <w:tab w:val="left" w:pos="5972"/>
        </w:tabs>
        <w:rPr>
          <w:sz w:val="22"/>
          <w:szCs w:val="22"/>
        </w:rPr>
      </w:pPr>
      <w:proofErr w:type="spellStart"/>
      <w:r w:rsidRPr="003F7A44">
        <w:rPr>
          <w:sz w:val="22"/>
          <w:szCs w:val="22"/>
        </w:rPr>
        <w:t>E.Luca-Ratfeldere</w:t>
      </w:r>
      <w:proofErr w:type="spellEnd"/>
    </w:p>
    <w:p w:rsidR="001D1B66" w:rsidRPr="003F7A44" w:rsidRDefault="001D1B66" w:rsidP="001D1B66">
      <w:pPr>
        <w:rPr>
          <w:sz w:val="22"/>
          <w:szCs w:val="22"/>
        </w:rPr>
      </w:pPr>
      <w:r w:rsidRPr="003F7A44">
        <w:rPr>
          <w:sz w:val="22"/>
          <w:szCs w:val="22"/>
        </w:rPr>
        <w:t>67013</w:t>
      </w:r>
      <w:r w:rsidR="002F2B39" w:rsidRPr="003F7A44">
        <w:rPr>
          <w:sz w:val="22"/>
          <w:szCs w:val="22"/>
        </w:rPr>
        <w:t>113</w:t>
      </w:r>
      <w:r w:rsidRPr="003F7A44">
        <w:rPr>
          <w:sz w:val="22"/>
          <w:szCs w:val="22"/>
        </w:rPr>
        <w:t xml:space="preserve">, </w:t>
      </w:r>
      <w:r w:rsidR="007C1A95" w:rsidRPr="003F7A44">
        <w:rPr>
          <w:sz w:val="22"/>
          <w:szCs w:val="22"/>
        </w:rPr>
        <w:t>elina.lu</w:t>
      </w:r>
      <w:r w:rsidR="002F2B39" w:rsidRPr="003F7A44">
        <w:rPr>
          <w:sz w:val="22"/>
          <w:szCs w:val="22"/>
        </w:rPr>
        <w:t>ca-ratfeldere@em.gov.lv</w:t>
      </w:r>
    </w:p>
    <w:p w:rsidR="00435C4E" w:rsidRPr="003F7A44" w:rsidRDefault="00435C4E" w:rsidP="00D751B0">
      <w:pPr>
        <w:rPr>
          <w:sz w:val="26"/>
          <w:szCs w:val="26"/>
        </w:rPr>
      </w:pPr>
    </w:p>
    <w:sectPr w:rsidR="00435C4E" w:rsidRPr="003F7A44" w:rsidSect="000C624C">
      <w:headerReference w:type="default" r:id="rId6"/>
      <w:foot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8B" w:rsidRDefault="00EF748B">
      <w:r>
        <w:separator/>
      </w:r>
    </w:p>
  </w:endnote>
  <w:endnote w:type="continuationSeparator" w:id="0">
    <w:p w:rsidR="00EF748B" w:rsidRDefault="00EF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2B" w:rsidRPr="00DD0D72" w:rsidRDefault="00964F2B" w:rsidP="00DD0D72">
    <w:pPr>
      <w:pStyle w:val="naisnod"/>
      <w:spacing w:before="0" w:beforeAutospacing="0" w:after="0" w:afterAutospacing="0"/>
      <w:jc w:val="both"/>
      <w:rPr>
        <w:bCs/>
        <w:sz w:val="20"/>
        <w:szCs w:val="20"/>
      </w:rPr>
    </w:pPr>
    <w:r>
      <w:rPr>
        <w:sz w:val="20"/>
        <w:szCs w:val="20"/>
      </w:rPr>
      <w:t>EMAnot_</w:t>
    </w:r>
    <w:r w:rsidR="00A76CB9">
      <w:rPr>
        <w:sz w:val="20"/>
        <w:szCs w:val="20"/>
      </w:rPr>
      <w:t>26</w:t>
    </w:r>
    <w:r w:rsidR="00F92D34">
      <w:rPr>
        <w:sz w:val="20"/>
        <w:szCs w:val="20"/>
      </w:rPr>
      <w:t>08</w:t>
    </w:r>
    <w:r>
      <w:rPr>
        <w:sz w:val="20"/>
        <w:szCs w:val="20"/>
      </w:rPr>
      <w:t>11_spr</w:t>
    </w:r>
    <w:r w:rsidRPr="00DD0D72">
      <w:rPr>
        <w:sz w:val="20"/>
        <w:szCs w:val="20"/>
      </w:rPr>
      <w:t xml:space="preserve">_pras; </w:t>
    </w:r>
    <w:r w:rsidRPr="00DD0D72">
      <w:rPr>
        <w:bCs/>
        <w:sz w:val="20"/>
        <w:szCs w:val="20"/>
      </w:rPr>
      <w:t>Ministru kabineta noteikumu projekta „</w:t>
    </w:r>
    <w:r w:rsidRPr="00DD0D72">
      <w:rPr>
        <w:sz w:val="20"/>
        <w:szCs w:val="20"/>
      </w:rPr>
      <w:t>Noteikumi par publisko elektroapgādes tīklu sprieguma prasībām”</w:t>
    </w:r>
    <w:r w:rsidRPr="00DD0D72">
      <w:rPr>
        <w:bCs/>
        <w:sz w:val="20"/>
        <w:szCs w:val="20"/>
      </w:rPr>
      <w:t xml:space="preserve"> (anotācija)</w:t>
    </w:r>
  </w:p>
  <w:p w:rsidR="00964F2B" w:rsidRPr="00607FC1" w:rsidRDefault="00964F2B">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8B" w:rsidRDefault="00EF748B">
      <w:r>
        <w:separator/>
      </w:r>
    </w:p>
  </w:footnote>
  <w:footnote w:type="continuationSeparator" w:id="0">
    <w:p w:rsidR="00EF748B" w:rsidRDefault="00EF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391"/>
      <w:docPartObj>
        <w:docPartGallery w:val="Page Numbers (Top of Page)"/>
        <w:docPartUnique/>
      </w:docPartObj>
    </w:sdtPr>
    <w:sdtContent>
      <w:p w:rsidR="00964F2B" w:rsidRDefault="00BA02DB">
        <w:pPr>
          <w:pStyle w:val="Header"/>
          <w:jc w:val="center"/>
        </w:pPr>
        <w:fldSimple w:instr=" PAGE   \* MERGEFORMAT ">
          <w:r w:rsidR="00A76CB9">
            <w:rPr>
              <w:noProof/>
            </w:rPr>
            <w:t>4</w:t>
          </w:r>
        </w:fldSimple>
      </w:p>
    </w:sdtContent>
  </w:sdt>
  <w:p w:rsidR="00964F2B" w:rsidRDefault="00964F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9380C"/>
    <w:rsid w:val="00005F79"/>
    <w:rsid w:val="00015274"/>
    <w:rsid w:val="00023BE0"/>
    <w:rsid w:val="00065F75"/>
    <w:rsid w:val="000751CC"/>
    <w:rsid w:val="0008083E"/>
    <w:rsid w:val="00083D0E"/>
    <w:rsid w:val="00085923"/>
    <w:rsid w:val="00090B04"/>
    <w:rsid w:val="00091A47"/>
    <w:rsid w:val="00092EC2"/>
    <w:rsid w:val="000A20CA"/>
    <w:rsid w:val="000A4398"/>
    <w:rsid w:val="000B2F14"/>
    <w:rsid w:val="000C1A1C"/>
    <w:rsid w:val="000C2D9A"/>
    <w:rsid w:val="000C3A7F"/>
    <w:rsid w:val="000C4065"/>
    <w:rsid w:val="000C4F32"/>
    <w:rsid w:val="000C5C51"/>
    <w:rsid w:val="000C624C"/>
    <w:rsid w:val="000D7D82"/>
    <w:rsid w:val="000F0035"/>
    <w:rsid w:val="0010592B"/>
    <w:rsid w:val="00115B9B"/>
    <w:rsid w:val="00117CA8"/>
    <w:rsid w:val="001202B6"/>
    <w:rsid w:val="0012248A"/>
    <w:rsid w:val="00131719"/>
    <w:rsid w:val="00144309"/>
    <w:rsid w:val="00146184"/>
    <w:rsid w:val="00147B5F"/>
    <w:rsid w:val="0015761D"/>
    <w:rsid w:val="00171B35"/>
    <w:rsid w:val="00181BC2"/>
    <w:rsid w:val="00183897"/>
    <w:rsid w:val="00197BE3"/>
    <w:rsid w:val="001A6C2B"/>
    <w:rsid w:val="001A72AA"/>
    <w:rsid w:val="001B4DC7"/>
    <w:rsid w:val="001C0CBF"/>
    <w:rsid w:val="001D1B66"/>
    <w:rsid w:val="001F1BCD"/>
    <w:rsid w:val="001F72E1"/>
    <w:rsid w:val="00212C50"/>
    <w:rsid w:val="00213A4F"/>
    <w:rsid w:val="00230712"/>
    <w:rsid w:val="0028250F"/>
    <w:rsid w:val="002830FC"/>
    <w:rsid w:val="00292262"/>
    <w:rsid w:val="002B708A"/>
    <w:rsid w:val="002D7C67"/>
    <w:rsid w:val="002E584A"/>
    <w:rsid w:val="002F2B39"/>
    <w:rsid w:val="002F559A"/>
    <w:rsid w:val="0030164A"/>
    <w:rsid w:val="00307109"/>
    <w:rsid w:val="003162F5"/>
    <w:rsid w:val="00322ACC"/>
    <w:rsid w:val="00325030"/>
    <w:rsid w:val="003255EE"/>
    <w:rsid w:val="00332B3F"/>
    <w:rsid w:val="00355EED"/>
    <w:rsid w:val="00360EEC"/>
    <w:rsid w:val="00377D1F"/>
    <w:rsid w:val="003861BD"/>
    <w:rsid w:val="003938D5"/>
    <w:rsid w:val="003A2002"/>
    <w:rsid w:val="003A221E"/>
    <w:rsid w:val="003A6D77"/>
    <w:rsid w:val="003B65AE"/>
    <w:rsid w:val="003D2F6E"/>
    <w:rsid w:val="003E2004"/>
    <w:rsid w:val="003E6E20"/>
    <w:rsid w:val="003E705A"/>
    <w:rsid w:val="003F2BB9"/>
    <w:rsid w:val="003F7923"/>
    <w:rsid w:val="003F7A44"/>
    <w:rsid w:val="0043460D"/>
    <w:rsid w:val="00435C4E"/>
    <w:rsid w:val="004410C9"/>
    <w:rsid w:val="00443D93"/>
    <w:rsid w:val="00444F36"/>
    <w:rsid w:val="00452728"/>
    <w:rsid w:val="00457B66"/>
    <w:rsid w:val="004616D4"/>
    <w:rsid w:val="00470C42"/>
    <w:rsid w:val="004A7C3C"/>
    <w:rsid w:val="004B34C5"/>
    <w:rsid w:val="004C27A3"/>
    <w:rsid w:val="004D67E9"/>
    <w:rsid w:val="004F0038"/>
    <w:rsid w:val="00510E71"/>
    <w:rsid w:val="00515281"/>
    <w:rsid w:val="00516161"/>
    <w:rsid w:val="00525153"/>
    <w:rsid w:val="005502A9"/>
    <w:rsid w:val="00581469"/>
    <w:rsid w:val="0058287A"/>
    <w:rsid w:val="005905EA"/>
    <w:rsid w:val="00596B00"/>
    <w:rsid w:val="005C7EC2"/>
    <w:rsid w:val="005D52E5"/>
    <w:rsid w:val="005D60E4"/>
    <w:rsid w:val="005F499B"/>
    <w:rsid w:val="00606F0F"/>
    <w:rsid w:val="00607FC1"/>
    <w:rsid w:val="0061285C"/>
    <w:rsid w:val="006153C6"/>
    <w:rsid w:val="006177A6"/>
    <w:rsid w:val="006279E3"/>
    <w:rsid w:val="0063700E"/>
    <w:rsid w:val="00662E99"/>
    <w:rsid w:val="00664D89"/>
    <w:rsid w:val="00667AC4"/>
    <w:rsid w:val="00683362"/>
    <w:rsid w:val="00684126"/>
    <w:rsid w:val="00684C53"/>
    <w:rsid w:val="00686A2B"/>
    <w:rsid w:val="0069091D"/>
    <w:rsid w:val="00693AC9"/>
    <w:rsid w:val="006974F4"/>
    <w:rsid w:val="006A06DE"/>
    <w:rsid w:val="006B5BA5"/>
    <w:rsid w:val="006B6539"/>
    <w:rsid w:val="006B6F27"/>
    <w:rsid w:val="006B7369"/>
    <w:rsid w:val="006C1054"/>
    <w:rsid w:val="006C390F"/>
    <w:rsid w:val="006C6203"/>
    <w:rsid w:val="006E4BB6"/>
    <w:rsid w:val="006E5148"/>
    <w:rsid w:val="006E56FB"/>
    <w:rsid w:val="006F320B"/>
    <w:rsid w:val="006F431E"/>
    <w:rsid w:val="00710F3A"/>
    <w:rsid w:val="007135F5"/>
    <w:rsid w:val="00720EFD"/>
    <w:rsid w:val="007213EE"/>
    <w:rsid w:val="00727BFD"/>
    <w:rsid w:val="00731681"/>
    <w:rsid w:val="0075194A"/>
    <w:rsid w:val="00752EA8"/>
    <w:rsid w:val="00764D5D"/>
    <w:rsid w:val="00764F33"/>
    <w:rsid w:val="00774214"/>
    <w:rsid w:val="0079770B"/>
    <w:rsid w:val="007A2129"/>
    <w:rsid w:val="007A4CFE"/>
    <w:rsid w:val="007A7613"/>
    <w:rsid w:val="007C1A95"/>
    <w:rsid w:val="007D30CE"/>
    <w:rsid w:val="007E19D1"/>
    <w:rsid w:val="007F11D4"/>
    <w:rsid w:val="00814312"/>
    <w:rsid w:val="008323C5"/>
    <w:rsid w:val="00840817"/>
    <w:rsid w:val="00871475"/>
    <w:rsid w:val="0089380C"/>
    <w:rsid w:val="008A2240"/>
    <w:rsid w:val="008A3446"/>
    <w:rsid w:val="008B02DF"/>
    <w:rsid w:val="008B4920"/>
    <w:rsid w:val="008C222E"/>
    <w:rsid w:val="008D6852"/>
    <w:rsid w:val="008F7768"/>
    <w:rsid w:val="009007CE"/>
    <w:rsid w:val="00911250"/>
    <w:rsid w:val="00922D54"/>
    <w:rsid w:val="00925158"/>
    <w:rsid w:val="009352A5"/>
    <w:rsid w:val="009421E2"/>
    <w:rsid w:val="00944E33"/>
    <w:rsid w:val="00946975"/>
    <w:rsid w:val="0095727B"/>
    <w:rsid w:val="009622AF"/>
    <w:rsid w:val="00964F2B"/>
    <w:rsid w:val="00983F42"/>
    <w:rsid w:val="009B0D25"/>
    <w:rsid w:val="009B704F"/>
    <w:rsid w:val="009C4178"/>
    <w:rsid w:val="009C5B27"/>
    <w:rsid w:val="009F33F8"/>
    <w:rsid w:val="00A45F8E"/>
    <w:rsid w:val="00A55377"/>
    <w:rsid w:val="00A7178D"/>
    <w:rsid w:val="00A75B93"/>
    <w:rsid w:val="00A76CB9"/>
    <w:rsid w:val="00AA1613"/>
    <w:rsid w:val="00AA2F10"/>
    <w:rsid w:val="00AA51C0"/>
    <w:rsid w:val="00AD12E3"/>
    <w:rsid w:val="00AD2C65"/>
    <w:rsid w:val="00AE2232"/>
    <w:rsid w:val="00AE57CA"/>
    <w:rsid w:val="00B15BB5"/>
    <w:rsid w:val="00B201EB"/>
    <w:rsid w:val="00B21B97"/>
    <w:rsid w:val="00B2493A"/>
    <w:rsid w:val="00B27AAD"/>
    <w:rsid w:val="00B31BC4"/>
    <w:rsid w:val="00B3519B"/>
    <w:rsid w:val="00B47539"/>
    <w:rsid w:val="00B56B89"/>
    <w:rsid w:val="00B71D07"/>
    <w:rsid w:val="00B8600D"/>
    <w:rsid w:val="00B90C13"/>
    <w:rsid w:val="00B91CA0"/>
    <w:rsid w:val="00BA02DB"/>
    <w:rsid w:val="00BB420A"/>
    <w:rsid w:val="00BD4304"/>
    <w:rsid w:val="00BE3331"/>
    <w:rsid w:val="00BF2E38"/>
    <w:rsid w:val="00C23DA2"/>
    <w:rsid w:val="00C27CE7"/>
    <w:rsid w:val="00C52054"/>
    <w:rsid w:val="00C56A93"/>
    <w:rsid w:val="00C60E5F"/>
    <w:rsid w:val="00C63108"/>
    <w:rsid w:val="00C641A5"/>
    <w:rsid w:val="00C64933"/>
    <w:rsid w:val="00CA4C33"/>
    <w:rsid w:val="00CA6B76"/>
    <w:rsid w:val="00CB4654"/>
    <w:rsid w:val="00CE37B4"/>
    <w:rsid w:val="00D04B59"/>
    <w:rsid w:val="00D34BD0"/>
    <w:rsid w:val="00D35394"/>
    <w:rsid w:val="00D411D3"/>
    <w:rsid w:val="00D721DB"/>
    <w:rsid w:val="00D751B0"/>
    <w:rsid w:val="00D85761"/>
    <w:rsid w:val="00DB08E1"/>
    <w:rsid w:val="00DB116C"/>
    <w:rsid w:val="00DC3DE9"/>
    <w:rsid w:val="00DC7B61"/>
    <w:rsid w:val="00DD0D72"/>
    <w:rsid w:val="00DD2CDB"/>
    <w:rsid w:val="00DD528A"/>
    <w:rsid w:val="00E1175E"/>
    <w:rsid w:val="00E40368"/>
    <w:rsid w:val="00E6657E"/>
    <w:rsid w:val="00E8796A"/>
    <w:rsid w:val="00EC4F25"/>
    <w:rsid w:val="00ED0E45"/>
    <w:rsid w:val="00ED708F"/>
    <w:rsid w:val="00ED760E"/>
    <w:rsid w:val="00EE1FDB"/>
    <w:rsid w:val="00EE2530"/>
    <w:rsid w:val="00EE300A"/>
    <w:rsid w:val="00EF748B"/>
    <w:rsid w:val="00F01C6E"/>
    <w:rsid w:val="00F17D87"/>
    <w:rsid w:val="00F20DA3"/>
    <w:rsid w:val="00F25D11"/>
    <w:rsid w:val="00F25D4D"/>
    <w:rsid w:val="00F3698F"/>
    <w:rsid w:val="00F40385"/>
    <w:rsid w:val="00F421D7"/>
    <w:rsid w:val="00F54A75"/>
    <w:rsid w:val="00F813D1"/>
    <w:rsid w:val="00F87FA1"/>
    <w:rsid w:val="00F92D34"/>
    <w:rsid w:val="00FA0B85"/>
    <w:rsid w:val="00FA545E"/>
    <w:rsid w:val="00FB4700"/>
    <w:rsid w:val="00FC642A"/>
    <w:rsid w:val="00FD02B2"/>
    <w:rsid w:val="00FF0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semiHidden/>
    <w:rsid w:val="006A06DE"/>
    <w:rPr>
      <w:sz w:val="16"/>
      <w:szCs w:val="16"/>
    </w:rPr>
  </w:style>
  <w:style w:type="paragraph" w:styleId="CommentText">
    <w:name w:val="annotation text"/>
    <w:basedOn w:val="Normal"/>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character" w:styleId="Emphasis">
    <w:name w:val="Emphasis"/>
    <w:basedOn w:val="DefaultParagraphFont"/>
    <w:uiPriority w:val="20"/>
    <w:qFormat/>
    <w:rsid w:val="006279E3"/>
    <w:rPr>
      <w:i/>
      <w:iCs/>
    </w:rPr>
  </w:style>
</w:styles>
</file>

<file path=word/webSettings.xml><?xml version="1.0" encoding="utf-8"?>
<w:webSettings xmlns:r="http://schemas.openxmlformats.org/officeDocument/2006/relationships" xmlns:w="http://schemas.openxmlformats.org/wordprocessingml/2006/main">
  <w:divs>
    <w:div w:id="262688569">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856</Words>
  <Characters>6476</Characters>
  <Application>Microsoft Office Word</Application>
  <DocSecurity>0</DocSecurity>
  <Lines>223</Lines>
  <Paragraphs>96</Paragraphs>
  <ScaleCrop>false</ScaleCrop>
  <HeadingPairs>
    <vt:vector size="2" baseType="variant">
      <vt:variant>
        <vt:lpstr>Title</vt:lpstr>
      </vt:variant>
      <vt:variant>
        <vt:i4>1</vt:i4>
      </vt:variant>
    </vt:vector>
  </HeadingPairs>
  <TitlesOfParts>
    <vt:vector size="1" baseType="lpstr">
      <vt:lpstr>Grozījumi Ministru kabineta 2010.gada 13.aprīļa noteikumos Nr.378 „Noteikumi par kapitālsabiedrību saraktu”</vt:lpstr>
    </vt:vector>
  </TitlesOfParts>
  <Company>Ārlietu ministrija</Company>
  <LinksUpToDate>false</LinksUpToDate>
  <CharactersWithSpaces>7236</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13.aprīļa noteikumos Nr.378 „Noteikumi par kapitālsabiedrību saraktu”</dc:title>
  <dc:subject>Sākotnējās ietekmes novērtējuma ziņotājs (anotācija)</dc:subject>
  <dc:creator>Jānis Bunkovskis</dc:creator>
  <cp:keywords/>
  <dc:description>janis.bunkovskis@em.gov.lv
67013170</dc:description>
  <cp:lastModifiedBy>Elīna Luca-Rātfeldere</cp:lastModifiedBy>
  <cp:revision>5</cp:revision>
  <cp:lastPrinted>2011-08-25T07:59:00Z</cp:lastPrinted>
  <dcterms:created xsi:type="dcterms:W3CDTF">2011-08-25T08:01:00Z</dcterms:created>
  <dcterms:modified xsi:type="dcterms:W3CDTF">2011-08-26T05:56:00Z</dcterms:modified>
</cp:coreProperties>
</file>