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38C" w:rsidRPr="00803034" w:rsidRDefault="00D07CDB" w:rsidP="00CE5A53">
      <w:pPr>
        <w:jc w:val="center"/>
        <w:outlineLvl w:val="0"/>
        <w:rPr>
          <w:rFonts w:eastAsia="Times New Roman"/>
          <w:b/>
          <w:sz w:val="24"/>
          <w:szCs w:val="24"/>
          <w:lang w:val="lv-LV" w:eastAsia="lv-LV"/>
        </w:rPr>
      </w:pPr>
      <w:bookmarkStart w:id="0" w:name="OLE_LINK6"/>
      <w:bookmarkStart w:id="1" w:name="OLE_LINK7"/>
      <w:bookmarkStart w:id="2" w:name="OLE_LINK5"/>
      <w:bookmarkStart w:id="3" w:name="OLE_LINK8"/>
      <w:bookmarkStart w:id="4" w:name="OLE_LINK10"/>
      <w:bookmarkStart w:id="5" w:name="OLE_LINK3"/>
      <w:bookmarkStart w:id="6" w:name="OLE_LINK1"/>
      <w:bookmarkStart w:id="7" w:name="OLE_LINK2"/>
      <w:r w:rsidRPr="00803034">
        <w:rPr>
          <w:rFonts w:eastAsia="Times New Roman"/>
          <w:b/>
          <w:sz w:val="24"/>
          <w:szCs w:val="24"/>
          <w:lang w:val="lv-LV" w:eastAsia="lv-LV"/>
        </w:rPr>
        <w:t>Ministru kabineta noteikumu projekta</w:t>
      </w:r>
      <w:bookmarkStart w:id="8" w:name="OLE_LINK4"/>
      <w:r w:rsidR="00DB3BCB" w:rsidRPr="00803034">
        <w:rPr>
          <w:rFonts w:eastAsia="Times New Roman"/>
          <w:b/>
          <w:sz w:val="24"/>
          <w:szCs w:val="24"/>
          <w:lang w:val="lv-LV" w:eastAsia="lv-LV"/>
        </w:rPr>
        <w:t xml:space="preserve"> </w:t>
      </w:r>
      <w:r w:rsidRPr="00803034">
        <w:rPr>
          <w:rFonts w:eastAsia="Times New Roman"/>
          <w:b/>
          <w:sz w:val="24"/>
          <w:szCs w:val="24"/>
          <w:lang w:val="lv-LV" w:eastAsia="lv-LV"/>
        </w:rPr>
        <w:t>„</w:t>
      </w:r>
      <w:r w:rsidR="002B0ECA" w:rsidRPr="00803034">
        <w:rPr>
          <w:b/>
          <w:sz w:val="24"/>
          <w:szCs w:val="24"/>
          <w:lang w:val="lv-LV"/>
        </w:rPr>
        <w:t>Grozījumi Ministru kabineta 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w:t>
      </w:r>
      <w:r w:rsidR="007E5D4D" w:rsidRPr="00803034">
        <w:rPr>
          <w:rFonts w:eastAsia="Times New Roman"/>
          <w:b/>
          <w:sz w:val="24"/>
          <w:szCs w:val="24"/>
          <w:lang w:val="lv-LV" w:eastAsia="lv-LV"/>
        </w:rPr>
        <w:t>” sākotnējās ietekmes novērtējuma ziņojums (anotācija)</w:t>
      </w:r>
      <w:bookmarkEnd w:id="0"/>
      <w:bookmarkEnd w:id="1"/>
      <w:bookmarkEnd w:id="8"/>
    </w:p>
    <w:bookmarkEnd w:id="2"/>
    <w:bookmarkEnd w:id="3"/>
    <w:bookmarkEnd w:id="4"/>
    <w:p w:rsidR="004B638C" w:rsidRPr="00803034" w:rsidRDefault="004B638C" w:rsidP="00CE5A53">
      <w:pPr>
        <w:jc w:val="center"/>
        <w:rPr>
          <w:rFonts w:eastAsia="Times New Roman"/>
          <w:b/>
          <w:sz w:val="24"/>
          <w:szCs w:val="24"/>
          <w:lang w:val="lv-LV" w:eastAsia="lv-LV"/>
        </w:rPr>
      </w:pPr>
    </w:p>
    <w:p w:rsidR="00585D8F" w:rsidRPr="00803034" w:rsidRDefault="00585D8F" w:rsidP="00CE5A53">
      <w:pPr>
        <w:jc w:val="center"/>
        <w:rPr>
          <w:rFonts w:eastAsia="Times New Roman"/>
          <w:b/>
          <w:sz w:val="24"/>
          <w:szCs w:val="24"/>
          <w:lang w:val="lv-LV" w:eastAsia="lv-LV"/>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3134"/>
        <w:gridCol w:w="5953"/>
      </w:tblGrid>
      <w:tr w:rsidR="00BB09C5" w:rsidRPr="00803034" w:rsidTr="001F53EB">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bookmarkEnd w:id="5"/>
          <w:bookmarkEnd w:id="6"/>
          <w:bookmarkEnd w:id="7"/>
          <w:p w:rsidR="00BB09C5" w:rsidRPr="00803034" w:rsidRDefault="00E73425" w:rsidP="00CE5A53">
            <w:pPr>
              <w:jc w:val="center"/>
              <w:rPr>
                <w:rFonts w:eastAsia="Times New Roman"/>
                <w:b/>
                <w:sz w:val="24"/>
                <w:szCs w:val="24"/>
                <w:lang w:val="lv-LV" w:eastAsia="lv-LV"/>
              </w:rPr>
            </w:pPr>
            <w:r w:rsidRPr="00803034">
              <w:rPr>
                <w:rFonts w:eastAsia="Times New Roman"/>
                <w:b/>
                <w:sz w:val="24"/>
                <w:szCs w:val="24"/>
                <w:lang w:val="lv-LV" w:eastAsia="lv-LV"/>
              </w:rPr>
              <w:t xml:space="preserve">I.Tiesību akta projekta izstrādes </w:t>
            </w:r>
            <w:r w:rsidR="007E5D4D" w:rsidRPr="00803034">
              <w:rPr>
                <w:rFonts w:eastAsia="Times New Roman"/>
                <w:b/>
                <w:sz w:val="24"/>
                <w:szCs w:val="24"/>
                <w:lang w:val="lv-LV" w:eastAsia="lv-LV"/>
              </w:rPr>
              <w:t>nepieciešamība</w:t>
            </w:r>
          </w:p>
        </w:tc>
      </w:tr>
      <w:tr w:rsidR="00BB09C5" w:rsidRPr="00803034" w:rsidTr="001F53EB">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803034" w:rsidRDefault="00BB09C5" w:rsidP="00CE5A53">
            <w:pPr>
              <w:rPr>
                <w:rFonts w:eastAsia="Times New Roman"/>
                <w:sz w:val="24"/>
                <w:szCs w:val="24"/>
                <w:lang w:val="lv-LV" w:eastAsia="lv-LV"/>
              </w:rPr>
            </w:pPr>
            <w:r w:rsidRPr="00803034">
              <w:rPr>
                <w:rFonts w:eastAsia="Times New Roman"/>
                <w:sz w:val="24"/>
                <w:szCs w:val="24"/>
                <w:lang w:val="lv-LV" w:eastAsia="lv-LV"/>
              </w:rPr>
              <w:t>1</w:t>
            </w:r>
            <w:r w:rsidR="00F15932" w:rsidRPr="00803034">
              <w:rPr>
                <w:rFonts w:eastAsia="Times New Roman"/>
                <w:sz w:val="24"/>
                <w:szCs w:val="24"/>
                <w:lang w:val="lv-LV" w:eastAsia="lv-LV"/>
              </w:rPr>
              <w:t>. Pamatojums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740174" w:rsidRPr="00803034" w:rsidRDefault="00554313" w:rsidP="00AC5BA9">
            <w:pPr>
              <w:ind w:firstLine="567"/>
              <w:jc w:val="both"/>
              <w:rPr>
                <w:sz w:val="24"/>
                <w:szCs w:val="24"/>
                <w:lang w:val="lv-LV"/>
              </w:rPr>
            </w:pPr>
            <w:r w:rsidRPr="00803034">
              <w:rPr>
                <w:sz w:val="24"/>
                <w:szCs w:val="24"/>
                <w:lang w:val="lv-LV"/>
              </w:rPr>
              <w:t xml:space="preserve">Noteikumu projekts sagatavots, pamatojoties uz Eiropas Savienības struktūrfondu un </w:t>
            </w:r>
            <w:r w:rsidRPr="00803034">
              <w:rPr>
                <w:sz w:val="24"/>
                <w:szCs w:val="24"/>
                <w:lang w:val="lv-LV"/>
              </w:rPr>
              <w:br/>
              <w:t xml:space="preserve">Kohēzijas fonda vadības likuma </w:t>
            </w:r>
            <w:r w:rsidRPr="00803034">
              <w:rPr>
                <w:sz w:val="24"/>
                <w:szCs w:val="24"/>
                <w:lang w:val="lv-LV"/>
              </w:rPr>
              <w:br/>
              <w:t>18.panta 10.punktu</w:t>
            </w:r>
            <w:r w:rsidR="006A40B7" w:rsidRPr="00803034">
              <w:rPr>
                <w:sz w:val="24"/>
                <w:szCs w:val="24"/>
                <w:lang w:val="lv-LV"/>
              </w:rPr>
              <w:t xml:space="preserve">, </w:t>
            </w:r>
            <w:r w:rsidR="00740174" w:rsidRPr="00803034">
              <w:rPr>
                <w:sz w:val="24"/>
                <w:szCs w:val="24"/>
                <w:lang w:val="lv-LV"/>
              </w:rPr>
              <w:t>Eiro ieviešanas kārtības likuma 30.panta pirmo daļu</w:t>
            </w:r>
            <w:r w:rsidR="00AC5BA9" w:rsidRPr="00803034">
              <w:rPr>
                <w:sz w:val="24"/>
                <w:szCs w:val="24"/>
                <w:lang w:val="lv-LV"/>
              </w:rPr>
              <w:t xml:space="preserve"> un </w:t>
            </w:r>
            <w:r w:rsidR="006A40B7" w:rsidRPr="00803034">
              <w:rPr>
                <w:sz w:val="24"/>
                <w:szCs w:val="24"/>
                <w:lang w:val="lv-LV"/>
              </w:rPr>
              <w:t>Ministru kabineta 2012.gada 27.jūnija rīkojuma Nr.282 „Par „Koncepciju par normatīvo aktu sakārtošanu saistībā ar eiro ieviešanu Latvijā” 1.1.2.apakšpunktu</w:t>
            </w:r>
            <w:r w:rsidR="00AC5BA9" w:rsidRPr="00803034">
              <w:rPr>
                <w:sz w:val="24"/>
                <w:szCs w:val="24"/>
                <w:lang w:val="lv-LV"/>
              </w:rPr>
              <w:t xml:space="preserve">. </w:t>
            </w:r>
          </w:p>
        </w:tc>
      </w:tr>
      <w:tr w:rsidR="00BB09C5" w:rsidRPr="00803034" w:rsidTr="001F53EB">
        <w:trPr>
          <w:trHeight w:val="360"/>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803034" w:rsidRDefault="00BB09C5" w:rsidP="00CE5A53">
            <w:pPr>
              <w:rPr>
                <w:rFonts w:eastAsia="Times New Roman"/>
                <w:sz w:val="24"/>
                <w:szCs w:val="24"/>
                <w:lang w:val="lv-LV" w:eastAsia="lv-LV"/>
              </w:rPr>
            </w:pPr>
            <w:r w:rsidRPr="00803034">
              <w:rPr>
                <w:rFonts w:eastAsia="Times New Roman"/>
                <w:sz w:val="24"/>
                <w:szCs w:val="24"/>
                <w:lang w:val="lv-LV" w:eastAsia="lv-LV"/>
              </w:rPr>
              <w:t>2</w:t>
            </w:r>
            <w:r w:rsidR="00F15932" w:rsidRPr="00803034">
              <w:rPr>
                <w:rFonts w:eastAsia="Times New Roman"/>
                <w:sz w:val="24"/>
                <w:szCs w:val="24"/>
                <w:lang w:val="lv-LV" w:eastAsia="lv-LV"/>
              </w:rPr>
              <w:t>. Pašreizējā situācija un problēma</w:t>
            </w:r>
            <w:r w:rsidR="007E5D4D" w:rsidRPr="00803034">
              <w:rPr>
                <w:rFonts w:eastAsia="Times New Roman"/>
                <w:sz w:val="24"/>
                <w:szCs w:val="24"/>
                <w:lang w:val="lv-LV" w:eastAsia="lv-LV"/>
              </w:rPr>
              <w:t>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194CFD" w:rsidRPr="00803034" w:rsidRDefault="00194CFD" w:rsidP="00194CFD">
            <w:pPr>
              <w:ind w:firstLine="567"/>
              <w:jc w:val="both"/>
              <w:rPr>
                <w:b/>
                <w:sz w:val="24"/>
                <w:szCs w:val="24"/>
                <w:lang w:val="lv-LV"/>
              </w:rPr>
            </w:pPr>
            <w:r w:rsidRPr="00803034">
              <w:rPr>
                <w:sz w:val="24"/>
                <w:szCs w:val="24"/>
                <w:lang w:val="lv-LV"/>
              </w:rPr>
              <w:t>Grozījumi 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 (turpmāk – MK noteikumi Nr.328) ir</w:t>
            </w:r>
            <w:r w:rsidRPr="00803034">
              <w:rPr>
                <w:b/>
                <w:sz w:val="24"/>
                <w:szCs w:val="24"/>
                <w:lang w:val="lv-LV"/>
              </w:rPr>
              <w:t xml:space="preserve"> nepieciešami, lai nodrošinātu efektīvu un pilnīgu finansējuma apguvi 1.3.1.1.1.apakšaktivitātes „Atbalsts nodarbināto apmācībām komersantu konkurētspējas veicināšanai – atbalsts partnerībās organizētām apmācībām” projektu iesniegumu atlases otrās kārtas (turpmāk – 1.3.1.1.1.aktivitātes) ietvaros. </w:t>
            </w:r>
          </w:p>
          <w:p w:rsidR="00D802D4" w:rsidRPr="00803034" w:rsidRDefault="00D802D4" w:rsidP="00194CFD">
            <w:pPr>
              <w:ind w:firstLine="567"/>
              <w:jc w:val="both"/>
              <w:rPr>
                <w:b/>
                <w:sz w:val="24"/>
                <w:szCs w:val="24"/>
                <w:lang w:val="lv-LV"/>
              </w:rPr>
            </w:pPr>
          </w:p>
          <w:p w:rsidR="00DC70A7" w:rsidRPr="00803034" w:rsidRDefault="00DC70A7" w:rsidP="00BD600A">
            <w:pPr>
              <w:jc w:val="both"/>
              <w:rPr>
                <w:b/>
                <w:i/>
                <w:sz w:val="24"/>
                <w:szCs w:val="24"/>
                <w:lang w:val="lv-LV"/>
              </w:rPr>
            </w:pPr>
            <w:r w:rsidRPr="00803034">
              <w:rPr>
                <w:b/>
                <w:i/>
                <w:sz w:val="24"/>
                <w:szCs w:val="24"/>
                <w:lang w:val="lv-LV"/>
              </w:rPr>
              <w:t xml:space="preserve">Finansējuma pārdales </w:t>
            </w:r>
          </w:p>
          <w:p w:rsidR="00E327E3" w:rsidRPr="00803034" w:rsidRDefault="00E327E3" w:rsidP="00194CFD">
            <w:pPr>
              <w:ind w:firstLine="567"/>
              <w:jc w:val="both"/>
              <w:rPr>
                <w:sz w:val="24"/>
                <w:szCs w:val="24"/>
                <w:lang w:val="lv-LV"/>
              </w:rPr>
            </w:pPr>
            <w:r w:rsidRPr="00803034">
              <w:rPr>
                <w:sz w:val="24"/>
                <w:szCs w:val="24"/>
                <w:lang w:val="lv-LV"/>
              </w:rPr>
              <w:t xml:space="preserve">Izpildot š.g. 12.septembra </w:t>
            </w:r>
            <w:r w:rsidR="00E739DD" w:rsidRPr="00803034">
              <w:rPr>
                <w:sz w:val="24"/>
                <w:szCs w:val="24"/>
                <w:lang w:val="lv-LV"/>
              </w:rPr>
              <w:t xml:space="preserve">Koalīcijas partneru darba grupas par Eiropas Savienības struktūrfondu un Kohēzijas fonda jautājumiem </w:t>
            </w:r>
            <w:r w:rsidRPr="00803034">
              <w:rPr>
                <w:sz w:val="24"/>
                <w:szCs w:val="24"/>
                <w:lang w:val="lv-LV"/>
              </w:rPr>
              <w:t xml:space="preserve">lēmumu, </w:t>
            </w:r>
            <w:r w:rsidR="00736188" w:rsidRPr="00803034">
              <w:rPr>
                <w:b/>
                <w:sz w:val="24"/>
                <w:szCs w:val="24"/>
                <w:lang w:val="lv-LV"/>
              </w:rPr>
              <w:t>1.3.1.1.1.aktivitātes virssaistību finansējums ir jāsamazina par 2 018 050</w:t>
            </w:r>
            <w:r w:rsidRPr="00803034">
              <w:rPr>
                <w:b/>
                <w:sz w:val="24"/>
                <w:szCs w:val="24"/>
                <w:lang w:val="lv-LV"/>
              </w:rPr>
              <w:t xml:space="preserve"> </w:t>
            </w:r>
            <w:r w:rsidR="00736188" w:rsidRPr="00803034">
              <w:rPr>
                <w:b/>
                <w:sz w:val="24"/>
                <w:szCs w:val="24"/>
                <w:lang w:val="lv-LV"/>
              </w:rPr>
              <w:t>latiem</w:t>
            </w:r>
            <w:r w:rsidR="00C22555" w:rsidRPr="00803034">
              <w:rPr>
                <w:b/>
                <w:sz w:val="24"/>
                <w:szCs w:val="24"/>
                <w:lang w:val="lv-LV"/>
              </w:rPr>
              <w:t>, novirzot to darbības programmas „Inovācijas un uzņēmējdarbība” papildinājuma 2.1.2.4.aktivitātei „Augstas pievienotās vērtības investīcijas”</w:t>
            </w:r>
            <w:r w:rsidR="00736188" w:rsidRPr="00803034">
              <w:rPr>
                <w:b/>
                <w:sz w:val="24"/>
                <w:szCs w:val="24"/>
                <w:lang w:val="lv-LV"/>
              </w:rPr>
              <w:t>.</w:t>
            </w:r>
            <w:r w:rsidR="00736188" w:rsidRPr="00803034">
              <w:rPr>
                <w:sz w:val="24"/>
                <w:szCs w:val="24"/>
                <w:lang w:val="lv-LV"/>
              </w:rPr>
              <w:t xml:space="preserve"> </w:t>
            </w:r>
            <w:r w:rsidR="007E13CE" w:rsidRPr="00803034">
              <w:rPr>
                <w:sz w:val="24"/>
                <w:szCs w:val="24"/>
                <w:lang w:val="lv-LV"/>
              </w:rPr>
              <w:t xml:space="preserve">Ņemot vērā finansējuma samazinājumu, proporcionāli tiek samazināti sasniedzamie rādītāji (par virssaistību finansējumu apmācībās iesaistāmo nodarbināto personu skaits). </w:t>
            </w:r>
          </w:p>
          <w:p w:rsidR="007E13CE" w:rsidRPr="00803034" w:rsidRDefault="007668E9" w:rsidP="007668E9">
            <w:pPr>
              <w:ind w:firstLine="567"/>
              <w:jc w:val="both"/>
              <w:rPr>
                <w:sz w:val="24"/>
                <w:szCs w:val="24"/>
                <w:lang w:val="lv-LV"/>
              </w:rPr>
            </w:pPr>
            <w:r w:rsidRPr="00803034">
              <w:rPr>
                <w:sz w:val="24"/>
                <w:szCs w:val="24"/>
                <w:lang w:val="lv-LV"/>
              </w:rPr>
              <w:t>1.3.1.1.1.aktivitātes 2.kārtā tiek īstenoti 16 projekti par kopējo Eiropas Sociālā fonda (turpmāk – ESF) finansējumu 17 657 415.38 lati. Šobrīd aktivitātē pieejamais ESF un valsts budžeta finansējums ir</w:t>
            </w:r>
            <w:r w:rsidR="00811A5B" w:rsidRPr="00803034">
              <w:rPr>
                <w:sz w:val="24"/>
                <w:szCs w:val="24"/>
                <w:lang w:val="lv-LV"/>
              </w:rPr>
              <w:t xml:space="preserve"> 19 519 060 lati.</w:t>
            </w:r>
            <w:r w:rsidRPr="00803034">
              <w:rPr>
                <w:sz w:val="24"/>
                <w:szCs w:val="24"/>
                <w:lang w:val="lv-LV"/>
              </w:rPr>
              <w:t xml:space="preserve"> Latvijas Investīciju un attīstības aģentūra ir apzinājusi potenciālo pieprasījumu no projektu īstenotājiem par iespējamu papildu </w:t>
            </w:r>
            <w:r w:rsidRPr="00803034">
              <w:rPr>
                <w:sz w:val="24"/>
                <w:szCs w:val="24"/>
                <w:lang w:val="lv-LV"/>
              </w:rPr>
              <w:lastRenderedPageBreak/>
              <w:t>finansējuma pieprasīšanu saskaņā ar MK noteikumos Nr.328 noteiktajām prasībām</w:t>
            </w:r>
            <w:r w:rsidR="00811A5B" w:rsidRPr="00803034">
              <w:rPr>
                <w:sz w:val="24"/>
                <w:szCs w:val="24"/>
                <w:lang w:val="lv-LV"/>
              </w:rPr>
              <w:t>, un ir paredzams, ka ar aktivitātē pieejamo brīvo ESF finansējumu un samazināto virssaistību finansējumu būs iespējams nodrošināt nodarbināto personu apmācību veikšanu līdz 2015.gada 2.ceturksnim</w:t>
            </w:r>
            <w:r w:rsidR="008E2F58" w:rsidRPr="00803034">
              <w:rPr>
                <w:sz w:val="24"/>
                <w:szCs w:val="24"/>
                <w:lang w:val="lv-LV"/>
              </w:rPr>
              <w:t xml:space="preserve"> (ieskaitot)</w:t>
            </w:r>
            <w:r w:rsidR="00380033" w:rsidRPr="00803034">
              <w:rPr>
                <w:sz w:val="24"/>
                <w:szCs w:val="24"/>
                <w:lang w:val="lv-LV"/>
              </w:rPr>
              <w:t>, vienlaikus ņemot vērā, ka noslēguma pārskatu un maksājuma pieprasījumu iesniedz sadarbības iestādē 15 darbdienu laikā pēc projekta īstenošanas pabeigšanas, bet ne vēlāk kā 2015.gada 1.jūlijā</w:t>
            </w:r>
            <w:r w:rsidRPr="00803034">
              <w:rPr>
                <w:b/>
                <w:sz w:val="24"/>
                <w:szCs w:val="24"/>
                <w:lang w:val="lv-LV"/>
              </w:rPr>
              <w:t>.</w:t>
            </w:r>
            <w:r w:rsidRPr="00803034">
              <w:rPr>
                <w:sz w:val="24"/>
                <w:szCs w:val="24"/>
                <w:lang w:val="lv-LV"/>
              </w:rPr>
              <w:t xml:space="preserve">  </w:t>
            </w:r>
          </w:p>
          <w:p w:rsidR="009570C6" w:rsidRPr="00803034" w:rsidRDefault="009570C6" w:rsidP="009570C6">
            <w:pPr>
              <w:ind w:firstLine="720"/>
              <w:jc w:val="both"/>
              <w:rPr>
                <w:rFonts w:eastAsia="Times New Roman"/>
                <w:bCs/>
                <w:sz w:val="24"/>
                <w:szCs w:val="24"/>
                <w:lang w:val="lv-LV"/>
              </w:rPr>
            </w:pPr>
            <w:r w:rsidRPr="00803034">
              <w:rPr>
                <w:rFonts w:eastAsia="Times New Roman"/>
                <w:bCs/>
                <w:sz w:val="24"/>
                <w:szCs w:val="24"/>
                <w:lang w:val="lv-LV"/>
              </w:rPr>
              <w:t xml:space="preserve">Eiropas Komisijas Nodarbinātības, sociālo lietu un iekļautības ģenerāldirektorāts (turpmāk – DG EMPL) veica auditu par Eiropas Sociālā fonda līdzfinansētās finanšu vadības instrumentu aktivitātes īstenošanu Latvijā un audita rezultātā </w:t>
            </w:r>
            <w:r w:rsidRPr="00803034">
              <w:rPr>
                <w:rFonts w:eastAsia="Times New Roman"/>
                <w:b/>
                <w:bCs/>
                <w:sz w:val="24"/>
                <w:szCs w:val="24"/>
                <w:lang w:val="lv-LV"/>
              </w:rPr>
              <w:t>tika aprēķināta finanšu korekcija 1.3.1.2.aktivitātes „Atbalsts pašnodarbinātības un uzņēmējdarbības uzsākšanai” ietvaros</w:t>
            </w:r>
            <w:r w:rsidRPr="00803034">
              <w:rPr>
                <w:rFonts w:eastAsia="Times New Roman"/>
                <w:bCs/>
                <w:sz w:val="24"/>
                <w:szCs w:val="24"/>
                <w:lang w:val="lv-LV"/>
              </w:rPr>
              <w:t xml:space="preserve"> (turpmāk – 1.3.1.2.aktivitāte). Ministru kabineta 2013.gada 5.marta sēdē (protokols Nr.13, 38§)  tika pieņemts lēmums piekrist DG EMPL noteiktajam finanšu korekcijas apmēram (http://www.mk.gov.lv/lv/mk/tap/?pid=40278062&amp;mode=mk&amp;date=2013-03-05).</w:t>
            </w:r>
          </w:p>
          <w:p w:rsidR="009570C6" w:rsidRPr="00803034" w:rsidRDefault="009570C6" w:rsidP="009570C6">
            <w:pPr>
              <w:ind w:firstLine="720"/>
              <w:jc w:val="both"/>
              <w:rPr>
                <w:rFonts w:eastAsia="Times New Roman"/>
                <w:sz w:val="24"/>
                <w:szCs w:val="24"/>
                <w:lang w:val="lv-LV"/>
              </w:rPr>
            </w:pPr>
            <w:r w:rsidRPr="00803034">
              <w:rPr>
                <w:rFonts w:eastAsia="Times New Roman"/>
                <w:bCs/>
                <w:sz w:val="24"/>
                <w:szCs w:val="24"/>
                <w:lang w:val="lv-LV"/>
              </w:rPr>
              <w:t xml:space="preserve">Saskaņā ar Ministru kabineta 2013.gada 5.marta protokollēmuma 38.§ 9.punktu un Ministru kabineta 2013.gada 28.maija protokollēmuma 47.§ 9.punktu, Ekonomikas ministrija (turpmāk – EM) 2013.gada 27.jūnijā iesniedza Valsts Kancelejā Ministru kabineta noteikumu Nr.293 „Noteikumi par darbības programmas „Cilvēkresursi un nodarbinātība” papildinājuma 1.3.1.2.aktivitāti „Atbalsts pašnodarbinātības un uzņēmējdarbības uzsākšanai”” (turpmāk – MK noteikumi Nr.293) grozījumu projektu un 2013.gada 2.jūlija Ministru kabineta sēdē šie grozījumi tika apstiprināti. Atbilstoši veiktajiem aprēķiniem tika paredzēta finanšu korekcija aktivitātei, par 5 273 182 EUR (3 706 013 LVL) samazinot ESF finansējuma daļu, par 930 562 EUR (654 002 LVL) samazinot nacionālā publiskā finansējuma daļu un par 1 708 689 EUR (1 200 873 LVL) samazinot privātā finansējuma daļu un novirzot to 1.3.1.1.1.apakšaktivitātes </w:t>
            </w:r>
            <w:r w:rsidRPr="00803034">
              <w:rPr>
                <w:rFonts w:eastAsia="Times New Roman"/>
                <w:sz w:val="24"/>
                <w:szCs w:val="24"/>
                <w:lang w:val="lv-LV"/>
              </w:rPr>
              <w:t xml:space="preserve">„Atbalsts nodarbināto apmācībām komersantu konkurētspējas veicināšanai - atbalsts partnerībās organizētām apmācībām” projektu iesniegumu atlases otrās kārtas īstenošanai. 2013.gada 13.augustā Ministru kabinetā tika apstiprināti grozījumi MK noteikumos Nr.328 par atbilstošu finansējuma palielinājumu. </w:t>
            </w:r>
          </w:p>
          <w:p w:rsidR="009570C6" w:rsidRPr="00803034" w:rsidRDefault="009570C6" w:rsidP="009570C6">
            <w:pPr>
              <w:ind w:firstLine="567"/>
              <w:jc w:val="both"/>
              <w:rPr>
                <w:sz w:val="24"/>
                <w:szCs w:val="24"/>
                <w:lang w:val="lv-LV"/>
              </w:rPr>
            </w:pPr>
            <w:r w:rsidRPr="00803034">
              <w:rPr>
                <w:sz w:val="24"/>
                <w:szCs w:val="24"/>
                <w:lang w:val="lv-LV"/>
              </w:rPr>
              <w:t xml:space="preserve">Saskaņā ar DG EMPL sākotnēji pausto viedokli par korekcijas apjomu 1.3.1.2. aktivitātei, finanšu korekcija par grantu saimnieciskās darbības nodrošināšanai un apmācībām tika rēķināta pilnā apmērā, arī par vēl neizmaksātajām summām gala saņēmējiem. Vadošā iestāde iebilda pret šo </w:t>
            </w:r>
            <w:r w:rsidRPr="00803034">
              <w:rPr>
                <w:sz w:val="24"/>
                <w:szCs w:val="24"/>
                <w:lang w:val="lv-LV"/>
              </w:rPr>
              <w:lastRenderedPageBreak/>
              <w:t xml:space="preserve">DG EMPL viedokli, taču, lai pēc iespējas ātrāk varētu atsākt 1.3.1.2.aktivitātes pilnvērtīgu ieviešanu, izsniedzot aizdevumus ar procentu likmes subsīdiju, EM virzīja MK noteikumu Nr.293 projektu apstiprināšanai Ministru Kabineta sēdē, ņemot vērā pilno korekcijas apmēru. 04.07.2013. vadošā iestāde nosūtīja DG EMPL gala aprēķinus finanšu korekcijai, un DG EMPL 02.08.2013. sniedza viedokli, ka piekrīt vadošās iestādes finanšu korekcijas apmēram, ka tiek koriģēti ESF un  valsts budžeta līdzekļi par to summu, kas ir izmaksāta gala saņēmējiem. </w:t>
            </w:r>
          </w:p>
          <w:p w:rsidR="00BD600A" w:rsidRPr="00803034" w:rsidRDefault="009570C6" w:rsidP="00085B01">
            <w:pPr>
              <w:ind w:firstLine="567"/>
              <w:jc w:val="both"/>
              <w:rPr>
                <w:b/>
                <w:sz w:val="24"/>
                <w:szCs w:val="24"/>
                <w:lang w:val="lv-LV"/>
              </w:rPr>
            </w:pPr>
            <w:r w:rsidRPr="00803034">
              <w:rPr>
                <w:sz w:val="24"/>
                <w:szCs w:val="24"/>
                <w:lang w:val="lv-LV"/>
              </w:rPr>
              <w:t xml:space="preserve">Ņemot vērā augstāk minēto, </w:t>
            </w:r>
            <w:r w:rsidR="00627AAF" w:rsidRPr="00803034">
              <w:rPr>
                <w:sz w:val="24"/>
                <w:szCs w:val="24"/>
                <w:lang w:val="lv-LV"/>
              </w:rPr>
              <w:t xml:space="preserve">1.3.1.2.aktivitātes īstenošanai pieejamo finansējumu nepieciešams palielināt par 546 286 latiem ESF finansējuma un 96 403 latiem valsts budžeta finansējuma. Lai to izdarītu, Ekonomikas ministrija ierosina 96 403 latus valsts budžeta finansējuma pārdalīt atpakaļ no 1.3.1.1.1.aktivitātes </w:t>
            </w:r>
            <w:r w:rsidR="008E2F58" w:rsidRPr="00803034">
              <w:rPr>
                <w:sz w:val="24"/>
                <w:szCs w:val="24"/>
                <w:lang w:val="lv-LV"/>
              </w:rPr>
              <w:t xml:space="preserve">(2.kārtas) </w:t>
            </w:r>
            <w:r w:rsidR="00627AAF" w:rsidRPr="00803034">
              <w:rPr>
                <w:sz w:val="24"/>
                <w:szCs w:val="24"/>
                <w:lang w:val="lv-LV"/>
              </w:rPr>
              <w:t xml:space="preserve">uz 1.3.1.2.aktivitāti, un attiecīgi šo summu 1.3.1.1.1.aktivitātē </w:t>
            </w:r>
            <w:r w:rsidR="008E2F58" w:rsidRPr="00803034">
              <w:rPr>
                <w:sz w:val="24"/>
                <w:szCs w:val="24"/>
                <w:lang w:val="lv-LV"/>
              </w:rPr>
              <w:t xml:space="preserve">(2.kārtā) </w:t>
            </w:r>
            <w:r w:rsidR="00627AAF" w:rsidRPr="00803034">
              <w:rPr>
                <w:sz w:val="24"/>
                <w:szCs w:val="24"/>
                <w:lang w:val="lv-LV"/>
              </w:rPr>
              <w:t>aizstāt ar Eiropas Sociālā fonda finansējumu, pārdalot to no 1.3.1.1.1.aktivitātes 1.kārtā  izveidojušā finansējuma ietaupījuma</w:t>
            </w:r>
            <w:r w:rsidR="00085B01" w:rsidRPr="00803034">
              <w:rPr>
                <w:sz w:val="24"/>
                <w:szCs w:val="24"/>
                <w:lang w:val="lv-LV"/>
              </w:rPr>
              <w:t>, kurā projektu īstenošana un maksājumu veikšana ir pabeigta</w:t>
            </w:r>
            <w:r w:rsidR="00627AAF" w:rsidRPr="00803034">
              <w:rPr>
                <w:sz w:val="24"/>
                <w:szCs w:val="24"/>
                <w:lang w:val="lv-LV"/>
              </w:rPr>
              <w:t xml:space="preserve">. </w:t>
            </w:r>
            <w:r w:rsidR="00085B01" w:rsidRPr="00803034">
              <w:rPr>
                <w:b/>
                <w:sz w:val="24"/>
                <w:szCs w:val="24"/>
                <w:lang w:val="lv-LV"/>
              </w:rPr>
              <w:t xml:space="preserve">Tādējādi finansējuma saņēmējiem pieejamais publiskā finansējuma apjoms 1.3.1.1.1.aktivitātē </w:t>
            </w:r>
            <w:r w:rsidR="008E2F58" w:rsidRPr="00803034">
              <w:rPr>
                <w:b/>
                <w:sz w:val="24"/>
                <w:szCs w:val="24"/>
                <w:lang w:val="lv-LV"/>
              </w:rPr>
              <w:t xml:space="preserve">(2.kārtā) </w:t>
            </w:r>
            <w:r w:rsidR="00085B01" w:rsidRPr="00803034">
              <w:rPr>
                <w:b/>
                <w:sz w:val="24"/>
                <w:szCs w:val="24"/>
                <w:lang w:val="lv-LV"/>
              </w:rPr>
              <w:t>netiek mainīts.</w:t>
            </w:r>
          </w:p>
          <w:p w:rsidR="00D802D4" w:rsidRPr="00803034" w:rsidRDefault="00085B01" w:rsidP="00D802D4">
            <w:pPr>
              <w:ind w:firstLine="567"/>
              <w:jc w:val="both"/>
              <w:rPr>
                <w:sz w:val="24"/>
                <w:szCs w:val="24"/>
                <w:lang w:val="lv-LV"/>
              </w:rPr>
            </w:pPr>
            <w:r w:rsidRPr="00803034">
              <w:rPr>
                <w:sz w:val="24"/>
                <w:szCs w:val="24"/>
                <w:lang w:val="lv-LV"/>
              </w:rPr>
              <w:t xml:space="preserve"> </w:t>
            </w:r>
          </w:p>
          <w:p w:rsidR="00DC70A7" w:rsidRPr="00803034" w:rsidRDefault="00DC70A7" w:rsidP="00D802D4">
            <w:pPr>
              <w:ind w:firstLine="567"/>
              <w:jc w:val="both"/>
              <w:rPr>
                <w:i/>
                <w:sz w:val="24"/>
                <w:szCs w:val="24"/>
                <w:lang w:val="lv-LV"/>
              </w:rPr>
            </w:pPr>
            <w:r w:rsidRPr="00803034">
              <w:rPr>
                <w:i/>
                <w:sz w:val="24"/>
                <w:szCs w:val="24"/>
                <w:lang w:val="lv-LV"/>
              </w:rPr>
              <w:t xml:space="preserve">Euro ieviešana </w:t>
            </w:r>
          </w:p>
          <w:p w:rsidR="001C7ED7" w:rsidRPr="00803034" w:rsidRDefault="004970AC" w:rsidP="004970AC">
            <w:pPr>
              <w:ind w:firstLine="567"/>
              <w:jc w:val="both"/>
              <w:rPr>
                <w:sz w:val="24"/>
                <w:szCs w:val="24"/>
                <w:lang w:val="lv-LV"/>
              </w:rPr>
            </w:pPr>
            <w:r w:rsidRPr="00803034">
              <w:rPr>
                <w:sz w:val="24"/>
                <w:szCs w:val="24"/>
                <w:lang w:val="lv-LV"/>
              </w:rPr>
              <w:t xml:space="preserve">Ņemot vērā, ka ar 2014.gada 1.janvāri Latvijā plānots ieviest </w:t>
            </w:r>
            <w:r w:rsidRPr="00803034">
              <w:rPr>
                <w:i/>
                <w:sz w:val="24"/>
                <w:szCs w:val="24"/>
                <w:lang w:val="lv-LV"/>
              </w:rPr>
              <w:t>euro</w:t>
            </w:r>
            <w:r w:rsidRPr="00803034">
              <w:rPr>
                <w:sz w:val="24"/>
                <w:szCs w:val="24"/>
                <w:lang w:val="lv-LV"/>
              </w:rPr>
              <w:t xml:space="preserve">, </w:t>
            </w:r>
            <w:r w:rsidRPr="00803034">
              <w:rPr>
                <w:b/>
                <w:sz w:val="24"/>
                <w:szCs w:val="24"/>
                <w:lang w:val="lv-LV"/>
              </w:rPr>
              <w:t xml:space="preserve">ir nepieciešams veikt grozījumus MK noteikumos Nr.328, aizstājot tajā latus ar </w:t>
            </w:r>
            <w:r w:rsidRPr="00803034">
              <w:rPr>
                <w:b/>
                <w:i/>
                <w:sz w:val="24"/>
                <w:szCs w:val="24"/>
                <w:lang w:val="lv-LV"/>
              </w:rPr>
              <w:t>euro</w:t>
            </w:r>
            <w:r w:rsidRPr="00803034">
              <w:rPr>
                <w:sz w:val="24"/>
                <w:szCs w:val="24"/>
                <w:lang w:val="lv-LV"/>
              </w:rPr>
              <w:t xml:space="preserve">. </w:t>
            </w:r>
            <w:r w:rsidRPr="00803034" w:rsidDel="009D60E0">
              <w:rPr>
                <w:sz w:val="24"/>
                <w:szCs w:val="24"/>
                <w:lang w:val="lv-LV"/>
              </w:rPr>
              <w:t xml:space="preserve"> </w:t>
            </w:r>
            <w:r w:rsidR="004E3D3B" w:rsidRPr="00803034">
              <w:rPr>
                <w:i/>
                <w:sz w:val="24"/>
                <w:szCs w:val="24"/>
                <w:lang w:val="lv-LV"/>
              </w:rPr>
              <w:t xml:space="preserve"> </w:t>
            </w:r>
            <w:r w:rsidRPr="00803034">
              <w:rPr>
                <w:sz w:val="24"/>
                <w:szCs w:val="24"/>
                <w:lang w:val="lv-LV"/>
              </w:rPr>
              <w:t>N</w:t>
            </w:r>
            <w:r w:rsidR="004E3D3B" w:rsidRPr="00803034">
              <w:rPr>
                <w:sz w:val="24"/>
                <w:szCs w:val="24"/>
                <w:lang w:val="lv-LV"/>
              </w:rPr>
              <w:t xml:space="preserve">oteikumu projekts paredz izteikt summas </w:t>
            </w:r>
            <w:r w:rsidR="004E3D3B" w:rsidRPr="00803034">
              <w:rPr>
                <w:i/>
                <w:sz w:val="24"/>
                <w:szCs w:val="24"/>
                <w:lang w:val="lv-LV"/>
              </w:rPr>
              <w:t>euro</w:t>
            </w:r>
            <w:r w:rsidR="004E3D3B" w:rsidRPr="00803034">
              <w:rPr>
                <w:sz w:val="24"/>
                <w:szCs w:val="24"/>
                <w:lang w:val="lv-LV"/>
              </w:rPr>
              <w:t xml:space="preserve"> un noteikt, ka līdz 201</w:t>
            </w:r>
            <w:r w:rsidR="00AB3B70" w:rsidRPr="00803034">
              <w:rPr>
                <w:sz w:val="24"/>
                <w:szCs w:val="24"/>
                <w:lang w:val="lv-LV"/>
              </w:rPr>
              <w:t>3</w:t>
            </w:r>
            <w:r w:rsidR="004E3D3B" w:rsidRPr="00803034">
              <w:rPr>
                <w:sz w:val="24"/>
                <w:szCs w:val="24"/>
                <w:lang w:val="lv-LV"/>
              </w:rPr>
              <w:t xml:space="preserve">.gada </w:t>
            </w:r>
            <w:r w:rsidR="00AB3B70" w:rsidRPr="00803034">
              <w:rPr>
                <w:sz w:val="24"/>
                <w:szCs w:val="24"/>
                <w:lang w:val="lv-LV"/>
              </w:rPr>
              <w:t>3</w:t>
            </w:r>
            <w:r w:rsidR="004E3D3B" w:rsidRPr="00803034">
              <w:rPr>
                <w:sz w:val="24"/>
                <w:szCs w:val="24"/>
                <w:lang w:val="lv-LV"/>
              </w:rPr>
              <w:t>1.</w:t>
            </w:r>
            <w:r w:rsidR="00AB3B70" w:rsidRPr="00803034">
              <w:rPr>
                <w:sz w:val="24"/>
                <w:szCs w:val="24"/>
                <w:lang w:val="lv-LV"/>
              </w:rPr>
              <w:t xml:space="preserve">decembrim </w:t>
            </w:r>
            <w:r w:rsidR="004E3D3B" w:rsidRPr="00803034">
              <w:rPr>
                <w:sz w:val="24"/>
                <w:szCs w:val="24"/>
                <w:lang w:val="lv-LV"/>
              </w:rPr>
              <w:t xml:space="preserve">norēķinus veic latos un šo noteikumu ietvaros noteiktās summas </w:t>
            </w:r>
            <w:r w:rsidR="004E3D3B" w:rsidRPr="00803034">
              <w:rPr>
                <w:i/>
                <w:sz w:val="24"/>
                <w:szCs w:val="24"/>
                <w:lang w:val="lv-LV"/>
              </w:rPr>
              <w:t>euro</w:t>
            </w:r>
            <w:r w:rsidR="004E3D3B" w:rsidRPr="00803034">
              <w:rPr>
                <w:b/>
                <w:sz w:val="24"/>
                <w:szCs w:val="24"/>
                <w:lang w:val="lv-LV"/>
              </w:rPr>
              <w:t xml:space="preserve"> </w:t>
            </w:r>
            <w:r w:rsidR="004E3D3B" w:rsidRPr="00803034">
              <w:rPr>
                <w:sz w:val="24"/>
                <w:szCs w:val="24"/>
                <w:lang w:val="lv-LV"/>
              </w:rPr>
              <w:t xml:space="preserve">pārrēķina latos, ievērojot Padomes 1997.gada 17.jūnija regulas (EK) Nr.1103/97 par dažiem noteikumiem attiecībā uz </w:t>
            </w:r>
            <w:r w:rsidR="004E3D3B" w:rsidRPr="00803034">
              <w:rPr>
                <w:i/>
                <w:sz w:val="24"/>
                <w:szCs w:val="24"/>
                <w:lang w:val="lv-LV"/>
              </w:rPr>
              <w:t>euro</w:t>
            </w:r>
            <w:r w:rsidR="004E3D3B" w:rsidRPr="00803034">
              <w:rPr>
                <w:sz w:val="24"/>
                <w:szCs w:val="24"/>
                <w:lang w:val="lv-LV"/>
              </w:rPr>
              <w:t xml:space="preserve"> ieviešanu noteikto maiņas kursu un ievērojot  </w:t>
            </w:r>
            <w:r w:rsidR="004E3D3B" w:rsidRPr="00803034">
              <w:rPr>
                <w:i/>
                <w:sz w:val="24"/>
                <w:szCs w:val="24"/>
                <w:lang w:val="lv-LV"/>
              </w:rPr>
              <w:t>Euro</w:t>
            </w:r>
            <w:r w:rsidR="004E3D3B" w:rsidRPr="00803034">
              <w:rPr>
                <w:sz w:val="24"/>
                <w:szCs w:val="24"/>
                <w:lang w:val="lv-LV"/>
              </w:rPr>
              <w:t xml:space="preserve"> ieviešanas kārtības likuma 6.pantā noteiktos noapaļošanas principus</w:t>
            </w:r>
            <w:r w:rsidR="007A30ED" w:rsidRPr="00803034">
              <w:rPr>
                <w:sz w:val="24"/>
                <w:szCs w:val="24"/>
                <w:lang w:val="lv-LV"/>
              </w:rPr>
              <w:t>.</w:t>
            </w:r>
            <w:r w:rsidR="004E3D3B" w:rsidRPr="00803034">
              <w:rPr>
                <w:sz w:val="24"/>
                <w:szCs w:val="24"/>
                <w:lang w:val="lv-LV"/>
              </w:rPr>
              <w:t xml:space="preserve"> </w:t>
            </w:r>
            <w:r w:rsidR="001C7ED7" w:rsidRPr="00803034">
              <w:rPr>
                <w:sz w:val="24"/>
                <w:szCs w:val="24"/>
                <w:lang w:val="lv-LV"/>
              </w:rPr>
              <w:t xml:space="preserve">Grozītās tiesību normas </w:t>
            </w:r>
            <w:r w:rsidR="001C7ED7" w:rsidRPr="00803034">
              <w:rPr>
                <w:i/>
                <w:sz w:val="24"/>
                <w:szCs w:val="24"/>
                <w:lang w:val="lv-LV"/>
              </w:rPr>
              <w:t>euro</w:t>
            </w:r>
            <w:r w:rsidR="001C7ED7" w:rsidRPr="00803034">
              <w:rPr>
                <w:sz w:val="24"/>
                <w:szCs w:val="24"/>
                <w:lang w:val="lv-LV"/>
              </w:rPr>
              <w:t xml:space="preserve"> nav personām nelabvēlīgākas par sākotnējo tiesību normu latos un nerada vērā ņemamu negatīvu ietekmi uz valsts budžetu. </w:t>
            </w:r>
          </w:p>
          <w:p w:rsidR="00BD600A" w:rsidRPr="00803034" w:rsidRDefault="00BD600A" w:rsidP="004970AC">
            <w:pPr>
              <w:ind w:firstLine="567"/>
              <w:jc w:val="both"/>
              <w:rPr>
                <w:sz w:val="24"/>
                <w:szCs w:val="24"/>
                <w:lang w:val="lv-LV"/>
              </w:rPr>
            </w:pPr>
            <w:r w:rsidRPr="00803034">
              <w:rPr>
                <w:sz w:val="24"/>
                <w:szCs w:val="24"/>
                <w:lang w:val="lv-LV"/>
              </w:rPr>
              <w:t xml:space="preserve">Noteikumu projektā iekļautās summas </w:t>
            </w:r>
            <w:r w:rsidRPr="00803034">
              <w:rPr>
                <w:i/>
                <w:sz w:val="24"/>
                <w:szCs w:val="24"/>
                <w:lang w:val="lv-LV"/>
              </w:rPr>
              <w:t>euro</w:t>
            </w:r>
            <w:r w:rsidRPr="00803034">
              <w:rPr>
                <w:sz w:val="24"/>
                <w:szCs w:val="24"/>
                <w:lang w:val="lv-LV"/>
              </w:rPr>
              <w:t xml:space="preserve"> ir pārrēķinātas, piemērojot </w:t>
            </w:r>
            <w:r w:rsidRPr="00803034">
              <w:rPr>
                <w:i/>
                <w:sz w:val="24"/>
                <w:szCs w:val="24"/>
                <w:lang w:val="lv-LV"/>
              </w:rPr>
              <w:t>Euro</w:t>
            </w:r>
            <w:r w:rsidRPr="00803034">
              <w:rPr>
                <w:sz w:val="24"/>
                <w:szCs w:val="24"/>
                <w:lang w:val="lv-LV"/>
              </w:rPr>
              <w:t xml:space="preserve"> ieviešanas kārtības likuma 6.pantā un 32.pantā noteiktos noapaļošanas principus. </w:t>
            </w:r>
            <w:r w:rsidR="0000674E" w:rsidRPr="00803034">
              <w:rPr>
                <w:sz w:val="24"/>
                <w:szCs w:val="24"/>
                <w:lang w:val="lv-LV"/>
              </w:rPr>
              <w:t>Noteikumu projekta 8. un 39.punktā finansējuma summas izteiktas veselos skaitļos, papildus ņemot vērā darbības programmas „Cilvēkresursi un nodarbinātība” papildinājumā noteiktās summas.</w:t>
            </w:r>
            <w:r w:rsidRPr="00803034">
              <w:rPr>
                <w:sz w:val="24"/>
                <w:szCs w:val="24"/>
                <w:lang w:val="lv-LV"/>
              </w:rPr>
              <w:t xml:space="preserve"> </w:t>
            </w:r>
          </w:p>
          <w:p w:rsidR="00A3401C" w:rsidRPr="00803034" w:rsidRDefault="00D9732B" w:rsidP="004F535E">
            <w:pPr>
              <w:ind w:firstLine="567"/>
              <w:jc w:val="both"/>
              <w:rPr>
                <w:b/>
                <w:sz w:val="24"/>
                <w:szCs w:val="24"/>
                <w:highlight w:val="lightGray"/>
                <w:lang w:val="lv-LV"/>
              </w:rPr>
            </w:pPr>
            <w:r w:rsidRPr="00803034">
              <w:rPr>
                <w:sz w:val="24"/>
                <w:szCs w:val="24"/>
                <w:lang w:val="lv-LV"/>
              </w:rPr>
              <w:t>Lai gan</w:t>
            </w:r>
            <w:r w:rsidR="004E3D3B" w:rsidRPr="00803034">
              <w:rPr>
                <w:sz w:val="24"/>
                <w:szCs w:val="24"/>
                <w:lang w:val="lv-LV"/>
              </w:rPr>
              <w:t xml:space="preserve"> aktivitātē nav plānota jaunu projektu iesniegumu pieņemšana</w:t>
            </w:r>
            <w:r w:rsidR="00666206" w:rsidRPr="00803034">
              <w:rPr>
                <w:sz w:val="24"/>
                <w:szCs w:val="24"/>
                <w:lang w:val="lv-LV"/>
              </w:rPr>
              <w:t xml:space="preserve"> un atkārtota vērtēšana</w:t>
            </w:r>
            <w:r w:rsidR="004E3D3B" w:rsidRPr="00803034">
              <w:rPr>
                <w:sz w:val="24"/>
                <w:szCs w:val="24"/>
                <w:lang w:val="lv-LV"/>
              </w:rPr>
              <w:t xml:space="preserve">, </w:t>
            </w:r>
            <w:r w:rsidRPr="00803034">
              <w:rPr>
                <w:sz w:val="24"/>
                <w:szCs w:val="24"/>
                <w:lang w:val="lv-LV"/>
              </w:rPr>
              <w:t xml:space="preserve">tehniski </w:t>
            </w:r>
            <w:r w:rsidR="004E3D3B" w:rsidRPr="00803034">
              <w:rPr>
                <w:sz w:val="24"/>
                <w:szCs w:val="24"/>
                <w:lang w:val="lv-LV"/>
              </w:rPr>
              <w:t xml:space="preserve">grozījumi tiek veikti </w:t>
            </w:r>
            <w:r w:rsidRPr="00803034">
              <w:rPr>
                <w:sz w:val="24"/>
                <w:szCs w:val="24"/>
                <w:lang w:val="lv-LV"/>
              </w:rPr>
              <w:t xml:space="preserve">arī </w:t>
            </w:r>
            <w:r w:rsidR="004E3D3B" w:rsidRPr="00803034">
              <w:rPr>
                <w:sz w:val="24"/>
                <w:szCs w:val="24"/>
                <w:lang w:val="lv-LV"/>
              </w:rPr>
              <w:t xml:space="preserve">MK noteikumu Nr.328 2.pielikumā </w:t>
            </w:r>
            <w:r w:rsidR="004E3D3B" w:rsidRPr="00803034">
              <w:rPr>
                <w:sz w:val="24"/>
                <w:szCs w:val="24"/>
                <w:lang w:val="lv-LV"/>
              </w:rPr>
              <w:lastRenderedPageBreak/>
              <w:t>(projekta iesnieguma veidlapa) un 6.pielikumā (projektu iesniegumu vērtēšanas kritēriji)</w:t>
            </w:r>
            <w:r w:rsidRPr="00803034">
              <w:rPr>
                <w:sz w:val="24"/>
                <w:szCs w:val="24"/>
                <w:lang w:val="lv-LV"/>
              </w:rPr>
              <w:t>, aizstājot naudas vienību „lats” ar „</w:t>
            </w:r>
            <w:r w:rsidRPr="00803034">
              <w:rPr>
                <w:i/>
                <w:sz w:val="24"/>
                <w:szCs w:val="24"/>
                <w:lang w:val="lv-LV"/>
              </w:rPr>
              <w:t>euro</w:t>
            </w:r>
            <w:r w:rsidRPr="00803034">
              <w:rPr>
                <w:sz w:val="24"/>
                <w:szCs w:val="24"/>
                <w:lang w:val="lv-LV"/>
              </w:rPr>
              <w:t xml:space="preserve">”, lai nodrošinātu, ka, veicot grozījumus projektu iesniegumos un izmaiņas projekta budžeta tāmē, </w:t>
            </w:r>
            <w:r w:rsidR="009C4A94" w:rsidRPr="00803034">
              <w:rPr>
                <w:sz w:val="24"/>
                <w:szCs w:val="24"/>
                <w:lang w:val="lv-LV"/>
              </w:rPr>
              <w:t xml:space="preserve">sākot no </w:t>
            </w:r>
            <w:r w:rsidRPr="00803034">
              <w:rPr>
                <w:sz w:val="24"/>
                <w:szCs w:val="24"/>
                <w:lang w:val="lv-LV"/>
              </w:rPr>
              <w:t xml:space="preserve">2014.gada 1.janvāra šie grozījumi būtu </w:t>
            </w:r>
            <w:r w:rsidRPr="00803034">
              <w:rPr>
                <w:i/>
                <w:sz w:val="24"/>
                <w:szCs w:val="24"/>
                <w:lang w:val="lv-LV"/>
              </w:rPr>
              <w:t>euro</w:t>
            </w:r>
            <w:r w:rsidR="002D7621" w:rsidRPr="00803034">
              <w:rPr>
                <w:i/>
                <w:sz w:val="24"/>
                <w:szCs w:val="24"/>
                <w:lang w:val="lv-LV"/>
              </w:rPr>
              <w:t xml:space="preserve">, </w:t>
            </w:r>
            <w:r w:rsidR="002D7621" w:rsidRPr="00803034">
              <w:rPr>
                <w:sz w:val="24"/>
                <w:szCs w:val="24"/>
                <w:lang w:val="lv-LV"/>
              </w:rPr>
              <w:t>un sadarbības iestādei un finansējuma saņēmējam būtu skaidri un nepārprotami projektu īstenošanas nosacījumi</w:t>
            </w:r>
            <w:r w:rsidR="006739B8" w:rsidRPr="00803034">
              <w:rPr>
                <w:sz w:val="24"/>
                <w:szCs w:val="24"/>
                <w:lang w:val="lv-LV"/>
              </w:rPr>
              <w:t xml:space="preserve">. </w:t>
            </w:r>
            <w:r w:rsidR="00E15D40" w:rsidRPr="00803034">
              <w:rPr>
                <w:sz w:val="24"/>
                <w:szCs w:val="24"/>
                <w:lang w:val="lv-LV"/>
              </w:rPr>
              <w:t xml:space="preserve">Tāpat šādi grozījumi nodrošinās vienkāršotāku projektu uzraudzības procesu, jo būs skaidri saprotami gadījumi, kuros grozījumi projektu iesniegumos tiek ierosināti un apstiprināti latos un kuros – </w:t>
            </w:r>
            <w:r w:rsidR="00E15D40" w:rsidRPr="00803034">
              <w:rPr>
                <w:i/>
                <w:sz w:val="24"/>
                <w:szCs w:val="24"/>
                <w:lang w:val="lv-LV"/>
              </w:rPr>
              <w:t>euro</w:t>
            </w:r>
            <w:r w:rsidR="00E15D40" w:rsidRPr="00803034">
              <w:rPr>
                <w:sz w:val="24"/>
                <w:szCs w:val="24"/>
                <w:lang w:val="lv-LV"/>
              </w:rPr>
              <w:t>.</w:t>
            </w:r>
            <w:r w:rsidR="00A3401C" w:rsidRPr="00803034">
              <w:rPr>
                <w:sz w:val="24"/>
                <w:szCs w:val="24"/>
                <w:lang w:val="lv-LV"/>
              </w:rPr>
              <w:t xml:space="preserve"> Lai arī nākotnē nebūs nepieciešams pēc projektu iesniedzēju atbilstības kritērijiem pārvērtēt finansējuma saņēmēju atbilstību finansējuma saņemšanas nosacījumiem, tai skaitā par prasību, ka projekta iesniedzēja biedru apgrozījums ir vismaz 100 milj. latu, MK noteikumos </w:t>
            </w:r>
            <w:r w:rsidR="004F535E" w:rsidRPr="00803034">
              <w:rPr>
                <w:sz w:val="24"/>
                <w:szCs w:val="24"/>
                <w:lang w:val="lv-LV"/>
              </w:rPr>
              <w:t>nepieciešami</w:t>
            </w:r>
            <w:r w:rsidR="00A3401C" w:rsidRPr="00803034">
              <w:rPr>
                <w:sz w:val="24"/>
                <w:szCs w:val="24"/>
                <w:lang w:val="lv-LV"/>
              </w:rPr>
              <w:t xml:space="preserve"> tehniski precizējumi, lai nodrošinātu vienotu pieeju pārejai no latiem uz</w:t>
            </w:r>
            <w:r w:rsidR="004F535E" w:rsidRPr="00803034">
              <w:rPr>
                <w:sz w:val="24"/>
                <w:szCs w:val="24"/>
                <w:lang w:val="lv-LV"/>
              </w:rPr>
              <w:t xml:space="preserve"> eiro – ņemot vērā, ka no </w:t>
            </w:r>
            <w:r w:rsidR="00A3401C" w:rsidRPr="00803034">
              <w:rPr>
                <w:sz w:val="24"/>
                <w:szCs w:val="24"/>
                <w:lang w:val="lv-LV"/>
              </w:rPr>
              <w:t>2014.</w:t>
            </w:r>
            <w:r w:rsidR="004F535E" w:rsidRPr="00803034">
              <w:rPr>
                <w:sz w:val="24"/>
                <w:szCs w:val="24"/>
                <w:lang w:val="lv-LV"/>
              </w:rPr>
              <w:t>gada 1.janvāra</w:t>
            </w:r>
            <w:r w:rsidR="00A3401C" w:rsidRPr="00803034">
              <w:rPr>
                <w:sz w:val="24"/>
                <w:szCs w:val="24"/>
                <w:lang w:val="lv-LV"/>
              </w:rPr>
              <w:t xml:space="preserve"> visos normatīvajos aktos jālieto </w:t>
            </w:r>
            <w:r w:rsidR="00A3401C" w:rsidRPr="00803034">
              <w:rPr>
                <w:i/>
                <w:sz w:val="24"/>
                <w:szCs w:val="24"/>
                <w:lang w:val="lv-LV"/>
              </w:rPr>
              <w:t>euro</w:t>
            </w:r>
            <w:r w:rsidR="00A3401C" w:rsidRPr="00803034">
              <w:rPr>
                <w:sz w:val="24"/>
                <w:szCs w:val="24"/>
                <w:lang w:val="lv-LV"/>
              </w:rPr>
              <w:t xml:space="preserve">, būtu neloģiski un tālākā nākotnē – arī neizprotami, ka MK noteikumos Nr.328 visas summas un nosacījumi ir norādīti </w:t>
            </w:r>
            <w:r w:rsidR="00A3401C" w:rsidRPr="00803034">
              <w:rPr>
                <w:i/>
                <w:sz w:val="24"/>
                <w:szCs w:val="24"/>
                <w:lang w:val="lv-LV"/>
              </w:rPr>
              <w:t>euro</w:t>
            </w:r>
            <w:r w:rsidR="00A3401C" w:rsidRPr="00803034">
              <w:rPr>
                <w:sz w:val="24"/>
                <w:szCs w:val="24"/>
                <w:lang w:val="lv-LV"/>
              </w:rPr>
              <w:t xml:space="preserve">, bet viens atsevišķs nosacījums </w:t>
            </w:r>
            <w:r w:rsidR="004F535E" w:rsidRPr="00803034">
              <w:rPr>
                <w:sz w:val="24"/>
                <w:szCs w:val="24"/>
                <w:lang w:val="lv-LV"/>
              </w:rPr>
              <w:t xml:space="preserve">par projektu iesniedzēju biedru apgrozījumu – latos. </w:t>
            </w:r>
          </w:p>
        </w:tc>
      </w:tr>
      <w:tr w:rsidR="00537A29" w:rsidRPr="00803034" w:rsidTr="001F53EB">
        <w:trPr>
          <w:trHeight w:val="360"/>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803034" w:rsidRDefault="00537A29" w:rsidP="00CE5A53">
            <w:pPr>
              <w:rPr>
                <w:rFonts w:eastAsia="Times New Roman"/>
                <w:sz w:val="24"/>
                <w:szCs w:val="24"/>
                <w:lang w:val="lv-LV" w:eastAsia="lv-LV"/>
              </w:rPr>
            </w:pPr>
            <w:r w:rsidRPr="00803034">
              <w:rPr>
                <w:rFonts w:eastAsia="Times New Roman"/>
                <w:sz w:val="24"/>
                <w:szCs w:val="24"/>
                <w:lang w:val="lv-LV" w:eastAsia="lv-LV"/>
              </w:rPr>
              <w:lastRenderedPageBreak/>
              <w:t>3. Saistītie politikas ietekmes novērtējumi un pētījumi</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803034" w:rsidRDefault="007D3113" w:rsidP="007D3113">
            <w:pPr>
              <w:ind w:firstLine="567"/>
              <w:jc w:val="both"/>
              <w:rPr>
                <w:color w:val="000000"/>
                <w:sz w:val="24"/>
                <w:szCs w:val="24"/>
                <w:lang w:val="lv-LV"/>
              </w:rPr>
            </w:pPr>
            <w:r w:rsidRPr="00803034">
              <w:rPr>
                <w:color w:val="000000"/>
                <w:sz w:val="24"/>
                <w:szCs w:val="24"/>
                <w:lang w:val="lv-LV"/>
              </w:rPr>
              <w:t>Projekts šo jomu neskar.</w:t>
            </w:r>
          </w:p>
        </w:tc>
      </w:tr>
      <w:tr w:rsidR="00BB09C5" w:rsidRPr="00803034" w:rsidTr="00620AD6">
        <w:trPr>
          <w:trHeight w:val="366"/>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803034" w:rsidRDefault="00537A29" w:rsidP="00CE5A53">
            <w:pPr>
              <w:rPr>
                <w:rFonts w:eastAsia="Times New Roman"/>
                <w:sz w:val="24"/>
                <w:szCs w:val="24"/>
                <w:lang w:val="lv-LV" w:eastAsia="lv-LV"/>
              </w:rPr>
            </w:pPr>
            <w:r w:rsidRPr="00803034">
              <w:rPr>
                <w:rFonts w:eastAsia="Times New Roman"/>
                <w:sz w:val="24"/>
                <w:szCs w:val="24"/>
                <w:lang w:val="lv-LV" w:eastAsia="lv-LV"/>
              </w:rPr>
              <w:t>4. Tiesiskā regulējuma mērķis un būtība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7D3113" w:rsidRPr="00803034" w:rsidRDefault="007D3113" w:rsidP="007D3113">
            <w:pPr>
              <w:ind w:firstLine="709"/>
              <w:jc w:val="both"/>
              <w:rPr>
                <w:bCs/>
                <w:sz w:val="24"/>
                <w:szCs w:val="24"/>
                <w:lang w:val="lv-LV"/>
              </w:rPr>
            </w:pPr>
            <w:r w:rsidRPr="00803034">
              <w:rPr>
                <w:bCs/>
                <w:sz w:val="24"/>
                <w:szCs w:val="24"/>
                <w:lang w:val="lv-LV"/>
              </w:rPr>
              <w:t>Noteikumu projekts paredz veikt grozījumus MK noteikumos Nr.</w:t>
            </w:r>
            <w:r w:rsidR="00194CFD" w:rsidRPr="00803034">
              <w:rPr>
                <w:bCs/>
                <w:sz w:val="24"/>
                <w:szCs w:val="24"/>
                <w:lang w:val="lv-LV"/>
              </w:rPr>
              <w:t>328</w:t>
            </w:r>
            <w:r w:rsidRPr="00803034">
              <w:rPr>
                <w:bCs/>
                <w:sz w:val="24"/>
                <w:szCs w:val="24"/>
                <w:lang w:val="lv-LV"/>
              </w:rPr>
              <w:t>, izdarot šādas izmaiņas:</w:t>
            </w:r>
          </w:p>
          <w:p w:rsidR="00736188" w:rsidRPr="00803034" w:rsidRDefault="00736188" w:rsidP="00736188">
            <w:pPr>
              <w:pStyle w:val="ListParagraph"/>
              <w:numPr>
                <w:ilvl w:val="0"/>
                <w:numId w:val="17"/>
              </w:numPr>
              <w:jc w:val="both"/>
              <w:rPr>
                <w:bCs/>
                <w:sz w:val="24"/>
                <w:szCs w:val="24"/>
                <w:lang w:val="lv-LV"/>
              </w:rPr>
            </w:pPr>
            <w:r w:rsidRPr="00803034">
              <w:rPr>
                <w:bCs/>
                <w:sz w:val="24"/>
                <w:szCs w:val="24"/>
                <w:lang w:val="lv-LV"/>
              </w:rPr>
              <w:t>samazināt valsts budžeta (virssaistību) finansējumu</w:t>
            </w:r>
            <w:r w:rsidR="00085B01" w:rsidRPr="00803034">
              <w:rPr>
                <w:bCs/>
                <w:sz w:val="24"/>
                <w:szCs w:val="24"/>
                <w:lang w:val="lv-LV"/>
              </w:rPr>
              <w:t xml:space="preserve"> un par šo summu sasniedzamos rezultatīvos rādītājus</w:t>
            </w:r>
            <w:r w:rsidRPr="00803034">
              <w:rPr>
                <w:bCs/>
                <w:sz w:val="24"/>
                <w:szCs w:val="24"/>
                <w:lang w:val="lv-LV"/>
              </w:rPr>
              <w:t xml:space="preserve">; </w:t>
            </w:r>
          </w:p>
          <w:p w:rsidR="009D60E0" w:rsidRPr="00803034" w:rsidRDefault="00736188" w:rsidP="007A30ED">
            <w:pPr>
              <w:pStyle w:val="ListParagraph"/>
              <w:numPr>
                <w:ilvl w:val="0"/>
                <w:numId w:val="17"/>
              </w:numPr>
              <w:jc w:val="both"/>
              <w:rPr>
                <w:bCs/>
                <w:sz w:val="24"/>
                <w:szCs w:val="24"/>
                <w:lang w:val="lv-LV"/>
              </w:rPr>
            </w:pPr>
            <w:r w:rsidRPr="00803034">
              <w:rPr>
                <w:bCs/>
                <w:sz w:val="24"/>
                <w:szCs w:val="24"/>
                <w:lang w:val="lv-LV"/>
              </w:rPr>
              <w:t>samazināt valsts budžeta finansējumu un par līdzvērtīgu finansējuma apjomu palielināt Eiropas Sociālā fonda finansējuma apjomu</w:t>
            </w:r>
            <w:r w:rsidR="009D60E0" w:rsidRPr="00803034">
              <w:rPr>
                <w:bCs/>
                <w:sz w:val="24"/>
                <w:szCs w:val="24"/>
                <w:lang w:val="lv-LV"/>
              </w:rPr>
              <w:t>;</w:t>
            </w:r>
          </w:p>
          <w:p w:rsidR="006A40B7" w:rsidRPr="00803034" w:rsidRDefault="009D60E0" w:rsidP="004157FF">
            <w:pPr>
              <w:pStyle w:val="ListParagraph"/>
              <w:numPr>
                <w:ilvl w:val="0"/>
                <w:numId w:val="17"/>
              </w:numPr>
              <w:jc w:val="both"/>
              <w:rPr>
                <w:bCs/>
                <w:sz w:val="24"/>
                <w:szCs w:val="24"/>
                <w:lang w:val="lv-LV"/>
              </w:rPr>
            </w:pPr>
            <w:r w:rsidRPr="00803034">
              <w:rPr>
                <w:sz w:val="24"/>
                <w:szCs w:val="24"/>
                <w:lang w:val="lv-LV"/>
              </w:rPr>
              <w:t xml:space="preserve">nodrošināt noteikumos lietotās valūtas pāreju uz </w:t>
            </w:r>
            <w:r w:rsidRPr="00803034">
              <w:rPr>
                <w:i/>
                <w:sz w:val="24"/>
                <w:szCs w:val="24"/>
                <w:lang w:val="lv-LV"/>
              </w:rPr>
              <w:t>euro</w:t>
            </w:r>
            <w:r w:rsidR="007A30ED" w:rsidRPr="00803034">
              <w:rPr>
                <w:bCs/>
                <w:sz w:val="24"/>
                <w:szCs w:val="24"/>
                <w:lang w:val="lv-LV"/>
              </w:rPr>
              <w:t>.</w:t>
            </w:r>
            <w:r w:rsidR="006A40B7" w:rsidRPr="00803034">
              <w:rPr>
                <w:sz w:val="24"/>
                <w:szCs w:val="24"/>
                <w:lang w:val="lv-LV"/>
              </w:rPr>
              <w:t xml:space="preserve"> </w:t>
            </w:r>
          </w:p>
          <w:p w:rsidR="00662C8A" w:rsidRPr="00803034" w:rsidRDefault="00662C8A" w:rsidP="00AB3B70">
            <w:pPr>
              <w:jc w:val="both"/>
              <w:rPr>
                <w:bCs/>
                <w:sz w:val="24"/>
                <w:szCs w:val="24"/>
                <w:lang w:val="lv-LV"/>
              </w:rPr>
            </w:pPr>
            <w:r w:rsidRPr="00803034">
              <w:rPr>
                <w:sz w:val="24"/>
                <w:szCs w:val="24"/>
                <w:lang w:val="lv-LV"/>
              </w:rPr>
              <w:t xml:space="preserve">Noteikumu projekts paredz izteikt summas </w:t>
            </w:r>
            <w:r w:rsidRPr="00803034">
              <w:rPr>
                <w:i/>
                <w:sz w:val="24"/>
                <w:szCs w:val="24"/>
                <w:lang w:val="lv-LV"/>
              </w:rPr>
              <w:t>euro</w:t>
            </w:r>
            <w:r w:rsidRPr="00803034">
              <w:rPr>
                <w:sz w:val="24"/>
                <w:szCs w:val="24"/>
                <w:lang w:val="lv-LV"/>
              </w:rPr>
              <w:t xml:space="preserve"> un noteikt, ka līdz 201</w:t>
            </w:r>
            <w:r w:rsidR="00AB3B70" w:rsidRPr="00803034">
              <w:rPr>
                <w:sz w:val="24"/>
                <w:szCs w:val="24"/>
                <w:lang w:val="lv-LV"/>
              </w:rPr>
              <w:t>3</w:t>
            </w:r>
            <w:r w:rsidRPr="00803034">
              <w:rPr>
                <w:sz w:val="24"/>
                <w:szCs w:val="24"/>
                <w:lang w:val="lv-LV"/>
              </w:rPr>
              <w:t xml:space="preserve">.gada </w:t>
            </w:r>
            <w:r w:rsidR="00AB3B70" w:rsidRPr="00803034">
              <w:rPr>
                <w:sz w:val="24"/>
                <w:szCs w:val="24"/>
                <w:lang w:val="lv-LV"/>
              </w:rPr>
              <w:t>3</w:t>
            </w:r>
            <w:r w:rsidRPr="00803034">
              <w:rPr>
                <w:sz w:val="24"/>
                <w:szCs w:val="24"/>
                <w:lang w:val="lv-LV"/>
              </w:rPr>
              <w:t>1.</w:t>
            </w:r>
            <w:r w:rsidR="00AB3B70" w:rsidRPr="00803034">
              <w:rPr>
                <w:sz w:val="24"/>
                <w:szCs w:val="24"/>
                <w:lang w:val="lv-LV"/>
              </w:rPr>
              <w:t xml:space="preserve">decembrim </w:t>
            </w:r>
            <w:r w:rsidRPr="00803034">
              <w:rPr>
                <w:sz w:val="24"/>
                <w:szCs w:val="24"/>
                <w:lang w:val="lv-LV"/>
              </w:rPr>
              <w:t xml:space="preserve">norēķinus veic latos un šo noteikumu ietvaros noteiktās summas </w:t>
            </w:r>
            <w:r w:rsidRPr="00803034">
              <w:rPr>
                <w:i/>
                <w:sz w:val="24"/>
                <w:szCs w:val="24"/>
                <w:lang w:val="lv-LV"/>
              </w:rPr>
              <w:t>euro</w:t>
            </w:r>
            <w:r w:rsidRPr="00803034">
              <w:rPr>
                <w:sz w:val="24"/>
                <w:szCs w:val="24"/>
                <w:lang w:val="lv-LV"/>
              </w:rPr>
              <w:t xml:space="preserve"> pārrēķina latos, </w:t>
            </w:r>
            <w:r w:rsidR="00AB3B70" w:rsidRPr="00803034">
              <w:rPr>
                <w:sz w:val="24"/>
                <w:szCs w:val="24"/>
                <w:lang w:val="lv-LV"/>
              </w:rPr>
              <w:t xml:space="preserve">ievērojot Padomes 1997.gada 17.jūnija Regulas (EK) Nr. 1103/97 par dažiem noteikumiem attiecībā uz </w:t>
            </w:r>
            <w:r w:rsidR="00AB3B70" w:rsidRPr="00803034">
              <w:rPr>
                <w:i/>
                <w:sz w:val="24"/>
                <w:szCs w:val="24"/>
                <w:lang w:val="lv-LV"/>
              </w:rPr>
              <w:t>euro</w:t>
            </w:r>
            <w:r w:rsidR="00AB3B70" w:rsidRPr="00803034">
              <w:rPr>
                <w:sz w:val="24"/>
                <w:szCs w:val="24"/>
                <w:lang w:val="lv-LV"/>
              </w:rPr>
              <w:t xml:space="preserve"> ieviešanu noteikto maiņas kursu, Padomes 2013.gada 9.jūlija Regulu (ES) Nr. 870/2013, ar ko groza Regulu (EK) Nr. 2866/98 attiecībā uz </w:t>
            </w:r>
            <w:r w:rsidR="00AB3B70" w:rsidRPr="00803034">
              <w:rPr>
                <w:i/>
                <w:sz w:val="24"/>
                <w:szCs w:val="24"/>
                <w:lang w:val="lv-LV"/>
              </w:rPr>
              <w:t>euro</w:t>
            </w:r>
            <w:r w:rsidR="00AB3B70" w:rsidRPr="00803034">
              <w:rPr>
                <w:sz w:val="24"/>
                <w:szCs w:val="24"/>
                <w:lang w:val="lv-LV"/>
              </w:rPr>
              <w:t xml:space="preserve"> maiņas kursu Latvijai, kā arī ievērojot </w:t>
            </w:r>
            <w:r w:rsidR="00AB3B70" w:rsidRPr="00803034">
              <w:rPr>
                <w:i/>
                <w:sz w:val="24"/>
                <w:szCs w:val="24"/>
                <w:lang w:val="lv-LV"/>
              </w:rPr>
              <w:t>Euro</w:t>
            </w:r>
            <w:r w:rsidR="00AB3B70" w:rsidRPr="00803034">
              <w:rPr>
                <w:sz w:val="24"/>
                <w:szCs w:val="24"/>
                <w:lang w:val="lv-LV"/>
              </w:rPr>
              <w:t xml:space="preserve"> ieviešanas kārtības likuma 6.pantā noteiktos noapaļošanas principus</w:t>
            </w:r>
            <w:r w:rsidRPr="00803034">
              <w:rPr>
                <w:sz w:val="24"/>
                <w:szCs w:val="24"/>
                <w:lang w:val="lv-LV"/>
              </w:rPr>
              <w:t xml:space="preserve">. Grozītās tiesību normas </w:t>
            </w:r>
            <w:r w:rsidRPr="00803034">
              <w:rPr>
                <w:i/>
                <w:sz w:val="24"/>
                <w:szCs w:val="24"/>
                <w:lang w:val="lv-LV"/>
              </w:rPr>
              <w:t>euro</w:t>
            </w:r>
            <w:r w:rsidRPr="00803034">
              <w:rPr>
                <w:sz w:val="24"/>
                <w:szCs w:val="24"/>
                <w:lang w:val="lv-LV"/>
              </w:rPr>
              <w:t xml:space="preserve"> nav personām nelabvēlīgākas par sākotnējo tiesību normu latos un nerada vērā ņemamu negatīvu ietekmi uz valsts budžetu. </w:t>
            </w:r>
          </w:p>
        </w:tc>
      </w:tr>
      <w:tr w:rsidR="00537A29" w:rsidRPr="00803034" w:rsidTr="001F53EB">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803034" w:rsidRDefault="00537A29" w:rsidP="00CE5A53">
            <w:pPr>
              <w:rPr>
                <w:rFonts w:eastAsia="Times New Roman"/>
                <w:sz w:val="24"/>
                <w:szCs w:val="24"/>
                <w:lang w:val="lv-LV" w:eastAsia="lv-LV"/>
              </w:rPr>
            </w:pPr>
            <w:r w:rsidRPr="00803034">
              <w:rPr>
                <w:rFonts w:eastAsia="Times New Roman"/>
                <w:sz w:val="24"/>
                <w:szCs w:val="24"/>
                <w:lang w:val="lv-LV" w:eastAsia="lv-LV"/>
              </w:rPr>
              <w:t>5. Projekta izstrādē iesaistītās institūcijas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803034" w:rsidRDefault="00554313" w:rsidP="002538B5">
            <w:pPr>
              <w:pStyle w:val="BodyText"/>
              <w:ind w:right="142" w:firstLine="567"/>
              <w:rPr>
                <w:sz w:val="24"/>
                <w:szCs w:val="24"/>
              </w:rPr>
            </w:pPr>
            <w:r w:rsidRPr="00803034">
              <w:rPr>
                <w:sz w:val="24"/>
                <w:szCs w:val="24"/>
              </w:rPr>
              <w:t>LIAA</w:t>
            </w:r>
          </w:p>
        </w:tc>
      </w:tr>
      <w:tr w:rsidR="00AB248D" w:rsidRPr="00803034" w:rsidTr="001F53EB">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AB248D" w:rsidRPr="00803034" w:rsidRDefault="00AB248D" w:rsidP="00CE5A53">
            <w:pPr>
              <w:rPr>
                <w:rFonts w:eastAsia="Times New Roman"/>
                <w:sz w:val="24"/>
                <w:szCs w:val="24"/>
                <w:lang w:val="lv-LV" w:eastAsia="lv-LV"/>
              </w:rPr>
            </w:pPr>
            <w:r w:rsidRPr="00803034">
              <w:rPr>
                <w:rFonts w:eastAsia="Times New Roman"/>
                <w:sz w:val="24"/>
                <w:szCs w:val="24"/>
                <w:lang w:val="lv-LV" w:eastAsia="lv-LV"/>
              </w:rPr>
              <w:lastRenderedPageBreak/>
              <w:t>6. Iemesli, kādēļ netika nodrošināta sabiedrības līdzdalība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8C0F58" w:rsidRPr="00803034" w:rsidRDefault="001E0F0B" w:rsidP="004133BC">
            <w:pPr>
              <w:pStyle w:val="BodyText"/>
              <w:ind w:right="142" w:firstLine="567"/>
              <w:rPr>
                <w:sz w:val="24"/>
                <w:szCs w:val="24"/>
              </w:rPr>
            </w:pPr>
            <w:r w:rsidRPr="00803034">
              <w:rPr>
                <w:color w:val="000000"/>
                <w:sz w:val="24"/>
                <w:szCs w:val="24"/>
              </w:rPr>
              <w:t xml:space="preserve">Nav. </w:t>
            </w:r>
          </w:p>
        </w:tc>
      </w:tr>
      <w:tr w:rsidR="00BB09C5" w:rsidRPr="00803034" w:rsidTr="001F53EB">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803034" w:rsidRDefault="00D07CDB" w:rsidP="00CE5A53">
            <w:pPr>
              <w:rPr>
                <w:rFonts w:eastAsia="Times New Roman"/>
                <w:sz w:val="24"/>
                <w:szCs w:val="24"/>
                <w:lang w:val="lv-LV" w:eastAsia="lv-LV"/>
              </w:rPr>
            </w:pPr>
            <w:r w:rsidRPr="00803034">
              <w:rPr>
                <w:rFonts w:eastAsia="Times New Roman"/>
                <w:sz w:val="24"/>
                <w:szCs w:val="24"/>
                <w:lang w:val="lv-LV" w:eastAsia="lv-LV"/>
              </w:rPr>
              <w:t> 7</w:t>
            </w:r>
            <w:r w:rsidR="00BB09C5" w:rsidRPr="00803034">
              <w:rPr>
                <w:rFonts w:eastAsia="Times New Roman"/>
                <w:sz w:val="24"/>
                <w:szCs w:val="24"/>
                <w:lang w:val="lv-LV" w:eastAsia="lv-LV"/>
              </w:rPr>
              <w:t>. Cita informācija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803034" w:rsidRDefault="007D3113" w:rsidP="007D3113">
            <w:pPr>
              <w:ind w:firstLine="567"/>
              <w:jc w:val="both"/>
              <w:rPr>
                <w:sz w:val="24"/>
                <w:szCs w:val="24"/>
                <w:lang w:val="lv-LV"/>
              </w:rPr>
            </w:pPr>
            <w:r w:rsidRPr="00803034">
              <w:rPr>
                <w:sz w:val="24"/>
                <w:szCs w:val="24"/>
                <w:lang w:val="lv-LV"/>
              </w:rPr>
              <w:t>Nav.</w:t>
            </w:r>
          </w:p>
        </w:tc>
      </w:tr>
    </w:tbl>
    <w:p w:rsidR="004B638C" w:rsidRPr="00803034" w:rsidRDefault="004B638C" w:rsidP="00CE5A53">
      <w:pPr>
        <w:pStyle w:val="NormalWeb"/>
        <w:spacing w:before="0" w:beforeAutospacing="0" w:after="0" w:afterAutospacing="0"/>
        <w:jc w:val="center"/>
        <w:rPr>
          <w:b/>
          <w:lang w:val="lv-LV"/>
        </w:rPr>
      </w:pPr>
    </w:p>
    <w:tbl>
      <w:tblPr>
        <w:tblpPr w:leftFromText="180" w:rightFromText="18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000" w:firstRow="0" w:lastRow="0" w:firstColumn="0" w:lastColumn="0" w:noHBand="0" w:noVBand="0"/>
      </w:tblPr>
      <w:tblGrid>
        <w:gridCol w:w="851"/>
        <w:gridCol w:w="3265"/>
        <w:gridCol w:w="5240"/>
      </w:tblGrid>
      <w:tr w:rsidR="00F621F0" w:rsidRPr="00803034" w:rsidTr="00762978">
        <w:tc>
          <w:tcPr>
            <w:tcW w:w="9356" w:type="dxa"/>
            <w:gridSpan w:val="3"/>
            <w:vAlign w:val="center"/>
          </w:tcPr>
          <w:p w:rsidR="00F621F0" w:rsidRPr="00803034" w:rsidRDefault="00C82B27" w:rsidP="00471B85">
            <w:pPr>
              <w:pStyle w:val="naisnod"/>
              <w:spacing w:before="0" w:after="0"/>
            </w:pPr>
            <w:r w:rsidRPr="00803034">
              <w:t>II. Tiesību akta projekta ietekme uz sabiedrību</w:t>
            </w:r>
          </w:p>
        </w:tc>
      </w:tr>
      <w:tr w:rsidR="00F621F0" w:rsidRPr="00803034" w:rsidTr="00762978">
        <w:trPr>
          <w:trHeight w:val="467"/>
        </w:trPr>
        <w:tc>
          <w:tcPr>
            <w:tcW w:w="851" w:type="dxa"/>
          </w:tcPr>
          <w:p w:rsidR="00F621F0" w:rsidRPr="00803034" w:rsidRDefault="00C82B27" w:rsidP="00471B85">
            <w:pPr>
              <w:pStyle w:val="naiskr"/>
              <w:spacing w:before="0" w:after="0"/>
            </w:pPr>
            <w:r w:rsidRPr="00803034">
              <w:t>1.</w:t>
            </w:r>
          </w:p>
        </w:tc>
        <w:tc>
          <w:tcPr>
            <w:tcW w:w="3265" w:type="dxa"/>
          </w:tcPr>
          <w:p w:rsidR="007E5D4D" w:rsidRPr="00803034" w:rsidRDefault="00C82B27">
            <w:pPr>
              <w:pStyle w:val="naiskr"/>
              <w:spacing w:before="0" w:after="0"/>
            </w:pPr>
            <w:r w:rsidRPr="00803034">
              <w:t>Sabiedrības mērķgrupa</w:t>
            </w:r>
          </w:p>
        </w:tc>
        <w:tc>
          <w:tcPr>
            <w:tcW w:w="5240" w:type="dxa"/>
          </w:tcPr>
          <w:p w:rsidR="00404E4B" w:rsidRPr="00803034" w:rsidRDefault="00554313" w:rsidP="0019488A">
            <w:pPr>
              <w:pStyle w:val="naiskr"/>
              <w:ind w:firstLine="720"/>
              <w:jc w:val="both"/>
              <w:rPr>
                <w:iCs/>
              </w:rPr>
            </w:pPr>
            <w:r w:rsidRPr="00803034">
              <w:rPr>
                <w:iCs/>
              </w:rPr>
              <w:t>1.3.1.1.1.aktivitātes otrās kārtas mērķa grupa ir saimnieciskās darbības veicēji, saimnieciskās darbības veicējos nodarbinātās personas.</w:t>
            </w:r>
          </w:p>
        </w:tc>
      </w:tr>
      <w:tr w:rsidR="00F621F0" w:rsidRPr="00803034" w:rsidTr="00762978">
        <w:trPr>
          <w:trHeight w:val="523"/>
        </w:trPr>
        <w:tc>
          <w:tcPr>
            <w:tcW w:w="851" w:type="dxa"/>
          </w:tcPr>
          <w:p w:rsidR="00F621F0" w:rsidRPr="00803034" w:rsidRDefault="00C82B27" w:rsidP="00471B85">
            <w:pPr>
              <w:pStyle w:val="naiskr"/>
              <w:spacing w:before="0" w:after="0"/>
            </w:pPr>
            <w:r w:rsidRPr="00803034">
              <w:t>2.</w:t>
            </w:r>
          </w:p>
        </w:tc>
        <w:tc>
          <w:tcPr>
            <w:tcW w:w="3265" w:type="dxa"/>
          </w:tcPr>
          <w:p w:rsidR="007E5D4D" w:rsidRPr="00803034" w:rsidRDefault="00C82B27">
            <w:pPr>
              <w:pStyle w:val="naiskr"/>
              <w:spacing w:before="0" w:after="0"/>
            </w:pPr>
            <w:r w:rsidRPr="00803034">
              <w:t>Citas sabiedrības grupas (bez mērķgrupas), kuras tiesiskais regulējums arī ietekmē vai varētu ietekmēt</w:t>
            </w:r>
          </w:p>
        </w:tc>
        <w:tc>
          <w:tcPr>
            <w:tcW w:w="5240" w:type="dxa"/>
          </w:tcPr>
          <w:p w:rsidR="007E5D4D" w:rsidRPr="00803034" w:rsidRDefault="0019488A" w:rsidP="0019488A">
            <w:pPr>
              <w:pStyle w:val="naiskr"/>
              <w:spacing w:before="0" w:after="0"/>
              <w:ind w:firstLine="720"/>
              <w:jc w:val="both"/>
            </w:pPr>
            <w:r w:rsidRPr="00803034">
              <w:rPr>
                <w:color w:val="000000"/>
              </w:rPr>
              <w:t>Nav</w:t>
            </w:r>
          </w:p>
        </w:tc>
      </w:tr>
      <w:tr w:rsidR="00F621F0" w:rsidRPr="00803034" w:rsidTr="00762978">
        <w:trPr>
          <w:trHeight w:val="517"/>
        </w:trPr>
        <w:tc>
          <w:tcPr>
            <w:tcW w:w="851" w:type="dxa"/>
          </w:tcPr>
          <w:p w:rsidR="00F621F0" w:rsidRPr="00803034" w:rsidRDefault="00C82B27" w:rsidP="00471B85">
            <w:pPr>
              <w:pStyle w:val="naiskr"/>
              <w:spacing w:before="0" w:after="0"/>
            </w:pPr>
            <w:r w:rsidRPr="00803034">
              <w:t>3.</w:t>
            </w:r>
          </w:p>
        </w:tc>
        <w:tc>
          <w:tcPr>
            <w:tcW w:w="3265" w:type="dxa"/>
          </w:tcPr>
          <w:p w:rsidR="007E5D4D" w:rsidRPr="00803034" w:rsidRDefault="00C82B27">
            <w:pPr>
              <w:pStyle w:val="naiskr"/>
              <w:spacing w:before="0" w:after="0"/>
            </w:pPr>
            <w:r w:rsidRPr="00803034">
              <w:t>Tiesiskā regulējuma finansiālā ietekme</w:t>
            </w:r>
          </w:p>
        </w:tc>
        <w:tc>
          <w:tcPr>
            <w:tcW w:w="5240" w:type="dxa"/>
          </w:tcPr>
          <w:p w:rsidR="007E5D4D" w:rsidRPr="00803034" w:rsidRDefault="008F244A" w:rsidP="00085B01">
            <w:pPr>
              <w:pStyle w:val="naiskr"/>
              <w:spacing w:before="0" w:after="0"/>
              <w:ind w:firstLine="450"/>
              <w:jc w:val="both"/>
              <w:rPr>
                <w:color w:val="000000"/>
              </w:rPr>
            </w:pPr>
            <w:r w:rsidRPr="00803034">
              <w:rPr>
                <w:color w:val="000000"/>
              </w:rPr>
              <w:t xml:space="preserve">Noteikumu projekts neparedz izmaiņas kopējā komersantiem pieejamā </w:t>
            </w:r>
            <w:r w:rsidR="00085B01" w:rsidRPr="00803034">
              <w:rPr>
                <w:color w:val="000000"/>
              </w:rPr>
              <w:t xml:space="preserve">publiskā </w:t>
            </w:r>
            <w:r w:rsidRPr="00803034">
              <w:rPr>
                <w:color w:val="000000"/>
              </w:rPr>
              <w:t>finansējuma apjomā.</w:t>
            </w:r>
            <w:r w:rsidR="00A108B9" w:rsidRPr="00803034">
              <w:rPr>
                <w:color w:val="000000"/>
              </w:rPr>
              <w:t xml:space="preserve"> Noteikumu projekts paredz samazināt komersantiem pieejamo valsts budžeta (virssaistību) finansējuma apjomu. </w:t>
            </w:r>
          </w:p>
        </w:tc>
      </w:tr>
      <w:tr w:rsidR="00F621F0" w:rsidRPr="00803034" w:rsidTr="00762978">
        <w:trPr>
          <w:trHeight w:val="517"/>
        </w:trPr>
        <w:tc>
          <w:tcPr>
            <w:tcW w:w="851" w:type="dxa"/>
          </w:tcPr>
          <w:p w:rsidR="00F621F0" w:rsidRPr="00803034" w:rsidRDefault="00C82B27" w:rsidP="00471B85">
            <w:pPr>
              <w:pStyle w:val="naiskr"/>
              <w:spacing w:before="0" w:after="0"/>
            </w:pPr>
            <w:r w:rsidRPr="00803034">
              <w:t>4.</w:t>
            </w:r>
          </w:p>
        </w:tc>
        <w:tc>
          <w:tcPr>
            <w:tcW w:w="3265" w:type="dxa"/>
          </w:tcPr>
          <w:p w:rsidR="007E5D4D" w:rsidRPr="00803034" w:rsidRDefault="00C82B27">
            <w:pPr>
              <w:pStyle w:val="naiskr"/>
              <w:spacing w:before="0" w:after="0"/>
            </w:pPr>
            <w:r w:rsidRPr="00803034">
              <w:t>Tiesiskā regulējuma nefinansiālā ietekme</w:t>
            </w:r>
          </w:p>
        </w:tc>
        <w:tc>
          <w:tcPr>
            <w:tcW w:w="5240" w:type="dxa"/>
          </w:tcPr>
          <w:p w:rsidR="00615667" w:rsidRPr="00803034" w:rsidRDefault="00A108B9" w:rsidP="0037006F">
            <w:pPr>
              <w:pStyle w:val="naiskr"/>
              <w:spacing w:before="0" w:after="0"/>
              <w:ind w:firstLine="450"/>
              <w:jc w:val="both"/>
            </w:pPr>
            <w:r w:rsidRPr="00803034">
              <w:rPr>
                <w:color w:val="000000"/>
              </w:rPr>
              <w:t xml:space="preserve">Nav </w:t>
            </w:r>
          </w:p>
        </w:tc>
      </w:tr>
      <w:tr w:rsidR="00F621F0" w:rsidRPr="00803034" w:rsidTr="00762978">
        <w:trPr>
          <w:trHeight w:val="531"/>
        </w:trPr>
        <w:tc>
          <w:tcPr>
            <w:tcW w:w="851" w:type="dxa"/>
          </w:tcPr>
          <w:p w:rsidR="00F621F0" w:rsidRPr="00803034" w:rsidRDefault="00C82B27" w:rsidP="00471B85">
            <w:pPr>
              <w:pStyle w:val="naiskr"/>
              <w:spacing w:before="0" w:after="0"/>
            </w:pPr>
            <w:r w:rsidRPr="00803034">
              <w:t>5.</w:t>
            </w:r>
          </w:p>
        </w:tc>
        <w:tc>
          <w:tcPr>
            <w:tcW w:w="3265" w:type="dxa"/>
          </w:tcPr>
          <w:p w:rsidR="007E5D4D" w:rsidRPr="00803034" w:rsidRDefault="00C82B27">
            <w:pPr>
              <w:pStyle w:val="naiskr"/>
              <w:spacing w:before="0" w:after="0"/>
            </w:pPr>
            <w:r w:rsidRPr="00803034">
              <w:t>Administratīvās procedūras raksturojums</w:t>
            </w:r>
          </w:p>
        </w:tc>
        <w:tc>
          <w:tcPr>
            <w:tcW w:w="5240" w:type="dxa"/>
          </w:tcPr>
          <w:p w:rsidR="007E5D4D" w:rsidRPr="00803034" w:rsidRDefault="007D3113" w:rsidP="007D3113">
            <w:pPr>
              <w:pStyle w:val="naiskr"/>
              <w:spacing w:before="0" w:after="0"/>
              <w:ind w:firstLine="450"/>
            </w:pPr>
            <w:r w:rsidRPr="00803034">
              <w:rPr>
                <w:color w:val="000000"/>
              </w:rPr>
              <w:t>Projekts šo jomu neskar.</w:t>
            </w:r>
          </w:p>
        </w:tc>
      </w:tr>
      <w:tr w:rsidR="00F621F0" w:rsidRPr="00803034" w:rsidTr="00762978">
        <w:trPr>
          <w:trHeight w:val="357"/>
        </w:trPr>
        <w:tc>
          <w:tcPr>
            <w:tcW w:w="851" w:type="dxa"/>
          </w:tcPr>
          <w:p w:rsidR="00F621F0" w:rsidRPr="00803034" w:rsidRDefault="00C82B27" w:rsidP="00471B85">
            <w:pPr>
              <w:pStyle w:val="naiskr"/>
              <w:spacing w:before="0" w:after="0"/>
            </w:pPr>
            <w:r w:rsidRPr="00803034">
              <w:t>6.</w:t>
            </w:r>
          </w:p>
        </w:tc>
        <w:tc>
          <w:tcPr>
            <w:tcW w:w="3265" w:type="dxa"/>
          </w:tcPr>
          <w:p w:rsidR="007E5D4D" w:rsidRPr="00803034" w:rsidRDefault="00C82B27">
            <w:pPr>
              <w:pStyle w:val="naiskr"/>
              <w:spacing w:before="0" w:after="0"/>
            </w:pPr>
            <w:r w:rsidRPr="00803034">
              <w:t>Administratīvo izmaksu monetārs novērtējums</w:t>
            </w:r>
          </w:p>
        </w:tc>
        <w:tc>
          <w:tcPr>
            <w:tcW w:w="5240" w:type="dxa"/>
          </w:tcPr>
          <w:p w:rsidR="007E5D4D" w:rsidRPr="00803034" w:rsidRDefault="007D3113" w:rsidP="007D3113">
            <w:pPr>
              <w:pStyle w:val="naiskr"/>
              <w:spacing w:before="0" w:after="0"/>
              <w:ind w:firstLine="450"/>
            </w:pPr>
            <w:r w:rsidRPr="00803034">
              <w:rPr>
                <w:color w:val="000000"/>
              </w:rPr>
              <w:t>Projekts šo jomu neskar.</w:t>
            </w:r>
          </w:p>
        </w:tc>
      </w:tr>
      <w:tr w:rsidR="00F621F0" w:rsidRPr="00803034" w:rsidTr="00762978">
        <w:trPr>
          <w:trHeight w:val="489"/>
        </w:trPr>
        <w:tc>
          <w:tcPr>
            <w:tcW w:w="851" w:type="dxa"/>
          </w:tcPr>
          <w:p w:rsidR="00F621F0" w:rsidRPr="00803034" w:rsidRDefault="00C82B27" w:rsidP="00471B85">
            <w:pPr>
              <w:pStyle w:val="naiskr"/>
              <w:spacing w:before="0" w:after="0"/>
            </w:pPr>
            <w:r w:rsidRPr="00803034">
              <w:t>7.</w:t>
            </w:r>
          </w:p>
        </w:tc>
        <w:tc>
          <w:tcPr>
            <w:tcW w:w="3265" w:type="dxa"/>
          </w:tcPr>
          <w:p w:rsidR="007E5D4D" w:rsidRPr="00803034" w:rsidRDefault="00C82B27">
            <w:pPr>
              <w:pStyle w:val="naiskr"/>
              <w:spacing w:before="0" w:after="0"/>
            </w:pPr>
            <w:r w:rsidRPr="00803034">
              <w:t>Cita informācija</w:t>
            </w:r>
          </w:p>
        </w:tc>
        <w:tc>
          <w:tcPr>
            <w:tcW w:w="5240" w:type="dxa"/>
          </w:tcPr>
          <w:p w:rsidR="007E5D4D" w:rsidRPr="00803034" w:rsidRDefault="00C82B27" w:rsidP="007D3113">
            <w:pPr>
              <w:pStyle w:val="naiskr"/>
              <w:spacing w:before="0" w:after="0"/>
              <w:ind w:firstLine="450"/>
            </w:pPr>
            <w:r w:rsidRPr="00803034">
              <w:t>Nav.</w:t>
            </w:r>
          </w:p>
        </w:tc>
      </w:tr>
    </w:tbl>
    <w:p w:rsidR="004E7663" w:rsidRPr="00803034" w:rsidRDefault="004E7663" w:rsidP="00CE5A53">
      <w:pPr>
        <w:pStyle w:val="NormalWeb"/>
        <w:spacing w:before="0" w:beforeAutospacing="0" w:after="0" w:afterAutospacing="0"/>
        <w:jc w:val="center"/>
        <w:rPr>
          <w:b/>
          <w:lang w:val="lv-LV"/>
        </w:rPr>
      </w:pPr>
    </w:p>
    <w:tbl>
      <w:tblPr>
        <w:tblW w:w="5000" w:type="pct"/>
        <w:tblInd w:w="-38" w:type="dxa"/>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Look w:val="04A0" w:firstRow="1" w:lastRow="0" w:firstColumn="1" w:lastColumn="0" w:noHBand="0" w:noVBand="1"/>
      </w:tblPr>
      <w:tblGrid>
        <w:gridCol w:w="2621"/>
        <w:gridCol w:w="1312"/>
        <w:gridCol w:w="1303"/>
        <w:gridCol w:w="1439"/>
        <w:gridCol w:w="1303"/>
        <w:gridCol w:w="1303"/>
      </w:tblGrid>
      <w:tr w:rsidR="00772E37" w:rsidRPr="00803034" w:rsidTr="00772E37">
        <w:trPr>
          <w:trHeight w:val="432"/>
        </w:trPr>
        <w:tc>
          <w:tcPr>
            <w:tcW w:w="5000" w:type="pct"/>
            <w:gridSpan w:val="6"/>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772E37" w:rsidRPr="00803034" w:rsidRDefault="00772E37" w:rsidP="00D802D4">
            <w:pPr>
              <w:jc w:val="center"/>
              <w:rPr>
                <w:b/>
                <w:sz w:val="24"/>
                <w:szCs w:val="24"/>
                <w:lang w:val="lv-LV"/>
              </w:rPr>
            </w:pPr>
            <w:r w:rsidRPr="00803034">
              <w:rPr>
                <w:b/>
                <w:sz w:val="24"/>
                <w:szCs w:val="24"/>
                <w:lang w:val="lv-LV"/>
              </w:rPr>
              <w:br w:type="page"/>
              <w:t>III. Tiesību akta projekta ietekme uz valsts budžetu un pašvaldību budžetiem</w:t>
            </w:r>
          </w:p>
        </w:tc>
      </w:tr>
      <w:tr w:rsidR="00772E37" w:rsidRPr="00803034" w:rsidTr="00772E37">
        <w:tc>
          <w:tcPr>
            <w:tcW w:w="1440" w:type="pct"/>
            <w:vMerge w:val="restar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hideMark/>
          </w:tcPr>
          <w:p w:rsidR="00772E37" w:rsidRPr="00803034" w:rsidRDefault="00772E37" w:rsidP="00D802D4">
            <w:pPr>
              <w:pStyle w:val="naisf"/>
              <w:spacing w:before="0" w:after="0"/>
              <w:jc w:val="center"/>
            </w:pPr>
            <w:r w:rsidRPr="00803034">
              <w:t>Rādītāji</w:t>
            </w:r>
          </w:p>
        </w:tc>
        <w:tc>
          <w:tcPr>
            <w:tcW w:w="1459" w:type="pct"/>
            <w:gridSpan w:val="2"/>
            <w:vMerge w:val="restar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hideMark/>
          </w:tcPr>
          <w:p w:rsidR="00772E37" w:rsidRPr="00803034" w:rsidRDefault="00772E37" w:rsidP="00D802D4">
            <w:pPr>
              <w:pStyle w:val="naisf"/>
              <w:spacing w:before="0" w:after="0"/>
              <w:jc w:val="center"/>
            </w:pPr>
            <w:r w:rsidRPr="00803034">
              <w:t>2013.</w:t>
            </w:r>
          </w:p>
        </w:tc>
        <w:tc>
          <w:tcPr>
            <w:tcW w:w="2061" w:type="pct"/>
            <w:gridSpan w:val="3"/>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hideMark/>
          </w:tcPr>
          <w:p w:rsidR="00772E37" w:rsidRPr="00803034" w:rsidRDefault="00772E37" w:rsidP="00D802D4">
            <w:pPr>
              <w:pStyle w:val="naisf"/>
              <w:spacing w:before="0" w:after="0"/>
              <w:jc w:val="center"/>
              <w:rPr>
                <w:i/>
              </w:rPr>
            </w:pPr>
            <w:r w:rsidRPr="00803034">
              <w:t>Turpmākie trīs gadi (tūkst</w:t>
            </w:r>
            <w:smartTag w:uri="schemas-tilde-lv/tildestengine" w:element="currency2">
              <w:smartTagPr>
                <w:attr w:name="currency_text" w:val="latu"/>
                <w:attr w:name="currency_value" w:val="."/>
                <w:attr w:name="currency_key" w:val="LVL"/>
                <w:attr w:name="currency_id" w:val="48"/>
              </w:smartTagPr>
              <w:r w:rsidRPr="00803034">
                <w:t>. latu</w:t>
              </w:r>
            </w:smartTag>
            <w:r w:rsidRPr="00803034">
              <w:t>)</w:t>
            </w:r>
          </w:p>
        </w:tc>
      </w:tr>
      <w:tr w:rsidR="00772E37" w:rsidRPr="00803034" w:rsidTr="00772E37">
        <w:tc>
          <w:tcPr>
            <w:tcW w:w="0" w:type="auto"/>
            <w:vMerge/>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772E37" w:rsidRPr="00803034" w:rsidRDefault="00772E37" w:rsidP="00D802D4">
            <w:pPr>
              <w:rPr>
                <w:rFonts w:eastAsia="Times New Roman"/>
                <w:sz w:val="24"/>
                <w:szCs w:val="24"/>
                <w:lang w:val="lv-LV" w:eastAsia="lv-LV"/>
              </w:rPr>
            </w:pPr>
          </w:p>
        </w:tc>
        <w:tc>
          <w:tcPr>
            <w:tcW w:w="0" w:type="auto"/>
            <w:gridSpan w:val="2"/>
            <w:vMerge/>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772E37" w:rsidRPr="00803034" w:rsidRDefault="00772E37" w:rsidP="00D802D4">
            <w:pPr>
              <w:rPr>
                <w:rFonts w:eastAsia="Times New Roman"/>
                <w:sz w:val="24"/>
                <w:szCs w:val="24"/>
                <w:lang w:val="lv-LV" w:eastAsia="lv-LV"/>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72E37" w:rsidRPr="00803034" w:rsidRDefault="00772E37" w:rsidP="00D802D4">
            <w:pPr>
              <w:pStyle w:val="naisf"/>
              <w:spacing w:before="0" w:after="0"/>
              <w:jc w:val="center"/>
              <w:rPr>
                <w:i/>
              </w:rPr>
            </w:pPr>
            <w:r w:rsidRPr="00803034">
              <w:rPr>
                <w:bCs/>
              </w:rPr>
              <w:t>2014.</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72E37" w:rsidRPr="00803034" w:rsidRDefault="00772E37" w:rsidP="00D802D4">
            <w:pPr>
              <w:pStyle w:val="naisf"/>
              <w:spacing w:before="0" w:after="0"/>
              <w:rPr>
                <w:i/>
              </w:rPr>
            </w:pPr>
            <w:r w:rsidRPr="00803034">
              <w:rPr>
                <w:bCs/>
              </w:rPr>
              <w:t>2015.</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72E37" w:rsidRPr="00803034" w:rsidRDefault="00772E37" w:rsidP="00D802D4">
            <w:pPr>
              <w:pStyle w:val="naisf"/>
              <w:spacing w:before="0" w:after="0"/>
              <w:jc w:val="center"/>
              <w:rPr>
                <w:i/>
              </w:rPr>
            </w:pPr>
            <w:r w:rsidRPr="00803034">
              <w:rPr>
                <w:bCs/>
              </w:rPr>
              <w:t>2016.</w:t>
            </w:r>
          </w:p>
        </w:tc>
      </w:tr>
      <w:tr w:rsidR="00772E37" w:rsidRPr="00803034" w:rsidTr="00772E37">
        <w:tc>
          <w:tcPr>
            <w:tcW w:w="0" w:type="auto"/>
            <w:vMerge/>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772E37" w:rsidRPr="00803034" w:rsidRDefault="00772E37" w:rsidP="00D802D4">
            <w:pPr>
              <w:rPr>
                <w:rFonts w:eastAsia="Times New Roman"/>
                <w:sz w:val="24"/>
                <w:szCs w:val="24"/>
                <w:lang w:val="lv-LV" w:eastAsia="lv-LV"/>
              </w:rPr>
            </w:pP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72E37" w:rsidRPr="00803034" w:rsidRDefault="00772E37" w:rsidP="00D802D4">
            <w:pPr>
              <w:pStyle w:val="naisf"/>
              <w:spacing w:before="0" w:after="0"/>
              <w:jc w:val="center"/>
              <w:rPr>
                <w:i/>
              </w:rPr>
            </w:pPr>
            <w:r w:rsidRPr="00803034">
              <w:t>Saskaņā ar valsts budžetu kārtējam gadam</w:t>
            </w: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72E37" w:rsidRPr="00803034" w:rsidRDefault="00772E37" w:rsidP="00D802D4">
            <w:pPr>
              <w:pStyle w:val="naisf"/>
              <w:spacing w:before="0" w:after="0"/>
              <w:jc w:val="center"/>
              <w:rPr>
                <w:i/>
              </w:rPr>
            </w:pPr>
            <w:r w:rsidRPr="00803034">
              <w:t>Izmaiņas kārtējā gadā, salīdzinot ar budžetu kārtējam gadam</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72E37" w:rsidRPr="00803034" w:rsidRDefault="00772E37" w:rsidP="00D802D4">
            <w:pPr>
              <w:pStyle w:val="naisf"/>
              <w:spacing w:before="0" w:after="0"/>
              <w:jc w:val="center"/>
              <w:rPr>
                <w:i/>
              </w:rPr>
            </w:pPr>
            <w:r w:rsidRPr="00803034">
              <w:t>Izmaiņas, salīdzinot ar kārtējo (n) gadu</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72E37" w:rsidRPr="00803034" w:rsidRDefault="00772E37" w:rsidP="00D802D4">
            <w:pPr>
              <w:pStyle w:val="naisf"/>
              <w:spacing w:before="0" w:after="0"/>
              <w:jc w:val="center"/>
              <w:rPr>
                <w:i/>
              </w:rPr>
            </w:pPr>
            <w:r w:rsidRPr="00803034">
              <w:t>Izmaiņas, salīdzinot ar kārtējo (n) gadu</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72E37" w:rsidRPr="00803034" w:rsidRDefault="00772E37" w:rsidP="00D802D4">
            <w:pPr>
              <w:pStyle w:val="naisf"/>
              <w:spacing w:before="0" w:after="0"/>
              <w:jc w:val="center"/>
              <w:rPr>
                <w:i/>
              </w:rPr>
            </w:pPr>
            <w:r w:rsidRPr="00803034">
              <w:t>Izmaiņas, salīdzinot ar kārtējo (n) gadu</w:t>
            </w:r>
          </w:p>
        </w:tc>
      </w:tr>
      <w:tr w:rsidR="00772E37" w:rsidRPr="00803034" w:rsidTr="00772E37">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72E37" w:rsidRPr="00803034" w:rsidRDefault="00772E37" w:rsidP="00D802D4">
            <w:pPr>
              <w:pStyle w:val="naisf"/>
              <w:spacing w:before="0" w:after="0"/>
              <w:jc w:val="center"/>
              <w:rPr>
                <w:bCs/>
              </w:rPr>
            </w:pPr>
            <w:r w:rsidRPr="00803034">
              <w:rPr>
                <w:bCs/>
              </w:rPr>
              <w:t>1</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72E37" w:rsidRPr="00803034" w:rsidRDefault="00772E37" w:rsidP="00D802D4">
            <w:pPr>
              <w:pStyle w:val="naisf"/>
              <w:spacing w:before="0" w:after="0"/>
              <w:jc w:val="center"/>
              <w:rPr>
                <w:bCs/>
              </w:rPr>
            </w:pPr>
            <w:r w:rsidRPr="00803034">
              <w:rPr>
                <w:bCs/>
              </w:rPr>
              <w:t>2</w:t>
            </w: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72E37" w:rsidRPr="00803034" w:rsidRDefault="00772E37" w:rsidP="00D802D4">
            <w:pPr>
              <w:pStyle w:val="naisf"/>
              <w:spacing w:before="0" w:after="0"/>
              <w:jc w:val="center"/>
              <w:rPr>
                <w:bCs/>
              </w:rPr>
            </w:pPr>
            <w:r w:rsidRPr="00803034">
              <w:rPr>
                <w:bCs/>
              </w:rPr>
              <w:t>3</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72E37" w:rsidRPr="00803034" w:rsidRDefault="00772E37" w:rsidP="00D802D4">
            <w:pPr>
              <w:pStyle w:val="naisf"/>
              <w:spacing w:before="0" w:after="0"/>
              <w:jc w:val="center"/>
              <w:rPr>
                <w:bCs/>
              </w:rPr>
            </w:pPr>
            <w:r w:rsidRPr="00803034">
              <w:rPr>
                <w:bCs/>
              </w:rPr>
              <w:t>4</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72E37" w:rsidRPr="00803034" w:rsidRDefault="00772E37" w:rsidP="00D802D4">
            <w:pPr>
              <w:pStyle w:val="naisf"/>
              <w:spacing w:before="0" w:after="0"/>
              <w:jc w:val="center"/>
              <w:rPr>
                <w:bCs/>
              </w:rPr>
            </w:pPr>
            <w:r w:rsidRPr="00803034">
              <w:rPr>
                <w:bCs/>
              </w:rPr>
              <w:t>5</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72E37" w:rsidRPr="00803034" w:rsidRDefault="00772E37" w:rsidP="00D802D4">
            <w:pPr>
              <w:pStyle w:val="naisf"/>
              <w:spacing w:before="0" w:after="0"/>
              <w:jc w:val="center"/>
              <w:rPr>
                <w:bCs/>
              </w:rPr>
            </w:pPr>
            <w:r w:rsidRPr="00803034">
              <w:rPr>
                <w:bCs/>
              </w:rPr>
              <w:t>6</w:t>
            </w:r>
          </w:p>
        </w:tc>
      </w:tr>
      <w:tr w:rsidR="00772E37" w:rsidRPr="00803034" w:rsidTr="00772E37">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pStyle w:val="naisf"/>
              <w:spacing w:before="0" w:after="0"/>
              <w:rPr>
                <w:i/>
              </w:rPr>
            </w:pPr>
            <w:r w:rsidRPr="00803034">
              <w:t xml:space="preserve">1. Budžeta </w:t>
            </w:r>
            <w:r w:rsidRPr="00803034">
              <w:lastRenderedPageBreak/>
              <w:t>ieņēmumi:</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r>
      <w:tr w:rsidR="00772E37" w:rsidRPr="00803034" w:rsidTr="00772E37">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pStyle w:val="naisf"/>
              <w:spacing w:before="0" w:after="0"/>
              <w:rPr>
                <w:i/>
              </w:rPr>
            </w:pPr>
            <w:r w:rsidRPr="00803034">
              <w:lastRenderedPageBreak/>
              <w:t>1.1. valsts pamatbudžets, tai skaitā ieņēmumi no maksas pakalpojumiem un citi pašu ieņēmumi</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pStyle w:val="naisf"/>
              <w:spacing w:before="0" w:after="0"/>
              <w:jc w:val="left"/>
            </w:pPr>
            <w:r w:rsidRPr="00803034">
              <w:t>Nav attiecināms</w:t>
            </w: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pStyle w:val="naisf"/>
              <w:spacing w:before="0" w:after="0"/>
              <w:jc w:val="left"/>
            </w:pPr>
            <w:r w:rsidRPr="00803034">
              <w:t>Nav attiecināms</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pStyle w:val="naisf"/>
              <w:spacing w:before="0" w:after="0"/>
              <w:jc w:val="left"/>
            </w:pPr>
            <w:r w:rsidRPr="00803034">
              <w:t>Nav attiecināms</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pStyle w:val="naisf"/>
              <w:spacing w:before="0" w:after="0"/>
              <w:jc w:val="left"/>
            </w:pPr>
            <w:r w:rsidRPr="00803034">
              <w:t>Nav attiecināms</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pStyle w:val="naisf"/>
              <w:spacing w:before="0" w:after="0"/>
              <w:jc w:val="left"/>
            </w:pPr>
            <w:r w:rsidRPr="00803034">
              <w:t>Nav attiecināms</w:t>
            </w:r>
          </w:p>
        </w:tc>
      </w:tr>
      <w:tr w:rsidR="00772E37" w:rsidRPr="00803034" w:rsidTr="00772E37">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pStyle w:val="naisf"/>
              <w:spacing w:before="0" w:after="0"/>
              <w:rPr>
                <w:i/>
              </w:rPr>
            </w:pPr>
            <w:r w:rsidRPr="00803034">
              <w:t>1.2. valsts speciālais budžets</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r>
      <w:tr w:rsidR="00772E37" w:rsidRPr="00803034" w:rsidTr="00772E37">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pStyle w:val="naisf"/>
              <w:spacing w:before="0" w:after="0"/>
              <w:rPr>
                <w:i/>
              </w:rPr>
            </w:pPr>
            <w:r w:rsidRPr="00803034">
              <w:t>1.3. pašvaldību budžets</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r>
      <w:tr w:rsidR="00772E37" w:rsidRPr="00803034" w:rsidTr="00772E37">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jc w:val="both"/>
              <w:rPr>
                <w:sz w:val="24"/>
                <w:szCs w:val="24"/>
                <w:lang w:val="lv-LV"/>
              </w:rPr>
            </w:pPr>
            <w:r w:rsidRPr="00803034">
              <w:rPr>
                <w:sz w:val="24"/>
                <w:szCs w:val="24"/>
                <w:lang w:val="lv-LV"/>
              </w:rPr>
              <w:t>2. Budžeta izdevumi:</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r>
      <w:tr w:rsidR="00772E37" w:rsidRPr="00803034" w:rsidTr="00772E37">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jc w:val="both"/>
              <w:rPr>
                <w:sz w:val="24"/>
                <w:szCs w:val="24"/>
                <w:lang w:val="lv-LV"/>
              </w:rPr>
            </w:pPr>
            <w:r w:rsidRPr="00803034">
              <w:rPr>
                <w:sz w:val="24"/>
                <w:szCs w:val="24"/>
                <w:lang w:val="lv-LV"/>
              </w:rPr>
              <w:t>2.1. valsts pamatbudžets</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pStyle w:val="naisf"/>
              <w:spacing w:before="0" w:after="0"/>
            </w:pPr>
            <w:r w:rsidRPr="00803034">
              <w:t>Nav attiecināms</w:t>
            </w: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pStyle w:val="naisf"/>
              <w:spacing w:before="0" w:after="0"/>
              <w:ind w:firstLine="0"/>
            </w:pPr>
            <w:r w:rsidRPr="00803034">
              <w:t>Nav attiecināms</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pStyle w:val="naisf"/>
              <w:spacing w:before="0" w:after="0"/>
              <w:ind w:firstLine="0"/>
            </w:pPr>
            <w:r w:rsidRPr="00803034">
              <w:t>Nav attiecināms</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pStyle w:val="naisf"/>
              <w:spacing w:before="0" w:after="0"/>
              <w:ind w:firstLine="0"/>
            </w:pPr>
            <w:r w:rsidRPr="00803034">
              <w:t>Nav attiecināms</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pStyle w:val="naisf"/>
              <w:spacing w:before="0" w:after="0"/>
              <w:ind w:firstLine="0"/>
            </w:pPr>
            <w:r w:rsidRPr="00803034">
              <w:t>Nav attiecināms</w:t>
            </w:r>
          </w:p>
        </w:tc>
      </w:tr>
      <w:tr w:rsidR="00772E37" w:rsidRPr="00803034" w:rsidTr="00772E37">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jc w:val="both"/>
              <w:rPr>
                <w:sz w:val="24"/>
                <w:szCs w:val="24"/>
                <w:lang w:val="lv-LV"/>
              </w:rPr>
            </w:pPr>
            <w:r w:rsidRPr="00803034">
              <w:rPr>
                <w:sz w:val="24"/>
                <w:szCs w:val="24"/>
                <w:lang w:val="lv-LV"/>
              </w:rPr>
              <w:t>2.2. valsts speciālais budžets</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r>
      <w:tr w:rsidR="00772E37" w:rsidRPr="00803034" w:rsidTr="00772E37">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jc w:val="both"/>
              <w:rPr>
                <w:sz w:val="24"/>
                <w:szCs w:val="24"/>
                <w:lang w:val="lv-LV"/>
              </w:rPr>
            </w:pPr>
            <w:r w:rsidRPr="00803034">
              <w:rPr>
                <w:sz w:val="24"/>
                <w:szCs w:val="24"/>
                <w:lang w:val="lv-LV"/>
              </w:rPr>
              <w:t xml:space="preserve">2.3. pašvaldību budžets </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r>
      <w:tr w:rsidR="00772E37" w:rsidRPr="00803034" w:rsidTr="00772E37">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jc w:val="both"/>
              <w:rPr>
                <w:sz w:val="24"/>
                <w:szCs w:val="24"/>
                <w:lang w:val="lv-LV"/>
              </w:rPr>
            </w:pPr>
            <w:r w:rsidRPr="00803034">
              <w:rPr>
                <w:sz w:val="24"/>
                <w:szCs w:val="24"/>
                <w:lang w:val="lv-LV"/>
              </w:rPr>
              <w:t>3. Finansiālā ietekme:</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tcPr>
          <w:p w:rsidR="00772E37" w:rsidRPr="00803034" w:rsidRDefault="00772E37" w:rsidP="00D802D4">
            <w:pPr>
              <w:pStyle w:val="naisf"/>
              <w:spacing w:before="0" w:after="0"/>
              <w:jc w:val="cente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r>
      <w:tr w:rsidR="00772E37" w:rsidRPr="00803034" w:rsidTr="00772E37">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jc w:val="both"/>
              <w:rPr>
                <w:sz w:val="24"/>
                <w:szCs w:val="24"/>
                <w:lang w:val="lv-LV"/>
              </w:rPr>
            </w:pPr>
            <w:r w:rsidRPr="00803034">
              <w:rPr>
                <w:sz w:val="24"/>
                <w:szCs w:val="24"/>
                <w:lang w:val="lv-LV"/>
              </w:rPr>
              <w:t>3.1. valsts pamatbudžets</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pStyle w:val="naisf"/>
              <w:spacing w:before="0" w:after="0"/>
              <w:rPr>
                <w:i/>
              </w:rPr>
            </w:pPr>
            <w:r w:rsidRPr="00803034">
              <w:t>Nav attiecināms</w:t>
            </w: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rPr>
                <w:sz w:val="24"/>
                <w:szCs w:val="24"/>
                <w:vertAlign w:val="subscript"/>
              </w:rPr>
            </w:pPr>
            <w:r w:rsidRPr="00803034">
              <w:rPr>
                <w:sz w:val="24"/>
                <w:szCs w:val="24"/>
              </w:rPr>
              <w:t>Nav attiecināms</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pStyle w:val="naisf"/>
              <w:spacing w:before="0" w:after="0"/>
              <w:ind w:firstLine="0"/>
            </w:pPr>
            <w:r w:rsidRPr="00803034">
              <w:t>Nav attiecināms</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pStyle w:val="naisf"/>
              <w:spacing w:before="0" w:after="0"/>
              <w:ind w:firstLine="0"/>
            </w:pPr>
            <w:r w:rsidRPr="00803034">
              <w:t>Nav attiecināms</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pStyle w:val="naisf"/>
              <w:spacing w:before="0" w:after="0"/>
              <w:ind w:firstLine="0"/>
            </w:pPr>
            <w:r w:rsidRPr="00803034">
              <w:t>Nav attiecināms</w:t>
            </w:r>
          </w:p>
        </w:tc>
      </w:tr>
      <w:tr w:rsidR="00772E37" w:rsidRPr="00803034" w:rsidTr="00772E37">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jc w:val="both"/>
              <w:rPr>
                <w:sz w:val="24"/>
                <w:szCs w:val="24"/>
                <w:lang w:val="lv-LV"/>
              </w:rPr>
            </w:pPr>
            <w:r w:rsidRPr="00803034">
              <w:rPr>
                <w:sz w:val="24"/>
                <w:szCs w:val="24"/>
                <w:lang w:val="lv-LV"/>
              </w:rPr>
              <w:t>3.2. speciālais budžets</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r>
      <w:tr w:rsidR="00772E37" w:rsidRPr="00803034" w:rsidTr="00772E37">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jc w:val="both"/>
              <w:rPr>
                <w:sz w:val="24"/>
                <w:szCs w:val="24"/>
                <w:lang w:val="lv-LV"/>
              </w:rPr>
            </w:pPr>
            <w:r w:rsidRPr="00803034">
              <w:rPr>
                <w:sz w:val="24"/>
                <w:szCs w:val="24"/>
                <w:lang w:val="lv-LV"/>
              </w:rPr>
              <w:t xml:space="preserve">3.3. pašvaldību budžets </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rPr>
                <w:i/>
              </w:rPr>
            </w:pPr>
          </w:p>
        </w:tc>
      </w:tr>
      <w:tr w:rsidR="00772E37" w:rsidRPr="00803034" w:rsidTr="00772E37">
        <w:tc>
          <w:tcPr>
            <w:tcW w:w="1440" w:type="pct"/>
            <w:vMerge w:val="restar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jc w:val="both"/>
              <w:rPr>
                <w:sz w:val="24"/>
                <w:szCs w:val="24"/>
                <w:lang w:val="lv-LV"/>
              </w:rPr>
            </w:pPr>
            <w:r w:rsidRPr="00803034">
              <w:rPr>
                <w:sz w:val="24"/>
                <w:szCs w:val="24"/>
                <w:lang w:val="lv-LV"/>
              </w:rPr>
              <w:t>4. Finanšu līdzekļi papildu izde</w:t>
            </w:r>
            <w:r w:rsidRPr="00803034">
              <w:rPr>
                <w:sz w:val="24"/>
                <w:szCs w:val="24"/>
                <w:lang w:val="lv-LV"/>
              </w:rPr>
              <w:softHyphen/>
              <w:t>vumu finansēšanai (kompensējošu izdevumu samazinājumu norāda ar "+" zīmi)</w:t>
            </w:r>
          </w:p>
        </w:tc>
        <w:tc>
          <w:tcPr>
            <w:tcW w:w="735" w:type="pct"/>
            <w:vMerge w:val="restar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tcPr>
          <w:p w:rsidR="00772E37" w:rsidRPr="00803034" w:rsidRDefault="00772E37" w:rsidP="00D802D4">
            <w:pPr>
              <w:pStyle w:val="naisf"/>
              <w:spacing w:before="0" w:after="0"/>
              <w:jc w:val="left"/>
            </w:pPr>
            <w:r w:rsidRPr="00803034">
              <w:t>X</w:t>
            </w:r>
          </w:p>
          <w:p w:rsidR="00772E37" w:rsidRPr="00803034" w:rsidRDefault="00772E37" w:rsidP="00D802D4">
            <w:pPr>
              <w:rPr>
                <w:sz w:val="24"/>
                <w:szCs w:val="24"/>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pStyle w:val="naisf"/>
              <w:spacing w:before="0" w:after="0"/>
              <w:jc w:val="left"/>
            </w:pPr>
            <w:r w:rsidRPr="00803034">
              <w:t>Nav attiecināms</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pStyle w:val="naisf"/>
              <w:spacing w:before="0" w:after="0"/>
              <w:jc w:val="left"/>
            </w:pPr>
            <w:r w:rsidRPr="00803034">
              <w:t>Nav attiecināms</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pStyle w:val="naisf"/>
              <w:spacing w:before="0" w:after="0"/>
              <w:jc w:val="left"/>
            </w:pPr>
            <w:r w:rsidRPr="00803034">
              <w:t>Nav attiecināms</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pStyle w:val="naisf"/>
              <w:spacing w:before="0" w:after="0"/>
              <w:jc w:val="left"/>
            </w:pPr>
            <w:r w:rsidRPr="00803034">
              <w:t>Nav attiecināms</w:t>
            </w:r>
          </w:p>
        </w:tc>
      </w:tr>
      <w:tr w:rsidR="00772E37" w:rsidRPr="00803034" w:rsidTr="00772E37">
        <w:tc>
          <w:tcPr>
            <w:tcW w:w="0" w:type="auto"/>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72E37" w:rsidRPr="00803034" w:rsidRDefault="00772E37" w:rsidP="00D802D4">
            <w:pPr>
              <w:rPr>
                <w:sz w:val="24"/>
                <w:szCs w:val="24"/>
                <w:lang w:val="lv-LV"/>
              </w:rPr>
            </w:pPr>
          </w:p>
        </w:tc>
        <w:tc>
          <w:tcPr>
            <w:tcW w:w="0" w:type="auto"/>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72E37" w:rsidRPr="00803034" w:rsidRDefault="00772E37" w:rsidP="00D802D4">
            <w:pPr>
              <w:rPr>
                <w:sz w:val="24"/>
                <w:szCs w:val="24"/>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pStyle w:val="naisf"/>
              <w:spacing w:before="0" w:after="0"/>
              <w:jc w:val="left"/>
            </w:pPr>
            <w:r w:rsidRPr="00803034">
              <w:t>Nav attiecināms</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pStyle w:val="naisf"/>
              <w:spacing w:before="0" w:after="0"/>
              <w:jc w:val="left"/>
            </w:pPr>
            <w:r w:rsidRPr="00803034">
              <w:t>Nav attiecināms</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pStyle w:val="naisf"/>
              <w:spacing w:before="0" w:after="0"/>
              <w:jc w:val="left"/>
            </w:pPr>
            <w:r w:rsidRPr="00803034">
              <w:t>Nav attiecināms</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pStyle w:val="naisf"/>
              <w:spacing w:before="0" w:after="0"/>
              <w:jc w:val="left"/>
            </w:pPr>
            <w:r w:rsidRPr="00803034">
              <w:t>Nav attiecināms</w:t>
            </w:r>
          </w:p>
        </w:tc>
      </w:tr>
      <w:tr w:rsidR="00772E37" w:rsidRPr="00803034" w:rsidTr="00772E37">
        <w:tc>
          <w:tcPr>
            <w:tcW w:w="0" w:type="auto"/>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72E37" w:rsidRPr="00803034" w:rsidRDefault="00772E37" w:rsidP="00D802D4">
            <w:pPr>
              <w:rPr>
                <w:sz w:val="24"/>
                <w:szCs w:val="24"/>
                <w:lang w:val="lv-LV"/>
              </w:rPr>
            </w:pPr>
          </w:p>
        </w:tc>
        <w:tc>
          <w:tcPr>
            <w:tcW w:w="0" w:type="auto"/>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72E37" w:rsidRPr="00803034" w:rsidRDefault="00772E37" w:rsidP="00D802D4">
            <w:pPr>
              <w:rPr>
                <w:sz w:val="24"/>
                <w:szCs w:val="24"/>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pStyle w:val="naisf"/>
              <w:spacing w:before="0" w:after="0"/>
              <w:jc w:val="left"/>
            </w:pPr>
            <w:r w:rsidRPr="00803034">
              <w:t>Nav attiecināms</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pStyle w:val="naisf"/>
              <w:spacing w:before="0" w:after="0"/>
              <w:jc w:val="left"/>
            </w:pPr>
            <w:r w:rsidRPr="00803034">
              <w:t>Nav attiecināms</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pStyle w:val="naisf"/>
              <w:spacing w:before="0" w:after="0"/>
              <w:jc w:val="left"/>
            </w:pPr>
            <w:r w:rsidRPr="00803034">
              <w:t>Nav attiecināms</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pStyle w:val="naisf"/>
              <w:spacing w:before="0" w:after="0"/>
              <w:jc w:val="left"/>
            </w:pPr>
            <w:r w:rsidRPr="00803034">
              <w:t>Nav attiecināms</w:t>
            </w:r>
          </w:p>
        </w:tc>
      </w:tr>
      <w:tr w:rsidR="00772E37" w:rsidRPr="00803034" w:rsidTr="00772E37">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jc w:val="both"/>
              <w:rPr>
                <w:sz w:val="24"/>
                <w:szCs w:val="24"/>
                <w:lang w:val="lv-LV"/>
              </w:rPr>
            </w:pPr>
            <w:r w:rsidRPr="00803034">
              <w:rPr>
                <w:sz w:val="24"/>
                <w:szCs w:val="24"/>
                <w:lang w:val="lv-LV"/>
              </w:rPr>
              <w:t>5. Precizēta finansiālā ietekme:</w:t>
            </w:r>
          </w:p>
        </w:tc>
        <w:tc>
          <w:tcPr>
            <w:tcW w:w="735" w:type="pct"/>
            <w:vMerge w:val="restar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tcPr>
          <w:p w:rsidR="00772E37" w:rsidRPr="00803034" w:rsidRDefault="00772E37" w:rsidP="00D802D4">
            <w:pPr>
              <w:pStyle w:val="naisf"/>
              <w:spacing w:before="0" w:after="0"/>
              <w:jc w:val="left"/>
            </w:pPr>
            <w:r w:rsidRPr="00803034">
              <w:t>X</w:t>
            </w:r>
          </w:p>
          <w:p w:rsidR="00772E37" w:rsidRPr="00803034" w:rsidRDefault="00772E37" w:rsidP="00D802D4">
            <w:pPr>
              <w:pStyle w:val="naisf"/>
              <w:spacing w:before="0" w:after="0"/>
              <w:jc w:val="cente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pPr>
          </w:p>
        </w:tc>
      </w:tr>
      <w:tr w:rsidR="00772E37" w:rsidRPr="00803034" w:rsidTr="00772E37">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jc w:val="both"/>
              <w:rPr>
                <w:sz w:val="24"/>
                <w:szCs w:val="24"/>
                <w:lang w:val="lv-LV"/>
              </w:rPr>
            </w:pPr>
            <w:r w:rsidRPr="00803034">
              <w:rPr>
                <w:sz w:val="24"/>
                <w:szCs w:val="24"/>
                <w:lang w:val="lv-LV"/>
              </w:rPr>
              <w:t>5.1. valsts pamatbudžets</w:t>
            </w:r>
          </w:p>
        </w:tc>
        <w:tc>
          <w:tcPr>
            <w:tcW w:w="0" w:type="auto"/>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72E37" w:rsidRPr="00803034" w:rsidRDefault="00772E37" w:rsidP="00D802D4">
            <w:pPr>
              <w:rPr>
                <w:rFonts w:eastAsia="Times New Roman"/>
                <w:sz w:val="24"/>
                <w:szCs w:val="24"/>
                <w:lang w:val="lv-LV" w:eastAsia="lv-LV"/>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rPr>
                <w:sz w:val="24"/>
                <w:szCs w:val="24"/>
                <w:vertAlign w:val="subscript"/>
                <w:lang w:val="lv-LV"/>
              </w:rPr>
            </w:pPr>
            <w:r w:rsidRPr="00803034">
              <w:rPr>
                <w:sz w:val="24"/>
                <w:szCs w:val="24"/>
                <w:lang w:val="lv-LV"/>
              </w:rPr>
              <w:t>Nav attiecināms</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pStyle w:val="naisf"/>
              <w:spacing w:before="0" w:after="0"/>
            </w:pPr>
            <w:r w:rsidRPr="00803034">
              <w:t>Nav attiecināms</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pStyle w:val="naisf"/>
              <w:spacing w:before="0" w:after="0"/>
            </w:pPr>
            <w:r w:rsidRPr="00803034">
              <w:t>Nav attiecināms</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pStyle w:val="naisf"/>
              <w:spacing w:before="0" w:after="0"/>
            </w:pPr>
            <w:r w:rsidRPr="00803034">
              <w:t>Nav attiecināms</w:t>
            </w:r>
          </w:p>
        </w:tc>
      </w:tr>
      <w:tr w:rsidR="00772E37" w:rsidRPr="00803034" w:rsidTr="00772E37">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jc w:val="both"/>
              <w:rPr>
                <w:sz w:val="24"/>
                <w:szCs w:val="24"/>
                <w:lang w:val="lv-LV"/>
              </w:rPr>
            </w:pPr>
            <w:r w:rsidRPr="00803034">
              <w:rPr>
                <w:sz w:val="24"/>
                <w:szCs w:val="24"/>
                <w:lang w:val="lv-LV"/>
              </w:rPr>
              <w:lastRenderedPageBreak/>
              <w:t>5.2. speciālais budžets</w:t>
            </w:r>
          </w:p>
        </w:tc>
        <w:tc>
          <w:tcPr>
            <w:tcW w:w="0" w:type="auto"/>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72E37" w:rsidRPr="00803034" w:rsidRDefault="00772E37" w:rsidP="00D802D4">
            <w:pPr>
              <w:rPr>
                <w:rFonts w:eastAsia="Times New Roman"/>
                <w:sz w:val="24"/>
                <w:szCs w:val="24"/>
                <w:lang w:val="lv-LV" w:eastAsia="lv-LV"/>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pPr>
          </w:p>
        </w:tc>
      </w:tr>
      <w:tr w:rsidR="00772E37" w:rsidRPr="00803034" w:rsidTr="00772E37">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72E37" w:rsidRPr="00803034" w:rsidRDefault="00772E37" w:rsidP="00D802D4">
            <w:pPr>
              <w:jc w:val="both"/>
              <w:rPr>
                <w:sz w:val="24"/>
                <w:szCs w:val="24"/>
                <w:lang w:val="lv-LV"/>
              </w:rPr>
            </w:pPr>
            <w:r w:rsidRPr="00803034">
              <w:rPr>
                <w:sz w:val="24"/>
                <w:szCs w:val="24"/>
                <w:lang w:val="lv-LV"/>
              </w:rPr>
              <w:t xml:space="preserve">5.3. pašvaldību budžets </w:t>
            </w:r>
          </w:p>
        </w:tc>
        <w:tc>
          <w:tcPr>
            <w:tcW w:w="0" w:type="auto"/>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72E37" w:rsidRPr="00803034" w:rsidRDefault="00772E37" w:rsidP="00D802D4">
            <w:pPr>
              <w:rPr>
                <w:rFonts w:eastAsia="Times New Roman"/>
                <w:sz w:val="24"/>
                <w:szCs w:val="24"/>
                <w:lang w:val="lv-LV" w:eastAsia="lv-LV"/>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72E37" w:rsidRPr="00803034" w:rsidRDefault="00772E37" w:rsidP="00D802D4">
            <w:pPr>
              <w:pStyle w:val="naisf"/>
              <w:spacing w:before="0" w:after="0"/>
            </w:pPr>
          </w:p>
        </w:tc>
      </w:tr>
      <w:tr w:rsidR="00772E37" w:rsidRPr="00803034" w:rsidTr="0057216C">
        <w:tc>
          <w:tcPr>
            <w:tcW w:w="1440" w:type="pc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hideMark/>
          </w:tcPr>
          <w:p w:rsidR="00772E37" w:rsidRPr="00803034" w:rsidRDefault="00772E37" w:rsidP="00D802D4">
            <w:pPr>
              <w:jc w:val="both"/>
              <w:rPr>
                <w:sz w:val="24"/>
                <w:szCs w:val="24"/>
                <w:lang w:val="lv-LV"/>
              </w:rPr>
            </w:pPr>
            <w:r w:rsidRPr="00803034">
              <w:rPr>
                <w:sz w:val="24"/>
                <w:szCs w:val="24"/>
                <w:lang w:val="lv-LV"/>
              </w:rPr>
              <w:t>6. Detalizēts ieņēmumu un izdevu</w:t>
            </w:r>
            <w:r w:rsidRPr="00803034">
              <w:rPr>
                <w:sz w:val="24"/>
                <w:szCs w:val="24"/>
                <w:lang w:val="lv-LV"/>
              </w:rPr>
              <w:softHyphen/>
              <w:t>mu aprēķins (ja nepieciešams, detalizētu ieņēmumu un izdevumu aprēķinu var pievienot anotācijas pielikumā):</w:t>
            </w:r>
          </w:p>
        </w:tc>
        <w:tc>
          <w:tcPr>
            <w:tcW w:w="3520" w:type="pct"/>
            <w:gridSpan w:val="5"/>
            <w:vMerge w:val="restar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tcPr>
          <w:p w:rsidR="00772E37" w:rsidRPr="00803034" w:rsidRDefault="00772E37" w:rsidP="00D802D4">
            <w:pPr>
              <w:ind w:firstLine="451"/>
              <w:jc w:val="both"/>
              <w:rPr>
                <w:sz w:val="24"/>
                <w:szCs w:val="24"/>
                <w:lang w:val="lv-LV"/>
              </w:rPr>
            </w:pPr>
          </w:p>
        </w:tc>
      </w:tr>
      <w:tr w:rsidR="00772E37" w:rsidRPr="00803034" w:rsidTr="0057216C">
        <w:tc>
          <w:tcPr>
            <w:tcW w:w="1440" w:type="pc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tcPr>
          <w:p w:rsidR="00772E37" w:rsidRPr="00803034" w:rsidRDefault="00772E37" w:rsidP="00D802D4">
            <w:pPr>
              <w:jc w:val="both"/>
              <w:rPr>
                <w:sz w:val="24"/>
                <w:szCs w:val="24"/>
                <w:lang w:val="lv-LV"/>
              </w:rPr>
            </w:pPr>
            <w:r w:rsidRPr="00803034">
              <w:rPr>
                <w:sz w:val="24"/>
                <w:szCs w:val="24"/>
                <w:lang w:val="lv-LV"/>
              </w:rPr>
              <w:t>6.1. detalizēts ieņēmumu aprēķins</w:t>
            </w:r>
          </w:p>
          <w:p w:rsidR="00772E37" w:rsidRPr="00803034" w:rsidRDefault="00772E37" w:rsidP="00D802D4">
            <w:pPr>
              <w:jc w:val="both"/>
              <w:rPr>
                <w:sz w:val="24"/>
                <w:szCs w:val="24"/>
                <w:lang w:val="lv-LV"/>
              </w:rPr>
            </w:pPr>
          </w:p>
          <w:p w:rsidR="00772E37" w:rsidRPr="00803034" w:rsidRDefault="00772E37" w:rsidP="00D802D4">
            <w:pPr>
              <w:jc w:val="both"/>
              <w:rPr>
                <w:sz w:val="24"/>
                <w:szCs w:val="24"/>
                <w:lang w:val="lv-LV"/>
              </w:rPr>
            </w:pPr>
          </w:p>
        </w:tc>
        <w:tc>
          <w:tcPr>
            <w:tcW w:w="0" w:type="auto"/>
            <w:gridSpan w:val="5"/>
            <w:vMerge/>
            <w:tcBorders>
              <w:top w:val="thickThinSmallGap" w:sz="12" w:space="0" w:color="BFBFBF"/>
              <w:left w:val="thickThinSmallGap" w:sz="12" w:space="0" w:color="BFBFBF"/>
              <w:bottom w:val="thickThinSmallGap" w:sz="12" w:space="0" w:color="BFBFBF"/>
              <w:right w:val="thickThinSmallGap" w:sz="12" w:space="0" w:color="BFBFBF"/>
            </w:tcBorders>
            <w:vAlign w:val="center"/>
          </w:tcPr>
          <w:p w:rsidR="00772E37" w:rsidRPr="00803034" w:rsidRDefault="00772E37" w:rsidP="00D802D4">
            <w:pPr>
              <w:rPr>
                <w:sz w:val="24"/>
                <w:szCs w:val="24"/>
                <w:lang w:val="lv-LV"/>
              </w:rPr>
            </w:pPr>
          </w:p>
        </w:tc>
      </w:tr>
      <w:tr w:rsidR="00772E37" w:rsidRPr="00803034" w:rsidTr="0057216C">
        <w:trPr>
          <w:trHeight w:val="2936"/>
        </w:trPr>
        <w:tc>
          <w:tcPr>
            <w:tcW w:w="1440" w:type="pc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hideMark/>
          </w:tcPr>
          <w:p w:rsidR="00772E37" w:rsidRPr="00803034" w:rsidRDefault="00772E37" w:rsidP="00D802D4">
            <w:pPr>
              <w:jc w:val="both"/>
              <w:rPr>
                <w:sz w:val="24"/>
                <w:szCs w:val="24"/>
                <w:lang w:val="lv-LV"/>
              </w:rPr>
            </w:pPr>
            <w:r w:rsidRPr="00803034">
              <w:rPr>
                <w:sz w:val="24"/>
                <w:szCs w:val="24"/>
                <w:lang w:val="lv-LV"/>
              </w:rPr>
              <w:t>6.2. detalizēts izdevumu aprēķins</w:t>
            </w:r>
          </w:p>
        </w:tc>
        <w:tc>
          <w:tcPr>
            <w:tcW w:w="0" w:type="auto"/>
            <w:gridSpan w:val="5"/>
            <w:vMerge/>
            <w:tcBorders>
              <w:top w:val="thickThinSmallGap" w:sz="12" w:space="0" w:color="BFBFBF"/>
              <w:left w:val="thickThinSmallGap" w:sz="12" w:space="0" w:color="BFBFBF"/>
              <w:bottom w:val="thickThinSmallGap" w:sz="12" w:space="0" w:color="BFBFBF"/>
              <w:right w:val="thickThinSmallGap" w:sz="12" w:space="0" w:color="BFBFBF"/>
            </w:tcBorders>
            <w:vAlign w:val="center"/>
          </w:tcPr>
          <w:p w:rsidR="00772E37" w:rsidRPr="00803034" w:rsidRDefault="00772E37" w:rsidP="00D802D4">
            <w:pPr>
              <w:rPr>
                <w:sz w:val="24"/>
                <w:szCs w:val="24"/>
                <w:lang w:val="lv-LV"/>
              </w:rPr>
            </w:pPr>
          </w:p>
        </w:tc>
      </w:tr>
      <w:tr w:rsidR="00772E37" w:rsidRPr="00803034" w:rsidTr="0057216C">
        <w:tc>
          <w:tcPr>
            <w:tcW w:w="1440" w:type="pc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hideMark/>
          </w:tcPr>
          <w:p w:rsidR="00772E37" w:rsidRPr="00803034" w:rsidRDefault="00772E37" w:rsidP="00D802D4">
            <w:pPr>
              <w:jc w:val="both"/>
              <w:rPr>
                <w:sz w:val="24"/>
                <w:szCs w:val="24"/>
                <w:lang w:val="lv-LV"/>
              </w:rPr>
            </w:pPr>
            <w:r w:rsidRPr="00803034">
              <w:rPr>
                <w:sz w:val="24"/>
                <w:szCs w:val="24"/>
                <w:lang w:val="lv-LV"/>
              </w:rPr>
              <w:t>7. Cita informācija</w:t>
            </w:r>
          </w:p>
        </w:tc>
        <w:tc>
          <w:tcPr>
            <w:tcW w:w="3520" w:type="pct"/>
            <w:gridSpan w:val="5"/>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tcPr>
          <w:p w:rsidR="00772E37" w:rsidRPr="00803034" w:rsidRDefault="00772E37" w:rsidP="00D802D4">
            <w:pPr>
              <w:jc w:val="both"/>
              <w:rPr>
                <w:bCs/>
                <w:color w:val="000000"/>
                <w:sz w:val="24"/>
                <w:szCs w:val="24"/>
                <w:lang w:val="lv-LV"/>
              </w:rPr>
            </w:pPr>
            <w:r w:rsidRPr="00803034">
              <w:rPr>
                <w:bCs/>
                <w:color w:val="000000"/>
                <w:sz w:val="24"/>
                <w:szCs w:val="24"/>
                <w:lang w:val="lv-LV"/>
              </w:rPr>
              <w:t xml:space="preserve">Grozījumu ietekmi saistībā ar pāreju uz </w:t>
            </w:r>
            <w:r w:rsidRPr="00803034">
              <w:rPr>
                <w:bCs/>
                <w:i/>
                <w:color w:val="000000"/>
                <w:sz w:val="24"/>
                <w:szCs w:val="24"/>
                <w:lang w:val="lv-LV"/>
              </w:rPr>
              <w:t>euro</w:t>
            </w:r>
            <w:r w:rsidRPr="00803034">
              <w:rPr>
                <w:bCs/>
                <w:color w:val="000000"/>
                <w:sz w:val="24"/>
                <w:szCs w:val="24"/>
                <w:lang w:val="lv-LV"/>
              </w:rPr>
              <w:t xml:space="preserve"> (iespējamo ieņēmumu samazinājumu vai izdevumu palielinājumu) iespējams segt, nemainot attiecīgajās budžeta programmās vai apakšprogrammās finansējuma sadalījumu pa ieņēmumu, izdevumu vai finansēšanas klasifikācijas kodiem. </w:t>
            </w:r>
          </w:p>
        </w:tc>
      </w:tr>
    </w:tbl>
    <w:p w:rsidR="0076555E" w:rsidRPr="00803034" w:rsidRDefault="0076555E" w:rsidP="001E0F0B">
      <w:pPr>
        <w:pStyle w:val="NormalWeb"/>
        <w:spacing w:before="0" w:beforeAutospacing="0" w:after="0" w:afterAutospacing="0" w:line="276" w:lineRule="auto"/>
        <w:jc w:val="center"/>
        <w:rPr>
          <w:b/>
          <w:lang w:val="lv-LV"/>
        </w:rPr>
      </w:pPr>
    </w:p>
    <w:p w:rsidR="0076555E" w:rsidRPr="00803034" w:rsidRDefault="0076555E" w:rsidP="001E0F0B">
      <w:pPr>
        <w:pStyle w:val="NormalWeb"/>
        <w:spacing w:before="0" w:beforeAutospacing="0" w:after="0" w:afterAutospacing="0" w:line="276" w:lineRule="auto"/>
        <w:jc w:val="center"/>
        <w:rPr>
          <w:b/>
          <w:highlight w:val="lightGray"/>
          <w:lang w:val="lv-LV"/>
        </w:rPr>
      </w:pPr>
    </w:p>
    <w:tbl>
      <w:tblPr>
        <w:tblW w:w="9075" w:type="dxa"/>
        <w:tblInd w:w="-112"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firstRow="1" w:lastRow="0" w:firstColumn="1" w:lastColumn="0" w:noHBand="0" w:noVBand="0"/>
      </w:tblPr>
      <w:tblGrid>
        <w:gridCol w:w="426"/>
        <w:gridCol w:w="3403"/>
        <w:gridCol w:w="5246"/>
      </w:tblGrid>
      <w:tr w:rsidR="0014632D" w:rsidRPr="00803034" w:rsidTr="0014632D">
        <w:tc>
          <w:tcPr>
            <w:tcW w:w="426" w:type="dxa"/>
            <w:tcBorders>
              <w:top w:val="thickThinLargeGap" w:sz="6" w:space="0" w:color="C0C0C0"/>
              <w:left w:val="thickThinLargeGap" w:sz="6" w:space="0" w:color="C0C0C0"/>
              <w:bottom w:val="thickThinLargeGap" w:sz="6" w:space="0" w:color="C0C0C0"/>
              <w:right w:val="nil"/>
            </w:tcBorders>
          </w:tcPr>
          <w:p w:rsidR="0014632D" w:rsidRPr="00803034" w:rsidRDefault="0014632D">
            <w:pPr>
              <w:ind w:firstLine="720"/>
              <w:jc w:val="center"/>
              <w:rPr>
                <w:b/>
                <w:sz w:val="24"/>
                <w:szCs w:val="24"/>
                <w:lang w:val="lv-LV"/>
              </w:rPr>
            </w:pPr>
          </w:p>
        </w:tc>
        <w:tc>
          <w:tcPr>
            <w:tcW w:w="8647" w:type="dxa"/>
            <w:gridSpan w:val="2"/>
            <w:tcBorders>
              <w:top w:val="thickThinLargeGap" w:sz="6" w:space="0" w:color="C0C0C0"/>
              <w:left w:val="nil"/>
              <w:bottom w:val="thickThinLargeGap" w:sz="6" w:space="0" w:color="C0C0C0"/>
              <w:right w:val="thickThinLargeGap" w:sz="6" w:space="0" w:color="C0C0C0"/>
            </w:tcBorders>
            <w:hideMark/>
          </w:tcPr>
          <w:p w:rsidR="0014632D" w:rsidRPr="00803034" w:rsidRDefault="0014632D">
            <w:pPr>
              <w:rPr>
                <w:b/>
                <w:sz w:val="24"/>
                <w:szCs w:val="24"/>
                <w:lang w:val="lv-LV"/>
              </w:rPr>
            </w:pPr>
            <w:r w:rsidRPr="00803034">
              <w:rPr>
                <w:b/>
                <w:sz w:val="24"/>
                <w:szCs w:val="24"/>
                <w:lang w:val="lv-LV"/>
              </w:rPr>
              <w:t>IV. Tiesību akta projekta ietekme uz spēkā esošo tiesību normu sistēmu</w:t>
            </w:r>
          </w:p>
        </w:tc>
      </w:tr>
      <w:tr w:rsidR="0014632D" w:rsidRPr="00803034" w:rsidTr="0014632D">
        <w:tc>
          <w:tcPr>
            <w:tcW w:w="426" w:type="dxa"/>
            <w:tcBorders>
              <w:top w:val="thickThinLargeGap" w:sz="6" w:space="0" w:color="C0C0C0"/>
              <w:left w:val="thickThinLargeGap" w:sz="6" w:space="0" w:color="C0C0C0"/>
              <w:bottom w:val="thickThinLargeGap" w:sz="6" w:space="0" w:color="C0C0C0"/>
              <w:right w:val="thickThinLargeGap" w:sz="6" w:space="0" w:color="C0C0C0"/>
            </w:tcBorders>
            <w:hideMark/>
          </w:tcPr>
          <w:p w:rsidR="0014632D" w:rsidRPr="00803034" w:rsidRDefault="0014632D">
            <w:pPr>
              <w:jc w:val="both"/>
              <w:rPr>
                <w:b/>
                <w:sz w:val="24"/>
                <w:szCs w:val="24"/>
                <w:lang w:val="lv-LV"/>
              </w:rPr>
            </w:pPr>
            <w:r w:rsidRPr="00803034">
              <w:rPr>
                <w:b/>
                <w:sz w:val="24"/>
                <w:szCs w:val="24"/>
                <w:lang w:val="lv-LV"/>
              </w:rPr>
              <w:t>1.</w:t>
            </w:r>
          </w:p>
        </w:tc>
        <w:tc>
          <w:tcPr>
            <w:tcW w:w="3402" w:type="dxa"/>
            <w:tcBorders>
              <w:top w:val="thickThinLargeGap" w:sz="6" w:space="0" w:color="C0C0C0"/>
              <w:left w:val="nil"/>
              <w:bottom w:val="thickThinLargeGap" w:sz="6" w:space="0" w:color="C0C0C0"/>
              <w:right w:val="thickThinLargeGap" w:sz="6" w:space="0" w:color="C0C0C0"/>
            </w:tcBorders>
            <w:hideMark/>
          </w:tcPr>
          <w:p w:rsidR="0014632D" w:rsidRPr="00803034" w:rsidRDefault="0014632D">
            <w:pPr>
              <w:jc w:val="both"/>
              <w:rPr>
                <w:b/>
                <w:sz w:val="24"/>
                <w:szCs w:val="24"/>
                <w:lang w:val="lv-LV"/>
              </w:rPr>
            </w:pPr>
            <w:r w:rsidRPr="00803034">
              <w:rPr>
                <w:b/>
                <w:sz w:val="24"/>
                <w:szCs w:val="24"/>
                <w:lang w:val="lv-LV"/>
              </w:rPr>
              <w:t>Nepieciešamie saistītie tiesību aktu projekti</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rsidR="0014632D" w:rsidRPr="00803034" w:rsidRDefault="0014632D" w:rsidP="0014632D">
            <w:pPr>
              <w:ind w:firstLine="426"/>
              <w:jc w:val="both"/>
              <w:rPr>
                <w:sz w:val="24"/>
                <w:szCs w:val="24"/>
                <w:lang w:val="lv-LV"/>
              </w:rPr>
            </w:pPr>
            <w:r w:rsidRPr="00803034">
              <w:rPr>
                <w:bCs/>
                <w:sz w:val="24"/>
                <w:szCs w:val="24"/>
                <w:lang w:val="lv-LV"/>
              </w:rPr>
              <w:t xml:space="preserve">Noteikumu projekts ir saistīts ar Ekonomikas ministrijas sagatavoto </w:t>
            </w:r>
            <w:r w:rsidRPr="00803034">
              <w:rPr>
                <w:sz w:val="24"/>
                <w:szCs w:val="24"/>
                <w:lang w:val="lv-LV"/>
              </w:rPr>
              <w:t>Ministru kabineta rīkojuma projektu „Grozījums darbības programmas „Cilvēkresursi un nodarbinātība” papildinājumā” un tiks virzīts izskatīšanai</w:t>
            </w:r>
            <w:r w:rsidR="00E942DD" w:rsidRPr="00803034">
              <w:rPr>
                <w:sz w:val="24"/>
                <w:szCs w:val="24"/>
                <w:lang w:val="lv-LV"/>
              </w:rPr>
              <w:t xml:space="preserve"> Ministru kabinetā</w:t>
            </w:r>
            <w:r w:rsidRPr="00803034">
              <w:rPr>
                <w:sz w:val="24"/>
                <w:szCs w:val="24"/>
                <w:lang w:val="lv-LV"/>
              </w:rPr>
              <w:t xml:space="preserve"> vienlaikus ar rīkojuma projektu vai pēc tā apstiprināšanas.</w:t>
            </w:r>
          </w:p>
          <w:p w:rsidR="0014632D" w:rsidRPr="00803034" w:rsidRDefault="0014632D" w:rsidP="003A3802">
            <w:pPr>
              <w:ind w:firstLine="426"/>
              <w:jc w:val="both"/>
              <w:rPr>
                <w:b/>
                <w:sz w:val="24"/>
                <w:szCs w:val="24"/>
                <w:lang w:val="lv-LV"/>
              </w:rPr>
            </w:pPr>
            <w:r w:rsidRPr="00803034">
              <w:rPr>
                <w:sz w:val="24"/>
                <w:szCs w:val="24"/>
                <w:lang w:val="lv-LV"/>
              </w:rPr>
              <w:t>Ir nepieciešami grozījumi Ministr</w:t>
            </w:r>
            <w:r w:rsidR="00E942DD" w:rsidRPr="00803034">
              <w:rPr>
                <w:sz w:val="24"/>
                <w:szCs w:val="24"/>
                <w:lang w:val="lv-LV"/>
              </w:rPr>
              <w:t>u</w:t>
            </w:r>
            <w:r w:rsidRPr="00803034">
              <w:rPr>
                <w:sz w:val="24"/>
                <w:szCs w:val="24"/>
                <w:lang w:val="lv-LV"/>
              </w:rPr>
              <w:t xml:space="preserve"> kabineta 2009.gada 31.marta noteikumos Nr.293 „Noteikumi par darbības programmas “Cilvēkresursi un nodarbinātība” papildinājuma 1.3.1.2.aktivitāti “Atbalsts pašnodarbinātības un uzņēmējdarbības </w:t>
            </w:r>
            <w:r w:rsidRPr="00803034">
              <w:rPr>
                <w:sz w:val="24"/>
                <w:szCs w:val="24"/>
                <w:lang w:val="lv-LV"/>
              </w:rPr>
              <w:lastRenderedPageBreak/>
              <w:t>uzsākšanai”</w:t>
            </w:r>
            <w:r w:rsidR="00E942DD" w:rsidRPr="00803034">
              <w:rPr>
                <w:sz w:val="24"/>
                <w:szCs w:val="24"/>
                <w:lang w:val="lv-LV"/>
              </w:rPr>
              <w:t xml:space="preserve">. Šie grozījumi tiek izstrādāti un tiks virzīti izskatīšanai Ministru kabinetā </w:t>
            </w:r>
            <w:r w:rsidR="003A3802" w:rsidRPr="00803034">
              <w:rPr>
                <w:sz w:val="24"/>
                <w:szCs w:val="24"/>
                <w:lang w:val="lv-LV"/>
              </w:rPr>
              <w:t>vienlaikus ar</w:t>
            </w:r>
            <w:r w:rsidR="00E942DD" w:rsidRPr="00803034">
              <w:rPr>
                <w:sz w:val="24"/>
                <w:szCs w:val="24"/>
                <w:lang w:val="lv-LV"/>
              </w:rPr>
              <w:t xml:space="preserve"> MK noteikumu</w:t>
            </w:r>
            <w:r w:rsidR="003A3802" w:rsidRPr="00803034">
              <w:rPr>
                <w:sz w:val="24"/>
                <w:szCs w:val="24"/>
                <w:lang w:val="lv-LV"/>
              </w:rPr>
              <w:t xml:space="preserve"> Nr.328 grozījumiem</w:t>
            </w:r>
            <w:r w:rsidR="00E942DD" w:rsidRPr="00803034">
              <w:rPr>
                <w:sz w:val="24"/>
                <w:szCs w:val="24"/>
                <w:lang w:val="lv-LV"/>
              </w:rPr>
              <w:t xml:space="preserve">. </w:t>
            </w:r>
          </w:p>
        </w:tc>
      </w:tr>
      <w:tr w:rsidR="0014632D" w:rsidRPr="00803034" w:rsidTr="0014632D">
        <w:tc>
          <w:tcPr>
            <w:tcW w:w="426" w:type="dxa"/>
            <w:tcBorders>
              <w:top w:val="thickThinLargeGap" w:sz="6" w:space="0" w:color="C0C0C0"/>
              <w:left w:val="thickThinLargeGap" w:sz="6" w:space="0" w:color="C0C0C0"/>
              <w:bottom w:val="thickThinLargeGap" w:sz="6" w:space="0" w:color="C0C0C0"/>
              <w:right w:val="thickThinLargeGap" w:sz="6" w:space="0" w:color="C0C0C0"/>
            </w:tcBorders>
            <w:hideMark/>
          </w:tcPr>
          <w:p w:rsidR="0014632D" w:rsidRPr="00803034" w:rsidRDefault="0014632D">
            <w:pPr>
              <w:jc w:val="both"/>
              <w:rPr>
                <w:b/>
                <w:sz w:val="24"/>
                <w:szCs w:val="24"/>
                <w:lang w:val="lv-LV"/>
              </w:rPr>
            </w:pPr>
            <w:r w:rsidRPr="00803034">
              <w:rPr>
                <w:b/>
                <w:sz w:val="24"/>
                <w:szCs w:val="24"/>
                <w:lang w:val="lv-LV"/>
              </w:rPr>
              <w:lastRenderedPageBreak/>
              <w:t>2.</w:t>
            </w:r>
          </w:p>
        </w:tc>
        <w:tc>
          <w:tcPr>
            <w:tcW w:w="3402" w:type="dxa"/>
            <w:tcBorders>
              <w:top w:val="thickThinLargeGap" w:sz="6" w:space="0" w:color="C0C0C0"/>
              <w:left w:val="nil"/>
              <w:bottom w:val="thickThinLargeGap" w:sz="6" w:space="0" w:color="C0C0C0"/>
              <w:right w:val="thickThinLargeGap" w:sz="6" w:space="0" w:color="C0C0C0"/>
            </w:tcBorders>
            <w:hideMark/>
          </w:tcPr>
          <w:p w:rsidR="0014632D" w:rsidRPr="00803034" w:rsidRDefault="0014632D">
            <w:pPr>
              <w:jc w:val="both"/>
              <w:rPr>
                <w:b/>
                <w:sz w:val="24"/>
                <w:szCs w:val="24"/>
                <w:lang w:val="lv-LV"/>
              </w:rPr>
            </w:pPr>
            <w:r w:rsidRPr="00803034">
              <w:rPr>
                <w:b/>
                <w:sz w:val="24"/>
                <w:szCs w:val="24"/>
                <w:lang w:val="lv-LV"/>
              </w:rPr>
              <w:t>Cita informācija</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rsidR="0014632D" w:rsidRPr="00803034" w:rsidRDefault="0014632D">
            <w:pPr>
              <w:ind w:firstLine="426"/>
              <w:jc w:val="both"/>
              <w:rPr>
                <w:b/>
                <w:sz w:val="24"/>
                <w:szCs w:val="24"/>
                <w:lang w:val="lv-LV"/>
              </w:rPr>
            </w:pPr>
            <w:r w:rsidRPr="00803034">
              <w:rPr>
                <w:b/>
                <w:sz w:val="24"/>
                <w:szCs w:val="24"/>
                <w:lang w:val="lv-LV"/>
              </w:rPr>
              <w:t>Nav.</w:t>
            </w:r>
          </w:p>
        </w:tc>
      </w:tr>
    </w:tbl>
    <w:p w:rsidR="0014632D" w:rsidRPr="00803034" w:rsidRDefault="0014632D" w:rsidP="001E0F0B">
      <w:pPr>
        <w:pStyle w:val="NormalWeb"/>
        <w:spacing w:before="0" w:beforeAutospacing="0" w:after="0" w:afterAutospacing="0" w:line="276" w:lineRule="auto"/>
        <w:jc w:val="center"/>
        <w:rPr>
          <w:b/>
          <w:highlight w:val="lightGray"/>
          <w:lang w:val="lv-LV"/>
        </w:rPr>
      </w:pPr>
    </w:p>
    <w:p w:rsidR="0014632D" w:rsidRPr="00803034" w:rsidRDefault="0014632D" w:rsidP="0014632D">
      <w:pPr>
        <w:pStyle w:val="NormalWeb"/>
        <w:spacing w:before="0" w:beforeAutospacing="0" w:after="0" w:afterAutospacing="0" w:line="276" w:lineRule="auto"/>
        <w:jc w:val="center"/>
        <w:rPr>
          <w:b/>
          <w:lang w:val="lv-LV"/>
        </w:rPr>
      </w:pPr>
      <w:r w:rsidRPr="00803034">
        <w:rPr>
          <w:b/>
          <w:lang w:val="lv-LV"/>
        </w:rPr>
        <w:t>Anotācijas V, VI sadaļa – nav attiecināms</w:t>
      </w:r>
    </w:p>
    <w:p w:rsidR="0014632D" w:rsidRPr="00803034" w:rsidRDefault="0014632D" w:rsidP="001E0F0B">
      <w:pPr>
        <w:pStyle w:val="NormalWeb"/>
        <w:spacing w:before="0" w:beforeAutospacing="0" w:after="0" w:afterAutospacing="0" w:line="276" w:lineRule="auto"/>
        <w:jc w:val="center"/>
        <w:rPr>
          <w:b/>
          <w:highlight w:val="lightGray"/>
          <w:lang w:val="lv-LV"/>
        </w:rPr>
      </w:pPr>
    </w:p>
    <w:tbl>
      <w:tblPr>
        <w:tblW w:w="9214"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851"/>
        <w:gridCol w:w="3827"/>
        <w:gridCol w:w="4536"/>
      </w:tblGrid>
      <w:tr w:rsidR="007D3113" w:rsidRPr="00803034" w:rsidTr="00762978">
        <w:tc>
          <w:tcPr>
            <w:tcW w:w="9214" w:type="dxa"/>
            <w:gridSpan w:val="3"/>
          </w:tcPr>
          <w:p w:rsidR="007D3113" w:rsidRPr="00803034" w:rsidRDefault="007D3113" w:rsidP="00762978">
            <w:pPr>
              <w:jc w:val="center"/>
              <w:rPr>
                <w:rFonts w:eastAsia="Times New Roman"/>
                <w:b/>
                <w:sz w:val="24"/>
                <w:szCs w:val="24"/>
                <w:lang w:val="lv-LV" w:eastAsia="lv-LV"/>
              </w:rPr>
            </w:pPr>
            <w:r w:rsidRPr="00803034">
              <w:rPr>
                <w:rFonts w:eastAsia="Times New Roman"/>
                <w:b/>
                <w:sz w:val="24"/>
                <w:szCs w:val="24"/>
                <w:lang w:val="lv-LV" w:eastAsia="lv-LV"/>
              </w:rPr>
              <w:t>VII. Tiesību akta projekta izpildes nodrošināšana un tās ietekme uz institūcijām</w:t>
            </w:r>
          </w:p>
        </w:tc>
      </w:tr>
      <w:tr w:rsidR="00554313" w:rsidRPr="00803034" w:rsidTr="007D3113">
        <w:tc>
          <w:tcPr>
            <w:tcW w:w="851" w:type="dxa"/>
          </w:tcPr>
          <w:p w:rsidR="00554313" w:rsidRPr="00803034" w:rsidRDefault="00554313" w:rsidP="00762978">
            <w:pPr>
              <w:rPr>
                <w:rFonts w:eastAsia="Times New Roman"/>
                <w:sz w:val="24"/>
                <w:szCs w:val="24"/>
                <w:lang w:val="lv-LV" w:eastAsia="lv-LV"/>
              </w:rPr>
            </w:pPr>
            <w:r w:rsidRPr="00803034">
              <w:rPr>
                <w:rFonts w:eastAsia="Times New Roman"/>
                <w:sz w:val="24"/>
                <w:szCs w:val="24"/>
                <w:lang w:val="lv-LV" w:eastAsia="lv-LV"/>
              </w:rPr>
              <w:t>1.</w:t>
            </w:r>
          </w:p>
        </w:tc>
        <w:tc>
          <w:tcPr>
            <w:tcW w:w="3827" w:type="dxa"/>
            <w:hideMark/>
          </w:tcPr>
          <w:p w:rsidR="00554313" w:rsidRPr="00803034" w:rsidRDefault="00554313" w:rsidP="00762978">
            <w:pPr>
              <w:rPr>
                <w:rFonts w:eastAsia="Times New Roman"/>
                <w:sz w:val="24"/>
                <w:szCs w:val="24"/>
                <w:lang w:val="lv-LV" w:eastAsia="lv-LV"/>
              </w:rPr>
            </w:pPr>
            <w:r w:rsidRPr="00803034">
              <w:rPr>
                <w:rFonts w:eastAsia="Times New Roman"/>
                <w:sz w:val="24"/>
                <w:szCs w:val="24"/>
                <w:lang w:val="lv-LV" w:eastAsia="lv-LV"/>
              </w:rPr>
              <w:t>Projekta izpildē iesaistītās institūcijas</w:t>
            </w:r>
          </w:p>
        </w:tc>
        <w:tc>
          <w:tcPr>
            <w:tcW w:w="4536" w:type="dxa"/>
            <w:hideMark/>
          </w:tcPr>
          <w:p w:rsidR="00554313" w:rsidRPr="00803034" w:rsidRDefault="00554313" w:rsidP="004522F0">
            <w:pPr>
              <w:ind w:firstLine="485"/>
              <w:jc w:val="both"/>
              <w:rPr>
                <w:rFonts w:eastAsia="Times New Roman"/>
                <w:sz w:val="24"/>
                <w:szCs w:val="24"/>
                <w:lang w:val="lv-LV" w:eastAsia="lv-LV"/>
              </w:rPr>
            </w:pPr>
            <w:r w:rsidRPr="00803034">
              <w:rPr>
                <w:rFonts w:eastAsia="Times New Roman"/>
                <w:sz w:val="24"/>
                <w:szCs w:val="24"/>
                <w:lang w:val="lv-LV" w:eastAsia="lv-LV"/>
              </w:rPr>
              <w:t>Projekta izpildi nodrošinās valsts aģentūra „Latvijas Investīciju un attīstības aģentūra”.</w:t>
            </w:r>
          </w:p>
        </w:tc>
      </w:tr>
      <w:tr w:rsidR="00554313" w:rsidRPr="00803034" w:rsidTr="007D3113">
        <w:tc>
          <w:tcPr>
            <w:tcW w:w="851" w:type="dxa"/>
          </w:tcPr>
          <w:p w:rsidR="00554313" w:rsidRPr="00803034" w:rsidRDefault="00554313" w:rsidP="00762978">
            <w:pPr>
              <w:rPr>
                <w:rFonts w:eastAsia="Times New Roman"/>
                <w:sz w:val="24"/>
                <w:szCs w:val="24"/>
                <w:lang w:val="lv-LV" w:eastAsia="lv-LV"/>
              </w:rPr>
            </w:pPr>
            <w:r w:rsidRPr="00803034">
              <w:rPr>
                <w:rFonts w:eastAsia="Times New Roman"/>
                <w:sz w:val="24"/>
                <w:szCs w:val="24"/>
                <w:lang w:val="lv-LV" w:eastAsia="lv-LV"/>
              </w:rPr>
              <w:t>2.</w:t>
            </w:r>
          </w:p>
        </w:tc>
        <w:tc>
          <w:tcPr>
            <w:tcW w:w="3827" w:type="dxa"/>
            <w:hideMark/>
          </w:tcPr>
          <w:p w:rsidR="00554313" w:rsidRPr="00803034" w:rsidRDefault="00554313" w:rsidP="00762978">
            <w:pPr>
              <w:rPr>
                <w:rFonts w:eastAsia="Times New Roman"/>
                <w:sz w:val="24"/>
                <w:szCs w:val="24"/>
                <w:lang w:val="lv-LV" w:eastAsia="lv-LV"/>
              </w:rPr>
            </w:pPr>
            <w:r w:rsidRPr="00803034">
              <w:rPr>
                <w:rFonts w:eastAsia="Times New Roman"/>
                <w:sz w:val="24"/>
                <w:szCs w:val="24"/>
                <w:lang w:val="lv-LV" w:eastAsia="lv-LV"/>
              </w:rPr>
              <w:t>Projekta izpildes ietekme uz pārvaldes funkcijā</w:t>
            </w:r>
          </w:p>
        </w:tc>
        <w:tc>
          <w:tcPr>
            <w:tcW w:w="4536" w:type="dxa"/>
            <w:hideMark/>
          </w:tcPr>
          <w:p w:rsidR="00554313" w:rsidRPr="00803034" w:rsidRDefault="00554313" w:rsidP="004522F0">
            <w:pPr>
              <w:ind w:firstLine="485"/>
              <w:jc w:val="both"/>
              <w:rPr>
                <w:rFonts w:eastAsia="Times New Roman"/>
                <w:sz w:val="24"/>
                <w:szCs w:val="24"/>
                <w:lang w:val="lv-LV" w:eastAsia="lv-LV"/>
              </w:rPr>
            </w:pPr>
            <w:r w:rsidRPr="00803034">
              <w:rPr>
                <w:rFonts w:eastAsia="Times New Roman"/>
                <w:sz w:val="24"/>
                <w:szCs w:val="24"/>
                <w:lang w:val="lv-LV" w:eastAsia="lv-LV"/>
              </w:rPr>
              <w:t>Projekta izpilde tiks nodrošināta valsts aģentūras „Latvijas Investīciju un attīstības aģentūra” funkciju ietvaros.</w:t>
            </w:r>
          </w:p>
        </w:tc>
      </w:tr>
      <w:tr w:rsidR="00554313" w:rsidRPr="00803034" w:rsidTr="007D3113">
        <w:trPr>
          <w:trHeight w:val="930"/>
        </w:trPr>
        <w:tc>
          <w:tcPr>
            <w:tcW w:w="851" w:type="dxa"/>
          </w:tcPr>
          <w:p w:rsidR="00554313" w:rsidRPr="00803034" w:rsidRDefault="00554313" w:rsidP="00762978">
            <w:pPr>
              <w:rPr>
                <w:rFonts w:eastAsia="Times New Roman"/>
                <w:sz w:val="24"/>
                <w:szCs w:val="24"/>
                <w:lang w:val="lv-LV" w:eastAsia="lv-LV"/>
              </w:rPr>
            </w:pPr>
            <w:r w:rsidRPr="00803034">
              <w:rPr>
                <w:rFonts w:eastAsia="Times New Roman"/>
                <w:sz w:val="24"/>
                <w:szCs w:val="24"/>
                <w:lang w:val="lv-LV" w:eastAsia="lv-LV"/>
              </w:rPr>
              <w:t>3.</w:t>
            </w:r>
          </w:p>
        </w:tc>
        <w:tc>
          <w:tcPr>
            <w:tcW w:w="3827" w:type="dxa"/>
            <w:hideMark/>
          </w:tcPr>
          <w:p w:rsidR="00554313" w:rsidRPr="00803034" w:rsidRDefault="00554313" w:rsidP="00762978">
            <w:pPr>
              <w:rPr>
                <w:rFonts w:eastAsia="Times New Roman"/>
                <w:sz w:val="24"/>
                <w:szCs w:val="24"/>
                <w:lang w:val="lv-LV" w:eastAsia="lv-LV"/>
              </w:rPr>
            </w:pPr>
            <w:r w:rsidRPr="00803034">
              <w:rPr>
                <w:rFonts w:eastAsia="Times New Roman"/>
                <w:sz w:val="24"/>
                <w:szCs w:val="24"/>
                <w:lang w:val="lv-LV" w:eastAsia="lv-LV"/>
              </w:rPr>
              <w:t>Projekta izpildes ietekme uz pārvaldes institucionālo struktūru. Jaunu institūciju izveide</w:t>
            </w:r>
          </w:p>
        </w:tc>
        <w:tc>
          <w:tcPr>
            <w:tcW w:w="4536" w:type="dxa"/>
            <w:hideMark/>
          </w:tcPr>
          <w:p w:rsidR="00554313" w:rsidRPr="00803034" w:rsidRDefault="00554313" w:rsidP="004522F0">
            <w:pPr>
              <w:ind w:firstLine="485"/>
              <w:jc w:val="both"/>
              <w:rPr>
                <w:rFonts w:eastAsia="Times New Roman"/>
                <w:sz w:val="24"/>
                <w:szCs w:val="24"/>
                <w:lang w:val="lv-LV" w:eastAsia="lv-LV"/>
              </w:rPr>
            </w:pPr>
            <w:r w:rsidRPr="00803034">
              <w:rPr>
                <w:rFonts w:eastAsia="Times New Roman"/>
                <w:sz w:val="24"/>
                <w:szCs w:val="24"/>
                <w:lang w:val="lv-LV" w:eastAsia="lv-LV"/>
              </w:rPr>
              <w:t>Netiks radītas jaunas institūcijas, funkcijas tiks izpildītas valsts aģentūras „Latvijas Investīciju un attīstības aģentūra” funkciju ietvaros.</w:t>
            </w:r>
          </w:p>
        </w:tc>
      </w:tr>
      <w:tr w:rsidR="00554313" w:rsidRPr="00803034" w:rsidTr="007D3113">
        <w:trPr>
          <w:trHeight w:val="927"/>
        </w:trPr>
        <w:tc>
          <w:tcPr>
            <w:tcW w:w="851" w:type="dxa"/>
          </w:tcPr>
          <w:p w:rsidR="00554313" w:rsidRPr="00803034" w:rsidRDefault="00554313" w:rsidP="00762978">
            <w:pPr>
              <w:rPr>
                <w:rFonts w:eastAsia="Times New Roman"/>
                <w:sz w:val="24"/>
                <w:szCs w:val="24"/>
                <w:lang w:val="lv-LV" w:eastAsia="lv-LV"/>
              </w:rPr>
            </w:pPr>
            <w:r w:rsidRPr="00803034">
              <w:rPr>
                <w:rFonts w:eastAsia="Times New Roman"/>
                <w:sz w:val="24"/>
                <w:szCs w:val="24"/>
                <w:lang w:val="lv-LV" w:eastAsia="lv-LV"/>
              </w:rPr>
              <w:t>4.</w:t>
            </w:r>
          </w:p>
        </w:tc>
        <w:tc>
          <w:tcPr>
            <w:tcW w:w="3827" w:type="dxa"/>
            <w:hideMark/>
          </w:tcPr>
          <w:p w:rsidR="00554313" w:rsidRPr="00803034" w:rsidRDefault="00554313" w:rsidP="00762978">
            <w:pPr>
              <w:rPr>
                <w:rFonts w:eastAsia="Times New Roman"/>
                <w:sz w:val="24"/>
                <w:szCs w:val="24"/>
                <w:lang w:val="lv-LV" w:eastAsia="lv-LV"/>
              </w:rPr>
            </w:pPr>
            <w:r w:rsidRPr="00803034">
              <w:rPr>
                <w:rFonts w:eastAsia="Times New Roman"/>
                <w:sz w:val="24"/>
                <w:szCs w:val="24"/>
                <w:lang w:val="lv-LV" w:eastAsia="lv-LV"/>
              </w:rPr>
              <w:t>Projekta izpildes ietekmes uz pārvaldes institucionālo struktūru. Esošu institūciju likvidācija</w:t>
            </w:r>
          </w:p>
        </w:tc>
        <w:tc>
          <w:tcPr>
            <w:tcW w:w="4536" w:type="dxa"/>
            <w:hideMark/>
          </w:tcPr>
          <w:p w:rsidR="00554313" w:rsidRPr="00803034" w:rsidRDefault="00554313" w:rsidP="004522F0">
            <w:pPr>
              <w:ind w:firstLine="284"/>
              <w:jc w:val="both"/>
              <w:rPr>
                <w:rFonts w:eastAsia="Times New Roman"/>
                <w:sz w:val="24"/>
                <w:szCs w:val="24"/>
                <w:lang w:val="lv-LV" w:eastAsia="lv-LV"/>
              </w:rPr>
            </w:pPr>
            <w:r w:rsidRPr="00803034">
              <w:rPr>
                <w:rFonts w:eastAsia="Times New Roman"/>
                <w:iCs/>
                <w:sz w:val="24"/>
                <w:szCs w:val="24"/>
                <w:lang w:val="lv-LV" w:eastAsia="lv-LV"/>
              </w:rPr>
              <w:t>Projekts šo jomu neskar. </w:t>
            </w:r>
          </w:p>
        </w:tc>
      </w:tr>
      <w:tr w:rsidR="00554313" w:rsidRPr="00803034" w:rsidTr="007D3113">
        <w:trPr>
          <w:trHeight w:val="912"/>
        </w:trPr>
        <w:tc>
          <w:tcPr>
            <w:tcW w:w="851" w:type="dxa"/>
          </w:tcPr>
          <w:p w:rsidR="00554313" w:rsidRPr="00803034" w:rsidRDefault="00554313" w:rsidP="00762978">
            <w:pPr>
              <w:rPr>
                <w:rFonts w:eastAsia="Times New Roman"/>
                <w:sz w:val="24"/>
                <w:szCs w:val="24"/>
                <w:lang w:val="lv-LV" w:eastAsia="lv-LV"/>
              </w:rPr>
            </w:pPr>
            <w:r w:rsidRPr="00803034">
              <w:rPr>
                <w:rFonts w:eastAsia="Times New Roman"/>
                <w:sz w:val="24"/>
                <w:szCs w:val="24"/>
                <w:lang w:val="lv-LV" w:eastAsia="lv-LV"/>
              </w:rPr>
              <w:t>5.</w:t>
            </w:r>
          </w:p>
        </w:tc>
        <w:tc>
          <w:tcPr>
            <w:tcW w:w="3827" w:type="dxa"/>
            <w:hideMark/>
          </w:tcPr>
          <w:p w:rsidR="00554313" w:rsidRPr="00803034" w:rsidRDefault="00554313" w:rsidP="00762978">
            <w:pPr>
              <w:rPr>
                <w:rFonts w:eastAsia="Times New Roman"/>
                <w:sz w:val="24"/>
                <w:szCs w:val="24"/>
                <w:lang w:val="lv-LV" w:eastAsia="lv-LV"/>
              </w:rPr>
            </w:pPr>
            <w:r w:rsidRPr="00803034">
              <w:rPr>
                <w:rFonts w:eastAsia="Times New Roman"/>
                <w:sz w:val="24"/>
                <w:szCs w:val="24"/>
                <w:lang w:val="lv-LV" w:eastAsia="lv-LV"/>
              </w:rPr>
              <w:t>Projekta izpildes ietekmes uz pārvaldes institucionālo struktūru. Esošu institūciju reorganizācija</w:t>
            </w:r>
          </w:p>
        </w:tc>
        <w:tc>
          <w:tcPr>
            <w:tcW w:w="4536" w:type="dxa"/>
            <w:hideMark/>
          </w:tcPr>
          <w:p w:rsidR="00554313" w:rsidRPr="00803034" w:rsidRDefault="00554313" w:rsidP="004522F0">
            <w:pPr>
              <w:ind w:firstLine="284"/>
              <w:jc w:val="both"/>
              <w:rPr>
                <w:rFonts w:eastAsia="Times New Roman"/>
                <w:sz w:val="24"/>
                <w:szCs w:val="24"/>
                <w:lang w:val="lv-LV" w:eastAsia="lv-LV"/>
              </w:rPr>
            </w:pPr>
            <w:r w:rsidRPr="00803034">
              <w:rPr>
                <w:rFonts w:eastAsia="Times New Roman"/>
                <w:iCs/>
                <w:sz w:val="24"/>
                <w:szCs w:val="24"/>
                <w:lang w:val="lv-LV" w:eastAsia="lv-LV"/>
              </w:rPr>
              <w:t>Projekts šo jomu neskar. </w:t>
            </w:r>
          </w:p>
        </w:tc>
      </w:tr>
      <w:tr w:rsidR="007D3113" w:rsidRPr="00803034" w:rsidTr="007D3113">
        <w:tc>
          <w:tcPr>
            <w:tcW w:w="851" w:type="dxa"/>
          </w:tcPr>
          <w:p w:rsidR="007D3113" w:rsidRPr="00803034" w:rsidRDefault="007D3113" w:rsidP="00762978">
            <w:pPr>
              <w:rPr>
                <w:rFonts w:eastAsia="Times New Roman"/>
                <w:sz w:val="24"/>
                <w:szCs w:val="24"/>
                <w:lang w:val="lv-LV" w:eastAsia="lv-LV"/>
              </w:rPr>
            </w:pPr>
            <w:r w:rsidRPr="00803034">
              <w:rPr>
                <w:rFonts w:eastAsia="Times New Roman"/>
                <w:sz w:val="24"/>
                <w:szCs w:val="24"/>
                <w:lang w:val="lv-LV" w:eastAsia="lv-LV"/>
              </w:rPr>
              <w:t>6.</w:t>
            </w:r>
          </w:p>
        </w:tc>
        <w:tc>
          <w:tcPr>
            <w:tcW w:w="3827" w:type="dxa"/>
            <w:hideMark/>
          </w:tcPr>
          <w:p w:rsidR="007D3113" w:rsidRPr="00803034" w:rsidRDefault="007D3113" w:rsidP="00762978">
            <w:pPr>
              <w:rPr>
                <w:rFonts w:eastAsia="Times New Roman"/>
                <w:sz w:val="24"/>
                <w:szCs w:val="24"/>
                <w:lang w:val="lv-LV" w:eastAsia="lv-LV"/>
              </w:rPr>
            </w:pPr>
            <w:r w:rsidRPr="00803034">
              <w:rPr>
                <w:rFonts w:eastAsia="Times New Roman"/>
                <w:sz w:val="24"/>
                <w:szCs w:val="24"/>
                <w:lang w:val="lv-LV" w:eastAsia="lv-LV"/>
              </w:rPr>
              <w:t>Cita informācija</w:t>
            </w:r>
          </w:p>
        </w:tc>
        <w:tc>
          <w:tcPr>
            <w:tcW w:w="4536" w:type="dxa"/>
            <w:hideMark/>
          </w:tcPr>
          <w:p w:rsidR="007D3113" w:rsidRPr="00803034" w:rsidRDefault="007D3113" w:rsidP="00762978">
            <w:pPr>
              <w:ind w:firstLine="284"/>
              <w:rPr>
                <w:rFonts w:eastAsia="Times New Roman"/>
                <w:sz w:val="24"/>
                <w:szCs w:val="24"/>
                <w:lang w:val="lv-LV" w:eastAsia="lv-LV"/>
              </w:rPr>
            </w:pPr>
            <w:r w:rsidRPr="00803034">
              <w:rPr>
                <w:rFonts w:eastAsia="Times New Roman"/>
                <w:sz w:val="24"/>
                <w:szCs w:val="24"/>
                <w:lang w:val="lv-LV" w:eastAsia="lv-LV"/>
              </w:rPr>
              <w:t>Nav.</w:t>
            </w:r>
          </w:p>
        </w:tc>
      </w:tr>
    </w:tbl>
    <w:p w:rsidR="00CE5A53" w:rsidRPr="00803034" w:rsidRDefault="00CE5A53" w:rsidP="00CE5A53">
      <w:pPr>
        <w:tabs>
          <w:tab w:val="left" w:pos="7655"/>
        </w:tabs>
        <w:jc w:val="both"/>
        <w:rPr>
          <w:bCs/>
          <w:sz w:val="24"/>
          <w:szCs w:val="24"/>
          <w:lang w:val="lv-LV"/>
        </w:rPr>
      </w:pPr>
    </w:p>
    <w:p w:rsidR="00A40DA4" w:rsidRPr="00803034" w:rsidRDefault="00A40DA4" w:rsidP="00CE5A53">
      <w:pPr>
        <w:tabs>
          <w:tab w:val="left" w:pos="7655"/>
        </w:tabs>
        <w:jc w:val="both"/>
        <w:rPr>
          <w:bCs/>
          <w:sz w:val="24"/>
          <w:szCs w:val="24"/>
          <w:lang w:val="lv-LV"/>
        </w:rPr>
      </w:pPr>
    </w:p>
    <w:p w:rsidR="00A40DA4" w:rsidRPr="00803034" w:rsidRDefault="00A40DA4" w:rsidP="00CE5A53">
      <w:pPr>
        <w:tabs>
          <w:tab w:val="left" w:pos="7655"/>
        </w:tabs>
        <w:jc w:val="both"/>
        <w:rPr>
          <w:bCs/>
          <w:sz w:val="24"/>
          <w:szCs w:val="24"/>
          <w:lang w:val="lv-LV"/>
        </w:rPr>
      </w:pPr>
    </w:p>
    <w:p w:rsidR="00403EAD" w:rsidRPr="00803034" w:rsidRDefault="00C82B27" w:rsidP="00CE5A53">
      <w:pPr>
        <w:tabs>
          <w:tab w:val="left" w:pos="7655"/>
        </w:tabs>
        <w:jc w:val="both"/>
        <w:rPr>
          <w:bCs/>
          <w:sz w:val="24"/>
          <w:szCs w:val="24"/>
          <w:lang w:val="lv-LV"/>
        </w:rPr>
      </w:pPr>
      <w:r w:rsidRPr="00803034">
        <w:rPr>
          <w:bCs/>
          <w:sz w:val="24"/>
          <w:szCs w:val="24"/>
          <w:lang w:val="lv-LV"/>
        </w:rPr>
        <w:t>Ekonomikas ministrs</w:t>
      </w:r>
      <w:r w:rsidRPr="00803034">
        <w:rPr>
          <w:bCs/>
          <w:sz w:val="24"/>
          <w:szCs w:val="24"/>
          <w:lang w:val="lv-LV"/>
        </w:rPr>
        <w:tab/>
      </w:r>
      <w:r w:rsidR="005814D0" w:rsidRPr="00803034">
        <w:rPr>
          <w:bCs/>
          <w:sz w:val="24"/>
          <w:szCs w:val="24"/>
          <w:lang w:val="lv-LV"/>
        </w:rPr>
        <w:t>D.Pavļuts</w:t>
      </w:r>
    </w:p>
    <w:p w:rsidR="006521EE" w:rsidRPr="00803034" w:rsidRDefault="006521EE" w:rsidP="00CE5A53">
      <w:pPr>
        <w:pStyle w:val="EnvelopeReturn"/>
        <w:jc w:val="both"/>
        <w:rPr>
          <w:rFonts w:ascii="Times New Roman" w:hAnsi="Times New Roman"/>
          <w:color w:val="000000"/>
          <w:sz w:val="24"/>
          <w:szCs w:val="24"/>
          <w:lang w:val="lv-LV"/>
        </w:rPr>
      </w:pPr>
    </w:p>
    <w:p w:rsidR="00D5225B" w:rsidRPr="00803034" w:rsidRDefault="00D5225B" w:rsidP="00CE5A53">
      <w:pPr>
        <w:pStyle w:val="EnvelopeReturn"/>
        <w:jc w:val="both"/>
        <w:rPr>
          <w:rFonts w:ascii="Times New Roman" w:hAnsi="Times New Roman"/>
          <w:color w:val="000000"/>
          <w:sz w:val="24"/>
          <w:szCs w:val="24"/>
          <w:lang w:val="lv-LV"/>
        </w:rPr>
      </w:pPr>
    </w:p>
    <w:p w:rsidR="00403EAD" w:rsidRPr="00803034" w:rsidRDefault="00C82B27" w:rsidP="00554313">
      <w:pPr>
        <w:pStyle w:val="EnvelopeReturn"/>
        <w:jc w:val="both"/>
        <w:rPr>
          <w:rFonts w:ascii="Times New Roman" w:hAnsi="Times New Roman"/>
          <w:color w:val="000000"/>
          <w:sz w:val="24"/>
          <w:szCs w:val="24"/>
          <w:lang w:val="lv-LV"/>
        </w:rPr>
      </w:pPr>
      <w:r w:rsidRPr="00803034">
        <w:rPr>
          <w:rFonts w:ascii="Times New Roman" w:hAnsi="Times New Roman"/>
          <w:color w:val="000000"/>
          <w:sz w:val="24"/>
          <w:szCs w:val="24"/>
          <w:lang w:val="lv-LV"/>
        </w:rPr>
        <w:t>Vīza: Valsts sekretār</w:t>
      </w:r>
      <w:r w:rsidR="00554313" w:rsidRPr="00803034">
        <w:rPr>
          <w:rFonts w:ascii="Times New Roman" w:hAnsi="Times New Roman"/>
          <w:color w:val="000000"/>
          <w:sz w:val="24"/>
          <w:szCs w:val="24"/>
          <w:lang w:val="lv-LV"/>
        </w:rPr>
        <w:t>s</w:t>
      </w:r>
      <w:r w:rsidR="00554313" w:rsidRPr="00803034">
        <w:rPr>
          <w:rFonts w:ascii="Times New Roman" w:hAnsi="Times New Roman"/>
          <w:color w:val="000000"/>
          <w:sz w:val="24"/>
          <w:szCs w:val="24"/>
          <w:lang w:val="lv-LV"/>
        </w:rPr>
        <w:tab/>
      </w:r>
      <w:r w:rsidRPr="00803034">
        <w:rPr>
          <w:rFonts w:ascii="Times New Roman" w:hAnsi="Times New Roman"/>
          <w:color w:val="000000"/>
          <w:sz w:val="24"/>
          <w:szCs w:val="24"/>
          <w:lang w:val="lv-LV"/>
        </w:rPr>
        <w:tab/>
      </w:r>
      <w:r w:rsidRPr="00803034">
        <w:rPr>
          <w:rFonts w:ascii="Times New Roman" w:hAnsi="Times New Roman"/>
          <w:color w:val="000000"/>
          <w:sz w:val="24"/>
          <w:szCs w:val="24"/>
          <w:lang w:val="lv-LV"/>
        </w:rPr>
        <w:tab/>
      </w:r>
      <w:r w:rsidRPr="00803034">
        <w:rPr>
          <w:rFonts w:ascii="Times New Roman" w:hAnsi="Times New Roman"/>
          <w:color w:val="000000"/>
          <w:sz w:val="24"/>
          <w:szCs w:val="24"/>
          <w:lang w:val="lv-LV"/>
        </w:rPr>
        <w:tab/>
      </w:r>
      <w:r w:rsidRPr="00803034">
        <w:rPr>
          <w:rFonts w:ascii="Times New Roman" w:hAnsi="Times New Roman"/>
          <w:color w:val="000000"/>
          <w:sz w:val="24"/>
          <w:szCs w:val="24"/>
          <w:lang w:val="lv-LV"/>
        </w:rPr>
        <w:tab/>
      </w:r>
      <w:r w:rsidRPr="00803034">
        <w:rPr>
          <w:rFonts w:ascii="Times New Roman" w:hAnsi="Times New Roman"/>
          <w:color w:val="000000"/>
          <w:sz w:val="24"/>
          <w:szCs w:val="24"/>
          <w:lang w:val="lv-LV"/>
        </w:rPr>
        <w:tab/>
        <w:t xml:space="preserve">      </w:t>
      </w:r>
      <w:r w:rsidR="00143392" w:rsidRPr="00803034">
        <w:rPr>
          <w:rFonts w:ascii="Times New Roman" w:hAnsi="Times New Roman"/>
          <w:color w:val="000000"/>
          <w:sz w:val="24"/>
          <w:szCs w:val="24"/>
          <w:lang w:val="lv-LV"/>
        </w:rPr>
        <w:tab/>
      </w:r>
      <w:r w:rsidR="006D1940">
        <w:rPr>
          <w:rFonts w:ascii="Times New Roman" w:hAnsi="Times New Roman"/>
          <w:color w:val="000000"/>
          <w:sz w:val="24"/>
          <w:szCs w:val="24"/>
          <w:lang w:val="lv-LV"/>
        </w:rPr>
        <w:tab/>
      </w:r>
      <w:r w:rsidR="0054660D" w:rsidRPr="00803034">
        <w:rPr>
          <w:rFonts w:ascii="Times New Roman" w:hAnsi="Times New Roman"/>
          <w:color w:val="000000"/>
          <w:sz w:val="24"/>
          <w:szCs w:val="24"/>
          <w:lang w:val="lv-LV"/>
        </w:rPr>
        <w:tab/>
      </w:r>
      <w:r w:rsidR="00554313" w:rsidRPr="00803034">
        <w:rPr>
          <w:rFonts w:ascii="Times New Roman" w:hAnsi="Times New Roman"/>
          <w:color w:val="000000"/>
          <w:sz w:val="24"/>
          <w:szCs w:val="24"/>
          <w:lang w:val="lv-LV"/>
        </w:rPr>
        <w:t>J</w:t>
      </w:r>
      <w:r w:rsidRPr="00803034">
        <w:rPr>
          <w:rFonts w:ascii="Times New Roman" w:hAnsi="Times New Roman"/>
          <w:color w:val="000000"/>
          <w:sz w:val="24"/>
          <w:szCs w:val="24"/>
          <w:lang w:val="lv-LV"/>
        </w:rPr>
        <w:t>.</w:t>
      </w:r>
      <w:r w:rsidR="00554313" w:rsidRPr="00803034">
        <w:rPr>
          <w:rFonts w:ascii="Times New Roman" w:hAnsi="Times New Roman"/>
          <w:color w:val="000000"/>
          <w:sz w:val="24"/>
          <w:szCs w:val="24"/>
          <w:lang w:val="lv-LV"/>
        </w:rPr>
        <w:t>Pūce</w:t>
      </w:r>
    </w:p>
    <w:p w:rsidR="00403EAD" w:rsidRPr="00803034" w:rsidRDefault="00403EAD" w:rsidP="00CE5A53">
      <w:pPr>
        <w:jc w:val="both"/>
        <w:rPr>
          <w:color w:val="000000"/>
          <w:sz w:val="24"/>
          <w:szCs w:val="24"/>
          <w:lang w:val="lv-LV"/>
        </w:rPr>
      </w:pPr>
    </w:p>
    <w:p w:rsidR="00554313" w:rsidRPr="00803034" w:rsidRDefault="00554313" w:rsidP="00CE5A53">
      <w:pPr>
        <w:jc w:val="both"/>
        <w:rPr>
          <w:color w:val="000000"/>
          <w:sz w:val="24"/>
          <w:szCs w:val="24"/>
          <w:lang w:val="lv-LV"/>
        </w:rPr>
      </w:pPr>
    </w:p>
    <w:p w:rsidR="00554313" w:rsidRPr="00803034" w:rsidRDefault="00554313" w:rsidP="00CE5A53">
      <w:pPr>
        <w:jc w:val="both"/>
        <w:rPr>
          <w:color w:val="000000"/>
          <w:sz w:val="24"/>
          <w:szCs w:val="24"/>
          <w:lang w:val="lv-LV"/>
        </w:rPr>
      </w:pPr>
    </w:p>
    <w:p w:rsidR="00E41F53" w:rsidRDefault="00E41F53" w:rsidP="007D3113">
      <w:pPr>
        <w:jc w:val="both"/>
        <w:rPr>
          <w:color w:val="000000"/>
          <w:szCs w:val="24"/>
          <w:lang w:val="lv-LV"/>
        </w:rPr>
      </w:pPr>
      <w:r>
        <w:rPr>
          <w:color w:val="000000"/>
          <w:szCs w:val="24"/>
          <w:lang w:val="lv-LV"/>
        </w:rPr>
        <w:t>26.11.2013 17:25</w:t>
      </w:r>
    </w:p>
    <w:bookmarkStart w:id="9" w:name="_GoBack"/>
    <w:bookmarkEnd w:id="9"/>
    <w:p w:rsidR="007D3113" w:rsidRPr="00803034" w:rsidRDefault="00D4472A" w:rsidP="007D3113">
      <w:pPr>
        <w:jc w:val="both"/>
        <w:rPr>
          <w:color w:val="000000"/>
          <w:szCs w:val="24"/>
          <w:lang w:val="lv-LV"/>
        </w:rPr>
      </w:pPr>
      <w:r w:rsidRPr="00803034">
        <w:rPr>
          <w:szCs w:val="24"/>
        </w:rPr>
        <w:fldChar w:fldCharType="begin"/>
      </w:r>
      <w:r w:rsidRPr="00803034">
        <w:rPr>
          <w:szCs w:val="24"/>
          <w:lang w:val="de-DE"/>
        </w:rPr>
        <w:instrText xml:space="preserve"> NUMWORDS   \* MERGEFORMAT </w:instrText>
      </w:r>
      <w:r w:rsidRPr="00803034">
        <w:rPr>
          <w:szCs w:val="24"/>
        </w:rPr>
        <w:fldChar w:fldCharType="separate"/>
      </w:r>
      <w:r w:rsidR="00E41F53" w:rsidRPr="00E41F53">
        <w:rPr>
          <w:noProof/>
          <w:color w:val="000000"/>
          <w:szCs w:val="24"/>
          <w:lang w:val="lv-LV"/>
        </w:rPr>
        <w:t>1766</w:t>
      </w:r>
      <w:r w:rsidRPr="00803034">
        <w:rPr>
          <w:noProof/>
          <w:color w:val="000000"/>
          <w:szCs w:val="24"/>
          <w:lang w:val="lv-LV"/>
        </w:rPr>
        <w:fldChar w:fldCharType="end"/>
      </w:r>
    </w:p>
    <w:p w:rsidR="007D3113" w:rsidRPr="00803034" w:rsidRDefault="003B5EAA" w:rsidP="007D3113">
      <w:pPr>
        <w:jc w:val="both"/>
        <w:rPr>
          <w:color w:val="000000"/>
          <w:szCs w:val="24"/>
          <w:lang w:val="lv-LV"/>
        </w:rPr>
      </w:pPr>
      <w:r w:rsidRPr="00803034">
        <w:rPr>
          <w:color w:val="000000"/>
          <w:szCs w:val="24"/>
          <w:lang w:val="lv-LV"/>
        </w:rPr>
        <w:t>Zane Dziļuma</w:t>
      </w:r>
    </w:p>
    <w:p w:rsidR="007D3113" w:rsidRPr="00803034" w:rsidRDefault="007D3113" w:rsidP="007D3113">
      <w:pPr>
        <w:jc w:val="both"/>
        <w:rPr>
          <w:szCs w:val="24"/>
          <w:lang w:val="lv-LV"/>
        </w:rPr>
      </w:pPr>
      <w:r w:rsidRPr="00803034">
        <w:rPr>
          <w:color w:val="000000"/>
          <w:szCs w:val="24"/>
          <w:lang w:val="lv-LV"/>
        </w:rPr>
        <w:t>67013</w:t>
      </w:r>
      <w:r w:rsidR="003B5EAA" w:rsidRPr="00803034">
        <w:rPr>
          <w:color w:val="000000"/>
          <w:szCs w:val="24"/>
          <w:lang w:val="lv-LV"/>
        </w:rPr>
        <w:t>225</w:t>
      </w:r>
      <w:r w:rsidRPr="00803034">
        <w:rPr>
          <w:color w:val="000000"/>
          <w:szCs w:val="24"/>
          <w:lang w:val="lv-LV"/>
        </w:rPr>
        <w:t xml:space="preserve">, </w:t>
      </w:r>
      <w:r w:rsidR="003B5EAA" w:rsidRPr="00803034">
        <w:rPr>
          <w:szCs w:val="24"/>
          <w:lang w:val="lv-LV"/>
        </w:rPr>
        <w:t>Zane.Dziluma</w:t>
      </w:r>
      <w:r w:rsidRPr="00803034">
        <w:rPr>
          <w:szCs w:val="24"/>
          <w:lang w:val="lv-LV"/>
        </w:rPr>
        <w:t>@em.gov.lv</w:t>
      </w:r>
    </w:p>
    <w:sectPr w:rsidR="007D3113" w:rsidRPr="00803034"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839" w:rsidRDefault="00077839" w:rsidP="00B014C2">
      <w:r>
        <w:separator/>
      </w:r>
    </w:p>
  </w:endnote>
  <w:endnote w:type="continuationSeparator" w:id="0">
    <w:p w:rsidR="00077839" w:rsidRDefault="00077839"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F3" w:rsidRPr="002B0ECA" w:rsidRDefault="00396915" w:rsidP="002B0ECA">
    <w:pPr>
      <w:jc w:val="both"/>
      <w:rPr>
        <w:rFonts w:eastAsia="Times New Roman"/>
        <w:lang w:val="lv-LV" w:eastAsia="lv-LV"/>
      </w:rPr>
    </w:pPr>
    <w:fldSimple w:instr=" FILENAME   \* MERGEFORMAT ">
      <w:r w:rsidR="00E41F53">
        <w:rPr>
          <w:noProof/>
        </w:rPr>
        <w:t>EMAnot_261113_groz328</w:t>
      </w:r>
    </w:fldSimple>
    <w:r w:rsidR="002B0ECA" w:rsidRPr="007D3113">
      <w:t xml:space="preserve">; </w:t>
    </w:r>
    <w:r w:rsidR="002B0ECA" w:rsidRPr="002B0ECA">
      <w:rPr>
        <w:rFonts w:eastAsia="Times New Roman"/>
        <w:lang w:val="lv-LV" w:eastAsia="lv-LV"/>
      </w:rPr>
      <w:t>Ministru kabineta noteikumu projekta „Grozījumi Ministru kabineta 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 sākotnējās ietekmes n</w:t>
    </w:r>
    <w:r w:rsidR="002B0ECA">
      <w:rPr>
        <w:rFonts w:eastAsia="Times New Roman"/>
        <w:lang w:val="lv-LV" w:eastAsia="lv-LV"/>
      </w:rPr>
      <w:t>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F3" w:rsidRPr="007D3113" w:rsidRDefault="00396915" w:rsidP="002B0ECA">
    <w:pPr>
      <w:jc w:val="both"/>
      <w:rPr>
        <w:rFonts w:eastAsia="Times New Roman"/>
        <w:lang w:val="lv-LV" w:eastAsia="lv-LV"/>
      </w:rPr>
    </w:pPr>
    <w:fldSimple w:instr=" FILENAME   \* MERGEFORMAT ">
      <w:r w:rsidR="00E41F53">
        <w:rPr>
          <w:noProof/>
        </w:rPr>
        <w:t>EMAnot_261113_groz328</w:t>
      </w:r>
    </w:fldSimple>
    <w:r w:rsidR="005B6EF3" w:rsidRPr="007D3113">
      <w:t xml:space="preserve">; </w:t>
    </w:r>
    <w:r w:rsidR="002B0ECA" w:rsidRPr="002B0ECA">
      <w:rPr>
        <w:rFonts w:eastAsia="Times New Roman"/>
        <w:lang w:val="lv-LV" w:eastAsia="lv-LV"/>
      </w:rPr>
      <w:t>Ministru kabineta noteikumu projekta „Grozījumi Ministru kabineta 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 sākotnējās ietekmes n</w:t>
    </w:r>
    <w:r w:rsidR="002B0ECA">
      <w:rPr>
        <w:rFonts w:eastAsia="Times New Roman"/>
        <w:lang w:val="lv-LV" w:eastAsia="lv-LV"/>
      </w:rPr>
      <w:t>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839" w:rsidRDefault="00077839" w:rsidP="00B014C2">
      <w:r>
        <w:separator/>
      </w:r>
    </w:p>
  </w:footnote>
  <w:footnote w:type="continuationSeparator" w:id="0">
    <w:p w:rsidR="00077839" w:rsidRDefault="00077839"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F3" w:rsidRPr="00B014C2" w:rsidRDefault="005B6EF3">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E41F53">
      <w:rPr>
        <w:noProof/>
        <w:sz w:val="24"/>
        <w:szCs w:val="24"/>
      </w:rPr>
      <w:t>8</w:t>
    </w:r>
    <w:r w:rsidRPr="00B014C2">
      <w:rPr>
        <w:sz w:val="24"/>
        <w:szCs w:val="24"/>
      </w:rPr>
      <w:fldChar w:fldCharType="end"/>
    </w:r>
  </w:p>
  <w:p w:rsidR="005B6EF3" w:rsidRDefault="005B6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84"/>
        </w:tabs>
        <w:ind w:left="284" w:firstLine="425"/>
      </w:pPr>
      <w:rPr>
        <w:rFonts w:hint="default"/>
        <w:color w:val="000000"/>
        <w:position w:val="0"/>
        <w:sz w:val="20"/>
      </w:rPr>
    </w:lvl>
    <w:lvl w:ilvl="1">
      <w:start w:val="1"/>
      <w:numFmt w:val="lowerLetter"/>
      <w:lvlText w:val="%2."/>
      <w:lvlJc w:val="left"/>
      <w:pPr>
        <w:tabs>
          <w:tab w:val="num" w:pos="360"/>
        </w:tabs>
        <w:ind w:left="360" w:firstLine="1789"/>
      </w:pPr>
      <w:rPr>
        <w:rFonts w:hint="default"/>
        <w:color w:val="000000"/>
        <w:position w:val="0"/>
        <w:sz w:val="20"/>
      </w:rPr>
    </w:lvl>
    <w:lvl w:ilvl="2">
      <w:start w:val="1"/>
      <w:numFmt w:val="lowerRoman"/>
      <w:lvlText w:val="%3."/>
      <w:lvlJc w:val="left"/>
      <w:pPr>
        <w:tabs>
          <w:tab w:val="num" w:pos="340"/>
        </w:tabs>
        <w:ind w:left="340" w:firstLine="2529"/>
      </w:pPr>
      <w:rPr>
        <w:rFonts w:hint="default"/>
        <w:color w:val="000000"/>
        <w:position w:val="0"/>
        <w:sz w:val="20"/>
      </w:rPr>
    </w:lvl>
    <w:lvl w:ilvl="3">
      <w:start w:val="1"/>
      <w:numFmt w:val="decimal"/>
      <w:isLgl/>
      <w:lvlText w:val="%4."/>
      <w:lvlJc w:val="left"/>
      <w:pPr>
        <w:tabs>
          <w:tab w:val="num" w:pos="360"/>
        </w:tabs>
        <w:ind w:left="360" w:firstLine="3229"/>
      </w:pPr>
      <w:rPr>
        <w:rFonts w:hint="default"/>
        <w:color w:val="000000"/>
        <w:position w:val="0"/>
        <w:sz w:val="20"/>
      </w:rPr>
    </w:lvl>
    <w:lvl w:ilvl="4">
      <w:start w:val="1"/>
      <w:numFmt w:val="lowerLetter"/>
      <w:lvlText w:val="%5."/>
      <w:lvlJc w:val="left"/>
      <w:pPr>
        <w:tabs>
          <w:tab w:val="num" w:pos="360"/>
        </w:tabs>
        <w:ind w:left="360" w:firstLine="3949"/>
      </w:pPr>
      <w:rPr>
        <w:rFonts w:hint="default"/>
        <w:color w:val="000000"/>
        <w:position w:val="0"/>
        <w:sz w:val="20"/>
      </w:rPr>
    </w:lvl>
    <w:lvl w:ilvl="5">
      <w:start w:val="1"/>
      <w:numFmt w:val="lowerRoman"/>
      <w:lvlText w:val="%6."/>
      <w:lvlJc w:val="left"/>
      <w:pPr>
        <w:tabs>
          <w:tab w:val="num" w:pos="340"/>
        </w:tabs>
        <w:ind w:left="340" w:firstLine="4689"/>
      </w:pPr>
      <w:rPr>
        <w:rFonts w:hint="default"/>
        <w:color w:val="000000"/>
        <w:position w:val="0"/>
        <w:sz w:val="20"/>
      </w:rPr>
    </w:lvl>
    <w:lvl w:ilvl="6">
      <w:start w:val="1"/>
      <w:numFmt w:val="decimal"/>
      <w:isLgl/>
      <w:lvlText w:val="%7."/>
      <w:lvlJc w:val="left"/>
      <w:pPr>
        <w:tabs>
          <w:tab w:val="num" w:pos="360"/>
        </w:tabs>
        <w:ind w:left="360" w:firstLine="5389"/>
      </w:pPr>
      <w:rPr>
        <w:rFonts w:hint="default"/>
        <w:color w:val="000000"/>
        <w:position w:val="0"/>
        <w:sz w:val="20"/>
      </w:rPr>
    </w:lvl>
    <w:lvl w:ilvl="7">
      <w:start w:val="1"/>
      <w:numFmt w:val="lowerLetter"/>
      <w:lvlText w:val="%8."/>
      <w:lvlJc w:val="left"/>
      <w:pPr>
        <w:tabs>
          <w:tab w:val="num" w:pos="360"/>
        </w:tabs>
        <w:ind w:left="360" w:firstLine="6109"/>
      </w:pPr>
      <w:rPr>
        <w:rFonts w:hint="default"/>
        <w:color w:val="000000"/>
        <w:position w:val="0"/>
        <w:sz w:val="20"/>
      </w:rPr>
    </w:lvl>
    <w:lvl w:ilvl="8">
      <w:start w:val="1"/>
      <w:numFmt w:val="lowerRoman"/>
      <w:lvlText w:val="%9."/>
      <w:lvlJc w:val="left"/>
      <w:pPr>
        <w:tabs>
          <w:tab w:val="num" w:pos="340"/>
        </w:tabs>
        <w:ind w:left="340" w:firstLine="6849"/>
      </w:pPr>
      <w:rPr>
        <w:rFonts w:hint="default"/>
        <w:color w:val="000000"/>
        <w:position w:val="0"/>
        <w:sz w:val="20"/>
      </w:rPr>
    </w:lvl>
  </w:abstractNum>
  <w:abstractNum w:abstractNumId="1">
    <w:nsid w:val="21FD230B"/>
    <w:multiLevelType w:val="hybridMultilevel"/>
    <w:tmpl w:val="56AC9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4E10539"/>
    <w:multiLevelType w:val="hybridMultilevel"/>
    <w:tmpl w:val="F8CA012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7E24C57"/>
    <w:multiLevelType w:val="hybridMultilevel"/>
    <w:tmpl w:val="D73CAAD6"/>
    <w:lvl w:ilvl="0" w:tplc="BFE8D56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7C673D4"/>
    <w:multiLevelType w:val="hybridMultilevel"/>
    <w:tmpl w:val="937C8CC2"/>
    <w:lvl w:ilvl="0" w:tplc="C7F6DE7A">
      <w:start w:val="200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3C984F69"/>
    <w:multiLevelType w:val="hybridMultilevel"/>
    <w:tmpl w:val="001A3FCC"/>
    <w:lvl w:ilvl="0" w:tplc="013EF558">
      <w:start w:val="1"/>
      <w:numFmt w:val="decimal"/>
      <w:lvlText w:val="%1."/>
      <w:lvlJc w:val="left"/>
      <w:pPr>
        <w:tabs>
          <w:tab w:val="num" w:pos="1080"/>
        </w:tabs>
        <w:ind w:left="1080" w:hanging="36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8DA79B7"/>
    <w:multiLevelType w:val="hybridMultilevel"/>
    <w:tmpl w:val="FFDE7B3C"/>
    <w:lvl w:ilvl="0" w:tplc="5EE8603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AFB1D10"/>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nsid w:val="64B83233"/>
    <w:multiLevelType w:val="hybridMultilevel"/>
    <w:tmpl w:val="4BE2A3F4"/>
    <w:lvl w:ilvl="0" w:tplc="1124D03C">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6BC77786"/>
    <w:multiLevelType w:val="hybridMultilevel"/>
    <w:tmpl w:val="B1CA10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F142C6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712C625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nsid w:val="791B46C5"/>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7C3F4FBC"/>
    <w:multiLevelType w:val="hybridMultilevel"/>
    <w:tmpl w:val="6F3E3712"/>
    <w:lvl w:ilvl="0" w:tplc="E2A8F72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14"/>
  </w:num>
  <w:num w:numId="6">
    <w:abstractNumId w:val="7"/>
  </w:num>
  <w:num w:numId="7">
    <w:abstractNumId w:val="5"/>
  </w:num>
  <w:num w:numId="8">
    <w:abstractNumId w:val="9"/>
  </w:num>
  <w:num w:numId="9">
    <w:abstractNumId w:val="13"/>
  </w:num>
  <w:num w:numId="10">
    <w:abstractNumId w:val="6"/>
  </w:num>
  <w:num w:numId="11">
    <w:abstractNumId w:val="2"/>
  </w:num>
  <w:num w:numId="12">
    <w:abstractNumId w:val="3"/>
  </w:num>
  <w:num w:numId="13">
    <w:abstractNumId w:val="15"/>
  </w:num>
  <w:num w:numId="14">
    <w:abstractNumId w:val="10"/>
  </w:num>
  <w:num w:numId="15">
    <w:abstractNumId w:val="0"/>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09C5"/>
    <w:rsid w:val="000016AB"/>
    <w:rsid w:val="00004E51"/>
    <w:rsid w:val="00005DBB"/>
    <w:rsid w:val="0000674E"/>
    <w:rsid w:val="00010E63"/>
    <w:rsid w:val="0001186C"/>
    <w:rsid w:val="000125FF"/>
    <w:rsid w:val="000158C8"/>
    <w:rsid w:val="0001764D"/>
    <w:rsid w:val="000229E4"/>
    <w:rsid w:val="0002315B"/>
    <w:rsid w:val="00025B0A"/>
    <w:rsid w:val="0002603A"/>
    <w:rsid w:val="00026C03"/>
    <w:rsid w:val="0002762A"/>
    <w:rsid w:val="00027A74"/>
    <w:rsid w:val="000301FE"/>
    <w:rsid w:val="0003046E"/>
    <w:rsid w:val="00036E03"/>
    <w:rsid w:val="0004078B"/>
    <w:rsid w:val="000415DE"/>
    <w:rsid w:val="0004167C"/>
    <w:rsid w:val="00047EF5"/>
    <w:rsid w:val="00050EA4"/>
    <w:rsid w:val="00052996"/>
    <w:rsid w:val="00052D3E"/>
    <w:rsid w:val="00052E89"/>
    <w:rsid w:val="00063CC7"/>
    <w:rsid w:val="000643D5"/>
    <w:rsid w:val="00065AD2"/>
    <w:rsid w:val="00067A64"/>
    <w:rsid w:val="0007058B"/>
    <w:rsid w:val="000729ED"/>
    <w:rsid w:val="00077839"/>
    <w:rsid w:val="00077E10"/>
    <w:rsid w:val="00080022"/>
    <w:rsid w:val="00080026"/>
    <w:rsid w:val="00083227"/>
    <w:rsid w:val="00084A09"/>
    <w:rsid w:val="00085B01"/>
    <w:rsid w:val="00085E74"/>
    <w:rsid w:val="000921C6"/>
    <w:rsid w:val="00093614"/>
    <w:rsid w:val="0009399C"/>
    <w:rsid w:val="0009661E"/>
    <w:rsid w:val="00097583"/>
    <w:rsid w:val="000A084D"/>
    <w:rsid w:val="000A10F8"/>
    <w:rsid w:val="000A2879"/>
    <w:rsid w:val="000A3AD0"/>
    <w:rsid w:val="000A434E"/>
    <w:rsid w:val="000A4AED"/>
    <w:rsid w:val="000A53E9"/>
    <w:rsid w:val="000A5F92"/>
    <w:rsid w:val="000A696F"/>
    <w:rsid w:val="000A7437"/>
    <w:rsid w:val="000B0719"/>
    <w:rsid w:val="000B3745"/>
    <w:rsid w:val="000B4A38"/>
    <w:rsid w:val="000C0C3A"/>
    <w:rsid w:val="000C2D66"/>
    <w:rsid w:val="000C717A"/>
    <w:rsid w:val="000D0388"/>
    <w:rsid w:val="000D1257"/>
    <w:rsid w:val="000D140B"/>
    <w:rsid w:val="000D2F05"/>
    <w:rsid w:val="000D30E0"/>
    <w:rsid w:val="000D4B8D"/>
    <w:rsid w:val="000D72B7"/>
    <w:rsid w:val="000E0262"/>
    <w:rsid w:val="000E409F"/>
    <w:rsid w:val="000E4277"/>
    <w:rsid w:val="000E5595"/>
    <w:rsid w:val="000F3F4C"/>
    <w:rsid w:val="000F4577"/>
    <w:rsid w:val="000F56F0"/>
    <w:rsid w:val="000F6DB2"/>
    <w:rsid w:val="000F6E9E"/>
    <w:rsid w:val="001002E4"/>
    <w:rsid w:val="00100BBC"/>
    <w:rsid w:val="00101FE0"/>
    <w:rsid w:val="0010410B"/>
    <w:rsid w:val="001047E8"/>
    <w:rsid w:val="001102A6"/>
    <w:rsid w:val="001106FA"/>
    <w:rsid w:val="00110E66"/>
    <w:rsid w:val="00113586"/>
    <w:rsid w:val="00113D04"/>
    <w:rsid w:val="00115E25"/>
    <w:rsid w:val="0011745E"/>
    <w:rsid w:val="001237C7"/>
    <w:rsid w:val="0012452E"/>
    <w:rsid w:val="00130C6B"/>
    <w:rsid w:val="00131092"/>
    <w:rsid w:val="00131C62"/>
    <w:rsid w:val="0013447D"/>
    <w:rsid w:val="001350FB"/>
    <w:rsid w:val="00136766"/>
    <w:rsid w:val="00141EF2"/>
    <w:rsid w:val="00142CBB"/>
    <w:rsid w:val="00143392"/>
    <w:rsid w:val="0014632D"/>
    <w:rsid w:val="001507B4"/>
    <w:rsid w:val="00151A37"/>
    <w:rsid w:val="00156BF0"/>
    <w:rsid w:val="00157107"/>
    <w:rsid w:val="00166B88"/>
    <w:rsid w:val="0016720F"/>
    <w:rsid w:val="00167AFE"/>
    <w:rsid w:val="001705C0"/>
    <w:rsid w:val="001720E2"/>
    <w:rsid w:val="0017312C"/>
    <w:rsid w:val="0017573B"/>
    <w:rsid w:val="001763ED"/>
    <w:rsid w:val="001764E7"/>
    <w:rsid w:val="00176C31"/>
    <w:rsid w:val="00177DD5"/>
    <w:rsid w:val="00183131"/>
    <w:rsid w:val="001831F7"/>
    <w:rsid w:val="001861FD"/>
    <w:rsid w:val="001871BB"/>
    <w:rsid w:val="00191102"/>
    <w:rsid w:val="0019399B"/>
    <w:rsid w:val="00193BE3"/>
    <w:rsid w:val="0019488A"/>
    <w:rsid w:val="00194CFD"/>
    <w:rsid w:val="00195030"/>
    <w:rsid w:val="0019558A"/>
    <w:rsid w:val="00197296"/>
    <w:rsid w:val="001973A7"/>
    <w:rsid w:val="001A0D4B"/>
    <w:rsid w:val="001A48E1"/>
    <w:rsid w:val="001A4DDD"/>
    <w:rsid w:val="001A6894"/>
    <w:rsid w:val="001B2D54"/>
    <w:rsid w:val="001B3236"/>
    <w:rsid w:val="001B3656"/>
    <w:rsid w:val="001B5F59"/>
    <w:rsid w:val="001B6A67"/>
    <w:rsid w:val="001B6D15"/>
    <w:rsid w:val="001B7E5F"/>
    <w:rsid w:val="001C0EEE"/>
    <w:rsid w:val="001C1BFF"/>
    <w:rsid w:val="001C3410"/>
    <w:rsid w:val="001C6C0E"/>
    <w:rsid w:val="001C7ED7"/>
    <w:rsid w:val="001D04C0"/>
    <w:rsid w:val="001D1BF7"/>
    <w:rsid w:val="001D37CE"/>
    <w:rsid w:val="001D5E9C"/>
    <w:rsid w:val="001D62EC"/>
    <w:rsid w:val="001D6919"/>
    <w:rsid w:val="001D76FC"/>
    <w:rsid w:val="001E0F0B"/>
    <w:rsid w:val="001E4A96"/>
    <w:rsid w:val="001E5031"/>
    <w:rsid w:val="001F02C1"/>
    <w:rsid w:val="001F301A"/>
    <w:rsid w:val="001F36BC"/>
    <w:rsid w:val="001F4FE9"/>
    <w:rsid w:val="001F53EB"/>
    <w:rsid w:val="001F6B1B"/>
    <w:rsid w:val="001F7479"/>
    <w:rsid w:val="001F7527"/>
    <w:rsid w:val="0020037C"/>
    <w:rsid w:val="00205FEE"/>
    <w:rsid w:val="002120AC"/>
    <w:rsid w:val="0021241F"/>
    <w:rsid w:val="00213D6A"/>
    <w:rsid w:val="00217BC1"/>
    <w:rsid w:val="00222C39"/>
    <w:rsid w:val="00223C20"/>
    <w:rsid w:val="002240A0"/>
    <w:rsid w:val="0022770E"/>
    <w:rsid w:val="0023085A"/>
    <w:rsid w:val="00230FB6"/>
    <w:rsid w:val="00231BC0"/>
    <w:rsid w:val="002323CF"/>
    <w:rsid w:val="00233657"/>
    <w:rsid w:val="00234F1B"/>
    <w:rsid w:val="00237DD2"/>
    <w:rsid w:val="00240CAE"/>
    <w:rsid w:val="00241BEB"/>
    <w:rsid w:val="00243A9D"/>
    <w:rsid w:val="00246E4B"/>
    <w:rsid w:val="00247529"/>
    <w:rsid w:val="002507A0"/>
    <w:rsid w:val="002528CF"/>
    <w:rsid w:val="002538B5"/>
    <w:rsid w:val="00256DF2"/>
    <w:rsid w:val="00257A14"/>
    <w:rsid w:val="00257EAE"/>
    <w:rsid w:val="00263862"/>
    <w:rsid w:val="00264E33"/>
    <w:rsid w:val="00265959"/>
    <w:rsid w:val="0026604A"/>
    <w:rsid w:val="00271DF1"/>
    <w:rsid w:val="002720E3"/>
    <w:rsid w:val="00273F38"/>
    <w:rsid w:val="002748FF"/>
    <w:rsid w:val="0027797E"/>
    <w:rsid w:val="0028114E"/>
    <w:rsid w:val="00281EF8"/>
    <w:rsid w:val="002845ED"/>
    <w:rsid w:val="00284615"/>
    <w:rsid w:val="00284B05"/>
    <w:rsid w:val="00285B79"/>
    <w:rsid w:val="0028698C"/>
    <w:rsid w:val="00293834"/>
    <w:rsid w:val="002938EF"/>
    <w:rsid w:val="00293A76"/>
    <w:rsid w:val="00296D3D"/>
    <w:rsid w:val="002A0CEE"/>
    <w:rsid w:val="002A126D"/>
    <w:rsid w:val="002A3206"/>
    <w:rsid w:val="002A32DE"/>
    <w:rsid w:val="002A33D0"/>
    <w:rsid w:val="002A646A"/>
    <w:rsid w:val="002B0ECA"/>
    <w:rsid w:val="002B29F6"/>
    <w:rsid w:val="002B30CE"/>
    <w:rsid w:val="002B3871"/>
    <w:rsid w:val="002B4D01"/>
    <w:rsid w:val="002C0E0E"/>
    <w:rsid w:val="002C2026"/>
    <w:rsid w:val="002C20C8"/>
    <w:rsid w:val="002C4691"/>
    <w:rsid w:val="002C7CFA"/>
    <w:rsid w:val="002D549E"/>
    <w:rsid w:val="002D6463"/>
    <w:rsid w:val="002D7621"/>
    <w:rsid w:val="002D7773"/>
    <w:rsid w:val="002D7DF1"/>
    <w:rsid w:val="002E0D23"/>
    <w:rsid w:val="002E2838"/>
    <w:rsid w:val="002E507C"/>
    <w:rsid w:val="002E5461"/>
    <w:rsid w:val="002E5F43"/>
    <w:rsid w:val="002E6122"/>
    <w:rsid w:val="002E6945"/>
    <w:rsid w:val="002E7530"/>
    <w:rsid w:val="002F063C"/>
    <w:rsid w:val="002F3311"/>
    <w:rsid w:val="002F423D"/>
    <w:rsid w:val="002F4553"/>
    <w:rsid w:val="002F53BF"/>
    <w:rsid w:val="002F54CE"/>
    <w:rsid w:val="002F5BBF"/>
    <w:rsid w:val="002F5C95"/>
    <w:rsid w:val="002F6D2C"/>
    <w:rsid w:val="003000F0"/>
    <w:rsid w:val="00300539"/>
    <w:rsid w:val="00303B7C"/>
    <w:rsid w:val="00305C42"/>
    <w:rsid w:val="003108D5"/>
    <w:rsid w:val="003110AF"/>
    <w:rsid w:val="00314719"/>
    <w:rsid w:val="003170BD"/>
    <w:rsid w:val="003205FD"/>
    <w:rsid w:val="00320B71"/>
    <w:rsid w:val="00322A15"/>
    <w:rsid w:val="0032394F"/>
    <w:rsid w:val="003319EF"/>
    <w:rsid w:val="00332155"/>
    <w:rsid w:val="0033352C"/>
    <w:rsid w:val="00335837"/>
    <w:rsid w:val="003372CD"/>
    <w:rsid w:val="0034284E"/>
    <w:rsid w:val="00342D20"/>
    <w:rsid w:val="0034329B"/>
    <w:rsid w:val="00343918"/>
    <w:rsid w:val="003451DA"/>
    <w:rsid w:val="00350050"/>
    <w:rsid w:val="003523DA"/>
    <w:rsid w:val="003525FA"/>
    <w:rsid w:val="003529B2"/>
    <w:rsid w:val="00352F5C"/>
    <w:rsid w:val="0035511D"/>
    <w:rsid w:val="0035647E"/>
    <w:rsid w:val="00360437"/>
    <w:rsid w:val="00361DA6"/>
    <w:rsid w:val="00362A6F"/>
    <w:rsid w:val="003633B3"/>
    <w:rsid w:val="00363B7B"/>
    <w:rsid w:val="00366CFC"/>
    <w:rsid w:val="0037006F"/>
    <w:rsid w:val="003708DF"/>
    <w:rsid w:val="00374AA5"/>
    <w:rsid w:val="00374BCF"/>
    <w:rsid w:val="003756B1"/>
    <w:rsid w:val="00375A4C"/>
    <w:rsid w:val="00380033"/>
    <w:rsid w:val="0038115B"/>
    <w:rsid w:val="00382BEB"/>
    <w:rsid w:val="00383500"/>
    <w:rsid w:val="00384799"/>
    <w:rsid w:val="00385381"/>
    <w:rsid w:val="0038691A"/>
    <w:rsid w:val="00387598"/>
    <w:rsid w:val="00387B0C"/>
    <w:rsid w:val="00392E75"/>
    <w:rsid w:val="00395947"/>
    <w:rsid w:val="00396915"/>
    <w:rsid w:val="00396D76"/>
    <w:rsid w:val="003970C6"/>
    <w:rsid w:val="00397428"/>
    <w:rsid w:val="003A1360"/>
    <w:rsid w:val="003A22A8"/>
    <w:rsid w:val="003A2B62"/>
    <w:rsid w:val="003A3802"/>
    <w:rsid w:val="003A5963"/>
    <w:rsid w:val="003A6B5D"/>
    <w:rsid w:val="003A6DC7"/>
    <w:rsid w:val="003B3914"/>
    <w:rsid w:val="003B5EAA"/>
    <w:rsid w:val="003B7956"/>
    <w:rsid w:val="003C15B6"/>
    <w:rsid w:val="003C3FA4"/>
    <w:rsid w:val="003C3FF4"/>
    <w:rsid w:val="003C4F1E"/>
    <w:rsid w:val="003C5956"/>
    <w:rsid w:val="003C5A0B"/>
    <w:rsid w:val="003C5D28"/>
    <w:rsid w:val="003C7954"/>
    <w:rsid w:val="003D0E42"/>
    <w:rsid w:val="003D3F61"/>
    <w:rsid w:val="003E0167"/>
    <w:rsid w:val="003E0D17"/>
    <w:rsid w:val="003E1A89"/>
    <w:rsid w:val="003E28D2"/>
    <w:rsid w:val="003E2968"/>
    <w:rsid w:val="003E31BC"/>
    <w:rsid w:val="003E3604"/>
    <w:rsid w:val="003E6CB3"/>
    <w:rsid w:val="003F095C"/>
    <w:rsid w:val="003F1D99"/>
    <w:rsid w:val="003F464F"/>
    <w:rsid w:val="003F4E09"/>
    <w:rsid w:val="004001AA"/>
    <w:rsid w:val="00402B2B"/>
    <w:rsid w:val="00403279"/>
    <w:rsid w:val="00403EAD"/>
    <w:rsid w:val="00404D4B"/>
    <w:rsid w:val="00404E4B"/>
    <w:rsid w:val="004124AF"/>
    <w:rsid w:val="004133BC"/>
    <w:rsid w:val="004146B3"/>
    <w:rsid w:val="004147A8"/>
    <w:rsid w:val="004157FF"/>
    <w:rsid w:val="00415DA7"/>
    <w:rsid w:val="00420FC8"/>
    <w:rsid w:val="00423616"/>
    <w:rsid w:val="0042395B"/>
    <w:rsid w:val="0042472B"/>
    <w:rsid w:val="0042477D"/>
    <w:rsid w:val="00425D7C"/>
    <w:rsid w:val="004260C8"/>
    <w:rsid w:val="00427802"/>
    <w:rsid w:val="0043243D"/>
    <w:rsid w:val="004342AD"/>
    <w:rsid w:val="004342BE"/>
    <w:rsid w:val="004348B0"/>
    <w:rsid w:val="004368B2"/>
    <w:rsid w:val="00436978"/>
    <w:rsid w:val="00436E6A"/>
    <w:rsid w:val="00440420"/>
    <w:rsid w:val="00441BAE"/>
    <w:rsid w:val="004423A1"/>
    <w:rsid w:val="00442C22"/>
    <w:rsid w:val="004459BC"/>
    <w:rsid w:val="004527EA"/>
    <w:rsid w:val="00453F78"/>
    <w:rsid w:val="00454275"/>
    <w:rsid w:val="00455C37"/>
    <w:rsid w:val="00455EC9"/>
    <w:rsid w:val="00456ADC"/>
    <w:rsid w:val="00457E3C"/>
    <w:rsid w:val="00460A29"/>
    <w:rsid w:val="004612E5"/>
    <w:rsid w:val="0046221D"/>
    <w:rsid w:val="00465585"/>
    <w:rsid w:val="004657AC"/>
    <w:rsid w:val="00466B95"/>
    <w:rsid w:val="00470C9C"/>
    <w:rsid w:val="00471B85"/>
    <w:rsid w:val="0047230F"/>
    <w:rsid w:val="00472755"/>
    <w:rsid w:val="00475B7C"/>
    <w:rsid w:val="0047631D"/>
    <w:rsid w:val="004775F4"/>
    <w:rsid w:val="00480DD4"/>
    <w:rsid w:val="004829AD"/>
    <w:rsid w:val="0048386E"/>
    <w:rsid w:val="0048412C"/>
    <w:rsid w:val="00484C10"/>
    <w:rsid w:val="00485D96"/>
    <w:rsid w:val="00487693"/>
    <w:rsid w:val="004878E3"/>
    <w:rsid w:val="004936C3"/>
    <w:rsid w:val="00493D89"/>
    <w:rsid w:val="00496AEF"/>
    <w:rsid w:val="004970AC"/>
    <w:rsid w:val="00497585"/>
    <w:rsid w:val="004A19D5"/>
    <w:rsid w:val="004A1A10"/>
    <w:rsid w:val="004A20FA"/>
    <w:rsid w:val="004A2D43"/>
    <w:rsid w:val="004A7CF9"/>
    <w:rsid w:val="004B083E"/>
    <w:rsid w:val="004B31C4"/>
    <w:rsid w:val="004B3CA5"/>
    <w:rsid w:val="004B4A59"/>
    <w:rsid w:val="004B5DBC"/>
    <w:rsid w:val="004B638C"/>
    <w:rsid w:val="004C54F0"/>
    <w:rsid w:val="004C7B7E"/>
    <w:rsid w:val="004D096F"/>
    <w:rsid w:val="004D0BE5"/>
    <w:rsid w:val="004D1165"/>
    <w:rsid w:val="004D2235"/>
    <w:rsid w:val="004D4704"/>
    <w:rsid w:val="004D4997"/>
    <w:rsid w:val="004D6AC5"/>
    <w:rsid w:val="004D6C4B"/>
    <w:rsid w:val="004D6D11"/>
    <w:rsid w:val="004E12D3"/>
    <w:rsid w:val="004E30F5"/>
    <w:rsid w:val="004E3D3B"/>
    <w:rsid w:val="004E5580"/>
    <w:rsid w:val="004E5900"/>
    <w:rsid w:val="004E7663"/>
    <w:rsid w:val="004E7F2B"/>
    <w:rsid w:val="004F028B"/>
    <w:rsid w:val="004F2359"/>
    <w:rsid w:val="004F2F91"/>
    <w:rsid w:val="004F535E"/>
    <w:rsid w:val="004F5D06"/>
    <w:rsid w:val="004F6505"/>
    <w:rsid w:val="00502E9A"/>
    <w:rsid w:val="00503E08"/>
    <w:rsid w:val="005064C9"/>
    <w:rsid w:val="00510235"/>
    <w:rsid w:val="0051166F"/>
    <w:rsid w:val="005129D4"/>
    <w:rsid w:val="0051436F"/>
    <w:rsid w:val="00514B8A"/>
    <w:rsid w:val="00514E91"/>
    <w:rsid w:val="0051571C"/>
    <w:rsid w:val="00516838"/>
    <w:rsid w:val="00517C20"/>
    <w:rsid w:val="00520070"/>
    <w:rsid w:val="0052194D"/>
    <w:rsid w:val="00522B62"/>
    <w:rsid w:val="00522E31"/>
    <w:rsid w:val="0052331D"/>
    <w:rsid w:val="00526CAD"/>
    <w:rsid w:val="0052723E"/>
    <w:rsid w:val="005279FC"/>
    <w:rsid w:val="00530077"/>
    <w:rsid w:val="00531E23"/>
    <w:rsid w:val="00533893"/>
    <w:rsid w:val="0053500F"/>
    <w:rsid w:val="00537A29"/>
    <w:rsid w:val="00537FF6"/>
    <w:rsid w:val="005422C3"/>
    <w:rsid w:val="00542F49"/>
    <w:rsid w:val="00545DA2"/>
    <w:rsid w:val="0054660D"/>
    <w:rsid w:val="005471CA"/>
    <w:rsid w:val="00551B3C"/>
    <w:rsid w:val="00551D29"/>
    <w:rsid w:val="0055201A"/>
    <w:rsid w:val="00552966"/>
    <w:rsid w:val="00554313"/>
    <w:rsid w:val="00554A7A"/>
    <w:rsid w:val="0055556E"/>
    <w:rsid w:val="00556A56"/>
    <w:rsid w:val="00560311"/>
    <w:rsid w:val="00561CB9"/>
    <w:rsid w:val="00562046"/>
    <w:rsid w:val="00562527"/>
    <w:rsid w:val="0056528D"/>
    <w:rsid w:val="005655BB"/>
    <w:rsid w:val="0057216C"/>
    <w:rsid w:val="00575602"/>
    <w:rsid w:val="00575C67"/>
    <w:rsid w:val="00576B09"/>
    <w:rsid w:val="00580317"/>
    <w:rsid w:val="00580DE9"/>
    <w:rsid w:val="005814D0"/>
    <w:rsid w:val="0058249F"/>
    <w:rsid w:val="00584F56"/>
    <w:rsid w:val="00585D8F"/>
    <w:rsid w:val="0058667B"/>
    <w:rsid w:val="0058679B"/>
    <w:rsid w:val="005867C2"/>
    <w:rsid w:val="005867EB"/>
    <w:rsid w:val="005877DA"/>
    <w:rsid w:val="005903C8"/>
    <w:rsid w:val="00590452"/>
    <w:rsid w:val="0059610C"/>
    <w:rsid w:val="005A0ABF"/>
    <w:rsid w:val="005A59AB"/>
    <w:rsid w:val="005B1EC4"/>
    <w:rsid w:val="005B29DE"/>
    <w:rsid w:val="005B374A"/>
    <w:rsid w:val="005B4178"/>
    <w:rsid w:val="005B4D4E"/>
    <w:rsid w:val="005B5168"/>
    <w:rsid w:val="005B6EF3"/>
    <w:rsid w:val="005C03F5"/>
    <w:rsid w:val="005C251D"/>
    <w:rsid w:val="005C3235"/>
    <w:rsid w:val="005C6DDB"/>
    <w:rsid w:val="005D0CB9"/>
    <w:rsid w:val="005D2DDC"/>
    <w:rsid w:val="005D3220"/>
    <w:rsid w:val="005D3658"/>
    <w:rsid w:val="005D39EF"/>
    <w:rsid w:val="005D6B54"/>
    <w:rsid w:val="005E2C40"/>
    <w:rsid w:val="005E668A"/>
    <w:rsid w:val="005F0648"/>
    <w:rsid w:val="005F129D"/>
    <w:rsid w:val="005F5121"/>
    <w:rsid w:val="005F65CE"/>
    <w:rsid w:val="005F71F0"/>
    <w:rsid w:val="00600819"/>
    <w:rsid w:val="00604375"/>
    <w:rsid w:val="006056A8"/>
    <w:rsid w:val="00606694"/>
    <w:rsid w:val="006126A9"/>
    <w:rsid w:val="00612C3B"/>
    <w:rsid w:val="00613019"/>
    <w:rsid w:val="00613323"/>
    <w:rsid w:val="00615667"/>
    <w:rsid w:val="00616CBC"/>
    <w:rsid w:val="00620AD6"/>
    <w:rsid w:val="006218A6"/>
    <w:rsid w:val="006224F7"/>
    <w:rsid w:val="00623730"/>
    <w:rsid w:val="00627AAF"/>
    <w:rsid w:val="00630367"/>
    <w:rsid w:val="00631039"/>
    <w:rsid w:val="006316BA"/>
    <w:rsid w:val="006349DF"/>
    <w:rsid w:val="00636440"/>
    <w:rsid w:val="00637231"/>
    <w:rsid w:val="006375F0"/>
    <w:rsid w:val="00644CE2"/>
    <w:rsid w:val="006456BB"/>
    <w:rsid w:val="00647FA6"/>
    <w:rsid w:val="00650716"/>
    <w:rsid w:val="00651669"/>
    <w:rsid w:val="006521EE"/>
    <w:rsid w:val="006539BF"/>
    <w:rsid w:val="00657421"/>
    <w:rsid w:val="006611DE"/>
    <w:rsid w:val="00662C8A"/>
    <w:rsid w:val="00665C71"/>
    <w:rsid w:val="00666206"/>
    <w:rsid w:val="006677FB"/>
    <w:rsid w:val="00672A2F"/>
    <w:rsid w:val="006739B8"/>
    <w:rsid w:val="00674BA7"/>
    <w:rsid w:val="0067549F"/>
    <w:rsid w:val="00676770"/>
    <w:rsid w:val="00681496"/>
    <w:rsid w:val="00682B4A"/>
    <w:rsid w:val="00685458"/>
    <w:rsid w:val="00685AFD"/>
    <w:rsid w:val="00686E89"/>
    <w:rsid w:val="00687F3B"/>
    <w:rsid w:val="006910BE"/>
    <w:rsid w:val="006927E6"/>
    <w:rsid w:val="00693653"/>
    <w:rsid w:val="00693FAB"/>
    <w:rsid w:val="00696772"/>
    <w:rsid w:val="00696FB4"/>
    <w:rsid w:val="0069780B"/>
    <w:rsid w:val="006A22FE"/>
    <w:rsid w:val="006A33F8"/>
    <w:rsid w:val="006A40B7"/>
    <w:rsid w:val="006A59EB"/>
    <w:rsid w:val="006A7638"/>
    <w:rsid w:val="006B1596"/>
    <w:rsid w:val="006B584A"/>
    <w:rsid w:val="006C04B0"/>
    <w:rsid w:val="006C136E"/>
    <w:rsid w:val="006C1797"/>
    <w:rsid w:val="006C3B32"/>
    <w:rsid w:val="006C7341"/>
    <w:rsid w:val="006D0B9B"/>
    <w:rsid w:val="006D1940"/>
    <w:rsid w:val="006D1F62"/>
    <w:rsid w:val="006D3A18"/>
    <w:rsid w:val="006D4C40"/>
    <w:rsid w:val="006D69A4"/>
    <w:rsid w:val="006E2C3C"/>
    <w:rsid w:val="006E3C5D"/>
    <w:rsid w:val="006E41F6"/>
    <w:rsid w:val="006E498A"/>
    <w:rsid w:val="006E53FC"/>
    <w:rsid w:val="006E67D7"/>
    <w:rsid w:val="006F0C19"/>
    <w:rsid w:val="006F24A8"/>
    <w:rsid w:val="006F29B4"/>
    <w:rsid w:val="006F56C1"/>
    <w:rsid w:val="006F7BDA"/>
    <w:rsid w:val="00700070"/>
    <w:rsid w:val="007058E9"/>
    <w:rsid w:val="0071026C"/>
    <w:rsid w:val="00713A16"/>
    <w:rsid w:val="007152A8"/>
    <w:rsid w:val="00717880"/>
    <w:rsid w:val="00717F0C"/>
    <w:rsid w:val="007217E4"/>
    <w:rsid w:val="0072267A"/>
    <w:rsid w:val="00725107"/>
    <w:rsid w:val="0072668A"/>
    <w:rsid w:val="007269D1"/>
    <w:rsid w:val="007278CF"/>
    <w:rsid w:val="007315C5"/>
    <w:rsid w:val="00732894"/>
    <w:rsid w:val="007335B6"/>
    <w:rsid w:val="007355DD"/>
    <w:rsid w:val="00736188"/>
    <w:rsid w:val="007363F2"/>
    <w:rsid w:val="007366E7"/>
    <w:rsid w:val="00736BDD"/>
    <w:rsid w:val="00737AB8"/>
    <w:rsid w:val="00740174"/>
    <w:rsid w:val="00741F6A"/>
    <w:rsid w:val="00750AEA"/>
    <w:rsid w:val="00753C33"/>
    <w:rsid w:val="007547B1"/>
    <w:rsid w:val="00754859"/>
    <w:rsid w:val="00760465"/>
    <w:rsid w:val="007622F2"/>
    <w:rsid w:val="00762978"/>
    <w:rsid w:val="0076555E"/>
    <w:rsid w:val="007659DC"/>
    <w:rsid w:val="007668E9"/>
    <w:rsid w:val="00766F64"/>
    <w:rsid w:val="00767185"/>
    <w:rsid w:val="007715C1"/>
    <w:rsid w:val="00772E37"/>
    <w:rsid w:val="0077435A"/>
    <w:rsid w:val="00780424"/>
    <w:rsid w:val="007808E8"/>
    <w:rsid w:val="00781268"/>
    <w:rsid w:val="0078538E"/>
    <w:rsid w:val="00787BED"/>
    <w:rsid w:val="00787DED"/>
    <w:rsid w:val="00791212"/>
    <w:rsid w:val="00791D10"/>
    <w:rsid w:val="00794B98"/>
    <w:rsid w:val="007958E4"/>
    <w:rsid w:val="007A0D95"/>
    <w:rsid w:val="007A14D0"/>
    <w:rsid w:val="007A1D95"/>
    <w:rsid w:val="007A25F6"/>
    <w:rsid w:val="007A30ED"/>
    <w:rsid w:val="007A3DB5"/>
    <w:rsid w:val="007A52E8"/>
    <w:rsid w:val="007A7FC5"/>
    <w:rsid w:val="007B1337"/>
    <w:rsid w:val="007B1BE8"/>
    <w:rsid w:val="007B4796"/>
    <w:rsid w:val="007B67C1"/>
    <w:rsid w:val="007B6976"/>
    <w:rsid w:val="007C2992"/>
    <w:rsid w:val="007D0273"/>
    <w:rsid w:val="007D3113"/>
    <w:rsid w:val="007D6900"/>
    <w:rsid w:val="007D7613"/>
    <w:rsid w:val="007D7A8A"/>
    <w:rsid w:val="007E0AEC"/>
    <w:rsid w:val="007E13CE"/>
    <w:rsid w:val="007E268D"/>
    <w:rsid w:val="007E2F7C"/>
    <w:rsid w:val="007E34D8"/>
    <w:rsid w:val="007E3DF8"/>
    <w:rsid w:val="007E5D4D"/>
    <w:rsid w:val="007E66D5"/>
    <w:rsid w:val="007E6AE9"/>
    <w:rsid w:val="007E7623"/>
    <w:rsid w:val="007F0242"/>
    <w:rsid w:val="007F0865"/>
    <w:rsid w:val="007F0C15"/>
    <w:rsid w:val="007F1028"/>
    <w:rsid w:val="007F2DC6"/>
    <w:rsid w:val="007F5D71"/>
    <w:rsid w:val="007F73A1"/>
    <w:rsid w:val="00801790"/>
    <w:rsid w:val="00801F32"/>
    <w:rsid w:val="00803011"/>
    <w:rsid w:val="00803034"/>
    <w:rsid w:val="00806BC5"/>
    <w:rsid w:val="00807DD6"/>
    <w:rsid w:val="00810454"/>
    <w:rsid w:val="00811A5B"/>
    <w:rsid w:val="00812990"/>
    <w:rsid w:val="00813323"/>
    <w:rsid w:val="00816E5A"/>
    <w:rsid w:val="00817839"/>
    <w:rsid w:val="00820F76"/>
    <w:rsid w:val="008210B8"/>
    <w:rsid w:val="00821487"/>
    <w:rsid w:val="00823419"/>
    <w:rsid w:val="0082376A"/>
    <w:rsid w:val="00823CBA"/>
    <w:rsid w:val="00826588"/>
    <w:rsid w:val="008265EF"/>
    <w:rsid w:val="00827407"/>
    <w:rsid w:val="008274F2"/>
    <w:rsid w:val="00832642"/>
    <w:rsid w:val="00840ABC"/>
    <w:rsid w:val="00842D5F"/>
    <w:rsid w:val="00843294"/>
    <w:rsid w:val="0084423C"/>
    <w:rsid w:val="00845F2C"/>
    <w:rsid w:val="008508CF"/>
    <w:rsid w:val="008549AE"/>
    <w:rsid w:val="00860387"/>
    <w:rsid w:val="00860C80"/>
    <w:rsid w:val="00860FDE"/>
    <w:rsid w:val="00861E48"/>
    <w:rsid w:val="00862779"/>
    <w:rsid w:val="00862D34"/>
    <w:rsid w:val="00871F60"/>
    <w:rsid w:val="008737CE"/>
    <w:rsid w:val="00874C25"/>
    <w:rsid w:val="0087598A"/>
    <w:rsid w:val="008764AE"/>
    <w:rsid w:val="00877265"/>
    <w:rsid w:val="00877FED"/>
    <w:rsid w:val="00883CA1"/>
    <w:rsid w:val="00884239"/>
    <w:rsid w:val="008850DE"/>
    <w:rsid w:val="00886123"/>
    <w:rsid w:val="008871C5"/>
    <w:rsid w:val="00890831"/>
    <w:rsid w:val="0089090B"/>
    <w:rsid w:val="00891DAA"/>
    <w:rsid w:val="00891EF4"/>
    <w:rsid w:val="008927D8"/>
    <w:rsid w:val="00893263"/>
    <w:rsid w:val="0089622A"/>
    <w:rsid w:val="00896363"/>
    <w:rsid w:val="008972A4"/>
    <w:rsid w:val="00897C16"/>
    <w:rsid w:val="008A140A"/>
    <w:rsid w:val="008A515D"/>
    <w:rsid w:val="008A6786"/>
    <w:rsid w:val="008A6918"/>
    <w:rsid w:val="008B2B57"/>
    <w:rsid w:val="008B385B"/>
    <w:rsid w:val="008B3FAA"/>
    <w:rsid w:val="008B485C"/>
    <w:rsid w:val="008B6C2F"/>
    <w:rsid w:val="008B7FD6"/>
    <w:rsid w:val="008C0F58"/>
    <w:rsid w:val="008C14B4"/>
    <w:rsid w:val="008C37BE"/>
    <w:rsid w:val="008C46C8"/>
    <w:rsid w:val="008C47D6"/>
    <w:rsid w:val="008C76E4"/>
    <w:rsid w:val="008D0A17"/>
    <w:rsid w:val="008D11BF"/>
    <w:rsid w:val="008D17E5"/>
    <w:rsid w:val="008D264E"/>
    <w:rsid w:val="008D4A68"/>
    <w:rsid w:val="008D6725"/>
    <w:rsid w:val="008D78FF"/>
    <w:rsid w:val="008E0248"/>
    <w:rsid w:val="008E2ECE"/>
    <w:rsid w:val="008E2F58"/>
    <w:rsid w:val="008E429C"/>
    <w:rsid w:val="008E45A6"/>
    <w:rsid w:val="008E5140"/>
    <w:rsid w:val="008E69C9"/>
    <w:rsid w:val="008F04B9"/>
    <w:rsid w:val="008F122D"/>
    <w:rsid w:val="008F244A"/>
    <w:rsid w:val="008F48C1"/>
    <w:rsid w:val="008F4C9D"/>
    <w:rsid w:val="008F5394"/>
    <w:rsid w:val="0090048A"/>
    <w:rsid w:val="00900FF8"/>
    <w:rsid w:val="0090395A"/>
    <w:rsid w:val="0090449A"/>
    <w:rsid w:val="00904778"/>
    <w:rsid w:val="0090536A"/>
    <w:rsid w:val="009062D3"/>
    <w:rsid w:val="00906840"/>
    <w:rsid w:val="00906909"/>
    <w:rsid w:val="00910B4D"/>
    <w:rsid w:val="00911B94"/>
    <w:rsid w:val="00914CB3"/>
    <w:rsid w:val="00916054"/>
    <w:rsid w:val="00916509"/>
    <w:rsid w:val="009243DD"/>
    <w:rsid w:val="0092468A"/>
    <w:rsid w:val="00925417"/>
    <w:rsid w:val="00925C96"/>
    <w:rsid w:val="00926E4B"/>
    <w:rsid w:val="00927127"/>
    <w:rsid w:val="009277A4"/>
    <w:rsid w:val="00930DCC"/>
    <w:rsid w:val="00932BAE"/>
    <w:rsid w:val="00932C66"/>
    <w:rsid w:val="00933398"/>
    <w:rsid w:val="009347CA"/>
    <w:rsid w:val="00934C43"/>
    <w:rsid w:val="00937618"/>
    <w:rsid w:val="00937A69"/>
    <w:rsid w:val="00940388"/>
    <w:rsid w:val="009414BE"/>
    <w:rsid w:val="00944628"/>
    <w:rsid w:val="00944903"/>
    <w:rsid w:val="00945AEE"/>
    <w:rsid w:val="0094732D"/>
    <w:rsid w:val="00947AE5"/>
    <w:rsid w:val="00953044"/>
    <w:rsid w:val="00955FB6"/>
    <w:rsid w:val="009562F8"/>
    <w:rsid w:val="009566B7"/>
    <w:rsid w:val="0095696B"/>
    <w:rsid w:val="009570C6"/>
    <w:rsid w:val="009578FD"/>
    <w:rsid w:val="00957CB6"/>
    <w:rsid w:val="00962CEA"/>
    <w:rsid w:val="0096453C"/>
    <w:rsid w:val="009658DE"/>
    <w:rsid w:val="009666E8"/>
    <w:rsid w:val="0096699E"/>
    <w:rsid w:val="0097021A"/>
    <w:rsid w:val="009741BB"/>
    <w:rsid w:val="00976DE4"/>
    <w:rsid w:val="00981D69"/>
    <w:rsid w:val="00982E41"/>
    <w:rsid w:val="00985F38"/>
    <w:rsid w:val="00990D1F"/>
    <w:rsid w:val="0099344A"/>
    <w:rsid w:val="00993DF6"/>
    <w:rsid w:val="00995388"/>
    <w:rsid w:val="0099575C"/>
    <w:rsid w:val="00995863"/>
    <w:rsid w:val="009A164D"/>
    <w:rsid w:val="009A35C7"/>
    <w:rsid w:val="009A38AD"/>
    <w:rsid w:val="009A3A02"/>
    <w:rsid w:val="009A4789"/>
    <w:rsid w:val="009B0DB2"/>
    <w:rsid w:val="009B2624"/>
    <w:rsid w:val="009B2F66"/>
    <w:rsid w:val="009B4731"/>
    <w:rsid w:val="009B60FF"/>
    <w:rsid w:val="009B623D"/>
    <w:rsid w:val="009C1935"/>
    <w:rsid w:val="009C2CF9"/>
    <w:rsid w:val="009C34B1"/>
    <w:rsid w:val="009C412F"/>
    <w:rsid w:val="009C4A94"/>
    <w:rsid w:val="009C4D17"/>
    <w:rsid w:val="009C63C0"/>
    <w:rsid w:val="009C7064"/>
    <w:rsid w:val="009D10C0"/>
    <w:rsid w:val="009D142C"/>
    <w:rsid w:val="009D60E0"/>
    <w:rsid w:val="009D6B85"/>
    <w:rsid w:val="009E116E"/>
    <w:rsid w:val="009E182A"/>
    <w:rsid w:val="009E190F"/>
    <w:rsid w:val="009E1AEA"/>
    <w:rsid w:val="009E35B5"/>
    <w:rsid w:val="009E3D6E"/>
    <w:rsid w:val="009E42F2"/>
    <w:rsid w:val="009E604D"/>
    <w:rsid w:val="009E66C4"/>
    <w:rsid w:val="009E79FF"/>
    <w:rsid w:val="009E7DF3"/>
    <w:rsid w:val="009F1F15"/>
    <w:rsid w:val="009F22DF"/>
    <w:rsid w:val="009F37B4"/>
    <w:rsid w:val="009F4017"/>
    <w:rsid w:val="009F56B3"/>
    <w:rsid w:val="009F727D"/>
    <w:rsid w:val="00A04BD5"/>
    <w:rsid w:val="00A06AF5"/>
    <w:rsid w:val="00A104D4"/>
    <w:rsid w:val="00A108B9"/>
    <w:rsid w:val="00A126E6"/>
    <w:rsid w:val="00A14437"/>
    <w:rsid w:val="00A15971"/>
    <w:rsid w:val="00A20A03"/>
    <w:rsid w:val="00A24FA8"/>
    <w:rsid w:val="00A259F7"/>
    <w:rsid w:val="00A30576"/>
    <w:rsid w:val="00A30F97"/>
    <w:rsid w:val="00A326B1"/>
    <w:rsid w:val="00A3401C"/>
    <w:rsid w:val="00A34AC6"/>
    <w:rsid w:val="00A3527F"/>
    <w:rsid w:val="00A367CD"/>
    <w:rsid w:val="00A37760"/>
    <w:rsid w:val="00A37F07"/>
    <w:rsid w:val="00A40DA4"/>
    <w:rsid w:val="00A419B3"/>
    <w:rsid w:val="00A420C4"/>
    <w:rsid w:val="00A425FC"/>
    <w:rsid w:val="00A44590"/>
    <w:rsid w:val="00A465E0"/>
    <w:rsid w:val="00A46619"/>
    <w:rsid w:val="00A47339"/>
    <w:rsid w:val="00A473A7"/>
    <w:rsid w:val="00A47536"/>
    <w:rsid w:val="00A52937"/>
    <w:rsid w:val="00A52BA6"/>
    <w:rsid w:val="00A53A46"/>
    <w:rsid w:val="00A54D4C"/>
    <w:rsid w:val="00A54F7E"/>
    <w:rsid w:val="00A55C87"/>
    <w:rsid w:val="00A55F04"/>
    <w:rsid w:val="00A60E59"/>
    <w:rsid w:val="00A6113D"/>
    <w:rsid w:val="00A6164F"/>
    <w:rsid w:val="00A6168D"/>
    <w:rsid w:val="00A62155"/>
    <w:rsid w:val="00A62C9B"/>
    <w:rsid w:val="00A71A44"/>
    <w:rsid w:val="00A71F2A"/>
    <w:rsid w:val="00A7643C"/>
    <w:rsid w:val="00A779C1"/>
    <w:rsid w:val="00A806F1"/>
    <w:rsid w:val="00A81856"/>
    <w:rsid w:val="00A83B04"/>
    <w:rsid w:val="00A83E56"/>
    <w:rsid w:val="00A91BA0"/>
    <w:rsid w:val="00A92DAD"/>
    <w:rsid w:val="00A94125"/>
    <w:rsid w:val="00A963C3"/>
    <w:rsid w:val="00AA44FA"/>
    <w:rsid w:val="00AA46D0"/>
    <w:rsid w:val="00AA53C4"/>
    <w:rsid w:val="00AA5C4F"/>
    <w:rsid w:val="00AA5F61"/>
    <w:rsid w:val="00AB067F"/>
    <w:rsid w:val="00AB0D9C"/>
    <w:rsid w:val="00AB248D"/>
    <w:rsid w:val="00AB2498"/>
    <w:rsid w:val="00AB2B93"/>
    <w:rsid w:val="00AB3B70"/>
    <w:rsid w:val="00AB488D"/>
    <w:rsid w:val="00AB4910"/>
    <w:rsid w:val="00AB5720"/>
    <w:rsid w:val="00AB5B30"/>
    <w:rsid w:val="00AC0231"/>
    <w:rsid w:val="00AC1619"/>
    <w:rsid w:val="00AC4602"/>
    <w:rsid w:val="00AC51C0"/>
    <w:rsid w:val="00AC5BA9"/>
    <w:rsid w:val="00AD01D2"/>
    <w:rsid w:val="00AD03A6"/>
    <w:rsid w:val="00AD1A52"/>
    <w:rsid w:val="00AD2F9E"/>
    <w:rsid w:val="00AD452A"/>
    <w:rsid w:val="00AD5849"/>
    <w:rsid w:val="00AE05F1"/>
    <w:rsid w:val="00AE1659"/>
    <w:rsid w:val="00AE26A2"/>
    <w:rsid w:val="00AE51EC"/>
    <w:rsid w:val="00AE52B6"/>
    <w:rsid w:val="00AE6E0C"/>
    <w:rsid w:val="00AF01CF"/>
    <w:rsid w:val="00AF1E99"/>
    <w:rsid w:val="00AF32A9"/>
    <w:rsid w:val="00B014C2"/>
    <w:rsid w:val="00B01AC6"/>
    <w:rsid w:val="00B01E7B"/>
    <w:rsid w:val="00B033B8"/>
    <w:rsid w:val="00B03C16"/>
    <w:rsid w:val="00B04DBD"/>
    <w:rsid w:val="00B130BF"/>
    <w:rsid w:val="00B15301"/>
    <w:rsid w:val="00B16BFA"/>
    <w:rsid w:val="00B17C2B"/>
    <w:rsid w:val="00B20369"/>
    <w:rsid w:val="00B219DE"/>
    <w:rsid w:val="00B221CA"/>
    <w:rsid w:val="00B23B0C"/>
    <w:rsid w:val="00B24FA2"/>
    <w:rsid w:val="00B26A25"/>
    <w:rsid w:val="00B30133"/>
    <w:rsid w:val="00B30ED0"/>
    <w:rsid w:val="00B30FF1"/>
    <w:rsid w:val="00B31842"/>
    <w:rsid w:val="00B32A63"/>
    <w:rsid w:val="00B3485B"/>
    <w:rsid w:val="00B37ECA"/>
    <w:rsid w:val="00B41D2B"/>
    <w:rsid w:val="00B4309E"/>
    <w:rsid w:val="00B45132"/>
    <w:rsid w:val="00B45711"/>
    <w:rsid w:val="00B45C8B"/>
    <w:rsid w:val="00B46611"/>
    <w:rsid w:val="00B52943"/>
    <w:rsid w:val="00B56AD2"/>
    <w:rsid w:val="00B6151B"/>
    <w:rsid w:val="00B62197"/>
    <w:rsid w:val="00B626F8"/>
    <w:rsid w:val="00B63137"/>
    <w:rsid w:val="00B67838"/>
    <w:rsid w:val="00B71C6B"/>
    <w:rsid w:val="00B74BCA"/>
    <w:rsid w:val="00B7774A"/>
    <w:rsid w:val="00B800E8"/>
    <w:rsid w:val="00B80D36"/>
    <w:rsid w:val="00B813DC"/>
    <w:rsid w:val="00B81761"/>
    <w:rsid w:val="00B81E82"/>
    <w:rsid w:val="00B82499"/>
    <w:rsid w:val="00B85F43"/>
    <w:rsid w:val="00B9092D"/>
    <w:rsid w:val="00B912E7"/>
    <w:rsid w:val="00B91475"/>
    <w:rsid w:val="00B931D1"/>
    <w:rsid w:val="00B954BB"/>
    <w:rsid w:val="00B97180"/>
    <w:rsid w:val="00B97542"/>
    <w:rsid w:val="00BA0A22"/>
    <w:rsid w:val="00BA0ABB"/>
    <w:rsid w:val="00BA7293"/>
    <w:rsid w:val="00BA7603"/>
    <w:rsid w:val="00BB09C5"/>
    <w:rsid w:val="00BB1832"/>
    <w:rsid w:val="00BB4180"/>
    <w:rsid w:val="00BB63D9"/>
    <w:rsid w:val="00BB6516"/>
    <w:rsid w:val="00BB6D20"/>
    <w:rsid w:val="00BC0302"/>
    <w:rsid w:val="00BC06E8"/>
    <w:rsid w:val="00BC16B4"/>
    <w:rsid w:val="00BC1DE4"/>
    <w:rsid w:val="00BC262B"/>
    <w:rsid w:val="00BC486B"/>
    <w:rsid w:val="00BC4AAD"/>
    <w:rsid w:val="00BC51A3"/>
    <w:rsid w:val="00BC70FB"/>
    <w:rsid w:val="00BD1934"/>
    <w:rsid w:val="00BD22EA"/>
    <w:rsid w:val="00BD30B2"/>
    <w:rsid w:val="00BD3CD7"/>
    <w:rsid w:val="00BD44E2"/>
    <w:rsid w:val="00BD600A"/>
    <w:rsid w:val="00BE0EC8"/>
    <w:rsid w:val="00BE1338"/>
    <w:rsid w:val="00BE32A5"/>
    <w:rsid w:val="00BE4892"/>
    <w:rsid w:val="00BE515D"/>
    <w:rsid w:val="00BE6036"/>
    <w:rsid w:val="00BE622A"/>
    <w:rsid w:val="00BF13E2"/>
    <w:rsid w:val="00BF1FF4"/>
    <w:rsid w:val="00BF4B27"/>
    <w:rsid w:val="00C024E1"/>
    <w:rsid w:val="00C02D2F"/>
    <w:rsid w:val="00C02EEC"/>
    <w:rsid w:val="00C044F2"/>
    <w:rsid w:val="00C04B3F"/>
    <w:rsid w:val="00C0764D"/>
    <w:rsid w:val="00C10CEA"/>
    <w:rsid w:val="00C11C6A"/>
    <w:rsid w:val="00C12C72"/>
    <w:rsid w:val="00C144AD"/>
    <w:rsid w:val="00C15742"/>
    <w:rsid w:val="00C1663D"/>
    <w:rsid w:val="00C16BBF"/>
    <w:rsid w:val="00C20EF9"/>
    <w:rsid w:val="00C21702"/>
    <w:rsid w:val="00C219FF"/>
    <w:rsid w:val="00C220F3"/>
    <w:rsid w:val="00C22555"/>
    <w:rsid w:val="00C234B8"/>
    <w:rsid w:val="00C257B7"/>
    <w:rsid w:val="00C272F7"/>
    <w:rsid w:val="00C307D2"/>
    <w:rsid w:val="00C30B31"/>
    <w:rsid w:val="00C31F73"/>
    <w:rsid w:val="00C32F05"/>
    <w:rsid w:val="00C35132"/>
    <w:rsid w:val="00C35F1A"/>
    <w:rsid w:val="00C37B14"/>
    <w:rsid w:val="00C37BC8"/>
    <w:rsid w:val="00C4088E"/>
    <w:rsid w:val="00C40FDA"/>
    <w:rsid w:val="00C43F6F"/>
    <w:rsid w:val="00C4520E"/>
    <w:rsid w:val="00C45D44"/>
    <w:rsid w:val="00C50690"/>
    <w:rsid w:val="00C509E0"/>
    <w:rsid w:val="00C51784"/>
    <w:rsid w:val="00C5549D"/>
    <w:rsid w:val="00C60771"/>
    <w:rsid w:val="00C64F4A"/>
    <w:rsid w:val="00C66991"/>
    <w:rsid w:val="00C66B13"/>
    <w:rsid w:val="00C671F9"/>
    <w:rsid w:val="00C7152A"/>
    <w:rsid w:val="00C73791"/>
    <w:rsid w:val="00C73CB9"/>
    <w:rsid w:val="00C73D47"/>
    <w:rsid w:val="00C80D3A"/>
    <w:rsid w:val="00C82A06"/>
    <w:rsid w:val="00C82B27"/>
    <w:rsid w:val="00C85068"/>
    <w:rsid w:val="00C852AB"/>
    <w:rsid w:val="00C94E64"/>
    <w:rsid w:val="00CA051F"/>
    <w:rsid w:val="00CA0A26"/>
    <w:rsid w:val="00CA0B16"/>
    <w:rsid w:val="00CA181C"/>
    <w:rsid w:val="00CA334F"/>
    <w:rsid w:val="00CA4ADF"/>
    <w:rsid w:val="00CA5DE0"/>
    <w:rsid w:val="00CA6526"/>
    <w:rsid w:val="00CA6640"/>
    <w:rsid w:val="00CA7E59"/>
    <w:rsid w:val="00CB0847"/>
    <w:rsid w:val="00CB2CB2"/>
    <w:rsid w:val="00CB4D81"/>
    <w:rsid w:val="00CB5D7B"/>
    <w:rsid w:val="00CB6A16"/>
    <w:rsid w:val="00CB7A76"/>
    <w:rsid w:val="00CB7C96"/>
    <w:rsid w:val="00CB7E18"/>
    <w:rsid w:val="00CC1808"/>
    <w:rsid w:val="00CC1AF4"/>
    <w:rsid w:val="00CC76C2"/>
    <w:rsid w:val="00CD1E6F"/>
    <w:rsid w:val="00CD1F0C"/>
    <w:rsid w:val="00CD4C14"/>
    <w:rsid w:val="00CD628C"/>
    <w:rsid w:val="00CE09F6"/>
    <w:rsid w:val="00CE0F1A"/>
    <w:rsid w:val="00CE46A5"/>
    <w:rsid w:val="00CE5A53"/>
    <w:rsid w:val="00CF05DA"/>
    <w:rsid w:val="00CF0F69"/>
    <w:rsid w:val="00CF370C"/>
    <w:rsid w:val="00CF5AE5"/>
    <w:rsid w:val="00CF5C7C"/>
    <w:rsid w:val="00D01B36"/>
    <w:rsid w:val="00D0275E"/>
    <w:rsid w:val="00D03BE9"/>
    <w:rsid w:val="00D07CDB"/>
    <w:rsid w:val="00D11D2F"/>
    <w:rsid w:val="00D135FA"/>
    <w:rsid w:val="00D159F5"/>
    <w:rsid w:val="00D16BE8"/>
    <w:rsid w:val="00D17FC9"/>
    <w:rsid w:val="00D2150A"/>
    <w:rsid w:val="00D215C9"/>
    <w:rsid w:val="00D22207"/>
    <w:rsid w:val="00D25DF0"/>
    <w:rsid w:val="00D30469"/>
    <w:rsid w:val="00D305DA"/>
    <w:rsid w:val="00D30630"/>
    <w:rsid w:val="00D315BC"/>
    <w:rsid w:val="00D33BC8"/>
    <w:rsid w:val="00D33C38"/>
    <w:rsid w:val="00D346C8"/>
    <w:rsid w:val="00D347F4"/>
    <w:rsid w:val="00D402F5"/>
    <w:rsid w:val="00D41B36"/>
    <w:rsid w:val="00D42829"/>
    <w:rsid w:val="00D4472A"/>
    <w:rsid w:val="00D507F1"/>
    <w:rsid w:val="00D5184D"/>
    <w:rsid w:val="00D51E6D"/>
    <w:rsid w:val="00D5225B"/>
    <w:rsid w:val="00D62CCB"/>
    <w:rsid w:val="00D67DC0"/>
    <w:rsid w:val="00D67E3F"/>
    <w:rsid w:val="00D7051C"/>
    <w:rsid w:val="00D71175"/>
    <w:rsid w:val="00D7256E"/>
    <w:rsid w:val="00D729A2"/>
    <w:rsid w:val="00D74282"/>
    <w:rsid w:val="00D751F5"/>
    <w:rsid w:val="00D75E37"/>
    <w:rsid w:val="00D802D4"/>
    <w:rsid w:val="00D81713"/>
    <w:rsid w:val="00D83212"/>
    <w:rsid w:val="00D84793"/>
    <w:rsid w:val="00D924D9"/>
    <w:rsid w:val="00D94C96"/>
    <w:rsid w:val="00D97223"/>
    <w:rsid w:val="00D9732B"/>
    <w:rsid w:val="00D97A9A"/>
    <w:rsid w:val="00DA3D80"/>
    <w:rsid w:val="00DA4E50"/>
    <w:rsid w:val="00DA61A3"/>
    <w:rsid w:val="00DA723C"/>
    <w:rsid w:val="00DA7414"/>
    <w:rsid w:val="00DB28DC"/>
    <w:rsid w:val="00DB29B9"/>
    <w:rsid w:val="00DB35ED"/>
    <w:rsid w:val="00DB3BCB"/>
    <w:rsid w:val="00DB3FCE"/>
    <w:rsid w:val="00DC02E2"/>
    <w:rsid w:val="00DC1972"/>
    <w:rsid w:val="00DC3053"/>
    <w:rsid w:val="00DC3091"/>
    <w:rsid w:val="00DC3289"/>
    <w:rsid w:val="00DC406B"/>
    <w:rsid w:val="00DC44CC"/>
    <w:rsid w:val="00DC4C6D"/>
    <w:rsid w:val="00DC4F25"/>
    <w:rsid w:val="00DC70A7"/>
    <w:rsid w:val="00DD0266"/>
    <w:rsid w:val="00DD03BA"/>
    <w:rsid w:val="00DD28ED"/>
    <w:rsid w:val="00DD2A42"/>
    <w:rsid w:val="00DD2D84"/>
    <w:rsid w:val="00DD32A1"/>
    <w:rsid w:val="00DD3C99"/>
    <w:rsid w:val="00DD42C2"/>
    <w:rsid w:val="00DD4ECC"/>
    <w:rsid w:val="00DD50FD"/>
    <w:rsid w:val="00DD7180"/>
    <w:rsid w:val="00DD7A97"/>
    <w:rsid w:val="00DE043D"/>
    <w:rsid w:val="00DE12EB"/>
    <w:rsid w:val="00DE1404"/>
    <w:rsid w:val="00DE28A0"/>
    <w:rsid w:val="00DE5D69"/>
    <w:rsid w:val="00DE67FC"/>
    <w:rsid w:val="00DE6E2C"/>
    <w:rsid w:val="00DF0637"/>
    <w:rsid w:val="00DF0A7E"/>
    <w:rsid w:val="00DF2714"/>
    <w:rsid w:val="00DF4F04"/>
    <w:rsid w:val="00DF58A4"/>
    <w:rsid w:val="00DF6643"/>
    <w:rsid w:val="00DF6B2B"/>
    <w:rsid w:val="00E007C1"/>
    <w:rsid w:val="00E02B02"/>
    <w:rsid w:val="00E03A78"/>
    <w:rsid w:val="00E07DF2"/>
    <w:rsid w:val="00E10D14"/>
    <w:rsid w:val="00E14351"/>
    <w:rsid w:val="00E147E0"/>
    <w:rsid w:val="00E15D40"/>
    <w:rsid w:val="00E2293F"/>
    <w:rsid w:val="00E22EBE"/>
    <w:rsid w:val="00E238D9"/>
    <w:rsid w:val="00E2457E"/>
    <w:rsid w:val="00E245B1"/>
    <w:rsid w:val="00E26AAA"/>
    <w:rsid w:val="00E26E54"/>
    <w:rsid w:val="00E327E3"/>
    <w:rsid w:val="00E33E43"/>
    <w:rsid w:val="00E36176"/>
    <w:rsid w:val="00E374A8"/>
    <w:rsid w:val="00E4147B"/>
    <w:rsid w:val="00E41F53"/>
    <w:rsid w:val="00E424F8"/>
    <w:rsid w:val="00E42E89"/>
    <w:rsid w:val="00E45814"/>
    <w:rsid w:val="00E4618D"/>
    <w:rsid w:val="00E47E61"/>
    <w:rsid w:val="00E53C62"/>
    <w:rsid w:val="00E60458"/>
    <w:rsid w:val="00E650CE"/>
    <w:rsid w:val="00E65238"/>
    <w:rsid w:val="00E65F36"/>
    <w:rsid w:val="00E65F64"/>
    <w:rsid w:val="00E67992"/>
    <w:rsid w:val="00E70B81"/>
    <w:rsid w:val="00E73425"/>
    <w:rsid w:val="00E739DD"/>
    <w:rsid w:val="00E741B5"/>
    <w:rsid w:val="00E75633"/>
    <w:rsid w:val="00E75765"/>
    <w:rsid w:val="00E76A2A"/>
    <w:rsid w:val="00E77E51"/>
    <w:rsid w:val="00E8088C"/>
    <w:rsid w:val="00E8283B"/>
    <w:rsid w:val="00E840AF"/>
    <w:rsid w:val="00E8717E"/>
    <w:rsid w:val="00E90C7E"/>
    <w:rsid w:val="00E91702"/>
    <w:rsid w:val="00E93D72"/>
    <w:rsid w:val="00E942DD"/>
    <w:rsid w:val="00E95D22"/>
    <w:rsid w:val="00E96283"/>
    <w:rsid w:val="00E96F82"/>
    <w:rsid w:val="00E97753"/>
    <w:rsid w:val="00EA2820"/>
    <w:rsid w:val="00EA34D6"/>
    <w:rsid w:val="00EA3F1F"/>
    <w:rsid w:val="00EA50BA"/>
    <w:rsid w:val="00EA5412"/>
    <w:rsid w:val="00EA57EF"/>
    <w:rsid w:val="00EB03F5"/>
    <w:rsid w:val="00EB11EE"/>
    <w:rsid w:val="00EB1BE8"/>
    <w:rsid w:val="00EB263C"/>
    <w:rsid w:val="00EB27E9"/>
    <w:rsid w:val="00EB4AE3"/>
    <w:rsid w:val="00EC2AD9"/>
    <w:rsid w:val="00EC3A4F"/>
    <w:rsid w:val="00EC5645"/>
    <w:rsid w:val="00EC59C9"/>
    <w:rsid w:val="00EC5C1C"/>
    <w:rsid w:val="00EC6973"/>
    <w:rsid w:val="00EC7346"/>
    <w:rsid w:val="00ED29AD"/>
    <w:rsid w:val="00ED3510"/>
    <w:rsid w:val="00ED377B"/>
    <w:rsid w:val="00ED6A1E"/>
    <w:rsid w:val="00EE1948"/>
    <w:rsid w:val="00EE2B7B"/>
    <w:rsid w:val="00EE424E"/>
    <w:rsid w:val="00EE4624"/>
    <w:rsid w:val="00EE4FC3"/>
    <w:rsid w:val="00EE7439"/>
    <w:rsid w:val="00EF0130"/>
    <w:rsid w:val="00EF02EC"/>
    <w:rsid w:val="00EF0674"/>
    <w:rsid w:val="00EF1B0A"/>
    <w:rsid w:val="00EF26A5"/>
    <w:rsid w:val="00EF335B"/>
    <w:rsid w:val="00EF4167"/>
    <w:rsid w:val="00EF5255"/>
    <w:rsid w:val="00EF662A"/>
    <w:rsid w:val="00EF6E5B"/>
    <w:rsid w:val="00EF7A99"/>
    <w:rsid w:val="00EF7D9D"/>
    <w:rsid w:val="00F00E71"/>
    <w:rsid w:val="00F010E4"/>
    <w:rsid w:val="00F02E30"/>
    <w:rsid w:val="00F04A68"/>
    <w:rsid w:val="00F067B2"/>
    <w:rsid w:val="00F06BE8"/>
    <w:rsid w:val="00F071F6"/>
    <w:rsid w:val="00F103C0"/>
    <w:rsid w:val="00F130C7"/>
    <w:rsid w:val="00F15932"/>
    <w:rsid w:val="00F16223"/>
    <w:rsid w:val="00F210C4"/>
    <w:rsid w:val="00F213B5"/>
    <w:rsid w:val="00F21BD7"/>
    <w:rsid w:val="00F24674"/>
    <w:rsid w:val="00F25271"/>
    <w:rsid w:val="00F258DB"/>
    <w:rsid w:val="00F27161"/>
    <w:rsid w:val="00F30110"/>
    <w:rsid w:val="00F303C0"/>
    <w:rsid w:val="00F3042A"/>
    <w:rsid w:val="00F33357"/>
    <w:rsid w:val="00F343C6"/>
    <w:rsid w:val="00F34BA0"/>
    <w:rsid w:val="00F34F76"/>
    <w:rsid w:val="00F35826"/>
    <w:rsid w:val="00F3582A"/>
    <w:rsid w:val="00F4573A"/>
    <w:rsid w:val="00F45FC6"/>
    <w:rsid w:val="00F46E40"/>
    <w:rsid w:val="00F5184C"/>
    <w:rsid w:val="00F53491"/>
    <w:rsid w:val="00F54C76"/>
    <w:rsid w:val="00F621F0"/>
    <w:rsid w:val="00F6286C"/>
    <w:rsid w:val="00F6296A"/>
    <w:rsid w:val="00F6350C"/>
    <w:rsid w:val="00F6526D"/>
    <w:rsid w:val="00F66DA2"/>
    <w:rsid w:val="00F708A4"/>
    <w:rsid w:val="00F73226"/>
    <w:rsid w:val="00F73CBA"/>
    <w:rsid w:val="00F73E4D"/>
    <w:rsid w:val="00F74837"/>
    <w:rsid w:val="00F768B2"/>
    <w:rsid w:val="00F77BBE"/>
    <w:rsid w:val="00F80221"/>
    <w:rsid w:val="00F86808"/>
    <w:rsid w:val="00F87021"/>
    <w:rsid w:val="00F90A19"/>
    <w:rsid w:val="00F924ED"/>
    <w:rsid w:val="00F9303A"/>
    <w:rsid w:val="00F938E2"/>
    <w:rsid w:val="00F93F65"/>
    <w:rsid w:val="00F942CC"/>
    <w:rsid w:val="00F94B10"/>
    <w:rsid w:val="00F94F3C"/>
    <w:rsid w:val="00F95038"/>
    <w:rsid w:val="00F9656B"/>
    <w:rsid w:val="00FA1511"/>
    <w:rsid w:val="00FA2035"/>
    <w:rsid w:val="00FA3614"/>
    <w:rsid w:val="00FA6053"/>
    <w:rsid w:val="00FA6507"/>
    <w:rsid w:val="00FA7D62"/>
    <w:rsid w:val="00FB128C"/>
    <w:rsid w:val="00FB1448"/>
    <w:rsid w:val="00FB2469"/>
    <w:rsid w:val="00FB4EBF"/>
    <w:rsid w:val="00FB55B2"/>
    <w:rsid w:val="00FC1889"/>
    <w:rsid w:val="00FC34C0"/>
    <w:rsid w:val="00FC4CC7"/>
    <w:rsid w:val="00FC6B93"/>
    <w:rsid w:val="00FC6E18"/>
    <w:rsid w:val="00FD42A6"/>
    <w:rsid w:val="00FD49C9"/>
    <w:rsid w:val="00FD630D"/>
    <w:rsid w:val="00FE5007"/>
    <w:rsid w:val="00FE5EA3"/>
    <w:rsid w:val="00FE6043"/>
    <w:rsid w:val="00FE7777"/>
    <w:rsid w:val="00FE7937"/>
    <w:rsid w:val="00FF0BAE"/>
    <w:rsid w:val="00FF218F"/>
    <w:rsid w:val="00FF54DF"/>
    <w:rsid w:val="00FF5C79"/>
    <w:rsid w:val="00FF7B9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character" w:customStyle="1" w:styleId="apple-style-span">
    <w:name w:val="apple-style-span"/>
    <w:basedOn w:val="DefaultParagraphFont"/>
    <w:rsid w:val="00B97180"/>
  </w:style>
  <w:style w:type="paragraph" w:styleId="Signature">
    <w:name w:val="Signature"/>
    <w:basedOn w:val="Normal"/>
    <w:next w:val="EnvelopeReturn"/>
    <w:link w:val="SignatureChar"/>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basedOn w:val="DefaultParagraphFont"/>
    <w:link w:val="Signature"/>
    <w:rsid w:val="00CB6A16"/>
    <w:rPr>
      <w:rFonts w:eastAsia="Times New Roman" w:cs="Times New Roman"/>
      <w:sz w:val="26"/>
      <w:szCs w:val="20"/>
      <w:lang w:val="en-AU"/>
    </w:rPr>
  </w:style>
  <w:style w:type="paragraph" w:styleId="EnvelopeReturn">
    <w:name w:val="envelope return"/>
    <w:basedOn w:val="Normal"/>
    <w:uiPriority w:val="99"/>
    <w:unhideWhenUsed/>
    <w:rsid w:val="00CB6A16"/>
    <w:rPr>
      <w:rFonts w:ascii="Cambria" w:eastAsia="Times New Roman" w:hAnsi="Cambria"/>
    </w:rPr>
  </w:style>
  <w:style w:type="paragraph" w:customStyle="1" w:styleId="naisc">
    <w:name w:val="naisc"/>
    <w:basedOn w:val="Normal"/>
    <w:rsid w:val="00B17C2B"/>
    <w:pPr>
      <w:spacing w:before="94" w:after="94"/>
      <w:jc w:val="center"/>
    </w:pPr>
    <w:rPr>
      <w:rFonts w:eastAsia="Times New Roman"/>
      <w:sz w:val="24"/>
      <w:szCs w:val="24"/>
      <w:lang w:val="lv-LV" w:eastAsia="lv-LV"/>
    </w:rPr>
  </w:style>
  <w:style w:type="paragraph" w:styleId="NormalWeb">
    <w:name w:val="Normal (Web)"/>
    <w:basedOn w:val="Normal"/>
    <w:uiPriority w:val="99"/>
    <w:rsid w:val="00166B88"/>
    <w:pPr>
      <w:spacing w:before="100" w:beforeAutospacing="1" w:after="100" w:afterAutospacing="1"/>
    </w:pPr>
    <w:rPr>
      <w:rFonts w:eastAsia="Arial Unicode MS"/>
      <w:sz w:val="24"/>
      <w:szCs w:val="24"/>
      <w:lang w:val="en-GB"/>
    </w:rPr>
  </w:style>
  <w:style w:type="character" w:styleId="Emphasis">
    <w:name w:val="Emphasis"/>
    <w:basedOn w:val="DefaultParagraphFont"/>
    <w:uiPriority w:val="20"/>
    <w:qFormat/>
    <w:rsid w:val="00807DD6"/>
    <w:rPr>
      <w:i/>
      <w:iCs/>
    </w:rPr>
  </w:style>
  <w:style w:type="character" w:customStyle="1" w:styleId="st1">
    <w:name w:val="st1"/>
    <w:basedOn w:val="DefaultParagraphFont"/>
    <w:rsid w:val="004133BC"/>
  </w:style>
  <w:style w:type="character" w:styleId="CommentReference">
    <w:name w:val="annotation reference"/>
    <w:basedOn w:val="DefaultParagraphFont"/>
    <w:uiPriority w:val="99"/>
    <w:semiHidden/>
    <w:unhideWhenUsed/>
    <w:rsid w:val="00E8088C"/>
    <w:rPr>
      <w:sz w:val="16"/>
      <w:szCs w:val="16"/>
    </w:rPr>
  </w:style>
  <w:style w:type="paragraph" w:styleId="CommentText">
    <w:name w:val="annotation text"/>
    <w:basedOn w:val="Normal"/>
    <w:link w:val="CommentTextChar"/>
    <w:uiPriority w:val="99"/>
    <w:semiHidden/>
    <w:unhideWhenUsed/>
    <w:rsid w:val="00E8088C"/>
  </w:style>
  <w:style w:type="character" w:customStyle="1" w:styleId="CommentTextChar">
    <w:name w:val="Comment Text Char"/>
    <w:basedOn w:val="DefaultParagraphFont"/>
    <w:link w:val="CommentText"/>
    <w:uiPriority w:val="99"/>
    <w:semiHidden/>
    <w:rsid w:val="00E8088C"/>
    <w:rPr>
      <w:lang w:val="en-AU" w:eastAsia="en-US"/>
    </w:rPr>
  </w:style>
  <w:style w:type="paragraph" w:customStyle="1" w:styleId="tvhtml">
    <w:name w:val="tv_html"/>
    <w:basedOn w:val="Normal"/>
    <w:rsid w:val="008C14B4"/>
    <w:pPr>
      <w:spacing w:before="100" w:beforeAutospacing="1" w:after="100" w:afterAutospacing="1"/>
    </w:pPr>
    <w:rPr>
      <w:rFonts w:ascii="Verdana" w:eastAsia="Times New Roman" w:hAnsi="Verdana"/>
      <w:sz w:val="14"/>
      <w:szCs w:val="14"/>
      <w:lang w:val="lv-LV" w:eastAsia="lv-LV"/>
    </w:rPr>
  </w:style>
  <w:style w:type="paragraph" w:styleId="Date">
    <w:name w:val="Date"/>
    <w:basedOn w:val="Normal"/>
    <w:next w:val="Normal"/>
    <w:link w:val="DateChar"/>
    <w:uiPriority w:val="99"/>
    <w:semiHidden/>
    <w:unhideWhenUsed/>
    <w:rsid w:val="00EC6973"/>
  </w:style>
  <w:style w:type="character" w:customStyle="1" w:styleId="DateChar">
    <w:name w:val="Date Char"/>
    <w:basedOn w:val="DefaultParagraphFont"/>
    <w:link w:val="Date"/>
    <w:uiPriority w:val="99"/>
    <w:semiHidden/>
    <w:rsid w:val="00EC6973"/>
    <w:rPr>
      <w:lang w:val="en-AU" w:eastAsia="en-US"/>
    </w:rPr>
  </w:style>
  <w:style w:type="paragraph" w:styleId="CommentSubject">
    <w:name w:val="annotation subject"/>
    <w:basedOn w:val="CommentText"/>
    <w:next w:val="CommentText"/>
    <w:link w:val="CommentSubjectChar"/>
    <w:uiPriority w:val="99"/>
    <w:semiHidden/>
    <w:unhideWhenUsed/>
    <w:rsid w:val="00442C22"/>
    <w:rPr>
      <w:b/>
      <w:bCs/>
    </w:rPr>
  </w:style>
  <w:style w:type="character" w:customStyle="1" w:styleId="CommentSubjectChar">
    <w:name w:val="Comment Subject Char"/>
    <w:basedOn w:val="CommentTextChar"/>
    <w:link w:val="CommentSubject"/>
    <w:uiPriority w:val="99"/>
    <w:semiHidden/>
    <w:rsid w:val="00442C22"/>
    <w:rPr>
      <w:b/>
      <w:bCs/>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550118591">
      <w:bodyDiv w:val="1"/>
      <w:marLeft w:val="0"/>
      <w:marRight w:val="0"/>
      <w:marTop w:val="0"/>
      <w:marBottom w:val="0"/>
      <w:divBdr>
        <w:top w:val="none" w:sz="0" w:space="0" w:color="auto"/>
        <w:left w:val="none" w:sz="0" w:space="0" w:color="auto"/>
        <w:bottom w:val="none" w:sz="0" w:space="0" w:color="auto"/>
        <w:right w:val="none" w:sz="0" w:space="0" w:color="auto"/>
      </w:divBdr>
    </w:div>
    <w:div w:id="693848510">
      <w:bodyDiv w:val="1"/>
      <w:marLeft w:val="0"/>
      <w:marRight w:val="0"/>
      <w:marTop w:val="0"/>
      <w:marBottom w:val="0"/>
      <w:divBdr>
        <w:top w:val="none" w:sz="0" w:space="0" w:color="auto"/>
        <w:left w:val="none" w:sz="0" w:space="0" w:color="auto"/>
        <w:bottom w:val="none" w:sz="0" w:space="0" w:color="auto"/>
        <w:right w:val="none" w:sz="0" w:space="0" w:color="auto"/>
      </w:divBdr>
    </w:div>
    <w:div w:id="1020859246">
      <w:bodyDiv w:val="1"/>
      <w:marLeft w:val="0"/>
      <w:marRight w:val="0"/>
      <w:marTop w:val="0"/>
      <w:marBottom w:val="0"/>
      <w:divBdr>
        <w:top w:val="none" w:sz="0" w:space="0" w:color="auto"/>
        <w:left w:val="none" w:sz="0" w:space="0" w:color="auto"/>
        <w:bottom w:val="none" w:sz="0" w:space="0" w:color="auto"/>
        <w:right w:val="none" w:sz="0" w:space="0" w:color="auto"/>
      </w:divBdr>
    </w:div>
    <w:div w:id="1224020946">
      <w:bodyDiv w:val="1"/>
      <w:marLeft w:val="0"/>
      <w:marRight w:val="0"/>
      <w:marTop w:val="0"/>
      <w:marBottom w:val="0"/>
      <w:divBdr>
        <w:top w:val="none" w:sz="0" w:space="0" w:color="auto"/>
        <w:left w:val="none" w:sz="0" w:space="0" w:color="auto"/>
        <w:bottom w:val="none" w:sz="0" w:space="0" w:color="auto"/>
        <w:right w:val="none" w:sz="0" w:space="0" w:color="auto"/>
      </w:divBdr>
    </w:div>
    <w:div w:id="1232346339">
      <w:bodyDiv w:val="1"/>
      <w:marLeft w:val="0"/>
      <w:marRight w:val="0"/>
      <w:marTop w:val="0"/>
      <w:marBottom w:val="0"/>
      <w:divBdr>
        <w:top w:val="none" w:sz="0" w:space="0" w:color="auto"/>
        <w:left w:val="none" w:sz="0" w:space="0" w:color="auto"/>
        <w:bottom w:val="none" w:sz="0" w:space="0" w:color="auto"/>
        <w:right w:val="none" w:sz="0" w:space="0" w:color="auto"/>
      </w:divBdr>
    </w:div>
    <w:div w:id="1345479241">
      <w:bodyDiv w:val="1"/>
      <w:marLeft w:val="0"/>
      <w:marRight w:val="0"/>
      <w:marTop w:val="0"/>
      <w:marBottom w:val="0"/>
      <w:divBdr>
        <w:top w:val="none" w:sz="0" w:space="0" w:color="auto"/>
        <w:left w:val="none" w:sz="0" w:space="0" w:color="auto"/>
        <w:bottom w:val="none" w:sz="0" w:space="0" w:color="auto"/>
        <w:right w:val="none" w:sz="0" w:space="0" w:color="auto"/>
      </w:divBdr>
    </w:div>
    <w:div w:id="1409037854">
      <w:bodyDiv w:val="1"/>
      <w:marLeft w:val="0"/>
      <w:marRight w:val="0"/>
      <w:marTop w:val="0"/>
      <w:marBottom w:val="0"/>
      <w:divBdr>
        <w:top w:val="none" w:sz="0" w:space="0" w:color="auto"/>
        <w:left w:val="none" w:sz="0" w:space="0" w:color="auto"/>
        <w:bottom w:val="none" w:sz="0" w:space="0" w:color="auto"/>
        <w:right w:val="none" w:sz="0" w:space="0" w:color="auto"/>
      </w:divBdr>
    </w:div>
    <w:div w:id="1620868621">
      <w:bodyDiv w:val="1"/>
      <w:marLeft w:val="0"/>
      <w:marRight w:val="0"/>
      <w:marTop w:val="0"/>
      <w:marBottom w:val="0"/>
      <w:divBdr>
        <w:top w:val="none" w:sz="0" w:space="0" w:color="auto"/>
        <w:left w:val="none" w:sz="0" w:space="0" w:color="auto"/>
        <w:bottom w:val="none" w:sz="0" w:space="0" w:color="auto"/>
        <w:right w:val="none" w:sz="0" w:space="0" w:color="auto"/>
      </w:divBdr>
    </w:div>
    <w:div w:id="1901941826">
      <w:bodyDiv w:val="1"/>
      <w:marLeft w:val="0"/>
      <w:marRight w:val="0"/>
      <w:marTop w:val="0"/>
      <w:marBottom w:val="0"/>
      <w:divBdr>
        <w:top w:val="none" w:sz="0" w:space="0" w:color="auto"/>
        <w:left w:val="none" w:sz="0" w:space="0" w:color="auto"/>
        <w:bottom w:val="none" w:sz="0" w:space="0" w:color="auto"/>
        <w:right w:val="none" w:sz="0" w:space="0" w:color="auto"/>
      </w:divBdr>
    </w:div>
    <w:div w:id="198226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B210E27-E336-4442-8E29-F881FB79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8</Pages>
  <Words>1796</Words>
  <Characters>13025</Characters>
  <Application>Microsoft Office Word</Application>
  <DocSecurity>0</DocSecurity>
  <Lines>566</Lines>
  <Paragraphs>182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30.marta noteikumos Nr.328 „Noteikumi par darbības programmas „Cilvēkresursi un nodarbinātība” papildinājuma 1.3.1.1.1.apakšaktivitātes „Atbalsts nodarbināto apmācībām komersantu </vt:lpstr>
    </vt:vector>
  </TitlesOfParts>
  <Company>LR Ekonomikas ministrija</Company>
  <LinksUpToDate>false</LinksUpToDate>
  <CharactersWithSpaces>14639</CharactersWithSpaces>
  <SharedDoc>false</SharedDoc>
  <HLinks>
    <vt:vector size="6" baseType="variant">
      <vt:variant>
        <vt:i4>8323164</vt:i4>
      </vt:variant>
      <vt:variant>
        <vt:i4>3</vt:i4>
      </vt:variant>
      <vt:variant>
        <vt:i4>0</vt:i4>
      </vt:variant>
      <vt:variant>
        <vt:i4>5</vt:i4>
      </vt:variant>
      <vt:variant>
        <vt:lpwstr>mailto:Viktorija.Rimjane@em.gov.lv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 sākotnējās ietekmes novērtējuma ziņojums (anotācija)</dc:title>
  <dc:subject>Anotācija</dc:subject>
  <dc:creator>Zane.Dziluma@em.gov.lv</dc:creator>
  <dc:description>Zane.Dziluma@em.gov.lv, 67013225</dc:description>
  <cp:lastModifiedBy>Zane Dziļuma</cp:lastModifiedBy>
  <cp:revision>64</cp:revision>
  <cp:lastPrinted>2010-03-29T10:15:00Z</cp:lastPrinted>
  <dcterms:created xsi:type="dcterms:W3CDTF">2013-05-08T14:14:00Z</dcterms:created>
  <dcterms:modified xsi:type="dcterms:W3CDTF">2013-11-26T15:25:00Z</dcterms:modified>
</cp:coreProperties>
</file>