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B2" w:rsidRPr="009A1F05" w:rsidRDefault="007402C0" w:rsidP="00BE0925">
      <w:pPr>
        <w:pStyle w:val="naisc"/>
        <w:spacing w:before="0" w:after="0"/>
        <w:outlineLvl w:val="0"/>
        <w:rPr>
          <w:b/>
        </w:rPr>
      </w:pPr>
      <w:r w:rsidRPr="009A1F05">
        <w:rPr>
          <w:b/>
          <w:bCs/>
        </w:rPr>
        <w:t>Ministru kabineta n</w:t>
      </w:r>
      <w:r w:rsidR="00BC19B2" w:rsidRPr="009A1F05">
        <w:rPr>
          <w:b/>
          <w:bCs/>
        </w:rPr>
        <w:t>oteikumu projekta  </w:t>
      </w:r>
    </w:p>
    <w:p w:rsidR="00BC19B2" w:rsidRPr="006340A0" w:rsidRDefault="00BC19B2" w:rsidP="00BE0925">
      <w:pPr>
        <w:pStyle w:val="naisc"/>
        <w:spacing w:before="0" w:after="0"/>
        <w:rPr>
          <w:b/>
        </w:rPr>
      </w:pPr>
      <w:r w:rsidRPr="006340A0">
        <w:rPr>
          <w:b/>
          <w:bCs/>
        </w:rPr>
        <w:t>„</w:t>
      </w:r>
      <w:bookmarkStart w:id="0" w:name="OLE_LINK7"/>
      <w:bookmarkStart w:id="1" w:name="OLE_LINK8"/>
      <w:r w:rsidR="006340A0" w:rsidRPr="006340A0">
        <w:rPr>
          <w:b/>
          <w:bCs/>
        </w:rPr>
        <w:t>Grozījumi Ministru kabineta 2010.gada 21.jūnija noteikumos Nr.544 „Latvijas Nacionālās akreditācijas padomes nolikums”</w:t>
      </w:r>
      <w:bookmarkEnd w:id="0"/>
      <w:bookmarkEnd w:id="1"/>
      <w:r w:rsidR="006340A0" w:rsidRPr="006340A0">
        <w:rPr>
          <w:b/>
          <w:bCs/>
        </w:rPr>
        <w:t>”</w:t>
      </w:r>
    </w:p>
    <w:p w:rsidR="00BC19B2" w:rsidRPr="009A1F05" w:rsidRDefault="00BC19B2" w:rsidP="00BE0925">
      <w:pPr>
        <w:pStyle w:val="naisnod"/>
        <w:spacing w:before="0" w:after="0"/>
      </w:pPr>
      <w:r w:rsidRPr="009A1F05">
        <w:t>sākotnējās ietekmes novērtējuma ziņojums (anotācija)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5"/>
        <w:gridCol w:w="2250"/>
        <w:gridCol w:w="6326"/>
      </w:tblGrid>
      <w:tr w:rsidR="00BC19B2" w:rsidRPr="005C7EC0" w:rsidTr="00E32783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9B2" w:rsidRPr="005C7EC0" w:rsidRDefault="00BC19B2" w:rsidP="00BC19B2">
            <w:pPr>
              <w:pStyle w:val="naisc"/>
            </w:pPr>
            <w:r w:rsidRPr="005C7EC0">
              <w:t> </w:t>
            </w:r>
            <w:r w:rsidRPr="005C7EC0">
              <w:rPr>
                <w:b/>
                <w:bCs/>
              </w:rPr>
              <w:t> I. Tiesību akta projekta izstrādes nepieciešamība</w:t>
            </w:r>
          </w:p>
        </w:tc>
      </w:tr>
      <w:tr w:rsidR="00BC19B2" w:rsidRPr="005C7EC0" w:rsidTr="009A7BDA">
        <w:trPr>
          <w:trHeight w:val="1159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5C7EC0" w:rsidRDefault="00BC19B2" w:rsidP="00BC19B2">
            <w:pPr>
              <w:pStyle w:val="naiskr"/>
            </w:pPr>
            <w:r w:rsidRPr="005C7EC0">
              <w:t> 1.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5C7EC0" w:rsidRDefault="00BC19B2" w:rsidP="006102DB">
            <w:pPr>
              <w:pStyle w:val="naislab"/>
              <w:jc w:val="left"/>
            </w:pPr>
            <w:r w:rsidRPr="005C7EC0">
              <w:t>Pamatojums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730F23" w:rsidRDefault="009A7BDA" w:rsidP="000B5278">
            <w:pPr>
              <w:pStyle w:val="naisl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140" w:firstLine="486"/>
              <w:jc w:val="both"/>
            </w:pPr>
            <w:r>
              <w:t xml:space="preserve">Ministru kabineta noteikumu projekts „Grozījumi </w:t>
            </w:r>
            <w:r w:rsidRPr="002955DE">
              <w:t>Ministru kabineta 20</w:t>
            </w:r>
            <w:r>
              <w:t>10</w:t>
            </w:r>
            <w:r w:rsidRPr="002955DE">
              <w:t xml:space="preserve">.gada </w:t>
            </w:r>
            <w:r>
              <w:t>21</w:t>
            </w:r>
            <w:r w:rsidRPr="002955DE">
              <w:t>.</w:t>
            </w:r>
            <w:r>
              <w:t>jūnija noteikum</w:t>
            </w:r>
            <w:r w:rsidR="000B5278">
              <w:t>os</w:t>
            </w:r>
            <w:r>
              <w:t xml:space="preserve"> Nr.544</w:t>
            </w:r>
            <w:r w:rsidRPr="002955DE">
              <w:t xml:space="preserve"> „</w:t>
            </w:r>
            <w:r w:rsidRPr="002955DE">
              <w:rPr>
                <w:bCs/>
              </w:rPr>
              <w:t>Latvijas Nacionālās ak</w:t>
            </w:r>
            <w:r>
              <w:rPr>
                <w:bCs/>
              </w:rPr>
              <w:t>reditācijas padomes nolikums””</w:t>
            </w:r>
            <w:r w:rsidR="00C35032">
              <w:rPr>
                <w:bCs/>
              </w:rPr>
              <w:t xml:space="preserve"> (turpmāk – noteikumu projekts)</w:t>
            </w:r>
            <w:r>
              <w:rPr>
                <w:bCs/>
              </w:rPr>
              <w:t xml:space="preserve"> ir izstrādāts saskaņā ar likuma „Par atbilstības novērtēšanu” 13.panta trešo daļu.</w:t>
            </w:r>
          </w:p>
        </w:tc>
      </w:tr>
      <w:tr w:rsidR="00BC19B2" w:rsidRPr="005C7EC0" w:rsidTr="00E32783">
        <w:trPr>
          <w:trHeight w:val="472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5C7EC0" w:rsidRDefault="00BC19B2" w:rsidP="00BC19B2">
            <w:pPr>
              <w:pStyle w:val="naiskr"/>
            </w:pPr>
            <w:r w:rsidRPr="005C7EC0">
              <w:t> 2.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5C7EC0" w:rsidRDefault="00BC19B2" w:rsidP="00BC19B2">
            <w:pPr>
              <w:pStyle w:val="naiskr"/>
            </w:pPr>
            <w:r w:rsidRPr="005C7EC0">
              <w:t> Pašreizējā situācija un problēmas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52F" w:rsidRPr="00FC18C4" w:rsidRDefault="00BC19B2" w:rsidP="00105725">
            <w:pPr>
              <w:ind w:firstLine="488"/>
              <w:jc w:val="both"/>
            </w:pPr>
            <w:r w:rsidRPr="00FC18C4">
              <w:t xml:space="preserve">Šobrīd </w:t>
            </w:r>
            <w:r w:rsidR="00B27C4A" w:rsidRPr="00FC18C4">
              <w:t xml:space="preserve">spēkā ir </w:t>
            </w:r>
            <w:r w:rsidR="009A7BDA" w:rsidRPr="00FC18C4">
              <w:t>Ministru kabineta 2010.gada 21.jūnija noteikumi Nr.544 „Latvijas Nacionālās akreditācijas padomes nolikums”, kas nosaka</w:t>
            </w:r>
            <w:r w:rsidR="00F4652F" w:rsidRPr="00FC18C4">
              <w:t>, ka</w:t>
            </w:r>
            <w:r w:rsidR="009A7BDA" w:rsidRPr="00FC18C4">
              <w:t xml:space="preserve"> Latvijas </w:t>
            </w:r>
            <w:r w:rsidR="009B0EB1">
              <w:t>Nacionālās akreditācijas padome</w:t>
            </w:r>
            <w:r w:rsidR="00F4652F" w:rsidRPr="00FC18C4">
              <w:t xml:space="preserve"> (turpmāk – </w:t>
            </w:r>
            <w:r w:rsidR="007D4494" w:rsidRPr="00FC18C4">
              <w:t>P</w:t>
            </w:r>
            <w:r w:rsidR="00F4652F" w:rsidRPr="00FC18C4">
              <w:t>adome)</w:t>
            </w:r>
            <w:r w:rsidR="009A7BDA" w:rsidRPr="00FC18C4">
              <w:t xml:space="preserve"> </w:t>
            </w:r>
            <w:r w:rsidR="00F4652F" w:rsidRPr="00FC18C4">
              <w:t>ir konsultatīva institūcija testēšanas un kalibrēšanas laboratoriju, sertificēšanas un inspicēšanas institūciju, kā arī vides verificētāju akreditācijai reglamentētajā un nereglamentētajā sfērā.</w:t>
            </w:r>
          </w:p>
          <w:p w:rsidR="00400B34" w:rsidRPr="00FC18C4" w:rsidRDefault="00F4652F" w:rsidP="00105725">
            <w:pPr>
              <w:ind w:firstLine="488"/>
              <w:jc w:val="both"/>
            </w:pPr>
            <w:r w:rsidRPr="00FC18C4">
              <w:t>Padome piedalās valsts politikas izstrādē akreditācijas jomā, veicina sadarbību ar starptautiskajām akreditācijas organizācijām, kā arī akreditācijas jautājumos konsultē atbilstības novērtēšanas institūcijas reglamentētajā un nereglamentētajā sfērā.</w:t>
            </w:r>
            <w:r w:rsidR="00400B34" w:rsidRPr="00FC18C4">
              <w:t xml:space="preserve"> </w:t>
            </w:r>
          </w:p>
          <w:p w:rsidR="00400B34" w:rsidRPr="00FC18C4" w:rsidRDefault="00400B34" w:rsidP="00400B34">
            <w:pPr>
              <w:ind w:firstLine="488"/>
              <w:jc w:val="both"/>
            </w:pPr>
            <w:r w:rsidRPr="00FC18C4">
              <w:t>Padomes sastāvu veido šādu akreditācijā ieinteresēto pušu pārstāvēto valsts institūciju un nevalstisko organizāciju pilnvarotie pārstāvji: pa vienam valsts interešu pārstāvim no Ekonomikas ministrija, Veselības ministrijas, Vides ministrijas, Zemkopības ministrijas; pa vienam akreditācijas institūciju interešu pārstāvim no sabiedrības ar ierobežotu atbildību "Standartizācijas, akreditācijas un metroloģijas centrs" struktūrvienības "Latvijas Nacionālais akreditācijas birojs", Metroloģijas birojs", "Standartizācijas birojs"; pa vienam atbilstības novērtēšanas institūciju interešu pārstāvim no Latvijas Laboratoriju asociācijas, Tehnisko ekspertu asociācijas; pa vienam atbilstības novērtēšanas institūciju klientu interešu pārstāvim no Latvijas Tirdzniecības un rūpniecības kameras, Latvijas Darba devēju konfederācijas un patērētāju interešu pārstāvis no Patērētāju tiesību aizsardzības centra.</w:t>
            </w:r>
          </w:p>
          <w:p w:rsidR="00400B34" w:rsidRPr="00FC18C4" w:rsidRDefault="00400B34" w:rsidP="00400B34">
            <w:pPr>
              <w:ind w:firstLine="488"/>
              <w:jc w:val="both"/>
            </w:pPr>
            <w:r w:rsidRPr="00FC18C4">
              <w:t>Padome, atklāti balsojot, ar vienkāršu balsu vairākumu uz diviem gadiem ievēlē padomes priekšsēdētāju un viņa vietnieku. Padomes priekšsēdētāja prombūtnes laikā viņa pienākumus pilda priekšsēdētāja vietnieks.</w:t>
            </w:r>
          </w:p>
          <w:p w:rsidR="00486CD9" w:rsidRPr="00FC18C4" w:rsidRDefault="00EB7982" w:rsidP="008E2CFF">
            <w:pPr>
              <w:ind w:firstLine="486"/>
              <w:jc w:val="both"/>
            </w:pPr>
            <w:r w:rsidRPr="00FC18C4">
              <w:t>Ievērojot, ka atbilstoši 2010.gada 23.marta Ministru kabineta noteikumu Nr.271 „Ekonomikas ministrijas nolikums” 5.4.apakšpunktam Ekonomikas ministrija izstrādā un īsteno politiku atbilstības novērtēšanas, kvalitātes nodrošināšanas un bīstamo iekārtu tehniskā uzraudzības jomā, p</w:t>
            </w:r>
            <w:r w:rsidR="00762487" w:rsidRPr="00FC18C4">
              <w:t>ašreizējais</w:t>
            </w:r>
            <w:r w:rsidR="00F4234D" w:rsidRPr="00FC18C4">
              <w:t xml:space="preserve"> tiesiskais regulējums (neparedzot, ka </w:t>
            </w:r>
            <w:r w:rsidR="00762487" w:rsidRPr="00FC18C4">
              <w:t xml:space="preserve">padomes priekšsēdētājs </w:t>
            </w:r>
            <w:r w:rsidR="00F4234D" w:rsidRPr="00FC18C4">
              <w:t>ir</w:t>
            </w:r>
            <w:r w:rsidR="00762487" w:rsidRPr="00FC18C4">
              <w:t xml:space="preserve"> Ekonomikas ministrijas pārstāvis</w:t>
            </w:r>
            <w:r w:rsidR="00F4234D" w:rsidRPr="00FC18C4">
              <w:t>)</w:t>
            </w:r>
            <w:r w:rsidR="00762487" w:rsidRPr="00FC18C4">
              <w:t xml:space="preserve"> </w:t>
            </w:r>
            <w:r w:rsidR="00F4234D" w:rsidRPr="00FC18C4">
              <w:t xml:space="preserve">nav atzīstams par </w:t>
            </w:r>
            <w:r w:rsidR="00762487" w:rsidRPr="00FC18C4">
              <w:t>efektīv</w:t>
            </w:r>
            <w:r w:rsidR="00F4234D" w:rsidRPr="00FC18C4">
              <w:t>āko</w:t>
            </w:r>
            <w:r w:rsidR="00762487" w:rsidRPr="00FC18C4">
              <w:t xml:space="preserve"> padomes darbības modeli</w:t>
            </w:r>
            <w:r w:rsidRPr="00FC18C4">
              <w:t xml:space="preserve">. Tāpat arī tiesiskais regulējums, kas </w:t>
            </w:r>
            <w:r w:rsidRPr="00FC18C4">
              <w:lastRenderedPageBreak/>
              <w:t>paredz padomes priekšsēdētāja vietnieka institūtu, neļauj pietiekami operatīvi nodrošināt padomes darbības turpināšanu priekšsēdētāja prombūtnes laikā.</w:t>
            </w:r>
          </w:p>
        </w:tc>
      </w:tr>
      <w:tr w:rsidR="00BC19B2" w:rsidRPr="005C7EC0" w:rsidTr="00E32783">
        <w:trPr>
          <w:trHeight w:val="1071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5C7EC0" w:rsidRDefault="00BC19B2" w:rsidP="00BC19B2">
            <w:pPr>
              <w:pStyle w:val="naiskr"/>
            </w:pPr>
            <w:r w:rsidRPr="005C7EC0">
              <w:lastRenderedPageBreak/>
              <w:t> 3.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5C7EC0" w:rsidRDefault="00BC19B2" w:rsidP="00BC19B2">
            <w:pPr>
              <w:pStyle w:val="naiskr"/>
            </w:pPr>
            <w:r w:rsidRPr="005C7EC0">
              <w:t> Saistītie politikas ietekmes novērtējumi un pētījumi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FC18C4" w:rsidRDefault="00BC19B2" w:rsidP="003F7EE2">
            <w:pPr>
              <w:pStyle w:val="naisf"/>
              <w:ind w:firstLine="0"/>
            </w:pPr>
            <w:r w:rsidRPr="00FC18C4">
              <w:t>Nav</w:t>
            </w:r>
            <w:r w:rsidR="003F7EE2" w:rsidRPr="00FC18C4">
              <w:t>.</w:t>
            </w:r>
          </w:p>
        </w:tc>
      </w:tr>
      <w:tr w:rsidR="00BC19B2" w:rsidRPr="005C7EC0" w:rsidTr="00E32783">
        <w:trPr>
          <w:trHeight w:val="384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5C7EC0" w:rsidRDefault="00BC19B2" w:rsidP="00BC19B2">
            <w:pPr>
              <w:pStyle w:val="naiskr"/>
            </w:pPr>
            <w:r w:rsidRPr="005C7EC0">
              <w:t> 4.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5C7EC0" w:rsidRDefault="00BC19B2" w:rsidP="00BC19B2">
            <w:pPr>
              <w:pStyle w:val="naiskr"/>
            </w:pPr>
            <w:r w:rsidRPr="005C7EC0">
              <w:t> Tiesiskā regulējuma mērķis un būtība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278" w:rsidRPr="00FC18C4" w:rsidRDefault="000B5278" w:rsidP="00105725">
            <w:pPr>
              <w:ind w:firstLine="486"/>
              <w:jc w:val="both"/>
            </w:pPr>
            <w:r w:rsidRPr="00FC18C4">
              <w:t>Saskaņā ar 2010.gada 23.marta  Ministru kabineta noteikum</w:t>
            </w:r>
            <w:r w:rsidR="009B0EB1">
              <w:t>u</w:t>
            </w:r>
            <w:r w:rsidRPr="00FC18C4">
              <w:t xml:space="preserve"> Nr.271 „Ekonomikas ministrijas nolikums” 5.4.apakšpunktu Ekonomikas ministrija izstrādā un īsteno politiku atbilstības novērtēšana</w:t>
            </w:r>
            <w:r w:rsidR="00EB7982" w:rsidRPr="00FC18C4">
              <w:t>s</w:t>
            </w:r>
            <w:r w:rsidRPr="00FC18C4">
              <w:t>, kvalitātes nodrošināšana</w:t>
            </w:r>
            <w:r w:rsidR="00EB7982" w:rsidRPr="00FC18C4">
              <w:t>s</w:t>
            </w:r>
            <w:r w:rsidRPr="00FC18C4">
              <w:t xml:space="preserve"> un bīstamo iekārtu tehniskā uzraudzības jomā. </w:t>
            </w:r>
          </w:p>
          <w:p w:rsidR="000B5278" w:rsidRPr="000B5278" w:rsidRDefault="000B5278" w:rsidP="009B0EB1">
            <w:pPr>
              <w:ind w:firstLine="486"/>
              <w:jc w:val="both"/>
              <w:rPr>
                <w:u w:val="single"/>
              </w:rPr>
            </w:pPr>
            <w:r w:rsidRPr="00FC18C4">
              <w:t>Līdz ar to, noteikumu projekts paredz, ka E</w:t>
            </w:r>
            <w:r w:rsidR="00105725" w:rsidRPr="00FC18C4">
              <w:t>konomikas ministrijas pilnvarots</w:t>
            </w:r>
            <w:r w:rsidRPr="00FC18C4">
              <w:t xml:space="preserve"> pārstāvi</w:t>
            </w:r>
            <w:r w:rsidR="00105725" w:rsidRPr="00FC18C4">
              <w:t>s</w:t>
            </w:r>
            <w:r w:rsidRPr="00FC18C4">
              <w:t xml:space="preserve"> pilda Latvijas Nacionālās akreditācijas padomes priekšsēdētāja pienākumus. Pie t</w:t>
            </w:r>
            <w:r w:rsidR="009B0EB1">
              <w:t>a</w:t>
            </w:r>
            <w:r w:rsidRPr="00FC18C4">
              <w:t>m paredzēts, ka Padomes priekšsēdētāja prombūtnes laikā viņa pienākumus pilda Ekonomikas ministrijas pilnvarots pārstāvis.</w:t>
            </w:r>
            <w:r w:rsidR="00F23F53" w:rsidRPr="00FC18C4">
              <w:t xml:space="preserve"> Papildus projektā tika precizēti institūciju </w:t>
            </w:r>
            <w:r w:rsidR="00762487" w:rsidRPr="00FC18C4">
              <w:t>nosaukumi</w:t>
            </w:r>
            <w:r w:rsidR="00F23F53" w:rsidRPr="00FC18C4">
              <w:t>.</w:t>
            </w:r>
          </w:p>
        </w:tc>
      </w:tr>
      <w:tr w:rsidR="00BC19B2" w:rsidRPr="005C7EC0" w:rsidTr="00E32783">
        <w:trPr>
          <w:trHeight w:val="476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5C7EC0" w:rsidRDefault="00BC19B2" w:rsidP="00BC19B2">
            <w:pPr>
              <w:pStyle w:val="naiskr"/>
            </w:pPr>
            <w:r w:rsidRPr="005C7EC0">
              <w:t> 5.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5C7EC0" w:rsidRDefault="00BC19B2" w:rsidP="00BC19B2">
            <w:pPr>
              <w:pStyle w:val="naiskr"/>
            </w:pPr>
            <w:r w:rsidRPr="005C7EC0">
              <w:t> Projekta izstrādē iesaistītās institūcijas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5C7EC0" w:rsidRDefault="009B0EB1" w:rsidP="009B0EB1">
            <w:pPr>
              <w:pStyle w:val="naiskr"/>
              <w:spacing w:before="0" w:after="0"/>
              <w:ind w:firstLine="486"/>
              <w:jc w:val="both"/>
            </w:pPr>
            <w:r>
              <w:t>SIA „Standartizācijas, akreditācijas un metroloģijas centrs” Latvijas Nacionālais akreditācijas birojs (LATAK)</w:t>
            </w:r>
          </w:p>
        </w:tc>
      </w:tr>
      <w:tr w:rsidR="00BC19B2" w:rsidRPr="005C7EC0" w:rsidTr="00E32783">
        <w:trPr>
          <w:trHeight w:val="949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5C7EC0" w:rsidRDefault="00BC19B2" w:rsidP="00BC19B2">
            <w:pPr>
              <w:pStyle w:val="naiskr"/>
            </w:pPr>
            <w:r w:rsidRPr="005C7EC0">
              <w:t> 6.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5C7EC0" w:rsidRDefault="00BC19B2" w:rsidP="00BC19B2">
            <w:pPr>
              <w:pStyle w:val="naiskr"/>
            </w:pPr>
            <w:r w:rsidRPr="005C7EC0">
              <w:t> Iemesli, kādēļ netika nodrošināta sabiedrības līdzdalība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5C7EC0" w:rsidRDefault="00BC19B2" w:rsidP="00BC19B2">
            <w:pPr>
              <w:pStyle w:val="naiskr"/>
            </w:pPr>
            <w:r w:rsidRPr="005C7EC0">
              <w:t>Nav attiecināms</w:t>
            </w:r>
            <w:r w:rsidR="00C35032">
              <w:t>.</w:t>
            </w:r>
          </w:p>
        </w:tc>
      </w:tr>
      <w:tr w:rsidR="00BC19B2" w:rsidRPr="005C7EC0" w:rsidTr="00E3278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5C7EC0" w:rsidRDefault="00BC19B2" w:rsidP="00BC19B2">
            <w:pPr>
              <w:pStyle w:val="naiskr"/>
            </w:pPr>
            <w:r w:rsidRPr="005C7EC0">
              <w:t> 7.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5C7EC0" w:rsidRDefault="00BC19B2" w:rsidP="00BC19B2">
            <w:pPr>
              <w:pStyle w:val="naiskr"/>
            </w:pPr>
            <w:r w:rsidRPr="005C7EC0">
              <w:t> Cita informācija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9B2" w:rsidRPr="00FC18C4" w:rsidRDefault="00EF471B" w:rsidP="00105725">
            <w:pPr>
              <w:pStyle w:val="naiskr"/>
              <w:ind w:firstLine="486"/>
              <w:jc w:val="both"/>
            </w:pPr>
            <w:r w:rsidRPr="00FC18C4">
              <w:t xml:space="preserve">Noteikumu projektam jāstājas spēkā vienlaicīgi ar </w:t>
            </w:r>
            <w:r w:rsidRPr="00FC18C4">
              <w:rPr>
                <w:bCs/>
              </w:rPr>
              <w:t>Min</w:t>
            </w:r>
            <w:r w:rsidR="00105725" w:rsidRPr="00FC18C4">
              <w:rPr>
                <w:bCs/>
              </w:rPr>
              <w:t>istru kabineta rīkojuma projektu</w:t>
            </w:r>
            <w:r w:rsidRPr="00FC18C4">
              <w:rPr>
                <w:bCs/>
              </w:rPr>
              <w:t xml:space="preserve"> „Grozījumi Ministru kabineta 2012.gada 7.februāra rīkojumā Nr.62 „Par Latvijas Nacionālo akreditācijas padomi”.</w:t>
            </w:r>
          </w:p>
        </w:tc>
      </w:tr>
    </w:tbl>
    <w:p w:rsidR="00C35032" w:rsidRDefault="00C35032" w:rsidP="00C35032">
      <w:pPr>
        <w:jc w:val="both"/>
        <w:rPr>
          <w:b/>
        </w:rPr>
      </w:pPr>
    </w:p>
    <w:p w:rsidR="00C35032" w:rsidRPr="00400B34" w:rsidRDefault="00400B34" w:rsidP="00C35032">
      <w:pPr>
        <w:jc w:val="both"/>
        <w:rPr>
          <w:b/>
          <w:u w:val="single"/>
        </w:rPr>
      </w:pPr>
      <w:r w:rsidRPr="00400B34">
        <w:rPr>
          <w:b/>
          <w:u w:val="single"/>
        </w:rPr>
        <w:t>Anotācijas II, III  un V sadaļa – projekts šīs jomas neskar.</w:t>
      </w:r>
    </w:p>
    <w:p w:rsidR="00400B34" w:rsidRPr="002955DE" w:rsidRDefault="00400B34" w:rsidP="00C35032">
      <w:pPr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541"/>
        <w:gridCol w:w="4119"/>
      </w:tblGrid>
      <w:tr w:rsidR="00C35032" w:rsidRPr="002955DE" w:rsidTr="008E37A9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  <w:rPr>
                <w:b/>
                <w:bCs/>
              </w:rPr>
            </w:pPr>
            <w:r w:rsidRPr="002955DE">
              <w:rPr>
                <w:b/>
                <w:bCs/>
              </w:rPr>
              <w:t> IV. Tiesību akta projekta ietekme uz spēkā esošo tiesību normu sistēmu</w:t>
            </w:r>
          </w:p>
        </w:tc>
      </w:tr>
      <w:tr w:rsidR="00C35032" w:rsidRPr="002955DE" w:rsidTr="008E37A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1.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Nepieciešamie saistītie tiesību aktu projekti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FC18C4" w:rsidRDefault="00EF471B" w:rsidP="004452C3">
            <w:pPr>
              <w:ind w:firstLine="547"/>
              <w:jc w:val="both"/>
            </w:pPr>
            <w:r w:rsidRPr="00FC18C4">
              <w:rPr>
                <w:bCs/>
              </w:rPr>
              <w:t>Ministru kabineta rīkojuma projekts „</w:t>
            </w:r>
            <w:bookmarkStart w:id="2" w:name="OLE_LINK5"/>
            <w:bookmarkStart w:id="3" w:name="OLE_LINK6"/>
            <w:r w:rsidRPr="00FC18C4">
              <w:rPr>
                <w:bCs/>
              </w:rPr>
              <w:t>Grozījumi Ministru kabineta 2012.gada 7.februāra rīkojumā Nr.62 „Par Latvijas Nacionālo akreditācijas padomi”</w:t>
            </w:r>
            <w:bookmarkEnd w:id="2"/>
            <w:bookmarkEnd w:id="3"/>
            <w:r w:rsidRPr="00FC18C4">
              <w:rPr>
                <w:bCs/>
              </w:rPr>
              <w:t xml:space="preserve"> (</w:t>
            </w:r>
            <w:r w:rsidR="004452C3" w:rsidRPr="00FC18C4">
              <w:t xml:space="preserve">izstrādātais </w:t>
            </w:r>
            <w:r w:rsidRPr="00FC18C4">
              <w:t xml:space="preserve">rīkojuma projekts aktualizē </w:t>
            </w:r>
            <w:r w:rsidR="004452C3" w:rsidRPr="00FC18C4">
              <w:t xml:space="preserve">Latvijas </w:t>
            </w:r>
            <w:r w:rsidRPr="00FC18C4">
              <w:t>Nacionālās akreditācijas padomes personālsastāvu. Vienlaikus ar rīkojuma projektu tiek precizēti institūciju un organizāciju deleģēto pārstāvju amatu nosaukumi</w:t>
            </w:r>
            <w:r w:rsidRPr="00FC18C4">
              <w:rPr>
                <w:bCs/>
              </w:rPr>
              <w:t>).</w:t>
            </w:r>
          </w:p>
        </w:tc>
      </w:tr>
      <w:tr w:rsidR="00C35032" w:rsidRPr="002955DE" w:rsidTr="008E37A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2.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Cita informācija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EF471B" w:rsidRDefault="00EF471B" w:rsidP="00EF471B">
            <w:pPr>
              <w:jc w:val="both"/>
            </w:pPr>
            <w:r w:rsidRPr="00EF471B">
              <w:t>Nav.</w:t>
            </w:r>
          </w:p>
        </w:tc>
      </w:tr>
    </w:tbl>
    <w:p w:rsidR="00C35032" w:rsidRPr="002955DE" w:rsidRDefault="00C35032" w:rsidP="00C35032">
      <w:pPr>
        <w:jc w:val="both"/>
      </w:pPr>
      <w:r w:rsidRPr="002955DE"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"/>
        <w:gridCol w:w="4678"/>
        <w:gridCol w:w="4124"/>
      </w:tblGrid>
      <w:tr w:rsidR="00C35032" w:rsidRPr="002955DE" w:rsidTr="008E37A9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rPr>
                <w:b/>
                <w:bCs/>
              </w:rPr>
              <w:t> VII. Tiesību akta projekta izpildes nodrošināšana un tās ietekme uz institūcijām</w:t>
            </w:r>
          </w:p>
        </w:tc>
      </w:tr>
      <w:tr w:rsidR="00C35032" w:rsidRPr="002955DE" w:rsidTr="008E37A9">
        <w:trPr>
          <w:trHeight w:val="427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Projekta izpildē iesaistītās institūcijas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FC18C4" w:rsidRDefault="00C35032" w:rsidP="00BE0925">
            <w:pPr>
              <w:ind w:left="126" w:right="140"/>
              <w:jc w:val="both"/>
            </w:pPr>
            <w:r w:rsidRPr="00FC18C4">
              <w:t>Noteikumu projekta izpildi nodrošina Ekonomikas ministrija.</w:t>
            </w:r>
          </w:p>
        </w:tc>
      </w:tr>
      <w:tr w:rsidR="00C35032" w:rsidRPr="002955DE" w:rsidTr="008E37A9">
        <w:trPr>
          <w:trHeight w:val="46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lastRenderedPageBreak/>
              <w:t> 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Projekta izpildes ietekme uz pārvaldes funkcijām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pStyle w:val="naisnod"/>
              <w:spacing w:before="0" w:after="0"/>
              <w:ind w:left="126" w:right="57"/>
              <w:jc w:val="left"/>
              <w:rPr>
                <w:b w:val="0"/>
              </w:rPr>
            </w:pPr>
            <w:r w:rsidRPr="002955DE">
              <w:rPr>
                <w:b w:val="0"/>
              </w:rPr>
              <w:t>Noteikumu projekts neparedz pārvaldes funkciju paplašināšanu.</w:t>
            </w:r>
          </w:p>
          <w:p w:rsidR="00C35032" w:rsidRPr="002955DE" w:rsidRDefault="00C35032" w:rsidP="008E37A9">
            <w:pPr>
              <w:jc w:val="both"/>
            </w:pPr>
          </w:p>
        </w:tc>
      </w:tr>
      <w:tr w:rsidR="00C35032" w:rsidRPr="002955DE" w:rsidTr="008E37A9">
        <w:trPr>
          <w:trHeight w:val="725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3.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Projekta izpildes ietekme uz pārvaldes institucionālo struktūru.</w:t>
            </w:r>
          </w:p>
          <w:p w:rsidR="00C35032" w:rsidRPr="002955DE" w:rsidRDefault="00C35032" w:rsidP="008E37A9">
            <w:pPr>
              <w:jc w:val="both"/>
            </w:pPr>
            <w:r w:rsidRPr="002955DE">
              <w:t>Jaunu institūciju izveide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ind w:left="126"/>
              <w:jc w:val="both"/>
            </w:pPr>
            <w:r w:rsidRPr="002955DE">
              <w:t>Noteikumu projekts neparedz jaunu pārvaldes institūciju izveidi.</w:t>
            </w:r>
          </w:p>
        </w:tc>
      </w:tr>
      <w:tr w:rsidR="00C35032" w:rsidRPr="002955DE" w:rsidTr="008E37A9">
        <w:trPr>
          <w:trHeight w:val="780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4.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Projekta izpildes ietekme uz pārvaldes institucionālo struktūru.</w:t>
            </w:r>
          </w:p>
          <w:p w:rsidR="00C35032" w:rsidRPr="002955DE" w:rsidRDefault="00C35032" w:rsidP="008E37A9">
            <w:pPr>
              <w:jc w:val="both"/>
            </w:pPr>
            <w:r w:rsidRPr="002955DE">
              <w:t>Esošu institūciju likvidācija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Nav attiecināms.</w:t>
            </w:r>
          </w:p>
        </w:tc>
      </w:tr>
      <w:tr w:rsidR="00C35032" w:rsidRPr="002955DE" w:rsidTr="008E37A9">
        <w:trPr>
          <w:trHeight w:val="70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5.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Projekta izpildes ietekme uz pārvaldes institucionālo struktūru.</w:t>
            </w:r>
          </w:p>
          <w:p w:rsidR="00C35032" w:rsidRPr="002955DE" w:rsidRDefault="00C35032" w:rsidP="008E37A9">
            <w:pPr>
              <w:jc w:val="both"/>
            </w:pPr>
            <w:r w:rsidRPr="002955DE">
              <w:t>Esošu institūciju reorganizācija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Nav attiecināms.</w:t>
            </w:r>
          </w:p>
        </w:tc>
      </w:tr>
      <w:tr w:rsidR="00C35032" w:rsidRPr="002955DE" w:rsidTr="008E37A9">
        <w:trPr>
          <w:trHeight w:val="476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6.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Cita informācija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032" w:rsidRPr="002955DE" w:rsidRDefault="00C35032" w:rsidP="008E37A9">
            <w:pPr>
              <w:jc w:val="both"/>
            </w:pPr>
            <w:r w:rsidRPr="002955DE">
              <w:t> Nav.</w:t>
            </w:r>
          </w:p>
          <w:p w:rsidR="00C35032" w:rsidRPr="002955DE" w:rsidRDefault="00C35032" w:rsidP="008E37A9">
            <w:pPr>
              <w:jc w:val="both"/>
            </w:pPr>
          </w:p>
        </w:tc>
      </w:tr>
    </w:tbl>
    <w:p w:rsidR="00BC19B2" w:rsidRPr="005C7EC0" w:rsidRDefault="00BC19B2" w:rsidP="00BC19B2">
      <w:pPr>
        <w:pStyle w:val="naisf"/>
      </w:pPr>
    </w:p>
    <w:p w:rsidR="008339B1" w:rsidRPr="009A1F05" w:rsidRDefault="008339B1" w:rsidP="008339B1">
      <w:pPr>
        <w:jc w:val="both"/>
      </w:pPr>
      <w:r w:rsidRPr="009A1F05">
        <w:t>Ekonomikas ministrs</w:t>
      </w:r>
      <w:r w:rsidRPr="009A1F05">
        <w:tab/>
      </w:r>
      <w:r w:rsidRPr="009A1F05">
        <w:tab/>
      </w:r>
      <w:r w:rsidRPr="009A1F05">
        <w:tab/>
      </w:r>
      <w:r w:rsidRPr="009A1F05">
        <w:tab/>
      </w:r>
      <w:r w:rsidRPr="009A1F05">
        <w:tab/>
      </w:r>
      <w:r w:rsidRPr="009A1F05">
        <w:tab/>
      </w:r>
      <w:r w:rsidRPr="009A1F05">
        <w:tab/>
      </w:r>
      <w:r w:rsidRPr="009A1F05">
        <w:tab/>
      </w:r>
      <w:r w:rsidR="009A1F05">
        <w:tab/>
      </w:r>
      <w:r w:rsidRPr="009A1F05">
        <w:t>D.Pavļuts</w:t>
      </w:r>
    </w:p>
    <w:p w:rsidR="008339B1" w:rsidRPr="009A1F05" w:rsidRDefault="008339B1" w:rsidP="008339B1">
      <w:pPr>
        <w:jc w:val="both"/>
      </w:pPr>
    </w:p>
    <w:p w:rsidR="008339B1" w:rsidRPr="009A1F05" w:rsidRDefault="008339B1" w:rsidP="008339B1">
      <w:pPr>
        <w:jc w:val="both"/>
      </w:pPr>
    </w:p>
    <w:p w:rsidR="008339B1" w:rsidRPr="009A1F05" w:rsidRDefault="008339B1" w:rsidP="008339B1">
      <w:pPr>
        <w:jc w:val="both"/>
      </w:pPr>
    </w:p>
    <w:p w:rsidR="00FC18C4" w:rsidRPr="00FC18C4" w:rsidRDefault="008339B1" w:rsidP="00FC18C4">
      <w:r w:rsidRPr="009A1F05">
        <w:t xml:space="preserve">Vīza: </w:t>
      </w:r>
      <w:r w:rsidR="00FC18C4" w:rsidRPr="00FC18C4">
        <w:t>Valsts sekretāra</w:t>
      </w:r>
    </w:p>
    <w:p w:rsidR="00FC18C4" w:rsidRPr="00FC18C4" w:rsidRDefault="00FC18C4" w:rsidP="00FC18C4">
      <w:r w:rsidRPr="00FC18C4">
        <w:t>pienākumu izpildītāj</w:t>
      </w:r>
      <w:r w:rsidR="00D213DD">
        <w:t>a</w:t>
      </w:r>
      <w:r w:rsidRPr="00FC18C4">
        <w:t>,</w:t>
      </w:r>
    </w:p>
    <w:p w:rsidR="008339B1" w:rsidRPr="009A1F05" w:rsidRDefault="00D213DD" w:rsidP="00FC18C4">
      <w:pPr>
        <w:jc w:val="both"/>
      </w:pPr>
      <w:r>
        <w:t>valsts sekretāra vietniece</w:t>
      </w:r>
      <w:r w:rsidR="00FC18C4" w:rsidRPr="00FC18C4">
        <w:t xml:space="preserve">        </w:t>
      </w:r>
      <w:r w:rsidR="008339B1" w:rsidRPr="009A1F05">
        <w:tab/>
      </w:r>
      <w:r w:rsidR="008339B1" w:rsidRPr="009A1F05">
        <w:tab/>
      </w:r>
      <w:r w:rsidR="008339B1" w:rsidRPr="009A1F05">
        <w:tab/>
      </w:r>
      <w:r w:rsidR="00FC18C4">
        <w:tab/>
      </w:r>
      <w:r w:rsidR="008339B1" w:rsidRPr="009A1F05">
        <w:tab/>
      </w:r>
      <w:r w:rsidR="008339B1" w:rsidRPr="009A1F05">
        <w:tab/>
      </w:r>
      <w:r w:rsidR="008339B1" w:rsidRPr="009A1F05">
        <w:tab/>
        <w:t xml:space="preserve">    </w:t>
      </w:r>
      <w:r w:rsidR="009A1F05">
        <w:tab/>
      </w:r>
      <w:r>
        <w:t>Z</w:t>
      </w:r>
      <w:r w:rsidR="008339B1" w:rsidRPr="009A1F05">
        <w:t>.</w:t>
      </w:r>
      <w:r w:rsidR="00FC18C4">
        <w:t>Liepiņ</w:t>
      </w:r>
      <w:r>
        <w:t>a</w:t>
      </w:r>
    </w:p>
    <w:p w:rsidR="007239AD" w:rsidRPr="00FC18C4" w:rsidRDefault="007239AD" w:rsidP="00BC19B2">
      <w:pPr>
        <w:pStyle w:val="BodyTextIndent"/>
        <w:tabs>
          <w:tab w:val="left" w:pos="0"/>
          <w:tab w:val="left" w:pos="1701"/>
          <w:tab w:val="left" w:pos="6521"/>
        </w:tabs>
        <w:spacing w:after="0"/>
        <w:ind w:left="0"/>
      </w:pPr>
    </w:p>
    <w:p w:rsidR="007239AD" w:rsidRDefault="007239AD" w:rsidP="00BC19B2">
      <w:pPr>
        <w:pStyle w:val="BodyTextIndent"/>
        <w:tabs>
          <w:tab w:val="left" w:pos="0"/>
          <w:tab w:val="left" w:pos="1701"/>
          <w:tab w:val="left" w:pos="6521"/>
        </w:tabs>
        <w:spacing w:after="0"/>
        <w:ind w:left="0"/>
        <w:rPr>
          <w:sz w:val="28"/>
          <w:szCs w:val="28"/>
        </w:rPr>
      </w:pPr>
    </w:p>
    <w:p w:rsidR="00440A59" w:rsidRDefault="00440A59" w:rsidP="00BC19B2">
      <w:pPr>
        <w:pStyle w:val="BodyTextIndent"/>
        <w:tabs>
          <w:tab w:val="left" w:pos="0"/>
          <w:tab w:val="left" w:pos="1701"/>
          <w:tab w:val="left" w:pos="6521"/>
        </w:tabs>
        <w:spacing w:after="0"/>
        <w:ind w:left="0"/>
        <w:rPr>
          <w:sz w:val="28"/>
          <w:szCs w:val="28"/>
        </w:rPr>
      </w:pPr>
    </w:p>
    <w:p w:rsidR="008339B1" w:rsidRDefault="008E2CFF" w:rsidP="008339B1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D213DD">
        <w:rPr>
          <w:sz w:val="20"/>
          <w:szCs w:val="20"/>
        </w:rPr>
        <w:t>7</w:t>
      </w:r>
      <w:r w:rsidR="008339B1" w:rsidRPr="00AF6378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D6780B">
        <w:rPr>
          <w:sz w:val="20"/>
          <w:szCs w:val="20"/>
        </w:rPr>
        <w:t xml:space="preserve">.2012. </w:t>
      </w:r>
      <w:r w:rsidR="00AA2A99">
        <w:rPr>
          <w:sz w:val="20"/>
          <w:szCs w:val="20"/>
        </w:rPr>
        <w:t>11:21</w:t>
      </w:r>
    </w:p>
    <w:p w:rsidR="008339B1" w:rsidRPr="00236DCA" w:rsidRDefault="008E2CFF" w:rsidP="008339B1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AA2A99">
        <w:rPr>
          <w:sz w:val="20"/>
          <w:szCs w:val="20"/>
        </w:rPr>
        <w:t>20</w:t>
      </w:r>
    </w:p>
    <w:p w:rsidR="008339B1" w:rsidRPr="00BA07F8" w:rsidRDefault="008339B1" w:rsidP="008339B1">
      <w:pPr>
        <w:jc w:val="both"/>
        <w:rPr>
          <w:sz w:val="20"/>
          <w:szCs w:val="20"/>
        </w:rPr>
      </w:pPr>
      <w:r>
        <w:rPr>
          <w:sz w:val="20"/>
          <w:szCs w:val="20"/>
        </w:rPr>
        <w:t>N.</w:t>
      </w:r>
      <w:r w:rsidR="00EE2583">
        <w:rPr>
          <w:sz w:val="20"/>
          <w:szCs w:val="20"/>
        </w:rPr>
        <w:t>Andrukoviča</w:t>
      </w:r>
    </w:p>
    <w:p w:rsidR="008339B1" w:rsidRDefault="008339B1" w:rsidP="008339B1">
      <w:pPr>
        <w:jc w:val="both"/>
        <w:rPr>
          <w:sz w:val="20"/>
          <w:szCs w:val="20"/>
        </w:rPr>
      </w:pPr>
      <w:r w:rsidRPr="00BA07F8">
        <w:rPr>
          <w:sz w:val="20"/>
          <w:szCs w:val="20"/>
        </w:rPr>
        <w:t>67013</w:t>
      </w:r>
      <w:r w:rsidR="00EE2583">
        <w:rPr>
          <w:sz w:val="20"/>
          <w:szCs w:val="20"/>
        </w:rPr>
        <w:t>144</w:t>
      </w:r>
      <w:r>
        <w:rPr>
          <w:sz w:val="20"/>
          <w:szCs w:val="20"/>
        </w:rPr>
        <w:t xml:space="preserve">, </w:t>
      </w:r>
      <w:hyperlink r:id="rId7" w:history="1">
        <w:r w:rsidR="00EE2583" w:rsidRPr="00506B57">
          <w:rPr>
            <w:rStyle w:val="Hyperlink"/>
            <w:sz w:val="20"/>
            <w:szCs w:val="20"/>
          </w:rPr>
          <w:t>Natalja.Andrukovica@em.gov.lv</w:t>
        </w:r>
      </w:hyperlink>
      <w:r>
        <w:rPr>
          <w:sz w:val="20"/>
          <w:szCs w:val="20"/>
        </w:rPr>
        <w:t xml:space="preserve"> </w:t>
      </w:r>
    </w:p>
    <w:p w:rsidR="00440A59" w:rsidRPr="008339B1" w:rsidRDefault="00440A59" w:rsidP="00BC19B2">
      <w:pPr>
        <w:pStyle w:val="BodyTextIndent"/>
        <w:tabs>
          <w:tab w:val="left" w:pos="0"/>
          <w:tab w:val="left" w:pos="1701"/>
          <w:tab w:val="left" w:pos="6521"/>
        </w:tabs>
        <w:spacing w:after="0"/>
        <w:ind w:left="0"/>
        <w:rPr>
          <w:sz w:val="20"/>
          <w:szCs w:val="20"/>
        </w:rPr>
      </w:pPr>
    </w:p>
    <w:p w:rsidR="006523E3" w:rsidRDefault="006523E3"/>
    <w:sectPr w:rsidR="006523E3" w:rsidSect="0086011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31" w:rsidRDefault="00F27331" w:rsidP="00D8025D">
      <w:pPr>
        <w:pStyle w:val="naisf"/>
      </w:pPr>
      <w:r>
        <w:separator/>
      </w:r>
    </w:p>
  </w:endnote>
  <w:endnote w:type="continuationSeparator" w:id="0">
    <w:p w:rsidR="00F27331" w:rsidRDefault="00F27331" w:rsidP="00D8025D">
      <w:pPr>
        <w:pStyle w:val="naisf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BA"/>
    <w:family w:val="auto"/>
    <w:notTrueType/>
    <w:pitch w:val="default"/>
    <w:sig w:usb0="00000001" w:usb1="00000000" w:usb2="00000000" w:usb3="00000000" w:csb0="000000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FF" w:rsidRPr="008E2CFF" w:rsidRDefault="008E2CFF" w:rsidP="008E2CFF">
    <w:pPr>
      <w:pStyle w:val="naisc"/>
      <w:spacing w:before="0" w:after="0"/>
      <w:jc w:val="both"/>
      <w:outlineLvl w:val="0"/>
      <w:rPr>
        <w:sz w:val="20"/>
        <w:szCs w:val="20"/>
      </w:rPr>
    </w:pPr>
    <w:r w:rsidRPr="008E2CFF">
      <w:rPr>
        <w:sz w:val="20"/>
        <w:szCs w:val="20"/>
      </w:rPr>
      <w:t>EMAnot_2</w:t>
    </w:r>
    <w:r w:rsidR="00D213DD">
      <w:rPr>
        <w:sz w:val="20"/>
        <w:szCs w:val="20"/>
      </w:rPr>
      <w:t>7</w:t>
    </w:r>
    <w:r w:rsidRPr="008E2CFF">
      <w:rPr>
        <w:sz w:val="20"/>
        <w:szCs w:val="20"/>
      </w:rPr>
      <w:t>0612_AkredNo</w:t>
    </w:r>
    <w:r w:rsidR="009B0EB1">
      <w:rPr>
        <w:sz w:val="20"/>
        <w:szCs w:val="20"/>
      </w:rPr>
      <w:t>l</w:t>
    </w:r>
    <w:r w:rsidRPr="008E2CFF">
      <w:rPr>
        <w:sz w:val="20"/>
        <w:szCs w:val="20"/>
      </w:rPr>
      <w:t xml:space="preserve">; </w:t>
    </w:r>
    <w:r w:rsidRPr="008E2CFF">
      <w:rPr>
        <w:bCs/>
        <w:sz w:val="20"/>
        <w:szCs w:val="20"/>
      </w:rPr>
      <w:t xml:space="preserve">Ministru kabineta noteikumu projekta  „Grozījumi Ministru kabineta 2010.gada 21.jūnija noteikumos Nr.544 „Latvijas Nacionālās akreditācijas padomes nolikums”” </w:t>
    </w:r>
    <w:r w:rsidRPr="008E2CFF">
      <w:rPr>
        <w:sz w:val="20"/>
        <w:szCs w:val="20"/>
      </w:rPr>
      <w:t>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E8" w:rsidRPr="008E2CFF" w:rsidRDefault="0032386A" w:rsidP="008E2CFF">
    <w:pPr>
      <w:pStyle w:val="naisc"/>
      <w:spacing w:before="0" w:after="0"/>
      <w:jc w:val="both"/>
      <w:outlineLvl w:val="0"/>
      <w:rPr>
        <w:sz w:val="20"/>
        <w:szCs w:val="20"/>
      </w:rPr>
    </w:pPr>
    <w:r w:rsidRPr="008E2CFF">
      <w:rPr>
        <w:sz w:val="20"/>
        <w:szCs w:val="20"/>
      </w:rPr>
      <w:t>EMAnot_</w:t>
    </w:r>
    <w:r w:rsidR="008E2CFF" w:rsidRPr="008E2CFF">
      <w:rPr>
        <w:sz w:val="20"/>
        <w:szCs w:val="20"/>
      </w:rPr>
      <w:t>2</w:t>
    </w:r>
    <w:r w:rsidR="00D213DD">
      <w:rPr>
        <w:sz w:val="20"/>
        <w:szCs w:val="20"/>
      </w:rPr>
      <w:t>7</w:t>
    </w:r>
    <w:r w:rsidR="005478D1" w:rsidRPr="008E2CFF">
      <w:rPr>
        <w:sz w:val="20"/>
        <w:szCs w:val="20"/>
      </w:rPr>
      <w:t>06</w:t>
    </w:r>
    <w:r w:rsidRPr="008E2CFF">
      <w:rPr>
        <w:sz w:val="20"/>
        <w:szCs w:val="20"/>
      </w:rPr>
      <w:t>12_AkredNo</w:t>
    </w:r>
    <w:r w:rsidR="009B0EB1">
      <w:rPr>
        <w:sz w:val="20"/>
        <w:szCs w:val="20"/>
      </w:rPr>
      <w:t>l</w:t>
    </w:r>
    <w:r w:rsidRPr="008E2CFF">
      <w:rPr>
        <w:sz w:val="20"/>
        <w:szCs w:val="20"/>
      </w:rPr>
      <w:t xml:space="preserve">; </w:t>
    </w:r>
    <w:r w:rsidR="008E2CFF" w:rsidRPr="008E2CFF">
      <w:rPr>
        <w:bCs/>
        <w:sz w:val="20"/>
        <w:szCs w:val="20"/>
      </w:rPr>
      <w:t xml:space="preserve">Ministru kabineta noteikumu projekta  „Grozījumi Ministru kabineta 2010.gada 21.jūnija noteikumos Nr.544 „Latvijas Nacionālās akreditācijas padomes nolikums”” </w:t>
    </w:r>
    <w:r w:rsidR="008E2CFF" w:rsidRPr="008E2CFF">
      <w:rPr>
        <w:sz w:val="20"/>
        <w:szCs w:val="20"/>
      </w:rPr>
      <w:t>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31" w:rsidRDefault="00F27331" w:rsidP="00D8025D">
      <w:pPr>
        <w:pStyle w:val="naisf"/>
      </w:pPr>
      <w:r>
        <w:separator/>
      </w:r>
    </w:p>
  </w:footnote>
  <w:footnote w:type="continuationSeparator" w:id="0">
    <w:p w:rsidR="00F27331" w:rsidRDefault="00F27331" w:rsidP="00D8025D">
      <w:pPr>
        <w:pStyle w:val="naisf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E8" w:rsidRDefault="0042465D" w:rsidP="00BC19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08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8E8" w:rsidRDefault="00DB08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E8" w:rsidRDefault="0042465D" w:rsidP="00BC19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08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A99">
      <w:rPr>
        <w:rStyle w:val="PageNumber"/>
        <w:noProof/>
      </w:rPr>
      <w:t>3</w:t>
    </w:r>
    <w:r>
      <w:rPr>
        <w:rStyle w:val="PageNumber"/>
      </w:rPr>
      <w:fldChar w:fldCharType="end"/>
    </w:r>
  </w:p>
  <w:p w:rsidR="00DB08E8" w:rsidRDefault="00DB08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9B2"/>
    <w:rsid w:val="000029F3"/>
    <w:rsid w:val="000245EE"/>
    <w:rsid w:val="00032A90"/>
    <w:rsid w:val="00033B0C"/>
    <w:rsid w:val="00050B75"/>
    <w:rsid w:val="000526D0"/>
    <w:rsid w:val="00056F12"/>
    <w:rsid w:val="0007120E"/>
    <w:rsid w:val="000802C1"/>
    <w:rsid w:val="00081EAF"/>
    <w:rsid w:val="00085599"/>
    <w:rsid w:val="00091CE3"/>
    <w:rsid w:val="000B5278"/>
    <w:rsid w:val="000C15B0"/>
    <w:rsid w:val="000C617D"/>
    <w:rsid w:val="000D7ED9"/>
    <w:rsid w:val="000E0451"/>
    <w:rsid w:val="000E1E0D"/>
    <w:rsid w:val="000F0588"/>
    <w:rsid w:val="00100F98"/>
    <w:rsid w:val="00105725"/>
    <w:rsid w:val="00111A50"/>
    <w:rsid w:val="0011546E"/>
    <w:rsid w:val="00126B58"/>
    <w:rsid w:val="00131BB7"/>
    <w:rsid w:val="00137E77"/>
    <w:rsid w:val="00143D33"/>
    <w:rsid w:val="0014401D"/>
    <w:rsid w:val="00152076"/>
    <w:rsid w:val="001713F7"/>
    <w:rsid w:val="00182F9D"/>
    <w:rsid w:val="001923B8"/>
    <w:rsid w:val="00192D2F"/>
    <w:rsid w:val="0019733F"/>
    <w:rsid w:val="001B142C"/>
    <w:rsid w:val="001D1C98"/>
    <w:rsid w:val="00211257"/>
    <w:rsid w:val="00226AAE"/>
    <w:rsid w:val="00230BE4"/>
    <w:rsid w:val="002434AB"/>
    <w:rsid w:val="00264056"/>
    <w:rsid w:val="002820B7"/>
    <w:rsid w:val="00285580"/>
    <w:rsid w:val="00286145"/>
    <w:rsid w:val="002A3A82"/>
    <w:rsid w:val="002A5B8F"/>
    <w:rsid w:val="002B42AB"/>
    <w:rsid w:val="002B4CB4"/>
    <w:rsid w:val="002D147F"/>
    <w:rsid w:val="002D159B"/>
    <w:rsid w:val="002D4AD1"/>
    <w:rsid w:val="002D6452"/>
    <w:rsid w:val="002D668F"/>
    <w:rsid w:val="002E0985"/>
    <w:rsid w:val="002E47EC"/>
    <w:rsid w:val="002E726D"/>
    <w:rsid w:val="002F02F6"/>
    <w:rsid w:val="002F4A99"/>
    <w:rsid w:val="003028E6"/>
    <w:rsid w:val="00317033"/>
    <w:rsid w:val="00317BD5"/>
    <w:rsid w:val="00321C8E"/>
    <w:rsid w:val="0032386A"/>
    <w:rsid w:val="00331916"/>
    <w:rsid w:val="00334B6D"/>
    <w:rsid w:val="00353456"/>
    <w:rsid w:val="003624B9"/>
    <w:rsid w:val="00362806"/>
    <w:rsid w:val="00365BBF"/>
    <w:rsid w:val="00371B65"/>
    <w:rsid w:val="0039270D"/>
    <w:rsid w:val="00395066"/>
    <w:rsid w:val="003A0262"/>
    <w:rsid w:val="003A3F7F"/>
    <w:rsid w:val="003A5134"/>
    <w:rsid w:val="003A6C89"/>
    <w:rsid w:val="003B633E"/>
    <w:rsid w:val="003B6C3B"/>
    <w:rsid w:val="003C1717"/>
    <w:rsid w:val="003C1F74"/>
    <w:rsid w:val="003D0415"/>
    <w:rsid w:val="003E2DC5"/>
    <w:rsid w:val="003F7EE2"/>
    <w:rsid w:val="00400B34"/>
    <w:rsid w:val="00405C12"/>
    <w:rsid w:val="0042465D"/>
    <w:rsid w:val="00440A59"/>
    <w:rsid w:val="004452C3"/>
    <w:rsid w:val="00462808"/>
    <w:rsid w:val="004649A6"/>
    <w:rsid w:val="0046794F"/>
    <w:rsid w:val="00467BBD"/>
    <w:rsid w:val="00481F59"/>
    <w:rsid w:val="00486CD9"/>
    <w:rsid w:val="00490AA7"/>
    <w:rsid w:val="004A2CB5"/>
    <w:rsid w:val="004A7D31"/>
    <w:rsid w:val="004B4C9B"/>
    <w:rsid w:val="004B7E95"/>
    <w:rsid w:val="004E2119"/>
    <w:rsid w:val="004E575D"/>
    <w:rsid w:val="004F47E9"/>
    <w:rsid w:val="00503D25"/>
    <w:rsid w:val="00505AE7"/>
    <w:rsid w:val="00507AA0"/>
    <w:rsid w:val="00513C39"/>
    <w:rsid w:val="00525723"/>
    <w:rsid w:val="0052617A"/>
    <w:rsid w:val="0052746D"/>
    <w:rsid w:val="005350E1"/>
    <w:rsid w:val="00537026"/>
    <w:rsid w:val="00546140"/>
    <w:rsid w:val="005478D1"/>
    <w:rsid w:val="0055163E"/>
    <w:rsid w:val="00562186"/>
    <w:rsid w:val="005657FC"/>
    <w:rsid w:val="005661A6"/>
    <w:rsid w:val="00571136"/>
    <w:rsid w:val="00572471"/>
    <w:rsid w:val="00577D8C"/>
    <w:rsid w:val="005831A7"/>
    <w:rsid w:val="00583792"/>
    <w:rsid w:val="005E3601"/>
    <w:rsid w:val="005E6CE9"/>
    <w:rsid w:val="005F1AF2"/>
    <w:rsid w:val="00602DFC"/>
    <w:rsid w:val="006102DB"/>
    <w:rsid w:val="006113CD"/>
    <w:rsid w:val="00611D0E"/>
    <w:rsid w:val="006132F8"/>
    <w:rsid w:val="00613638"/>
    <w:rsid w:val="006175EB"/>
    <w:rsid w:val="006340A0"/>
    <w:rsid w:val="006523E3"/>
    <w:rsid w:val="0067091E"/>
    <w:rsid w:val="00687E82"/>
    <w:rsid w:val="006A3378"/>
    <w:rsid w:val="006B0F14"/>
    <w:rsid w:val="006B749E"/>
    <w:rsid w:val="006C70D1"/>
    <w:rsid w:val="006D6A51"/>
    <w:rsid w:val="006D71A1"/>
    <w:rsid w:val="006D7D50"/>
    <w:rsid w:val="006E0A05"/>
    <w:rsid w:val="006E0F0D"/>
    <w:rsid w:val="006E3B4C"/>
    <w:rsid w:val="006E447C"/>
    <w:rsid w:val="006E5FC0"/>
    <w:rsid w:val="006E714D"/>
    <w:rsid w:val="006E71CC"/>
    <w:rsid w:val="006F7DEB"/>
    <w:rsid w:val="00705DF5"/>
    <w:rsid w:val="007239AD"/>
    <w:rsid w:val="00730F23"/>
    <w:rsid w:val="00735674"/>
    <w:rsid w:val="007367F4"/>
    <w:rsid w:val="00737C9C"/>
    <w:rsid w:val="00737D22"/>
    <w:rsid w:val="00740108"/>
    <w:rsid w:val="007402C0"/>
    <w:rsid w:val="00762487"/>
    <w:rsid w:val="007A1754"/>
    <w:rsid w:val="007A46AE"/>
    <w:rsid w:val="007B51A3"/>
    <w:rsid w:val="007C7EA3"/>
    <w:rsid w:val="007D4494"/>
    <w:rsid w:val="007D4F04"/>
    <w:rsid w:val="007D5C3F"/>
    <w:rsid w:val="007D77DB"/>
    <w:rsid w:val="007E215A"/>
    <w:rsid w:val="007E2687"/>
    <w:rsid w:val="007F1F5C"/>
    <w:rsid w:val="007F4137"/>
    <w:rsid w:val="008153E2"/>
    <w:rsid w:val="008339B1"/>
    <w:rsid w:val="00844396"/>
    <w:rsid w:val="00850984"/>
    <w:rsid w:val="00860116"/>
    <w:rsid w:val="008602CE"/>
    <w:rsid w:val="008645DF"/>
    <w:rsid w:val="00866767"/>
    <w:rsid w:val="008675B3"/>
    <w:rsid w:val="00885F4C"/>
    <w:rsid w:val="008B68D4"/>
    <w:rsid w:val="008C1465"/>
    <w:rsid w:val="008D58E1"/>
    <w:rsid w:val="008E07B2"/>
    <w:rsid w:val="008E2CFF"/>
    <w:rsid w:val="008E36EC"/>
    <w:rsid w:val="008E37A9"/>
    <w:rsid w:val="008E7E81"/>
    <w:rsid w:val="008F66FC"/>
    <w:rsid w:val="008F7F75"/>
    <w:rsid w:val="00900B79"/>
    <w:rsid w:val="00910C49"/>
    <w:rsid w:val="00915B9F"/>
    <w:rsid w:val="00931523"/>
    <w:rsid w:val="00967262"/>
    <w:rsid w:val="009672A8"/>
    <w:rsid w:val="00975DAC"/>
    <w:rsid w:val="009774EB"/>
    <w:rsid w:val="009838DE"/>
    <w:rsid w:val="00987A81"/>
    <w:rsid w:val="009A1F05"/>
    <w:rsid w:val="009A3312"/>
    <w:rsid w:val="009A6CF3"/>
    <w:rsid w:val="009A7BDA"/>
    <w:rsid w:val="009B0BA0"/>
    <w:rsid w:val="009B0EB1"/>
    <w:rsid w:val="009B4F63"/>
    <w:rsid w:val="009C3620"/>
    <w:rsid w:val="009D7893"/>
    <w:rsid w:val="009E01D5"/>
    <w:rsid w:val="00A15B01"/>
    <w:rsid w:val="00A43343"/>
    <w:rsid w:val="00A476A5"/>
    <w:rsid w:val="00A552E1"/>
    <w:rsid w:val="00A601C9"/>
    <w:rsid w:val="00A74ED9"/>
    <w:rsid w:val="00A8158D"/>
    <w:rsid w:val="00A87D98"/>
    <w:rsid w:val="00A953AD"/>
    <w:rsid w:val="00A95F38"/>
    <w:rsid w:val="00AA2A99"/>
    <w:rsid w:val="00AB308D"/>
    <w:rsid w:val="00AC04D8"/>
    <w:rsid w:val="00AC35AB"/>
    <w:rsid w:val="00AE26CC"/>
    <w:rsid w:val="00AF2984"/>
    <w:rsid w:val="00AF2EF8"/>
    <w:rsid w:val="00B16FDE"/>
    <w:rsid w:val="00B272F5"/>
    <w:rsid w:val="00B27C4A"/>
    <w:rsid w:val="00B47572"/>
    <w:rsid w:val="00B61531"/>
    <w:rsid w:val="00B64655"/>
    <w:rsid w:val="00B6663E"/>
    <w:rsid w:val="00B8724C"/>
    <w:rsid w:val="00B93779"/>
    <w:rsid w:val="00B93F91"/>
    <w:rsid w:val="00BB6780"/>
    <w:rsid w:val="00BC19B2"/>
    <w:rsid w:val="00BC46ED"/>
    <w:rsid w:val="00BC6278"/>
    <w:rsid w:val="00BE0925"/>
    <w:rsid w:val="00BE5533"/>
    <w:rsid w:val="00BF3148"/>
    <w:rsid w:val="00BF52EA"/>
    <w:rsid w:val="00BF5E64"/>
    <w:rsid w:val="00C145EB"/>
    <w:rsid w:val="00C213B9"/>
    <w:rsid w:val="00C35032"/>
    <w:rsid w:val="00C47FF6"/>
    <w:rsid w:val="00C50EA0"/>
    <w:rsid w:val="00C620E7"/>
    <w:rsid w:val="00C62C97"/>
    <w:rsid w:val="00C63F6F"/>
    <w:rsid w:val="00C66A37"/>
    <w:rsid w:val="00C93EEC"/>
    <w:rsid w:val="00CA555E"/>
    <w:rsid w:val="00CC107E"/>
    <w:rsid w:val="00CE4307"/>
    <w:rsid w:val="00CF5087"/>
    <w:rsid w:val="00D0123E"/>
    <w:rsid w:val="00D031FE"/>
    <w:rsid w:val="00D04453"/>
    <w:rsid w:val="00D14C3F"/>
    <w:rsid w:val="00D213DD"/>
    <w:rsid w:val="00D21C20"/>
    <w:rsid w:val="00D24291"/>
    <w:rsid w:val="00D272A3"/>
    <w:rsid w:val="00D37936"/>
    <w:rsid w:val="00D37F8F"/>
    <w:rsid w:val="00D45F4E"/>
    <w:rsid w:val="00D51893"/>
    <w:rsid w:val="00D56B49"/>
    <w:rsid w:val="00D6780B"/>
    <w:rsid w:val="00D7523A"/>
    <w:rsid w:val="00D8025D"/>
    <w:rsid w:val="00D82533"/>
    <w:rsid w:val="00D87E87"/>
    <w:rsid w:val="00D96253"/>
    <w:rsid w:val="00DA5206"/>
    <w:rsid w:val="00DB08E8"/>
    <w:rsid w:val="00DB1471"/>
    <w:rsid w:val="00DC5A17"/>
    <w:rsid w:val="00DF609A"/>
    <w:rsid w:val="00E11A71"/>
    <w:rsid w:val="00E14F9C"/>
    <w:rsid w:val="00E21312"/>
    <w:rsid w:val="00E23F5B"/>
    <w:rsid w:val="00E2696A"/>
    <w:rsid w:val="00E309B4"/>
    <w:rsid w:val="00E32783"/>
    <w:rsid w:val="00E502F9"/>
    <w:rsid w:val="00E630D4"/>
    <w:rsid w:val="00E72E54"/>
    <w:rsid w:val="00E910D6"/>
    <w:rsid w:val="00EA7112"/>
    <w:rsid w:val="00EB7982"/>
    <w:rsid w:val="00ED6498"/>
    <w:rsid w:val="00ED6FCC"/>
    <w:rsid w:val="00EE2583"/>
    <w:rsid w:val="00EF0935"/>
    <w:rsid w:val="00EF471B"/>
    <w:rsid w:val="00EF7774"/>
    <w:rsid w:val="00F2236A"/>
    <w:rsid w:val="00F23F53"/>
    <w:rsid w:val="00F27331"/>
    <w:rsid w:val="00F27AF1"/>
    <w:rsid w:val="00F31608"/>
    <w:rsid w:val="00F31811"/>
    <w:rsid w:val="00F32ED3"/>
    <w:rsid w:val="00F36030"/>
    <w:rsid w:val="00F36220"/>
    <w:rsid w:val="00F4234D"/>
    <w:rsid w:val="00F435A8"/>
    <w:rsid w:val="00F460CB"/>
    <w:rsid w:val="00F4652F"/>
    <w:rsid w:val="00F50A0F"/>
    <w:rsid w:val="00F56FE6"/>
    <w:rsid w:val="00F620DF"/>
    <w:rsid w:val="00F73009"/>
    <w:rsid w:val="00F77092"/>
    <w:rsid w:val="00F94EB1"/>
    <w:rsid w:val="00FA7ABA"/>
    <w:rsid w:val="00FC18C4"/>
    <w:rsid w:val="00FC5946"/>
    <w:rsid w:val="00FC6BBC"/>
    <w:rsid w:val="00FD0C85"/>
    <w:rsid w:val="00FD7927"/>
    <w:rsid w:val="00FE60AF"/>
    <w:rsid w:val="00FF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C19B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BC19B2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BC19B2"/>
    <w:pPr>
      <w:spacing w:before="75" w:after="75"/>
      <w:jc w:val="right"/>
    </w:pPr>
  </w:style>
  <w:style w:type="paragraph" w:customStyle="1" w:styleId="naiskr">
    <w:name w:val="naiskr"/>
    <w:basedOn w:val="Normal"/>
    <w:rsid w:val="00BC19B2"/>
    <w:pPr>
      <w:spacing w:before="75" w:after="75"/>
    </w:pPr>
  </w:style>
  <w:style w:type="paragraph" w:customStyle="1" w:styleId="naisc">
    <w:name w:val="naisc"/>
    <w:basedOn w:val="Normal"/>
    <w:rsid w:val="00BC19B2"/>
    <w:pPr>
      <w:spacing w:before="75" w:after="75"/>
      <w:jc w:val="center"/>
    </w:pPr>
  </w:style>
  <w:style w:type="character" w:styleId="Hyperlink">
    <w:name w:val="Hyperlink"/>
    <w:basedOn w:val="DefaultParagraphFont"/>
    <w:rsid w:val="00BC19B2"/>
    <w:rPr>
      <w:color w:val="0000FF"/>
      <w:u w:val="single"/>
    </w:rPr>
  </w:style>
  <w:style w:type="paragraph" w:styleId="Header">
    <w:name w:val="header"/>
    <w:basedOn w:val="Normal"/>
    <w:rsid w:val="00BC19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19B2"/>
  </w:style>
  <w:style w:type="paragraph" w:styleId="Footer">
    <w:name w:val="footer"/>
    <w:basedOn w:val="Normal"/>
    <w:link w:val="FooterChar"/>
    <w:rsid w:val="00BC19B2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rsid w:val="00BC19B2"/>
    <w:pPr>
      <w:spacing w:after="120"/>
      <w:ind w:left="283"/>
    </w:pPr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BC19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C19B2"/>
    <w:rPr>
      <w:sz w:val="24"/>
      <w:szCs w:val="24"/>
      <w:lang w:val="lv-LV" w:eastAsia="lv-LV" w:bidi="ar-SA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BC19B2"/>
    <w:rPr>
      <w:sz w:val="16"/>
      <w:szCs w:val="16"/>
      <w:lang w:val="en-US" w:eastAsia="en-US" w:bidi="ar-SA"/>
    </w:rPr>
  </w:style>
  <w:style w:type="table" w:styleId="TableGrid">
    <w:name w:val="Table Grid"/>
    <w:basedOn w:val="TableNormal"/>
    <w:rsid w:val="00ED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E0F0D"/>
    <w:rPr>
      <w:color w:val="800080"/>
      <w:u w:val="single"/>
    </w:rPr>
  </w:style>
  <w:style w:type="paragraph" w:customStyle="1" w:styleId="Default">
    <w:name w:val="Default"/>
    <w:rsid w:val="008645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BalloonText">
    <w:name w:val="Balloon Text"/>
    <w:basedOn w:val="Normal"/>
    <w:semiHidden/>
    <w:rsid w:val="007402C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A1754"/>
  </w:style>
  <w:style w:type="paragraph" w:styleId="DocumentMap">
    <w:name w:val="Document Map"/>
    <w:basedOn w:val="Normal"/>
    <w:semiHidden/>
    <w:rsid w:val="00C66A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8339B1"/>
    <w:pPr>
      <w:jc w:val="center"/>
    </w:pPr>
    <w:rPr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8339B1"/>
    <w:rPr>
      <w:sz w:val="3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F31608"/>
    <w:rPr>
      <w:sz w:val="24"/>
      <w:szCs w:val="24"/>
    </w:rPr>
  </w:style>
  <w:style w:type="character" w:styleId="CommentReference">
    <w:name w:val="annotation reference"/>
    <w:basedOn w:val="DefaultParagraphFont"/>
    <w:rsid w:val="003E2D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DC5"/>
  </w:style>
  <w:style w:type="paragraph" w:styleId="CommentSubject">
    <w:name w:val="annotation subject"/>
    <w:basedOn w:val="CommentText"/>
    <w:next w:val="CommentText"/>
    <w:link w:val="CommentSubjectChar"/>
    <w:rsid w:val="003E2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lja.Andrukovica@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F3217-673C-4B17-BAD8-7631DB82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21.jūnija noteikumos Nr.544 „Latvijas Nacionālās akreditācijas padomes nolikums”</vt:lpstr>
    </vt:vector>
  </TitlesOfParts>
  <Company>LR Vides ministrija</Company>
  <LinksUpToDate>false</LinksUpToDate>
  <CharactersWithSpaces>5748</CharactersWithSpaces>
  <SharedDoc>false</SharedDoc>
  <HLinks>
    <vt:vector size="6" baseType="variant"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mailto:Natalja.Andrukovica@em.gov.lv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21.jūnija noteikumos Nr.544 „Latvijas Nacionālās akreditācijas padomes nolikums”</dc:title>
  <dc:subject>Anotācija</dc:subject>
  <dc:creator>Nataļja Andrukoviča</dc:creator>
  <cp:keywords/>
  <dc:description>67013144; Natalja.Andrukovica@em.gov.lv</dc:description>
  <cp:lastModifiedBy>Nataļja Andrukoviča</cp:lastModifiedBy>
  <cp:revision>10</cp:revision>
  <cp:lastPrinted>2012-06-27T08:21:00Z</cp:lastPrinted>
  <dcterms:created xsi:type="dcterms:W3CDTF">2012-06-22T06:32:00Z</dcterms:created>
  <dcterms:modified xsi:type="dcterms:W3CDTF">2012-06-27T08:22:00Z</dcterms:modified>
</cp:coreProperties>
</file>