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90" w:rsidRPr="000C5EE3" w:rsidRDefault="001F5390" w:rsidP="00BF60FC">
      <w:pPr>
        <w:spacing w:after="0" w:line="240" w:lineRule="auto"/>
        <w:jc w:val="center"/>
        <w:rPr>
          <w:rFonts w:ascii="Times New Roman" w:eastAsia="Times New Roman" w:hAnsi="Times New Roman" w:cs="Times New Roman"/>
          <w:b/>
          <w:sz w:val="26"/>
          <w:szCs w:val="26"/>
          <w:lang w:eastAsia="lv-LV"/>
        </w:rPr>
      </w:pPr>
      <w:bookmarkStart w:id="0" w:name="OLE_LINK6"/>
      <w:bookmarkStart w:id="1" w:name="OLE_LINK7"/>
      <w:bookmarkStart w:id="2" w:name="OLE_LINK15"/>
      <w:bookmarkStart w:id="3" w:name="OLE_LINK16"/>
      <w:bookmarkStart w:id="4" w:name="OLE_LINK1"/>
      <w:bookmarkStart w:id="5" w:name="OLE_LINK2"/>
      <w:bookmarkStart w:id="6" w:name="OLE_LINK3"/>
      <w:bookmarkStart w:id="7" w:name="OLE_LINK8"/>
      <w:bookmarkStart w:id="8" w:name="OLE_LINK4"/>
      <w:bookmarkStart w:id="9" w:name="OLE_LINK5"/>
      <w:r w:rsidRPr="000C5EE3">
        <w:rPr>
          <w:rFonts w:ascii="Times New Roman" w:eastAsia="Times New Roman" w:hAnsi="Times New Roman" w:cs="Times New Roman"/>
          <w:b/>
          <w:sz w:val="26"/>
          <w:szCs w:val="26"/>
          <w:lang w:eastAsia="lv-LV"/>
        </w:rPr>
        <w:t xml:space="preserve">Ministru kabineta noteikumu projekta </w:t>
      </w:r>
      <w:bookmarkEnd w:id="0"/>
      <w:bookmarkEnd w:id="1"/>
      <w:r w:rsidR="004551DF" w:rsidRPr="000C5EE3">
        <w:rPr>
          <w:rFonts w:ascii="Times New Roman" w:eastAsia="Times New Roman" w:hAnsi="Times New Roman" w:cs="Times New Roman"/>
          <w:b/>
          <w:sz w:val="26"/>
          <w:szCs w:val="26"/>
          <w:lang w:eastAsia="lv-LV"/>
        </w:rPr>
        <w:t>„</w:t>
      </w:r>
      <w:r w:rsidR="00D11272" w:rsidRPr="000C5EE3">
        <w:rPr>
          <w:rFonts w:ascii="Times New Roman" w:eastAsia="Times New Roman" w:hAnsi="Times New Roman" w:cs="Times New Roman"/>
          <w:b/>
          <w:sz w:val="26"/>
          <w:szCs w:val="26"/>
          <w:lang w:eastAsia="lv-LV"/>
        </w:rPr>
        <w:t>Grozīj</w:t>
      </w:r>
      <w:r w:rsidR="004E4121" w:rsidRPr="000C5EE3">
        <w:rPr>
          <w:rFonts w:ascii="Times New Roman" w:eastAsia="Times New Roman" w:hAnsi="Times New Roman" w:cs="Times New Roman"/>
          <w:b/>
          <w:sz w:val="26"/>
          <w:szCs w:val="26"/>
          <w:lang w:eastAsia="lv-LV"/>
        </w:rPr>
        <w:t xml:space="preserve">umi Ministru kabineta 2012.gada </w:t>
      </w:r>
      <w:r w:rsidR="00D11272" w:rsidRPr="000C5EE3">
        <w:rPr>
          <w:rFonts w:ascii="Times New Roman" w:eastAsia="Times New Roman" w:hAnsi="Times New Roman" w:cs="Times New Roman"/>
          <w:b/>
          <w:sz w:val="26"/>
          <w:szCs w:val="26"/>
          <w:lang w:eastAsia="lv-LV"/>
        </w:rPr>
        <w:t>13.marta  noteikumos Nr.179 „No</w:t>
      </w:r>
      <w:r w:rsidR="004E4121" w:rsidRPr="000C5EE3">
        <w:rPr>
          <w:rFonts w:ascii="Times New Roman" w:eastAsia="Times New Roman" w:hAnsi="Times New Roman" w:cs="Times New Roman"/>
          <w:b/>
          <w:sz w:val="26"/>
          <w:szCs w:val="26"/>
          <w:lang w:eastAsia="lv-LV"/>
        </w:rPr>
        <w:t xml:space="preserve">teikumi par darbības programmas </w:t>
      </w:r>
      <w:r w:rsidR="00D11272" w:rsidRPr="000C5EE3">
        <w:rPr>
          <w:rFonts w:ascii="Times New Roman" w:eastAsia="Times New Roman" w:hAnsi="Times New Roman" w:cs="Times New Roman"/>
          <w:b/>
          <w:sz w:val="26"/>
          <w:szCs w:val="26"/>
          <w:lang w:eastAsia="lv-LV"/>
        </w:rPr>
        <w:t>„Cilvēkresursi un nodarbinātība” papildinājuma</w:t>
      </w:r>
      <w:r w:rsidR="004E4121" w:rsidRPr="000C5EE3">
        <w:rPr>
          <w:rFonts w:ascii="Times New Roman" w:eastAsia="Times New Roman" w:hAnsi="Times New Roman" w:cs="Times New Roman"/>
          <w:b/>
          <w:sz w:val="26"/>
          <w:szCs w:val="26"/>
          <w:lang w:eastAsia="lv-LV"/>
        </w:rPr>
        <w:t xml:space="preserve"> 1.3.1.1.6.apakšaktivitāti </w:t>
      </w:r>
      <w:r w:rsidR="00D11272" w:rsidRPr="000C5EE3">
        <w:rPr>
          <w:rFonts w:ascii="Times New Roman" w:eastAsia="Times New Roman" w:hAnsi="Times New Roman" w:cs="Times New Roman"/>
          <w:b/>
          <w:sz w:val="26"/>
          <w:szCs w:val="26"/>
          <w:lang w:eastAsia="lv-LV"/>
        </w:rPr>
        <w:t xml:space="preserve">„Atbalsts darba vietu radīšanai””” </w:t>
      </w:r>
      <w:r w:rsidRPr="000C5EE3">
        <w:rPr>
          <w:rFonts w:ascii="Times New Roman" w:eastAsia="Times New Roman" w:hAnsi="Times New Roman" w:cs="Times New Roman"/>
          <w:b/>
          <w:sz w:val="28"/>
          <w:szCs w:val="28"/>
          <w:lang w:eastAsia="lv-LV"/>
        </w:rPr>
        <w:t>sākotnējās ietekmes novērtējuma ziņojums (anotācija)</w:t>
      </w:r>
      <w:bookmarkEnd w:id="2"/>
      <w:bookmarkEnd w:id="3"/>
    </w:p>
    <w:bookmarkEnd w:id="4"/>
    <w:bookmarkEnd w:id="5"/>
    <w:bookmarkEnd w:id="6"/>
    <w:bookmarkEnd w:id="7"/>
    <w:bookmarkEnd w:id="8"/>
    <w:bookmarkEnd w:id="9"/>
    <w:p w:rsidR="001F5390" w:rsidRPr="000C5EE3" w:rsidRDefault="001F5390" w:rsidP="001F5390">
      <w:pPr>
        <w:spacing w:after="0" w:line="240" w:lineRule="auto"/>
        <w:rPr>
          <w:rFonts w:ascii="Times New Roman" w:eastAsia="Calibri" w:hAnsi="Times New Roman" w:cs="Times New Roman"/>
          <w:b/>
          <w:sz w:val="28"/>
          <w:szCs w:val="28"/>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850"/>
        <w:gridCol w:w="6237"/>
      </w:tblGrid>
      <w:tr w:rsidR="00D40CFC" w:rsidRPr="000C5EE3" w:rsidTr="00E4531E">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40CFC" w:rsidRPr="000C5EE3" w:rsidRDefault="00D40CFC" w:rsidP="00D40CFC">
            <w:pPr>
              <w:spacing w:after="0" w:line="240" w:lineRule="auto"/>
              <w:jc w:val="center"/>
              <w:rPr>
                <w:rFonts w:ascii="Times New Roman" w:eastAsia="Times New Roman" w:hAnsi="Times New Roman" w:cs="Times New Roman"/>
                <w:b/>
                <w:sz w:val="28"/>
                <w:szCs w:val="28"/>
                <w:lang w:eastAsia="lv-LV"/>
              </w:rPr>
            </w:pPr>
            <w:r w:rsidRPr="000C5EE3">
              <w:rPr>
                <w:rFonts w:ascii="Times New Roman" w:eastAsia="Times New Roman" w:hAnsi="Times New Roman" w:cs="Times New Roman"/>
                <w:b/>
                <w:sz w:val="28"/>
                <w:szCs w:val="28"/>
                <w:lang w:eastAsia="lv-LV"/>
              </w:rPr>
              <w:t>I.Tiesību akta projekta izstrādes nepieciešamība</w:t>
            </w:r>
          </w:p>
        </w:tc>
      </w:tr>
      <w:tr w:rsidR="00D40CFC" w:rsidRPr="000C5EE3" w:rsidTr="00FE4F5C">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1. 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C5EE3" w:rsidRDefault="00D40CFC" w:rsidP="00D40CFC">
            <w:pPr>
              <w:spacing w:after="0" w:line="240" w:lineRule="auto"/>
              <w:ind w:firstLine="567"/>
              <w:jc w:val="both"/>
              <w:rPr>
                <w:rFonts w:ascii="Times New Roman" w:eastAsia="Calibri" w:hAnsi="Times New Roman" w:cs="Times New Roman"/>
                <w:sz w:val="28"/>
                <w:szCs w:val="28"/>
              </w:rPr>
            </w:pPr>
            <w:r w:rsidRPr="000C5EE3">
              <w:rPr>
                <w:rFonts w:ascii="Times New Roman" w:eastAsia="Calibri" w:hAnsi="Times New Roman" w:cs="Times New Roman"/>
                <w:sz w:val="28"/>
                <w:szCs w:val="28"/>
              </w:rPr>
              <w:t xml:space="preserve">Noteikumu projekts sagatavots, pamatojoties uz Eiropas Savienības struktūrfondu un </w:t>
            </w:r>
            <w:r w:rsidRPr="000C5EE3">
              <w:rPr>
                <w:rFonts w:ascii="Times New Roman" w:eastAsia="Calibri" w:hAnsi="Times New Roman" w:cs="Times New Roman"/>
                <w:sz w:val="28"/>
                <w:szCs w:val="28"/>
              </w:rPr>
              <w:br/>
              <w:t xml:space="preserve">Kohēzijas fonda vadības likuma </w:t>
            </w:r>
            <w:r w:rsidRPr="000C5EE3">
              <w:rPr>
                <w:rFonts w:ascii="Times New Roman" w:eastAsia="Calibri" w:hAnsi="Times New Roman" w:cs="Times New Roman"/>
                <w:sz w:val="28"/>
                <w:szCs w:val="28"/>
              </w:rPr>
              <w:br/>
              <w:t>18.panta 10.punktu.</w:t>
            </w:r>
          </w:p>
        </w:tc>
      </w:tr>
      <w:tr w:rsidR="00D40CFC" w:rsidRPr="000C5EE3" w:rsidTr="00FE4F5C">
        <w:trPr>
          <w:trHeight w:val="360"/>
        </w:trPr>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2. 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2C62C4" w:rsidRPr="000C5EE3" w:rsidRDefault="00D11272" w:rsidP="00B559EC">
            <w:pPr>
              <w:spacing w:before="60" w:after="60" w:line="240" w:lineRule="auto"/>
              <w:ind w:firstLine="567"/>
              <w:jc w:val="both"/>
              <w:rPr>
                <w:rFonts w:ascii="Times New Roman" w:eastAsia="Calibri" w:hAnsi="Times New Roman" w:cs="Times New Roman"/>
                <w:bCs/>
                <w:color w:val="000000"/>
                <w:sz w:val="28"/>
                <w:szCs w:val="28"/>
              </w:rPr>
            </w:pPr>
            <w:r w:rsidRPr="000C5EE3">
              <w:rPr>
                <w:rFonts w:ascii="Times New Roman" w:eastAsia="Calibri" w:hAnsi="Times New Roman" w:cs="Times New Roman"/>
                <w:color w:val="000000"/>
                <w:sz w:val="28"/>
                <w:szCs w:val="28"/>
              </w:rPr>
              <w:t>Grozījumi Ministru kabineta 2012.gada 13.marta  noteikumos Nr.179 „Noteikumi par darbības programmas „Cilvēkresursi un nodarbinātība” papildinājuma 1.3.1.1.6.apakšaktivitāti „Atbalsts darba vietu radīšanai””</w:t>
            </w:r>
            <w:r w:rsidR="00BF60FC" w:rsidRPr="000C5EE3">
              <w:rPr>
                <w:rFonts w:ascii="Times New Roman" w:eastAsia="Calibri" w:hAnsi="Times New Roman" w:cs="Times New Roman"/>
                <w:color w:val="000000"/>
                <w:sz w:val="28"/>
                <w:szCs w:val="28"/>
              </w:rPr>
              <w:t xml:space="preserve"> </w:t>
            </w:r>
            <w:r w:rsidR="004551DF" w:rsidRPr="000C5EE3">
              <w:rPr>
                <w:rFonts w:ascii="Times New Roman" w:eastAsia="Calibri" w:hAnsi="Times New Roman" w:cs="Times New Roman"/>
                <w:bCs/>
                <w:color w:val="000000"/>
                <w:sz w:val="28"/>
                <w:szCs w:val="28"/>
              </w:rPr>
              <w:t xml:space="preserve">ir nepieciešami, </w:t>
            </w:r>
            <w:r w:rsidR="00B559EC" w:rsidRPr="000C5EE3">
              <w:rPr>
                <w:rFonts w:ascii="Times New Roman" w:eastAsia="Calibri" w:hAnsi="Times New Roman" w:cs="Times New Roman"/>
                <w:bCs/>
                <w:color w:val="000000"/>
                <w:sz w:val="28"/>
                <w:szCs w:val="28"/>
              </w:rPr>
              <w:t xml:space="preserve">lai </w:t>
            </w:r>
            <w:r w:rsidR="0069253F" w:rsidRPr="000C5EE3">
              <w:rPr>
                <w:rFonts w:ascii="Times New Roman" w:eastAsia="Calibri" w:hAnsi="Times New Roman" w:cs="Times New Roman"/>
                <w:bCs/>
                <w:color w:val="000000"/>
                <w:sz w:val="28"/>
                <w:szCs w:val="28"/>
              </w:rPr>
              <w:t>p</w:t>
            </w:r>
            <w:r w:rsidR="00461C62" w:rsidRPr="000C5EE3">
              <w:rPr>
                <w:rFonts w:ascii="Times New Roman" w:eastAsia="Calibri" w:hAnsi="Times New Roman" w:cs="Times New Roman"/>
                <w:bCs/>
                <w:color w:val="000000"/>
                <w:sz w:val="28"/>
                <w:szCs w:val="28"/>
              </w:rPr>
              <w:t>recizētu</w:t>
            </w:r>
            <w:r w:rsidR="0069253F" w:rsidRPr="000C5EE3">
              <w:rPr>
                <w:rFonts w:ascii="Times New Roman" w:eastAsia="Calibri" w:hAnsi="Times New Roman" w:cs="Times New Roman"/>
                <w:bCs/>
                <w:color w:val="000000"/>
                <w:sz w:val="28"/>
                <w:szCs w:val="28"/>
              </w:rPr>
              <w:t xml:space="preserve"> </w:t>
            </w:r>
            <w:r w:rsidR="00C07BB7" w:rsidRPr="000C5EE3">
              <w:rPr>
                <w:rFonts w:ascii="Times New Roman" w:eastAsia="Calibri" w:hAnsi="Times New Roman" w:cs="Times New Roman"/>
                <w:bCs/>
                <w:color w:val="000000"/>
                <w:sz w:val="28"/>
                <w:szCs w:val="28"/>
              </w:rPr>
              <w:t>noteikumus ar atsaucēm uz datu iegūšanas vietnēm, precizētu projektu iesnieguma veidlapas apakšpunkt</w:t>
            </w:r>
            <w:r w:rsidR="00075B21" w:rsidRPr="000C5EE3">
              <w:rPr>
                <w:rFonts w:ascii="Times New Roman" w:eastAsia="Calibri" w:hAnsi="Times New Roman" w:cs="Times New Roman"/>
                <w:bCs/>
                <w:color w:val="000000"/>
                <w:sz w:val="28"/>
                <w:szCs w:val="28"/>
              </w:rPr>
              <w:t>u</w:t>
            </w:r>
            <w:r w:rsidR="00C07BB7" w:rsidRPr="000C5EE3">
              <w:rPr>
                <w:rFonts w:ascii="Times New Roman" w:eastAsia="Calibri" w:hAnsi="Times New Roman" w:cs="Times New Roman"/>
                <w:bCs/>
                <w:color w:val="000000"/>
                <w:sz w:val="28"/>
                <w:szCs w:val="28"/>
              </w:rPr>
              <w:t xml:space="preserve">s, kā arī lai papildinātu kritērijus ar  </w:t>
            </w:r>
            <w:r w:rsidR="00A910E1" w:rsidRPr="000C5EE3">
              <w:rPr>
                <w:rFonts w:ascii="Times New Roman" w:eastAsia="Calibri" w:hAnsi="Times New Roman" w:cs="Times New Roman"/>
                <w:bCs/>
                <w:color w:val="000000"/>
                <w:sz w:val="28"/>
                <w:szCs w:val="28"/>
              </w:rPr>
              <w:t xml:space="preserve">Ministru kabineta rīkojuma projekta „Par Latvijas preču un pakalpojumu eksporta veicināšanas un ārvalstu investīciju piesaistes pamatnostādnēm 2012.-2018.gadam” prioritārajām </w:t>
            </w:r>
            <w:r w:rsidR="00C07BB7" w:rsidRPr="000C5EE3">
              <w:rPr>
                <w:rFonts w:ascii="Times New Roman" w:eastAsia="Calibri" w:hAnsi="Times New Roman" w:cs="Times New Roman"/>
                <w:bCs/>
                <w:color w:val="000000"/>
                <w:sz w:val="28"/>
                <w:szCs w:val="28"/>
              </w:rPr>
              <w:t>nozarēm</w:t>
            </w:r>
            <w:r w:rsidR="00B559EC" w:rsidRPr="000C5EE3">
              <w:rPr>
                <w:rFonts w:ascii="Times New Roman" w:eastAsia="Calibri" w:hAnsi="Times New Roman" w:cs="Times New Roman"/>
                <w:bCs/>
                <w:color w:val="000000"/>
                <w:sz w:val="28"/>
                <w:szCs w:val="28"/>
              </w:rPr>
              <w:t xml:space="preserve">. </w:t>
            </w:r>
          </w:p>
          <w:p w:rsidR="00924414" w:rsidRPr="000C5EE3" w:rsidRDefault="00433174" w:rsidP="00924414">
            <w:pPr>
              <w:spacing w:before="60" w:after="60" w:line="240" w:lineRule="auto"/>
              <w:ind w:firstLine="567"/>
              <w:jc w:val="both"/>
              <w:rPr>
                <w:rFonts w:ascii="Times New Roman" w:eastAsia="Times New Roman" w:hAnsi="Times New Roman" w:cs="Times New Roman"/>
                <w:bCs/>
                <w:sz w:val="28"/>
                <w:szCs w:val="28"/>
                <w:lang w:eastAsia="lv-LV"/>
              </w:rPr>
            </w:pPr>
            <w:r w:rsidRPr="000C5EE3">
              <w:rPr>
                <w:rFonts w:ascii="Times New Roman" w:eastAsia="Times New Roman" w:hAnsi="Times New Roman" w:cs="Times New Roman"/>
                <w:bCs/>
                <w:sz w:val="28"/>
                <w:szCs w:val="28"/>
                <w:lang w:eastAsia="lv-LV"/>
              </w:rPr>
              <w:t xml:space="preserve">Grozījumi 55.5.punktā </w:t>
            </w:r>
            <w:r w:rsidR="00DF3093" w:rsidRPr="000C5EE3">
              <w:rPr>
                <w:rFonts w:ascii="Times New Roman" w:eastAsia="Times New Roman" w:hAnsi="Times New Roman" w:cs="Times New Roman"/>
                <w:bCs/>
                <w:sz w:val="28"/>
                <w:szCs w:val="28"/>
                <w:lang w:eastAsia="lv-LV"/>
              </w:rPr>
              <w:t>paredz noteikt kādu</w:t>
            </w:r>
            <w:r w:rsidR="004C52D9" w:rsidRPr="000C5EE3">
              <w:rPr>
                <w:rFonts w:ascii="Times New Roman" w:eastAsia="Times New Roman" w:hAnsi="Times New Roman" w:cs="Times New Roman"/>
                <w:bCs/>
                <w:sz w:val="28"/>
                <w:szCs w:val="28"/>
                <w:lang w:eastAsia="lv-LV"/>
              </w:rPr>
              <w:t>s</w:t>
            </w:r>
            <w:r w:rsidR="00DF3093" w:rsidRPr="000C5EE3">
              <w:rPr>
                <w:rFonts w:ascii="Times New Roman" w:eastAsia="Times New Roman" w:hAnsi="Times New Roman" w:cs="Times New Roman"/>
                <w:bCs/>
                <w:sz w:val="28"/>
                <w:szCs w:val="28"/>
                <w:lang w:eastAsia="lv-LV"/>
              </w:rPr>
              <w:t xml:space="preserve"> avotus ir jāizmanto lai iegūtu datus par darba ņēmēju vidējiem darba ienākumiem valstī,  gadījumā</w:t>
            </w:r>
            <w:r w:rsidR="007127DB" w:rsidRPr="000C5EE3">
              <w:rPr>
                <w:rFonts w:ascii="Times New Roman" w:eastAsia="Times New Roman" w:hAnsi="Times New Roman" w:cs="Times New Roman"/>
                <w:bCs/>
                <w:sz w:val="28"/>
                <w:szCs w:val="28"/>
                <w:lang w:eastAsia="lv-LV"/>
              </w:rPr>
              <w:t>,</w:t>
            </w:r>
            <w:r w:rsidR="00DF3093" w:rsidRPr="000C5EE3">
              <w:rPr>
                <w:rFonts w:ascii="Times New Roman" w:eastAsia="Times New Roman" w:hAnsi="Times New Roman" w:cs="Times New Roman"/>
                <w:bCs/>
                <w:sz w:val="28"/>
                <w:szCs w:val="28"/>
                <w:lang w:eastAsia="lv-LV"/>
              </w:rPr>
              <w:t xml:space="preserve"> kad dati nav pieejami Valsts ieņēmumu dienesta tīmekļa vietnē.</w:t>
            </w:r>
            <w:r w:rsidR="00924414" w:rsidRPr="000C5EE3">
              <w:rPr>
                <w:rFonts w:ascii="Times New Roman" w:eastAsia="Times New Roman" w:hAnsi="Times New Roman" w:cs="Times New Roman"/>
                <w:bCs/>
                <w:sz w:val="28"/>
                <w:szCs w:val="28"/>
                <w:lang w:eastAsia="lv-LV"/>
              </w:rPr>
              <w:t xml:space="preserve"> </w:t>
            </w:r>
          </w:p>
          <w:p w:rsidR="00433174" w:rsidRPr="000C5EE3" w:rsidRDefault="00C07BB7" w:rsidP="00C07BB7">
            <w:pPr>
              <w:spacing w:before="60" w:after="60" w:line="240" w:lineRule="auto"/>
              <w:ind w:firstLine="567"/>
              <w:jc w:val="both"/>
              <w:rPr>
                <w:rFonts w:ascii="Times New Roman" w:eastAsia="Times New Roman" w:hAnsi="Times New Roman" w:cs="Times New Roman"/>
                <w:bCs/>
                <w:sz w:val="28"/>
                <w:szCs w:val="28"/>
                <w:lang w:eastAsia="lv-LV"/>
              </w:rPr>
            </w:pPr>
            <w:r w:rsidRPr="000C5EE3">
              <w:rPr>
                <w:rFonts w:ascii="Times New Roman" w:eastAsia="Times New Roman" w:hAnsi="Times New Roman" w:cs="Times New Roman"/>
                <w:bCs/>
                <w:sz w:val="28"/>
                <w:szCs w:val="28"/>
                <w:lang w:eastAsia="lv-LV"/>
              </w:rPr>
              <w:t>T</w:t>
            </w:r>
            <w:r w:rsidR="00924414" w:rsidRPr="000C5EE3">
              <w:rPr>
                <w:rFonts w:ascii="Times New Roman" w:eastAsia="Times New Roman" w:hAnsi="Times New Roman" w:cs="Times New Roman"/>
                <w:bCs/>
                <w:sz w:val="28"/>
                <w:szCs w:val="28"/>
                <w:lang w:eastAsia="lv-LV"/>
              </w:rPr>
              <w:t xml:space="preserve">iek grozīti </w:t>
            </w:r>
            <w:r w:rsidRPr="000C5EE3">
              <w:rPr>
                <w:rFonts w:ascii="Times New Roman" w:eastAsia="Times New Roman" w:hAnsi="Times New Roman" w:cs="Times New Roman"/>
                <w:bCs/>
                <w:sz w:val="28"/>
                <w:szCs w:val="28"/>
                <w:lang w:eastAsia="lv-LV"/>
              </w:rPr>
              <w:t xml:space="preserve">arī </w:t>
            </w:r>
            <w:r w:rsidR="00924414" w:rsidRPr="000C5EE3">
              <w:rPr>
                <w:rFonts w:ascii="Times New Roman" w:eastAsia="Times New Roman" w:hAnsi="Times New Roman" w:cs="Times New Roman"/>
                <w:bCs/>
                <w:sz w:val="28"/>
                <w:szCs w:val="28"/>
                <w:lang w:eastAsia="lv-LV"/>
              </w:rPr>
              <w:t xml:space="preserve">darbības programmas „Cilvēkresursi un nodarbinātība” papildinājuma 1.3.1.1.6.apakšaktivitātes „Atbalsts darba vietu radīšanai” projektu iesniegumu vērtēšanas kritēriji, kuros tiek paplašinātas mērķa nozares,  papildinot tās ar biroju administratīvajām darbībām un palīgdarbībām (N82.1) un informācijas zvanu centru darbībām (N82.2). Attiecīgi šajos grozījumos tiek papildināts </w:t>
            </w:r>
            <w:r w:rsidR="00097D9B" w:rsidRPr="000C5EE3">
              <w:rPr>
                <w:rFonts w:ascii="Times New Roman" w:eastAsia="Times New Roman" w:hAnsi="Times New Roman" w:cs="Times New Roman"/>
                <w:bCs/>
                <w:sz w:val="28"/>
                <w:szCs w:val="28"/>
                <w:lang w:eastAsia="lv-LV"/>
              </w:rPr>
              <w:t>1</w:t>
            </w:r>
            <w:r w:rsidR="00924414" w:rsidRPr="000C5EE3">
              <w:rPr>
                <w:rFonts w:ascii="Times New Roman" w:eastAsia="Times New Roman" w:hAnsi="Times New Roman" w:cs="Times New Roman"/>
                <w:bCs/>
                <w:sz w:val="28"/>
                <w:szCs w:val="28"/>
                <w:lang w:eastAsia="lv-LV"/>
              </w:rPr>
              <w:t>.pielikuma 4.1.9.</w:t>
            </w:r>
            <w:r w:rsidR="00097D9B" w:rsidRPr="000C5EE3">
              <w:rPr>
                <w:rFonts w:ascii="Times New Roman" w:eastAsia="Times New Roman" w:hAnsi="Times New Roman" w:cs="Times New Roman"/>
                <w:bCs/>
                <w:sz w:val="28"/>
                <w:szCs w:val="28"/>
                <w:lang w:eastAsia="lv-LV"/>
              </w:rPr>
              <w:t>apakš</w:t>
            </w:r>
            <w:r w:rsidR="00924414" w:rsidRPr="000C5EE3">
              <w:rPr>
                <w:rFonts w:ascii="Times New Roman" w:eastAsia="Times New Roman" w:hAnsi="Times New Roman" w:cs="Times New Roman"/>
                <w:bCs/>
                <w:sz w:val="28"/>
                <w:szCs w:val="28"/>
                <w:lang w:eastAsia="lv-LV"/>
              </w:rPr>
              <w:t>punkts</w:t>
            </w:r>
            <w:r w:rsidR="00097D9B" w:rsidRPr="000C5EE3">
              <w:rPr>
                <w:rFonts w:ascii="Times New Roman" w:eastAsia="Times New Roman" w:hAnsi="Times New Roman" w:cs="Times New Roman"/>
                <w:bCs/>
                <w:sz w:val="28"/>
                <w:szCs w:val="28"/>
                <w:lang w:eastAsia="lv-LV"/>
              </w:rPr>
              <w:t xml:space="preserve"> un 2.pielikuma 2.3.punkts</w:t>
            </w:r>
            <w:r w:rsidR="00924414" w:rsidRPr="000C5EE3">
              <w:rPr>
                <w:rFonts w:ascii="Times New Roman" w:eastAsia="Times New Roman" w:hAnsi="Times New Roman" w:cs="Times New Roman"/>
                <w:bCs/>
                <w:sz w:val="28"/>
                <w:szCs w:val="28"/>
                <w:lang w:eastAsia="lv-LV"/>
              </w:rPr>
              <w:t>, kur</w:t>
            </w:r>
            <w:r w:rsidR="00097D9B" w:rsidRPr="000C5EE3">
              <w:rPr>
                <w:rFonts w:ascii="Times New Roman" w:eastAsia="Times New Roman" w:hAnsi="Times New Roman" w:cs="Times New Roman"/>
                <w:bCs/>
                <w:sz w:val="28"/>
                <w:szCs w:val="28"/>
                <w:lang w:eastAsia="lv-LV"/>
              </w:rPr>
              <w:t>os</w:t>
            </w:r>
            <w:r w:rsidR="00924414" w:rsidRPr="000C5EE3">
              <w:rPr>
                <w:rFonts w:ascii="Times New Roman" w:eastAsia="Times New Roman" w:hAnsi="Times New Roman" w:cs="Times New Roman"/>
                <w:bCs/>
                <w:sz w:val="28"/>
                <w:szCs w:val="28"/>
                <w:lang w:eastAsia="lv-LV"/>
              </w:rPr>
              <w:t xml:space="preserve"> tiek iekļautas </w:t>
            </w:r>
            <w:r w:rsidR="00097D9B" w:rsidRPr="000C5EE3">
              <w:rPr>
                <w:rFonts w:ascii="Times New Roman" w:eastAsia="Times New Roman" w:hAnsi="Times New Roman" w:cs="Times New Roman"/>
                <w:bCs/>
                <w:sz w:val="28"/>
                <w:szCs w:val="28"/>
                <w:lang w:eastAsia="lv-LV"/>
              </w:rPr>
              <w:t>iepriekšminētās</w:t>
            </w:r>
            <w:r w:rsidR="00924414" w:rsidRPr="000C5EE3">
              <w:rPr>
                <w:rFonts w:ascii="Times New Roman" w:eastAsia="Times New Roman" w:hAnsi="Times New Roman" w:cs="Times New Roman"/>
                <w:bCs/>
                <w:sz w:val="28"/>
                <w:szCs w:val="28"/>
                <w:lang w:eastAsia="lv-LV"/>
              </w:rPr>
              <w:t xml:space="preserve"> nozares.</w:t>
            </w:r>
          </w:p>
          <w:p w:rsidR="00C07BB7" w:rsidRPr="000C5EE3" w:rsidRDefault="00C07BB7" w:rsidP="00F4302B">
            <w:pPr>
              <w:spacing w:before="60" w:after="60" w:line="240" w:lineRule="auto"/>
              <w:ind w:firstLine="567"/>
              <w:jc w:val="both"/>
              <w:rPr>
                <w:rFonts w:ascii="Times New Roman" w:eastAsia="Times New Roman" w:hAnsi="Times New Roman" w:cs="Times New Roman"/>
                <w:bCs/>
                <w:sz w:val="28"/>
                <w:szCs w:val="28"/>
                <w:lang w:eastAsia="lv-LV"/>
              </w:rPr>
            </w:pPr>
            <w:r w:rsidRPr="000C5EE3">
              <w:rPr>
                <w:rFonts w:ascii="Times New Roman" w:eastAsia="Times New Roman" w:hAnsi="Times New Roman" w:cs="Times New Roman"/>
                <w:bCs/>
                <w:sz w:val="28"/>
                <w:szCs w:val="28"/>
                <w:lang w:eastAsia="lv-LV"/>
              </w:rPr>
              <w:t xml:space="preserve">Papildus šiem grozījumiem tiek grozīts arī projekta iesnieguma veidlapas (2.pielikums) 6.punkta </w:t>
            </w:r>
            <w:r w:rsidRPr="000C5EE3">
              <w:rPr>
                <w:rFonts w:ascii="Times New Roman" w:eastAsia="Times New Roman" w:hAnsi="Times New Roman" w:cs="Times New Roman"/>
                <w:bCs/>
                <w:sz w:val="28"/>
                <w:szCs w:val="28"/>
                <w:lang w:eastAsia="lv-LV"/>
              </w:rPr>
              <w:lastRenderedPageBreak/>
              <w:t>1.</w:t>
            </w:r>
            <w:r w:rsidR="00A910E1" w:rsidRPr="000C5EE3">
              <w:rPr>
                <w:rFonts w:ascii="Times New Roman" w:eastAsia="Times New Roman" w:hAnsi="Times New Roman" w:cs="Times New Roman"/>
                <w:bCs/>
                <w:sz w:val="28"/>
                <w:szCs w:val="28"/>
                <w:lang w:eastAsia="lv-LV"/>
              </w:rPr>
              <w:t>,</w:t>
            </w:r>
            <w:r w:rsidRPr="000C5EE3">
              <w:rPr>
                <w:rFonts w:ascii="Times New Roman" w:eastAsia="Times New Roman" w:hAnsi="Times New Roman" w:cs="Times New Roman"/>
                <w:bCs/>
                <w:sz w:val="28"/>
                <w:szCs w:val="28"/>
                <w:lang w:eastAsia="lv-LV"/>
              </w:rPr>
              <w:t xml:space="preserve"> 4.</w:t>
            </w:r>
            <w:r w:rsidR="00A910E1" w:rsidRPr="000C5EE3">
              <w:rPr>
                <w:rFonts w:ascii="Times New Roman" w:eastAsia="Times New Roman" w:hAnsi="Times New Roman" w:cs="Times New Roman"/>
                <w:bCs/>
                <w:sz w:val="28"/>
                <w:szCs w:val="28"/>
                <w:lang w:eastAsia="lv-LV"/>
              </w:rPr>
              <w:t>un 5.</w:t>
            </w:r>
            <w:r w:rsidRPr="000C5EE3">
              <w:rPr>
                <w:rFonts w:ascii="Times New Roman" w:eastAsia="Times New Roman" w:hAnsi="Times New Roman" w:cs="Times New Roman"/>
                <w:bCs/>
                <w:sz w:val="28"/>
                <w:szCs w:val="28"/>
                <w:lang w:eastAsia="lv-LV"/>
              </w:rPr>
              <w:t xml:space="preserve">apakšpunkts. Grozījumi  maina redakciju, lai tā būtu precīzāka, kā arī izlabo 6.1.apakšpunkta pretrunu saistībā ar skaitļu apaļošanu. </w:t>
            </w:r>
            <w:r w:rsidR="00A910E1" w:rsidRPr="000C5EE3">
              <w:rPr>
                <w:rFonts w:ascii="Times New Roman" w:eastAsia="Times New Roman" w:hAnsi="Times New Roman" w:cs="Times New Roman"/>
                <w:bCs/>
                <w:sz w:val="28"/>
                <w:szCs w:val="28"/>
                <w:lang w:eastAsia="lv-LV"/>
              </w:rPr>
              <w:t>Grozījumi 6.1.apakšpunktā sašaurina šajā punktā uzrādāmās projekta izmaksas no kopējām izmaksām uz  jaunizveidoto darba vietu darbinieku neto darba samaksas izmaksām. Vēršam uzmanību, ka kopējās izmaksas sastāv no  jaunizveidoto darba vietu darbinieku apmācību izmaksām ,kas noteiktas saskaņā ar Komisijas regulas Nr. 800/2008 39.panta 4.punkta "a", "b", "c" un "d" apakšpunktu un tiek uzrādītas 2.pielikuma 6.4.apakšpunktā, pievienotās vērtības nodokļa un  darba vietu darbinieku neto darba samaksas izmaksām, kas jaunajā redakcijā tiek uzrādītas 6.1.apakšpunktā. Ņemot vērā, ka iespējams aprēķināt projekta kopējās izmaksas izmantojot jaunās redakcijas 6.1.un 6.4. apakšpunktos uzrādāmo informāciju, grozījumi nemaina uzrādāmās informācijas būtību un ir paredzēti valsts aģentūras „Latvijas Investīciju un attīstības aģentūra” darba vienkāršošanai.</w:t>
            </w:r>
            <w:r w:rsidR="007C01DC" w:rsidRPr="000C5EE3">
              <w:t xml:space="preserve"> </w:t>
            </w:r>
            <w:r w:rsidR="007C01DC" w:rsidRPr="000C5EE3">
              <w:rPr>
                <w:rFonts w:ascii="Times New Roman" w:eastAsia="Times New Roman" w:hAnsi="Times New Roman" w:cs="Times New Roman"/>
                <w:bCs/>
                <w:sz w:val="28"/>
                <w:szCs w:val="28"/>
                <w:lang w:eastAsia="lv-LV"/>
              </w:rPr>
              <w:t>Attiecīgi 6.5.apakšpunkta skaidrojums tiek grozīts, lai nemainītos tā būtība pēc izmaiņām 6.1.apakšpunktā.</w:t>
            </w:r>
            <w:r w:rsidR="00A910E1" w:rsidRPr="000C5EE3">
              <w:rPr>
                <w:rFonts w:ascii="Times New Roman" w:eastAsia="Times New Roman" w:hAnsi="Times New Roman" w:cs="Times New Roman"/>
                <w:bCs/>
                <w:sz w:val="28"/>
                <w:szCs w:val="28"/>
                <w:lang w:eastAsia="lv-LV"/>
              </w:rPr>
              <w:t xml:space="preserve"> Ņemot vērā ka grozījumi 2.</w:t>
            </w:r>
            <w:r w:rsidR="00F4302B" w:rsidRPr="000C5EE3">
              <w:rPr>
                <w:rFonts w:ascii="Times New Roman" w:eastAsia="Times New Roman" w:hAnsi="Times New Roman" w:cs="Times New Roman"/>
                <w:bCs/>
                <w:sz w:val="28"/>
                <w:szCs w:val="28"/>
                <w:lang w:eastAsia="lv-LV"/>
              </w:rPr>
              <w:t>pielikumā</w:t>
            </w:r>
            <w:r w:rsidR="00A910E1" w:rsidRPr="000C5EE3">
              <w:rPr>
                <w:rFonts w:ascii="Times New Roman" w:eastAsia="Times New Roman" w:hAnsi="Times New Roman" w:cs="Times New Roman"/>
                <w:bCs/>
                <w:sz w:val="28"/>
                <w:szCs w:val="28"/>
                <w:lang w:eastAsia="lv-LV"/>
              </w:rPr>
              <w:t xml:space="preserve"> precizē redakciju, un nemaina tās būtību, tie neaizskar tiesisko paļāvību. Tiesiskā paļāvība netiek aizskarta arī paplašinot prioritārās nozares, jo apakšaktivitātē nav uzsākta projektu iesniegumu atlases kārtas izsludināšana.</w:t>
            </w:r>
          </w:p>
          <w:p w:rsidR="00F80628" w:rsidRPr="000C5EE3" w:rsidRDefault="00F80628" w:rsidP="00F4302B">
            <w:pPr>
              <w:spacing w:before="60" w:after="60" w:line="240" w:lineRule="auto"/>
              <w:ind w:firstLine="567"/>
              <w:jc w:val="both"/>
              <w:rPr>
                <w:rFonts w:ascii="Times New Roman" w:eastAsia="Times New Roman" w:hAnsi="Times New Roman" w:cs="Times New Roman"/>
                <w:bCs/>
                <w:sz w:val="28"/>
                <w:szCs w:val="28"/>
                <w:lang w:eastAsia="lv-LV"/>
              </w:rPr>
            </w:pPr>
            <w:r w:rsidRPr="000C5EE3">
              <w:rPr>
                <w:rFonts w:ascii="Times New Roman" w:eastAsia="Times New Roman" w:hAnsi="Times New Roman" w:cs="Times New Roman"/>
                <w:bCs/>
                <w:sz w:val="28"/>
                <w:szCs w:val="28"/>
                <w:lang w:eastAsia="lv-LV"/>
              </w:rPr>
              <w:t>Vēršam uzmanību, ka noteikumu Nr.179 2.pielikuma 6.3.apakšpunkts un 2.pielikuma 6.4.apakšpunkts nedublē informāciju, jo 6.3.apakšpunktā jāpamato apmācību nepieciešamība, savukārt 6.4.apakšpuntkā jāuzrāda apmācību izmaksas.</w:t>
            </w:r>
          </w:p>
        </w:tc>
      </w:tr>
      <w:tr w:rsidR="00D40CFC" w:rsidRPr="000C5EE3" w:rsidTr="00FE4F5C">
        <w:trPr>
          <w:trHeight w:val="360"/>
        </w:trPr>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lastRenderedPageBreak/>
              <w:t>3. 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C5EE3" w:rsidRDefault="00722173" w:rsidP="00D40CFC">
            <w:pPr>
              <w:spacing w:after="0" w:line="240" w:lineRule="auto"/>
              <w:ind w:firstLine="567"/>
              <w:jc w:val="both"/>
              <w:rPr>
                <w:rFonts w:ascii="Times New Roman" w:eastAsia="Calibri" w:hAnsi="Times New Roman" w:cs="Times New Roman"/>
                <w:color w:val="000000"/>
                <w:sz w:val="28"/>
                <w:szCs w:val="28"/>
              </w:rPr>
            </w:pPr>
            <w:r w:rsidRPr="000C5EE3">
              <w:rPr>
                <w:rFonts w:ascii="Times New Roman" w:eastAsia="Calibri" w:hAnsi="Times New Roman" w:cs="Times New Roman"/>
                <w:color w:val="000000"/>
                <w:sz w:val="28"/>
                <w:szCs w:val="28"/>
              </w:rPr>
              <w:t>Projekts šo jomu neskar.</w:t>
            </w:r>
          </w:p>
        </w:tc>
      </w:tr>
      <w:tr w:rsidR="00D40CFC" w:rsidRPr="000C5EE3" w:rsidTr="00FE4F5C">
        <w:trPr>
          <w:trHeight w:val="1068"/>
        </w:trPr>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4. 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4F067D" w:rsidRPr="000C5EE3" w:rsidRDefault="004F067D" w:rsidP="004F067D">
            <w:pPr>
              <w:spacing w:after="0" w:line="240" w:lineRule="auto"/>
              <w:ind w:firstLine="709"/>
              <w:jc w:val="both"/>
              <w:rPr>
                <w:rFonts w:ascii="Times New Roman" w:eastAsia="Calibri" w:hAnsi="Times New Roman" w:cs="Times New Roman"/>
                <w:bCs/>
                <w:sz w:val="28"/>
                <w:szCs w:val="28"/>
              </w:rPr>
            </w:pPr>
            <w:r w:rsidRPr="000C5EE3">
              <w:rPr>
                <w:rFonts w:ascii="Times New Roman" w:eastAsia="Calibri" w:hAnsi="Times New Roman" w:cs="Times New Roman"/>
                <w:bCs/>
                <w:sz w:val="28"/>
                <w:szCs w:val="28"/>
              </w:rPr>
              <w:t>Noteikumu projekts paredz veikt grozījumus MK noteikumos Nr.</w:t>
            </w:r>
            <w:r w:rsidR="006503B6" w:rsidRPr="000C5EE3">
              <w:rPr>
                <w:rFonts w:ascii="Times New Roman" w:eastAsia="Calibri" w:hAnsi="Times New Roman" w:cs="Times New Roman"/>
                <w:bCs/>
                <w:sz w:val="28"/>
                <w:szCs w:val="28"/>
              </w:rPr>
              <w:t>179</w:t>
            </w:r>
            <w:r w:rsidRPr="000C5EE3">
              <w:rPr>
                <w:rFonts w:ascii="Times New Roman" w:eastAsia="Calibri" w:hAnsi="Times New Roman" w:cs="Times New Roman"/>
                <w:bCs/>
                <w:sz w:val="28"/>
                <w:szCs w:val="28"/>
              </w:rPr>
              <w:t>, izdarot šādas izmaiņas:</w:t>
            </w:r>
          </w:p>
          <w:p w:rsidR="007127DB" w:rsidRPr="000C5EE3" w:rsidRDefault="00E565F3" w:rsidP="007127DB">
            <w:pPr>
              <w:pStyle w:val="ListParagraph"/>
              <w:numPr>
                <w:ilvl w:val="0"/>
                <w:numId w:val="4"/>
              </w:numPr>
              <w:spacing w:after="0" w:line="240" w:lineRule="auto"/>
              <w:jc w:val="both"/>
              <w:rPr>
                <w:rFonts w:ascii="Times New Roman" w:eastAsia="Calibri" w:hAnsi="Times New Roman" w:cs="Times New Roman"/>
                <w:bCs/>
                <w:sz w:val="28"/>
                <w:szCs w:val="28"/>
              </w:rPr>
            </w:pPr>
            <w:r w:rsidRPr="000C5EE3">
              <w:rPr>
                <w:rFonts w:ascii="Times New Roman" w:eastAsia="Calibri" w:hAnsi="Times New Roman" w:cs="Times New Roman"/>
                <w:bCs/>
                <w:sz w:val="28"/>
                <w:szCs w:val="28"/>
              </w:rPr>
              <w:t xml:space="preserve">precizēt </w:t>
            </w:r>
            <w:r w:rsidR="007127DB" w:rsidRPr="000C5EE3">
              <w:rPr>
                <w:rFonts w:ascii="Times New Roman" w:eastAsia="Calibri" w:hAnsi="Times New Roman" w:cs="Times New Roman"/>
                <w:bCs/>
                <w:sz w:val="28"/>
                <w:szCs w:val="28"/>
              </w:rPr>
              <w:t>55.5.</w:t>
            </w:r>
            <w:r w:rsidR="00EB6417" w:rsidRPr="000C5EE3">
              <w:rPr>
                <w:rFonts w:ascii="Times New Roman" w:eastAsia="Calibri" w:hAnsi="Times New Roman" w:cs="Times New Roman"/>
                <w:bCs/>
                <w:sz w:val="28"/>
                <w:szCs w:val="28"/>
              </w:rPr>
              <w:t>apakš</w:t>
            </w:r>
            <w:r w:rsidR="007127DB" w:rsidRPr="000C5EE3">
              <w:rPr>
                <w:rFonts w:ascii="Times New Roman" w:eastAsia="Calibri" w:hAnsi="Times New Roman" w:cs="Times New Roman"/>
                <w:bCs/>
                <w:sz w:val="28"/>
                <w:szCs w:val="28"/>
              </w:rPr>
              <w:t>punktu</w:t>
            </w:r>
            <w:r w:rsidRPr="000C5EE3">
              <w:rPr>
                <w:rFonts w:ascii="Times New Roman" w:eastAsia="Calibri" w:hAnsi="Times New Roman" w:cs="Times New Roman"/>
                <w:bCs/>
                <w:sz w:val="28"/>
                <w:szCs w:val="28"/>
              </w:rPr>
              <w:t xml:space="preserve"> par datu avotiem, kas tiek izmantoti vērtēšanā</w:t>
            </w:r>
            <w:r w:rsidR="007127DB" w:rsidRPr="000C5EE3">
              <w:rPr>
                <w:rFonts w:ascii="Times New Roman" w:eastAsia="Calibri" w:hAnsi="Times New Roman" w:cs="Times New Roman"/>
                <w:bCs/>
                <w:sz w:val="28"/>
                <w:szCs w:val="28"/>
              </w:rPr>
              <w:t>;</w:t>
            </w:r>
          </w:p>
          <w:p w:rsidR="00897742" w:rsidRPr="000C5EE3" w:rsidRDefault="00897742" w:rsidP="00C447B7">
            <w:pPr>
              <w:pStyle w:val="ListParagraph"/>
              <w:numPr>
                <w:ilvl w:val="0"/>
                <w:numId w:val="4"/>
              </w:numPr>
              <w:spacing w:after="0" w:line="240" w:lineRule="auto"/>
              <w:jc w:val="both"/>
              <w:rPr>
                <w:rFonts w:ascii="Times New Roman" w:eastAsia="Calibri" w:hAnsi="Times New Roman" w:cs="Times New Roman"/>
                <w:bCs/>
                <w:sz w:val="28"/>
                <w:szCs w:val="28"/>
              </w:rPr>
            </w:pPr>
            <w:r w:rsidRPr="000C5EE3">
              <w:rPr>
                <w:rFonts w:ascii="Times New Roman" w:eastAsia="Calibri" w:hAnsi="Times New Roman" w:cs="Times New Roman"/>
                <w:bCs/>
                <w:sz w:val="28"/>
                <w:szCs w:val="28"/>
              </w:rPr>
              <w:lastRenderedPageBreak/>
              <w:t>precizēt noteikumu Nr.179 1.pielikuma 4.1.</w:t>
            </w:r>
            <w:r w:rsidR="00097D9B" w:rsidRPr="000C5EE3">
              <w:rPr>
                <w:rFonts w:ascii="Times New Roman" w:eastAsia="Calibri" w:hAnsi="Times New Roman" w:cs="Times New Roman"/>
                <w:bCs/>
                <w:sz w:val="28"/>
                <w:szCs w:val="28"/>
              </w:rPr>
              <w:t>9.apakš</w:t>
            </w:r>
            <w:r w:rsidRPr="000C5EE3">
              <w:rPr>
                <w:rFonts w:ascii="Times New Roman" w:eastAsia="Calibri" w:hAnsi="Times New Roman" w:cs="Times New Roman"/>
                <w:bCs/>
                <w:sz w:val="28"/>
                <w:szCs w:val="28"/>
              </w:rPr>
              <w:t>punktu iekļaujot biroju administratīvās darbības un palīgdarbības (NACE 2.red - N82.1) un informācijas zvanu centru darbības (NACE 2.red - N82.2) starp mērķa nozarēm</w:t>
            </w:r>
            <w:r w:rsidR="00EB6417" w:rsidRPr="000C5EE3">
              <w:rPr>
                <w:rFonts w:ascii="Times New Roman" w:eastAsia="Calibri" w:hAnsi="Times New Roman" w:cs="Times New Roman"/>
                <w:bCs/>
                <w:sz w:val="28"/>
                <w:szCs w:val="28"/>
              </w:rPr>
              <w:t>;</w:t>
            </w:r>
          </w:p>
          <w:p w:rsidR="002C62C4" w:rsidRPr="000C5EE3" w:rsidRDefault="00897742" w:rsidP="00897742">
            <w:pPr>
              <w:pStyle w:val="ListParagraph"/>
              <w:numPr>
                <w:ilvl w:val="0"/>
                <w:numId w:val="4"/>
              </w:numPr>
              <w:spacing w:after="0" w:line="240" w:lineRule="auto"/>
              <w:jc w:val="both"/>
              <w:rPr>
                <w:rFonts w:ascii="Times New Roman" w:eastAsia="Calibri" w:hAnsi="Times New Roman" w:cs="Times New Roman"/>
                <w:bCs/>
                <w:sz w:val="28"/>
                <w:szCs w:val="28"/>
              </w:rPr>
            </w:pPr>
            <w:r w:rsidRPr="000C5EE3">
              <w:rPr>
                <w:rFonts w:ascii="Times New Roman" w:eastAsia="Calibri" w:hAnsi="Times New Roman" w:cs="Times New Roman"/>
                <w:bCs/>
                <w:sz w:val="28"/>
                <w:szCs w:val="28"/>
              </w:rPr>
              <w:t xml:space="preserve">precizēt </w:t>
            </w:r>
            <w:r w:rsidR="008D678E" w:rsidRPr="000C5EE3">
              <w:rPr>
                <w:rFonts w:ascii="Times New Roman" w:eastAsia="Calibri" w:hAnsi="Times New Roman" w:cs="Times New Roman"/>
                <w:bCs/>
                <w:sz w:val="28"/>
                <w:szCs w:val="28"/>
              </w:rPr>
              <w:t>noteikumu Nr.</w:t>
            </w:r>
            <w:r w:rsidR="006503B6" w:rsidRPr="000C5EE3">
              <w:rPr>
                <w:rFonts w:ascii="Times New Roman" w:eastAsia="Calibri" w:hAnsi="Times New Roman" w:cs="Times New Roman"/>
                <w:bCs/>
                <w:sz w:val="28"/>
                <w:szCs w:val="28"/>
              </w:rPr>
              <w:t>179</w:t>
            </w:r>
            <w:r w:rsidR="008D678E" w:rsidRPr="000C5EE3">
              <w:rPr>
                <w:rFonts w:ascii="Times New Roman" w:eastAsia="Calibri" w:hAnsi="Times New Roman" w:cs="Times New Roman"/>
                <w:bCs/>
                <w:sz w:val="28"/>
                <w:szCs w:val="28"/>
              </w:rPr>
              <w:t xml:space="preserve"> </w:t>
            </w:r>
            <w:r w:rsidRPr="000C5EE3">
              <w:rPr>
                <w:rFonts w:ascii="Times New Roman" w:eastAsia="Calibri" w:hAnsi="Times New Roman" w:cs="Times New Roman"/>
                <w:bCs/>
                <w:sz w:val="28"/>
                <w:szCs w:val="28"/>
              </w:rPr>
              <w:t>2</w:t>
            </w:r>
            <w:r w:rsidR="006503B6" w:rsidRPr="000C5EE3">
              <w:rPr>
                <w:rFonts w:ascii="Times New Roman" w:eastAsia="Calibri" w:hAnsi="Times New Roman" w:cs="Times New Roman"/>
                <w:bCs/>
                <w:sz w:val="28"/>
                <w:szCs w:val="28"/>
              </w:rPr>
              <w:t xml:space="preserve">.pielikuma </w:t>
            </w:r>
            <w:r w:rsidR="00C447B7" w:rsidRPr="000C5EE3">
              <w:rPr>
                <w:rFonts w:ascii="Times New Roman" w:eastAsia="Calibri" w:hAnsi="Times New Roman" w:cs="Times New Roman"/>
                <w:bCs/>
                <w:sz w:val="28"/>
                <w:szCs w:val="28"/>
              </w:rPr>
              <w:t>2.3.</w:t>
            </w:r>
            <w:r w:rsidR="00EB6417" w:rsidRPr="000C5EE3">
              <w:rPr>
                <w:rFonts w:ascii="Times New Roman" w:eastAsia="Calibri" w:hAnsi="Times New Roman" w:cs="Times New Roman"/>
                <w:bCs/>
                <w:sz w:val="28"/>
                <w:szCs w:val="28"/>
              </w:rPr>
              <w:t>apakš</w:t>
            </w:r>
            <w:r w:rsidR="00C447B7" w:rsidRPr="000C5EE3">
              <w:rPr>
                <w:rFonts w:ascii="Times New Roman" w:eastAsia="Calibri" w:hAnsi="Times New Roman" w:cs="Times New Roman"/>
                <w:bCs/>
                <w:sz w:val="28"/>
                <w:szCs w:val="28"/>
              </w:rPr>
              <w:t xml:space="preserve">punktu </w:t>
            </w:r>
            <w:r w:rsidR="006503B6" w:rsidRPr="000C5EE3">
              <w:rPr>
                <w:rFonts w:ascii="Times New Roman" w:eastAsia="Calibri" w:hAnsi="Times New Roman" w:cs="Times New Roman"/>
                <w:bCs/>
                <w:sz w:val="28"/>
                <w:szCs w:val="28"/>
              </w:rPr>
              <w:t xml:space="preserve">iekļaujot biroju administratīvās darbības un palīgdarbības (NACE 2.red - N82.1) un informācijas zvanu centru darbības (NACE 2.red - N82.2) starp </w:t>
            </w:r>
            <w:r w:rsidR="00C447B7" w:rsidRPr="000C5EE3">
              <w:rPr>
                <w:rFonts w:ascii="Times New Roman" w:eastAsia="Calibri" w:hAnsi="Times New Roman" w:cs="Times New Roman"/>
                <w:bCs/>
                <w:sz w:val="28"/>
                <w:szCs w:val="28"/>
              </w:rPr>
              <w:t>mērķa</w:t>
            </w:r>
            <w:r w:rsidR="006503B6" w:rsidRPr="000C5EE3">
              <w:rPr>
                <w:rFonts w:ascii="Times New Roman" w:eastAsia="Calibri" w:hAnsi="Times New Roman" w:cs="Times New Roman"/>
                <w:bCs/>
                <w:sz w:val="28"/>
                <w:szCs w:val="28"/>
              </w:rPr>
              <w:t xml:space="preserve"> nozarēm</w:t>
            </w:r>
            <w:r w:rsidR="00EB6417" w:rsidRPr="000C5EE3">
              <w:rPr>
                <w:rFonts w:ascii="Times New Roman" w:eastAsia="Calibri" w:hAnsi="Times New Roman" w:cs="Times New Roman"/>
                <w:bCs/>
                <w:sz w:val="28"/>
                <w:szCs w:val="28"/>
              </w:rPr>
              <w:t>;</w:t>
            </w:r>
          </w:p>
          <w:p w:rsidR="00E565F3" w:rsidRPr="000C5EE3" w:rsidRDefault="00E565F3" w:rsidP="00897742">
            <w:pPr>
              <w:pStyle w:val="ListParagraph"/>
              <w:numPr>
                <w:ilvl w:val="0"/>
                <w:numId w:val="4"/>
              </w:numPr>
              <w:spacing w:after="0" w:line="240" w:lineRule="auto"/>
              <w:jc w:val="both"/>
              <w:rPr>
                <w:rFonts w:ascii="Times New Roman" w:eastAsia="Calibri" w:hAnsi="Times New Roman" w:cs="Times New Roman"/>
                <w:bCs/>
                <w:sz w:val="28"/>
                <w:szCs w:val="28"/>
              </w:rPr>
            </w:pPr>
            <w:r w:rsidRPr="000C5EE3">
              <w:rPr>
                <w:rFonts w:ascii="Times New Roman" w:eastAsia="Calibri" w:hAnsi="Times New Roman" w:cs="Times New Roman"/>
                <w:bCs/>
                <w:sz w:val="28"/>
                <w:szCs w:val="28"/>
              </w:rPr>
              <w:t xml:space="preserve">precizēt </w:t>
            </w:r>
            <w:r w:rsidR="00EB6417" w:rsidRPr="000C5EE3">
              <w:rPr>
                <w:rFonts w:ascii="Times New Roman" w:eastAsia="Calibri" w:hAnsi="Times New Roman" w:cs="Times New Roman"/>
                <w:bCs/>
                <w:sz w:val="28"/>
                <w:szCs w:val="28"/>
              </w:rPr>
              <w:t>2.pielikuma 6.1.apakšpunktu paskaidrojot attiecināmās, neattiecināmās un kopējās izmaksas, kā arī novēršot neskaidrību tekstā;</w:t>
            </w:r>
          </w:p>
          <w:p w:rsidR="00EB6417" w:rsidRPr="000C5EE3" w:rsidRDefault="00EB6417" w:rsidP="00EB6417">
            <w:pPr>
              <w:pStyle w:val="ListParagraph"/>
              <w:numPr>
                <w:ilvl w:val="0"/>
                <w:numId w:val="4"/>
              </w:numPr>
              <w:spacing w:after="0" w:line="240" w:lineRule="auto"/>
              <w:jc w:val="both"/>
              <w:rPr>
                <w:rFonts w:ascii="Times New Roman" w:eastAsia="Calibri" w:hAnsi="Times New Roman" w:cs="Times New Roman"/>
                <w:bCs/>
                <w:sz w:val="28"/>
                <w:szCs w:val="28"/>
              </w:rPr>
            </w:pPr>
            <w:r w:rsidRPr="000C5EE3">
              <w:rPr>
                <w:rFonts w:ascii="Times New Roman" w:eastAsia="Calibri" w:hAnsi="Times New Roman" w:cs="Times New Roman"/>
                <w:bCs/>
                <w:sz w:val="28"/>
                <w:szCs w:val="28"/>
              </w:rPr>
              <w:t>precizēt 2.pielikuma 6.4.apakšpunktu norādot kādi ir iespējamie apmācību veidi.</w:t>
            </w:r>
          </w:p>
        </w:tc>
      </w:tr>
      <w:tr w:rsidR="00D40CFC" w:rsidRPr="000C5EE3" w:rsidTr="00FE4F5C">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lastRenderedPageBreak/>
              <w:t>5. 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C5EE3" w:rsidRDefault="002C38BE" w:rsidP="00D40CFC">
            <w:pPr>
              <w:spacing w:after="0" w:line="240" w:lineRule="auto"/>
              <w:ind w:right="142" w:firstLine="567"/>
              <w:jc w:val="both"/>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Projekts šo jomu neskar.</w:t>
            </w:r>
          </w:p>
        </w:tc>
      </w:tr>
      <w:tr w:rsidR="00D40CFC" w:rsidRPr="000C5EE3" w:rsidTr="00FE4F5C">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6. 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C5EE3" w:rsidRDefault="002C38BE" w:rsidP="00D40CFC">
            <w:pPr>
              <w:spacing w:after="0" w:line="240" w:lineRule="auto"/>
              <w:ind w:right="142" w:firstLine="567"/>
              <w:jc w:val="both"/>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Projekts šo jomu neskar.</w:t>
            </w:r>
          </w:p>
        </w:tc>
      </w:tr>
      <w:tr w:rsidR="00D40CFC" w:rsidRPr="000C5EE3" w:rsidTr="00FE4F5C">
        <w:tc>
          <w:tcPr>
            <w:tcW w:w="2850"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 7. 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0C5EE3" w:rsidRDefault="008D678E" w:rsidP="00D40CFC">
            <w:pPr>
              <w:spacing w:after="0" w:line="240" w:lineRule="auto"/>
              <w:ind w:firstLine="567"/>
              <w:jc w:val="both"/>
              <w:rPr>
                <w:rFonts w:ascii="Times New Roman" w:eastAsia="Calibri" w:hAnsi="Times New Roman" w:cs="Times New Roman"/>
                <w:sz w:val="28"/>
                <w:szCs w:val="28"/>
              </w:rPr>
            </w:pPr>
            <w:r w:rsidRPr="000C5EE3">
              <w:rPr>
                <w:rFonts w:ascii="Times New Roman" w:eastAsia="Calibri" w:hAnsi="Times New Roman" w:cs="Times New Roman"/>
                <w:sz w:val="28"/>
                <w:szCs w:val="28"/>
              </w:rPr>
              <w:t>Projekts šo jomu neskar.</w:t>
            </w:r>
          </w:p>
        </w:tc>
      </w:tr>
    </w:tbl>
    <w:p w:rsidR="00D40CFC" w:rsidRPr="000C5EE3" w:rsidRDefault="00D40CFC" w:rsidP="00D40CFC">
      <w:pPr>
        <w:spacing w:after="0" w:line="240" w:lineRule="auto"/>
        <w:jc w:val="center"/>
        <w:rPr>
          <w:rFonts w:ascii="Times New Roman" w:eastAsia="Arial Unicode MS" w:hAnsi="Times New Roman" w:cs="Times New Roman"/>
          <w:b/>
          <w:sz w:val="28"/>
          <w:szCs w:val="28"/>
        </w:rPr>
      </w:pPr>
    </w:p>
    <w:tbl>
      <w:tblPr>
        <w:tblpPr w:leftFromText="180" w:rightFromText="180" w:vertAnchor="text" w:horzAnchor="margin" w:tblpXSpec="center" w:tblpY="149"/>
        <w:tblW w:w="9184"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firstRow="0" w:lastRow="0" w:firstColumn="0" w:lastColumn="0" w:noHBand="0" w:noVBand="0"/>
      </w:tblPr>
      <w:tblGrid>
        <w:gridCol w:w="597"/>
        <w:gridCol w:w="3544"/>
        <w:gridCol w:w="5043"/>
      </w:tblGrid>
      <w:tr w:rsidR="00D40CFC" w:rsidRPr="000C5EE3" w:rsidTr="00FE4F5C">
        <w:tc>
          <w:tcPr>
            <w:tcW w:w="9184" w:type="dxa"/>
            <w:gridSpan w:val="3"/>
            <w:vAlign w:val="center"/>
          </w:tcPr>
          <w:p w:rsidR="00D40CFC" w:rsidRPr="000C5EE3" w:rsidRDefault="00D40CFC" w:rsidP="00D40CFC">
            <w:pPr>
              <w:spacing w:after="0" w:line="240" w:lineRule="auto"/>
              <w:jc w:val="center"/>
              <w:rPr>
                <w:rFonts w:ascii="Times New Roman" w:eastAsia="Times New Roman" w:hAnsi="Times New Roman" w:cs="Times New Roman"/>
                <w:b/>
                <w:bCs/>
                <w:sz w:val="28"/>
                <w:szCs w:val="28"/>
                <w:lang w:eastAsia="lv-LV"/>
              </w:rPr>
            </w:pPr>
            <w:r w:rsidRPr="000C5EE3">
              <w:rPr>
                <w:rFonts w:ascii="Times New Roman" w:eastAsia="Times New Roman" w:hAnsi="Times New Roman" w:cs="Times New Roman"/>
                <w:b/>
                <w:bCs/>
                <w:sz w:val="28"/>
                <w:szCs w:val="28"/>
                <w:lang w:eastAsia="lv-LV"/>
              </w:rPr>
              <w:t>II. Tiesību akta projekta ietekme uz sabiedrību</w:t>
            </w:r>
          </w:p>
        </w:tc>
      </w:tr>
      <w:tr w:rsidR="00D40CFC" w:rsidRPr="000C5EE3" w:rsidTr="00FE4F5C">
        <w:trPr>
          <w:trHeight w:val="467"/>
        </w:trPr>
        <w:tc>
          <w:tcPr>
            <w:tcW w:w="597" w:type="dxa"/>
          </w:tcPr>
          <w:p w:rsidR="00D40CFC" w:rsidRPr="000C5EE3" w:rsidRDefault="00D40CFC" w:rsidP="00FE4F5C">
            <w:pPr>
              <w:spacing w:after="0" w:line="240" w:lineRule="auto"/>
              <w:jc w:val="center"/>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1.</w:t>
            </w:r>
          </w:p>
        </w:tc>
        <w:tc>
          <w:tcPr>
            <w:tcW w:w="3544" w:type="dxa"/>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Sabiedrības mērķgrupa</w:t>
            </w:r>
          </w:p>
        </w:tc>
        <w:tc>
          <w:tcPr>
            <w:tcW w:w="5043" w:type="dxa"/>
          </w:tcPr>
          <w:p w:rsidR="00382775" w:rsidRPr="000C5EE3" w:rsidRDefault="005A5F0D" w:rsidP="002C38BE">
            <w:pPr>
              <w:spacing w:before="75" w:after="75" w:line="240" w:lineRule="auto"/>
              <w:ind w:firstLine="450"/>
              <w:jc w:val="both"/>
              <w:rPr>
                <w:rFonts w:ascii="Times New Roman" w:eastAsia="Times New Roman" w:hAnsi="Times New Roman" w:cs="Times New Roman"/>
                <w:iCs/>
                <w:sz w:val="28"/>
                <w:szCs w:val="28"/>
                <w:lang w:eastAsia="lv-LV"/>
              </w:rPr>
            </w:pPr>
            <w:r w:rsidRPr="000C5EE3">
              <w:rPr>
                <w:rFonts w:ascii="Times New Roman" w:eastAsia="Times New Roman" w:hAnsi="Times New Roman" w:cs="Times New Roman"/>
                <w:iCs/>
                <w:sz w:val="28"/>
                <w:szCs w:val="28"/>
                <w:lang w:eastAsia="lv-LV"/>
              </w:rPr>
              <w:t>K</w:t>
            </w:r>
            <w:r w:rsidR="00382775" w:rsidRPr="000C5EE3">
              <w:rPr>
                <w:rFonts w:ascii="Times New Roman" w:eastAsia="Times New Roman" w:hAnsi="Times New Roman" w:cs="Times New Roman"/>
                <w:iCs/>
                <w:sz w:val="28"/>
                <w:szCs w:val="28"/>
                <w:lang w:eastAsia="lv-LV"/>
              </w:rPr>
              <w:t>omersanti</w:t>
            </w:r>
            <w:r w:rsidR="002C38BE" w:rsidRPr="000C5EE3">
              <w:rPr>
                <w:rFonts w:ascii="Times New Roman" w:eastAsia="Times New Roman" w:hAnsi="Times New Roman" w:cs="Times New Roman"/>
                <w:iCs/>
                <w:sz w:val="28"/>
                <w:szCs w:val="28"/>
                <w:lang w:eastAsia="lv-LV"/>
              </w:rPr>
              <w:t>.</w:t>
            </w:r>
          </w:p>
        </w:tc>
      </w:tr>
      <w:tr w:rsidR="00D40CFC" w:rsidRPr="000C5EE3" w:rsidTr="00FE4F5C">
        <w:trPr>
          <w:trHeight w:val="523"/>
        </w:trPr>
        <w:tc>
          <w:tcPr>
            <w:tcW w:w="597" w:type="dxa"/>
          </w:tcPr>
          <w:p w:rsidR="00D40CFC" w:rsidRPr="000C5EE3" w:rsidRDefault="00D40CFC" w:rsidP="00FE4F5C">
            <w:pPr>
              <w:spacing w:after="0" w:line="240" w:lineRule="auto"/>
              <w:jc w:val="center"/>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2.</w:t>
            </w:r>
          </w:p>
        </w:tc>
        <w:tc>
          <w:tcPr>
            <w:tcW w:w="3544" w:type="dxa"/>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Citas sabiedrības grupas (bez mērķgrupas), kuras tiesiskais regulējums arī ietekmē vai varētu ietekmēt</w:t>
            </w:r>
          </w:p>
        </w:tc>
        <w:tc>
          <w:tcPr>
            <w:tcW w:w="5043" w:type="dxa"/>
          </w:tcPr>
          <w:p w:rsidR="00D40CFC" w:rsidRPr="000C5EE3" w:rsidRDefault="002C38BE" w:rsidP="00382775">
            <w:pPr>
              <w:spacing w:after="0" w:line="240" w:lineRule="auto"/>
              <w:ind w:firstLine="450"/>
              <w:jc w:val="both"/>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Projekts šo jomu neskar.</w:t>
            </w:r>
          </w:p>
        </w:tc>
      </w:tr>
      <w:tr w:rsidR="00D40CFC" w:rsidRPr="000C5EE3" w:rsidTr="00FE4F5C">
        <w:trPr>
          <w:trHeight w:val="517"/>
        </w:trPr>
        <w:tc>
          <w:tcPr>
            <w:tcW w:w="597" w:type="dxa"/>
          </w:tcPr>
          <w:p w:rsidR="00D40CFC" w:rsidRPr="000C5EE3" w:rsidRDefault="00D40CFC" w:rsidP="00FE4F5C">
            <w:pPr>
              <w:spacing w:after="0" w:line="240" w:lineRule="auto"/>
              <w:jc w:val="center"/>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3.</w:t>
            </w:r>
          </w:p>
        </w:tc>
        <w:tc>
          <w:tcPr>
            <w:tcW w:w="3544" w:type="dxa"/>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Tiesiskā regulējuma finansiālā ietekme</w:t>
            </w:r>
          </w:p>
        </w:tc>
        <w:tc>
          <w:tcPr>
            <w:tcW w:w="5043" w:type="dxa"/>
          </w:tcPr>
          <w:p w:rsidR="00D40CFC" w:rsidRPr="000C5EE3" w:rsidRDefault="002C38BE" w:rsidP="005A5F0D">
            <w:pPr>
              <w:spacing w:after="0" w:line="240" w:lineRule="auto"/>
              <w:ind w:firstLine="450"/>
              <w:jc w:val="both"/>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Projekts šo jomu neskar.</w:t>
            </w:r>
          </w:p>
        </w:tc>
      </w:tr>
      <w:tr w:rsidR="00D40CFC" w:rsidRPr="000C5EE3" w:rsidTr="00FE4F5C">
        <w:trPr>
          <w:trHeight w:val="517"/>
        </w:trPr>
        <w:tc>
          <w:tcPr>
            <w:tcW w:w="597" w:type="dxa"/>
          </w:tcPr>
          <w:p w:rsidR="00D40CFC" w:rsidRPr="000C5EE3" w:rsidRDefault="00D40CFC" w:rsidP="00FE4F5C">
            <w:pPr>
              <w:spacing w:after="0" w:line="240" w:lineRule="auto"/>
              <w:jc w:val="center"/>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4.</w:t>
            </w:r>
          </w:p>
        </w:tc>
        <w:tc>
          <w:tcPr>
            <w:tcW w:w="3544" w:type="dxa"/>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Tiesiskā regulējuma nefinansiālā ietekme</w:t>
            </w:r>
          </w:p>
        </w:tc>
        <w:tc>
          <w:tcPr>
            <w:tcW w:w="5043" w:type="dxa"/>
          </w:tcPr>
          <w:p w:rsidR="00D40CFC" w:rsidRPr="000C5EE3" w:rsidRDefault="00D40CFC" w:rsidP="00D40CFC">
            <w:pPr>
              <w:spacing w:after="0" w:line="240" w:lineRule="auto"/>
              <w:ind w:firstLine="450"/>
              <w:jc w:val="both"/>
              <w:rPr>
                <w:rFonts w:ascii="Times New Roman" w:eastAsia="Times New Roman" w:hAnsi="Times New Roman" w:cs="Times New Roman"/>
                <w:iCs/>
                <w:sz w:val="28"/>
                <w:szCs w:val="28"/>
                <w:lang w:eastAsia="lv-LV"/>
              </w:rPr>
            </w:pPr>
            <w:r w:rsidRPr="000C5EE3">
              <w:rPr>
                <w:rFonts w:ascii="Times New Roman" w:eastAsia="Times New Roman" w:hAnsi="Times New Roman" w:cs="Times New Roman"/>
                <w:color w:val="000000"/>
                <w:sz w:val="28"/>
                <w:szCs w:val="28"/>
                <w:lang w:eastAsia="lv-LV"/>
              </w:rPr>
              <w:t>Projekts šo jomu neskar.</w:t>
            </w:r>
          </w:p>
        </w:tc>
      </w:tr>
      <w:tr w:rsidR="00D40CFC" w:rsidRPr="000C5EE3" w:rsidTr="00FE4F5C">
        <w:trPr>
          <w:trHeight w:val="531"/>
        </w:trPr>
        <w:tc>
          <w:tcPr>
            <w:tcW w:w="597" w:type="dxa"/>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5.</w:t>
            </w:r>
          </w:p>
        </w:tc>
        <w:tc>
          <w:tcPr>
            <w:tcW w:w="3544" w:type="dxa"/>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Administratīvās procedūras raksturojums</w:t>
            </w:r>
          </w:p>
        </w:tc>
        <w:tc>
          <w:tcPr>
            <w:tcW w:w="5043" w:type="dxa"/>
          </w:tcPr>
          <w:p w:rsidR="00D40CFC" w:rsidRPr="000C5EE3" w:rsidRDefault="00D40CFC" w:rsidP="00D40CFC">
            <w:pPr>
              <w:spacing w:after="0" w:line="240" w:lineRule="auto"/>
              <w:ind w:firstLine="450"/>
              <w:rPr>
                <w:rFonts w:ascii="Times New Roman" w:eastAsia="Times New Roman" w:hAnsi="Times New Roman" w:cs="Times New Roman"/>
                <w:sz w:val="28"/>
                <w:szCs w:val="28"/>
                <w:lang w:eastAsia="lv-LV"/>
              </w:rPr>
            </w:pPr>
            <w:r w:rsidRPr="000C5EE3">
              <w:rPr>
                <w:rFonts w:ascii="Times New Roman" w:eastAsia="Times New Roman" w:hAnsi="Times New Roman" w:cs="Times New Roman"/>
                <w:color w:val="000000"/>
                <w:sz w:val="28"/>
                <w:szCs w:val="28"/>
                <w:lang w:eastAsia="lv-LV"/>
              </w:rPr>
              <w:t>Projekts šo jomu neskar.</w:t>
            </w:r>
          </w:p>
        </w:tc>
      </w:tr>
      <w:tr w:rsidR="00D40CFC" w:rsidRPr="000C5EE3" w:rsidTr="00FE4F5C">
        <w:trPr>
          <w:trHeight w:val="357"/>
        </w:trPr>
        <w:tc>
          <w:tcPr>
            <w:tcW w:w="597" w:type="dxa"/>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6.</w:t>
            </w:r>
          </w:p>
        </w:tc>
        <w:tc>
          <w:tcPr>
            <w:tcW w:w="3544" w:type="dxa"/>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Administratīvo izmaksu monetārs novērtējums</w:t>
            </w:r>
          </w:p>
        </w:tc>
        <w:tc>
          <w:tcPr>
            <w:tcW w:w="5043" w:type="dxa"/>
          </w:tcPr>
          <w:p w:rsidR="00D40CFC" w:rsidRPr="000C5EE3" w:rsidRDefault="00D40CFC" w:rsidP="00D40CFC">
            <w:pPr>
              <w:spacing w:after="0" w:line="240" w:lineRule="auto"/>
              <w:ind w:firstLine="450"/>
              <w:rPr>
                <w:rFonts w:ascii="Times New Roman" w:eastAsia="Times New Roman" w:hAnsi="Times New Roman" w:cs="Times New Roman"/>
                <w:sz w:val="28"/>
                <w:szCs w:val="28"/>
                <w:lang w:eastAsia="lv-LV"/>
              </w:rPr>
            </w:pPr>
            <w:r w:rsidRPr="000C5EE3">
              <w:rPr>
                <w:rFonts w:ascii="Times New Roman" w:eastAsia="Times New Roman" w:hAnsi="Times New Roman" w:cs="Times New Roman"/>
                <w:color w:val="000000"/>
                <w:sz w:val="28"/>
                <w:szCs w:val="28"/>
                <w:lang w:eastAsia="lv-LV"/>
              </w:rPr>
              <w:t>Projekts šo jomu neskar.</w:t>
            </w:r>
          </w:p>
        </w:tc>
      </w:tr>
      <w:tr w:rsidR="00D40CFC" w:rsidRPr="000C5EE3" w:rsidTr="00FE4F5C">
        <w:trPr>
          <w:trHeight w:val="489"/>
        </w:trPr>
        <w:tc>
          <w:tcPr>
            <w:tcW w:w="597" w:type="dxa"/>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lastRenderedPageBreak/>
              <w:t>7.</w:t>
            </w:r>
          </w:p>
        </w:tc>
        <w:tc>
          <w:tcPr>
            <w:tcW w:w="3544" w:type="dxa"/>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Cita informācija</w:t>
            </w:r>
          </w:p>
        </w:tc>
        <w:tc>
          <w:tcPr>
            <w:tcW w:w="5043" w:type="dxa"/>
          </w:tcPr>
          <w:p w:rsidR="00D40CFC" w:rsidRPr="000C5EE3" w:rsidRDefault="00D40CFC" w:rsidP="00D40CFC">
            <w:pPr>
              <w:spacing w:after="0" w:line="240" w:lineRule="auto"/>
              <w:ind w:firstLine="450"/>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Nav.</w:t>
            </w:r>
          </w:p>
        </w:tc>
      </w:tr>
    </w:tbl>
    <w:p w:rsidR="00830152" w:rsidRPr="000C5EE3" w:rsidRDefault="00830152" w:rsidP="00D40CFC">
      <w:pPr>
        <w:spacing w:after="0" w:line="240" w:lineRule="auto"/>
        <w:jc w:val="center"/>
        <w:rPr>
          <w:rFonts w:ascii="Times New Roman" w:eastAsia="Calibri" w:hAnsi="Times New Roman" w:cs="Times New Roman"/>
          <w:b/>
          <w:sz w:val="28"/>
          <w:szCs w:val="28"/>
        </w:rPr>
      </w:pPr>
    </w:p>
    <w:p w:rsidR="00D40CFC" w:rsidRPr="000C5EE3" w:rsidRDefault="00830152" w:rsidP="00D40CFC">
      <w:pPr>
        <w:spacing w:after="0" w:line="240" w:lineRule="auto"/>
        <w:jc w:val="center"/>
        <w:rPr>
          <w:rFonts w:ascii="Times New Roman" w:eastAsia="Arial Unicode MS" w:hAnsi="Times New Roman" w:cs="Times New Roman"/>
          <w:b/>
          <w:sz w:val="28"/>
          <w:szCs w:val="28"/>
        </w:rPr>
      </w:pPr>
      <w:r w:rsidRPr="000C5EE3">
        <w:rPr>
          <w:rFonts w:ascii="Times New Roman" w:eastAsia="Calibri" w:hAnsi="Times New Roman" w:cs="Times New Roman"/>
          <w:b/>
          <w:sz w:val="28"/>
          <w:szCs w:val="28"/>
        </w:rPr>
        <w:t>Anotācijas III. sadaļa – projekts šo jomu neskar</w:t>
      </w:r>
    </w:p>
    <w:p w:rsidR="00D40CFC" w:rsidRPr="000C5EE3" w:rsidRDefault="00D40CFC" w:rsidP="00D40CFC">
      <w:pPr>
        <w:spacing w:after="0" w:line="240" w:lineRule="auto"/>
        <w:jc w:val="center"/>
        <w:rPr>
          <w:rFonts w:ascii="Times New Roman" w:eastAsia="Arial Unicode MS" w:hAnsi="Times New Roman" w:cs="Times New Roman"/>
          <w:b/>
          <w:sz w:val="28"/>
          <w:szCs w:val="28"/>
        </w:rPr>
      </w:pPr>
    </w:p>
    <w:tbl>
      <w:tblPr>
        <w:tblW w:w="9087"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567"/>
        <w:gridCol w:w="2410"/>
        <w:gridCol w:w="6110"/>
      </w:tblGrid>
      <w:tr w:rsidR="00D40CFC" w:rsidRPr="000C5EE3" w:rsidTr="00FE4F5C">
        <w:tc>
          <w:tcPr>
            <w:tcW w:w="567" w:type="dxa"/>
            <w:tcBorders>
              <w:top w:val="thickThinLargeGap" w:sz="6" w:space="0" w:color="C0C0C0"/>
              <w:bottom w:val="thickThinLargeGap" w:sz="6" w:space="0" w:color="C0C0C0"/>
            </w:tcBorders>
          </w:tcPr>
          <w:p w:rsidR="00D40CFC" w:rsidRPr="000C5EE3" w:rsidRDefault="00D40CFC" w:rsidP="00D40CFC">
            <w:pPr>
              <w:spacing w:after="0" w:line="240" w:lineRule="auto"/>
              <w:ind w:firstLine="720"/>
              <w:jc w:val="center"/>
              <w:rPr>
                <w:rFonts w:ascii="Times New Roman" w:eastAsia="Calibri" w:hAnsi="Times New Roman" w:cs="Times New Roman"/>
                <w:b/>
                <w:sz w:val="28"/>
                <w:szCs w:val="28"/>
                <w:lang w:eastAsia="lv-LV"/>
              </w:rPr>
            </w:pPr>
          </w:p>
        </w:tc>
        <w:tc>
          <w:tcPr>
            <w:tcW w:w="8520" w:type="dxa"/>
            <w:gridSpan w:val="2"/>
            <w:tcBorders>
              <w:top w:val="thickThinLargeGap" w:sz="6" w:space="0" w:color="C0C0C0"/>
              <w:bottom w:val="thickThinLargeGap" w:sz="6" w:space="0" w:color="C0C0C0"/>
            </w:tcBorders>
          </w:tcPr>
          <w:p w:rsidR="00D40CFC" w:rsidRPr="000C5EE3" w:rsidRDefault="00D40CFC" w:rsidP="00D40CFC">
            <w:pPr>
              <w:spacing w:after="0" w:line="240" w:lineRule="auto"/>
              <w:rPr>
                <w:rFonts w:ascii="Times New Roman" w:eastAsia="Calibri" w:hAnsi="Times New Roman" w:cs="Times New Roman"/>
                <w:b/>
                <w:sz w:val="28"/>
                <w:szCs w:val="28"/>
                <w:lang w:eastAsia="lv-LV"/>
              </w:rPr>
            </w:pPr>
            <w:r w:rsidRPr="000C5EE3">
              <w:rPr>
                <w:rFonts w:ascii="Times New Roman" w:eastAsia="Calibri" w:hAnsi="Times New Roman" w:cs="Times New Roman"/>
                <w:b/>
                <w:sz w:val="28"/>
                <w:szCs w:val="28"/>
                <w:lang w:eastAsia="lv-LV"/>
              </w:rPr>
              <w:t>IV. Tiesību akta projekta ietekme uz spēkā esošo tiesību normu sistēmu</w:t>
            </w:r>
          </w:p>
        </w:tc>
      </w:tr>
      <w:tr w:rsidR="00D40CFC" w:rsidRPr="000C5EE3" w:rsidTr="00FE4F5C">
        <w:tc>
          <w:tcPr>
            <w:tcW w:w="567" w:type="dxa"/>
            <w:tcBorders>
              <w:top w:val="thickThinLargeGap" w:sz="6" w:space="0" w:color="C0C0C0"/>
              <w:bottom w:val="thickThinLargeGap" w:sz="6" w:space="0" w:color="C0C0C0"/>
              <w:right w:val="thickThinLargeGap" w:sz="6" w:space="0" w:color="C0C0C0"/>
            </w:tcBorders>
          </w:tcPr>
          <w:p w:rsidR="00D40CFC" w:rsidRPr="000C5EE3" w:rsidRDefault="00D40CFC" w:rsidP="00FE4F5C">
            <w:pPr>
              <w:spacing w:after="0" w:line="240" w:lineRule="auto"/>
              <w:jc w:val="center"/>
              <w:rPr>
                <w:rFonts w:ascii="Times New Roman" w:eastAsia="Calibri" w:hAnsi="Times New Roman" w:cs="Times New Roman"/>
                <w:sz w:val="28"/>
                <w:szCs w:val="28"/>
                <w:lang w:eastAsia="lv-LV"/>
              </w:rPr>
            </w:pPr>
            <w:r w:rsidRPr="000C5EE3">
              <w:rPr>
                <w:rFonts w:ascii="Times New Roman" w:eastAsia="Calibri" w:hAnsi="Times New Roman" w:cs="Times New Roman"/>
                <w:sz w:val="28"/>
                <w:szCs w:val="28"/>
                <w:lang w:eastAsia="lv-LV"/>
              </w:rPr>
              <w:t>1.</w:t>
            </w:r>
          </w:p>
        </w:tc>
        <w:tc>
          <w:tcPr>
            <w:tcW w:w="2410" w:type="dxa"/>
            <w:tcBorders>
              <w:top w:val="thickThinLargeGap" w:sz="6" w:space="0" w:color="C0C0C0"/>
              <w:bottom w:val="thickThinLargeGap" w:sz="6" w:space="0" w:color="C0C0C0"/>
              <w:right w:val="thickThinLargeGap" w:sz="6" w:space="0" w:color="C0C0C0"/>
            </w:tcBorders>
          </w:tcPr>
          <w:p w:rsidR="00D40CFC" w:rsidRPr="000C5EE3" w:rsidRDefault="00D40CFC" w:rsidP="00D40CFC">
            <w:pPr>
              <w:spacing w:after="0" w:line="240" w:lineRule="auto"/>
              <w:jc w:val="both"/>
              <w:rPr>
                <w:rFonts w:ascii="Times New Roman" w:eastAsia="Calibri" w:hAnsi="Times New Roman" w:cs="Times New Roman"/>
                <w:sz w:val="28"/>
                <w:szCs w:val="28"/>
                <w:lang w:eastAsia="lv-LV"/>
              </w:rPr>
            </w:pPr>
            <w:r w:rsidRPr="000C5EE3">
              <w:rPr>
                <w:rFonts w:ascii="Times New Roman" w:eastAsia="Calibri" w:hAnsi="Times New Roman" w:cs="Times New Roman"/>
                <w:sz w:val="28"/>
                <w:szCs w:val="28"/>
                <w:lang w:eastAsia="lv-LV"/>
              </w:rPr>
              <w:t>Nepieciešamie saistītie tiesību aktu projekti</w:t>
            </w:r>
          </w:p>
        </w:tc>
        <w:tc>
          <w:tcPr>
            <w:tcW w:w="6110" w:type="dxa"/>
            <w:tcBorders>
              <w:top w:val="thickThinLargeGap" w:sz="6" w:space="0" w:color="C0C0C0"/>
              <w:left w:val="thickThinLargeGap" w:sz="6" w:space="0" w:color="C0C0C0"/>
              <w:bottom w:val="thickThinLargeGap" w:sz="6" w:space="0" w:color="C0C0C0"/>
            </w:tcBorders>
          </w:tcPr>
          <w:p w:rsidR="00A910E1" w:rsidRPr="000C5EE3" w:rsidRDefault="00D40CFC" w:rsidP="00A910E1">
            <w:pPr>
              <w:spacing w:after="0" w:line="240" w:lineRule="auto"/>
              <w:ind w:firstLine="426"/>
              <w:jc w:val="both"/>
              <w:rPr>
                <w:rFonts w:ascii="Times New Roman" w:eastAsia="Calibri" w:hAnsi="Times New Roman" w:cs="Times New Roman"/>
                <w:bCs/>
                <w:sz w:val="28"/>
                <w:szCs w:val="28"/>
              </w:rPr>
            </w:pPr>
            <w:r w:rsidRPr="000C5EE3">
              <w:rPr>
                <w:rFonts w:ascii="Times New Roman" w:eastAsia="Calibri" w:hAnsi="Times New Roman" w:cs="Times New Roman"/>
                <w:bCs/>
                <w:sz w:val="28"/>
                <w:szCs w:val="28"/>
              </w:rPr>
              <w:t>Noteikumu projekts ir saistīts</w:t>
            </w:r>
            <w:r w:rsidR="00281EE5" w:rsidRPr="000C5EE3">
              <w:rPr>
                <w:rFonts w:ascii="Times New Roman" w:eastAsia="Calibri" w:hAnsi="Times New Roman" w:cs="Times New Roman"/>
                <w:bCs/>
                <w:sz w:val="28"/>
                <w:szCs w:val="28"/>
              </w:rPr>
              <w:t xml:space="preserve"> ar</w:t>
            </w:r>
            <w:r w:rsidR="00C40910" w:rsidRPr="000C5EE3">
              <w:rPr>
                <w:rFonts w:ascii="Times New Roman" w:eastAsia="Calibri" w:hAnsi="Times New Roman" w:cs="Times New Roman"/>
                <w:bCs/>
                <w:sz w:val="28"/>
                <w:szCs w:val="28"/>
              </w:rPr>
              <w:t xml:space="preserve"> </w:t>
            </w:r>
            <w:r w:rsidR="004746CA" w:rsidRPr="000C5EE3">
              <w:rPr>
                <w:rFonts w:ascii="Times New Roman" w:eastAsia="Calibri" w:hAnsi="Times New Roman" w:cs="Times New Roman"/>
                <w:bCs/>
                <w:sz w:val="28"/>
                <w:szCs w:val="28"/>
              </w:rPr>
              <w:t>grozījumiem darbības programmas „Cilvēkresursi un nodarbinātība” papildinājuma 1.3.1.1.6.apakšaktivitātes „Atbalsts darba vietu radīšanai” projektu iesniegumu vērtēšanas kritērijos.</w:t>
            </w:r>
            <w:r w:rsidR="00A910E1" w:rsidRPr="000C5EE3">
              <w:t xml:space="preserve"> </w:t>
            </w:r>
            <w:r w:rsidR="00A910E1" w:rsidRPr="000C5EE3">
              <w:rPr>
                <w:rFonts w:ascii="Times New Roman" w:eastAsia="Calibri" w:hAnsi="Times New Roman" w:cs="Times New Roman"/>
                <w:bCs/>
                <w:sz w:val="28"/>
                <w:szCs w:val="28"/>
              </w:rPr>
              <w:t>Vēršam uzmanību ka grozījumi projektu iesnieguma vērtēšanas kritērijos ir apstiprināti ar Eiropas Savienības fondu uzraudzības komitejas 2012.gada 31.jūlija lēmumu.</w:t>
            </w:r>
          </w:p>
          <w:p w:rsidR="002C62C4" w:rsidRPr="000C5EE3" w:rsidRDefault="00A910E1" w:rsidP="00F80628">
            <w:pPr>
              <w:spacing w:after="0" w:line="240" w:lineRule="auto"/>
              <w:ind w:firstLine="426"/>
              <w:jc w:val="both"/>
              <w:rPr>
                <w:rFonts w:ascii="Times New Roman" w:eastAsia="Calibri" w:hAnsi="Times New Roman" w:cs="Times New Roman"/>
                <w:bCs/>
                <w:color w:val="000000"/>
                <w:sz w:val="28"/>
                <w:szCs w:val="28"/>
              </w:rPr>
            </w:pPr>
            <w:r w:rsidRPr="000C5EE3">
              <w:rPr>
                <w:rFonts w:ascii="Times New Roman" w:eastAsia="Calibri" w:hAnsi="Times New Roman" w:cs="Times New Roman"/>
                <w:bCs/>
                <w:sz w:val="28"/>
                <w:szCs w:val="28"/>
              </w:rPr>
              <w:t xml:space="preserve">Ņemot vērā, ka mērķa nozares jau ir apstiprinātas 2011.gada 25.augustā „Ārvalstu tiešo investīciju piesaistes stratēģija 2011.-2017.gadam”, 5.1.1.sadaļā starp informācijas tehnoloģijām kā arī ar 2011.gada 25.augusta Lielo un stratēģiski nozīmīgo investīciju projektu koordinācijas padomes sēdes protokola Nr.9 1.punkta lēmumu Nr.1, nav nepieciešams gaidīt, kamēr tiks apstiprinātas „Par Latvijas preču un pakalpojumu eksporta veicināšanas un ārvalstu investīciju piesaistes pamatnostādnēm 2012.-2018.gadam”. Vēršam uzmanību, ka gaidīšana „Par Latvijas preču un pakalpojumu eksporta veicināšanas un ārvalstu investīciju piesaistes pamatnostādnēm 2012.-2018.gadam” apstiprināšanai aizkavētu 1.3.1.1.6.apakšaktivitātes „Atbalsts darba vietu radīšanai” </w:t>
            </w:r>
            <w:r w:rsidR="00F80628" w:rsidRPr="000C5EE3">
              <w:rPr>
                <w:rFonts w:ascii="Times New Roman" w:eastAsia="Calibri" w:hAnsi="Times New Roman" w:cs="Times New Roman"/>
                <w:bCs/>
                <w:sz w:val="28"/>
                <w:szCs w:val="28"/>
              </w:rPr>
              <w:t xml:space="preserve">aktivitātes </w:t>
            </w:r>
            <w:r w:rsidRPr="000C5EE3">
              <w:rPr>
                <w:rFonts w:ascii="Times New Roman" w:eastAsia="Calibri" w:hAnsi="Times New Roman" w:cs="Times New Roman"/>
                <w:bCs/>
                <w:sz w:val="28"/>
                <w:szCs w:val="28"/>
              </w:rPr>
              <w:t>uzsākšanu.”</w:t>
            </w:r>
          </w:p>
        </w:tc>
      </w:tr>
      <w:tr w:rsidR="00D40CFC" w:rsidRPr="000C5EE3" w:rsidTr="00FE4F5C">
        <w:tc>
          <w:tcPr>
            <w:tcW w:w="567" w:type="dxa"/>
            <w:tcBorders>
              <w:top w:val="thickThinLargeGap" w:sz="6" w:space="0" w:color="C0C0C0"/>
              <w:bottom w:val="thickThinLargeGap" w:sz="6" w:space="0" w:color="C0C0C0"/>
              <w:right w:val="thickThinLargeGap" w:sz="6" w:space="0" w:color="C0C0C0"/>
            </w:tcBorders>
          </w:tcPr>
          <w:p w:rsidR="00D40CFC" w:rsidRPr="000C5EE3" w:rsidRDefault="00D40CFC" w:rsidP="00FE4F5C">
            <w:pPr>
              <w:spacing w:after="0" w:line="240" w:lineRule="auto"/>
              <w:jc w:val="center"/>
              <w:rPr>
                <w:rFonts w:ascii="Times New Roman" w:eastAsia="Calibri" w:hAnsi="Times New Roman" w:cs="Times New Roman"/>
                <w:sz w:val="28"/>
                <w:szCs w:val="28"/>
                <w:lang w:eastAsia="lv-LV"/>
              </w:rPr>
            </w:pPr>
            <w:r w:rsidRPr="000C5EE3">
              <w:rPr>
                <w:rFonts w:ascii="Times New Roman" w:eastAsia="Calibri" w:hAnsi="Times New Roman" w:cs="Times New Roman"/>
                <w:sz w:val="28"/>
                <w:szCs w:val="28"/>
                <w:lang w:eastAsia="lv-LV"/>
              </w:rPr>
              <w:t>2.</w:t>
            </w:r>
          </w:p>
        </w:tc>
        <w:tc>
          <w:tcPr>
            <w:tcW w:w="2410" w:type="dxa"/>
            <w:tcBorders>
              <w:top w:val="thickThinLargeGap" w:sz="6" w:space="0" w:color="C0C0C0"/>
              <w:bottom w:val="thickThinLargeGap" w:sz="6" w:space="0" w:color="C0C0C0"/>
              <w:right w:val="thickThinLargeGap" w:sz="6" w:space="0" w:color="C0C0C0"/>
            </w:tcBorders>
          </w:tcPr>
          <w:p w:rsidR="00D40CFC" w:rsidRPr="000C5EE3" w:rsidRDefault="00D40CFC" w:rsidP="00D40CFC">
            <w:pPr>
              <w:spacing w:after="0" w:line="240" w:lineRule="auto"/>
              <w:jc w:val="both"/>
              <w:rPr>
                <w:rFonts w:ascii="Times New Roman" w:eastAsia="Calibri" w:hAnsi="Times New Roman" w:cs="Times New Roman"/>
                <w:sz w:val="28"/>
                <w:szCs w:val="28"/>
                <w:lang w:eastAsia="lv-LV"/>
              </w:rPr>
            </w:pPr>
            <w:r w:rsidRPr="000C5EE3">
              <w:rPr>
                <w:rFonts w:ascii="Times New Roman" w:eastAsia="Calibri" w:hAnsi="Times New Roman" w:cs="Times New Roman"/>
                <w:sz w:val="28"/>
                <w:szCs w:val="28"/>
                <w:lang w:eastAsia="lv-LV"/>
              </w:rPr>
              <w:t>Cita informācija</w:t>
            </w:r>
          </w:p>
        </w:tc>
        <w:tc>
          <w:tcPr>
            <w:tcW w:w="6110" w:type="dxa"/>
            <w:tcBorders>
              <w:top w:val="thickThinLargeGap" w:sz="6" w:space="0" w:color="C0C0C0"/>
              <w:left w:val="thickThinLargeGap" w:sz="6" w:space="0" w:color="C0C0C0"/>
              <w:bottom w:val="thickThinLargeGap" w:sz="6" w:space="0" w:color="C0C0C0"/>
            </w:tcBorders>
          </w:tcPr>
          <w:p w:rsidR="00D40CFC" w:rsidRPr="000C5EE3" w:rsidRDefault="00D40CFC" w:rsidP="00D40CFC">
            <w:pPr>
              <w:spacing w:after="0" w:line="240" w:lineRule="auto"/>
              <w:ind w:firstLine="426"/>
              <w:jc w:val="both"/>
              <w:rPr>
                <w:rFonts w:ascii="Times New Roman" w:eastAsia="Calibri" w:hAnsi="Times New Roman" w:cs="Times New Roman"/>
                <w:sz w:val="28"/>
                <w:szCs w:val="28"/>
                <w:lang w:eastAsia="lv-LV"/>
              </w:rPr>
            </w:pPr>
            <w:r w:rsidRPr="000C5EE3">
              <w:rPr>
                <w:rFonts w:ascii="Times New Roman" w:eastAsia="Calibri" w:hAnsi="Times New Roman" w:cs="Times New Roman"/>
                <w:sz w:val="28"/>
                <w:szCs w:val="28"/>
                <w:lang w:eastAsia="lv-LV"/>
              </w:rPr>
              <w:t>Nav.</w:t>
            </w:r>
          </w:p>
        </w:tc>
      </w:tr>
    </w:tbl>
    <w:p w:rsidR="00D40CFC" w:rsidRPr="000C5EE3" w:rsidRDefault="00D40CFC" w:rsidP="00D40CFC">
      <w:pPr>
        <w:tabs>
          <w:tab w:val="left" w:pos="7655"/>
        </w:tabs>
        <w:spacing w:after="0" w:line="240" w:lineRule="auto"/>
        <w:jc w:val="both"/>
        <w:rPr>
          <w:rFonts w:ascii="Times New Roman" w:eastAsia="Calibri" w:hAnsi="Times New Roman" w:cs="Times New Roman"/>
          <w:bCs/>
          <w:sz w:val="28"/>
          <w:szCs w:val="28"/>
        </w:rPr>
      </w:pPr>
    </w:p>
    <w:p w:rsidR="00830152" w:rsidRPr="000C5EE3" w:rsidRDefault="00830152" w:rsidP="00830152">
      <w:pPr>
        <w:tabs>
          <w:tab w:val="left" w:pos="7655"/>
        </w:tabs>
        <w:spacing w:after="0" w:line="240" w:lineRule="auto"/>
        <w:jc w:val="center"/>
        <w:rPr>
          <w:rFonts w:ascii="Times New Roman" w:eastAsia="Calibri" w:hAnsi="Times New Roman" w:cs="Times New Roman"/>
          <w:bCs/>
          <w:sz w:val="28"/>
          <w:szCs w:val="28"/>
        </w:rPr>
      </w:pPr>
      <w:r w:rsidRPr="000C5EE3">
        <w:rPr>
          <w:rFonts w:ascii="Times New Roman" w:eastAsia="Calibri" w:hAnsi="Times New Roman" w:cs="Times New Roman"/>
          <w:b/>
          <w:sz w:val="28"/>
          <w:szCs w:val="28"/>
        </w:rPr>
        <w:t>Anotācijas V. un VI. sadaļas – projekts šīs jomas neskar.</w:t>
      </w:r>
    </w:p>
    <w:p w:rsidR="00830152" w:rsidRPr="000C5EE3" w:rsidRDefault="00830152" w:rsidP="00D40CFC">
      <w:pPr>
        <w:tabs>
          <w:tab w:val="left" w:pos="7655"/>
        </w:tabs>
        <w:spacing w:after="0" w:line="240" w:lineRule="auto"/>
        <w:jc w:val="both"/>
        <w:rPr>
          <w:rFonts w:ascii="Times New Roman" w:eastAsia="Calibri" w:hAnsi="Times New Roman" w:cs="Times New Roman"/>
          <w:bCs/>
          <w:sz w:val="28"/>
          <w:szCs w:val="28"/>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67"/>
        <w:gridCol w:w="3544"/>
        <w:gridCol w:w="4961"/>
      </w:tblGrid>
      <w:tr w:rsidR="00D40CFC" w:rsidRPr="000C5EE3" w:rsidTr="00FE4F5C">
        <w:tc>
          <w:tcPr>
            <w:tcW w:w="9072" w:type="dxa"/>
            <w:gridSpan w:val="3"/>
          </w:tcPr>
          <w:p w:rsidR="00D40CFC" w:rsidRPr="000C5EE3" w:rsidRDefault="00D40CFC" w:rsidP="00D40CFC">
            <w:pPr>
              <w:spacing w:after="0" w:line="240" w:lineRule="auto"/>
              <w:jc w:val="center"/>
              <w:rPr>
                <w:rFonts w:ascii="Times New Roman" w:eastAsia="Times New Roman" w:hAnsi="Times New Roman" w:cs="Times New Roman"/>
                <w:b/>
                <w:sz w:val="28"/>
                <w:szCs w:val="28"/>
                <w:lang w:eastAsia="lv-LV"/>
              </w:rPr>
            </w:pPr>
            <w:r w:rsidRPr="000C5EE3">
              <w:rPr>
                <w:rFonts w:ascii="Times New Roman" w:eastAsia="Times New Roman" w:hAnsi="Times New Roman" w:cs="Times New Roman"/>
                <w:b/>
                <w:sz w:val="28"/>
                <w:szCs w:val="28"/>
                <w:lang w:eastAsia="lv-LV"/>
              </w:rPr>
              <w:t>VII. Tiesību akta projekta izpildes nodrošināšana un tās ietekme uz institūcijām</w:t>
            </w:r>
          </w:p>
        </w:tc>
      </w:tr>
      <w:tr w:rsidR="00D40CFC" w:rsidRPr="000C5EE3" w:rsidTr="00FE4F5C">
        <w:tc>
          <w:tcPr>
            <w:tcW w:w="567" w:type="dxa"/>
          </w:tcPr>
          <w:p w:rsidR="00D40CFC" w:rsidRPr="000C5EE3" w:rsidRDefault="00D40CFC" w:rsidP="00FE4F5C">
            <w:pPr>
              <w:spacing w:after="0" w:line="240" w:lineRule="auto"/>
              <w:jc w:val="center"/>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1.</w:t>
            </w:r>
          </w:p>
        </w:tc>
        <w:tc>
          <w:tcPr>
            <w:tcW w:w="3544" w:type="dxa"/>
            <w:hideMark/>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Projekta izpildē iesaistītās institūcijas</w:t>
            </w:r>
          </w:p>
        </w:tc>
        <w:tc>
          <w:tcPr>
            <w:tcW w:w="4961" w:type="dxa"/>
            <w:hideMark/>
          </w:tcPr>
          <w:p w:rsidR="00D40CFC" w:rsidRPr="000C5EE3" w:rsidRDefault="00190309" w:rsidP="00830152">
            <w:pPr>
              <w:spacing w:after="0" w:line="240" w:lineRule="auto"/>
              <w:ind w:firstLine="485"/>
              <w:jc w:val="both"/>
              <w:rPr>
                <w:rFonts w:ascii="Times New Roman" w:eastAsia="Times New Roman" w:hAnsi="Times New Roman" w:cs="Times New Roman"/>
                <w:sz w:val="28"/>
                <w:szCs w:val="28"/>
                <w:lang w:eastAsia="lv-LV"/>
              </w:rPr>
            </w:pPr>
            <w:r w:rsidRPr="000C5EE3">
              <w:rPr>
                <w:rFonts w:ascii="Times New Roman" w:eastAsia="Calibri" w:hAnsi="Times New Roman" w:cs="Times New Roman"/>
                <w:sz w:val="28"/>
                <w:szCs w:val="28"/>
                <w:lang w:eastAsia="lv-LV"/>
              </w:rPr>
              <w:t>Nav.</w:t>
            </w:r>
          </w:p>
        </w:tc>
      </w:tr>
      <w:tr w:rsidR="00D40CFC" w:rsidRPr="000C5EE3" w:rsidTr="00FE4F5C">
        <w:tc>
          <w:tcPr>
            <w:tcW w:w="567" w:type="dxa"/>
          </w:tcPr>
          <w:p w:rsidR="00D40CFC" w:rsidRPr="000C5EE3" w:rsidRDefault="00D40CFC" w:rsidP="00FE4F5C">
            <w:pPr>
              <w:spacing w:after="0" w:line="240" w:lineRule="auto"/>
              <w:jc w:val="center"/>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2.</w:t>
            </w:r>
          </w:p>
        </w:tc>
        <w:tc>
          <w:tcPr>
            <w:tcW w:w="3544" w:type="dxa"/>
            <w:hideMark/>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 xml:space="preserve">Projekta izpildes ietekme uz </w:t>
            </w:r>
            <w:r w:rsidRPr="000C5EE3">
              <w:rPr>
                <w:rFonts w:ascii="Times New Roman" w:eastAsia="Times New Roman" w:hAnsi="Times New Roman" w:cs="Times New Roman"/>
                <w:sz w:val="28"/>
                <w:szCs w:val="28"/>
                <w:lang w:eastAsia="lv-LV"/>
              </w:rPr>
              <w:lastRenderedPageBreak/>
              <w:t>pārvaldes funkcijā</w:t>
            </w:r>
          </w:p>
        </w:tc>
        <w:tc>
          <w:tcPr>
            <w:tcW w:w="4961" w:type="dxa"/>
            <w:hideMark/>
          </w:tcPr>
          <w:p w:rsidR="00D40CFC" w:rsidRPr="000C5EE3" w:rsidRDefault="00190309" w:rsidP="00830152">
            <w:pPr>
              <w:spacing w:after="0" w:line="240" w:lineRule="auto"/>
              <w:ind w:firstLine="485"/>
              <w:jc w:val="both"/>
              <w:rPr>
                <w:rFonts w:ascii="Times New Roman" w:eastAsia="Times New Roman" w:hAnsi="Times New Roman" w:cs="Times New Roman"/>
                <w:sz w:val="28"/>
                <w:szCs w:val="28"/>
                <w:lang w:eastAsia="lv-LV"/>
              </w:rPr>
            </w:pPr>
            <w:r w:rsidRPr="000C5EE3">
              <w:rPr>
                <w:rFonts w:ascii="Times New Roman" w:eastAsia="Calibri" w:hAnsi="Times New Roman" w:cs="Times New Roman"/>
                <w:sz w:val="28"/>
                <w:szCs w:val="28"/>
                <w:lang w:eastAsia="lv-LV"/>
              </w:rPr>
              <w:lastRenderedPageBreak/>
              <w:t>Nav.</w:t>
            </w:r>
          </w:p>
        </w:tc>
      </w:tr>
      <w:tr w:rsidR="00D40CFC" w:rsidRPr="000C5EE3" w:rsidTr="00FE4F5C">
        <w:trPr>
          <w:trHeight w:val="930"/>
        </w:trPr>
        <w:tc>
          <w:tcPr>
            <w:tcW w:w="567" w:type="dxa"/>
          </w:tcPr>
          <w:p w:rsidR="00D40CFC" w:rsidRPr="000C5EE3" w:rsidRDefault="00D40CFC" w:rsidP="00FE4F5C">
            <w:pPr>
              <w:spacing w:after="0" w:line="240" w:lineRule="auto"/>
              <w:jc w:val="center"/>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lastRenderedPageBreak/>
              <w:t>3.</w:t>
            </w:r>
          </w:p>
        </w:tc>
        <w:tc>
          <w:tcPr>
            <w:tcW w:w="3544" w:type="dxa"/>
            <w:hideMark/>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Projekta izpildes ietekme uz pārvaldes institucionālo struktūru. Jaunu institūciju izveide</w:t>
            </w:r>
          </w:p>
        </w:tc>
        <w:tc>
          <w:tcPr>
            <w:tcW w:w="4961" w:type="dxa"/>
            <w:hideMark/>
          </w:tcPr>
          <w:p w:rsidR="00D40CFC" w:rsidRPr="000C5EE3" w:rsidRDefault="00830152" w:rsidP="00D40CFC">
            <w:pPr>
              <w:spacing w:after="0" w:line="240" w:lineRule="auto"/>
              <w:ind w:firstLine="485"/>
              <w:jc w:val="both"/>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Noteikumu projekta izpildei nav nepieciešams radīt jaunas institūcijas.</w:t>
            </w:r>
          </w:p>
        </w:tc>
      </w:tr>
      <w:tr w:rsidR="00D40CFC" w:rsidRPr="000C5EE3" w:rsidTr="00FE4F5C">
        <w:trPr>
          <w:trHeight w:val="927"/>
        </w:trPr>
        <w:tc>
          <w:tcPr>
            <w:tcW w:w="567" w:type="dxa"/>
          </w:tcPr>
          <w:p w:rsidR="00D40CFC" w:rsidRPr="000C5EE3" w:rsidRDefault="00D40CFC" w:rsidP="00FE4F5C">
            <w:pPr>
              <w:spacing w:after="0" w:line="240" w:lineRule="auto"/>
              <w:jc w:val="center"/>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4.</w:t>
            </w:r>
          </w:p>
        </w:tc>
        <w:tc>
          <w:tcPr>
            <w:tcW w:w="3544" w:type="dxa"/>
            <w:hideMark/>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Projekta izpildes ietekmes uz pārvaldes institucionālo struktūru. Esošu institūciju likvidācija</w:t>
            </w:r>
          </w:p>
        </w:tc>
        <w:tc>
          <w:tcPr>
            <w:tcW w:w="4961" w:type="dxa"/>
            <w:hideMark/>
          </w:tcPr>
          <w:p w:rsidR="00D40CFC" w:rsidRPr="000C5EE3" w:rsidRDefault="00D40CFC" w:rsidP="00D40CFC">
            <w:pPr>
              <w:spacing w:after="0" w:line="240" w:lineRule="auto"/>
              <w:ind w:firstLine="284"/>
              <w:jc w:val="both"/>
              <w:rPr>
                <w:rFonts w:ascii="Times New Roman" w:eastAsia="Times New Roman" w:hAnsi="Times New Roman" w:cs="Times New Roman"/>
                <w:sz w:val="28"/>
                <w:szCs w:val="28"/>
                <w:lang w:eastAsia="lv-LV"/>
              </w:rPr>
            </w:pPr>
            <w:r w:rsidRPr="000C5EE3">
              <w:rPr>
                <w:rFonts w:ascii="Times New Roman" w:eastAsia="Times New Roman" w:hAnsi="Times New Roman" w:cs="Times New Roman"/>
                <w:iCs/>
                <w:sz w:val="28"/>
                <w:szCs w:val="28"/>
                <w:lang w:eastAsia="lv-LV"/>
              </w:rPr>
              <w:t>Projekts šo jomu neskar. </w:t>
            </w:r>
          </w:p>
        </w:tc>
      </w:tr>
      <w:tr w:rsidR="00D40CFC" w:rsidRPr="000C5EE3" w:rsidTr="00FE4F5C">
        <w:trPr>
          <w:trHeight w:val="912"/>
        </w:trPr>
        <w:tc>
          <w:tcPr>
            <w:tcW w:w="567" w:type="dxa"/>
          </w:tcPr>
          <w:p w:rsidR="00D40CFC" w:rsidRPr="000C5EE3" w:rsidRDefault="00D40CFC" w:rsidP="00FE4F5C">
            <w:pPr>
              <w:spacing w:after="0" w:line="240" w:lineRule="auto"/>
              <w:jc w:val="center"/>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5.</w:t>
            </w:r>
          </w:p>
        </w:tc>
        <w:tc>
          <w:tcPr>
            <w:tcW w:w="3544" w:type="dxa"/>
            <w:hideMark/>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Projekta izpildes ietekmes uz pārvaldes institucionālo struktūru. Esošu institūciju reorganizācija</w:t>
            </w:r>
          </w:p>
        </w:tc>
        <w:tc>
          <w:tcPr>
            <w:tcW w:w="4961" w:type="dxa"/>
            <w:hideMark/>
          </w:tcPr>
          <w:p w:rsidR="00D40CFC" w:rsidRPr="000C5EE3" w:rsidRDefault="00D40CFC" w:rsidP="00D40CFC">
            <w:pPr>
              <w:spacing w:after="0" w:line="240" w:lineRule="auto"/>
              <w:ind w:firstLine="284"/>
              <w:jc w:val="both"/>
              <w:rPr>
                <w:rFonts w:ascii="Times New Roman" w:eastAsia="Times New Roman" w:hAnsi="Times New Roman" w:cs="Times New Roman"/>
                <w:sz w:val="28"/>
                <w:szCs w:val="28"/>
                <w:lang w:eastAsia="lv-LV"/>
              </w:rPr>
            </w:pPr>
            <w:r w:rsidRPr="000C5EE3">
              <w:rPr>
                <w:rFonts w:ascii="Times New Roman" w:eastAsia="Times New Roman" w:hAnsi="Times New Roman" w:cs="Times New Roman"/>
                <w:iCs/>
                <w:sz w:val="28"/>
                <w:szCs w:val="28"/>
                <w:lang w:eastAsia="lv-LV"/>
              </w:rPr>
              <w:t>Projekts šo jomu neskar. </w:t>
            </w:r>
          </w:p>
        </w:tc>
      </w:tr>
      <w:tr w:rsidR="00D40CFC" w:rsidRPr="000C5EE3" w:rsidTr="00FE4F5C">
        <w:tc>
          <w:tcPr>
            <w:tcW w:w="567" w:type="dxa"/>
          </w:tcPr>
          <w:p w:rsidR="00D40CFC" w:rsidRPr="000C5EE3" w:rsidRDefault="00D40CFC" w:rsidP="00FE4F5C">
            <w:pPr>
              <w:spacing w:after="0" w:line="240" w:lineRule="auto"/>
              <w:jc w:val="center"/>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6.</w:t>
            </w:r>
          </w:p>
        </w:tc>
        <w:tc>
          <w:tcPr>
            <w:tcW w:w="3544" w:type="dxa"/>
            <w:hideMark/>
          </w:tcPr>
          <w:p w:rsidR="00D40CFC" w:rsidRPr="000C5EE3" w:rsidRDefault="00D40CFC" w:rsidP="00D40CFC">
            <w:pPr>
              <w:spacing w:after="0" w:line="240" w:lineRule="auto"/>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Cita informācija</w:t>
            </w:r>
          </w:p>
        </w:tc>
        <w:tc>
          <w:tcPr>
            <w:tcW w:w="4961" w:type="dxa"/>
            <w:hideMark/>
          </w:tcPr>
          <w:p w:rsidR="00D40CFC" w:rsidRPr="000C5EE3" w:rsidRDefault="00D40CFC" w:rsidP="00D40CFC">
            <w:pPr>
              <w:spacing w:after="0" w:line="240" w:lineRule="auto"/>
              <w:ind w:firstLine="284"/>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Nav.</w:t>
            </w:r>
          </w:p>
        </w:tc>
      </w:tr>
    </w:tbl>
    <w:p w:rsidR="00D02B59" w:rsidRPr="000C5EE3" w:rsidRDefault="00D02B59" w:rsidP="009D0A29">
      <w:pPr>
        <w:tabs>
          <w:tab w:val="left" w:pos="720"/>
        </w:tabs>
        <w:autoSpaceDE w:val="0"/>
        <w:autoSpaceDN w:val="0"/>
        <w:adjustRightInd w:val="0"/>
        <w:spacing w:after="0" w:line="240" w:lineRule="auto"/>
        <w:rPr>
          <w:rFonts w:ascii="Times New Roman" w:eastAsia="Times New Roman" w:hAnsi="Times New Roman" w:cs="Times New Roman"/>
          <w:sz w:val="28"/>
          <w:szCs w:val="28"/>
          <w:lang w:eastAsia="lv-LV"/>
        </w:rPr>
      </w:pPr>
    </w:p>
    <w:p w:rsidR="00D02B59" w:rsidRPr="000C5EE3" w:rsidRDefault="00D02B59" w:rsidP="009D0A29">
      <w:pPr>
        <w:tabs>
          <w:tab w:val="left" w:pos="720"/>
        </w:tabs>
        <w:autoSpaceDE w:val="0"/>
        <w:autoSpaceDN w:val="0"/>
        <w:adjustRightInd w:val="0"/>
        <w:spacing w:after="0" w:line="240" w:lineRule="auto"/>
        <w:rPr>
          <w:rFonts w:ascii="Times New Roman" w:eastAsia="Times New Roman" w:hAnsi="Times New Roman" w:cs="Times New Roman"/>
          <w:sz w:val="28"/>
          <w:szCs w:val="28"/>
          <w:lang w:eastAsia="lv-LV"/>
        </w:rPr>
      </w:pPr>
    </w:p>
    <w:p w:rsidR="00FE4F5C" w:rsidRPr="000C5EE3" w:rsidRDefault="00FE4F5C" w:rsidP="00A910E1">
      <w:pPr>
        <w:tabs>
          <w:tab w:val="right" w:pos="9071"/>
        </w:tabs>
        <w:spacing w:after="0" w:line="240" w:lineRule="auto"/>
        <w:jc w:val="both"/>
        <w:rPr>
          <w:rFonts w:ascii="Times New Roman" w:eastAsia="Times New Roman" w:hAnsi="Times New Roman" w:cs="Times New Roman"/>
          <w:sz w:val="28"/>
          <w:szCs w:val="28"/>
          <w:lang w:eastAsia="lv-LV"/>
        </w:rPr>
      </w:pPr>
    </w:p>
    <w:p w:rsidR="00FE4F5C" w:rsidRPr="000C5EE3" w:rsidRDefault="00FE4F5C" w:rsidP="00A910E1">
      <w:pPr>
        <w:tabs>
          <w:tab w:val="right" w:pos="9071"/>
        </w:tabs>
        <w:spacing w:after="0" w:line="240" w:lineRule="auto"/>
        <w:jc w:val="both"/>
        <w:rPr>
          <w:rFonts w:ascii="Times New Roman" w:eastAsia="Times New Roman" w:hAnsi="Times New Roman" w:cs="Times New Roman"/>
          <w:sz w:val="28"/>
          <w:szCs w:val="28"/>
          <w:lang w:eastAsia="lv-LV"/>
        </w:rPr>
      </w:pPr>
    </w:p>
    <w:p w:rsidR="002C62C4" w:rsidRPr="000C5EE3" w:rsidRDefault="00C41464" w:rsidP="00A910E1">
      <w:pPr>
        <w:tabs>
          <w:tab w:val="right" w:pos="9071"/>
        </w:tabs>
        <w:spacing w:after="0" w:line="240" w:lineRule="auto"/>
        <w:jc w:val="both"/>
        <w:rPr>
          <w:rFonts w:ascii="Times New Roman" w:eastAsia="Times New Roman" w:hAnsi="Times New Roman" w:cs="Times New Roman"/>
          <w:sz w:val="28"/>
          <w:szCs w:val="28"/>
          <w:lang w:eastAsia="lv-LV"/>
        </w:rPr>
      </w:pPr>
      <w:r w:rsidRPr="000C5EE3">
        <w:rPr>
          <w:rFonts w:ascii="Times New Roman" w:eastAsia="Times New Roman" w:hAnsi="Times New Roman" w:cs="Times New Roman"/>
          <w:sz w:val="28"/>
          <w:szCs w:val="28"/>
          <w:lang w:eastAsia="lv-LV"/>
        </w:rPr>
        <w:t>Ekonomikas ministrs</w:t>
      </w:r>
      <w:r w:rsidR="00830152" w:rsidRPr="000C5EE3">
        <w:rPr>
          <w:rFonts w:ascii="Times New Roman" w:eastAsia="Times New Roman" w:hAnsi="Times New Roman" w:cs="Times New Roman"/>
          <w:sz w:val="28"/>
          <w:szCs w:val="28"/>
          <w:lang w:eastAsia="lv-LV"/>
        </w:rPr>
        <w:tab/>
      </w:r>
      <w:proofErr w:type="spellStart"/>
      <w:r w:rsidRPr="000C5EE3">
        <w:rPr>
          <w:rFonts w:ascii="Times New Roman" w:eastAsia="Times New Roman" w:hAnsi="Times New Roman" w:cs="Times New Roman"/>
          <w:sz w:val="28"/>
          <w:szCs w:val="28"/>
          <w:lang w:eastAsia="lv-LV"/>
        </w:rPr>
        <w:t>D</w:t>
      </w:r>
      <w:r w:rsidR="00EB6417" w:rsidRPr="000C5EE3">
        <w:rPr>
          <w:rFonts w:ascii="Times New Roman" w:eastAsia="Times New Roman" w:hAnsi="Times New Roman" w:cs="Times New Roman"/>
          <w:sz w:val="28"/>
          <w:szCs w:val="28"/>
          <w:lang w:eastAsia="lv-LV"/>
        </w:rPr>
        <w:t>.</w:t>
      </w:r>
      <w:r w:rsidRPr="000C5EE3">
        <w:rPr>
          <w:rFonts w:ascii="Times New Roman" w:eastAsia="Times New Roman" w:hAnsi="Times New Roman" w:cs="Times New Roman"/>
          <w:sz w:val="28"/>
          <w:szCs w:val="28"/>
          <w:lang w:eastAsia="lv-LV"/>
        </w:rPr>
        <w:t>Pavļuts</w:t>
      </w:r>
      <w:proofErr w:type="spellEnd"/>
    </w:p>
    <w:p w:rsidR="00D02B59" w:rsidRPr="000C5EE3" w:rsidRDefault="00D02B59" w:rsidP="009D0A29">
      <w:pPr>
        <w:keepLines/>
        <w:widowControl w:val="0"/>
        <w:tabs>
          <w:tab w:val="left" w:pos="8222"/>
        </w:tabs>
        <w:spacing w:after="0" w:line="240" w:lineRule="auto"/>
        <w:rPr>
          <w:rFonts w:ascii="Times New Roman" w:eastAsia="Times New Roman" w:hAnsi="Times New Roman" w:cs="Times New Roman"/>
          <w:sz w:val="28"/>
          <w:szCs w:val="28"/>
          <w:lang w:eastAsia="lv-LV"/>
        </w:rPr>
      </w:pPr>
    </w:p>
    <w:p w:rsidR="00FE4F5C" w:rsidRPr="000C5EE3" w:rsidRDefault="00FE4F5C" w:rsidP="009D0A29">
      <w:pPr>
        <w:keepLines/>
        <w:widowControl w:val="0"/>
        <w:tabs>
          <w:tab w:val="left" w:pos="8222"/>
        </w:tabs>
        <w:spacing w:after="0" w:line="240" w:lineRule="auto"/>
        <w:rPr>
          <w:rFonts w:ascii="Times New Roman" w:eastAsia="Times New Roman" w:hAnsi="Times New Roman" w:cs="Times New Roman"/>
          <w:sz w:val="28"/>
          <w:szCs w:val="28"/>
          <w:lang w:eastAsia="lv-LV"/>
        </w:rPr>
      </w:pPr>
    </w:p>
    <w:p w:rsidR="00FE4F5C" w:rsidRPr="000C5EE3" w:rsidRDefault="00FE4F5C" w:rsidP="009D0A29">
      <w:pPr>
        <w:keepLines/>
        <w:widowControl w:val="0"/>
        <w:tabs>
          <w:tab w:val="left" w:pos="8222"/>
        </w:tabs>
        <w:spacing w:after="0" w:line="240" w:lineRule="auto"/>
        <w:rPr>
          <w:rFonts w:ascii="Times New Roman" w:eastAsia="Times New Roman" w:hAnsi="Times New Roman" w:cs="Times New Roman"/>
          <w:sz w:val="28"/>
          <w:szCs w:val="28"/>
          <w:lang w:eastAsia="lv-LV"/>
        </w:rPr>
      </w:pPr>
    </w:p>
    <w:p w:rsidR="0034089F" w:rsidRPr="000C5EE3" w:rsidRDefault="00EB6417" w:rsidP="009D0A29">
      <w:pPr>
        <w:keepLines/>
        <w:widowControl w:val="0"/>
        <w:tabs>
          <w:tab w:val="left" w:pos="8222"/>
        </w:tabs>
        <w:spacing w:after="0" w:line="240" w:lineRule="auto"/>
        <w:rPr>
          <w:rFonts w:ascii="Times New Roman" w:eastAsia="Times New Roman" w:hAnsi="Times New Roman" w:cs="Times New Roman"/>
          <w:sz w:val="26"/>
          <w:szCs w:val="26"/>
          <w:lang w:eastAsia="lv-LV"/>
        </w:rPr>
      </w:pPr>
      <w:r w:rsidRPr="000C5EE3">
        <w:rPr>
          <w:rFonts w:ascii="Times New Roman" w:eastAsia="Times New Roman" w:hAnsi="Times New Roman" w:cs="Times New Roman"/>
          <w:sz w:val="28"/>
          <w:szCs w:val="28"/>
          <w:lang w:eastAsia="lv-LV"/>
        </w:rPr>
        <w:t>Vīza: Valsts sekretārs</w:t>
      </w:r>
      <w:r w:rsidRPr="000C5EE3">
        <w:rPr>
          <w:rFonts w:ascii="Times New Roman" w:eastAsia="Times New Roman" w:hAnsi="Times New Roman" w:cs="Times New Roman"/>
          <w:sz w:val="28"/>
          <w:szCs w:val="28"/>
          <w:lang w:eastAsia="lv-LV"/>
        </w:rPr>
        <w:tab/>
        <w:t>J.Pūce</w:t>
      </w:r>
    </w:p>
    <w:p w:rsidR="002C62C4" w:rsidRPr="000C5EE3" w:rsidRDefault="002C62C4" w:rsidP="009D0A29">
      <w:pPr>
        <w:keepLines/>
        <w:widowControl w:val="0"/>
        <w:tabs>
          <w:tab w:val="left" w:pos="8222"/>
        </w:tabs>
        <w:spacing w:after="0" w:line="240" w:lineRule="auto"/>
        <w:rPr>
          <w:rFonts w:ascii="Times New Roman" w:eastAsia="Times New Roman" w:hAnsi="Times New Roman" w:cs="Times New Roman"/>
          <w:sz w:val="26"/>
          <w:szCs w:val="26"/>
          <w:lang w:eastAsia="lv-LV"/>
        </w:rPr>
      </w:pPr>
    </w:p>
    <w:p w:rsidR="00FE4F5C" w:rsidRPr="000C5EE3" w:rsidRDefault="00FE4F5C" w:rsidP="00AE550C">
      <w:pPr>
        <w:widowControl w:val="0"/>
        <w:spacing w:after="0" w:line="240" w:lineRule="auto"/>
        <w:jc w:val="both"/>
        <w:rPr>
          <w:rFonts w:ascii="Times New Roman" w:eastAsia="Times New Roman" w:hAnsi="Times New Roman" w:cs="Times New Roman"/>
        </w:rPr>
      </w:pPr>
    </w:p>
    <w:p w:rsidR="00FE4F5C" w:rsidRPr="000C5EE3" w:rsidRDefault="00FE4F5C" w:rsidP="00AE550C">
      <w:pPr>
        <w:widowControl w:val="0"/>
        <w:spacing w:after="0" w:line="240" w:lineRule="auto"/>
        <w:jc w:val="both"/>
        <w:rPr>
          <w:rFonts w:ascii="Times New Roman" w:eastAsia="Times New Roman" w:hAnsi="Times New Roman" w:cs="Times New Roman"/>
        </w:rPr>
      </w:pPr>
    </w:p>
    <w:p w:rsidR="00FE4F5C" w:rsidRPr="000C5EE3" w:rsidRDefault="00FE4F5C" w:rsidP="00AE550C">
      <w:pPr>
        <w:widowControl w:val="0"/>
        <w:spacing w:after="0" w:line="240" w:lineRule="auto"/>
        <w:jc w:val="both"/>
        <w:rPr>
          <w:rFonts w:ascii="Times New Roman" w:eastAsia="Times New Roman" w:hAnsi="Times New Roman" w:cs="Times New Roman"/>
        </w:rPr>
      </w:pPr>
    </w:p>
    <w:p w:rsidR="00FE4F5C" w:rsidRPr="000C5EE3" w:rsidRDefault="00FE4F5C" w:rsidP="00AE550C">
      <w:pPr>
        <w:widowControl w:val="0"/>
        <w:spacing w:after="0" w:line="240" w:lineRule="auto"/>
        <w:jc w:val="both"/>
        <w:rPr>
          <w:rFonts w:ascii="Times New Roman" w:eastAsia="Times New Roman" w:hAnsi="Times New Roman" w:cs="Times New Roman"/>
        </w:rPr>
      </w:pPr>
    </w:p>
    <w:p w:rsidR="00FE4F5C" w:rsidRPr="000C5EE3" w:rsidRDefault="00FE4F5C" w:rsidP="00AE550C">
      <w:pPr>
        <w:widowControl w:val="0"/>
        <w:spacing w:after="0" w:line="240" w:lineRule="auto"/>
        <w:jc w:val="both"/>
        <w:rPr>
          <w:rFonts w:ascii="Times New Roman" w:eastAsia="Times New Roman" w:hAnsi="Times New Roman" w:cs="Times New Roman"/>
        </w:rPr>
      </w:pPr>
    </w:p>
    <w:p w:rsidR="00D91107" w:rsidRDefault="00D91107" w:rsidP="00AE550C">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2012.08.27. 11:36</w:t>
      </w:r>
    </w:p>
    <w:bookmarkStart w:id="10" w:name="_GoBack"/>
    <w:bookmarkEnd w:id="10"/>
    <w:p w:rsidR="00AE550C" w:rsidRPr="000C5EE3" w:rsidRDefault="000C5EE3" w:rsidP="00AE550C">
      <w:pPr>
        <w:widowControl w:val="0"/>
        <w:spacing w:after="0" w:line="240" w:lineRule="auto"/>
        <w:jc w:val="both"/>
        <w:rPr>
          <w:rFonts w:ascii="Times New Roman" w:eastAsia="Times New Roman" w:hAnsi="Times New Roman" w:cs="Times New Roman"/>
        </w:rPr>
      </w:pPr>
      <w:r w:rsidRPr="000C5EE3">
        <w:fldChar w:fldCharType="begin"/>
      </w:r>
      <w:r w:rsidRPr="000C5EE3">
        <w:instrText xml:space="preserve"> NUMWORDS   \* MERGEFORMAT </w:instrText>
      </w:r>
      <w:r w:rsidRPr="000C5EE3">
        <w:fldChar w:fldCharType="separate"/>
      </w:r>
      <w:r w:rsidR="00D91107" w:rsidRPr="00D91107">
        <w:rPr>
          <w:rFonts w:ascii="Times New Roman" w:eastAsia="Times New Roman" w:hAnsi="Times New Roman" w:cs="Times New Roman"/>
          <w:noProof/>
        </w:rPr>
        <w:t>865</w:t>
      </w:r>
      <w:r w:rsidRPr="000C5EE3">
        <w:rPr>
          <w:rFonts w:ascii="Times New Roman" w:eastAsia="Times New Roman" w:hAnsi="Times New Roman" w:cs="Times New Roman"/>
          <w:noProof/>
        </w:rPr>
        <w:fldChar w:fldCharType="end"/>
      </w:r>
    </w:p>
    <w:p w:rsidR="00AE550C" w:rsidRPr="000C5EE3" w:rsidRDefault="006503B6" w:rsidP="00AE550C">
      <w:pPr>
        <w:widowControl w:val="0"/>
        <w:spacing w:after="0" w:line="240" w:lineRule="auto"/>
        <w:jc w:val="both"/>
        <w:rPr>
          <w:rFonts w:ascii="Times New Roman" w:eastAsia="Times New Roman" w:hAnsi="Times New Roman" w:cs="Times New Roman"/>
        </w:rPr>
      </w:pPr>
      <w:r w:rsidRPr="000C5EE3">
        <w:rPr>
          <w:rFonts w:ascii="Times New Roman" w:eastAsia="Times New Roman" w:hAnsi="Times New Roman" w:cs="Times New Roman"/>
        </w:rPr>
        <w:t>Gatis Silovs</w:t>
      </w:r>
    </w:p>
    <w:p w:rsidR="00D40CFC" w:rsidRPr="00F73EDB" w:rsidRDefault="00AE550C" w:rsidP="00F73EDB">
      <w:pPr>
        <w:widowControl w:val="0"/>
        <w:spacing w:after="0" w:line="240" w:lineRule="auto"/>
        <w:jc w:val="both"/>
        <w:rPr>
          <w:rFonts w:ascii="Times New Roman" w:eastAsia="Times New Roman" w:hAnsi="Times New Roman" w:cs="Times New Roman"/>
        </w:rPr>
      </w:pPr>
      <w:r w:rsidRPr="000C5EE3">
        <w:rPr>
          <w:rFonts w:ascii="Times New Roman" w:eastAsia="Times New Roman" w:hAnsi="Times New Roman" w:cs="Times New Roman"/>
        </w:rPr>
        <w:t>67013</w:t>
      </w:r>
      <w:r w:rsidR="006503B6" w:rsidRPr="000C5EE3">
        <w:rPr>
          <w:rFonts w:ascii="Times New Roman" w:eastAsia="Times New Roman" w:hAnsi="Times New Roman" w:cs="Times New Roman"/>
        </w:rPr>
        <w:t>209</w:t>
      </w:r>
      <w:r w:rsidRPr="000C5EE3">
        <w:rPr>
          <w:rFonts w:ascii="Times New Roman" w:eastAsia="Times New Roman" w:hAnsi="Times New Roman" w:cs="Times New Roman"/>
        </w:rPr>
        <w:t xml:space="preserve">, </w:t>
      </w:r>
      <w:r w:rsidR="006503B6" w:rsidRPr="000C5EE3">
        <w:rPr>
          <w:rFonts w:ascii="Times New Roman" w:eastAsia="Times New Roman" w:hAnsi="Times New Roman" w:cs="Times New Roman"/>
        </w:rPr>
        <w:t>Gatis</w:t>
      </w:r>
      <w:r w:rsidRPr="000C5EE3">
        <w:rPr>
          <w:rFonts w:ascii="Times New Roman" w:eastAsia="Times New Roman" w:hAnsi="Times New Roman" w:cs="Times New Roman"/>
        </w:rPr>
        <w:t>.</w:t>
      </w:r>
      <w:r w:rsidR="006503B6" w:rsidRPr="000C5EE3">
        <w:rPr>
          <w:rFonts w:ascii="Times New Roman" w:eastAsia="Times New Roman" w:hAnsi="Times New Roman" w:cs="Times New Roman"/>
        </w:rPr>
        <w:t>Silovs</w:t>
      </w:r>
      <w:r w:rsidRPr="000C5EE3">
        <w:rPr>
          <w:rFonts w:ascii="Times New Roman" w:eastAsia="Times New Roman" w:hAnsi="Times New Roman" w:cs="Times New Roman"/>
        </w:rPr>
        <w:t>@em.gov.lv</w:t>
      </w:r>
    </w:p>
    <w:sectPr w:rsidR="00D40CFC" w:rsidRPr="00F73EDB" w:rsidSect="00D40CFC">
      <w:footerReference w:type="default" r:id="rId9"/>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09" w:rsidRDefault="00077709" w:rsidP="002A617A">
      <w:pPr>
        <w:spacing w:after="0" w:line="240" w:lineRule="auto"/>
      </w:pPr>
      <w:r>
        <w:separator/>
      </w:r>
    </w:p>
  </w:endnote>
  <w:endnote w:type="continuationSeparator" w:id="0">
    <w:p w:rsidR="00077709" w:rsidRDefault="00077709" w:rsidP="002A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F3" w:rsidRDefault="000C5EE3" w:rsidP="002A617A">
    <w:pPr>
      <w:spacing w:after="0" w:line="240" w:lineRule="auto"/>
      <w:jc w:val="both"/>
      <w:outlineLvl w:val="0"/>
    </w:pPr>
    <w:fldSimple w:instr=" FILENAME   \* MERGEFORMAT ">
      <w:r w:rsidR="00785FDE" w:rsidRPr="00785FDE">
        <w:rPr>
          <w:rFonts w:ascii="Times New Roman" w:eastAsia="Calibri" w:hAnsi="Times New Roman" w:cs="Times New Roman"/>
          <w:noProof/>
          <w:sz w:val="20"/>
          <w:szCs w:val="20"/>
          <w:lang w:val="en-AU"/>
        </w:rPr>
        <w:t>EMAnot_270812_groz179</w:t>
      </w:r>
    </w:fldSimple>
    <w:r w:rsidR="00E565F3">
      <w:rPr>
        <w:rFonts w:ascii="Times New Roman" w:eastAsia="Calibri" w:hAnsi="Times New Roman" w:cs="Times New Roman"/>
        <w:sz w:val="20"/>
        <w:szCs w:val="20"/>
        <w:lang w:val="en-AU"/>
      </w:rPr>
      <w:t>;</w:t>
    </w:r>
    <w:r w:rsidR="00E565F3">
      <w:t xml:space="preserve"> </w:t>
    </w:r>
    <w:r w:rsidR="00E565F3" w:rsidRPr="006503B6">
      <w:rPr>
        <w:rFonts w:ascii="Times New Roman" w:eastAsia="Times New Roman" w:hAnsi="Times New Roman" w:cs="Times New Roman"/>
        <w:sz w:val="20"/>
        <w:szCs w:val="20"/>
        <w:lang w:eastAsia="lv-LV"/>
      </w:rPr>
      <w:t>Ministru kabineta noteikumu projekta „Grozījum</w:t>
    </w:r>
    <w:r w:rsidR="00E565F3">
      <w:rPr>
        <w:rFonts w:ascii="Times New Roman" w:eastAsia="Times New Roman" w:hAnsi="Times New Roman" w:cs="Times New Roman"/>
        <w:sz w:val="20"/>
        <w:szCs w:val="20"/>
        <w:lang w:eastAsia="lv-LV"/>
      </w:rPr>
      <w:t>i</w:t>
    </w:r>
    <w:r w:rsidR="00E565F3" w:rsidRPr="006503B6">
      <w:rPr>
        <w:rFonts w:ascii="Times New Roman" w:eastAsia="Times New Roman" w:hAnsi="Times New Roman" w:cs="Times New Roman"/>
        <w:sz w:val="20"/>
        <w:szCs w:val="20"/>
        <w:lang w:eastAsia="lv-LV"/>
      </w:rPr>
      <w:t xml:space="preserve"> Ministru kabineta 2012.gada 13.marta  noteikumos Nr.179 „Noteikumi par darbības programmas „Cilvēkresursi un nodarbinātība” papildinājuma 1.3.1.1.6.apakšaktivitāti „Atbalsts darba vietu radīšanai”””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09" w:rsidRDefault="00077709" w:rsidP="002A617A">
      <w:pPr>
        <w:spacing w:after="0" w:line="240" w:lineRule="auto"/>
      </w:pPr>
      <w:r>
        <w:separator/>
      </w:r>
    </w:p>
  </w:footnote>
  <w:footnote w:type="continuationSeparator" w:id="0">
    <w:p w:rsidR="00077709" w:rsidRDefault="00077709" w:rsidP="002A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766A"/>
    <w:multiLevelType w:val="hybridMultilevel"/>
    <w:tmpl w:val="15804E5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3">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5">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nsid w:val="7BFF30FE"/>
    <w:multiLevelType w:val="multilevel"/>
    <w:tmpl w:val="3626B4FA"/>
    <w:lvl w:ilvl="0">
      <w:start w:val="1"/>
      <w:numFmt w:val="decimal"/>
      <w:lvlText w:val="%1."/>
      <w:lvlJc w:val="left"/>
      <w:pPr>
        <w:ind w:left="4472"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1F5390"/>
    <w:rsid w:val="000068AE"/>
    <w:rsid w:val="00035FAF"/>
    <w:rsid w:val="00070EB1"/>
    <w:rsid w:val="00075B21"/>
    <w:rsid w:val="00077709"/>
    <w:rsid w:val="00083821"/>
    <w:rsid w:val="00084AAA"/>
    <w:rsid w:val="000862E6"/>
    <w:rsid w:val="00097D9B"/>
    <w:rsid w:val="000C5EDA"/>
    <w:rsid w:val="000C5EE3"/>
    <w:rsid w:val="000D2FF8"/>
    <w:rsid w:val="000E43B7"/>
    <w:rsid w:val="00114859"/>
    <w:rsid w:val="00151E1D"/>
    <w:rsid w:val="00190309"/>
    <w:rsid w:val="001952FB"/>
    <w:rsid w:val="001F5196"/>
    <w:rsid w:val="001F5390"/>
    <w:rsid w:val="00210846"/>
    <w:rsid w:val="00252BAC"/>
    <w:rsid w:val="00257D62"/>
    <w:rsid w:val="00281EE5"/>
    <w:rsid w:val="002A617A"/>
    <w:rsid w:val="002C38BE"/>
    <w:rsid w:val="002C62C4"/>
    <w:rsid w:val="00333E7E"/>
    <w:rsid w:val="0034089F"/>
    <w:rsid w:val="00382775"/>
    <w:rsid w:val="004226ED"/>
    <w:rsid w:val="00433174"/>
    <w:rsid w:val="004459F6"/>
    <w:rsid w:val="0045097D"/>
    <w:rsid w:val="004551DF"/>
    <w:rsid w:val="00461C62"/>
    <w:rsid w:val="004746CA"/>
    <w:rsid w:val="004878BF"/>
    <w:rsid w:val="004955C6"/>
    <w:rsid w:val="004C52D9"/>
    <w:rsid w:val="004D2BCD"/>
    <w:rsid w:val="004E4121"/>
    <w:rsid w:val="004F067D"/>
    <w:rsid w:val="004F3C75"/>
    <w:rsid w:val="005101B0"/>
    <w:rsid w:val="005506A2"/>
    <w:rsid w:val="00550AB7"/>
    <w:rsid w:val="005A5F0D"/>
    <w:rsid w:val="005C23D6"/>
    <w:rsid w:val="005C32CC"/>
    <w:rsid w:val="005E6AF0"/>
    <w:rsid w:val="00607320"/>
    <w:rsid w:val="00646AAE"/>
    <w:rsid w:val="006503B6"/>
    <w:rsid w:val="0065318A"/>
    <w:rsid w:val="00660F47"/>
    <w:rsid w:val="00664470"/>
    <w:rsid w:val="00674C4A"/>
    <w:rsid w:val="0069253F"/>
    <w:rsid w:val="006A555B"/>
    <w:rsid w:val="006C7599"/>
    <w:rsid w:val="006D40A3"/>
    <w:rsid w:val="006E24E5"/>
    <w:rsid w:val="007075A1"/>
    <w:rsid w:val="007127DB"/>
    <w:rsid w:val="00722173"/>
    <w:rsid w:val="007554F0"/>
    <w:rsid w:val="00785FDE"/>
    <w:rsid w:val="007B08DD"/>
    <w:rsid w:val="007C01DC"/>
    <w:rsid w:val="007E1900"/>
    <w:rsid w:val="00813DD9"/>
    <w:rsid w:val="00817F69"/>
    <w:rsid w:val="00830152"/>
    <w:rsid w:val="00840469"/>
    <w:rsid w:val="00841BA6"/>
    <w:rsid w:val="00850E4D"/>
    <w:rsid w:val="00853732"/>
    <w:rsid w:val="008565EC"/>
    <w:rsid w:val="00861CFB"/>
    <w:rsid w:val="00881F0A"/>
    <w:rsid w:val="00897742"/>
    <w:rsid w:val="008C34E8"/>
    <w:rsid w:val="008D678E"/>
    <w:rsid w:val="00924414"/>
    <w:rsid w:val="009516F2"/>
    <w:rsid w:val="00964A74"/>
    <w:rsid w:val="009D0A29"/>
    <w:rsid w:val="00A00AC9"/>
    <w:rsid w:val="00A11A29"/>
    <w:rsid w:val="00A3157F"/>
    <w:rsid w:val="00A654F1"/>
    <w:rsid w:val="00A71CCF"/>
    <w:rsid w:val="00A910E1"/>
    <w:rsid w:val="00AE550C"/>
    <w:rsid w:val="00B14A9C"/>
    <w:rsid w:val="00B559EC"/>
    <w:rsid w:val="00B77F84"/>
    <w:rsid w:val="00B95A61"/>
    <w:rsid w:val="00BB4BE5"/>
    <w:rsid w:val="00BF27AA"/>
    <w:rsid w:val="00BF60FC"/>
    <w:rsid w:val="00C076B1"/>
    <w:rsid w:val="00C07BB7"/>
    <w:rsid w:val="00C127AA"/>
    <w:rsid w:val="00C40910"/>
    <w:rsid w:val="00C41464"/>
    <w:rsid w:val="00C447B7"/>
    <w:rsid w:val="00C675E8"/>
    <w:rsid w:val="00CA0CB4"/>
    <w:rsid w:val="00CA0E1D"/>
    <w:rsid w:val="00CD6D5E"/>
    <w:rsid w:val="00CF789E"/>
    <w:rsid w:val="00D02B59"/>
    <w:rsid w:val="00D06CBA"/>
    <w:rsid w:val="00D11272"/>
    <w:rsid w:val="00D12545"/>
    <w:rsid w:val="00D40CFC"/>
    <w:rsid w:val="00D5361F"/>
    <w:rsid w:val="00D61469"/>
    <w:rsid w:val="00D675D2"/>
    <w:rsid w:val="00D7061E"/>
    <w:rsid w:val="00D725B5"/>
    <w:rsid w:val="00D85323"/>
    <w:rsid w:val="00D91107"/>
    <w:rsid w:val="00D928E0"/>
    <w:rsid w:val="00DF3093"/>
    <w:rsid w:val="00E0184B"/>
    <w:rsid w:val="00E4531E"/>
    <w:rsid w:val="00E50FD4"/>
    <w:rsid w:val="00E565F3"/>
    <w:rsid w:val="00E92A51"/>
    <w:rsid w:val="00EA6403"/>
    <w:rsid w:val="00EB6417"/>
    <w:rsid w:val="00F07DF3"/>
    <w:rsid w:val="00F4302B"/>
    <w:rsid w:val="00F73EDB"/>
    <w:rsid w:val="00F80628"/>
    <w:rsid w:val="00F84F92"/>
    <w:rsid w:val="00F9482F"/>
    <w:rsid w:val="00FB371E"/>
    <w:rsid w:val="00FE4F5C"/>
    <w:rsid w:val="00FE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4551DF"/>
    <w:rPr>
      <w:sz w:val="16"/>
      <w:szCs w:val="16"/>
    </w:rPr>
  </w:style>
  <w:style w:type="paragraph" w:styleId="CommentText">
    <w:name w:val="annotation text"/>
    <w:basedOn w:val="Normal"/>
    <w:link w:val="CommentTextChar"/>
    <w:uiPriority w:val="99"/>
    <w:semiHidden/>
    <w:unhideWhenUsed/>
    <w:rsid w:val="004551DF"/>
    <w:pPr>
      <w:spacing w:line="240" w:lineRule="auto"/>
    </w:pPr>
    <w:rPr>
      <w:sz w:val="20"/>
      <w:szCs w:val="20"/>
    </w:rPr>
  </w:style>
  <w:style w:type="character" w:customStyle="1" w:styleId="CommentTextChar">
    <w:name w:val="Comment Text Char"/>
    <w:basedOn w:val="DefaultParagraphFont"/>
    <w:link w:val="CommentText"/>
    <w:uiPriority w:val="99"/>
    <w:semiHidden/>
    <w:rsid w:val="004551DF"/>
    <w:rPr>
      <w:sz w:val="20"/>
      <w:szCs w:val="20"/>
    </w:rPr>
  </w:style>
  <w:style w:type="character" w:styleId="Hyperlink">
    <w:name w:val="Hyperlink"/>
    <w:basedOn w:val="DefaultParagraphFont"/>
    <w:uiPriority w:val="99"/>
    <w:unhideWhenUsed/>
    <w:rsid w:val="004D2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4551DF"/>
    <w:rPr>
      <w:sz w:val="16"/>
      <w:szCs w:val="16"/>
    </w:rPr>
  </w:style>
  <w:style w:type="paragraph" w:styleId="CommentText">
    <w:name w:val="annotation text"/>
    <w:basedOn w:val="Normal"/>
    <w:link w:val="CommentTextChar"/>
    <w:uiPriority w:val="99"/>
    <w:semiHidden/>
    <w:unhideWhenUsed/>
    <w:rsid w:val="004551DF"/>
    <w:pPr>
      <w:spacing w:line="240" w:lineRule="auto"/>
    </w:pPr>
    <w:rPr>
      <w:sz w:val="20"/>
      <w:szCs w:val="20"/>
    </w:rPr>
  </w:style>
  <w:style w:type="character" w:customStyle="1" w:styleId="CommentTextChar">
    <w:name w:val="Comment Text Char"/>
    <w:basedOn w:val="DefaultParagraphFont"/>
    <w:link w:val="CommentText"/>
    <w:uiPriority w:val="99"/>
    <w:semiHidden/>
    <w:rsid w:val="004551DF"/>
    <w:rPr>
      <w:sz w:val="20"/>
      <w:szCs w:val="20"/>
    </w:rPr>
  </w:style>
  <w:style w:type="character" w:styleId="Hyperlink">
    <w:name w:val="Hyperlink"/>
    <w:basedOn w:val="DefaultParagraphFont"/>
    <w:uiPriority w:val="99"/>
    <w:unhideWhenUsed/>
    <w:rsid w:val="004D2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5348">
      <w:bodyDiv w:val="1"/>
      <w:marLeft w:val="0"/>
      <w:marRight w:val="0"/>
      <w:marTop w:val="0"/>
      <w:marBottom w:val="0"/>
      <w:divBdr>
        <w:top w:val="none" w:sz="0" w:space="0" w:color="auto"/>
        <w:left w:val="none" w:sz="0" w:space="0" w:color="auto"/>
        <w:bottom w:val="none" w:sz="0" w:space="0" w:color="auto"/>
        <w:right w:val="none" w:sz="0" w:space="0" w:color="auto"/>
      </w:divBdr>
    </w:div>
    <w:div w:id="4271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A411-3520-41EE-84B4-A1DF20C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5</Pages>
  <Words>874</Words>
  <Characters>6506</Characters>
  <Application>Microsoft Office Word</Application>
  <DocSecurity>0</DocSecurity>
  <Lines>240</Lines>
  <Paragraphs>93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13.marta  noteikumos Nr.179 „Noteikumi par darbības programmas „Cilvēkresursi un nodarbinātība” papildinājuma 1.3.1.1.6.apakšaktivitāti „Atbalsts darba vietu radīšanai””” sākotnēj</vt:lpstr>
    </vt:vector>
  </TitlesOfParts>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13.marta  noteikumos Nr.179 „Noteikumi par darbības programmas „Cilvēkresursi un nodarbinātība” papildinājuma 1.3.1.1.6.apakšaktivitāti „Atbalsts darba vietu radīšanai””” sākotnējās ietekmes novērtējuma ziņojums (anotācija)</dc:title>
  <dc:subject>Sākotnējās ietekmes novērtējuma ziņojums (anotācija) </dc:subject>
  <dc:creator>Gatis Silovs</dc:creator>
  <dc:description>67013209, Gatis.Silovs@em.gov.lv</dc:description>
  <cp:lastModifiedBy>Mārtiņš Zvejnieks</cp:lastModifiedBy>
  <cp:revision>40</cp:revision>
  <cp:lastPrinted>2012-07-23T11:27:00Z</cp:lastPrinted>
  <dcterms:created xsi:type="dcterms:W3CDTF">2012-06-25T08:22:00Z</dcterms:created>
  <dcterms:modified xsi:type="dcterms:W3CDTF">2012-08-27T08:36:00Z</dcterms:modified>
</cp:coreProperties>
</file>