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C1E" w:rsidRPr="002942DE" w:rsidRDefault="009912C5" w:rsidP="002942DE">
      <w:pPr>
        <w:pStyle w:val="naisc"/>
        <w:spacing w:before="0" w:after="0"/>
        <w:outlineLvl w:val="0"/>
        <w:rPr>
          <w:bCs/>
        </w:rPr>
      </w:pPr>
      <w:r w:rsidRPr="002942DE">
        <w:rPr>
          <w:bCs/>
        </w:rPr>
        <w:t>Ministru kabineta noteikumu projekta  </w:t>
      </w:r>
    </w:p>
    <w:p w:rsidR="00A51C1E" w:rsidRPr="002942DE" w:rsidRDefault="009912C5" w:rsidP="002942DE">
      <w:pPr>
        <w:pStyle w:val="Heading1"/>
        <w:jc w:val="center"/>
        <w:rPr>
          <w:b/>
          <w:bCs/>
          <w:sz w:val="24"/>
          <w:szCs w:val="24"/>
          <w:u w:val="none"/>
          <w:lang w:eastAsia="lv-LV"/>
        </w:rPr>
      </w:pPr>
      <w:r w:rsidRPr="002942DE">
        <w:rPr>
          <w:b/>
          <w:bCs/>
          <w:sz w:val="24"/>
          <w:szCs w:val="24"/>
          <w:u w:val="none"/>
          <w:lang w:eastAsia="lv-LV"/>
        </w:rPr>
        <w:t>„</w:t>
      </w:r>
      <w:r w:rsidR="001359E9" w:rsidRPr="002942DE">
        <w:rPr>
          <w:b/>
          <w:sz w:val="24"/>
          <w:szCs w:val="24"/>
          <w:u w:val="none"/>
        </w:rPr>
        <w:t>Par Ministru kabineta 2006.gada 19.decembra noteikumu Nr.1015 „Noteikumi par valsts aģentūras „Latvijas Nacionālais metroloģijas centrs” sniegto publisko maksas pakalpojumu cenrādi” atzīšanu par spēku zaudējušiem</w:t>
      </w:r>
      <w:r w:rsidRPr="002942DE">
        <w:rPr>
          <w:b/>
          <w:bCs/>
          <w:sz w:val="24"/>
          <w:szCs w:val="24"/>
          <w:u w:val="none"/>
          <w:lang w:eastAsia="lv-LV"/>
        </w:rPr>
        <w:t>”</w:t>
      </w:r>
      <w:r w:rsidR="001359E9" w:rsidRPr="002942DE">
        <w:rPr>
          <w:b/>
          <w:bCs/>
          <w:sz w:val="24"/>
          <w:szCs w:val="24"/>
          <w:u w:val="none"/>
          <w:lang w:eastAsia="lv-LV"/>
        </w:rPr>
        <w:t xml:space="preserve"> </w:t>
      </w:r>
    </w:p>
    <w:p w:rsidR="005A7768" w:rsidRPr="002942DE" w:rsidRDefault="009912C5" w:rsidP="002942DE">
      <w:pPr>
        <w:pStyle w:val="Heading1"/>
        <w:jc w:val="center"/>
        <w:rPr>
          <w:sz w:val="24"/>
          <w:szCs w:val="24"/>
          <w:u w:val="none"/>
        </w:rPr>
      </w:pPr>
      <w:r w:rsidRPr="002942DE">
        <w:rPr>
          <w:sz w:val="24"/>
          <w:szCs w:val="24"/>
          <w:u w:val="none"/>
        </w:rPr>
        <w:t>sākotnējās ietekmes novērtējuma ziņojums (anotācija)</w:t>
      </w:r>
    </w:p>
    <w:p w:rsidR="00A51C1E" w:rsidRPr="002942DE" w:rsidRDefault="00A51C1E" w:rsidP="002942DE">
      <w:pPr>
        <w:rPr>
          <w:lang w:eastAsia="en-US"/>
        </w:rPr>
      </w:pPr>
    </w:p>
    <w:tbl>
      <w:tblPr>
        <w:tblW w:w="9215"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426"/>
        <w:gridCol w:w="2126"/>
        <w:gridCol w:w="6663"/>
      </w:tblGrid>
      <w:tr w:rsidR="009912C5" w:rsidRPr="002942DE" w:rsidTr="00A51C1E">
        <w:trPr>
          <w:tblCellSpacing w:w="0" w:type="dxa"/>
        </w:trPr>
        <w:tc>
          <w:tcPr>
            <w:tcW w:w="9215" w:type="dxa"/>
            <w:gridSpan w:val="3"/>
            <w:tcBorders>
              <w:top w:val="outset" w:sz="6" w:space="0" w:color="auto"/>
              <w:bottom w:val="outset" w:sz="6" w:space="0" w:color="auto"/>
            </w:tcBorders>
            <w:vAlign w:val="center"/>
          </w:tcPr>
          <w:p w:rsidR="009912C5" w:rsidRPr="002942DE" w:rsidRDefault="009912C5" w:rsidP="002942DE">
            <w:pPr>
              <w:pStyle w:val="naisc"/>
              <w:spacing w:before="0" w:after="0"/>
            </w:pPr>
            <w:r w:rsidRPr="002942DE">
              <w:t> </w:t>
            </w:r>
            <w:r w:rsidRPr="002942DE">
              <w:rPr>
                <w:b/>
                <w:bCs/>
              </w:rPr>
              <w:t> I. Tiesību akta projekta izstrādes nepieciešamība</w:t>
            </w:r>
          </w:p>
        </w:tc>
      </w:tr>
      <w:tr w:rsidR="009912C5" w:rsidRPr="002942DE" w:rsidTr="00A51C1E">
        <w:trPr>
          <w:trHeight w:val="1159"/>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t> 1.</w:t>
            </w:r>
          </w:p>
        </w:tc>
        <w:tc>
          <w:tcPr>
            <w:tcW w:w="2126" w:type="dxa"/>
            <w:tcBorders>
              <w:top w:val="outset" w:sz="6" w:space="0" w:color="auto"/>
              <w:left w:val="outset" w:sz="6" w:space="0" w:color="auto"/>
              <w:bottom w:val="outset" w:sz="6" w:space="0" w:color="auto"/>
              <w:right w:val="outset" w:sz="6" w:space="0" w:color="auto"/>
            </w:tcBorders>
          </w:tcPr>
          <w:p w:rsidR="009912C5" w:rsidRPr="002942DE" w:rsidRDefault="009912C5" w:rsidP="002942DE">
            <w:pPr>
              <w:pStyle w:val="naislab"/>
              <w:spacing w:before="0" w:after="0"/>
              <w:jc w:val="left"/>
            </w:pPr>
            <w:r w:rsidRPr="002942DE">
              <w:t>Pamatojums</w:t>
            </w:r>
          </w:p>
        </w:tc>
        <w:tc>
          <w:tcPr>
            <w:tcW w:w="6663" w:type="dxa"/>
            <w:tcBorders>
              <w:top w:val="outset" w:sz="6" w:space="0" w:color="auto"/>
              <w:left w:val="outset" w:sz="6" w:space="0" w:color="auto"/>
              <w:bottom w:val="outset" w:sz="6" w:space="0" w:color="auto"/>
            </w:tcBorders>
          </w:tcPr>
          <w:p w:rsidR="009912C5" w:rsidRPr="002942DE" w:rsidRDefault="009912C5" w:rsidP="00D0361E">
            <w:pPr>
              <w:ind w:left="62" w:right="127" w:firstLine="425"/>
              <w:jc w:val="both"/>
            </w:pPr>
            <w:r w:rsidRPr="002942DE">
              <w:t>Ministru kabineta noteikumu projekts „</w:t>
            </w:r>
            <w:r w:rsidR="001359E9" w:rsidRPr="002942DE">
              <w:t>Par Ministru kabineta 2006.gada 19.decembra noteikumu Nr.1015 „Noteikumi par valsts aģentūras „Latvijas Nacionālais metroloģijas centrs” sniegto publisko maksas pakalpojumu cenrādi” atzīšanu par spēku zaudējušiem</w:t>
            </w:r>
            <w:r w:rsidRPr="002942DE">
              <w:t>” (turpmāk – noteikum</w:t>
            </w:r>
            <w:r w:rsidRPr="002942DE">
              <w:rPr>
                <w:bCs/>
              </w:rPr>
              <w:t xml:space="preserve">u projekts) ir izstrādāts saskaņā </w:t>
            </w:r>
            <w:r w:rsidR="005A7768" w:rsidRPr="002942DE">
              <w:rPr>
                <w:bCs/>
              </w:rPr>
              <w:t xml:space="preserve">ar </w:t>
            </w:r>
            <w:r w:rsidR="00BE4250" w:rsidRPr="002942DE">
              <w:rPr>
                <w:bCs/>
              </w:rPr>
              <w:t>L</w:t>
            </w:r>
            <w:r w:rsidR="001359E9" w:rsidRPr="002942DE">
              <w:t>ikuma par budžetu un finanšu vadību 5.panta devīto daļu.</w:t>
            </w:r>
          </w:p>
          <w:p w:rsidR="008179AA" w:rsidRPr="002942DE" w:rsidRDefault="008179AA" w:rsidP="00D0361E">
            <w:pPr>
              <w:ind w:left="127" w:right="127" w:firstLine="474"/>
              <w:jc w:val="both"/>
              <w:rPr>
                <w:lang w:eastAsia="en-US"/>
              </w:rPr>
            </w:pPr>
            <w:r w:rsidRPr="002942DE">
              <w:t xml:space="preserve">Ministru kabineta noteikumu projekts izstrādāts, lai izpildītu </w:t>
            </w:r>
            <w:r w:rsidRPr="002942DE">
              <w:rPr>
                <w:lang w:eastAsia="en-US"/>
              </w:rPr>
              <w:t xml:space="preserve">Koncepcijas par normatīvo </w:t>
            </w:r>
            <w:smartTag w:uri="schemas-tilde-lv/tildestengine" w:element="veidnes">
              <w:smartTagPr>
                <w:attr w:name="text" w:val="aktu"/>
                <w:attr w:name="id" w:val="-1"/>
                <w:attr w:name="baseform" w:val="akt|s"/>
              </w:smartTagPr>
              <w:r w:rsidRPr="002942DE">
                <w:rPr>
                  <w:lang w:eastAsia="en-US"/>
                </w:rPr>
                <w:t>aktu</w:t>
              </w:r>
            </w:smartTag>
            <w:r w:rsidRPr="002942DE">
              <w:rPr>
                <w:lang w:eastAsia="en-US"/>
              </w:rPr>
              <w:t xml:space="preserve"> sakārtošanu saistībā ar eiro ieviešanu Latvijā (Ministru kabineta 2012.gada 27.jūnija </w:t>
            </w:r>
            <w:r w:rsidRPr="002942DE">
              <w:rPr>
                <w:bCs/>
                <w:lang w:eastAsia="en-US"/>
              </w:rPr>
              <w:t xml:space="preserve">rīkojums Nr.282) paredzēto īstenošanas </w:t>
            </w:r>
            <w:r w:rsidRPr="002942DE">
              <w:rPr>
                <w:lang w:eastAsia="en-US"/>
              </w:rPr>
              <w:t>pasākumu pārejai uz eiro valūtu.</w:t>
            </w:r>
          </w:p>
          <w:p w:rsidR="008179AA" w:rsidRDefault="008179AA" w:rsidP="00D0361E">
            <w:pPr>
              <w:pStyle w:val="Heading1"/>
              <w:ind w:left="127" w:right="127" w:firstLine="474"/>
              <w:rPr>
                <w:bCs/>
                <w:sz w:val="24"/>
                <w:szCs w:val="24"/>
                <w:u w:val="none"/>
              </w:rPr>
            </w:pPr>
            <w:r w:rsidRPr="002942DE">
              <w:rPr>
                <w:bCs/>
                <w:sz w:val="24"/>
                <w:szCs w:val="24"/>
                <w:u w:val="none"/>
              </w:rPr>
              <w:t xml:space="preserve">Saskaņā ar Ministru kabineta 2013.gada 22.janvāra </w:t>
            </w:r>
            <w:proofErr w:type="spellStart"/>
            <w:r w:rsidRPr="002942DE">
              <w:rPr>
                <w:bCs/>
                <w:sz w:val="24"/>
                <w:szCs w:val="24"/>
                <w:u w:val="none"/>
              </w:rPr>
              <w:t>protokollēmuma</w:t>
            </w:r>
            <w:proofErr w:type="spellEnd"/>
            <w:r w:rsidRPr="002942DE">
              <w:rPr>
                <w:bCs/>
                <w:sz w:val="24"/>
                <w:szCs w:val="24"/>
                <w:u w:val="none"/>
              </w:rPr>
              <w:t xml:space="preserve"> Nr.5 26.§ (Informatīvais ziņojums „Par laika periodā no 2012.gada 1.augusta līdz 2012.gada 31.decembrim paveiktajiem un nākamajā atskaites periodā plānotajiem uzdevumiem Eiropas vienotās valūtas ieviešanai Latvijā”) 2.punktu tika aktualizēts Koncepcijas 3.pielikums, nosakot Ekonomikas ministrijai uzdevumu izstrādāt Ministru kabineta noteikumu projektu „Par Ministru kabineta 2006.gada 19.decembra noteikumu Nr.1015 „Noteikumi par valsts aģentūras „Latvijas Nacionālais metroloģijas centrs” sniegto publisko maksas pakalpojumu cenrādi” atzīšanu par spēku zaudējušiem””.</w:t>
            </w:r>
          </w:p>
          <w:p w:rsidR="00D0361E" w:rsidRPr="00D0361E" w:rsidRDefault="00D0361E" w:rsidP="00D0361E">
            <w:pPr>
              <w:rPr>
                <w:lang w:eastAsia="en-US"/>
              </w:rPr>
            </w:pPr>
          </w:p>
        </w:tc>
      </w:tr>
      <w:tr w:rsidR="009912C5" w:rsidRPr="002942DE" w:rsidTr="00A51C1E">
        <w:trPr>
          <w:trHeight w:val="472"/>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t> 2.</w:t>
            </w:r>
          </w:p>
        </w:tc>
        <w:tc>
          <w:tcPr>
            <w:tcW w:w="2126" w:type="dxa"/>
            <w:tcBorders>
              <w:top w:val="outset" w:sz="6" w:space="0" w:color="auto"/>
              <w:left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t> Pašreizējā situācija un problēmas</w:t>
            </w:r>
          </w:p>
        </w:tc>
        <w:tc>
          <w:tcPr>
            <w:tcW w:w="6663" w:type="dxa"/>
            <w:tcBorders>
              <w:top w:val="outset" w:sz="6" w:space="0" w:color="auto"/>
              <w:left w:val="outset" w:sz="6" w:space="0" w:color="auto"/>
              <w:bottom w:val="outset" w:sz="6" w:space="0" w:color="auto"/>
            </w:tcBorders>
          </w:tcPr>
          <w:p w:rsidR="00374383" w:rsidRPr="002942DE" w:rsidRDefault="00374383" w:rsidP="00D0361E">
            <w:pPr>
              <w:pStyle w:val="Heading1"/>
              <w:ind w:left="127" w:right="127" w:firstLine="360"/>
              <w:rPr>
                <w:bCs/>
                <w:sz w:val="24"/>
                <w:szCs w:val="24"/>
                <w:u w:val="none"/>
              </w:rPr>
            </w:pPr>
            <w:r w:rsidRPr="002942DE">
              <w:rPr>
                <w:sz w:val="24"/>
                <w:szCs w:val="24"/>
                <w:u w:val="none"/>
              </w:rPr>
              <w:t>Nacionālās metroloģijas institūcijas – Metroloģijas biroja (turpmāk – MB) pakalpojumu cenrādi pašreizējā juridiskā statusā, saskaņā ar MB darbību reglamentējošiem normatīviem aktiem, apstiprina sabiedrības ar ierobežotu atbildību Standartizācijas, akreditācijas un metroloģijas centrs” (turpmāk – SIA SAMC) valde.</w:t>
            </w:r>
          </w:p>
          <w:p w:rsidR="005A7768" w:rsidRPr="002942DE" w:rsidRDefault="005A7768" w:rsidP="00D0361E">
            <w:pPr>
              <w:pStyle w:val="Heading1"/>
              <w:ind w:left="127" w:right="127" w:firstLine="360"/>
              <w:rPr>
                <w:bCs/>
                <w:sz w:val="24"/>
                <w:szCs w:val="24"/>
                <w:u w:val="none"/>
              </w:rPr>
            </w:pPr>
            <w:r w:rsidRPr="002942DE">
              <w:rPr>
                <w:bCs/>
                <w:sz w:val="24"/>
                <w:szCs w:val="24"/>
                <w:u w:val="none"/>
              </w:rPr>
              <w:t xml:space="preserve">Ministru kabineta </w:t>
            </w:r>
            <w:r w:rsidR="001359E9" w:rsidRPr="002942DE">
              <w:rPr>
                <w:sz w:val="24"/>
                <w:szCs w:val="24"/>
                <w:u w:val="none"/>
              </w:rPr>
              <w:t>2006.gada 19.decembra noteikumi Nr.1015 „Noteikumi par valsts aģentūras „Latvijas Nacionālais metroloģijas centrs” sniegto publisko maksas pakalpojumu cenrādi</w:t>
            </w:r>
            <w:r w:rsidR="00374383" w:rsidRPr="002942DE">
              <w:rPr>
                <w:bCs/>
                <w:sz w:val="24"/>
                <w:szCs w:val="24"/>
                <w:u w:val="none"/>
              </w:rPr>
              <w:t>” (turpmāk – noteikumi Nr.1015) noteica</w:t>
            </w:r>
            <w:r w:rsidRPr="002942DE">
              <w:rPr>
                <w:bCs/>
                <w:sz w:val="24"/>
                <w:szCs w:val="24"/>
                <w:u w:val="none"/>
              </w:rPr>
              <w:t xml:space="preserve"> </w:t>
            </w:r>
            <w:r w:rsidR="00374383" w:rsidRPr="002942DE">
              <w:rPr>
                <w:sz w:val="24"/>
                <w:szCs w:val="24"/>
                <w:u w:val="none"/>
              </w:rPr>
              <w:t xml:space="preserve">nacionālās metroloģijas institūcijas kā </w:t>
            </w:r>
            <w:r w:rsidRPr="002942DE">
              <w:rPr>
                <w:bCs/>
                <w:sz w:val="24"/>
                <w:szCs w:val="24"/>
                <w:u w:val="none"/>
              </w:rPr>
              <w:t xml:space="preserve">valsts </w:t>
            </w:r>
            <w:r w:rsidRPr="002942DE">
              <w:rPr>
                <w:sz w:val="24"/>
                <w:szCs w:val="24"/>
                <w:u w:val="none"/>
              </w:rPr>
              <w:t>aģentūras „</w:t>
            </w:r>
            <w:r w:rsidR="001359E9" w:rsidRPr="002942DE">
              <w:rPr>
                <w:sz w:val="24"/>
                <w:szCs w:val="24"/>
                <w:u w:val="none"/>
              </w:rPr>
              <w:t>Latvijas Nacionālais metroloģijas centrs</w:t>
            </w:r>
            <w:r w:rsidRPr="002942DE">
              <w:rPr>
                <w:sz w:val="24"/>
                <w:szCs w:val="24"/>
                <w:u w:val="none"/>
              </w:rPr>
              <w:t>” sniegto p</w:t>
            </w:r>
            <w:r w:rsidRPr="002942DE">
              <w:rPr>
                <w:bCs/>
                <w:sz w:val="24"/>
                <w:szCs w:val="24"/>
                <w:u w:val="none"/>
              </w:rPr>
              <w:t>ublisko maksas pakalpojumu cenrādi.</w:t>
            </w:r>
          </w:p>
          <w:p w:rsidR="00374383" w:rsidRPr="002942DE" w:rsidRDefault="00374383" w:rsidP="00D0361E">
            <w:pPr>
              <w:pStyle w:val="Heading1"/>
              <w:ind w:left="127" w:right="127" w:firstLine="360"/>
              <w:rPr>
                <w:bCs/>
                <w:sz w:val="24"/>
                <w:szCs w:val="24"/>
                <w:u w:val="none"/>
              </w:rPr>
            </w:pPr>
            <w:r w:rsidRPr="002942DE">
              <w:rPr>
                <w:sz w:val="24"/>
                <w:szCs w:val="24"/>
                <w:u w:val="none"/>
              </w:rPr>
              <w:t xml:space="preserve">Noteikumi Nr.1015 </w:t>
            </w:r>
            <w:r w:rsidRPr="002942DE">
              <w:rPr>
                <w:bCs/>
                <w:sz w:val="24"/>
                <w:szCs w:val="24"/>
                <w:u w:val="none"/>
              </w:rPr>
              <w:t>faktiski nav spēkā un līdz ar to ir zaudējuši aktualitāti</w:t>
            </w:r>
            <w:r w:rsidRPr="002942DE">
              <w:rPr>
                <w:sz w:val="24"/>
                <w:szCs w:val="24"/>
                <w:u w:val="none"/>
              </w:rPr>
              <w:t xml:space="preserve"> ar 2009.gada 1.janvāri, kopš  izpildīts 2008.gada 7.oktobra Ministru kabineta rīkojums Nr.591„Par valsts aģentūras „Latvijas Nacionālais akreditācijas birojs” reorganizāciju”, nosakot </w:t>
            </w:r>
            <w:r w:rsidR="0069425B" w:rsidRPr="002942DE">
              <w:rPr>
                <w:sz w:val="24"/>
                <w:szCs w:val="24"/>
                <w:u w:val="none"/>
              </w:rPr>
              <w:t xml:space="preserve">MB </w:t>
            </w:r>
            <w:r w:rsidRPr="002942DE">
              <w:rPr>
                <w:sz w:val="24"/>
                <w:szCs w:val="24"/>
                <w:u w:val="none"/>
              </w:rPr>
              <w:t>funkciju nodošanu Metroloģijas un akreditācijas valsts aģentūrai (turpmāk – MAVA).</w:t>
            </w:r>
          </w:p>
          <w:p w:rsidR="00C658B6" w:rsidRPr="002942DE" w:rsidRDefault="00C658B6" w:rsidP="00D0361E">
            <w:pPr>
              <w:ind w:left="127" w:right="127" w:firstLine="360"/>
              <w:jc w:val="both"/>
            </w:pPr>
            <w:r w:rsidRPr="002942DE">
              <w:t xml:space="preserve">Saskaņā ar 2009.gada 29.maija Ministru kabineta rīkojumu </w:t>
            </w:r>
            <w:r w:rsidRPr="002942DE">
              <w:lastRenderedPageBreak/>
              <w:t xml:space="preserve">Nr.351 „Par Metroloģijas un akreditācijas valsts aģentūras likvidāciju un tās funkciju nodošanu SIA „Latvijas standarts””, ar 2009.gada 1.jūliju MB funkcijas un uzdevumus veic </w:t>
            </w:r>
            <w:r w:rsidR="00D31903" w:rsidRPr="002942DE">
              <w:t>SIA SAMC</w:t>
            </w:r>
            <w:r w:rsidRPr="002942DE">
              <w:t xml:space="preserve"> struktūrvienība</w:t>
            </w:r>
            <w:r w:rsidR="00D31903" w:rsidRPr="002942DE">
              <w:t>,</w:t>
            </w:r>
            <w:r w:rsidRPr="002942DE">
              <w:t xml:space="preserve"> MB. </w:t>
            </w:r>
          </w:p>
          <w:p w:rsidR="00C658B6" w:rsidRPr="002942DE" w:rsidRDefault="00C658B6" w:rsidP="00D0361E">
            <w:pPr>
              <w:pStyle w:val="contentstory"/>
              <w:spacing w:before="0" w:beforeAutospacing="0" w:after="0" w:afterAutospacing="0"/>
              <w:ind w:left="127" w:right="127" w:firstLine="360"/>
              <w:rPr>
                <w:rFonts w:ascii="Times New Roman" w:hAnsi="Times New Roman"/>
                <w:color w:val="auto"/>
                <w:sz w:val="24"/>
                <w:szCs w:val="24"/>
              </w:rPr>
            </w:pPr>
            <w:r w:rsidRPr="002942DE">
              <w:rPr>
                <w:rFonts w:ascii="Times New Roman" w:hAnsi="Times New Roman"/>
                <w:color w:val="auto"/>
                <w:sz w:val="24"/>
                <w:szCs w:val="24"/>
              </w:rPr>
              <w:t xml:space="preserve">Kopš 2009.gada 1.jūlija </w:t>
            </w:r>
            <w:r w:rsidRPr="002942DE">
              <w:rPr>
                <w:rFonts w:ascii="Times New Roman" w:hAnsi="Times New Roman"/>
                <w:bCs/>
                <w:color w:val="auto"/>
                <w:sz w:val="24"/>
                <w:szCs w:val="24"/>
              </w:rPr>
              <w:t xml:space="preserve">Latvijas Nacionālā metroloģijas institūcija – MB </w:t>
            </w:r>
            <w:r w:rsidRPr="002942DE">
              <w:rPr>
                <w:rFonts w:ascii="Times New Roman" w:hAnsi="Times New Roman"/>
                <w:color w:val="auto"/>
                <w:sz w:val="24"/>
                <w:szCs w:val="24"/>
              </w:rPr>
              <w:t>ir valsts SIA SAMC struktūrvienība un ņemot vērā MB juridiskā statusa maiņu, kopš 2009.gada 1.</w:t>
            </w:r>
            <w:r w:rsidR="00D31903" w:rsidRPr="002942DE">
              <w:rPr>
                <w:rFonts w:ascii="Times New Roman" w:hAnsi="Times New Roman"/>
                <w:color w:val="auto"/>
                <w:sz w:val="24"/>
                <w:szCs w:val="24"/>
              </w:rPr>
              <w:t>jūliju</w:t>
            </w:r>
            <w:r w:rsidRPr="002942DE">
              <w:rPr>
                <w:rFonts w:ascii="Times New Roman" w:hAnsi="Times New Roman"/>
                <w:color w:val="auto"/>
                <w:sz w:val="24"/>
                <w:szCs w:val="24"/>
              </w:rPr>
              <w:t xml:space="preserve"> attiecībā uz MB vairs nepiemēro valsts aģentūru darbību reglamentējošās normas.</w:t>
            </w:r>
          </w:p>
          <w:p w:rsidR="00C658B6" w:rsidRPr="002942DE" w:rsidRDefault="00C658B6" w:rsidP="00D0361E">
            <w:pPr>
              <w:ind w:left="127" w:right="127" w:firstLine="360"/>
              <w:jc w:val="both"/>
            </w:pPr>
            <w:r w:rsidRPr="002942DE">
              <w:t>MB darbības principus nosaka likums „Par mērījumu vienotību”, no likuma izrietošie Ministru kabineta noteikumi un starptautiskie metroloģijas jomu reglamentējošie normatīvie akti</w:t>
            </w:r>
            <w:r w:rsidRPr="002942DE">
              <w:rPr>
                <w:lang w:eastAsia="en-US"/>
              </w:rPr>
              <w:t xml:space="preserve">, </w:t>
            </w:r>
            <w:r w:rsidRPr="002942DE">
              <w:t xml:space="preserve">kā arī pakārtoti ir saistoši komercdarbību reglamentējošie likumi un normatīvie akti, kas nosaka arī </w:t>
            </w:r>
            <w:proofErr w:type="spellStart"/>
            <w:r w:rsidRPr="002942DE">
              <w:t>t.sk</w:t>
            </w:r>
            <w:proofErr w:type="spellEnd"/>
            <w:r w:rsidRPr="002942DE">
              <w:t>. valsts SIA komercdarbības principus.</w:t>
            </w:r>
          </w:p>
          <w:p w:rsidR="00C658B6" w:rsidRPr="002942DE" w:rsidRDefault="00C658B6" w:rsidP="00D0361E">
            <w:pPr>
              <w:ind w:left="127" w:right="127" w:firstLine="360"/>
              <w:jc w:val="both"/>
            </w:pPr>
            <w:r w:rsidRPr="002942DE">
              <w:t>MB regulāri izvērtē pakalpojumu cenas metroloģijas jomā, konsultējas ar Latvijas Nacionālo metroloģijas padomi, kurā darbam ir deleģēti nevalstisko institūciju, kā arī ar metroloģijas jomu saistīto ministriju pārstāvji</w:t>
            </w:r>
            <w:r w:rsidR="007947B7" w:rsidRPr="002942DE">
              <w:t>, kam</w:t>
            </w:r>
            <w:r w:rsidRPr="002942DE">
              <w:t xml:space="preserve"> tādā vaidā </w:t>
            </w:r>
            <w:r w:rsidR="007947B7" w:rsidRPr="002942DE">
              <w:t xml:space="preserve">ir iespēja </w:t>
            </w:r>
            <w:r w:rsidRPr="002942DE">
              <w:t xml:space="preserve">ietekmēt </w:t>
            </w:r>
            <w:r w:rsidR="007947B7" w:rsidRPr="002942DE">
              <w:t xml:space="preserve">metroloģijas sistēmas darbību, </w:t>
            </w:r>
            <w:proofErr w:type="spellStart"/>
            <w:r w:rsidR="007947B7" w:rsidRPr="002942DE">
              <w:t>t.sk</w:t>
            </w:r>
            <w:proofErr w:type="spellEnd"/>
            <w:r w:rsidR="007947B7" w:rsidRPr="002942DE">
              <w:t xml:space="preserve">. </w:t>
            </w:r>
            <w:r w:rsidRPr="002942DE">
              <w:t xml:space="preserve">metroloģijas pakalpojumu cenu politiku.    </w:t>
            </w:r>
          </w:p>
          <w:p w:rsidR="0069425B" w:rsidRPr="002942DE" w:rsidRDefault="00C658B6" w:rsidP="00D0361E">
            <w:pPr>
              <w:ind w:left="127" w:right="127" w:firstLine="360"/>
              <w:jc w:val="both"/>
            </w:pPr>
            <w:r w:rsidRPr="002942DE">
              <w:t xml:space="preserve">Ņemot vērā nacionālās </w:t>
            </w:r>
            <w:r w:rsidR="007947B7" w:rsidRPr="002942DE">
              <w:t xml:space="preserve">metroloģijas </w:t>
            </w:r>
            <w:r w:rsidRPr="002942DE">
              <w:t>institūcijas–</w:t>
            </w:r>
            <w:r w:rsidR="007947B7" w:rsidRPr="002942DE">
              <w:t xml:space="preserve">MB </w:t>
            </w:r>
            <w:r w:rsidRPr="002942DE">
              <w:t xml:space="preserve">darbību reglamentējošos normatīvos aktus, pašreizējā juridiskā statusā, </w:t>
            </w:r>
            <w:r w:rsidR="007947B7" w:rsidRPr="002942DE">
              <w:t xml:space="preserve">MB </w:t>
            </w:r>
            <w:r w:rsidRPr="002942DE">
              <w:t>sniegto pakalpojumu</w:t>
            </w:r>
            <w:r w:rsidR="007947B7" w:rsidRPr="002942DE">
              <w:t>,</w:t>
            </w:r>
            <w:r w:rsidRPr="002942DE">
              <w:t xml:space="preserve"> </w:t>
            </w:r>
            <w:r w:rsidR="007947B7" w:rsidRPr="002942DE">
              <w:t xml:space="preserve">metroloģijas jomā </w:t>
            </w:r>
            <w:r w:rsidRPr="002942DE">
              <w:t>cenrādi apstiprina SIA SAMC valde.</w:t>
            </w:r>
          </w:p>
          <w:p w:rsidR="00D0361E" w:rsidRDefault="007947B7" w:rsidP="00D0361E">
            <w:pPr>
              <w:ind w:left="127" w:right="127" w:firstLine="360"/>
              <w:jc w:val="both"/>
            </w:pPr>
            <w:r w:rsidRPr="002942DE">
              <w:t>Ministru kabinetam ietekmēt metroloģijas politikas kopējo attīstību</w:t>
            </w:r>
            <w:r w:rsidR="00D31903" w:rsidRPr="002942DE">
              <w:t xml:space="preserve"> ir iespējams</w:t>
            </w:r>
            <w:r w:rsidRPr="002942DE">
              <w:t xml:space="preserve"> ņemot vērā, ka SIA SAMC 100% kapitāla daļu turētājs ir Ekonomikas ministrija.</w:t>
            </w:r>
          </w:p>
          <w:p w:rsidR="009912C5" w:rsidRPr="002942DE" w:rsidRDefault="007947B7" w:rsidP="00D0361E">
            <w:pPr>
              <w:ind w:left="127" w:right="127" w:firstLine="360"/>
              <w:jc w:val="both"/>
            </w:pPr>
            <w:r w:rsidRPr="002942DE">
              <w:t xml:space="preserve"> </w:t>
            </w:r>
          </w:p>
        </w:tc>
      </w:tr>
      <w:tr w:rsidR="009912C5" w:rsidRPr="002942DE" w:rsidTr="00A51C1E">
        <w:trPr>
          <w:trHeight w:val="1071"/>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lastRenderedPageBreak/>
              <w:t> 3.</w:t>
            </w:r>
          </w:p>
        </w:tc>
        <w:tc>
          <w:tcPr>
            <w:tcW w:w="2126" w:type="dxa"/>
            <w:tcBorders>
              <w:top w:val="outset" w:sz="6" w:space="0" w:color="auto"/>
              <w:left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t> Saistītie politikas ietekmes novērtējumi un pētījumi</w:t>
            </w:r>
          </w:p>
        </w:tc>
        <w:tc>
          <w:tcPr>
            <w:tcW w:w="6663" w:type="dxa"/>
            <w:tcBorders>
              <w:top w:val="outset" w:sz="6" w:space="0" w:color="auto"/>
              <w:left w:val="outset" w:sz="6" w:space="0" w:color="auto"/>
              <w:bottom w:val="outset" w:sz="6" w:space="0" w:color="auto"/>
            </w:tcBorders>
          </w:tcPr>
          <w:p w:rsidR="009912C5" w:rsidRPr="002942DE" w:rsidRDefault="00D0361E" w:rsidP="002942DE">
            <w:pPr>
              <w:pStyle w:val="naisf"/>
              <w:spacing w:before="0" w:after="0"/>
              <w:ind w:firstLine="0"/>
            </w:pPr>
            <w:r>
              <w:t xml:space="preserve"> </w:t>
            </w:r>
            <w:r w:rsidR="009912C5" w:rsidRPr="002942DE">
              <w:t>Nav.</w:t>
            </w:r>
          </w:p>
        </w:tc>
      </w:tr>
      <w:tr w:rsidR="009912C5" w:rsidRPr="002942DE" w:rsidTr="00A51C1E">
        <w:trPr>
          <w:trHeight w:val="384"/>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t> 4.</w:t>
            </w:r>
          </w:p>
        </w:tc>
        <w:tc>
          <w:tcPr>
            <w:tcW w:w="2126" w:type="dxa"/>
            <w:tcBorders>
              <w:top w:val="outset" w:sz="6" w:space="0" w:color="auto"/>
              <w:left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t> Tiesiskā regulējuma mērķis un būtība</w:t>
            </w:r>
          </w:p>
        </w:tc>
        <w:tc>
          <w:tcPr>
            <w:tcW w:w="6663" w:type="dxa"/>
            <w:tcBorders>
              <w:top w:val="outset" w:sz="6" w:space="0" w:color="auto"/>
              <w:left w:val="outset" w:sz="6" w:space="0" w:color="auto"/>
              <w:bottom w:val="outset" w:sz="6" w:space="0" w:color="auto"/>
            </w:tcBorders>
          </w:tcPr>
          <w:p w:rsidR="00D0361E" w:rsidRDefault="00A92F6B" w:rsidP="00D0361E">
            <w:pPr>
              <w:pStyle w:val="naisc"/>
              <w:spacing w:before="0" w:after="0"/>
              <w:ind w:left="60" w:right="127"/>
              <w:jc w:val="both"/>
              <w:outlineLvl w:val="0"/>
              <w:rPr>
                <w:bCs/>
              </w:rPr>
            </w:pPr>
            <w:r w:rsidRPr="002942DE">
              <w:rPr>
                <w:bCs/>
              </w:rPr>
              <w:t>Saskaņot normatīvo aktu prasības, novēršot neatbilstības. Atzīt par spēku zaudējušus noteikumus Nr.1015.</w:t>
            </w:r>
          </w:p>
          <w:p w:rsidR="00336E13" w:rsidRPr="002942DE" w:rsidRDefault="00A92F6B" w:rsidP="00D0361E">
            <w:pPr>
              <w:pStyle w:val="naisc"/>
              <w:spacing w:before="0" w:after="0"/>
              <w:ind w:left="60" w:right="127"/>
              <w:jc w:val="both"/>
              <w:outlineLvl w:val="0"/>
            </w:pPr>
            <w:r w:rsidRPr="002942DE">
              <w:rPr>
                <w:bCs/>
              </w:rPr>
              <w:t xml:space="preserve"> </w:t>
            </w:r>
          </w:p>
        </w:tc>
      </w:tr>
      <w:tr w:rsidR="009912C5" w:rsidRPr="002942DE" w:rsidTr="00A51C1E">
        <w:trPr>
          <w:trHeight w:val="476"/>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t> 5.</w:t>
            </w:r>
          </w:p>
        </w:tc>
        <w:tc>
          <w:tcPr>
            <w:tcW w:w="2126" w:type="dxa"/>
            <w:tcBorders>
              <w:top w:val="outset" w:sz="6" w:space="0" w:color="auto"/>
              <w:left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t> Projekta izstrādē iesaistītās institūcijas</w:t>
            </w:r>
          </w:p>
        </w:tc>
        <w:tc>
          <w:tcPr>
            <w:tcW w:w="6663" w:type="dxa"/>
            <w:tcBorders>
              <w:top w:val="outset" w:sz="6" w:space="0" w:color="auto"/>
              <w:left w:val="outset" w:sz="6" w:space="0" w:color="auto"/>
              <w:bottom w:val="outset" w:sz="6" w:space="0" w:color="auto"/>
            </w:tcBorders>
          </w:tcPr>
          <w:p w:rsidR="009912C5" w:rsidRPr="002942DE" w:rsidRDefault="00374E62" w:rsidP="002942DE">
            <w:pPr>
              <w:pStyle w:val="naiskr"/>
              <w:spacing w:before="0" w:after="0"/>
              <w:ind w:left="60"/>
              <w:jc w:val="both"/>
            </w:pPr>
            <w:r w:rsidRPr="002942DE">
              <w:t>Nav.</w:t>
            </w:r>
          </w:p>
        </w:tc>
      </w:tr>
      <w:tr w:rsidR="009912C5" w:rsidRPr="002942DE" w:rsidTr="00A51C1E">
        <w:trPr>
          <w:trHeight w:val="949"/>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t> 6.</w:t>
            </w:r>
          </w:p>
        </w:tc>
        <w:tc>
          <w:tcPr>
            <w:tcW w:w="2126" w:type="dxa"/>
            <w:tcBorders>
              <w:top w:val="outset" w:sz="6" w:space="0" w:color="auto"/>
              <w:left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t> Iemesli, kādēļ netika nodrošināta sabiedrības līdzdalība</w:t>
            </w:r>
          </w:p>
        </w:tc>
        <w:tc>
          <w:tcPr>
            <w:tcW w:w="6663" w:type="dxa"/>
            <w:tcBorders>
              <w:top w:val="outset" w:sz="6" w:space="0" w:color="auto"/>
              <w:left w:val="outset" w:sz="6" w:space="0" w:color="auto"/>
              <w:bottom w:val="outset" w:sz="6" w:space="0" w:color="auto"/>
            </w:tcBorders>
          </w:tcPr>
          <w:p w:rsidR="009912C5" w:rsidRPr="002942DE" w:rsidRDefault="000F26FF" w:rsidP="002942DE">
            <w:pPr>
              <w:pStyle w:val="naiskr"/>
              <w:spacing w:before="0" w:after="0"/>
              <w:ind w:left="60"/>
            </w:pPr>
            <w:r>
              <w:t>Noteikumu projekts šo jomu neskar</w:t>
            </w:r>
            <w:r w:rsidR="009912C5" w:rsidRPr="002942DE">
              <w:t>.</w:t>
            </w:r>
          </w:p>
        </w:tc>
      </w:tr>
      <w:tr w:rsidR="009912C5" w:rsidRPr="002942DE" w:rsidTr="00A51C1E">
        <w:trPr>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t> 7.</w:t>
            </w:r>
          </w:p>
        </w:tc>
        <w:tc>
          <w:tcPr>
            <w:tcW w:w="2126" w:type="dxa"/>
            <w:tcBorders>
              <w:top w:val="outset" w:sz="6" w:space="0" w:color="auto"/>
              <w:left w:val="outset" w:sz="6" w:space="0" w:color="auto"/>
              <w:bottom w:val="outset" w:sz="6" w:space="0" w:color="auto"/>
              <w:right w:val="outset" w:sz="6" w:space="0" w:color="auto"/>
            </w:tcBorders>
          </w:tcPr>
          <w:p w:rsidR="009912C5" w:rsidRPr="002942DE" w:rsidRDefault="009912C5" w:rsidP="002942DE">
            <w:pPr>
              <w:pStyle w:val="naiskr"/>
              <w:spacing w:before="0" w:after="0"/>
            </w:pPr>
            <w:r w:rsidRPr="002942DE">
              <w:t> Cita informācija</w:t>
            </w:r>
          </w:p>
        </w:tc>
        <w:tc>
          <w:tcPr>
            <w:tcW w:w="6663" w:type="dxa"/>
            <w:tcBorders>
              <w:top w:val="outset" w:sz="6" w:space="0" w:color="auto"/>
              <w:left w:val="outset" w:sz="6" w:space="0" w:color="auto"/>
              <w:bottom w:val="outset" w:sz="6" w:space="0" w:color="auto"/>
            </w:tcBorders>
          </w:tcPr>
          <w:p w:rsidR="00D0361E" w:rsidRPr="00C60F68" w:rsidRDefault="002942DE" w:rsidP="00D0361E">
            <w:pPr>
              <w:ind w:left="60" w:right="140" w:firstLine="426"/>
              <w:jc w:val="both"/>
            </w:pPr>
            <w:r w:rsidRPr="00C60F68">
              <w:t>Saskaņā ar Ministru kabineta 2012.gada 4.jūnija rīkojumu Nr.246 apstiprināto Valsts kapitāla daļu pārvaldības koncepciju</w:t>
            </w:r>
            <w:r w:rsidR="0055550A" w:rsidRPr="00C60F68">
              <w:t xml:space="preserve"> un ar Ministru kabineta 2012.gada 4.jūnija rīkojumu Nr.245 apstiprināto Publisko personu komercdarbības koncepciju</w:t>
            </w:r>
            <w:r w:rsidR="00B307CB" w:rsidRPr="00C60F68">
              <w:t xml:space="preserve">, kā arī ņemot vērā </w:t>
            </w:r>
            <w:r w:rsidR="00BF2873" w:rsidRPr="00C60F68">
              <w:t xml:space="preserve">2013.gada 11.jūnija Ministru kabineta sēdē atbalstīto informatīvo ziņojumu „Par valsts līdzdalības kapitālsabiedrībās izvērtēšanu un ar Ministru prezidenta 2012.gada 19.jūnija </w:t>
            </w:r>
            <w:r w:rsidR="00BF2873" w:rsidRPr="00C60F68">
              <w:lastRenderedPageBreak/>
              <w:t xml:space="preserve">rīkojumu Nr.233 izveidotās darba grupas priekšlikumiem turpmākai rīcībai” </w:t>
            </w:r>
            <w:r w:rsidRPr="00C60F68">
              <w:t xml:space="preserve">tiek plānota SIA SAMC restrukturizācija par valsts aģentūru. Līdz ar to </w:t>
            </w:r>
            <w:r w:rsidR="00D0361E" w:rsidRPr="00C60F68">
              <w:t xml:space="preserve">MB </w:t>
            </w:r>
            <w:r w:rsidRPr="00C60F68">
              <w:t>cenas turpmāk tiks noteiktas atbilstoši Publisko aģentūru likumam saskaņā ar kuru aģentūras sniegto maksas pakalpojumu izcenojumus nosaka Ministru kabinets.</w:t>
            </w:r>
          </w:p>
          <w:p w:rsidR="009912C5" w:rsidRPr="002942DE" w:rsidRDefault="002942DE" w:rsidP="00D0361E">
            <w:pPr>
              <w:ind w:left="60" w:right="140" w:firstLine="426"/>
              <w:jc w:val="both"/>
            </w:pPr>
            <w:r w:rsidRPr="002942DE">
              <w:rPr>
                <w:u w:val="single"/>
              </w:rPr>
              <w:t xml:space="preserve"> </w:t>
            </w:r>
          </w:p>
        </w:tc>
      </w:tr>
    </w:tbl>
    <w:p w:rsidR="009912C5" w:rsidRPr="002942DE" w:rsidRDefault="009912C5" w:rsidP="002942DE">
      <w:pPr>
        <w:jc w:val="both"/>
        <w:rPr>
          <w:i/>
        </w:rPr>
      </w:pPr>
      <w:r w:rsidRPr="002942DE">
        <w:rPr>
          <w:i/>
        </w:rPr>
        <w:lastRenderedPageBreak/>
        <w:t xml:space="preserve">Anotācijas </w:t>
      </w:r>
      <w:r w:rsidR="00374E62" w:rsidRPr="002942DE">
        <w:rPr>
          <w:i/>
        </w:rPr>
        <w:t xml:space="preserve">II, </w:t>
      </w:r>
      <w:r w:rsidRPr="002942DE">
        <w:rPr>
          <w:i/>
        </w:rPr>
        <w:t xml:space="preserve">III, IV  un V sadaļa – </w:t>
      </w:r>
      <w:r w:rsidR="000F26FF">
        <w:rPr>
          <w:i/>
        </w:rPr>
        <w:t xml:space="preserve">noteikumu </w:t>
      </w:r>
      <w:r w:rsidRPr="002942DE">
        <w:rPr>
          <w:i/>
        </w:rPr>
        <w:t>projekts šīs jomas neskar.</w:t>
      </w:r>
    </w:p>
    <w:p w:rsidR="00A51C1E" w:rsidRPr="002942DE" w:rsidRDefault="00A51C1E" w:rsidP="002942DE">
      <w:pPr>
        <w:jc w:val="both"/>
        <w:rPr>
          <w:i/>
        </w:rPr>
      </w:pPr>
    </w:p>
    <w:tbl>
      <w:tblPr>
        <w:tblW w:w="9215" w:type="dxa"/>
        <w:tblCellSpacing w:w="0" w:type="dxa"/>
        <w:tblInd w:w="-269"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426"/>
        <w:gridCol w:w="3969"/>
        <w:gridCol w:w="4820"/>
      </w:tblGrid>
      <w:tr w:rsidR="009912C5" w:rsidRPr="002942DE" w:rsidTr="00A51C1E">
        <w:trPr>
          <w:tblCellSpacing w:w="0" w:type="dxa"/>
        </w:trPr>
        <w:tc>
          <w:tcPr>
            <w:tcW w:w="9215" w:type="dxa"/>
            <w:gridSpan w:val="3"/>
            <w:tcBorders>
              <w:top w:val="outset" w:sz="6" w:space="0" w:color="auto"/>
              <w:bottom w:val="outset" w:sz="6" w:space="0" w:color="auto"/>
            </w:tcBorders>
          </w:tcPr>
          <w:p w:rsidR="009912C5" w:rsidRPr="002942DE" w:rsidRDefault="009912C5" w:rsidP="002942DE">
            <w:pPr>
              <w:jc w:val="both"/>
            </w:pPr>
            <w:r w:rsidRPr="002942DE">
              <w:rPr>
                <w:b/>
                <w:bCs/>
              </w:rPr>
              <w:t> VII. Tiesību akta projekta izpildes nodrošināšana un tās ietekme uz institūcijām</w:t>
            </w:r>
          </w:p>
        </w:tc>
      </w:tr>
      <w:tr w:rsidR="009912C5" w:rsidRPr="002942DE" w:rsidTr="00A51C1E">
        <w:trPr>
          <w:trHeight w:val="427"/>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jc w:val="both"/>
            </w:pPr>
            <w:r w:rsidRPr="002942DE">
              <w:t> 1.</w:t>
            </w:r>
          </w:p>
        </w:tc>
        <w:tc>
          <w:tcPr>
            <w:tcW w:w="3969" w:type="dxa"/>
            <w:tcBorders>
              <w:top w:val="outset" w:sz="6" w:space="0" w:color="auto"/>
              <w:left w:val="outset" w:sz="6" w:space="0" w:color="auto"/>
              <w:bottom w:val="outset" w:sz="6" w:space="0" w:color="auto"/>
              <w:right w:val="outset" w:sz="6" w:space="0" w:color="auto"/>
            </w:tcBorders>
          </w:tcPr>
          <w:p w:rsidR="009912C5" w:rsidRPr="002942DE" w:rsidRDefault="009912C5" w:rsidP="00D0361E">
            <w:pPr>
              <w:ind w:left="127" w:right="127"/>
              <w:jc w:val="both"/>
            </w:pPr>
            <w:r w:rsidRPr="002942DE">
              <w:t>Projekta izpildē iesaistītās institūcijas</w:t>
            </w:r>
          </w:p>
        </w:tc>
        <w:tc>
          <w:tcPr>
            <w:tcW w:w="4820" w:type="dxa"/>
            <w:tcBorders>
              <w:top w:val="outset" w:sz="6" w:space="0" w:color="auto"/>
              <w:left w:val="outset" w:sz="6" w:space="0" w:color="auto"/>
              <w:bottom w:val="outset" w:sz="6" w:space="0" w:color="auto"/>
            </w:tcBorders>
          </w:tcPr>
          <w:p w:rsidR="009912C5" w:rsidRPr="002942DE" w:rsidRDefault="009912C5" w:rsidP="002942DE">
            <w:pPr>
              <w:ind w:left="126" w:right="140"/>
              <w:jc w:val="both"/>
            </w:pPr>
            <w:r w:rsidRPr="002942DE">
              <w:t>Noteikumu projekta izpildi nodrošina Ekonomikas ministrija.</w:t>
            </w:r>
            <w:r w:rsidR="00336E13" w:rsidRPr="002942DE">
              <w:t xml:space="preserve"> </w:t>
            </w:r>
          </w:p>
        </w:tc>
      </w:tr>
      <w:tr w:rsidR="009912C5" w:rsidRPr="002942DE" w:rsidTr="00A51C1E">
        <w:trPr>
          <w:trHeight w:val="463"/>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jc w:val="both"/>
            </w:pPr>
            <w:r w:rsidRPr="002942DE">
              <w:t> 2.</w:t>
            </w:r>
          </w:p>
        </w:tc>
        <w:tc>
          <w:tcPr>
            <w:tcW w:w="3969" w:type="dxa"/>
            <w:tcBorders>
              <w:top w:val="outset" w:sz="6" w:space="0" w:color="auto"/>
              <w:left w:val="outset" w:sz="6" w:space="0" w:color="auto"/>
              <w:bottom w:val="outset" w:sz="6" w:space="0" w:color="auto"/>
              <w:right w:val="outset" w:sz="6" w:space="0" w:color="auto"/>
            </w:tcBorders>
          </w:tcPr>
          <w:p w:rsidR="009912C5" w:rsidRPr="002942DE" w:rsidRDefault="009912C5" w:rsidP="00D0361E">
            <w:pPr>
              <w:ind w:left="127" w:right="127"/>
              <w:jc w:val="both"/>
            </w:pPr>
            <w:r w:rsidRPr="002942DE">
              <w:t>Projekta izpildes ietekme uz pārvaldes funkcijām</w:t>
            </w:r>
          </w:p>
        </w:tc>
        <w:tc>
          <w:tcPr>
            <w:tcW w:w="4820" w:type="dxa"/>
            <w:tcBorders>
              <w:top w:val="outset" w:sz="6" w:space="0" w:color="auto"/>
              <w:left w:val="outset" w:sz="6" w:space="0" w:color="auto"/>
              <w:bottom w:val="outset" w:sz="6" w:space="0" w:color="auto"/>
            </w:tcBorders>
          </w:tcPr>
          <w:p w:rsidR="009912C5" w:rsidRPr="002942DE" w:rsidRDefault="009912C5" w:rsidP="002942DE">
            <w:pPr>
              <w:pStyle w:val="naisnod"/>
              <w:spacing w:before="0" w:after="0"/>
              <w:ind w:left="126" w:right="57"/>
              <w:jc w:val="left"/>
              <w:rPr>
                <w:b w:val="0"/>
              </w:rPr>
            </w:pPr>
            <w:r w:rsidRPr="002942DE">
              <w:rPr>
                <w:b w:val="0"/>
              </w:rPr>
              <w:t>Noteikumu projekts neparedz pārvaldes funkciju paplašināšanu.</w:t>
            </w:r>
          </w:p>
          <w:p w:rsidR="009912C5" w:rsidRPr="002942DE" w:rsidRDefault="009912C5" w:rsidP="002942DE">
            <w:pPr>
              <w:jc w:val="both"/>
            </w:pPr>
          </w:p>
        </w:tc>
      </w:tr>
      <w:tr w:rsidR="009912C5" w:rsidRPr="002942DE" w:rsidTr="00A51C1E">
        <w:trPr>
          <w:trHeight w:val="725"/>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jc w:val="both"/>
            </w:pPr>
            <w:r w:rsidRPr="002942DE">
              <w:t> 3.</w:t>
            </w:r>
          </w:p>
        </w:tc>
        <w:tc>
          <w:tcPr>
            <w:tcW w:w="3969" w:type="dxa"/>
            <w:tcBorders>
              <w:top w:val="outset" w:sz="6" w:space="0" w:color="auto"/>
              <w:left w:val="outset" w:sz="6" w:space="0" w:color="auto"/>
              <w:bottom w:val="outset" w:sz="6" w:space="0" w:color="auto"/>
              <w:right w:val="outset" w:sz="6" w:space="0" w:color="auto"/>
            </w:tcBorders>
          </w:tcPr>
          <w:p w:rsidR="009912C5" w:rsidRPr="002942DE" w:rsidRDefault="009912C5" w:rsidP="00D0361E">
            <w:pPr>
              <w:ind w:left="127" w:right="127"/>
              <w:jc w:val="both"/>
            </w:pPr>
            <w:r w:rsidRPr="002942DE">
              <w:t>Projekta izpildes ietekme uz pārvaldes institucionālo struktūru.</w:t>
            </w:r>
          </w:p>
          <w:p w:rsidR="009912C5" w:rsidRPr="002942DE" w:rsidRDefault="00D0361E" w:rsidP="00D0361E">
            <w:pPr>
              <w:ind w:right="127"/>
              <w:jc w:val="both"/>
            </w:pPr>
            <w:r>
              <w:t xml:space="preserve">  </w:t>
            </w:r>
            <w:r w:rsidR="009912C5" w:rsidRPr="002942DE">
              <w:t>Jaunu institūciju izveide</w:t>
            </w:r>
          </w:p>
        </w:tc>
        <w:tc>
          <w:tcPr>
            <w:tcW w:w="4820" w:type="dxa"/>
            <w:tcBorders>
              <w:top w:val="outset" w:sz="6" w:space="0" w:color="auto"/>
              <w:left w:val="outset" w:sz="6" w:space="0" w:color="auto"/>
              <w:bottom w:val="outset" w:sz="6" w:space="0" w:color="auto"/>
            </w:tcBorders>
          </w:tcPr>
          <w:p w:rsidR="009912C5" w:rsidRPr="002942DE" w:rsidRDefault="009912C5" w:rsidP="002942DE">
            <w:pPr>
              <w:ind w:left="126"/>
              <w:jc w:val="both"/>
            </w:pPr>
            <w:r w:rsidRPr="002942DE">
              <w:t>Noteikumu projekts neparedz jaunu pārvaldes institūciju izveidi.</w:t>
            </w:r>
          </w:p>
        </w:tc>
      </w:tr>
      <w:tr w:rsidR="009912C5" w:rsidRPr="002942DE" w:rsidTr="00A51C1E">
        <w:trPr>
          <w:trHeight w:val="780"/>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jc w:val="both"/>
            </w:pPr>
            <w:r w:rsidRPr="002942DE">
              <w:t> 4.</w:t>
            </w:r>
          </w:p>
        </w:tc>
        <w:tc>
          <w:tcPr>
            <w:tcW w:w="3969" w:type="dxa"/>
            <w:tcBorders>
              <w:top w:val="outset" w:sz="6" w:space="0" w:color="auto"/>
              <w:left w:val="outset" w:sz="6" w:space="0" w:color="auto"/>
              <w:bottom w:val="outset" w:sz="6" w:space="0" w:color="auto"/>
              <w:right w:val="outset" w:sz="6" w:space="0" w:color="auto"/>
            </w:tcBorders>
          </w:tcPr>
          <w:p w:rsidR="009912C5" w:rsidRPr="002942DE" w:rsidRDefault="009912C5" w:rsidP="00D0361E">
            <w:pPr>
              <w:ind w:left="127" w:right="127"/>
              <w:jc w:val="both"/>
            </w:pPr>
            <w:r w:rsidRPr="002942DE">
              <w:t>Projekta izpildes ietekme uz pārvaldes institucionālo struktūru.</w:t>
            </w:r>
          </w:p>
          <w:p w:rsidR="009912C5" w:rsidRPr="002942DE" w:rsidRDefault="009912C5" w:rsidP="00D0361E">
            <w:pPr>
              <w:ind w:left="127" w:right="127"/>
              <w:jc w:val="both"/>
            </w:pPr>
            <w:r w:rsidRPr="002942DE">
              <w:t>Esošu institūciju likvidācija</w:t>
            </w:r>
          </w:p>
        </w:tc>
        <w:tc>
          <w:tcPr>
            <w:tcW w:w="4820" w:type="dxa"/>
            <w:tcBorders>
              <w:top w:val="outset" w:sz="6" w:space="0" w:color="auto"/>
              <w:left w:val="outset" w:sz="6" w:space="0" w:color="auto"/>
              <w:bottom w:val="outset" w:sz="6" w:space="0" w:color="auto"/>
            </w:tcBorders>
          </w:tcPr>
          <w:p w:rsidR="009912C5" w:rsidRPr="002942DE" w:rsidRDefault="009912C5" w:rsidP="000F26FF">
            <w:pPr>
              <w:jc w:val="both"/>
            </w:pPr>
            <w:r w:rsidRPr="002942DE">
              <w:t> </w:t>
            </w:r>
            <w:r w:rsidR="000F26FF">
              <w:t>Noteikumu projekts šo jomu neskar</w:t>
            </w:r>
            <w:r w:rsidR="000F26FF" w:rsidRPr="002942DE">
              <w:t>.</w:t>
            </w:r>
            <w:r w:rsidRPr="002942DE">
              <w:t xml:space="preserve"> </w:t>
            </w:r>
          </w:p>
        </w:tc>
      </w:tr>
      <w:tr w:rsidR="009912C5" w:rsidRPr="002942DE" w:rsidTr="00A51C1E">
        <w:trPr>
          <w:trHeight w:val="703"/>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jc w:val="both"/>
            </w:pPr>
            <w:r w:rsidRPr="002942DE">
              <w:t> 5.</w:t>
            </w:r>
          </w:p>
        </w:tc>
        <w:tc>
          <w:tcPr>
            <w:tcW w:w="3969" w:type="dxa"/>
            <w:tcBorders>
              <w:top w:val="outset" w:sz="6" w:space="0" w:color="auto"/>
              <w:left w:val="outset" w:sz="6" w:space="0" w:color="auto"/>
              <w:bottom w:val="outset" w:sz="6" w:space="0" w:color="auto"/>
              <w:right w:val="outset" w:sz="6" w:space="0" w:color="auto"/>
            </w:tcBorders>
          </w:tcPr>
          <w:p w:rsidR="009912C5" w:rsidRPr="002942DE" w:rsidRDefault="009912C5" w:rsidP="00D0361E">
            <w:pPr>
              <w:ind w:left="127" w:right="127"/>
              <w:jc w:val="both"/>
            </w:pPr>
            <w:r w:rsidRPr="002942DE">
              <w:t>Projekta izpildes ietekme uz pārvaldes institucionālo struktūru.</w:t>
            </w:r>
          </w:p>
          <w:p w:rsidR="009912C5" w:rsidRPr="002942DE" w:rsidRDefault="009912C5" w:rsidP="00D0361E">
            <w:pPr>
              <w:ind w:left="127" w:right="127"/>
              <w:jc w:val="both"/>
            </w:pPr>
            <w:r w:rsidRPr="002942DE">
              <w:t>Esošu institūciju reorganizācija</w:t>
            </w:r>
          </w:p>
        </w:tc>
        <w:tc>
          <w:tcPr>
            <w:tcW w:w="4820" w:type="dxa"/>
            <w:tcBorders>
              <w:top w:val="outset" w:sz="6" w:space="0" w:color="auto"/>
              <w:left w:val="outset" w:sz="6" w:space="0" w:color="auto"/>
              <w:bottom w:val="outset" w:sz="6" w:space="0" w:color="auto"/>
            </w:tcBorders>
          </w:tcPr>
          <w:p w:rsidR="009912C5" w:rsidRPr="002942DE" w:rsidRDefault="000F26FF" w:rsidP="000F26FF">
            <w:pPr>
              <w:jc w:val="both"/>
            </w:pPr>
            <w:r>
              <w:t xml:space="preserve"> </w:t>
            </w:r>
            <w:r>
              <w:t>Noteikumu projekts šo jomu neskar</w:t>
            </w:r>
            <w:r w:rsidRPr="002942DE">
              <w:t>.</w:t>
            </w:r>
          </w:p>
        </w:tc>
      </w:tr>
      <w:tr w:rsidR="009912C5" w:rsidRPr="002942DE" w:rsidTr="00A51C1E">
        <w:trPr>
          <w:trHeight w:val="476"/>
          <w:tblCellSpacing w:w="0" w:type="dxa"/>
        </w:trPr>
        <w:tc>
          <w:tcPr>
            <w:tcW w:w="426" w:type="dxa"/>
            <w:tcBorders>
              <w:top w:val="outset" w:sz="6" w:space="0" w:color="auto"/>
              <w:bottom w:val="outset" w:sz="6" w:space="0" w:color="auto"/>
              <w:right w:val="outset" w:sz="6" w:space="0" w:color="auto"/>
            </w:tcBorders>
          </w:tcPr>
          <w:p w:rsidR="009912C5" w:rsidRPr="002942DE" w:rsidRDefault="009912C5" w:rsidP="002942DE">
            <w:pPr>
              <w:jc w:val="both"/>
            </w:pPr>
            <w:r w:rsidRPr="002942DE">
              <w:t> 6.</w:t>
            </w:r>
          </w:p>
        </w:tc>
        <w:tc>
          <w:tcPr>
            <w:tcW w:w="3969" w:type="dxa"/>
            <w:tcBorders>
              <w:top w:val="outset" w:sz="6" w:space="0" w:color="auto"/>
              <w:left w:val="outset" w:sz="6" w:space="0" w:color="auto"/>
              <w:bottom w:val="outset" w:sz="6" w:space="0" w:color="auto"/>
              <w:right w:val="outset" w:sz="6" w:space="0" w:color="auto"/>
            </w:tcBorders>
          </w:tcPr>
          <w:p w:rsidR="009912C5" w:rsidRPr="002942DE" w:rsidRDefault="009912C5" w:rsidP="00D0361E">
            <w:pPr>
              <w:ind w:left="127" w:right="127"/>
              <w:jc w:val="both"/>
            </w:pPr>
            <w:r w:rsidRPr="002942DE">
              <w:t>Cita informācija</w:t>
            </w:r>
          </w:p>
        </w:tc>
        <w:tc>
          <w:tcPr>
            <w:tcW w:w="4820" w:type="dxa"/>
            <w:tcBorders>
              <w:top w:val="outset" w:sz="6" w:space="0" w:color="auto"/>
              <w:left w:val="outset" w:sz="6" w:space="0" w:color="auto"/>
              <w:bottom w:val="outset" w:sz="6" w:space="0" w:color="auto"/>
            </w:tcBorders>
          </w:tcPr>
          <w:p w:rsidR="009912C5" w:rsidRPr="002942DE" w:rsidRDefault="009912C5" w:rsidP="002942DE">
            <w:pPr>
              <w:jc w:val="both"/>
            </w:pPr>
            <w:r w:rsidRPr="002942DE">
              <w:t> Nav.</w:t>
            </w:r>
          </w:p>
          <w:p w:rsidR="009912C5" w:rsidRPr="002942DE" w:rsidRDefault="009912C5" w:rsidP="002942DE">
            <w:pPr>
              <w:jc w:val="both"/>
            </w:pPr>
          </w:p>
        </w:tc>
      </w:tr>
    </w:tbl>
    <w:p w:rsidR="00A51C1E" w:rsidRPr="002942DE" w:rsidRDefault="00A51C1E" w:rsidP="002942DE">
      <w:pPr>
        <w:jc w:val="both"/>
      </w:pPr>
    </w:p>
    <w:p w:rsidR="00AA03FF" w:rsidRPr="002942DE" w:rsidRDefault="00AA03FF" w:rsidP="002942DE">
      <w:pPr>
        <w:jc w:val="both"/>
        <w:rPr>
          <w:sz w:val="28"/>
          <w:szCs w:val="28"/>
        </w:rPr>
      </w:pPr>
    </w:p>
    <w:p w:rsidR="009912C5" w:rsidRPr="00D0361E" w:rsidRDefault="009912C5" w:rsidP="002942DE">
      <w:pPr>
        <w:jc w:val="both"/>
      </w:pPr>
      <w:r w:rsidRPr="00D0361E">
        <w:t>Ekonomikas ministrs</w:t>
      </w:r>
      <w:r w:rsidRPr="00D0361E">
        <w:tab/>
      </w:r>
      <w:r w:rsidRPr="00D0361E">
        <w:tab/>
      </w:r>
      <w:r w:rsidRPr="00D0361E">
        <w:tab/>
      </w:r>
      <w:r w:rsidRPr="00D0361E">
        <w:tab/>
      </w:r>
      <w:r w:rsidRPr="00D0361E">
        <w:tab/>
      </w:r>
      <w:r w:rsidRPr="00D0361E">
        <w:tab/>
      </w:r>
      <w:r w:rsidRPr="00D0361E">
        <w:tab/>
      </w:r>
      <w:r w:rsidRPr="00D0361E">
        <w:tab/>
      </w:r>
      <w:r w:rsidR="00D0361E">
        <w:tab/>
      </w:r>
      <w:proofErr w:type="spellStart"/>
      <w:r w:rsidRPr="00D0361E">
        <w:t>D.Pavļuts</w:t>
      </w:r>
      <w:proofErr w:type="spellEnd"/>
    </w:p>
    <w:p w:rsidR="009912C5" w:rsidRPr="00D0361E" w:rsidRDefault="009912C5" w:rsidP="002942DE">
      <w:pPr>
        <w:jc w:val="both"/>
      </w:pPr>
    </w:p>
    <w:p w:rsidR="00AA03FF" w:rsidRPr="00D0361E" w:rsidRDefault="00AA03FF" w:rsidP="002942DE"/>
    <w:p w:rsidR="00AA03FF" w:rsidRPr="00D0361E" w:rsidRDefault="00AA03FF" w:rsidP="002942DE"/>
    <w:p w:rsidR="009912C5" w:rsidRPr="00D0361E" w:rsidRDefault="009912C5" w:rsidP="002942DE">
      <w:r w:rsidRPr="00D0361E">
        <w:t>Vīza: Valsts sekretārs</w:t>
      </w:r>
      <w:r w:rsidRPr="00D0361E">
        <w:tab/>
      </w:r>
      <w:r w:rsidRPr="00D0361E">
        <w:tab/>
      </w:r>
      <w:r w:rsidRPr="00D0361E">
        <w:tab/>
      </w:r>
      <w:r w:rsidRPr="00D0361E">
        <w:tab/>
      </w:r>
      <w:r w:rsidRPr="00D0361E">
        <w:tab/>
      </w:r>
      <w:r w:rsidRPr="00D0361E">
        <w:tab/>
      </w:r>
      <w:r w:rsidRPr="00D0361E">
        <w:tab/>
      </w:r>
      <w:r w:rsidRPr="00D0361E">
        <w:tab/>
      </w:r>
      <w:r w:rsidR="00D0361E">
        <w:tab/>
      </w:r>
      <w:r w:rsidRPr="00D0361E">
        <w:t>J.Pūce</w:t>
      </w:r>
    </w:p>
    <w:p w:rsidR="009912C5" w:rsidRPr="00D0361E" w:rsidRDefault="009912C5" w:rsidP="002942DE">
      <w:pPr>
        <w:pStyle w:val="BodyTextIndent"/>
        <w:tabs>
          <w:tab w:val="left" w:pos="0"/>
          <w:tab w:val="left" w:pos="1701"/>
          <w:tab w:val="left" w:pos="6521"/>
        </w:tabs>
        <w:spacing w:after="0"/>
        <w:ind w:left="0"/>
      </w:pPr>
    </w:p>
    <w:p w:rsidR="00336E13" w:rsidRPr="00D0361E" w:rsidRDefault="00336E13" w:rsidP="002942DE">
      <w:pPr>
        <w:jc w:val="both"/>
      </w:pPr>
    </w:p>
    <w:p w:rsidR="00336E13" w:rsidRPr="00D0361E" w:rsidRDefault="00336E13" w:rsidP="002942DE">
      <w:pPr>
        <w:jc w:val="both"/>
      </w:pPr>
    </w:p>
    <w:p w:rsidR="00A51C1E" w:rsidRPr="002942DE" w:rsidRDefault="00A51C1E" w:rsidP="002942DE">
      <w:pPr>
        <w:jc w:val="both"/>
        <w:rPr>
          <w:sz w:val="20"/>
          <w:szCs w:val="20"/>
        </w:rPr>
      </w:pPr>
    </w:p>
    <w:p w:rsidR="00A51C1E" w:rsidRPr="002942DE" w:rsidRDefault="00A51C1E" w:rsidP="002942DE">
      <w:pPr>
        <w:jc w:val="both"/>
        <w:rPr>
          <w:sz w:val="20"/>
          <w:szCs w:val="20"/>
        </w:rPr>
      </w:pPr>
    </w:p>
    <w:p w:rsidR="00A51C1E" w:rsidRPr="002942DE" w:rsidRDefault="00A51C1E" w:rsidP="002942DE">
      <w:pPr>
        <w:jc w:val="both"/>
        <w:rPr>
          <w:sz w:val="20"/>
          <w:szCs w:val="20"/>
        </w:rPr>
      </w:pPr>
    </w:p>
    <w:p w:rsidR="00A51C1E" w:rsidRPr="002942DE" w:rsidRDefault="00A51C1E" w:rsidP="002942DE">
      <w:pPr>
        <w:jc w:val="both"/>
        <w:rPr>
          <w:sz w:val="20"/>
          <w:szCs w:val="20"/>
        </w:rPr>
      </w:pPr>
    </w:p>
    <w:p w:rsidR="00A51C1E" w:rsidRPr="002942DE" w:rsidRDefault="00A51C1E" w:rsidP="002942DE">
      <w:pPr>
        <w:jc w:val="both"/>
        <w:rPr>
          <w:sz w:val="20"/>
          <w:szCs w:val="20"/>
        </w:rPr>
      </w:pPr>
    </w:p>
    <w:p w:rsidR="00A51C1E" w:rsidRPr="002942DE" w:rsidRDefault="00A51C1E" w:rsidP="002942DE">
      <w:pPr>
        <w:jc w:val="both"/>
        <w:rPr>
          <w:sz w:val="20"/>
          <w:szCs w:val="20"/>
        </w:rPr>
      </w:pPr>
    </w:p>
    <w:p w:rsidR="00A51C1E" w:rsidRPr="002942DE" w:rsidRDefault="00A51C1E" w:rsidP="002942DE">
      <w:pPr>
        <w:jc w:val="both"/>
        <w:rPr>
          <w:sz w:val="20"/>
          <w:szCs w:val="20"/>
        </w:rPr>
      </w:pPr>
    </w:p>
    <w:p w:rsidR="00A51C1E" w:rsidRPr="002942DE" w:rsidRDefault="00A51C1E" w:rsidP="002942DE">
      <w:pPr>
        <w:jc w:val="both"/>
        <w:rPr>
          <w:sz w:val="20"/>
          <w:szCs w:val="20"/>
        </w:rPr>
      </w:pPr>
    </w:p>
    <w:p w:rsidR="00A51C1E" w:rsidRPr="002942DE" w:rsidRDefault="00A51C1E" w:rsidP="002942DE">
      <w:pPr>
        <w:jc w:val="both"/>
        <w:rPr>
          <w:sz w:val="20"/>
          <w:szCs w:val="20"/>
        </w:rPr>
      </w:pPr>
    </w:p>
    <w:p w:rsidR="009912C5" w:rsidRPr="002942DE" w:rsidRDefault="00705F07" w:rsidP="002942DE">
      <w:pPr>
        <w:jc w:val="both"/>
        <w:rPr>
          <w:sz w:val="20"/>
          <w:szCs w:val="20"/>
        </w:rPr>
      </w:pPr>
      <w:r>
        <w:rPr>
          <w:sz w:val="20"/>
          <w:szCs w:val="20"/>
        </w:rPr>
        <w:t>04</w:t>
      </w:r>
      <w:r w:rsidR="009912C5" w:rsidRPr="002942DE">
        <w:rPr>
          <w:sz w:val="20"/>
          <w:szCs w:val="20"/>
        </w:rPr>
        <w:t>.</w:t>
      </w:r>
      <w:r w:rsidR="00336E13" w:rsidRPr="002942DE">
        <w:rPr>
          <w:sz w:val="20"/>
          <w:szCs w:val="20"/>
        </w:rPr>
        <w:t>0</w:t>
      </w:r>
      <w:r>
        <w:rPr>
          <w:sz w:val="20"/>
          <w:szCs w:val="20"/>
        </w:rPr>
        <w:t>9</w:t>
      </w:r>
      <w:r w:rsidR="009912C5" w:rsidRPr="002942DE">
        <w:rPr>
          <w:sz w:val="20"/>
          <w:szCs w:val="20"/>
        </w:rPr>
        <w:t>.201</w:t>
      </w:r>
      <w:r w:rsidR="00336E13" w:rsidRPr="002942DE">
        <w:rPr>
          <w:sz w:val="20"/>
          <w:szCs w:val="20"/>
        </w:rPr>
        <w:t>3</w:t>
      </w:r>
      <w:r w:rsidR="009912C5" w:rsidRPr="002942DE">
        <w:rPr>
          <w:sz w:val="20"/>
          <w:szCs w:val="20"/>
        </w:rPr>
        <w:t xml:space="preserve">. </w:t>
      </w:r>
      <w:r w:rsidR="008E22EA">
        <w:rPr>
          <w:sz w:val="20"/>
          <w:szCs w:val="20"/>
        </w:rPr>
        <w:t>16</w:t>
      </w:r>
      <w:bookmarkStart w:id="0" w:name="_GoBack"/>
      <w:bookmarkEnd w:id="0"/>
      <w:r>
        <w:rPr>
          <w:sz w:val="20"/>
          <w:szCs w:val="20"/>
        </w:rPr>
        <w:t>:42</w:t>
      </w:r>
    </w:p>
    <w:p w:rsidR="00200D3D" w:rsidRDefault="008E22EA" w:rsidP="002942DE">
      <w:pPr>
        <w:jc w:val="both"/>
        <w:rPr>
          <w:sz w:val="20"/>
          <w:szCs w:val="20"/>
        </w:rPr>
      </w:pPr>
      <w:r>
        <w:rPr>
          <w:sz w:val="20"/>
          <w:szCs w:val="20"/>
        </w:rPr>
        <w:t>74</w:t>
      </w:r>
      <w:r w:rsidR="00200D3D">
        <w:rPr>
          <w:sz w:val="20"/>
          <w:szCs w:val="20"/>
        </w:rPr>
        <w:t>4</w:t>
      </w:r>
    </w:p>
    <w:p w:rsidR="00BC060A" w:rsidRPr="002942DE" w:rsidRDefault="00BC060A" w:rsidP="002942DE">
      <w:pPr>
        <w:jc w:val="both"/>
        <w:rPr>
          <w:sz w:val="20"/>
          <w:szCs w:val="20"/>
        </w:rPr>
      </w:pPr>
      <w:r w:rsidRPr="002942DE">
        <w:rPr>
          <w:sz w:val="20"/>
          <w:szCs w:val="20"/>
        </w:rPr>
        <w:t>Skribnovska</w:t>
      </w:r>
    </w:p>
    <w:p w:rsidR="009912C5" w:rsidRPr="002942DE" w:rsidRDefault="00BC060A" w:rsidP="002942DE">
      <w:pPr>
        <w:jc w:val="both"/>
      </w:pPr>
      <w:r w:rsidRPr="002942DE">
        <w:rPr>
          <w:sz w:val="20"/>
          <w:szCs w:val="20"/>
        </w:rPr>
        <w:t>67013051</w:t>
      </w:r>
      <w:r w:rsidR="009912C5" w:rsidRPr="002942DE">
        <w:rPr>
          <w:sz w:val="20"/>
          <w:szCs w:val="20"/>
        </w:rPr>
        <w:t xml:space="preserve">, </w:t>
      </w:r>
      <w:hyperlink r:id="rId8" w:history="1">
        <w:r w:rsidR="001F63BA" w:rsidRPr="002942DE">
          <w:rPr>
            <w:rStyle w:val="Hyperlink"/>
            <w:sz w:val="20"/>
            <w:szCs w:val="20"/>
            <w:u w:val="none"/>
          </w:rPr>
          <w:t>Elita.Skribnovska@em.gov.lv</w:t>
        </w:r>
      </w:hyperlink>
      <w:r w:rsidR="009912C5" w:rsidRPr="002942DE">
        <w:rPr>
          <w:sz w:val="20"/>
          <w:szCs w:val="20"/>
        </w:rPr>
        <w:t xml:space="preserve"> </w:t>
      </w:r>
    </w:p>
    <w:sectPr w:rsidR="009912C5" w:rsidRPr="002942DE" w:rsidSect="00860116">
      <w:headerReference w:type="even" r:id="rId9"/>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7CB" w:rsidRDefault="00FC67CB" w:rsidP="00D8025D">
      <w:pPr>
        <w:pStyle w:val="naisf"/>
      </w:pPr>
      <w:r>
        <w:separator/>
      </w:r>
    </w:p>
  </w:endnote>
  <w:endnote w:type="continuationSeparator" w:id="0">
    <w:p w:rsidR="00FC67CB" w:rsidRDefault="00FC67CB" w:rsidP="00D8025D">
      <w:pPr>
        <w:pStyle w:val="naisf"/>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A47" w:rsidRPr="00857A47" w:rsidRDefault="00857A47" w:rsidP="00857A47">
    <w:pPr>
      <w:pStyle w:val="naisc"/>
      <w:spacing w:before="0" w:after="0"/>
      <w:jc w:val="both"/>
      <w:outlineLvl w:val="0"/>
      <w:rPr>
        <w:sz w:val="20"/>
        <w:szCs w:val="20"/>
      </w:rPr>
    </w:pPr>
    <w:r w:rsidRPr="00857A47">
      <w:rPr>
        <w:sz w:val="20"/>
        <w:szCs w:val="20"/>
      </w:rPr>
      <w:t>EMAnot_</w:t>
    </w:r>
    <w:r w:rsidR="00D0361E">
      <w:rPr>
        <w:sz w:val="20"/>
        <w:szCs w:val="20"/>
      </w:rPr>
      <w:t>2608</w:t>
    </w:r>
    <w:r w:rsidRPr="00857A47">
      <w:rPr>
        <w:sz w:val="20"/>
        <w:szCs w:val="20"/>
      </w:rPr>
      <w:t>13_</w:t>
    </w:r>
    <w:r w:rsidR="00BC060A">
      <w:rPr>
        <w:sz w:val="20"/>
        <w:szCs w:val="20"/>
      </w:rPr>
      <w:t>MB</w:t>
    </w:r>
    <w:r w:rsidRPr="00857A47">
      <w:rPr>
        <w:sz w:val="20"/>
        <w:szCs w:val="20"/>
      </w:rPr>
      <w:t xml:space="preserve">cenr; </w:t>
    </w:r>
    <w:r w:rsidRPr="00857A47">
      <w:rPr>
        <w:bCs/>
        <w:sz w:val="20"/>
        <w:szCs w:val="20"/>
      </w:rPr>
      <w:t>Ministru kabineta noteikumu projekta „</w:t>
    </w:r>
    <w:r w:rsidRPr="00857A47">
      <w:rPr>
        <w:sz w:val="20"/>
        <w:szCs w:val="20"/>
      </w:rPr>
      <w:t>Par Ministru kabineta 2006.gada 19.decembra noteikumu Nr.1015 „Noteikumi par valsts aģentūras „Latvijas Nacionālais metroloģijas centrs” sniegto publisko maksas pakalpojumu cenrādi” atzīšanu par spēku zaudējušiem</w:t>
    </w:r>
    <w:r w:rsidRPr="00857A47">
      <w:rPr>
        <w:bCs/>
        <w:sz w:val="20"/>
        <w:szCs w:val="20"/>
      </w:rPr>
      <w:t xml:space="preserve">” </w:t>
    </w:r>
    <w:r w:rsidRPr="00857A47">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C5" w:rsidRPr="00857A47" w:rsidRDefault="009912C5" w:rsidP="00B94210">
    <w:pPr>
      <w:pStyle w:val="naisc"/>
      <w:spacing w:before="0" w:after="0"/>
      <w:jc w:val="both"/>
      <w:outlineLvl w:val="0"/>
      <w:rPr>
        <w:sz w:val="20"/>
        <w:szCs w:val="20"/>
      </w:rPr>
    </w:pPr>
    <w:r w:rsidRPr="00857A47">
      <w:rPr>
        <w:sz w:val="20"/>
        <w:szCs w:val="20"/>
      </w:rPr>
      <w:t>EMAnot_</w:t>
    </w:r>
    <w:r w:rsidR="00D0361E">
      <w:rPr>
        <w:sz w:val="20"/>
        <w:szCs w:val="20"/>
      </w:rPr>
      <w:t>2608</w:t>
    </w:r>
    <w:r w:rsidR="00336E13" w:rsidRPr="00857A47">
      <w:rPr>
        <w:sz w:val="20"/>
        <w:szCs w:val="20"/>
      </w:rPr>
      <w:t>13</w:t>
    </w:r>
    <w:r w:rsidRPr="00857A47">
      <w:rPr>
        <w:sz w:val="20"/>
        <w:szCs w:val="20"/>
      </w:rPr>
      <w:t>_</w:t>
    </w:r>
    <w:r w:rsidR="00BC060A">
      <w:rPr>
        <w:sz w:val="20"/>
        <w:szCs w:val="20"/>
      </w:rPr>
      <w:t>MB</w:t>
    </w:r>
    <w:r w:rsidR="00417723" w:rsidRPr="00857A47">
      <w:rPr>
        <w:sz w:val="20"/>
        <w:szCs w:val="20"/>
      </w:rPr>
      <w:t>cenr</w:t>
    </w:r>
    <w:r w:rsidRPr="00857A47">
      <w:rPr>
        <w:sz w:val="20"/>
        <w:szCs w:val="20"/>
      </w:rPr>
      <w:t xml:space="preserve">; </w:t>
    </w:r>
    <w:r w:rsidRPr="00857A47">
      <w:rPr>
        <w:bCs/>
        <w:sz w:val="20"/>
        <w:szCs w:val="20"/>
      </w:rPr>
      <w:t>Ministru kabineta noteikumu projekta „</w:t>
    </w:r>
    <w:r w:rsidR="00857A47" w:rsidRPr="00857A47">
      <w:rPr>
        <w:sz w:val="20"/>
        <w:szCs w:val="20"/>
      </w:rPr>
      <w:t>Par Ministru kabineta 2006.gada 19.decembra noteikumu Nr.1015 „Noteikumi par valsts aģentūras „Latvijas Nacionālais metroloģijas centrs” sniegto publisko maksas pakalpojumu cenrādi” atzīšanu par spēku zaudējušiem</w:t>
    </w:r>
    <w:r w:rsidRPr="00857A47">
      <w:rPr>
        <w:bCs/>
        <w:sz w:val="20"/>
        <w:szCs w:val="20"/>
      </w:rPr>
      <w:t>”</w:t>
    </w:r>
    <w:r w:rsidR="00070933" w:rsidRPr="00857A47">
      <w:rPr>
        <w:bCs/>
        <w:sz w:val="20"/>
        <w:szCs w:val="20"/>
      </w:rPr>
      <w:t xml:space="preserve"> </w:t>
    </w:r>
    <w:r w:rsidRPr="00857A47">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7CB" w:rsidRDefault="00FC67CB" w:rsidP="00D8025D">
      <w:pPr>
        <w:pStyle w:val="naisf"/>
      </w:pPr>
      <w:r>
        <w:separator/>
      </w:r>
    </w:p>
  </w:footnote>
  <w:footnote w:type="continuationSeparator" w:id="0">
    <w:p w:rsidR="00FC67CB" w:rsidRDefault="00FC67CB" w:rsidP="00D8025D">
      <w:pPr>
        <w:pStyle w:val="naisf"/>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C5" w:rsidRDefault="009912C5" w:rsidP="00BC19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912C5" w:rsidRDefault="009912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2C5" w:rsidRDefault="009912C5" w:rsidP="00BC19B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E22EA">
      <w:rPr>
        <w:rStyle w:val="PageNumber"/>
        <w:noProof/>
      </w:rPr>
      <w:t>3</w:t>
    </w:r>
    <w:r>
      <w:rPr>
        <w:rStyle w:val="PageNumber"/>
      </w:rPr>
      <w:fldChar w:fldCharType="end"/>
    </w:r>
  </w:p>
  <w:p w:rsidR="009912C5" w:rsidRDefault="009912C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B3607"/>
    <w:multiLevelType w:val="hybridMultilevel"/>
    <w:tmpl w:val="59EC3058"/>
    <w:lvl w:ilvl="0" w:tplc="6E182DAA">
      <w:start w:val="1"/>
      <w:numFmt w:val="decimal"/>
      <w:lvlText w:val="%1."/>
      <w:lvlJc w:val="left"/>
      <w:pPr>
        <w:tabs>
          <w:tab w:val="num" w:pos="735"/>
        </w:tabs>
        <w:ind w:left="735" w:hanging="360"/>
      </w:pPr>
      <w:rPr>
        <w:rFonts w:cs="Times New Roman" w:hint="default"/>
      </w:rPr>
    </w:lvl>
    <w:lvl w:ilvl="1" w:tplc="04260019" w:tentative="1">
      <w:start w:val="1"/>
      <w:numFmt w:val="lowerLetter"/>
      <w:lvlText w:val="%2."/>
      <w:lvlJc w:val="left"/>
      <w:pPr>
        <w:tabs>
          <w:tab w:val="num" w:pos="1455"/>
        </w:tabs>
        <w:ind w:left="1455" w:hanging="360"/>
      </w:pPr>
      <w:rPr>
        <w:rFonts w:cs="Times New Roman"/>
      </w:rPr>
    </w:lvl>
    <w:lvl w:ilvl="2" w:tplc="0426001B" w:tentative="1">
      <w:start w:val="1"/>
      <w:numFmt w:val="lowerRoman"/>
      <w:lvlText w:val="%3."/>
      <w:lvlJc w:val="right"/>
      <w:pPr>
        <w:tabs>
          <w:tab w:val="num" w:pos="2175"/>
        </w:tabs>
        <w:ind w:left="2175" w:hanging="180"/>
      </w:pPr>
      <w:rPr>
        <w:rFonts w:cs="Times New Roman"/>
      </w:rPr>
    </w:lvl>
    <w:lvl w:ilvl="3" w:tplc="0426000F" w:tentative="1">
      <w:start w:val="1"/>
      <w:numFmt w:val="decimal"/>
      <w:lvlText w:val="%4."/>
      <w:lvlJc w:val="left"/>
      <w:pPr>
        <w:tabs>
          <w:tab w:val="num" w:pos="2895"/>
        </w:tabs>
        <w:ind w:left="2895" w:hanging="360"/>
      </w:pPr>
      <w:rPr>
        <w:rFonts w:cs="Times New Roman"/>
      </w:rPr>
    </w:lvl>
    <w:lvl w:ilvl="4" w:tplc="04260019" w:tentative="1">
      <w:start w:val="1"/>
      <w:numFmt w:val="lowerLetter"/>
      <w:lvlText w:val="%5."/>
      <w:lvlJc w:val="left"/>
      <w:pPr>
        <w:tabs>
          <w:tab w:val="num" w:pos="3615"/>
        </w:tabs>
        <w:ind w:left="3615" w:hanging="360"/>
      </w:pPr>
      <w:rPr>
        <w:rFonts w:cs="Times New Roman"/>
      </w:rPr>
    </w:lvl>
    <w:lvl w:ilvl="5" w:tplc="0426001B" w:tentative="1">
      <w:start w:val="1"/>
      <w:numFmt w:val="lowerRoman"/>
      <w:lvlText w:val="%6."/>
      <w:lvlJc w:val="right"/>
      <w:pPr>
        <w:tabs>
          <w:tab w:val="num" w:pos="4335"/>
        </w:tabs>
        <w:ind w:left="4335" w:hanging="180"/>
      </w:pPr>
      <w:rPr>
        <w:rFonts w:cs="Times New Roman"/>
      </w:rPr>
    </w:lvl>
    <w:lvl w:ilvl="6" w:tplc="0426000F" w:tentative="1">
      <w:start w:val="1"/>
      <w:numFmt w:val="decimal"/>
      <w:lvlText w:val="%7."/>
      <w:lvlJc w:val="left"/>
      <w:pPr>
        <w:tabs>
          <w:tab w:val="num" w:pos="5055"/>
        </w:tabs>
        <w:ind w:left="5055" w:hanging="360"/>
      </w:pPr>
      <w:rPr>
        <w:rFonts w:cs="Times New Roman"/>
      </w:rPr>
    </w:lvl>
    <w:lvl w:ilvl="7" w:tplc="04260019" w:tentative="1">
      <w:start w:val="1"/>
      <w:numFmt w:val="lowerLetter"/>
      <w:lvlText w:val="%8."/>
      <w:lvlJc w:val="left"/>
      <w:pPr>
        <w:tabs>
          <w:tab w:val="num" w:pos="5775"/>
        </w:tabs>
        <w:ind w:left="5775" w:hanging="360"/>
      </w:pPr>
      <w:rPr>
        <w:rFonts w:cs="Times New Roman"/>
      </w:rPr>
    </w:lvl>
    <w:lvl w:ilvl="8" w:tplc="0426001B" w:tentative="1">
      <w:start w:val="1"/>
      <w:numFmt w:val="lowerRoman"/>
      <w:lvlText w:val="%9."/>
      <w:lvlJc w:val="right"/>
      <w:pPr>
        <w:tabs>
          <w:tab w:val="num" w:pos="6495"/>
        </w:tabs>
        <w:ind w:left="6495" w:hanging="180"/>
      </w:pPr>
      <w:rPr>
        <w:rFonts w:cs="Times New Roman"/>
      </w:rPr>
    </w:lvl>
  </w:abstractNum>
  <w:abstractNum w:abstractNumId="1">
    <w:nsid w:val="47681463"/>
    <w:multiLevelType w:val="hybridMultilevel"/>
    <w:tmpl w:val="2D348CF6"/>
    <w:lvl w:ilvl="0" w:tplc="202C8268">
      <w:numFmt w:val="bullet"/>
      <w:lvlText w:val="-"/>
      <w:lvlJc w:val="left"/>
      <w:pPr>
        <w:ind w:left="562" w:hanging="360"/>
      </w:pPr>
      <w:rPr>
        <w:rFonts w:ascii="Times New Roman" w:eastAsia="Times New Roman" w:hAnsi="Times New Roman" w:hint="default"/>
        <w:u w:val="none"/>
      </w:rPr>
    </w:lvl>
    <w:lvl w:ilvl="1" w:tplc="04260003" w:tentative="1">
      <w:start w:val="1"/>
      <w:numFmt w:val="bullet"/>
      <w:lvlText w:val="o"/>
      <w:lvlJc w:val="left"/>
      <w:pPr>
        <w:ind w:left="1282" w:hanging="360"/>
      </w:pPr>
      <w:rPr>
        <w:rFonts w:ascii="Courier New" w:hAnsi="Courier New" w:hint="default"/>
      </w:rPr>
    </w:lvl>
    <w:lvl w:ilvl="2" w:tplc="04260005" w:tentative="1">
      <w:start w:val="1"/>
      <w:numFmt w:val="bullet"/>
      <w:lvlText w:val=""/>
      <w:lvlJc w:val="left"/>
      <w:pPr>
        <w:ind w:left="2002" w:hanging="360"/>
      </w:pPr>
      <w:rPr>
        <w:rFonts w:ascii="Wingdings" w:hAnsi="Wingdings" w:hint="default"/>
      </w:rPr>
    </w:lvl>
    <w:lvl w:ilvl="3" w:tplc="04260001" w:tentative="1">
      <w:start w:val="1"/>
      <w:numFmt w:val="bullet"/>
      <w:lvlText w:val=""/>
      <w:lvlJc w:val="left"/>
      <w:pPr>
        <w:ind w:left="2722" w:hanging="360"/>
      </w:pPr>
      <w:rPr>
        <w:rFonts w:ascii="Symbol" w:hAnsi="Symbol" w:hint="default"/>
      </w:rPr>
    </w:lvl>
    <w:lvl w:ilvl="4" w:tplc="04260003" w:tentative="1">
      <w:start w:val="1"/>
      <w:numFmt w:val="bullet"/>
      <w:lvlText w:val="o"/>
      <w:lvlJc w:val="left"/>
      <w:pPr>
        <w:ind w:left="3442" w:hanging="360"/>
      </w:pPr>
      <w:rPr>
        <w:rFonts w:ascii="Courier New" w:hAnsi="Courier New" w:hint="default"/>
      </w:rPr>
    </w:lvl>
    <w:lvl w:ilvl="5" w:tplc="04260005" w:tentative="1">
      <w:start w:val="1"/>
      <w:numFmt w:val="bullet"/>
      <w:lvlText w:val=""/>
      <w:lvlJc w:val="left"/>
      <w:pPr>
        <w:ind w:left="4162" w:hanging="360"/>
      </w:pPr>
      <w:rPr>
        <w:rFonts w:ascii="Wingdings" w:hAnsi="Wingdings" w:hint="default"/>
      </w:rPr>
    </w:lvl>
    <w:lvl w:ilvl="6" w:tplc="04260001" w:tentative="1">
      <w:start w:val="1"/>
      <w:numFmt w:val="bullet"/>
      <w:lvlText w:val=""/>
      <w:lvlJc w:val="left"/>
      <w:pPr>
        <w:ind w:left="4882" w:hanging="360"/>
      </w:pPr>
      <w:rPr>
        <w:rFonts w:ascii="Symbol" w:hAnsi="Symbol" w:hint="default"/>
      </w:rPr>
    </w:lvl>
    <w:lvl w:ilvl="7" w:tplc="04260003" w:tentative="1">
      <w:start w:val="1"/>
      <w:numFmt w:val="bullet"/>
      <w:lvlText w:val="o"/>
      <w:lvlJc w:val="left"/>
      <w:pPr>
        <w:ind w:left="5602" w:hanging="360"/>
      </w:pPr>
      <w:rPr>
        <w:rFonts w:ascii="Courier New" w:hAnsi="Courier New" w:hint="default"/>
      </w:rPr>
    </w:lvl>
    <w:lvl w:ilvl="8" w:tplc="04260005" w:tentative="1">
      <w:start w:val="1"/>
      <w:numFmt w:val="bullet"/>
      <w:lvlText w:val=""/>
      <w:lvlJc w:val="left"/>
      <w:pPr>
        <w:ind w:left="6322" w:hanging="360"/>
      </w:pPr>
      <w:rPr>
        <w:rFonts w:ascii="Wingdings" w:hAnsi="Wingdings" w:hint="default"/>
      </w:rPr>
    </w:lvl>
  </w:abstractNum>
  <w:abstractNum w:abstractNumId="2">
    <w:nsid w:val="60BC5D25"/>
    <w:multiLevelType w:val="hybridMultilevel"/>
    <w:tmpl w:val="A300D466"/>
    <w:lvl w:ilvl="0" w:tplc="DF3CBFAC">
      <w:start w:val="1"/>
      <w:numFmt w:val="decimal"/>
      <w:lvlText w:val="%1)"/>
      <w:lvlJc w:val="left"/>
      <w:pPr>
        <w:ind w:left="1129" w:hanging="360"/>
      </w:pPr>
      <w:rPr>
        <w:rFonts w:hint="default"/>
      </w:rPr>
    </w:lvl>
    <w:lvl w:ilvl="1" w:tplc="04260019" w:tentative="1">
      <w:start w:val="1"/>
      <w:numFmt w:val="lowerLetter"/>
      <w:lvlText w:val="%2."/>
      <w:lvlJc w:val="left"/>
      <w:pPr>
        <w:ind w:left="1849" w:hanging="360"/>
      </w:pPr>
    </w:lvl>
    <w:lvl w:ilvl="2" w:tplc="0426001B" w:tentative="1">
      <w:start w:val="1"/>
      <w:numFmt w:val="lowerRoman"/>
      <w:lvlText w:val="%3."/>
      <w:lvlJc w:val="right"/>
      <w:pPr>
        <w:ind w:left="2569" w:hanging="180"/>
      </w:pPr>
    </w:lvl>
    <w:lvl w:ilvl="3" w:tplc="0426000F" w:tentative="1">
      <w:start w:val="1"/>
      <w:numFmt w:val="decimal"/>
      <w:lvlText w:val="%4."/>
      <w:lvlJc w:val="left"/>
      <w:pPr>
        <w:ind w:left="3289" w:hanging="360"/>
      </w:pPr>
    </w:lvl>
    <w:lvl w:ilvl="4" w:tplc="04260019" w:tentative="1">
      <w:start w:val="1"/>
      <w:numFmt w:val="lowerLetter"/>
      <w:lvlText w:val="%5."/>
      <w:lvlJc w:val="left"/>
      <w:pPr>
        <w:ind w:left="4009" w:hanging="360"/>
      </w:pPr>
    </w:lvl>
    <w:lvl w:ilvl="5" w:tplc="0426001B" w:tentative="1">
      <w:start w:val="1"/>
      <w:numFmt w:val="lowerRoman"/>
      <w:lvlText w:val="%6."/>
      <w:lvlJc w:val="right"/>
      <w:pPr>
        <w:ind w:left="4729" w:hanging="180"/>
      </w:pPr>
    </w:lvl>
    <w:lvl w:ilvl="6" w:tplc="0426000F" w:tentative="1">
      <w:start w:val="1"/>
      <w:numFmt w:val="decimal"/>
      <w:lvlText w:val="%7."/>
      <w:lvlJc w:val="left"/>
      <w:pPr>
        <w:ind w:left="5449" w:hanging="360"/>
      </w:pPr>
    </w:lvl>
    <w:lvl w:ilvl="7" w:tplc="04260019" w:tentative="1">
      <w:start w:val="1"/>
      <w:numFmt w:val="lowerLetter"/>
      <w:lvlText w:val="%8."/>
      <w:lvlJc w:val="left"/>
      <w:pPr>
        <w:ind w:left="6169" w:hanging="360"/>
      </w:pPr>
    </w:lvl>
    <w:lvl w:ilvl="8" w:tplc="0426001B" w:tentative="1">
      <w:start w:val="1"/>
      <w:numFmt w:val="lowerRoman"/>
      <w:lvlText w:val="%9."/>
      <w:lvlJc w:val="right"/>
      <w:pPr>
        <w:ind w:left="6889"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9B2"/>
    <w:rsid w:val="00001FDE"/>
    <w:rsid w:val="000029F3"/>
    <w:rsid w:val="0002331F"/>
    <w:rsid w:val="000245EE"/>
    <w:rsid w:val="00032A90"/>
    <w:rsid w:val="00033B0C"/>
    <w:rsid w:val="00036FF7"/>
    <w:rsid w:val="00050B75"/>
    <w:rsid w:val="000526D0"/>
    <w:rsid w:val="00056F12"/>
    <w:rsid w:val="00070933"/>
    <w:rsid w:val="0007120E"/>
    <w:rsid w:val="000726B3"/>
    <w:rsid w:val="000802C1"/>
    <w:rsid w:val="00081EAF"/>
    <w:rsid w:val="00085599"/>
    <w:rsid w:val="00091CE3"/>
    <w:rsid w:val="00096E22"/>
    <w:rsid w:val="000A0D02"/>
    <w:rsid w:val="000B2B76"/>
    <w:rsid w:val="000B5278"/>
    <w:rsid w:val="000C15B0"/>
    <w:rsid w:val="000C617D"/>
    <w:rsid w:val="000D7ED9"/>
    <w:rsid w:val="000E0451"/>
    <w:rsid w:val="000E1E0D"/>
    <w:rsid w:val="000F0588"/>
    <w:rsid w:val="000F26FF"/>
    <w:rsid w:val="00100F98"/>
    <w:rsid w:val="00105725"/>
    <w:rsid w:val="00111A50"/>
    <w:rsid w:val="0011546E"/>
    <w:rsid w:val="00126B58"/>
    <w:rsid w:val="00131BB7"/>
    <w:rsid w:val="00131D1A"/>
    <w:rsid w:val="001359E9"/>
    <w:rsid w:val="00137E77"/>
    <w:rsid w:val="00137E88"/>
    <w:rsid w:val="00143D33"/>
    <w:rsid w:val="0014401D"/>
    <w:rsid w:val="00152076"/>
    <w:rsid w:val="00170EAE"/>
    <w:rsid w:val="001713F7"/>
    <w:rsid w:val="00175325"/>
    <w:rsid w:val="00182F9D"/>
    <w:rsid w:val="001923B8"/>
    <w:rsid w:val="00192D2F"/>
    <w:rsid w:val="0019733F"/>
    <w:rsid w:val="001B142C"/>
    <w:rsid w:val="001D1C98"/>
    <w:rsid w:val="001E260D"/>
    <w:rsid w:val="001E7E28"/>
    <w:rsid w:val="001F63BA"/>
    <w:rsid w:val="00200D3D"/>
    <w:rsid w:val="00202762"/>
    <w:rsid w:val="00210FCE"/>
    <w:rsid w:val="00211257"/>
    <w:rsid w:val="00215F7E"/>
    <w:rsid w:val="00226AAE"/>
    <w:rsid w:val="00230BE4"/>
    <w:rsid w:val="00236DCA"/>
    <w:rsid w:val="00237205"/>
    <w:rsid w:val="002434AB"/>
    <w:rsid w:val="002600F0"/>
    <w:rsid w:val="00264056"/>
    <w:rsid w:val="002820B7"/>
    <w:rsid w:val="00285580"/>
    <w:rsid w:val="00286145"/>
    <w:rsid w:val="002942DE"/>
    <w:rsid w:val="002955DE"/>
    <w:rsid w:val="002A3A82"/>
    <w:rsid w:val="002A5B8F"/>
    <w:rsid w:val="002A687B"/>
    <w:rsid w:val="002B42AB"/>
    <w:rsid w:val="002B4CB4"/>
    <w:rsid w:val="002D147F"/>
    <w:rsid w:val="002D159B"/>
    <w:rsid w:val="002D4AD1"/>
    <w:rsid w:val="002D6452"/>
    <w:rsid w:val="002D668F"/>
    <w:rsid w:val="002E0985"/>
    <w:rsid w:val="002E47EC"/>
    <w:rsid w:val="002E726D"/>
    <w:rsid w:val="002F02F6"/>
    <w:rsid w:val="002F4A99"/>
    <w:rsid w:val="003028E6"/>
    <w:rsid w:val="0031549D"/>
    <w:rsid w:val="00317033"/>
    <w:rsid w:val="00317BD5"/>
    <w:rsid w:val="00321C8E"/>
    <w:rsid w:val="0032386A"/>
    <w:rsid w:val="00331916"/>
    <w:rsid w:val="00334B6D"/>
    <w:rsid w:val="00336E13"/>
    <w:rsid w:val="00344152"/>
    <w:rsid w:val="00346160"/>
    <w:rsid w:val="00353456"/>
    <w:rsid w:val="003624B9"/>
    <w:rsid w:val="00362806"/>
    <w:rsid w:val="00365BBF"/>
    <w:rsid w:val="00371B65"/>
    <w:rsid w:val="00374383"/>
    <w:rsid w:val="00374E62"/>
    <w:rsid w:val="0039270D"/>
    <w:rsid w:val="00395066"/>
    <w:rsid w:val="003A0262"/>
    <w:rsid w:val="003A3F7F"/>
    <w:rsid w:val="003A5134"/>
    <w:rsid w:val="003A6C89"/>
    <w:rsid w:val="003B633E"/>
    <w:rsid w:val="003B6C3B"/>
    <w:rsid w:val="003C09FE"/>
    <w:rsid w:val="003C1717"/>
    <w:rsid w:val="003C1F74"/>
    <w:rsid w:val="003D0415"/>
    <w:rsid w:val="003E2860"/>
    <w:rsid w:val="003E2DC5"/>
    <w:rsid w:val="003F7EE2"/>
    <w:rsid w:val="00400160"/>
    <w:rsid w:val="00400B34"/>
    <w:rsid w:val="00403192"/>
    <w:rsid w:val="00405C12"/>
    <w:rsid w:val="00410823"/>
    <w:rsid w:val="00417302"/>
    <w:rsid w:val="00417723"/>
    <w:rsid w:val="0042465D"/>
    <w:rsid w:val="004273F9"/>
    <w:rsid w:val="00440A59"/>
    <w:rsid w:val="004452C3"/>
    <w:rsid w:val="00462808"/>
    <w:rsid w:val="004649A6"/>
    <w:rsid w:val="0046794F"/>
    <w:rsid w:val="00467BBD"/>
    <w:rsid w:val="004742C6"/>
    <w:rsid w:val="00481F59"/>
    <w:rsid w:val="00486CD9"/>
    <w:rsid w:val="00490AA7"/>
    <w:rsid w:val="0049284A"/>
    <w:rsid w:val="00494BBC"/>
    <w:rsid w:val="004A2CB5"/>
    <w:rsid w:val="004A7D31"/>
    <w:rsid w:val="004B4C9B"/>
    <w:rsid w:val="004B7E95"/>
    <w:rsid w:val="004C0C74"/>
    <w:rsid w:val="004E2119"/>
    <w:rsid w:val="004E575D"/>
    <w:rsid w:val="004E61C4"/>
    <w:rsid w:val="004F47E9"/>
    <w:rsid w:val="00503D25"/>
    <w:rsid w:val="00505AE7"/>
    <w:rsid w:val="00506B57"/>
    <w:rsid w:val="00507AA0"/>
    <w:rsid w:val="00513C39"/>
    <w:rsid w:val="00525723"/>
    <w:rsid w:val="0052617A"/>
    <w:rsid w:val="0052746D"/>
    <w:rsid w:val="005350E1"/>
    <w:rsid w:val="00537026"/>
    <w:rsid w:val="00546140"/>
    <w:rsid w:val="005465D6"/>
    <w:rsid w:val="005478D1"/>
    <w:rsid w:val="0055163E"/>
    <w:rsid w:val="0055550A"/>
    <w:rsid w:val="00560366"/>
    <w:rsid w:val="00562186"/>
    <w:rsid w:val="005657FC"/>
    <w:rsid w:val="005661A6"/>
    <w:rsid w:val="00571136"/>
    <w:rsid w:val="00572471"/>
    <w:rsid w:val="00577D8C"/>
    <w:rsid w:val="0058086D"/>
    <w:rsid w:val="005831A7"/>
    <w:rsid w:val="00583792"/>
    <w:rsid w:val="005A7768"/>
    <w:rsid w:val="005B78AF"/>
    <w:rsid w:val="005C2D7E"/>
    <w:rsid w:val="005C7EC0"/>
    <w:rsid w:val="005D5CDD"/>
    <w:rsid w:val="005E3601"/>
    <w:rsid w:val="005E6CE9"/>
    <w:rsid w:val="005F1AF2"/>
    <w:rsid w:val="00602DFC"/>
    <w:rsid w:val="006102DB"/>
    <w:rsid w:val="006113CD"/>
    <w:rsid w:val="00611D0E"/>
    <w:rsid w:val="006132F8"/>
    <w:rsid w:val="00613638"/>
    <w:rsid w:val="0061380E"/>
    <w:rsid w:val="006175EB"/>
    <w:rsid w:val="006340A0"/>
    <w:rsid w:val="00651505"/>
    <w:rsid w:val="006523E3"/>
    <w:rsid w:val="0067091E"/>
    <w:rsid w:val="00675608"/>
    <w:rsid w:val="00687E82"/>
    <w:rsid w:val="00690AA7"/>
    <w:rsid w:val="0069425B"/>
    <w:rsid w:val="006A0DE1"/>
    <w:rsid w:val="006A3378"/>
    <w:rsid w:val="006B0F14"/>
    <w:rsid w:val="006B749E"/>
    <w:rsid w:val="006C70D1"/>
    <w:rsid w:val="006D066C"/>
    <w:rsid w:val="006D1FFC"/>
    <w:rsid w:val="006D6A51"/>
    <w:rsid w:val="006D71A1"/>
    <w:rsid w:val="006D7D50"/>
    <w:rsid w:val="006E0A05"/>
    <w:rsid w:val="006E0F0D"/>
    <w:rsid w:val="006E323E"/>
    <w:rsid w:val="006E3B4C"/>
    <w:rsid w:val="006E447C"/>
    <w:rsid w:val="006E5FC0"/>
    <w:rsid w:val="006E714D"/>
    <w:rsid w:val="006E71CC"/>
    <w:rsid w:val="006F57F8"/>
    <w:rsid w:val="006F7DEB"/>
    <w:rsid w:val="007020C2"/>
    <w:rsid w:val="00705DF5"/>
    <w:rsid w:val="00705F07"/>
    <w:rsid w:val="00706B13"/>
    <w:rsid w:val="007239AD"/>
    <w:rsid w:val="00726ED1"/>
    <w:rsid w:val="00730F23"/>
    <w:rsid w:val="00735674"/>
    <w:rsid w:val="007367F4"/>
    <w:rsid w:val="00737C9C"/>
    <w:rsid w:val="00737D22"/>
    <w:rsid w:val="00740108"/>
    <w:rsid w:val="007402C0"/>
    <w:rsid w:val="0074313A"/>
    <w:rsid w:val="0074718D"/>
    <w:rsid w:val="00762487"/>
    <w:rsid w:val="00776A6B"/>
    <w:rsid w:val="00783610"/>
    <w:rsid w:val="007947B7"/>
    <w:rsid w:val="007A1754"/>
    <w:rsid w:val="007A46AE"/>
    <w:rsid w:val="007B2968"/>
    <w:rsid w:val="007B49A3"/>
    <w:rsid w:val="007B51A3"/>
    <w:rsid w:val="007C7EA3"/>
    <w:rsid w:val="007D4494"/>
    <w:rsid w:val="007D4F04"/>
    <w:rsid w:val="007D5C3F"/>
    <w:rsid w:val="007D77DB"/>
    <w:rsid w:val="007E215A"/>
    <w:rsid w:val="007E2687"/>
    <w:rsid w:val="007E6886"/>
    <w:rsid w:val="007F1F5C"/>
    <w:rsid w:val="007F4137"/>
    <w:rsid w:val="008064B5"/>
    <w:rsid w:val="008153E2"/>
    <w:rsid w:val="008179AA"/>
    <w:rsid w:val="008339B1"/>
    <w:rsid w:val="00844396"/>
    <w:rsid w:val="00850984"/>
    <w:rsid w:val="00851093"/>
    <w:rsid w:val="008522C8"/>
    <w:rsid w:val="0085515F"/>
    <w:rsid w:val="00857A47"/>
    <w:rsid w:val="00860116"/>
    <w:rsid w:val="008602CE"/>
    <w:rsid w:val="00860557"/>
    <w:rsid w:val="008645DF"/>
    <w:rsid w:val="00866767"/>
    <w:rsid w:val="008675B3"/>
    <w:rsid w:val="00885F4C"/>
    <w:rsid w:val="008B68D4"/>
    <w:rsid w:val="008C1465"/>
    <w:rsid w:val="008D58E1"/>
    <w:rsid w:val="008E07B2"/>
    <w:rsid w:val="008E22EA"/>
    <w:rsid w:val="008E2CFF"/>
    <w:rsid w:val="008E36EC"/>
    <w:rsid w:val="008E37A9"/>
    <w:rsid w:val="008E7E81"/>
    <w:rsid w:val="008F242C"/>
    <w:rsid w:val="008F35BE"/>
    <w:rsid w:val="008F66FC"/>
    <w:rsid w:val="008F7F75"/>
    <w:rsid w:val="00900B79"/>
    <w:rsid w:val="00910C49"/>
    <w:rsid w:val="00915B9F"/>
    <w:rsid w:val="00931523"/>
    <w:rsid w:val="00933CDE"/>
    <w:rsid w:val="00935A20"/>
    <w:rsid w:val="00935DF8"/>
    <w:rsid w:val="009378D6"/>
    <w:rsid w:val="00941A52"/>
    <w:rsid w:val="00967262"/>
    <w:rsid w:val="009672A8"/>
    <w:rsid w:val="0097442C"/>
    <w:rsid w:val="00975DAC"/>
    <w:rsid w:val="009774EB"/>
    <w:rsid w:val="009838DE"/>
    <w:rsid w:val="009854C6"/>
    <w:rsid w:val="00987A81"/>
    <w:rsid w:val="009912C5"/>
    <w:rsid w:val="009A1F05"/>
    <w:rsid w:val="009A3312"/>
    <w:rsid w:val="009A6CF3"/>
    <w:rsid w:val="009A7BDA"/>
    <w:rsid w:val="009B0BA0"/>
    <w:rsid w:val="009B0EB1"/>
    <w:rsid w:val="009B4F63"/>
    <w:rsid w:val="009C3620"/>
    <w:rsid w:val="009D1EAF"/>
    <w:rsid w:val="009D7893"/>
    <w:rsid w:val="009E01D5"/>
    <w:rsid w:val="00A04AC5"/>
    <w:rsid w:val="00A15B01"/>
    <w:rsid w:val="00A34383"/>
    <w:rsid w:val="00A43343"/>
    <w:rsid w:val="00A437E1"/>
    <w:rsid w:val="00A476A5"/>
    <w:rsid w:val="00A51C1E"/>
    <w:rsid w:val="00A552E1"/>
    <w:rsid w:val="00A601C9"/>
    <w:rsid w:val="00A67410"/>
    <w:rsid w:val="00A74ED9"/>
    <w:rsid w:val="00A8158D"/>
    <w:rsid w:val="00A87D98"/>
    <w:rsid w:val="00A92F6B"/>
    <w:rsid w:val="00A953AD"/>
    <w:rsid w:val="00A95F38"/>
    <w:rsid w:val="00AA03FF"/>
    <w:rsid w:val="00AA2A99"/>
    <w:rsid w:val="00AB308D"/>
    <w:rsid w:val="00AC04D8"/>
    <w:rsid w:val="00AC11C8"/>
    <w:rsid w:val="00AC35AB"/>
    <w:rsid w:val="00AD3625"/>
    <w:rsid w:val="00AD75EF"/>
    <w:rsid w:val="00AE164C"/>
    <w:rsid w:val="00AE26CC"/>
    <w:rsid w:val="00AE6E6B"/>
    <w:rsid w:val="00AF2984"/>
    <w:rsid w:val="00AF2EF8"/>
    <w:rsid w:val="00AF6378"/>
    <w:rsid w:val="00B1053B"/>
    <w:rsid w:val="00B16FDE"/>
    <w:rsid w:val="00B272F5"/>
    <w:rsid w:val="00B27C4A"/>
    <w:rsid w:val="00B307CB"/>
    <w:rsid w:val="00B47572"/>
    <w:rsid w:val="00B61531"/>
    <w:rsid w:val="00B64655"/>
    <w:rsid w:val="00B6663E"/>
    <w:rsid w:val="00B8724C"/>
    <w:rsid w:val="00B93779"/>
    <w:rsid w:val="00B93F91"/>
    <w:rsid w:val="00B94210"/>
    <w:rsid w:val="00BA07F8"/>
    <w:rsid w:val="00BB1347"/>
    <w:rsid w:val="00BB6780"/>
    <w:rsid w:val="00BC060A"/>
    <w:rsid w:val="00BC19B2"/>
    <w:rsid w:val="00BC46ED"/>
    <w:rsid w:val="00BC6278"/>
    <w:rsid w:val="00BD34BD"/>
    <w:rsid w:val="00BE0925"/>
    <w:rsid w:val="00BE2F8C"/>
    <w:rsid w:val="00BE4250"/>
    <w:rsid w:val="00BE5533"/>
    <w:rsid w:val="00BE7373"/>
    <w:rsid w:val="00BF2873"/>
    <w:rsid w:val="00BF3148"/>
    <w:rsid w:val="00BF52EA"/>
    <w:rsid w:val="00BF5E64"/>
    <w:rsid w:val="00C145EB"/>
    <w:rsid w:val="00C213B9"/>
    <w:rsid w:val="00C322DD"/>
    <w:rsid w:val="00C35032"/>
    <w:rsid w:val="00C41CBC"/>
    <w:rsid w:val="00C466D9"/>
    <w:rsid w:val="00C47FF6"/>
    <w:rsid w:val="00C50EA0"/>
    <w:rsid w:val="00C60F68"/>
    <w:rsid w:val="00C620E7"/>
    <w:rsid w:val="00C62C97"/>
    <w:rsid w:val="00C63F6F"/>
    <w:rsid w:val="00C658B6"/>
    <w:rsid w:val="00C66A37"/>
    <w:rsid w:val="00C771A7"/>
    <w:rsid w:val="00C840A5"/>
    <w:rsid w:val="00C93EEC"/>
    <w:rsid w:val="00CA461A"/>
    <w:rsid w:val="00CA555E"/>
    <w:rsid w:val="00CC107E"/>
    <w:rsid w:val="00CE4307"/>
    <w:rsid w:val="00CF5087"/>
    <w:rsid w:val="00D0123E"/>
    <w:rsid w:val="00D031FE"/>
    <w:rsid w:val="00D0361E"/>
    <w:rsid w:val="00D04453"/>
    <w:rsid w:val="00D1367E"/>
    <w:rsid w:val="00D14C3F"/>
    <w:rsid w:val="00D213DD"/>
    <w:rsid w:val="00D21C20"/>
    <w:rsid w:val="00D24291"/>
    <w:rsid w:val="00D272A3"/>
    <w:rsid w:val="00D31903"/>
    <w:rsid w:val="00D32475"/>
    <w:rsid w:val="00D37936"/>
    <w:rsid w:val="00D37F8F"/>
    <w:rsid w:val="00D45F4E"/>
    <w:rsid w:val="00D51893"/>
    <w:rsid w:val="00D56B49"/>
    <w:rsid w:val="00D6780B"/>
    <w:rsid w:val="00D7523A"/>
    <w:rsid w:val="00D8025D"/>
    <w:rsid w:val="00D82533"/>
    <w:rsid w:val="00D87E87"/>
    <w:rsid w:val="00D96253"/>
    <w:rsid w:val="00DA5206"/>
    <w:rsid w:val="00DB08E8"/>
    <w:rsid w:val="00DB1471"/>
    <w:rsid w:val="00DC5A17"/>
    <w:rsid w:val="00DC6140"/>
    <w:rsid w:val="00DE0348"/>
    <w:rsid w:val="00DE4CEA"/>
    <w:rsid w:val="00DF609A"/>
    <w:rsid w:val="00E11A71"/>
    <w:rsid w:val="00E14F9C"/>
    <w:rsid w:val="00E21312"/>
    <w:rsid w:val="00E23F5B"/>
    <w:rsid w:val="00E24492"/>
    <w:rsid w:val="00E2696A"/>
    <w:rsid w:val="00E309B4"/>
    <w:rsid w:val="00E32783"/>
    <w:rsid w:val="00E502F9"/>
    <w:rsid w:val="00E50AEA"/>
    <w:rsid w:val="00E517C4"/>
    <w:rsid w:val="00E630D4"/>
    <w:rsid w:val="00E72E54"/>
    <w:rsid w:val="00E910D6"/>
    <w:rsid w:val="00EA7112"/>
    <w:rsid w:val="00EB5D44"/>
    <w:rsid w:val="00EB7982"/>
    <w:rsid w:val="00ED6498"/>
    <w:rsid w:val="00ED6FCC"/>
    <w:rsid w:val="00EE0201"/>
    <w:rsid w:val="00EE0B9D"/>
    <w:rsid w:val="00EE2583"/>
    <w:rsid w:val="00EE5916"/>
    <w:rsid w:val="00EF0935"/>
    <w:rsid w:val="00EF471B"/>
    <w:rsid w:val="00EF62B1"/>
    <w:rsid w:val="00EF7774"/>
    <w:rsid w:val="00F2236A"/>
    <w:rsid w:val="00F23F53"/>
    <w:rsid w:val="00F27331"/>
    <w:rsid w:val="00F27908"/>
    <w:rsid w:val="00F279AD"/>
    <w:rsid w:val="00F27AF1"/>
    <w:rsid w:val="00F31608"/>
    <w:rsid w:val="00F31811"/>
    <w:rsid w:val="00F32ED3"/>
    <w:rsid w:val="00F36030"/>
    <w:rsid w:val="00F36220"/>
    <w:rsid w:val="00F4234D"/>
    <w:rsid w:val="00F435A8"/>
    <w:rsid w:val="00F460CB"/>
    <w:rsid w:val="00F4652F"/>
    <w:rsid w:val="00F50A0F"/>
    <w:rsid w:val="00F56FE6"/>
    <w:rsid w:val="00F620DF"/>
    <w:rsid w:val="00F73009"/>
    <w:rsid w:val="00F77092"/>
    <w:rsid w:val="00F94EB1"/>
    <w:rsid w:val="00F9577B"/>
    <w:rsid w:val="00FA49DA"/>
    <w:rsid w:val="00FA7773"/>
    <w:rsid w:val="00FA7ABA"/>
    <w:rsid w:val="00FB0CBD"/>
    <w:rsid w:val="00FC18C4"/>
    <w:rsid w:val="00FC4A85"/>
    <w:rsid w:val="00FC5946"/>
    <w:rsid w:val="00FC67CB"/>
    <w:rsid w:val="00FC6A9D"/>
    <w:rsid w:val="00FC6BBC"/>
    <w:rsid w:val="00FD0C85"/>
    <w:rsid w:val="00FD7927"/>
    <w:rsid w:val="00FE60AF"/>
    <w:rsid w:val="00FF2524"/>
    <w:rsid w:val="00FF63C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B2"/>
    <w:rPr>
      <w:sz w:val="24"/>
      <w:szCs w:val="24"/>
    </w:rPr>
  </w:style>
  <w:style w:type="paragraph" w:styleId="Heading1">
    <w:name w:val="heading 1"/>
    <w:basedOn w:val="Normal"/>
    <w:next w:val="Normal"/>
    <w:link w:val="Heading1Char"/>
    <w:uiPriority w:val="99"/>
    <w:qFormat/>
    <w:rsid w:val="00344152"/>
    <w:pPr>
      <w:keepNext/>
      <w:jc w:val="both"/>
      <w:outlineLvl w:val="0"/>
    </w:pPr>
    <w:rPr>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4152"/>
    <w:rPr>
      <w:rFonts w:cs="Times New Roman"/>
      <w:sz w:val="28"/>
      <w:u w:val="single"/>
      <w:lang w:eastAsia="en-US"/>
    </w:rPr>
  </w:style>
  <w:style w:type="paragraph" w:customStyle="1" w:styleId="naisf">
    <w:name w:val="naisf"/>
    <w:basedOn w:val="Normal"/>
    <w:uiPriority w:val="99"/>
    <w:rsid w:val="00BC19B2"/>
    <w:pPr>
      <w:spacing w:before="75" w:after="75"/>
      <w:ind w:firstLine="375"/>
      <w:jc w:val="both"/>
    </w:pPr>
  </w:style>
  <w:style w:type="paragraph" w:customStyle="1" w:styleId="naisnod">
    <w:name w:val="naisnod"/>
    <w:basedOn w:val="Normal"/>
    <w:uiPriority w:val="99"/>
    <w:rsid w:val="00BC19B2"/>
    <w:pPr>
      <w:spacing w:before="150" w:after="150"/>
      <w:jc w:val="center"/>
    </w:pPr>
    <w:rPr>
      <w:b/>
      <w:bCs/>
    </w:rPr>
  </w:style>
  <w:style w:type="paragraph" w:customStyle="1" w:styleId="naislab">
    <w:name w:val="naislab"/>
    <w:basedOn w:val="Normal"/>
    <w:uiPriority w:val="99"/>
    <w:rsid w:val="00BC19B2"/>
    <w:pPr>
      <w:spacing w:before="75" w:after="75"/>
      <w:jc w:val="right"/>
    </w:pPr>
  </w:style>
  <w:style w:type="paragraph" w:customStyle="1" w:styleId="naiskr">
    <w:name w:val="naiskr"/>
    <w:basedOn w:val="Normal"/>
    <w:uiPriority w:val="99"/>
    <w:rsid w:val="00BC19B2"/>
    <w:pPr>
      <w:spacing w:before="75" w:after="75"/>
    </w:pPr>
  </w:style>
  <w:style w:type="paragraph" w:customStyle="1" w:styleId="naisc">
    <w:name w:val="naisc"/>
    <w:basedOn w:val="Normal"/>
    <w:uiPriority w:val="99"/>
    <w:rsid w:val="00BC19B2"/>
    <w:pPr>
      <w:spacing w:before="75" w:after="75"/>
      <w:jc w:val="center"/>
    </w:pPr>
  </w:style>
  <w:style w:type="character" w:styleId="Hyperlink">
    <w:name w:val="Hyperlink"/>
    <w:uiPriority w:val="99"/>
    <w:rsid w:val="00BC19B2"/>
    <w:rPr>
      <w:rFonts w:cs="Times New Roman"/>
      <w:color w:val="0000FF"/>
      <w:u w:val="single"/>
    </w:rPr>
  </w:style>
  <w:style w:type="paragraph" w:styleId="Header">
    <w:name w:val="header"/>
    <w:basedOn w:val="Normal"/>
    <w:link w:val="HeaderChar"/>
    <w:uiPriority w:val="99"/>
    <w:rsid w:val="00BC19B2"/>
    <w:pPr>
      <w:tabs>
        <w:tab w:val="center" w:pos="4153"/>
        <w:tab w:val="right" w:pos="8306"/>
      </w:tabs>
    </w:pPr>
  </w:style>
  <w:style w:type="character" w:customStyle="1" w:styleId="HeaderChar">
    <w:name w:val="Header Char"/>
    <w:link w:val="Header"/>
    <w:uiPriority w:val="99"/>
    <w:semiHidden/>
    <w:rsid w:val="005907F0"/>
    <w:rPr>
      <w:sz w:val="24"/>
      <w:szCs w:val="24"/>
    </w:rPr>
  </w:style>
  <w:style w:type="character" w:styleId="PageNumber">
    <w:name w:val="page number"/>
    <w:uiPriority w:val="99"/>
    <w:rsid w:val="00BC19B2"/>
    <w:rPr>
      <w:rFonts w:cs="Times New Roman"/>
    </w:rPr>
  </w:style>
  <w:style w:type="paragraph" w:styleId="Footer">
    <w:name w:val="footer"/>
    <w:basedOn w:val="Normal"/>
    <w:link w:val="FooterChar"/>
    <w:uiPriority w:val="99"/>
    <w:rsid w:val="00BC19B2"/>
    <w:pPr>
      <w:tabs>
        <w:tab w:val="center" w:pos="4153"/>
        <w:tab w:val="right" w:pos="8306"/>
      </w:tabs>
    </w:pPr>
  </w:style>
  <w:style w:type="character" w:customStyle="1" w:styleId="FooterChar">
    <w:name w:val="Footer Char"/>
    <w:link w:val="Footer"/>
    <w:uiPriority w:val="99"/>
    <w:locked/>
    <w:rsid w:val="00F31608"/>
    <w:rPr>
      <w:rFonts w:cs="Times New Roman"/>
      <w:sz w:val="24"/>
      <w:szCs w:val="24"/>
    </w:rPr>
  </w:style>
  <w:style w:type="paragraph" w:styleId="BodyTextIndent3">
    <w:name w:val="Body Text Indent 3"/>
    <w:basedOn w:val="Normal"/>
    <w:link w:val="BodyTextIndent3Char"/>
    <w:uiPriority w:val="99"/>
    <w:rsid w:val="00BC19B2"/>
    <w:pPr>
      <w:spacing w:after="120"/>
      <w:ind w:left="283"/>
    </w:pPr>
    <w:rPr>
      <w:sz w:val="16"/>
      <w:szCs w:val="16"/>
      <w:lang w:val="en-US" w:eastAsia="en-US"/>
    </w:rPr>
  </w:style>
  <w:style w:type="character" w:customStyle="1" w:styleId="BodyTextIndent3Char">
    <w:name w:val="Body Text Indent 3 Char"/>
    <w:link w:val="BodyTextIndent3"/>
    <w:uiPriority w:val="99"/>
    <w:semiHidden/>
    <w:locked/>
    <w:rsid w:val="00BC19B2"/>
    <w:rPr>
      <w:rFonts w:cs="Times New Roman"/>
      <w:sz w:val="16"/>
      <w:szCs w:val="16"/>
      <w:lang w:val="en-US" w:eastAsia="en-US" w:bidi="ar-SA"/>
    </w:rPr>
  </w:style>
  <w:style w:type="paragraph" w:styleId="BodyTextIndent">
    <w:name w:val="Body Text Indent"/>
    <w:basedOn w:val="Normal"/>
    <w:link w:val="BodyTextIndentChar"/>
    <w:uiPriority w:val="99"/>
    <w:rsid w:val="00BC19B2"/>
    <w:pPr>
      <w:spacing w:after="120"/>
      <w:ind w:left="283"/>
    </w:pPr>
  </w:style>
  <w:style w:type="character" w:customStyle="1" w:styleId="BodyTextIndentChar">
    <w:name w:val="Body Text Indent Char"/>
    <w:link w:val="BodyTextIndent"/>
    <w:uiPriority w:val="99"/>
    <w:semiHidden/>
    <w:locked/>
    <w:rsid w:val="00BC19B2"/>
    <w:rPr>
      <w:rFonts w:cs="Times New Roman"/>
      <w:sz w:val="24"/>
      <w:szCs w:val="24"/>
      <w:lang w:val="lv-LV" w:eastAsia="lv-LV" w:bidi="ar-SA"/>
    </w:rPr>
  </w:style>
  <w:style w:type="table" w:styleId="TableGrid">
    <w:name w:val="Table Grid"/>
    <w:basedOn w:val="TableNormal"/>
    <w:uiPriority w:val="99"/>
    <w:rsid w:val="00ED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6E0F0D"/>
    <w:rPr>
      <w:rFonts w:cs="Times New Roman"/>
      <w:color w:val="800080"/>
      <w:u w:val="single"/>
    </w:rPr>
  </w:style>
  <w:style w:type="paragraph" w:customStyle="1" w:styleId="Default">
    <w:name w:val="Default"/>
    <w:uiPriority w:val="99"/>
    <w:rsid w:val="008645DF"/>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semiHidden/>
    <w:rsid w:val="007402C0"/>
    <w:rPr>
      <w:rFonts w:ascii="Tahoma" w:hAnsi="Tahoma" w:cs="Tahoma"/>
      <w:sz w:val="16"/>
      <w:szCs w:val="16"/>
    </w:rPr>
  </w:style>
  <w:style w:type="character" w:customStyle="1" w:styleId="BalloonTextChar">
    <w:name w:val="Balloon Text Char"/>
    <w:link w:val="BalloonText"/>
    <w:uiPriority w:val="99"/>
    <w:semiHidden/>
    <w:rsid w:val="005907F0"/>
    <w:rPr>
      <w:sz w:val="0"/>
      <w:szCs w:val="0"/>
    </w:rPr>
  </w:style>
  <w:style w:type="character" w:customStyle="1" w:styleId="apple-style-span">
    <w:name w:val="apple-style-span"/>
    <w:uiPriority w:val="99"/>
    <w:rsid w:val="007A1754"/>
    <w:rPr>
      <w:rFonts w:cs="Times New Roman"/>
    </w:rPr>
  </w:style>
  <w:style w:type="paragraph" w:styleId="DocumentMap">
    <w:name w:val="Document Map"/>
    <w:basedOn w:val="Normal"/>
    <w:link w:val="DocumentMapChar"/>
    <w:uiPriority w:val="99"/>
    <w:semiHidden/>
    <w:rsid w:val="00C66A37"/>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5907F0"/>
    <w:rPr>
      <w:sz w:val="0"/>
      <w:szCs w:val="0"/>
    </w:rPr>
  </w:style>
  <w:style w:type="paragraph" w:styleId="Title">
    <w:name w:val="Title"/>
    <w:basedOn w:val="Normal"/>
    <w:link w:val="TitleChar"/>
    <w:uiPriority w:val="99"/>
    <w:qFormat/>
    <w:rsid w:val="008339B1"/>
    <w:pPr>
      <w:jc w:val="center"/>
    </w:pPr>
    <w:rPr>
      <w:sz w:val="32"/>
      <w:lang w:eastAsia="en-US"/>
    </w:rPr>
  </w:style>
  <w:style w:type="character" w:customStyle="1" w:styleId="TitleChar">
    <w:name w:val="Title Char"/>
    <w:link w:val="Title"/>
    <w:uiPriority w:val="99"/>
    <w:locked/>
    <w:rsid w:val="008339B1"/>
    <w:rPr>
      <w:rFonts w:cs="Times New Roman"/>
      <w:sz w:val="24"/>
      <w:szCs w:val="24"/>
      <w:lang w:eastAsia="en-US"/>
    </w:rPr>
  </w:style>
  <w:style w:type="character" w:styleId="CommentReference">
    <w:name w:val="annotation reference"/>
    <w:uiPriority w:val="99"/>
    <w:rsid w:val="003E2DC5"/>
    <w:rPr>
      <w:rFonts w:cs="Times New Roman"/>
      <w:sz w:val="16"/>
      <w:szCs w:val="16"/>
    </w:rPr>
  </w:style>
  <w:style w:type="paragraph" w:styleId="CommentText">
    <w:name w:val="annotation text"/>
    <w:basedOn w:val="Normal"/>
    <w:link w:val="CommentTextChar"/>
    <w:uiPriority w:val="99"/>
    <w:rsid w:val="003E2DC5"/>
    <w:rPr>
      <w:sz w:val="20"/>
      <w:szCs w:val="20"/>
    </w:rPr>
  </w:style>
  <w:style w:type="character" w:customStyle="1" w:styleId="CommentTextChar">
    <w:name w:val="Comment Text Char"/>
    <w:link w:val="CommentText"/>
    <w:uiPriority w:val="99"/>
    <w:locked/>
    <w:rsid w:val="003E2DC5"/>
    <w:rPr>
      <w:rFonts w:cs="Times New Roman"/>
    </w:rPr>
  </w:style>
  <w:style w:type="paragraph" w:styleId="CommentSubject">
    <w:name w:val="annotation subject"/>
    <w:basedOn w:val="CommentText"/>
    <w:next w:val="CommentText"/>
    <w:link w:val="CommentSubjectChar"/>
    <w:uiPriority w:val="99"/>
    <w:rsid w:val="003E2DC5"/>
    <w:rPr>
      <w:b/>
      <w:bCs/>
    </w:rPr>
  </w:style>
  <w:style w:type="character" w:customStyle="1" w:styleId="CommentSubjectChar">
    <w:name w:val="Comment Subject Char"/>
    <w:link w:val="CommentSubject"/>
    <w:uiPriority w:val="99"/>
    <w:locked/>
    <w:rsid w:val="003E2DC5"/>
    <w:rPr>
      <w:rFonts w:cs="Times New Roman"/>
      <w:b/>
      <w:bCs/>
    </w:rPr>
  </w:style>
  <w:style w:type="paragraph" w:styleId="ListParagraph">
    <w:name w:val="List Paragraph"/>
    <w:basedOn w:val="Normal"/>
    <w:uiPriority w:val="99"/>
    <w:qFormat/>
    <w:rsid w:val="00560366"/>
    <w:pPr>
      <w:ind w:left="720"/>
      <w:contextualSpacing/>
    </w:pPr>
  </w:style>
  <w:style w:type="character" w:customStyle="1" w:styleId="st1">
    <w:name w:val="st1"/>
    <w:uiPriority w:val="99"/>
    <w:rsid w:val="00DC6140"/>
    <w:rPr>
      <w:rFonts w:cs="Times New Roman"/>
    </w:rPr>
  </w:style>
  <w:style w:type="paragraph" w:customStyle="1" w:styleId="contentstory">
    <w:name w:val="contentstory"/>
    <w:basedOn w:val="Normal"/>
    <w:rsid w:val="00FC6A9D"/>
    <w:pPr>
      <w:spacing w:before="100" w:beforeAutospacing="1" w:after="100" w:afterAutospacing="1"/>
      <w:jc w:val="both"/>
    </w:pPr>
    <w:rPr>
      <w:rFonts w:ascii="TimesNewRoman" w:hAnsi="TimesNewRoman"/>
      <w:color w:val="003366"/>
      <w:sz w:val="20"/>
      <w:szCs w:val="20"/>
    </w:rPr>
  </w:style>
  <w:style w:type="paragraph" w:customStyle="1" w:styleId="tv2131">
    <w:name w:val="tv2131"/>
    <w:basedOn w:val="Normal"/>
    <w:rsid w:val="002942DE"/>
    <w:pPr>
      <w:spacing w:line="360" w:lineRule="auto"/>
      <w:ind w:firstLine="300"/>
    </w:pPr>
    <w:rPr>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9B2"/>
    <w:rPr>
      <w:sz w:val="24"/>
      <w:szCs w:val="24"/>
    </w:rPr>
  </w:style>
  <w:style w:type="paragraph" w:styleId="Heading1">
    <w:name w:val="heading 1"/>
    <w:basedOn w:val="Normal"/>
    <w:next w:val="Normal"/>
    <w:link w:val="Heading1Char"/>
    <w:uiPriority w:val="99"/>
    <w:qFormat/>
    <w:rsid w:val="00344152"/>
    <w:pPr>
      <w:keepNext/>
      <w:jc w:val="both"/>
      <w:outlineLvl w:val="0"/>
    </w:pPr>
    <w:rPr>
      <w:sz w:val="28"/>
      <w:szCs w:val="20"/>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44152"/>
    <w:rPr>
      <w:rFonts w:cs="Times New Roman"/>
      <w:sz w:val="28"/>
      <w:u w:val="single"/>
      <w:lang w:eastAsia="en-US"/>
    </w:rPr>
  </w:style>
  <w:style w:type="paragraph" w:customStyle="1" w:styleId="naisf">
    <w:name w:val="naisf"/>
    <w:basedOn w:val="Normal"/>
    <w:uiPriority w:val="99"/>
    <w:rsid w:val="00BC19B2"/>
    <w:pPr>
      <w:spacing w:before="75" w:after="75"/>
      <w:ind w:firstLine="375"/>
      <w:jc w:val="both"/>
    </w:pPr>
  </w:style>
  <w:style w:type="paragraph" w:customStyle="1" w:styleId="naisnod">
    <w:name w:val="naisnod"/>
    <w:basedOn w:val="Normal"/>
    <w:uiPriority w:val="99"/>
    <w:rsid w:val="00BC19B2"/>
    <w:pPr>
      <w:spacing w:before="150" w:after="150"/>
      <w:jc w:val="center"/>
    </w:pPr>
    <w:rPr>
      <w:b/>
      <w:bCs/>
    </w:rPr>
  </w:style>
  <w:style w:type="paragraph" w:customStyle="1" w:styleId="naislab">
    <w:name w:val="naislab"/>
    <w:basedOn w:val="Normal"/>
    <w:uiPriority w:val="99"/>
    <w:rsid w:val="00BC19B2"/>
    <w:pPr>
      <w:spacing w:before="75" w:after="75"/>
      <w:jc w:val="right"/>
    </w:pPr>
  </w:style>
  <w:style w:type="paragraph" w:customStyle="1" w:styleId="naiskr">
    <w:name w:val="naiskr"/>
    <w:basedOn w:val="Normal"/>
    <w:uiPriority w:val="99"/>
    <w:rsid w:val="00BC19B2"/>
    <w:pPr>
      <w:spacing w:before="75" w:after="75"/>
    </w:pPr>
  </w:style>
  <w:style w:type="paragraph" w:customStyle="1" w:styleId="naisc">
    <w:name w:val="naisc"/>
    <w:basedOn w:val="Normal"/>
    <w:uiPriority w:val="99"/>
    <w:rsid w:val="00BC19B2"/>
    <w:pPr>
      <w:spacing w:before="75" w:after="75"/>
      <w:jc w:val="center"/>
    </w:pPr>
  </w:style>
  <w:style w:type="character" w:styleId="Hyperlink">
    <w:name w:val="Hyperlink"/>
    <w:uiPriority w:val="99"/>
    <w:rsid w:val="00BC19B2"/>
    <w:rPr>
      <w:rFonts w:cs="Times New Roman"/>
      <w:color w:val="0000FF"/>
      <w:u w:val="single"/>
    </w:rPr>
  </w:style>
  <w:style w:type="paragraph" w:styleId="Header">
    <w:name w:val="header"/>
    <w:basedOn w:val="Normal"/>
    <w:link w:val="HeaderChar"/>
    <w:uiPriority w:val="99"/>
    <w:rsid w:val="00BC19B2"/>
    <w:pPr>
      <w:tabs>
        <w:tab w:val="center" w:pos="4153"/>
        <w:tab w:val="right" w:pos="8306"/>
      </w:tabs>
    </w:pPr>
  </w:style>
  <w:style w:type="character" w:customStyle="1" w:styleId="HeaderChar">
    <w:name w:val="Header Char"/>
    <w:link w:val="Header"/>
    <w:uiPriority w:val="99"/>
    <w:semiHidden/>
    <w:rsid w:val="005907F0"/>
    <w:rPr>
      <w:sz w:val="24"/>
      <w:szCs w:val="24"/>
    </w:rPr>
  </w:style>
  <w:style w:type="character" w:styleId="PageNumber">
    <w:name w:val="page number"/>
    <w:uiPriority w:val="99"/>
    <w:rsid w:val="00BC19B2"/>
    <w:rPr>
      <w:rFonts w:cs="Times New Roman"/>
    </w:rPr>
  </w:style>
  <w:style w:type="paragraph" w:styleId="Footer">
    <w:name w:val="footer"/>
    <w:basedOn w:val="Normal"/>
    <w:link w:val="FooterChar"/>
    <w:uiPriority w:val="99"/>
    <w:rsid w:val="00BC19B2"/>
    <w:pPr>
      <w:tabs>
        <w:tab w:val="center" w:pos="4153"/>
        <w:tab w:val="right" w:pos="8306"/>
      </w:tabs>
    </w:pPr>
  </w:style>
  <w:style w:type="character" w:customStyle="1" w:styleId="FooterChar">
    <w:name w:val="Footer Char"/>
    <w:link w:val="Footer"/>
    <w:uiPriority w:val="99"/>
    <w:locked/>
    <w:rsid w:val="00F31608"/>
    <w:rPr>
      <w:rFonts w:cs="Times New Roman"/>
      <w:sz w:val="24"/>
      <w:szCs w:val="24"/>
    </w:rPr>
  </w:style>
  <w:style w:type="paragraph" w:styleId="BodyTextIndent3">
    <w:name w:val="Body Text Indent 3"/>
    <w:basedOn w:val="Normal"/>
    <w:link w:val="BodyTextIndent3Char"/>
    <w:uiPriority w:val="99"/>
    <w:rsid w:val="00BC19B2"/>
    <w:pPr>
      <w:spacing w:after="120"/>
      <w:ind w:left="283"/>
    </w:pPr>
    <w:rPr>
      <w:sz w:val="16"/>
      <w:szCs w:val="16"/>
      <w:lang w:val="en-US" w:eastAsia="en-US"/>
    </w:rPr>
  </w:style>
  <w:style w:type="character" w:customStyle="1" w:styleId="BodyTextIndent3Char">
    <w:name w:val="Body Text Indent 3 Char"/>
    <w:link w:val="BodyTextIndent3"/>
    <w:uiPriority w:val="99"/>
    <w:semiHidden/>
    <w:locked/>
    <w:rsid w:val="00BC19B2"/>
    <w:rPr>
      <w:rFonts w:cs="Times New Roman"/>
      <w:sz w:val="16"/>
      <w:szCs w:val="16"/>
      <w:lang w:val="en-US" w:eastAsia="en-US" w:bidi="ar-SA"/>
    </w:rPr>
  </w:style>
  <w:style w:type="paragraph" w:styleId="BodyTextIndent">
    <w:name w:val="Body Text Indent"/>
    <w:basedOn w:val="Normal"/>
    <w:link w:val="BodyTextIndentChar"/>
    <w:uiPriority w:val="99"/>
    <w:rsid w:val="00BC19B2"/>
    <w:pPr>
      <w:spacing w:after="120"/>
      <w:ind w:left="283"/>
    </w:pPr>
  </w:style>
  <w:style w:type="character" w:customStyle="1" w:styleId="BodyTextIndentChar">
    <w:name w:val="Body Text Indent Char"/>
    <w:link w:val="BodyTextIndent"/>
    <w:uiPriority w:val="99"/>
    <w:semiHidden/>
    <w:locked/>
    <w:rsid w:val="00BC19B2"/>
    <w:rPr>
      <w:rFonts w:cs="Times New Roman"/>
      <w:sz w:val="24"/>
      <w:szCs w:val="24"/>
      <w:lang w:val="lv-LV" w:eastAsia="lv-LV" w:bidi="ar-SA"/>
    </w:rPr>
  </w:style>
  <w:style w:type="table" w:styleId="TableGrid">
    <w:name w:val="Table Grid"/>
    <w:basedOn w:val="TableNormal"/>
    <w:uiPriority w:val="99"/>
    <w:rsid w:val="00ED64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rsid w:val="006E0F0D"/>
    <w:rPr>
      <w:rFonts w:cs="Times New Roman"/>
      <w:color w:val="800080"/>
      <w:u w:val="single"/>
    </w:rPr>
  </w:style>
  <w:style w:type="paragraph" w:customStyle="1" w:styleId="Default">
    <w:name w:val="Default"/>
    <w:uiPriority w:val="99"/>
    <w:rsid w:val="008645DF"/>
    <w:pPr>
      <w:autoSpaceDE w:val="0"/>
      <w:autoSpaceDN w:val="0"/>
      <w:adjustRightInd w:val="0"/>
    </w:pPr>
    <w:rPr>
      <w:rFonts w:ascii="EUAlbertina" w:hAnsi="EUAlbertina" w:cs="EUAlbertina"/>
      <w:color w:val="000000"/>
      <w:sz w:val="24"/>
      <w:szCs w:val="24"/>
    </w:rPr>
  </w:style>
  <w:style w:type="paragraph" w:styleId="BalloonText">
    <w:name w:val="Balloon Text"/>
    <w:basedOn w:val="Normal"/>
    <w:link w:val="BalloonTextChar"/>
    <w:uiPriority w:val="99"/>
    <w:semiHidden/>
    <w:rsid w:val="007402C0"/>
    <w:rPr>
      <w:rFonts w:ascii="Tahoma" w:hAnsi="Tahoma" w:cs="Tahoma"/>
      <w:sz w:val="16"/>
      <w:szCs w:val="16"/>
    </w:rPr>
  </w:style>
  <w:style w:type="character" w:customStyle="1" w:styleId="BalloonTextChar">
    <w:name w:val="Balloon Text Char"/>
    <w:link w:val="BalloonText"/>
    <w:uiPriority w:val="99"/>
    <w:semiHidden/>
    <w:rsid w:val="005907F0"/>
    <w:rPr>
      <w:sz w:val="0"/>
      <w:szCs w:val="0"/>
    </w:rPr>
  </w:style>
  <w:style w:type="character" w:customStyle="1" w:styleId="apple-style-span">
    <w:name w:val="apple-style-span"/>
    <w:uiPriority w:val="99"/>
    <w:rsid w:val="007A1754"/>
    <w:rPr>
      <w:rFonts w:cs="Times New Roman"/>
    </w:rPr>
  </w:style>
  <w:style w:type="paragraph" w:styleId="DocumentMap">
    <w:name w:val="Document Map"/>
    <w:basedOn w:val="Normal"/>
    <w:link w:val="DocumentMapChar"/>
    <w:uiPriority w:val="99"/>
    <w:semiHidden/>
    <w:rsid w:val="00C66A37"/>
    <w:pPr>
      <w:shd w:val="clear" w:color="auto" w:fill="000080"/>
    </w:pPr>
    <w:rPr>
      <w:rFonts w:ascii="Tahoma" w:hAnsi="Tahoma" w:cs="Tahoma"/>
      <w:sz w:val="20"/>
      <w:szCs w:val="20"/>
    </w:rPr>
  </w:style>
  <w:style w:type="character" w:customStyle="1" w:styleId="DocumentMapChar">
    <w:name w:val="Document Map Char"/>
    <w:link w:val="DocumentMap"/>
    <w:uiPriority w:val="99"/>
    <w:semiHidden/>
    <w:rsid w:val="005907F0"/>
    <w:rPr>
      <w:sz w:val="0"/>
      <w:szCs w:val="0"/>
    </w:rPr>
  </w:style>
  <w:style w:type="paragraph" w:styleId="Title">
    <w:name w:val="Title"/>
    <w:basedOn w:val="Normal"/>
    <w:link w:val="TitleChar"/>
    <w:uiPriority w:val="99"/>
    <w:qFormat/>
    <w:rsid w:val="008339B1"/>
    <w:pPr>
      <w:jc w:val="center"/>
    </w:pPr>
    <w:rPr>
      <w:sz w:val="32"/>
      <w:lang w:eastAsia="en-US"/>
    </w:rPr>
  </w:style>
  <w:style w:type="character" w:customStyle="1" w:styleId="TitleChar">
    <w:name w:val="Title Char"/>
    <w:link w:val="Title"/>
    <w:uiPriority w:val="99"/>
    <w:locked/>
    <w:rsid w:val="008339B1"/>
    <w:rPr>
      <w:rFonts w:cs="Times New Roman"/>
      <w:sz w:val="24"/>
      <w:szCs w:val="24"/>
      <w:lang w:eastAsia="en-US"/>
    </w:rPr>
  </w:style>
  <w:style w:type="character" w:styleId="CommentReference">
    <w:name w:val="annotation reference"/>
    <w:uiPriority w:val="99"/>
    <w:rsid w:val="003E2DC5"/>
    <w:rPr>
      <w:rFonts w:cs="Times New Roman"/>
      <w:sz w:val="16"/>
      <w:szCs w:val="16"/>
    </w:rPr>
  </w:style>
  <w:style w:type="paragraph" w:styleId="CommentText">
    <w:name w:val="annotation text"/>
    <w:basedOn w:val="Normal"/>
    <w:link w:val="CommentTextChar"/>
    <w:uiPriority w:val="99"/>
    <w:rsid w:val="003E2DC5"/>
    <w:rPr>
      <w:sz w:val="20"/>
      <w:szCs w:val="20"/>
    </w:rPr>
  </w:style>
  <w:style w:type="character" w:customStyle="1" w:styleId="CommentTextChar">
    <w:name w:val="Comment Text Char"/>
    <w:link w:val="CommentText"/>
    <w:uiPriority w:val="99"/>
    <w:locked/>
    <w:rsid w:val="003E2DC5"/>
    <w:rPr>
      <w:rFonts w:cs="Times New Roman"/>
    </w:rPr>
  </w:style>
  <w:style w:type="paragraph" w:styleId="CommentSubject">
    <w:name w:val="annotation subject"/>
    <w:basedOn w:val="CommentText"/>
    <w:next w:val="CommentText"/>
    <w:link w:val="CommentSubjectChar"/>
    <w:uiPriority w:val="99"/>
    <w:rsid w:val="003E2DC5"/>
    <w:rPr>
      <w:b/>
      <w:bCs/>
    </w:rPr>
  </w:style>
  <w:style w:type="character" w:customStyle="1" w:styleId="CommentSubjectChar">
    <w:name w:val="Comment Subject Char"/>
    <w:link w:val="CommentSubject"/>
    <w:uiPriority w:val="99"/>
    <w:locked/>
    <w:rsid w:val="003E2DC5"/>
    <w:rPr>
      <w:rFonts w:cs="Times New Roman"/>
      <w:b/>
      <w:bCs/>
    </w:rPr>
  </w:style>
  <w:style w:type="paragraph" w:styleId="ListParagraph">
    <w:name w:val="List Paragraph"/>
    <w:basedOn w:val="Normal"/>
    <w:uiPriority w:val="99"/>
    <w:qFormat/>
    <w:rsid w:val="00560366"/>
    <w:pPr>
      <w:ind w:left="720"/>
      <w:contextualSpacing/>
    </w:pPr>
  </w:style>
  <w:style w:type="character" w:customStyle="1" w:styleId="st1">
    <w:name w:val="st1"/>
    <w:uiPriority w:val="99"/>
    <w:rsid w:val="00DC6140"/>
    <w:rPr>
      <w:rFonts w:cs="Times New Roman"/>
    </w:rPr>
  </w:style>
  <w:style w:type="paragraph" w:customStyle="1" w:styleId="contentstory">
    <w:name w:val="contentstory"/>
    <w:basedOn w:val="Normal"/>
    <w:rsid w:val="00FC6A9D"/>
    <w:pPr>
      <w:spacing w:before="100" w:beforeAutospacing="1" w:after="100" w:afterAutospacing="1"/>
      <w:jc w:val="both"/>
    </w:pPr>
    <w:rPr>
      <w:rFonts w:ascii="TimesNewRoman" w:hAnsi="TimesNewRoman"/>
      <w:color w:val="003366"/>
      <w:sz w:val="20"/>
      <w:szCs w:val="20"/>
    </w:rPr>
  </w:style>
  <w:style w:type="paragraph" w:customStyle="1" w:styleId="tv2131">
    <w:name w:val="tv2131"/>
    <w:basedOn w:val="Normal"/>
    <w:rsid w:val="002942DE"/>
    <w:pPr>
      <w:spacing w:line="360" w:lineRule="auto"/>
      <w:ind w:firstLine="300"/>
    </w:pPr>
    <w:rPr>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139291">
      <w:bodyDiv w:val="1"/>
      <w:marLeft w:val="0"/>
      <w:marRight w:val="0"/>
      <w:marTop w:val="0"/>
      <w:marBottom w:val="0"/>
      <w:divBdr>
        <w:top w:val="none" w:sz="0" w:space="0" w:color="auto"/>
        <w:left w:val="none" w:sz="0" w:space="0" w:color="auto"/>
        <w:bottom w:val="none" w:sz="0" w:space="0" w:color="auto"/>
        <w:right w:val="none" w:sz="0" w:space="0" w:color="auto"/>
      </w:divBdr>
    </w:div>
    <w:div w:id="762528394">
      <w:marLeft w:val="0"/>
      <w:marRight w:val="0"/>
      <w:marTop w:val="0"/>
      <w:marBottom w:val="0"/>
      <w:divBdr>
        <w:top w:val="none" w:sz="0" w:space="0" w:color="auto"/>
        <w:left w:val="none" w:sz="0" w:space="0" w:color="auto"/>
        <w:bottom w:val="none" w:sz="0" w:space="0" w:color="auto"/>
        <w:right w:val="none" w:sz="0" w:space="0" w:color="auto"/>
      </w:divBdr>
    </w:div>
    <w:div w:id="762528395">
      <w:marLeft w:val="0"/>
      <w:marRight w:val="0"/>
      <w:marTop w:val="0"/>
      <w:marBottom w:val="0"/>
      <w:divBdr>
        <w:top w:val="none" w:sz="0" w:space="0" w:color="auto"/>
        <w:left w:val="none" w:sz="0" w:space="0" w:color="auto"/>
        <w:bottom w:val="none" w:sz="0" w:space="0" w:color="auto"/>
        <w:right w:val="none" w:sz="0" w:space="0" w:color="auto"/>
      </w:divBdr>
    </w:div>
    <w:div w:id="762528396">
      <w:marLeft w:val="0"/>
      <w:marRight w:val="0"/>
      <w:marTop w:val="0"/>
      <w:marBottom w:val="0"/>
      <w:divBdr>
        <w:top w:val="none" w:sz="0" w:space="0" w:color="auto"/>
        <w:left w:val="none" w:sz="0" w:space="0" w:color="auto"/>
        <w:bottom w:val="none" w:sz="0" w:space="0" w:color="auto"/>
        <w:right w:val="none" w:sz="0" w:space="0" w:color="auto"/>
      </w:divBdr>
    </w:div>
    <w:div w:id="762528397">
      <w:marLeft w:val="0"/>
      <w:marRight w:val="0"/>
      <w:marTop w:val="0"/>
      <w:marBottom w:val="0"/>
      <w:divBdr>
        <w:top w:val="none" w:sz="0" w:space="0" w:color="auto"/>
        <w:left w:val="none" w:sz="0" w:space="0" w:color="auto"/>
        <w:bottom w:val="none" w:sz="0" w:space="0" w:color="auto"/>
        <w:right w:val="none" w:sz="0" w:space="0" w:color="auto"/>
      </w:divBdr>
    </w:div>
    <w:div w:id="762528398">
      <w:marLeft w:val="0"/>
      <w:marRight w:val="0"/>
      <w:marTop w:val="0"/>
      <w:marBottom w:val="0"/>
      <w:divBdr>
        <w:top w:val="none" w:sz="0" w:space="0" w:color="auto"/>
        <w:left w:val="none" w:sz="0" w:space="0" w:color="auto"/>
        <w:bottom w:val="none" w:sz="0" w:space="0" w:color="auto"/>
        <w:right w:val="none" w:sz="0" w:space="0" w:color="auto"/>
      </w:divBdr>
    </w:div>
    <w:div w:id="762528399">
      <w:marLeft w:val="0"/>
      <w:marRight w:val="0"/>
      <w:marTop w:val="0"/>
      <w:marBottom w:val="0"/>
      <w:divBdr>
        <w:top w:val="none" w:sz="0" w:space="0" w:color="auto"/>
        <w:left w:val="none" w:sz="0" w:space="0" w:color="auto"/>
        <w:bottom w:val="none" w:sz="0" w:space="0" w:color="auto"/>
        <w:right w:val="none" w:sz="0" w:space="0" w:color="auto"/>
      </w:divBdr>
    </w:div>
    <w:div w:id="762528400">
      <w:marLeft w:val="0"/>
      <w:marRight w:val="0"/>
      <w:marTop w:val="0"/>
      <w:marBottom w:val="0"/>
      <w:divBdr>
        <w:top w:val="none" w:sz="0" w:space="0" w:color="auto"/>
        <w:left w:val="none" w:sz="0" w:space="0" w:color="auto"/>
        <w:bottom w:val="none" w:sz="0" w:space="0" w:color="auto"/>
        <w:right w:val="none" w:sz="0" w:space="0" w:color="auto"/>
      </w:divBdr>
    </w:div>
    <w:div w:id="107054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ta.Skribnovska@em.gov.l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4096</Words>
  <Characters>2335</Characters>
  <Application>Microsoft Office Word</Application>
  <DocSecurity>0</DocSecurity>
  <Lines>19</Lines>
  <Paragraphs>12</Paragraphs>
  <ScaleCrop>false</ScaleCrop>
  <HeadingPairs>
    <vt:vector size="2" baseType="variant">
      <vt:variant>
        <vt:lpstr>Title</vt:lpstr>
      </vt:variant>
      <vt:variant>
        <vt:i4>1</vt:i4>
      </vt:variant>
    </vt:vector>
  </HeadingPairs>
  <TitlesOfParts>
    <vt:vector size="1" baseType="lpstr">
      <vt:lpstr>Ministru kabineta noteikumu projekta  „Par Ministru kabineta 2006.gada 19.decembra noteikumu Nr.1015 „Noteikumi par valsts aģentūras „Latvijas Nacionālais metroloģijas centrs” sniegto publisko maksas pakalpojumu cenrādi” atzīšanu par spēku zaudējušiem” sā</vt:lpstr>
    </vt:vector>
  </TitlesOfParts>
  <Company>Ekonomikas ministrija</Company>
  <LinksUpToDate>false</LinksUpToDate>
  <CharactersWithSpaces>6419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„Par Ministru kabineta 2006.gada 19.decembra noteikumu Nr.1015 „Noteikumi par valsts aģentūras „Latvijas Nacionālais metroloģijas centrs” sniegto publisko maksas pakalpojumu cenrādi” atzīšanu par spēku zaudējušiem” sākotnējās ietekmes novērtējuma ziņojums (anotācija)</dc:title>
  <dc:subject>Anotācija</dc:subject>
  <dc:creator>Elita.Skribnovska@em.gov.lv</dc:creator>
  <cp:keywords/>
  <dc:description>67013051; Elita.Skribnovska@em.gov.lv</dc:description>
  <cp:lastModifiedBy>SkribnovskaE</cp:lastModifiedBy>
  <cp:revision>7</cp:revision>
  <cp:lastPrinted>2013-07-24T06:13:00Z</cp:lastPrinted>
  <dcterms:created xsi:type="dcterms:W3CDTF">2013-09-04T05:41:00Z</dcterms:created>
  <dcterms:modified xsi:type="dcterms:W3CDTF">2013-09-04T13:05:00Z</dcterms:modified>
</cp:coreProperties>
</file>