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751B35" w:rsidRDefault="00BB09C5" w:rsidP="002238D4">
      <w:pPr>
        <w:pStyle w:val="BodyText"/>
        <w:jc w:val="center"/>
        <w:rPr>
          <w:b/>
          <w:szCs w:val="28"/>
        </w:rPr>
      </w:pPr>
      <w:bookmarkStart w:id="0" w:name="OLE_LINK3"/>
      <w:bookmarkStart w:id="1" w:name="OLE_LINK1"/>
      <w:bookmarkStart w:id="2" w:name="OLE_LINK2"/>
      <w:r w:rsidRPr="00751B35">
        <w:rPr>
          <w:b/>
          <w:szCs w:val="28"/>
        </w:rPr>
        <w:t xml:space="preserve">Ministru kabineta </w:t>
      </w:r>
      <w:r w:rsidR="00C83591" w:rsidRPr="00751B35">
        <w:rPr>
          <w:b/>
          <w:szCs w:val="28"/>
        </w:rPr>
        <w:t>noteikumu</w:t>
      </w:r>
      <w:r w:rsidR="001764E7" w:rsidRPr="00751B35">
        <w:rPr>
          <w:b/>
          <w:szCs w:val="28"/>
        </w:rPr>
        <w:t xml:space="preserve"> </w:t>
      </w:r>
      <w:r w:rsidRPr="00751B35">
        <w:rPr>
          <w:b/>
          <w:szCs w:val="28"/>
        </w:rPr>
        <w:t>projekta „</w:t>
      </w:r>
      <w:bookmarkStart w:id="3" w:name="OLE_LINK4"/>
      <w:bookmarkStart w:id="4" w:name="OLE_LINK5"/>
      <w:r w:rsidR="0061387A" w:rsidRPr="00751B35">
        <w:rPr>
          <w:b/>
          <w:szCs w:val="28"/>
        </w:rPr>
        <w:t>Grozījums</w:t>
      </w:r>
      <w:r w:rsidR="001611D0" w:rsidRPr="00751B35">
        <w:rPr>
          <w:b/>
          <w:szCs w:val="28"/>
        </w:rPr>
        <w:t xml:space="preserve"> Ministru kabineta 2010.gada 31.augusta noteikumos Nr.824 „Noteikumi par darbības programmas „Infrastruktūra un pakalpojumi” papildinājuma </w:t>
      </w:r>
      <w:r w:rsidR="003F0C4F" w:rsidRPr="00751B35">
        <w:rPr>
          <w:b/>
          <w:szCs w:val="28"/>
        </w:rPr>
        <w:t xml:space="preserve">3.5.2.1.1.apakšaktivitātes </w:t>
      </w:r>
      <w:r w:rsidR="001611D0" w:rsidRPr="00751B35">
        <w:rPr>
          <w:b/>
          <w:szCs w:val="28"/>
        </w:rPr>
        <w:t>„Pasākumi centralizētās siltumapgādes sistēmu efektivitātes paaugstināšanai” projektu iesniegumu atlases otro kārtu un turpmākajām kārtām”</w:t>
      </w:r>
      <w:bookmarkEnd w:id="3"/>
      <w:bookmarkEnd w:id="4"/>
      <w:r w:rsidR="00E73425" w:rsidRPr="00751B35">
        <w:rPr>
          <w:b/>
          <w:szCs w:val="28"/>
        </w:rPr>
        <w:t>”</w:t>
      </w:r>
      <w:r w:rsidR="003000F0" w:rsidRPr="00751B35">
        <w:rPr>
          <w:b/>
          <w:szCs w:val="28"/>
        </w:rPr>
        <w:t xml:space="preserve"> sākotnējās ietekmes novērtējuma ziņojums</w:t>
      </w:r>
      <w:r w:rsidR="00E73425" w:rsidRPr="00751B35">
        <w:rPr>
          <w:b/>
          <w:szCs w:val="28"/>
        </w:rPr>
        <w:t xml:space="preserve"> </w:t>
      </w:r>
      <w:r w:rsidR="003000F0" w:rsidRPr="00751B35">
        <w:rPr>
          <w:b/>
          <w:szCs w:val="28"/>
        </w:rPr>
        <w:t>(</w:t>
      </w:r>
      <w:r w:rsidR="00E73425" w:rsidRPr="00751B35">
        <w:rPr>
          <w:b/>
          <w:szCs w:val="28"/>
        </w:rPr>
        <w:t>anotācija</w:t>
      </w:r>
      <w:r w:rsidR="003000F0" w:rsidRPr="00751B35">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751B35"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751B35" w:rsidRDefault="00A31FDC" w:rsidP="002238D4">
            <w:pPr>
              <w:ind w:firstLine="720"/>
              <w:jc w:val="both"/>
              <w:rPr>
                <w:rFonts w:eastAsia="Times New Roman"/>
                <w:b/>
                <w:sz w:val="28"/>
                <w:szCs w:val="28"/>
                <w:lang w:val="lv-LV" w:eastAsia="lv-LV"/>
              </w:rPr>
            </w:pPr>
            <w:r w:rsidRPr="00751B35">
              <w:rPr>
                <w:rFonts w:eastAsia="Times New Roman"/>
                <w:b/>
                <w:sz w:val="28"/>
                <w:szCs w:val="28"/>
                <w:lang w:val="lv-LV" w:eastAsia="lv-LV"/>
              </w:rPr>
              <w:t>I.</w:t>
            </w:r>
            <w:r w:rsidR="0070219F" w:rsidRPr="00751B35">
              <w:rPr>
                <w:rFonts w:eastAsia="Times New Roman"/>
                <w:b/>
                <w:sz w:val="28"/>
                <w:szCs w:val="28"/>
                <w:lang w:val="lv-LV" w:eastAsia="lv-LV"/>
              </w:rPr>
              <w:t> </w:t>
            </w:r>
            <w:r w:rsidRPr="00751B35">
              <w:rPr>
                <w:rFonts w:eastAsia="Times New Roman"/>
                <w:b/>
                <w:sz w:val="28"/>
                <w:szCs w:val="28"/>
                <w:lang w:val="lv-LV" w:eastAsia="lv-LV"/>
              </w:rPr>
              <w:t>Tiesību akta projekta izstrādes nepieciešamība</w:t>
            </w:r>
          </w:p>
        </w:tc>
      </w:tr>
      <w:tr w:rsidR="00A31FDC" w:rsidRPr="00751B35"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01626D" w:rsidP="007A3C54">
            <w:pPr>
              <w:ind w:firstLine="709"/>
              <w:jc w:val="both"/>
              <w:rPr>
                <w:sz w:val="28"/>
                <w:szCs w:val="28"/>
              </w:rPr>
            </w:pPr>
            <w:r w:rsidRPr="00751B35">
              <w:rPr>
                <w:sz w:val="28"/>
                <w:szCs w:val="28"/>
                <w:lang w:val="lv-LV"/>
              </w:rPr>
              <w:t xml:space="preserve">Noteikumu projekts sagatavots, pamatojoties uz Eiropas Savienības struktūrfondu un </w:t>
            </w:r>
            <w:r w:rsidRPr="00751B35">
              <w:rPr>
                <w:sz w:val="28"/>
                <w:szCs w:val="28"/>
                <w:lang w:val="lv-LV"/>
              </w:rPr>
              <w:br/>
              <w:t xml:space="preserve">Kohēzijas fonda vadības likuma </w:t>
            </w:r>
            <w:r w:rsidRPr="00751B35">
              <w:rPr>
                <w:sz w:val="28"/>
                <w:szCs w:val="28"/>
                <w:lang w:val="lv-LV"/>
              </w:rPr>
              <w:br/>
              <w:t>18.panta 10.punktu.</w:t>
            </w:r>
          </w:p>
        </w:tc>
      </w:tr>
      <w:tr w:rsidR="00A31FDC" w:rsidRPr="00751B35" w:rsidTr="00347801">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980F0E" w:rsidRPr="00751B35" w:rsidRDefault="00980F0E" w:rsidP="00980F0E">
            <w:pPr>
              <w:spacing w:before="120" w:after="120"/>
              <w:ind w:firstLine="709"/>
              <w:jc w:val="both"/>
              <w:rPr>
                <w:bCs/>
                <w:sz w:val="28"/>
                <w:szCs w:val="28"/>
                <w:lang w:val="lv-LV"/>
              </w:rPr>
            </w:pPr>
            <w:r w:rsidRPr="00751B35">
              <w:rPr>
                <w:bCs/>
                <w:sz w:val="28"/>
                <w:szCs w:val="28"/>
                <w:lang w:val="lv-LV"/>
              </w:rPr>
              <w:t>3.5.2.1.1.apakšaktivitātes „Pasākumi centralizētās siltumapgādes sistēmu efektivitātes paaugstināšanai” (turpmāk – 3.5.2.1.1.apakšaktivitāte) ieviešanu regulē Ministru kabineta 2009.gada 17.februāra noteikumi Nr.162 „Noteikumi par darbības programmas „Infrastruktūra un pakalpojumi” papildinājuma 3.5.2.1.1.apakšaktivitātes „Pasākumi centralizētās siltumapgādes sistēmu efektivitātes paaugstināšanai” projektu iesniegumu atlases</w:t>
            </w:r>
            <w:r w:rsidRPr="00751B35">
              <w:rPr>
                <w:bCs/>
                <w:sz w:val="28"/>
                <w:szCs w:val="28"/>
                <w:u w:val="single"/>
                <w:lang w:val="lv-LV"/>
              </w:rPr>
              <w:t xml:space="preserve"> pirmo kārtu</w:t>
            </w:r>
            <w:r w:rsidRPr="00751B35">
              <w:rPr>
                <w:bCs/>
                <w:sz w:val="28"/>
                <w:szCs w:val="28"/>
                <w:lang w:val="lv-LV"/>
              </w:rPr>
              <w:t xml:space="preserve">” (turpmāk – MK noteikumi Nr.162) un Ministru kabineta 2010.gada 31.augusta noteikumi Nr.824 „Noteikumi par darbības programmas „Infrastruktūra un pakalpojumi” papildinājuma 3.5.2.1.1.apakšaktivitātes „Pasākumi centralizētās siltumapgādes sistēmu efektivitātes paaugstināšanai” projektu iesniegumu atlases </w:t>
            </w:r>
            <w:r w:rsidRPr="00751B35">
              <w:rPr>
                <w:bCs/>
                <w:sz w:val="28"/>
                <w:szCs w:val="28"/>
                <w:u w:val="single"/>
                <w:lang w:val="lv-LV"/>
              </w:rPr>
              <w:t>otro kārtu un turpmākajām kārtām</w:t>
            </w:r>
            <w:r w:rsidRPr="00751B35">
              <w:rPr>
                <w:bCs/>
                <w:sz w:val="28"/>
                <w:szCs w:val="28"/>
                <w:lang w:val="lv-LV"/>
              </w:rPr>
              <w:t>”” (turpmāk – MK noteikumi Nr.824).</w:t>
            </w:r>
          </w:p>
          <w:p w:rsidR="00980F0E" w:rsidRPr="00751B35" w:rsidRDefault="00980F0E" w:rsidP="00980F0E">
            <w:pPr>
              <w:spacing w:before="120" w:after="120"/>
              <w:ind w:firstLine="709"/>
              <w:jc w:val="both"/>
              <w:rPr>
                <w:bCs/>
                <w:sz w:val="28"/>
                <w:szCs w:val="28"/>
                <w:lang w:val="lv-LV"/>
              </w:rPr>
            </w:pPr>
            <w:r w:rsidRPr="00751B35">
              <w:rPr>
                <w:bCs/>
                <w:sz w:val="28"/>
                <w:szCs w:val="28"/>
                <w:lang w:val="lv-LV"/>
              </w:rPr>
              <w:t xml:space="preserve">MK noteikumos Nr.162 ir noteikts, ka 3.5.2.1.1.apakšaktivitātes projektu iesniegumu atlases pirmajā kārtā pieejamais Kohēzijas </w:t>
            </w:r>
            <w:r w:rsidR="002B01D7" w:rsidRPr="00751B35">
              <w:rPr>
                <w:bCs/>
                <w:sz w:val="28"/>
                <w:szCs w:val="28"/>
                <w:lang w:val="lv-LV"/>
              </w:rPr>
              <w:t xml:space="preserve">fonda </w:t>
            </w:r>
            <w:r w:rsidRPr="00751B35">
              <w:rPr>
                <w:bCs/>
                <w:sz w:val="28"/>
                <w:szCs w:val="28"/>
                <w:lang w:val="lv-LV"/>
              </w:rPr>
              <w:t xml:space="preserve">(turpmāk – KF) finansējums ir </w:t>
            </w:r>
            <w:r w:rsidRPr="00751B35">
              <w:rPr>
                <w:sz w:val="28"/>
                <w:szCs w:val="28"/>
              </w:rPr>
              <w:t xml:space="preserve">8 955 796 </w:t>
            </w:r>
            <w:r w:rsidRPr="00751B35">
              <w:rPr>
                <w:i/>
                <w:sz w:val="28"/>
                <w:szCs w:val="28"/>
              </w:rPr>
              <w:t>euro</w:t>
            </w:r>
            <w:r w:rsidRPr="00751B35">
              <w:rPr>
                <w:bCs/>
                <w:sz w:val="28"/>
                <w:szCs w:val="28"/>
                <w:lang w:val="lv-LV"/>
              </w:rPr>
              <w:t xml:space="preserve"> (6 294 169 lati). 3.5.2.1.1.apakšaktivitātes projektu iesniegumu atlases </w:t>
            </w:r>
            <w:r w:rsidRPr="00751B35">
              <w:rPr>
                <w:bCs/>
                <w:sz w:val="28"/>
                <w:szCs w:val="28"/>
                <w:u w:val="single"/>
                <w:lang w:val="lv-LV"/>
              </w:rPr>
              <w:t>pirmajā kārtā</w:t>
            </w:r>
            <w:r w:rsidRPr="00751B35">
              <w:rPr>
                <w:bCs/>
                <w:sz w:val="28"/>
                <w:szCs w:val="28"/>
                <w:lang w:val="lv-LV"/>
              </w:rPr>
              <w:t xml:space="preserve"> ir noslēgti 11 līgumi par projektu īstenošanu par KF finansējumu 6 2941 68,74, tas ir, par visu MK noteikumos Nr.162 noteikto KF finansējumu.</w:t>
            </w:r>
          </w:p>
          <w:p w:rsidR="00980F0E" w:rsidRPr="00751B35" w:rsidRDefault="00980F0E" w:rsidP="00AA0E78">
            <w:pPr>
              <w:spacing w:before="120" w:after="120"/>
              <w:ind w:firstLine="709"/>
              <w:jc w:val="both"/>
              <w:rPr>
                <w:bCs/>
                <w:sz w:val="28"/>
                <w:szCs w:val="28"/>
                <w:lang w:val="lv-LV"/>
              </w:rPr>
            </w:pPr>
            <w:r w:rsidRPr="00751B35">
              <w:rPr>
                <w:bCs/>
                <w:sz w:val="28"/>
                <w:szCs w:val="28"/>
                <w:lang w:val="lv-LV"/>
              </w:rPr>
              <w:t xml:space="preserve">Savukārt MK noteikumos Nr.824 ir noteikts, ka </w:t>
            </w:r>
            <w:r w:rsidRPr="00751B35">
              <w:rPr>
                <w:bCs/>
                <w:sz w:val="28"/>
                <w:szCs w:val="28"/>
                <w:lang w:val="lv-LV"/>
              </w:rPr>
              <w:lastRenderedPageBreak/>
              <w:t xml:space="preserve">3.5.2.1.1.apakšaktivitātes projektu iesniegumu atlases </w:t>
            </w:r>
            <w:r w:rsidR="005502FB" w:rsidRPr="00751B35">
              <w:rPr>
                <w:bCs/>
                <w:sz w:val="28"/>
                <w:szCs w:val="28"/>
                <w:u w:val="single"/>
                <w:lang w:val="lv-LV"/>
              </w:rPr>
              <w:t>otr</w:t>
            </w:r>
            <w:r w:rsidRPr="00751B35">
              <w:rPr>
                <w:bCs/>
                <w:sz w:val="28"/>
                <w:szCs w:val="28"/>
                <w:u w:val="single"/>
                <w:lang w:val="lv-LV"/>
              </w:rPr>
              <w:t>ā</w:t>
            </w:r>
            <w:r w:rsidR="005502FB" w:rsidRPr="00751B35">
              <w:rPr>
                <w:bCs/>
                <w:sz w:val="28"/>
                <w:szCs w:val="28"/>
                <w:u w:val="single"/>
                <w:lang w:val="lv-LV"/>
              </w:rPr>
              <w:t>s un turpmāko kārtu</w:t>
            </w:r>
            <w:r w:rsidRPr="00751B35">
              <w:rPr>
                <w:bCs/>
                <w:sz w:val="28"/>
                <w:szCs w:val="28"/>
                <w:lang w:val="lv-LV"/>
              </w:rPr>
              <w:t xml:space="preserve"> ietvaros pieejamais KF finansējums ir </w:t>
            </w:r>
            <w:r w:rsidRPr="00751B35">
              <w:rPr>
                <w:sz w:val="28"/>
                <w:szCs w:val="28"/>
              </w:rPr>
              <w:t>75 073 893</w:t>
            </w:r>
            <w:r w:rsidRPr="00751B35">
              <w:rPr>
                <w:bCs/>
                <w:i/>
                <w:sz w:val="28"/>
                <w:szCs w:val="28"/>
                <w:lang w:val="lv-LV"/>
              </w:rPr>
              <w:t xml:space="preserve"> </w:t>
            </w:r>
            <w:proofErr w:type="spellStart"/>
            <w:r w:rsidRPr="00751B35">
              <w:rPr>
                <w:bCs/>
                <w:i/>
                <w:sz w:val="28"/>
                <w:szCs w:val="28"/>
                <w:lang w:val="lv-LV"/>
              </w:rPr>
              <w:t>euro</w:t>
            </w:r>
            <w:proofErr w:type="spellEnd"/>
            <w:r w:rsidRPr="00751B35">
              <w:rPr>
                <w:bCs/>
                <w:i/>
                <w:sz w:val="28"/>
                <w:szCs w:val="28"/>
                <w:lang w:val="lv-LV"/>
              </w:rPr>
              <w:t xml:space="preserve"> </w:t>
            </w:r>
            <w:r w:rsidRPr="00751B35">
              <w:rPr>
                <w:bCs/>
                <w:sz w:val="28"/>
                <w:szCs w:val="28"/>
                <w:lang w:val="lv-LV"/>
              </w:rPr>
              <w:t xml:space="preserve">(52 762 232 lati). </w:t>
            </w:r>
            <w:r w:rsidR="00B1649C" w:rsidRPr="00751B35">
              <w:rPr>
                <w:bCs/>
                <w:sz w:val="28"/>
                <w:szCs w:val="28"/>
                <w:u w:val="single"/>
                <w:lang w:val="lv-LV"/>
              </w:rPr>
              <w:t>Līdz 22.11.2013. o</w:t>
            </w:r>
            <w:r w:rsidRPr="00751B35">
              <w:rPr>
                <w:bCs/>
                <w:sz w:val="28"/>
                <w:szCs w:val="28"/>
                <w:u w:val="single"/>
                <w:lang w:val="lv-LV"/>
              </w:rPr>
              <w:t>trajā un turpmākajās kārtās</w:t>
            </w:r>
            <w:r w:rsidRPr="00751B35">
              <w:rPr>
                <w:bCs/>
                <w:sz w:val="28"/>
                <w:szCs w:val="28"/>
                <w:lang w:val="lv-LV"/>
              </w:rPr>
              <w:t xml:space="preserve"> rezervētais KF finansējums (noslēgtie līgumi </w:t>
            </w:r>
            <w:r w:rsidR="005502FB" w:rsidRPr="00751B35">
              <w:rPr>
                <w:bCs/>
                <w:sz w:val="28"/>
                <w:szCs w:val="28"/>
                <w:lang w:val="lv-LV"/>
              </w:rPr>
              <w:t xml:space="preserve">otrajā līdz ceturtajā kārtā </w:t>
            </w:r>
            <w:r w:rsidRPr="00751B35">
              <w:rPr>
                <w:bCs/>
                <w:sz w:val="28"/>
                <w:szCs w:val="28"/>
                <w:lang w:val="lv-LV"/>
              </w:rPr>
              <w:t xml:space="preserve">un apstiprinātie projekti piektajā kārtā) </w:t>
            </w:r>
            <w:r w:rsidR="005502FB" w:rsidRPr="00751B35">
              <w:rPr>
                <w:bCs/>
                <w:sz w:val="28"/>
                <w:szCs w:val="28"/>
                <w:lang w:val="lv-LV"/>
              </w:rPr>
              <w:t xml:space="preserve">ir </w:t>
            </w:r>
            <w:r w:rsidR="00B1649C" w:rsidRPr="00751B35">
              <w:rPr>
                <w:bCs/>
                <w:sz w:val="28"/>
                <w:szCs w:val="28"/>
                <w:lang w:val="lv-LV"/>
              </w:rPr>
              <w:t>52 689 092,29</w:t>
            </w:r>
            <w:r w:rsidRPr="00751B35">
              <w:rPr>
                <w:bCs/>
                <w:sz w:val="28"/>
                <w:szCs w:val="28"/>
                <w:lang w:val="lv-LV"/>
              </w:rPr>
              <w:t xml:space="preserve"> lati, līdz ar to KF finansējuma atlikums ir </w:t>
            </w:r>
            <w:r w:rsidR="00B1649C" w:rsidRPr="00751B35">
              <w:rPr>
                <w:bCs/>
                <w:sz w:val="28"/>
                <w:szCs w:val="28"/>
                <w:lang w:val="lv-LV"/>
              </w:rPr>
              <w:t>73 139,71</w:t>
            </w:r>
            <w:r w:rsidRPr="00751B35">
              <w:rPr>
                <w:bCs/>
                <w:sz w:val="28"/>
                <w:szCs w:val="28"/>
                <w:lang w:val="lv-LV"/>
              </w:rPr>
              <w:t xml:space="preserve"> lati. Informējam, ka 31.10.2013. noslēdzās projektu vērtēšana un tika pieņemti lēmumi par projektu iesniegumu apstiprināšanu un noraidīšanu piektajā kārtā, kā rezultātā vienam projektam, kurš atbilst projektu iesniegumu vērtēšanas kritērijiem, ir nepietiekošs finansējums </w:t>
            </w:r>
            <w:r w:rsidR="00B1649C" w:rsidRPr="00751B35">
              <w:rPr>
                <w:sz w:val="28"/>
                <w:szCs w:val="28"/>
                <w:lang w:val="lv-LV" w:eastAsia="lv-LV"/>
              </w:rPr>
              <w:t>294 610,96</w:t>
            </w:r>
            <w:r w:rsidRPr="00751B35">
              <w:rPr>
                <w:bCs/>
                <w:sz w:val="28"/>
                <w:szCs w:val="28"/>
                <w:lang w:val="lv-LV"/>
              </w:rPr>
              <w:t xml:space="preserve"> lati.</w:t>
            </w:r>
          </w:p>
          <w:p w:rsidR="00544913" w:rsidRPr="00751B35" w:rsidRDefault="00A64ED3" w:rsidP="00AA0E78">
            <w:pPr>
              <w:ind w:firstLine="709"/>
              <w:jc w:val="both"/>
              <w:rPr>
                <w:bCs/>
                <w:sz w:val="28"/>
                <w:szCs w:val="28"/>
                <w:lang w:val="lv-LV"/>
              </w:rPr>
            </w:pPr>
            <w:r w:rsidRPr="00751B35">
              <w:rPr>
                <w:bCs/>
                <w:sz w:val="28"/>
                <w:szCs w:val="28"/>
                <w:lang w:val="lv-LV"/>
              </w:rPr>
              <w:t>Koalīcijas partneru darba grupas par Eiropas Savienības struktūrfondu un Kohēzijas fonda jautājumiem</w:t>
            </w:r>
            <w:r w:rsidR="00544913" w:rsidRPr="00751B35">
              <w:rPr>
                <w:bCs/>
                <w:sz w:val="28"/>
                <w:szCs w:val="28"/>
                <w:lang w:val="lv-LV"/>
              </w:rPr>
              <w:t xml:space="preserve"> sēdē 01.11.2013. tika panākta vienošanās piešķirt papildus finansējumu projektiem, kas 3.5.2.1.1.apakšaktivitātes projektu iesniegumu atlases piektajā kārtā tika noraidīti nepietiekama finansējuma dēļ, pārdalot </w:t>
            </w:r>
            <w:r w:rsidR="00C027B2" w:rsidRPr="00751B35">
              <w:rPr>
                <w:bCs/>
                <w:sz w:val="28"/>
                <w:szCs w:val="28"/>
                <w:lang w:val="lv-LV"/>
              </w:rPr>
              <w:t>finansējumu</w:t>
            </w:r>
            <w:r w:rsidR="00544913" w:rsidRPr="00751B35">
              <w:rPr>
                <w:bCs/>
                <w:sz w:val="28"/>
                <w:szCs w:val="28"/>
                <w:lang w:val="lv-LV"/>
              </w:rPr>
              <w:t xml:space="preserve"> no Vides aizsardzības un reģionālās attīstības ministrijas (turpmāk – VARAM) </w:t>
            </w:r>
            <w:proofErr w:type="spellStart"/>
            <w:r w:rsidR="00544913" w:rsidRPr="00751B35">
              <w:rPr>
                <w:bCs/>
                <w:sz w:val="28"/>
                <w:szCs w:val="28"/>
                <w:lang w:val="lv-LV"/>
              </w:rPr>
              <w:t>pārziņā</w:t>
            </w:r>
            <w:proofErr w:type="spellEnd"/>
            <w:r w:rsidR="00544913" w:rsidRPr="00751B35">
              <w:rPr>
                <w:bCs/>
                <w:sz w:val="28"/>
                <w:szCs w:val="28"/>
                <w:lang w:val="lv-LV"/>
              </w:rPr>
              <w:t xml:space="preserve"> esošajiem brīvajiem KF finansējuma līdzekļiem. VARAM ir informējusi Ekonomikas ministriju, ka </w:t>
            </w:r>
            <w:r w:rsidR="00351715" w:rsidRPr="00751B35">
              <w:rPr>
                <w:bCs/>
                <w:sz w:val="28"/>
                <w:szCs w:val="28"/>
                <w:lang w:val="lv-LV"/>
              </w:rPr>
              <w:t xml:space="preserve">3.5.1.2.3.apakšaktivitātes „Dalītas atkritumu apsaimniekošanas sistēmas attīstība” (turpmāk – 3.5.1.2.3.apakšaktivitāte) projektu iesniegumu atlases septītās kārtas ietvaros ir izveidojies KF finansējuma atlikums </w:t>
            </w:r>
            <w:r w:rsidR="005502FB" w:rsidRPr="00751B35">
              <w:rPr>
                <w:bCs/>
                <w:sz w:val="28"/>
                <w:szCs w:val="28"/>
                <w:lang w:val="lv-LV"/>
              </w:rPr>
              <w:t xml:space="preserve">un </w:t>
            </w:r>
            <w:r w:rsidR="00544913" w:rsidRPr="00751B35">
              <w:rPr>
                <w:bCs/>
                <w:sz w:val="28"/>
                <w:szCs w:val="28"/>
                <w:lang w:val="lv-LV"/>
              </w:rPr>
              <w:t xml:space="preserve">ir iespējama KF finansējuma novirzīšana no 3.5.1.2.3.apakšaktivitātes uz 3.5.2.1.1.apakšaktivitāti </w:t>
            </w:r>
            <w:r w:rsidR="00B1649C" w:rsidRPr="00751B35">
              <w:rPr>
                <w:sz w:val="28"/>
                <w:szCs w:val="28"/>
                <w:lang w:val="lv-LV" w:eastAsia="lv-LV"/>
              </w:rPr>
              <w:t>294 </w:t>
            </w:r>
            <w:r w:rsidR="002B5249" w:rsidRPr="00751B35">
              <w:rPr>
                <w:sz w:val="28"/>
                <w:szCs w:val="28"/>
                <w:lang w:val="lv-LV" w:eastAsia="lv-LV"/>
              </w:rPr>
              <w:t>611,22</w:t>
            </w:r>
            <w:r w:rsidR="00544913" w:rsidRPr="00751B35">
              <w:rPr>
                <w:bCs/>
                <w:sz w:val="28"/>
                <w:szCs w:val="28"/>
                <w:lang w:val="lv-LV"/>
              </w:rPr>
              <w:t xml:space="preserve"> latu apmērā.</w:t>
            </w:r>
          </w:p>
          <w:p w:rsidR="004D5486" w:rsidRPr="00751B35" w:rsidRDefault="00544913" w:rsidP="002B5249">
            <w:pPr>
              <w:ind w:firstLine="709"/>
              <w:jc w:val="both"/>
              <w:rPr>
                <w:bCs/>
                <w:sz w:val="28"/>
                <w:szCs w:val="28"/>
                <w:lang w:val="lv-LV"/>
              </w:rPr>
            </w:pPr>
            <w:r w:rsidRPr="00751B35">
              <w:rPr>
                <w:bCs/>
                <w:sz w:val="28"/>
                <w:szCs w:val="28"/>
                <w:lang w:val="lv-LV"/>
              </w:rPr>
              <w:t>Līdz ar to jā</w:t>
            </w:r>
            <w:r w:rsidR="00C342EF" w:rsidRPr="00751B35">
              <w:rPr>
                <w:bCs/>
                <w:sz w:val="28"/>
                <w:szCs w:val="28"/>
                <w:lang w:val="lv-LV"/>
              </w:rPr>
              <w:t>veic grozījums</w:t>
            </w:r>
            <w:r w:rsidR="00C342EF" w:rsidRPr="00751B35">
              <w:rPr>
                <w:sz w:val="28"/>
                <w:szCs w:val="28"/>
                <w:lang w:val="lv-LV" w:eastAsia="lv-LV"/>
              </w:rPr>
              <w:t xml:space="preserve"> </w:t>
            </w:r>
            <w:r w:rsidR="00C342EF" w:rsidRPr="00751B35">
              <w:rPr>
                <w:sz w:val="28"/>
                <w:szCs w:val="28"/>
                <w:lang w:val="lv-LV"/>
              </w:rPr>
              <w:t>MK noteikumos Nr.824</w:t>
            </w:r>
            <w:r w:rsidRPr="00751B35">
              <w:rPr>
                <w:sz w:val="28"/>
                <w:szCs w:val="28"/>
                <w:lang w:val="lv-LV" w:eastAsia="lv-LV"/>
              </w:rPr>
              <w:t xml:space="preserve"> </w:t>
            </w:r>
            <w:r w:rsidR="003114B3" w:rsidRPr="00751B35">
              <w:rPr>
                <w:sz w:val="28"/>
                <w:szCs w:val="28"/>
                <w:lang w:val="lv-LV" w:eastAsia="lv-LV"/>
              </w:rPr>
              <w:t xml:space="preserve">atbilstoši </w:t>
            </w:r>
            <w:r w:rsidR="00D504B2" w:rsidRPr="00751B35">
              <w:rPr>
                <w:sz w:val="28"/>
                <w:szCs w:val="28"/>
                <w:lang w:val="lv-LV" w:eastAsia="lv-LV"/>
              </w:rPr>
              <w:t>Ekonomikas ministrija</w:t>
            </w:r>
            <w:r w:rsidR="003114B3" w:rsidRPr="00751B35">
              <w:rPr>
                <w:sz w:val="28"/>
                <w:szCs w:val="28"/>
                <w:lang w:val="lv-LV" w:eastAsia="lv-LV"/>
              </w:rPr>
              <w:t>s</w:t>
            </w:r>
            <w:r w:rsidR="00D504B2" w:rsidRPr="00751B35">
              <w:rPr>
                <w:sz w:val="28"/>
                <w:szCs w:val="28"/>
                <w:lang w:val="lv-LV" w:eastAsia="lv-LV"/>
              </w:rPr>
              <w:t xml:space="preserve"> </w:t>
            </w:r>
            <w:r w:rsidR="003114B3" w:rsidRPr="00751B35">
              <w:rPr>
                <w:sz w:val="28"/>
                <w:szCs w:val="28"/>
                <w:lang w:val="lv-LV" w:eastAsia="lv-LV"/>
              </w:rPr>
              <w:t>izstrādātajam</w:t>
            </w:r>
            <w:r w:rsidR="00D504B2" w:rsidRPr="00751B35">
              <w:rPr>
                <w:sz w:val="28"/>
                <w:szCs w:val="28"/>
                <w:lang w:val="lv-LV" w:eastAsia="lv-LV"/>
              </w:rPr>
              <w:t xml:space="preserve"> Ministru kabineta rīkojuma projekt</w:t>
            </w:r>
            <w:r w:rsidR="003114B3" w:rsidRPr="00751B35">
              <w:rPr>
                <w:sz w:val="28"/>
                <w:szCs w:val="28"/>
                <w:lang w:val="lv-LV" w:eastAsia="lv-LV"/>
              </w:rPr>
              <w:t>am</w:t>
            </w:r>
            <w:r w:rsidR="00D504B2" w:rsidRPr="00751B35">
              <w:rPr>
                <w:sz w:val="28"/>
                <w:szCs w:val="28"/>
                <w:lang w:val="lv-LV" w:eastAsia="lv-LV"/>
              </w:rPr>
              <w:t xml:space="preserve"> „Grozījum</w:t>
            </w:r>
            <w:r w:rsidR="00A023DB" w:rsidRPr="00751B35">
              <w:rPr>
                <w:sz w:val="28"/>
                <w:szCs w:val="28"/>
                <w:lang w:val="lv-LV" w:eastAsia="lv-LV"/>
              </w:rPr>
              <w:t>i</w:t>
            </w:r>
            <w:r w:rsidR="00D504B2" w:rsidRPr="00751B35">
              <w:rPr>
                <w:sz w:val="28"/>
                <w:szCs w:val="28"/>
                <w:lang w:val="lv-LV" w:eastAsia="lv-LV"/>
              </w:rPr>
              <w:t xml:space="preserve"> darbības programmas „Infrastruktūra un pakalpojumi” papildinājumā”, kas paredz veikt KF finansējuma pārdali no </w:t>
            </w:r>
            <w:r w:rsidR="007D4D0F" w:rsidRPr="00751B35">
              <w:rPr>
                <w:sz w:val="28"/>
                <w:szCs w:val="28"/>
                <w:lang w:val="lv-LV" w:eastAsia="lv-LV"/>
              </w:rPr>
              <w:t xml:space="preserve">darbības programmas „Infrastruktūra un pakalpojumi” papildinājuma 3.5.1.2.3.apakšaktivitātes uz 3.5.2.1.1.apakšaktivitāti </w:t>
            </w:r>
            <w:r w:rsidR="003114B3" w:rsidRPr="00751B35">
              <w:rPr>
                <w:sz w:val="28"/>
                <w:szCs w:val="28"/>
                <w:lang w:val="lv-LV" w:eastAsia="lv-LV"/>
              </w:rPr>
              <w:t xml:space="preserve">par </w:t>
            </w:r>
            <w:r w:rsidR="00B1649C" w:rsidRPr="00751B35">
              <w:rPr>
                <w:sz w:val="28"/>
                <w:szCs w:val="28"/>
                <w:lang w:val="lv-LV" w:eastAsia="lv-LV"/>
              </w:rPr>
              <w:t>419 194</w:t>
            </w:r>
            <w:r w:rsidR="007D4D0F" w:rsidRPr="00751B35">
              <w:rPr>
                <w:sz w:val="28"/>
                <w:szCs w:val="28"/>
                <w:lang w:val="lv-LV" w:eastAsia="lv-LV"/>
              </w:rPr>
              <w:t xml:space="preserve"> </w:t>
            </w:r>
            <w:proofErr w:type="spellStart"/>
            <w:r w:rsidR="007D4D0F" w:rsidRPr="00751B35">
              <w:rPr>
                <w:i/>
                <w:sz w:val="28"/>
                <w:szCs w:val="28"/>
                <w:lang w:val="lv-LV" w:eastAsia="lv-LV"/>
              </w:rPr>
              <w:t>euro</w:t>
            </w:r>
            <w:proofErr w:type="spellEnd"/>
            <w:r w:rsidR="007D4D0F" w:rsidRPr="00751B35">
              <w:rPr>
                <w:sz w:val="28"/>
                <w:szCs w:val="28"/>
                <w:lang w:val="lv-LV" w:eastAsia="lv-LV"/>
              </w:rPr>
              <w:t xml:space="preserve"> (</w:t>
            </w:r>
            <w:r w:rsidR="00B1649C" w:rsidRPr="00751B35">
              <w:rPr>
                <w:sz w:val="28"/>
                <w:szCs w:val="28"/>
                <w:lang w:val="lv-LV" w:eastAsia="lv-LV"/>
              </w:rPr>
              <w:t>294 </w:t>
            </w:r>
            <w:r w:rsidR="002B5249" w:rsidRPr="00751B35">
              <w:rPr>
                <w:sz w:val="28"/>
                <w:szCs w:val="28"/>
                <w:lang w:val="lv-LV" w:eastAsia="lv-LV"/>
              </w:rPr>
              <w:t>611,22</w:t>
            </w:r>
            <w:r w:rsidR="007D4D0F" w:rsidRPr="00751B35">
              <w:rPr>
                <w:sz w:val="28"/>
                <w:szCs w:val="28"/>
                <w:lang w:val="lv-LV" w:eastAsia="lv-LV"/>
              </w:rPr>
              <w:t xml:space="preserve"> lati)</w:t>
            </w:r>
            <w:r w:rsidR="003114B3" w:rsidRPr="00751B35">
              <w:rPr>
                <w:sz w:val="28"/>
                <w:szCs w:val="28"/>
                <w:lang w:val="lv-LV" w:eastAsia="lv-LV"/>
              </w:rPr>
              <w:t>.</w:t>
            </w:r>
            <w:r w:rsidRPr="00751B35">
              <w:rPr>
                <w:sz w:val="28"/>
                <w:szCs w:val="28"/>
                <w:lang w:val="lv-LV" w:eastAsia="lv-LV"/>
              </w:rPr>
              <w:t xml:space="preserve"> Tādējādi tiks nodrošināta augstāk </w:t>
            </w:r>
            <w:r w:rsidRPr="00751B35">
              <w:rPr>
                <w:sz w:val="28"/>
                <w:szCs w:val="28"/>
                <w:lang w:val="lv-LV" w:eastAsia="lv-LV"/>
              </w:rPr>
              <w:lastRenderedPageBreak/>
              <w:t>minētā projekta īstenošana, kuram ir nepietiekošs finansējums 3.5.2.1.1.apakšaktivitātes piektajā kārtā</w:t>
            </w:r>
            <w:r w:rsidR="00980F0E" w:rsidRPr="00751B35">
              <w:rPr>
                <w:sz w:val="28"/>
                <w:szCs w:val="28"/>
                <w:lang w:val="lv-LV" w:eastAsia="lv-LV"/>
              </w:rPr>
              <w:t>, kā arī sekmēta KF finansējuma apguve</w:t>
            </w:r>
            <w:r w:rsidRPr="00751B35">
              <w:rPr>
                <w:sz w:val="28"/>
                <w:szCs w:val="28"/>
                <w:lang w:val="lv-LV" w:eastAsia="lv-LV"/>
              </w:rPr>
              <w:t>.</w:t>
            </w:r>
          </w:p>
        </w:tc>
      </w:tr>
      <w:tr w:rsidR="00A31FDC" w:rsidRPr="00751B35"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ind w:firstLine="720"/>
              <w:jc w:val="both"/>
              <w:rPr>
                <w:bCs/>
                <w:sz w:val="28"/>
                <w:szCs w:val="28"/>
                <w:lang w:val="lv-LV"/>
              </w:rPr>
            </w:pPr>
            <w:r w:rsidRPr="00751B35">
              <w:rPr>
                <w:iCs/>
                <w:sz w:val="28"/>
                <w:szCs w:val="28"/>
                <w:lang w:val="lv-LV"/>
              </w:rPr>
              <w:t>Projekts šo jomu neskar</w:t>
            </w:r>
            <w:r w:rsidR="00652901" w:rsidRPr="00751B35">
              <w:rPr>
                <w:color w:val="000000"/>
                <w:sz w:val="28"/>
                <w:szCs w:val="28"/>
                <w:lang w:val="lv-LV"/>
              </w:rPr>
              <w:t>.</w:t>
            </w:r>
          </w:p>
        </w:tc>
      </w:tr>
      <w:tr w:rsidR="00A31FDC" w:rsidRPr="00751B35" w:rsidTr="00E20E9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8A3E29" w:rsidRPr="00751B35" w:rsidRDefault="001D02A2" w:rsidP="00ED68FA">
            <w:pPr>
              <w:pStyle w:val="BodyText"/>
              <w:ind w:firstLine="709"/>
              <w:rPr>
                <w:szCs w:val="28"/>
              </w:rPr>
            </w:pPr>
            <w:r w:rsidRPr="00751B35">
              <w:rPr>
                <w:szCs w:val="28"/>
              </w:rPr>
              <w:t>Ministru kabineta noteikumu projekts paredz</w:t>
            </w:r>
            <w:r w:rsidR="00ED68FA" w:rsidRPr="00751B35">
              <w:rPr>
                <w:szCs w:val="28"/>
              </w:rPr>
              <w:t xml:space="preserve"> </w:t>
            </w:r>
            <w:r w:rsidR="00030BAE" w:rsidRPr="00751B35">
              <w:rPr>
                <w:szCs w:val="28"/>
              </w:rPr>
              <w:t>p</w:t>
            </w:r>
            <w:r w:rsidR="00F272C4" w:rsidRPr="00751B35">
              <w:rPr>
                <w:szCs w:val="28"/>
              </w:rPr>
              <w:t>ali</w:t>
            </w:r>
            <w:r w:rsidR="009A57E0" w:rsidRPr="00751B35">
              <w:rPr>
                <w:szCs w:val="28"/>
              </w:rPr>
              <w:t>elināt 3.5.2.1.1.apakšaktivitātes projektu iesniegumu atlases otrajā</w:t>
            </w:r>
            <w:r w:rsidR="00D838E0" w:rsidRPr="00751B35">
              <w:rPr>
                <w:szCs w:val="28"/>
              </w:rPr>
              <w:t xml:space="preserve"> kārtā</w:t>
            </w:r>
            <w:r w:rsidR="009A57E0" w:rsidRPr="00751B35">
              <w:rPr>
                <w:szCs w:val="28"/>
              </w:rPr>
              <w:t xml:space="preserve"> un turpmākajās kārtās</w:t>
            </w:r>
            <w:r w:rsidR="00F272C4" w:rsidRPr="00751B35">
              <w:rPr>
                <w:szCs w:val="28"/>
              </w:rPr>
              <w:t xml:space="preserve"> pieejamo KF finans</w:t>
            </w:r>
            <w:r w:rsidR="009839B3" w:rsidRPr="00751B35">
              <w:rPr>
                <w:szCs w:val="28"/>
              </w:rPr>
              <w:t xml:space="preserve">ējumu </w:t>
            </w:r>
            <w:r w:rsidR="00DA1A7B" w:rsidRPr="00751B35">
              <w:rPr>
                <w:szCs w:val="28"/>
              </w:rPr>
              <w:t>līdz</w:t>
            </w:r>
            <w:r w:rsidR="009839B3" w:rsidRPr="00751B35">
              <w:rPr>
                <w:szCs w:val="28"/>
              </w:rPr>
              <w:t xml:space="preserve"> </w:t>
            </w:r>
            <w:r w:rsidR="00B1649C" w:rsidRPr="00751B35">
              <w:rPr>
                <w:rFonts w:eastAsia="Arial Unicode MS"/>
                <w:szCs w:val="28"/>
                <w:lang w:eastAsia="en-US"/>
              </w:rPr>
              <w:t>75 493 087</w:t>
            </w:r>
            <w:r w:rsidR="00E81737" w:rsidRPr="00751B35">
              <w:rPr>
                <w:rFonts w:eastAsia="Arial Unicode MS"/>
                <w:szCs w:val="28"/>
                <w:lang w:eastAsia="en-US"/>
              </w:rPr>
              <w:t xml:space="preserve"> </w:t>
            </w:r>
            <w:proofErr w:type="spellStart"/>
            <w:r w:rsidR="003B2031" w:rsidRPr="00751B35">
              <w:rPr>
                <w:i/>
                <w:szCs w:val="28"/>
              </w:rPr>
              <w:t>euro</w:t>
            </w:r>
            <w:proofErr w:type="spellEnd"/>
            <w:r w:rsidR="00770BD3" w:rsidRPr="00751B35">
              <w:rPr>
                <w:szCs w:val="28"/>
              </w:rPr>
              <w:t xml:space="preserve"> un noteikt, ka finansējuma saņēmēju nodrošinātais kopējais līdzfinansējuma apjoms projektu īstenošanai nav mazāks par </w:t>
            </w:r>
            <w:r w:rsidR="00B1649C" w:rsidRPr="00751B35">
              <w:rPr>
                <w:rFonts w:eastAsia="Arial Unicode MS"/>
                <w:szCs w:val="28"/>
                <w:lang w:eastAsia="en-US"/>
              </w:rPr>
              <w:t>75 493 087</w:t>
            </w:r>
            <w:r w:rsidR="00E81737" w:rsidRPr="00751B35">
              <w:rPr>
                <w:rFonts w:eastAsia="Arial Unicode MS"/>
                <w:szCs w:val="28"/>
                <w:lang w:eastAsia="en-US"/>
              </w:rPr>
              <w:t xml:space="preserve"> </w:t>
            </w:r>
            <w:proofErr w:type="spellStart"/>
            <w:r w:rsidR="00770BD3" w:rsidRPr="00751B35">
              <w:rPr>
                <w:i/>
                <w:szCs w:val="28"/>
              </w:rPr>
              <w:t>euro</w:t>
            </w:r>
            <w:proofErr w:type="spellEnd"/>
            <w:r w:rsidR="00AA3F0D" w:rsidRPr="00751B35">
              <w:rPr>
                <w:szCs w:val="28"/>
              </w:rPr>
              <w:t>.</w:t>
            </w:r>
          </w:p>
        </w:tc>
      </w:tr>
      <w:tr w:rsidR="00A31FDC" w:rsidRPr="00751B35"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pStyle w:val="BodyText"/>
              <w:ind w:right="142" w:firstLine="720"/>
              <w:rPr>
                <w:szCs w:val="28"/>
              </w:rPr>
            </w:pPr>
            <w:r w:rsidRPr="00751B35">
              <w:rPr>
                <w:iCs/>
                <w:szCs w:val="28"/>
              </w:rPr>
              <w:t>Projekts šo jomu neskar</w:t>
            </w:r>
            <w:r w:rsidRPr="00751B35">
              <w:rPr>
                <w:szCs w:val="28"/>
              </w:rPr>
              <w:t>.</w:t>
            </w:r>
          </w:p>
        </w:tc>
      </w:tr>
      <w:tr w:rsidR="00A31FDC" w:rsidRPr="00751B35"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pStyle w:val="BodyText"/>
              <w:ind w:right="142" w:firstLine="720"/>
              <w:rPr>
                <w:szCs w:val="28"/>
              </w:rPr>
            </w:pPr>
            <w:r w:rsidRPr="00751B35">
              <w:rPr>
                <w:iCs/>
                <w:szCs w:val="28"/>
              </w:rPr>
              <w:t>Projekts šo jomu neskar</w:t>
            </w:r>
            <w:r w:rsidRPr="00751B35">
              <w:rPr>
                <w:szCs w:val="28"/>
              </w:rPr>
              <w:t>.</w:t>
            </w:r>
          </w:p>
        </w:tc>
      </w:tr>
      <w:tr w:rsidR="00A31FDC" w:rsidRPr="00751B35"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A31FDC" w:rsidP="002238D4">
            <w:pPr>
              <w:jc w:val="both"/>
              <w:rPr>
                <w:rFonts w:eastAsia="Times New Roman"/>
                <w:sz w:val="28"/>
                <w:szCs w:val="28"/>
                <w:lang w:val="lv-LV" w:eastAsia="lv-LV"/>
              </w:rPr>
            </w:pPr>
            <w:r w:rsidRPr="00751B35">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51B35" w:rsidRDefault="00F74809" w:rsidP="002238D4">
            <w:pPr>
              <w:ind w:left="142" w:firstLine="567"/>
              <w:jc w:val="both"/>
              <w:rPr>
                <w:sz w:val="28"/>
                <w:szCs w:val="28"/>
                <w:lang w:val="lv-LV"/>
              </w:rPr>
            </w:pPr>
            <w:r w:rsidRPr="00751B35">
              <w:rPr>
                <w:sz w:val="28"/>
                <w:szCs w:val="28"/>
                <w:lang w:val="lv-LV"/>
              </w:rPr>
              <w:t>Nav</w:t>
            </w:r>
            <w:r w:rsidR="00543052" w:rsidRPr="00751B35">
              <w:rPr>
                <w:sz w:val="28"/>
                <w:szCs w:val="28"/>
                <w:lang w:val="lv-LV"/>
              </w:rPr>
              <w:t>.</w:t>
            </w:r>
          </w:p>
        </w:tc>
      </w:tr>
    </w:tbl>
    <w:p w:rsidR="00E8006C" w:rsidRPr="00751B35" w:rsidRDefault="00E8006C" w:rsidP="002238D4">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751B35"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70219F" w:rsidP="002238D4">
            <w:pPr>
              <w:ind w:firstLine="720"/>
              <w:jc w:val="both"/>
              <w:rPr>
                <w:rFonts w:eastAsia="Times New Roman"/>
                <w:b/>
                <w:sz w:val="28"/>
                <w:szCs w:val="28"/>
                <w:lang w:val="lv-LV" w:eastAsia="lv-LV"/>
              </w:rPr>
            </w:pPr>
            <w:r w:rsidRPr="00751B35">
              <w:rPr>
                <w:rFonts w:eastAsia="Times New Roman"/>
                <w:b/>
                <w:sz w:val="28"/>
                <w:szCs w:val="28"/>
                <w:lang w:val="lv-LV" w:eastAsia="lv-LV"/>
              </w:rPr>
              <w:t>II. </w:t>
            </w:r>
            <w:r w:rsidR="00F22471" w:rsidRPr="00751B35">
              <w:rPr>
                <w:rFonts w:eastAsia="Times New Roman"/>
                <w:b/>
                <w:sz w:val="28"/>
                <w:szCs w:val="28"/>
                <w:lang w:val="lv-LV" w:eastAsia="lv-LV"/>
              </w:rPr>
              <w:t>Tiesību akta projekta ietekme uz sabiedrību</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 xml:space="preserve">Sabiedrības </w:t>
            </w:r>
            <w:proofErr w:type="spellStart"/>
            <w:r w:rsidRPr="00751B35">
              <w:rPr>
                <w:rFonts w:eastAsia="Times New Roman"/>
                <w:sz w:val="28"/>
                <w:szCs w:val="28"/>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1B35" w:rsidRDefault="00F22471" w:rsidP="002238D4">
            <w:pPr>
              <w:ind w:firstLine="720"/>
              <w:jc w:val="both"/>
              <w:rPr>
                <w:rFonts w:eastAsia="Times New Roman"/>
                <w:iCs/>
                <w:sz w:val="28"/>
                <w:szCs w:val="28"/>
                <w:lang w:val="lv-LV" w:eastAsia="lv-LV"/>
              </w:rPr>
            </w:pPr>
            <w:r w:rsidRPr="00751B35">
              <w:rPr>
                <w:rFonts w:eastAsia="Times New Roman"/>
                <w:iCs/>
                <w:sz w:val="28"/>
                <w:szCs w:val="28"/>
                <w:lang w:val="lv-LV" w:eastAsia="lv-LV"/>
              </w:rPr>
              <w:t>Siltumenerģijas lietotāji, pašvaldības, komersanti.</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 xml:space="preserve">Citas sabiedrības grupas (bez </w:t>
            </w:r>
            <w:proofErr w:type="spellStart"/>
            <w:r w:rsidRPr="00751B35">
              <w:rPr>
                <w:rFonts w:eastAsia="Times New Roman"/>
                <w:sz w:val="28"/>
                <w:szCs w:val="28"/>
                <w:lang w:val="lv-LV" w:eastAsia="lv-LV"/>
              </w:rPr>
              <w:t>mērķgrupas</w:t>
            </w:r>
            <w:proofErr w:type="spellEnd"/>
            <w:r w:rsidRPr="00751B35">
              <w:rPr>
                <w:rFonts w:eastAsia="Times New Roman"/>
                <w:sz w:val="28"/>
                <w:szCs w:val="28"/>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1B35" w:rsidRDefault="00F22471" w:rsidP="002238D4">
            <w:pPr>
              <w:pStyle w:val="BodyText"/>
              <w:ind w:right="142" w:firstLine="720"/>
              <w:rPr>
                <w:szCs w:val="28"/>
              </w:rPr>
            </w:pPr>
            <w:r w:rsidRPr="00751B35">
              <w:rPr>
                <w:iCs/>
                <w:szCs w:val="28"/>
              </w:rPr>
              <w:t>Projekts šo jomu neskar</w:t>
            </w:r>
            <w:r w:rsidRPr="00751B35">
              <w:rPr>
                <w:szCs w:val="28"/>
              </w:rPr>
              <w:t>.</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72C4" w:rsidP="002238D4">
            <w:pPr>
              <w:pStyle w:val="BodyText"/>
              <w:ind w:right="142" w:firstLine="720"/>
              <w:rPr>
                <w:szCs w:val="28"/>
              </w:rPr>
            </w:pPr>
            <w:r w:rsidRPr="00751B35">
              <w:rPr>
                <w:szCs w:val="28"/>
              </w:rPr>
              <w:t xml:space="preserve">Tiesību akta projekts nosaka, ka </w:t>
            </w:r>
            <w:r w:rsidR="009A57E0" w:rsidRPr="00751B35">
              <w:rPr>
                <w:szCs w:val="28"/>
              </w:rPr>
              <w:t>3.5.2.1.1.apakšaktivitātes projektu iesniegumu atlases otrajā un turpmākajās kārtās</w:t>
            </w:r>
            <w:r w:rsidRPr="00751B35">
              <w:rPr>
                <w:szCs w:val="28"/>
              </w:rPr>
              <w:t xml:space="preserve"> pieejamais KF finansējums ir </w:t>
            </w:r>
            <w:r w:rsidR="00B1649C" w:rsidRPr="00751B35">
              <w:rPr>
                <w:rFonts w:eastAsia="Arial Unicode MS"/>
                <w:szCs w:val="28"/>
                <w:lang w:eastAsia="en-US"/>
              </w:rPr>
              <w:t>75 493 087</w:t>
            </w:r>
            <w:r w:rsidR="00E81737" w:rsidRPr="00751B35">
              <w:rPr>
                <w:rFonts w:eastAsia="Arial Unicode MS"/>
                <w:szCs w:val="28"/>
                <w:lang w:eastAsia="en-US"/>
              </w:rPr>
              <w:t xml:space="preserve"> </w:t>
            </w:r>
            <w:proofErr w:type="spellStart"/>
            <w:r w:rsidR="003B2031" w:rsidRPr="00751B35">
              <w:rPr>
                <w:rFonts w:eastAsia="Arial Unicode MS"/>
                <w:i/>
                <w:szCs w:val="28"/>
                <w:lang w:eastAsia="en-US"/>
              </w:rPr>
              <w:t>euro</w:t>
            </w:r>
            <w:proofErr w:type="spellEnd"/>
            <w:r w:rsidR="00D57DB1" w:rsidRPr="00751B35">
              <w:rPr>
                <w:szCs w:val="28"/>
              </w:rPr>
              <w:t>.</w:t>
            </w:r>
            <w:r w:rsidR="007D284D" w:rsidRPr="00751B35">
              <w:rPr>
                <w:szCs w:val="28"/>
              </w:rPr>
              <w:t xml:space="preserve"> Tiesību akta projektā paredzētie grozījumi veicinās ES fondu finansējuma apguv</w:t>
            </w:r>
            <w:r w:rsidR="00C97812" w:rsidRPr="00751B35">
              <w:rPr>
                <w:szCs w:val="28"/>
              </w:rPr>
              <w:t>i</w:t>
            </w:r>
            <w:r w:rsidR="007D284D" w:rsidRPr="00751B35">
              <w:rPr>
                <w:szCs w:val="28"/>
              </w:rPr>
              <w:t>, kā arī neradīs papildus slogu</w:t>
            </w:r>
            <w:r w:rsidR="00F2176B" w:rsidRPr="00751B35">
              <w:rPr>
                <w:szCs w:val="28"/>
              </w:rPr>
              <w:t xml:space="preserve"> </w:t>
            </w:r>
            <w:r w:rsidR="000C29F8" w:rsidRPr="00751B35">
              <w:rPr>
                <w:szCs w:val="28"/>
              </w:rPr>
              <w:t>valsts</w:t>
            </w:r>
            <w:r w:rsidR="007D284D" w:rsidRPr="00751B35">
              <w:rPr>
                <w:szCs w:val="28"/>
              </w:rPr>
              <w:t xml:space="preserve"> budžetam.</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C1739F" w:rsidP="002238D4">
            <w:pPr>
              <w:pStyle w:val="BodyText"/>
              <w:ind w:right="142" w:firstLine="720"/>
              <w:rPr>
                <w:szCs w:val="28"/>
              </w:rPr>
            </w:pPr>
            <w:r w:rsidRPr="00751B35">
              <w:rPr>
                <w:iCs/>
                <w:szCs w:val="28"/>
              </w:rPr>
              <w:t>Projekts šo jomu neskar</w:t>
            </w:r>
            <w:r w:rsidRPr="00751B35">
              <w:rPr>
                <w:szCs w:val="28"/>
              </w:rPr>
              <w:t>.</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 xml:space="preserve">Administratīvās </w:t>
            </w:r>
            <w:r w:rsidRPr="00751B35">
              <w:rPr>
                <w:rFonts w:eastAsia="Times New Roman"/>
                <w:sz w:val="28"/>
                <w:szCs w:val="28"/>
                <w:lang w:val="lv-LV" w:eastAsia="lv-LV"/>
              </w:rPr>
              <w:lastRenderedPageBreak/>
              <w:t>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pStyle w:val="BodyText"/>
              <w:ind w:right="142" w:firstLine="720"/>
              <w:rPr>
                <w:szCs w:val="28"/>
              </w:rPr>
            </w:pPr>
            <w:r w:rsidRPr="00751B35">
              <w:rPr>
                <w:iCs/>
                <w:szCs w:val="28"/>
              </w:rPr>
              <w:lastRenderedPageBreak/>
              <w:t>Projekts šo jomu neskar</w:t>
            </w:r>
            <w:r w:rsidRPr="00751B35">
              <w:rPr>
                <w:szCs w:val="28"/>
              </w:rPr>
              <w:t>.</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lastRenderedPageBreak/>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pStyle w:val="BodyText"/>
              <w:ind w:right="142" w:firstLine="720"/>
              <w:rPr>
                <w:szCs w:val="28"/>
              </w:rPr>
            </w:pPr>
            <w:r w:rsidRPr="00751B35">
              <w:rPr>
                <w:iCs/>
                <w:szCs w:val="28"/>
              </w:rPr>
              <w:t>Projekts šo jomu neskar</w:t>
            </w:r>
            <w:r w:rsidRPr="00751B35">
              <w:rPr>
                <w:szCs w:val="28"/>
              </w:rPr>
              <w:t>.</w:t>
            </w:r>
          </w:p>
        </w:tc>
      </w:tr>
      <w:tr w:rsidR="00F22471" w:rsidRPr="00751B3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jc w:val="both"/>
              <w:rPr>
                <w:rFonts w:eastAsia="Times New Roman"/>
                <w:sz w:val="28"/>
                <w:szCs w:val="28"/>
                <w:lang w:val="lv-LV" w:eastAsia="lv-LV"/>
              </w:rPr>
            </w:pPr>
            <w:r w:rsidRPr="00751B35">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1B35" w:rsidRDefault="00F22471" w:rsidP="002238D4">
            <w:pPr>
              <w:ind w:firstLine="720"/>
              <w:jc w:val="both"/>
              <w:rPr>
                <w:rFonts w:eastAsia="Times New Roman"/>
                <w:sz w:val="28"/>
                <w:szCs w:val="28"/>
                <w:lang w:val="lv-LV" w:eastAsia="lv-LV"/>
              </w:rPr>
            </w:pPr>
            <w:r w:rsidRPr="00751B35">
              <w:rPr>
                <w:rFonts w:eastAsia="Times New Roman"/>
                <w:sz w:val="28"/>
                <w:szCs w:val="28"/>
                <w:lang w:val="lv-LV" w:eastAsia="lv-LV"/>
              </w:rPr>
              <w:t>Nav.</w:t>
            </w:r>
          </w:p>
        </w:tc>
      </w:tr>
    </w:tbl>
    <w:p w:rsidR="0099417B" w:rsidRPr="00751B35" w:rsidRDefault="0099417B" w:rsidP="002238D4">
      <w:pPr>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751B35"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70219F" w:rsidP="002238D4">
            <w:pPr>
              <w:ind w:firstLine="720"/>
              <w:jc w:val="both"/>
              <w:rPr>
                <w:rFonts w:eastAsia="Times New Roman"/>
                <w:b/>
                <w:sz w:val="28"/>
                <w:szCs w:val="28"/>
                <w:lang w:val="lv-LV" w:eastAsia="lv-LV"/>
              </w:rPr>
            </w:pPr>
            <w:r w:rsidRPr="00751B35">
              <w:rPr>
                <w:rFonts w:eastAsia="Times New Roman"/>
                <w:b/>
                <w:sz w:val="28"/>
                <w:szCs w:val="28"/>
                <w:lang w:val="lv-LV" w:eastAsia="lv-LV"/>
              </w:rPr>
              <w:t>IV. </w:t>
            </w:r>
            <w:r w:rsidR="003A7D89" w:rsidRPr="00751B35">
              <w:rPr>
                <w:rFonts w:eastAsia="Times New Roman"/>
                <w:b/>
                <w:sz w:val="28"/>
                <w:szCs w:val="28"/>
                <w:lang w:val="lv-LV" w:eastAsia="lv-LV"/>
              </w:rPr>
              <w:t>Tiesību akta projekta ietekme uz spēkā esošo tiesību normu sistēmu</w:t>
            </w:r>
          </w:p>
        </w:tc>
      </w:tr>
      <w:tr w:rsidR="003A7D89" w:rsidRPr="00751B35"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751B35" w:rsidRDefault="00DD2DC8" w:rsidP="00B1649C">
            <w:pPr>
              <w:pStyle w:val="BodyText"/>
              <w:ind w:right="142" w:firstLine="720"/>
              <w:rPr>
                <w:szCs w:val="28"/>
              </w:rPr>
            </w:pPr>
            <w:r w:rsidRPr="00751B35">
              <w:rPr>
                <w:szCs w:val="28"/>
              </w:rPr>
              <w:t xml:space="preserve">Ministru kabineta </w:t>
            </w:r>
            <w:r w:rsidR="00E81737" w:rsidRPr="00751B35">
              <w:rPr>
                <w:szCs w:val="28"/>
              </w:rPr>
              <w:t>rīkojuma</w:t>
            </w:r>
            <w:r w:rsidRPr="00751B35">
              <w:rPr>
                <w:szCs w:val="28"/>
              </w:rPr>
              <w:t xml:space="preserve"> projekt</w:t>
            </w:r>
            <w:r w:rsidR="00555896" w:rsidRPr="00751B35">
              <w:rPr>
                <w:szCs w:val="28"/>
              </w:rPr>
              <w:t>s</w:t>
            </w:r>
            <w:r w:rsidRPr="00751B35">
              <w:rPr>
                <w:szCs w:val="28"/>
              </w:rPr>
              <w:t xml:space="preserve"> „Grozījum</w:t>
            </w:r>
            <w:r w:rsidR="00A023DB" w:rsidRPr="00751B35">
              <w:rPr>
                <w:szCs w:val="28"/>
              </w:rPr>
              <w:t>i</w:t>
            </w:r>
            <w:r w:rsidRPr="00751B35">
              <w:rPr>
                <w:szCs w:val="28"/>
              </w:rPr>
              <w:t xml:space="preserve"> darbības programmas „Infrastruktū</w:t>
            </w:r>
            <w:r w:rsidR="00E81737" w:rsidRPr="00751B35">
              <w:rPr>
                <w:szCs w:val="28"/>
              </w:rPr>
              <w:t>ra un pakalpojumi” papildinājumā</w:t>
            </w:r>
            <w:r w:rsidRPr="00751B35">
              <w:rPr>
                <w:szCs w:val="28"/>
              </w:rPr>
              <w:t>”, Ministru kabineta noteikumu projekts „Grozījum</w:t>
            </w:r>
            <w:r w:rsidR="00B1649C" w:rsidRPr="00751B35">
              <w:rPr>
                <w:szCs w:val="28"/>
              </w:rPr>
              <w:t>i</w:t>
            </w:r>
            <w:r w:rsidR="00E81737" w:rsidRPr="00751B35">
              <w:rPr>
                <w:szCs w:val="28"/>
              </w:rPr>
              <w:t xml:space="preserve"> Ministru kabineta 2009.gada 15</w:t>
            </w:r>
            <w:r w:rsidRPr="00751B35">
              <w:rPr>
                <w:szCs w:val="28"/>
              </w:rPr>
              <w:t>.</w:t>
            </w:r>
            <w:r w:rsidR="00E81737" w:rsidRPr="00751B35">
              <w:rPr>
                <w:szCs w:val="28"/>
              </w:rPr>
              <w:t>decembr</w:t>
            </w:r>
            <w:r w:rsidRPr="00751B35">
              <w:rPr>
                <w:szCs w:val="28"/>
              </w:rPr>
              <w:t>a noteikumos Nr.1</w:t>
            </w:r>
            <w:r w:rsidR="00E81737" w:rsidRPr="00751B35">
              <w:rPr>
                <w:szCs w:val="28"/>
              </w:rPr>
              <w:t>487</w:t>
            </w:r>
            <w:r w:rsidRPr="00751B35">
              <w:rPr>
                <w:szCs w:val="28"/>
              </w:rPr>
              <w:t xml:space="preserve"> „</w:t>
            </w:r>
            <w:r w:rsidR="00E81737" w:rsidRPr="00751B35">
              <w:t>Noteikumi par darbības programmas „Infrastruktūra un pakalpojumi” papildinājuma 3.5.1.2.3.apakšaktivitāti „Dalītas atkritumu apsa</w:t>
            </w:r>
            <w:r w:rsidR="00CA1B8B" w:rsidRPr="00751B35">
              <w:t>imniekošanas sistēmas attīstība”</w:t>
            </w:r>
            <w:r w:rsidRPr="00751B35">
              <w:rPr>
                <w:szCs w:val="28"/>
              </w:rPr>
              <w:t>”</w:t>
            </w:r>
            <w:r w:rsidR="00D469C4" w:rsidRPr="00751B35">
              <w:rPr>
                <w:szCs w:val="28"/>
              </w:rPr>
              <w:t>.</w:t>
            </w:r>
          </w:p>
        </w:tc>
      </w:tr>
      <w:tr w:rsidR="003A7D89" w:rsidRPr="00751B35"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751B35" w:rsidRDefault="00057414" w:rsidP="002238D4">
            <w:pPr>
              <w:ind w:firstLine="720"/>
              <w:jc w:val="both"/>
              <w:rPr>
                <w:rFonts w:eastAsia="Times New Roman"/>
                <w:sz w:val="28"/>
                <w:szCs w:val="28"/>
                <w:lang w:val="lv-LV" w:eastAsia="lv-LV"/>
              </w:rPr>
            </w:pPr>
            <w:r w:rsidRPr="00751B35">
              <w:rPr>
                <w:sz w:val="28"/>
                <w:szCs w:val="28"/>
                <w:lang w:val="lv-LV"/>
              </w:rPr>
              <w:t>Nav</w:t>
            </w:r>
            <w:r w:rsidR="006D40AB" w:rsidRPr="00751B35">
              <w:rPr>
                <w:rFonts w:eastAsia="Times New Roman"/>
                <w:sz w:val="28"/>
                <w:szCs w:val="28"/>
                <w:lang w:val="lv-LV" w:eastAsia="lv-LV"/>
              </w:rPr>
              <w:t>.</w:t>
            </w:r>
          </w:p>
        </w:tc>
      </w:tr>
    </w:tbl>
    <w:p w:rsidR="00C9779A" w:rsidRPr="00751B35" w:rsidRDefault="00C9779A" w:rsidP="002238D4">
      <w:pPr>
        <w:rPr>
          <w:sz w:val="28"/>
          <w:szCs w:val="28"/>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2495"/>
        <w:gridCol w:w="6296"/>
      </w:tblGrid>
      <w:tr w:rsidR="00E34A70" w:rsidRPr="00751B35" w:rsidTr="00C61F40">
        <w:trPr>
          <w:tblCellSpacing w:w="0" w:type="dxa"/>
        </w:trPr>
        <w:tc>
          <w:tcPr>
            <w:tcW w:w="9191" w:type="dxa"/>
            <w:gridSpan w:val="3"/>
            <w:hideMark/>
          </w:tcPr>
          <w:p w:rsidR="00E34A70" w:rsidRPr="00751B35" w:rsidRDefault="0070219F" w:rsidP="002238D4">
            <w:pPr>
              <w:ind w:firstLine="709"/>
              <w:jc w:val="both"/>
              <w:rPr>
                <w:rFonts w:eastAsia="Times New Roman"/>
                <w:b/>
                <w:bCs/>
                <w:sz w:val="28"/>
                <w:szCs w:val="28"/>
                <w:lang w:val="lv-LV" w:eastAsia="lv-LV"/>
              </w:rPr>
            </w:pPr>
            <w:r w:rsidRPr="00751B35">
              <w:rPr>
                <w:rFonts w:eastAsia="Times New Roman"/>
                <w:b/>
                <w:bCs/>
                <w:sz w:val="28"/>
                <w:szCs w:val="28"/>
                <w:lang w:val="lv-LV" w:eastAsia="lv-LV"/>
              </w:rPr>
              <w:t>V. </w:t>
            </w:r>
            <w:r w:rsidR="00E34A70" w:rsidRPr="00751B35">
              <w:rPr>
                <w:rFonts w:eastAsia="Times New Roman"/>
                <w:b/>
                <w:bCs/>
                <w:sz w:val="28"/>
                <w:szCs w:val="28"/>
                <w:lang w:val="lv-LV" w:eastAsia="lv-LV"/>
              </w:rPr>
              <w:t>Tiesību akta projekta atbilstība Latvijas Republikas starptautiskajām saistībām</w:t>
            </w:r>
          </w:p>
        </w:tc>
      </w:tr>
      <w:tr w:rsidR="00E34A70" w:rsidRPr="00751B35" w:rsidTr="00C61F40">
        <w:trPr>
          <w:tblCellSpacing w:w="0" w:type="dxa"/>
        </w:trPr>
        <w:tc>
          <w:tcPr>
            <w:tcW w:w="400" w:type="dxa"/>
            <w:hideMark/>
          </w:tcPr>
          <w:p w:rsidR="00E34A70" w:rsidRPr="00751B35" w:rsidRDefault="00E34A70" w:rsidP="002238D4">
            <w:pPr>
              <w:jc w:val="both"/>
              <w:rPr>
                <w:rFonts w:eastAsia="Times New Roman"/>
                <w:sz w:val="28"/>
                <w:szCs w:val="28"/>
                <w:lang w:val="lv-LV" w:eastAsia="lv-LV"/>
              </w:rPr>
            </w:pPr>
            <w:r w:rsidRPr="00751B35">
              <w:rPr>
                <w:rFonts w:eastAsia="Times New Roman"/>
                <w:sz w:val="28"/>
                <w:szCs w:val="28"/>
                <w:lang w:val="lv-LV" w:eastAsia="lv-LV"/>
              </w:rPr>
              <w:t>1.</w:t>
            </w:r>
          </w:p>
        </w:tc>
        <w:tc>
          <w:tcPr>
            <w:tcW w:w="2495"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Saistības pret Eiropas Savienību</w:t>
            </w:r>
          </w:p>
        </w:tc>
        <w:tc>
          <w:tcPr>
            <w:tcW w:w="6296" w:type="dxa"/>
            <w:hideMark/>
          </w:tcPr>
          <w:p w:rsidR="002009BD" w:rsidRPr="00751B35" w:rsidRDefault="00C84412" w:rsidP="002238D4">
            <w:pPr>
              <w:ind w:firstLine="689"/>
              <w:jc w:val="both"/>
              <w:rPr>
                <w:sz w:val="28"/>
                <w:szCs w:val="28"/>
                <w:lang w:val="lv-LV"/>
              </w:rPr>
            </w:pPr>
            <w:r w:rsidRPr="00751B35">
              <w:rPr>
                <w:sz w:val="28"/>
                <w:szCs w:val="28"/>
                <w:lang w:val="lv-LV"/>
              </w:rPr>
              <w:t>Projekts šo jomu neskar.</w:t>
            </w:r>
          </w:p>
        </w:tc>
      </w:tr>
      <w:tr w:rsidR="00E34A70" w:rsidRPr="00751B35" w:rsidTr="00C61F40">
        <w:trPr>
          <w:tblCellSpacing w:w="0" w:type="dxa"/>
        </w:trPr>
        <w:tc>
          <w:tcPr>
            <w:tcW w:w="400" w:type="dxa"/>
            <w:hideMark/>
          </w:tcPr>
          <w:p w:rsidR="00E34A70" w:rsidRPr="00751B35" w:rsidRDefault="00E34A70" w:rsidP="002238D4">
            <w:pPr>
              <w:jc w:val="both"/>
              <w:rPr>
                <w:rFonts w:eastAsia="Times New Roman"/>
                <w:sz w:val="28"/>
                <w:szCs w:val="28"/>
                <w:lang w:val="lv-LV" w:eastAsia="lv-LV"/>
              </w:rPr>
            </w:pPr>
            <w:r w:rsidRPr="00751B35">
              <w:rPr>
                <w:rFonts w:eastAsia="Times New Roman"/>
                <w:sz w:val="28"/>
                <w:szCs w:val="28"/>
                <w:lang w:val="lv-LV" w:eastAsia="lv-LV"/>
              </w:rPr>
              <w:t>2.</w:t>
            </w:r>
          </w:p>
        </w:tc>
        <w:tc>
          <w:tcPr>
            <w:tcW w:w="2495"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Citas starptautiskās saistības</w:t>
            </w:r>
          </w:p>
        </w:tc>
        <w:tc>
          <w:tcPr>
            <w:tcW w:w="6296" w:type="dxa"/>
            <w:hideMark/>
          </w:tcPr>
          <w:p w:rsidR="00E34A70" w:rsidRPr="00751B35" w:rsidRDefault="00E34A70" w:rsidP="002238D4">
            <w:pPr>
              <w:ind w:firstLine="689"/>
              <w:rPr>
                <w:rFonts w:eastAsia="Times New Roman"/>
                <w:sz w:val="28"/>
                <w:szCs w:val="28"/>
                <w:lang w:val="lv-LV" w:eastAsia="lv-LV"/>
              </w:rPr>
            </w:pPr>
            <w:r w:rsidRPr="00751B35">
              <w:rPr>
                <w:sz w:val="28"/>
                <w:szCs w:val="28"/>
                <w:lang w:val="lv-LV"/>
              </w:rPr>
              <w:t>Projekts šo jomu neskar.</w:t>
            </w:r>
          </w:p>
        </w:tc>
      </w:tr>
      <w:tr w:rsidR="00E34A70" w:rsidRPr="00751B35" w:rsidTr="00C61F40">
        <w:trPr>
          <w:tblCellSpacing w:w="0" w:type="dxa"/>
        </w:trPr>
        <w:tc>
          <w:tcPr>
            <w:tcW w:w="400" w:type="dxa"/>
            <w:hideMark/>
          </w:tcPr>
          <w:p w:rsidR="00E34A70" w:rsidRPr="00751B35" w:rsidRDefault="00E34A70" w:rsidP="002238D4">
            <w:pPr>
              <w:jc w:val="both"/>
              <w:rPr>
                <w:rFonts w:eastAsia="Times New Roman"/>
                <w:sz w:val="28"/>
                <w:szCs w:val="28"/>
                <w:lang w:val="lv-LV" w:eastAsia="lv-LV"/>
              </w:rPr>
            </w:pPr>
            <w:r w:rsidRPr="00751B35">
              <w:rPr>
                <w:rFonts w:eastAsia="Times New Roman"/>
                <w:sz w:val="28"/>
                <w:szCs w:val="28"/>
                <w:lang w:val="lv-LV" w:eastAsia="lv-LV"/>
              </w:rPr>
              <w:t>3.</w:t>
            </w:r>
          </w:p>
        </w:tc>
        <w:tc>
          <w:tcPr>
            <w:tcW w:w="2495" w:type="dxa"/>
            <w:hideMark/>
          </w:tcPr>
          <w:p w:rsidR="00E34A70" w:rsidRPr="00751B35" w:rsidRDefault="00E34A70" w:rsidP="002238D4">
            <w:pPr>
              <w:rPr>
                <w:sz w:val="28"/>
                <w:szCs w:val="28"/>
                <w:lang w:val="lv-LV"/>
              </w:rPr>
            </w:pPr>
            <w:r w:rsidRPr="00751B35">
              <w:rPr>
                <w:sz w:val="28"/>
                <w:szCs w:val="28"/>
                <w:lang w:val="lv-LV"/>
              </w:rPr>
              <w:t>Cita informācija</w:t>
            </w:r>
          </w:p>
        </w:tc>
        <w:tc>
          <w:tcPr>
            <w:tcW w:w="6296" w:type="dxa"/>
            <w:hideMark/>
          </w:tcPr>
          <w:p w:rsidR="002009BD" w:rsidRPr="00751B35" w:rsidRDefault="00E34A70" w:rsidP="00ED68FA">
            <w:pPr>
              <w:autoSpaceDE w:val="0"/>
              <w:autoSpaceDN w:val="0"/>
              <w:adjustRightInd w:val="0"/>
              <w:ind w:firstLine="649"/>
              <w:jc w:val="both"/>
              <w:rPr>
                <w:sz w:val="28"/>
                <w:szCs w:val="28"/>
                <w:lang w:val="lv-LV"/>
              </w:rPr>
            </w:pPr>
            <w:r w:rsidRPr="00751B35">
              <w:rPr>
                <w:sz w:val="28"/>
                <w:szCs w:val="28"/>
                <w:lang w:val="lv-LV"/>
              </w:rPr>
              <w:t>Tiesību akta projektā paredzētās izmaiņas 3.5.2.1.1.apakšaktivitātes ietvaros netiek uzskatītas par esoša atbalsta izmaiņām (KF finansējuma palielinājums nepārsniedz 20</w:t>
            </w:r>
            <w:r w:rsidR="00097446" w:rsidRPr="00751B35">
              <w:rPr>
                <w:sz w:val="28"/>
                <w:szCs w:val="28"/>
                <w:lang w:val="lv-LV"/>
              </w:rPr>
              <w:t> </w:t>
            </w:r>
            <w:r w:rsidRPr="00751B35">
              <w:rPr>
                <w:sz w:val="28"/>
                <w:szCs w:val="28"/>
                <w:lang w:val="lv-LV"/>
              </w:rPr>
              <w:t xml:space="preserve">% no apstiprinātā shēmas kopējā budžeta atbilstoši </w:t>
            </w:r>
            <w:r w:rsidR="00ED68FA" w:rsidRPr="00751B35">
              <w:rPr>
                <w:sz w:val="28"/>
                <w:szCs w:val="28"/>
                <w:lang w:val="lv-LV"/>
              </w:rPr>
              <w:t>Eiropas Komisijas lēmumam par valsts atbalstu SA.34681 (2012/N) „Grozījumi shēmā centralizētās siltumapgādes sistēmu efektivitātes paaugstināšanai” (turpmāk – EK lēmums SA.34681)</w:t>
            </w:r>
            <w:r w:rsidRPr="00751B35">
              <w:rPr>
                <w:sz w:val="28"/>
                <w:szCs w:val="28"/>
                <w:lang w:val="lv-LV"/>
              </w:rPr>
              <w:t>)</w:t>
            </w:r>
            <w:r w:rsidR="007065FA" w:rsidRPr="00751B35">
              <w:rPr>
                <w:sz w:val="28"/>
                <w:szCs w:val="28"/>
                <w:lang w:val="lv-LV"/>
              </w:rPr>
              <w:t>,</w:t>
            </w:r>
            <w:r w:rsidRPr="00751B35">
              <w:rPr>
                <w:sz w:val="28"/>
                <w:szCs w:val="28"/>
                <w:lang w:val="lv-LV"/>
              </w:rPr>
              <w:t xml:space="preserve"> un par tām nav jāpaziņo Eiropas Komisijai saskaņā ar </w:t>
            </w:r>
            <w:r w:rsidR="00C97B18" w:rsidRPr="00751B35">
              <w:rPr>
                <w:sz w:val="28"/>
                <w:szCs w:val="28"/>
                <w:lang w:val="lv-LV"/>
              </w:rPr>
              <w:t>Komisijas 2004.gada 21.aprīļa Regulas (EK) Nr.794/2004, ar ko īsteno Padomes Regulu (EK) Nr.659/1999, ar kuru nosaka sīki izstrādātus noteikumus EK līguma 93.panta piemērošanai,</w:t>
            </w:r>
            <w:r w:rsidRPr="00751B35">
              <w:rPr>
                <w:sz w:val="28"/>
                <w:szCs w:val="28"/>
                <w:lang w:val="lv-LV"/>
              </w:rPr>
              <w:t xml:space="preserve"> 4.panta 1.</w:t>
            </w:r>
            <w:r w:rsidR="0067232A" w:rsidRPr="00751B35">
              <w:rPr>
                <w:sz w:val="28"/>
                <w:szCs w:val="28"/>
                <w:lang w:val="lv-LV"/>
              </w:rPr>
              <w:t xml:space="preserve"> un 2.</w:t>
            </w:r>
            <w:r w:rsidRPr="00751B35">
              <w:rPr>
                <w:sz w:val="28"/>
                <w:szCs w:val="28"/>
                <w:lang w:val="lv-LV"/>
              </w:rPr>
              <w:t>punktu.</w:t>
            </w:r>
          </w:p>
        </w:tc>
      </w:tr>
    </w:tbl>
    <w:p w:rsidR="00E34A70" w:rsidRPr="00751B35" w:rsidRDefault="00E34A70" w:rsidP="002238D4">
      <w:pPr>
        <w:jc w:val="both"/>
        <w:rPr>
          <w:rFonts w:eastAsia="Times New Roman"/>
          <w:sz w:val="28"/>
          <w:szCs w:val="28"/>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E34A70" w:rsidRPr="00751B35" w:rsidTr="00C61F40">
        <w:trPr>
          <w:trHeight w:val="525"/>
          <w:tblCellSpacing w:w="0" w:type="dxa"/>
        </w:trPr>
        <w:tc>
          <w:tcPr>
            <w:tcW w:w="9191" w:type="dxa"/>
            <w:gridSpan w:val="4"/>
            <w:vAlign w:val="center"/>
            <w:hideMark/>
          </w:tcPr>
          <w:p w:rsidR="00E34A70" w:rsidRPr="00751B35" w:rsidRDefault="00E34A70" w:rsidP="002238D4">
            <w:pPr>
              <w:jc w:val="center"/>
              <w:rPr>
                <w:rFonts w:eastAsia="Times New Roman"/>
                <w:bCs/>
                <w:sz w:val="28"/>
                <w:szCs w:val="28"/>
                <w:lang w:val="lv-LV" w:eastAsia="lv-LV"/>
              </w:rPr>
            </w:pPr>
            <w:r w:rsidRPr="00751B35">
              <w:rPr>
                <w:rFonts w:eastAsia="Times New Roman"/>
                <w:bCs/>
                <w:sz w:val="28"/>
                <w:szCs w:val="28"/>
                <w:lang w:val="lv-LV" w:eastAsia="lv-LV"/>
              </w:rPr>
              <w:lastRenderedPageBreak/>
              <w:t>1.tabula</w:t>
            </w:r>
          </w:p>
          <w:p w:rsidR="00E34A70" w:rsidRPr="00751B35" w:rsidRDefault="00E34A70" w:rsidP="002238D4">
            <w:pPr>
              <w:jc w:val="center"/>
              <w:rPr>
                <w:rFonts w:eastAsia="Times New Roman"/>
                <w:bCs/>
                <w:sz w:val="28"/>
                <w:szCs w:val="28"/>
                <w:lang w:val="lv-LV" w:eastAsia="lv-LV"/>
              </w:rPr>
            </w:pPr>
            <w:r w:rsidRPr="00751B35">
              <w:rPr>
                <w:rFonts w:eastAsia="Times New Roman"/>
                <w:bCs/>
                <w:sz w:val="28"/>
                <w:szCs w:val="28"/>
                <w:lang w:val="lv-LV" w:eastAsia="lv-LV"/>
              </w:rPr>
              <w:t>Tiesību akta projekta atbilstība ES tiesību aktiem</w:t>
            </w:r>
          </w:p>
        </w:tc>
      </w:tr>
      <w:tr w:rsidR="00E34A70" w:rsidRPr="00751B35" w:rsidTr="00C61F40">
        <w:trPr>
          <w:trHeight w:val="1256"/>
          <w:tblCellSpacing w:w="0" w:type="dxa"/>
        </w:trPr>
        <w:tc>
          <w:tcPr>
            <w:tcW w:w="2003" w:type="dxa"/>
            <w:vAlign w:val="center"/>
            <w:hideMark/>
          </w:tcPr>
          <w:p w:rsidR="00E34A70" w:rsidRPr="00751B35" w:rsidRDefault="00E34A70" w:rsidP="002238D4">
            <w:pPr>
              <w:jc w:val="center"/>
              <w:rPr>
                <w:rFonts w:eastAsia="Times New Roman"/>
                <w:sz w:val="28"/>
                <w:szCs w:val="28"/>
                <w:lang w:val="lv-LV" w:eastAsia="lv-LV"/>
              </w:rPr>
            </w:pPr>
            <w:r w:rsidRPr="00751B35">
              <w:rPr>
                <w:rFonts w:eastAsia="Times New Roman"/>
                <w:sz w:val="28"/>
                <w:szCs w:val="28"/>
                <w:lang w:val="lv-LV" w:eastAsia="lv-LV"/>
              </w:rPr>
              <w:t>Attiecīgā ES tiesību akta datums, numurs un nosaukums</w:t>
            </w:r>
          </w:p>
        </w:tc>
        <w:tc>
          <w:tcPr>
            <w:tcW w:w="7188" w:type="dxa"/>
            <w:gridSpan w:val="3"/>
            <w:vAlign w:val="center"/>
            <w:hideMark/>
          </w:tcPr>
          <w:p w:rsidR="00E34A70" w:rsidRPr="00751B35" w:rsidRDefault="00E34A70" w:rsidP="002238D4">
            <w:pPr>
              <w:jc w:val="center"/>
              <w:rPr>
                <w:rFonts w:eastAsia="Times New Roman"/>
                <w:sz w:val="28"/>
                <w:szCs w:val="28"/>
                <w:lang w:val="lv-LV" w:eastAsia="lv-LV"/>
              </w:rPr>
            </w:pPr>
            <w:r w:rsidRPr="00751B35">
              <w:rPr>
                <w:rFonts w:eastAsia="Times New Roman"/>
                <w:sz w:val="28"/>
                <w:szCs w:val="28"/>
                <w:lang w:val="lv-LV" w:eastAsia="lv-LV"/>
              </w:rPr>
              <w:t>Aizpilda, ja ar projektu tiek pārņemts vai ieviests vairāk nekā viens ES tiesību akts – jānorāda tā pati informācija, kas prasīta instrukcijas 55.1.apakšpunktā un jau tikusi norādīta arī V. sadaļas 1.punkta ietvaros</w:t>
            </w:r>
          </w:p>
        </w:tc>
      </w:tr>
      <w:tr w:rsidR="00E34A70" w:rsidRPr="00751B35" w:rsidTr="00C61F40">
        <w:trPr>
          <w:trHeight w:val="164"/>
          <w:tblCellSpacing w:w="0" w:type="dxa"/>
        </w:trPr>
        <w:tc>
          <w:tcPr>
            <w:tcW w:w="9191" w:type="dxa"/>
            <w:gridSpan w:val="4"/>
            <w:vAlign w:val="center"/>
            <w:hideMark/>
          </w:tcPr>
          <w:p w:rsidR="00E34A70" w:rsidRPr="00751B35" w:rsidRDefault="00E34A70" w:rsidP="002238D4">
            <w:pPr>
              <w:rPr>
                <w:rFonts w:eastAsia="Times New Roman"/>
                <w:sz w:val="28"/>
                <w:szCs w:val="28"/>
                <w:lang w:val="lv-LV" w:eastAsia="lv-LV"/>
              </w:rPr>
            </w:pPr>
          </w:p>
        </w:tc>
      </w:tr>
      <w:tr w:rsidR="00E34A70" w:rsidRPr="00751B35" w:rsidTr="00C61F40">
        <w:trPr>
          <w:trHeight w:val="253"/>
          <w:tblCellSpacing w:w="0" w:type="dxa"/>
        </w:trPr>
        <w:tc>
          <w:tcPr>
            <w:tcW w:w="2003" w:type="dxa"/>
            <w:vAlign w:val="center"/>
            <w:hideMark/>
          </w:tcPr>
          <w:p w:rsidR="00E34A70" w:rsidRPr="00751B35" w:rsidRDefault="00E34A70" w:rsidP="002238D4">
            <w:pPr>
              <w:jc w:val="center"/>
              <w:rPr>
                <w:rFonts w:eastAsia="Times New Roman"/>
                <w:sz w:val="28"/>
                <w:szCs w:val="28"/>
                <w:lang w:val="lv-LV" w:eastAsia="lv-LV"/>
              </w:rPr>
            </w:pPr>
            <w:r w:rsidRPr="00751B35">
              <w:rPr>
                <w:rFonts w:eastAsia="Times New Roman"/>
                <w:sz w:val="28"/>
                <w:szCs w:val="28"/>
                <w:lang w:val="lv-LV" w:eastAsia="lv-LV"/>
              </w:rPr>
              <w:t>A</w:t>
            </w:r>
          </w:p>
        </w:tc>
        <w:tc>
          <w:tcPr>
            <w:tcW w:w="2452" w:type="dxa"/>
            <w:vAlign w:val="center"/>
            <w:hideMark/>
          </w:tcPr>
          <w:p w:rsidR="00E34A70" w:rsidRPr="00751B35" w:rsidRDefault="00E34A70" w:rsidP="002238D4">
            <w:pPr>
              <w:jc w:val="center"/>
              <w:rPr>
                <w:rFonts w:eastAsia="Times New Roman"/>
                <w:sz w:val="28"/>
                <w:szCs w:val="28"/>
                <w:lang w:val="lv-LV" w:eastAsia="lv-LV"/>
              </w:rPr>
            </w:pPr>
            <w:r w:rsidRPr="00751B35">
              <w:rPr>
                <w:rFonts w:eastAsia="Times New Roman"/>
                <w:sz w:val="28"/>
                <w:szCs w:val="28"/>
                <w:lang w:val="lv-LV" w:eastAsia="lv-LV"/>
              </w:rPr>
              <w:t>B</w:t>
            </w:r>
          </w:p>
        </w:tc>
        <w:tc>
          <w:tcPr>
            <w:tcW w:w="2703" w:type="dxa"/>
            <w:vAlign w:val="center"/>
            <w:hideMark/>
          </w:tcPr>
          <w:p w:rsidR="00E34A70" w:rsidRPr="00751B35" w:rsidRDefault="00E34A70" w:rsidP="002238D4">
            <w:pPr>
              <w:jc w:val="center"/>
              <w:rPr>
                <w:rFonts w:eastAsia="Times New Roman"/>
                <w:sz w:val="28"/>
                <w:szCs w:val="28"/>
                <w:lang w:val="lv-LV" w:eastAsia="lv-LV"/>
              </w:rPr>
            </w:pPr>
            <w:r w:rsidRPr="00751B35">
              <w:rPr>
                <w:rFonts w:eastAsia="Times New Roman"/>
                <w:sz w:val="28"/>
                <w:szCs w:val="28"/>
                <w:lang w:val="lv-LV" w:eastAsia="lv-LV"/>
              </w:rPr>
              <w:t>C</w:t>
            </w:r>
          </w:p>
        </w:tc>
        <w:tc>
          <w:tcPr>
            <w:tcW w:w="2033" w:type="dxa"/>
            <w:vAlign w:val="center"/>
            <w:hideMark/>
          </w:tcPr>
          <w:p w:rsidR="00E34A70" w:rsidRPr="00751B35" w:rsidRDefault="00E34A70" w:rsidP="002238D4">
            <w:pPr>
              <w:jc w:val="center"/>
              <w:rPr>
                <w:rFonts w:eastAsia="Times New Roman"/>
                <w:sz w:val="28"/>
                <w:szCs w:val="28"/>
                <w:lang w:val="lv-LV" w:eastAsia="lv-LV"/>
              </w:rPr>
            </w:pPr>
            <w:r w:rsidRPr="00751B35">
              <w:rPr>
                <w:rFonts w:eastAsia="Times New Roman"/>
                <w:sz w:val="28"/>
                <w:szCs w:val="28"/>
                <w:lang w:val="lv-LV" w:eastAsia="lv-LV"/>
              </w:rPr>
              <w:t>D</w:t>
            </w:r>
          </w:p>
        </w:tc>
      </w:tr>
      <w:tr w:rsidR="00E34A70" w:rsidRPr="00751B35" w:rsidTr="00C84412">
        <w:trPr>
          <w:trHeight w:val="77"/>
          <w:tblCellSpacing w:w="0" w:type="dxa"/>
        </w:trPr>
        <w:tc>
          <w:tcPr>
            <w:tcW w:w="2003"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Attiecīgā ES tiesību akta panta numurs (uzskaitot katru tiesību akta</w:t>
            </w:r>
            <w:r w:rsidRPr="00751B35">
              <w:rPr>
                <w:rFonts w:eastAsia="Times New Roman"/>
                <w:sz w:val="28"/>
                <w:szCs w:val="28"/>
                <w:lang w:val="lv-LV" w:eastAsia="lv-LV"/>
              </w:rPr>
              <w:br/>
              <w:t>vienību – pantu, daļu, punktu, apakšpunktu)</w:t>
            </w:r>
          </w:p>
        </w:tc>
        <w:tc>
          <w:tcPr>
            <w:tcW w:w="2452"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Projekta vienība, kas pārņem vai ievieš katru šīs tabulas A ailē minēto ES tiesību akta vienību</w:t>
            </w:r>
          </w:p>
        </w:tc>
        <w:tc>
          <w:tcPr>
            <w:tcW w:w="2703"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Informācija par to, vai šīs tabulas A ailē minētās ES tiesību akta vienības tiek pārņemtas vai ieviestas pilnībā vai daļēji.</w:t>
            </w:r>
          </w:p>
          <w:p w:rsidR="00E34A70" w:rsidRPr="00751B35" w:rsidRDefault="00E34A70" w:rsidP="002238D4">
            <w:pPr>
              <w:rPr>
                <w:rFonts w:eastAsia="Times New Roman"/>
                <w:sz w:val="28"/>
                <w:szCs w:val="28"/>
                <w:lang w:val="lv-LV" w:eastAsia="lv-LV"/>
              </w:rPr>
            </w:pPr>
          </w:p>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rsidR="00E34A70" w:rsidRPr="00751B35" w:rsidRDefault="00E34A70" w:rsidP="002238D4">
            <w:pPr>
              <w:rPr>
                <w:rFonts w:eastAsia="Times New Roman"/>
                <w:sz w:val="28"/>
                <w:szCs w:val="28"/>
                <w:lang w:val="lv-LV" w:eastAsia="lv-LV"/>
              </w:rPr>
            </w:pPr>
          </w:p>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Norāda institūciju, kas ir atbildīga par šo saistību izpildi pilnībā</w:t>
            </w:r>
          </w:p>
        </w:tc>
        <w:tc>
          <w:tcPr>
            <w:tcW w:w="2033"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Informācija par to, vai šīs tabulas B ailē minētās projekta vienības paredz stingrākas prasības nekā šīs tabulas A ailē minētās ES tiesību akta vienības.</w:t>
            </w:r>
          </w:p>
          <w:p w:rsidR="00E34A70" w:rsidRPr="00751B35" w:rsidRDefault="00E34A70" w:rsidP="002238D4">
            <w:pPr>
              <w:rPr>
                <w:rFonts w:eastAsia="Times New Roman"/>
                <w:sz w:val="28"/>
                <w:szCs w:val="28"/>
                <w:lang w:val="lv-LV" w:eastAsia="lv-LV"/>
              </w:rPr>
            </w:pPr>
          </w:p>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Ja projekts satur stingrākas prasības nekā attiecīgais ES tiesību akts, – norāda pamatojumu un samērīgumu.</w:t>
            </w:r>
          </w:p>
          <w:p w:rsidR="00E34A70" w:rsidRPr="00751B35" w:rsidRDefault="00E34A70" w:rsidP="002238D4">
            <w:pPr>
              <w:rPr>
                <w:rFonts w:eastAsia="Times New Roman"/>
                <w:sz w:val="28"/>
                <w:szCs w:val="28"/>
                <w:lang w:val="lv-LV" w:eastAsia="lv-LV"/>
              </w:rPr>
            </w:pPr>
          </w:p>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t>Norāda iespējamās alternatīvas (</w:t>
            </w:r>
            <w:proofErr w:type="spellStart"/>
            <w:r w:rsidRPr="00751B35">
              <w:rPr>
                <w:rFonts w:eastAsia="Times New Roman"/>
                <w:sz w:val="28"/>
                <w:szCs w:val="28"/>
                <w:lang w:val="lv-LV" w:eastAsia="lv-LV"/>
              </w:rPr>
              <w:t>t.sk</w:t>
            </w:r>
            <w:proofErr w:type="spellEnd"/>
            <w:r w:rsidRPr="00751B35">
              <w:rPr>
                <w:rFonts w:eastAsia="Times New Roman"/>
                <w:sz w:val="28"/>
                <w:szCs w:val="28"/>
                <w:lang w:val="lv-LV" w:eastAsia="lv-LV"/>
              </w:rPr>
              <w:t xml:space="preserve">. alternatīvas, kas neparedz tiesiskā regulējuma izstrādi) – kādos gadījumos būtu </w:t>
            </w:r>
            <w:r w:rsidRPr="00751B35">
              <w:rPr>
                <w:rFonts w:eastAsia="Times New Roman"/>
                <w:sz w:val="28"/>
                <w:szCs w:val="28"/>
                <w:lang w:val="lv-LV" w:eastAsia="lv-LV"/>
              </w:rPr>
              <w:lastRenderedPageBreak/>
              <w:t>iespējams izvairīties no stingrāku prasību noteikšanas, nekā paredzēts attiecīgajos ES tiesību aktos</w:t>
            </w:r>
          </w:p>
        </w:tc>
      </w:tr>
      <w:tr w:rsidR="00E34A70" w:rsidRPr="00751B35" w:rsidTr="00C61F40">
        <w:trPr>
          <w:trHeight w:val="433"/>
          <w:tblCellSpacing w:w="0" w:type="dxa"/>
        </w:trPr>
        <w:tc>
          <w:tcPr>
            <w:tcW w:w="2003" w:type="dxa"/>
            <w:hideMark/>
          </w:tcPr>
          <w:p w:rsidR="00E34A70" w:rsidRPr="00751B35" w:rsidRDefault="00E34A70" w:rsidP="002238D4">
            <w:pPr>
              <w:rPr>
                <w:rFonts w:eastAsia="Times New Roman"/>
                <w:sz w:val="28"/>
                <w:szCs w:val="28"/>
                <w:lang w:val="lv-LV" w:eastAsia="lv-LV"/>
              </w:rPr>
            </w:pPr>
            <w:r w:rsidRPr="00751B35">
              <w:rPr>
                <w:sz w:val="28"/>
                <w:szCs w:val="28"/>
                <w:lang w:val="lv-LV"/>
              </w:rPr>
              <w:lastRenderedPageBreak/>
              <w:t>EK lēmuma SA.34681 21.punkts</w:t>
            </w:r>
            <w:r w:rsidRPr="00751B35">
              <w:rPr>
                <w:rFonts w:eastAsia="Times New Roman"/>
                <w:sz w:val="28"/>
                <w:szCs w:val="28"/>
                <w:lang w:val="lv-LV"/>
              </w:rPr>
              <w:t>.</w:t>
            </w:r>
          </w:p>
        </w:tc>
        <w:tc>
          <w:tcPr>
            <w:tcW w:w="2452" w:type="dxa"/>
            <w:hideMark/>
          </w:tcPr>
          <w:p w:rsidR="00E34A70" w:rsidRPr="00751B35" w:rsidRDefault="00E34A70" w:rsidP="002238D4">
            <w:pPr>
              <w:rPr>
                <w:rFonts w:eastAsia="Times New Roman"/>
                <w:sz w:val="28"/>
                <w:szCs w:val="28"/>
                <w:lang w:val="lv-LV" w:eastAsia="lv-LV"/>
              </w:rPr>
            </w:pPr>
            <w:r w:rsidRPr="00751B35">
              <w:rPr>
                <w:sz w:val="28"/>
                <w:szCs w:val="28"/>
                <w:lang w:val="lv-LV"/>
              </w:rPr>
              <w:t>Tiesību akta projekta 1.punkts</w:t>
            </w:r>
            <w:r w:rsidRPr="00751B35">
              <w:rPr>
                <w:rFonts w:eastAsia="Times New Roman"/>
                <w:sz w:val="28"/>
                <w:szCs w:val="28"/>
                <w:lang w:val="lv-LV"/>
              </w:rPr>
              <w:t>.</w:t>
            </w:r>
          </w:p>
        </w:tc>
        <w:tc>
          <w:tcPr>
            <w:tcW w:w="2703" w:type="dxa"/>
            <w:hideMark/>
          </w:tcPr>
          <w:p w:rsidR="00E34A70" w:rsidRPr="00751B35" w:rsidRDefault="00E34A70" w:rsidP="00CA1B8B">
            <w:pPr>
              <w:autoSpaceDE w:val="0"/>
              <w:autoSpaceDN w:val="0"/>
              <w:adjustRightInd w:val="0"/>
              <w:rPr>
                <w:b/>
                <w:sz w:val="28"/>
                <w:szCs w:val="28"/>
                <w:lang w:val="lv-LV"/>
              </w:rPr>
            </w:pPr>
            <w:r w:rsidRPr="00751B35">
              <w:rPr>
                <w:sz w:val="28"/>
                <w:szCs w:val="28"/>
                <w:lang w:val="lv-LV"/>
              </w:rPr>
              <w:t xml:space="preserve">EK lēmuma SA.34681 21.punktā noteiktais paziņotais shēmas kopējais maksimālais budžets ir </w:t>
            </w:r>
            <w:r w:rsidR="002D5EBC" w:rsidRPr="00751B35">
              <w:rPr>
                <w:sz w:val="28"/>
                <w:szCs w:val="28"/>
                <w:lang w:val="lv-LV"/>
              </w:rPr>
              <w:t xml:space="preserve">78 376 820 </w:t>
            </w:r>
            <w:proofErr w:type="spellStart"/>
            <w:r w:rsidR="002D5EBC" w:rsidRPr="00751B35">
              <w:rPr>
                <w:sz w:val="28"/>
                <w:szCs w:val="28"/>
                <w:lang w:val="lv-LV"/>
              </w:rPr>
              <w:t>euro</w:t>
            </w:r>
            <w:proofErr w:type="spellEnd"/>
            <w:r w:rsidR="002D5EBC" w:rsidRPr="00751B35">
              <w:rPr>
                <w:sz w:val="28"/>
                <w:szCs w:val="28"/>
                <w:lang w:val="lv-LV"/>
              </w:rPr>
              <w:t xml:space="preserve"> (pēc 19.04.2012. (kad tika saņemti shēmas grozījumi</w:t>
            </w:r>
            <w:r w:rsidR="00770BD3" w:rsidRPr="00751B35">
              <w:rPr>
                <w:sz w:val="28"/>
                <w:szCs w:val="28"/>
                <w:lang w:val="lv-LV"/>
              </w:rPr>
              <w:t xml:space="preserve"> pirms EK lēmuma SA.34681</w:t>
            </w:r>
            <w:r w:rsidR="002D5EBC" w:rsidRPr="00751B35">
              <w:rPr>
                <w:sz w:val="28"/>
                <w:szCs w:val="28"/>
                <w:lang w:val="lv-LV"/>
              </w:rPr>
              <w:t xml:space="preserve">) kursa 1 EUR = 0.6985) </w:t>
            </w:r>
            <w:r w:rsidR="00770BD3" w:rsidRPr="00751B35">
              <w:rPr>
                <w:sz w:val="28"/>
                <w:szCs w:val="28"/>
                <w:lang w:val="lv-LV"/>
              </w:rPr>
              <w:t xml:space="preserve">jeb </w:t>
            </w:r>
            <w:r w:rsidRPr="00751B35">
              <w:rPr>
                <w:sz w:val="28"/>
                <w:szCs w:val="28"/>
                <w:lang w:val="lv-LV"/>
              </w:rPr>
              <w:t xml:space="preserve">77 896 838 </w:t>
            </w:r>
            <w:proofErr w:type="spellStart"/>
            <w:r w:rsidRPr="00751B35">
              <w:rPr>
                <w:sz w:val="28"/>
                <w:szCs w:val="28"/>
                <w:lang w:val="lv-LV"/>
              </w:rPr>
              <w:t>euro</w:t>
            </w:r>
            <w:proofErr w:type="spellEnd"/>
            <w:r w:rsidR="00195EB1" w:rsidRPr="00751B35">
              <w:rPr>
                <w:sz w:val="28"/>
                <w:szCs w:val="28"/>
                <w:lang w:val="lv-LV"/>
              </w:rPr>
              <w:t xml:space="preserve"> (pēc oficiālā kursa 1 EUR = 0,702804 LVL)</w:t>
            </w:r>
            <w:r w:rsidRPr="00751B35">
              <w:rPr>
                <w:sz w:val="28"/>
                <w:szCs w:val="28"/>
                <w:lang w:val="lv-LV"/>
              </w:rPr>
              <w:t>.</w:t>
            </w:r>
            <w:r w:rsidR="005D4BD6" w:rsidRPr="00751B35">
              <w:rPr>
                <w:sz w:val="28"/>
                <w:szCs w:val="28"/>
                <w:lang w:val="lv-LV"/>
              </w:rPr>
              <w:t xml:space="preserve"> Atbilstoši </w:t>
            </w:r>
            <w:r w:rsidR="005D4BD6" w:rsidRPr="00751B35">
              <w:rPr>
                <w:rFonts w:eastAsia="Arial Unicode MS"/>
                <w:sz w:val="28"/>
                <w:szCs w:val="28"/>
                <w:lang w:val="lv-LV"/>
              </w:rPr>
              <w:t xml:space="preserve">Ministru </w:t>
            </w:r>
            <w:r w:rsidR="005D4BD6" w:rsidRPr="00751B35">
              <w:rPr>
                <w:sz w:val="28"/>
                <w:szCs w:val="28"/>
                <w:lang w:val="lv-LV"/>
              </w:rPr>
              <w:t xml:space="preserve">kabineta </w:t>
            </w:r>
            <w:r w:rsidR="005917DC" w:rsidRPr="00751B35">
              <w:rPr>
                <w:sz w:val="28"/>
                <w:szCs w:val="28"/>
                <w:lang w:val="lv-LV"/>
              </w:rPr>
              <w:t>04.03.2013.</w:t>
            </w:r>
            <w:r w:rsidR="005D4BD6" w:rsidRPr="00751B35">
              <w:rPr>
                <w:sz w:val="28"/>
                <w:szCs w:val="28"/>
                <w:lang w:val="lv-LV"/>
              </w:rPr>
              <w:t xml:space="preserve"> rīkojumam Nr.70 „Grozījums darbības programmas „Infrastruktūra un pakalpojumi” papildinājumā”</w:t>
            </w:r>
            <w:r w:rsidRPr="00751B35">
              <w:rPr>
                <w:sz w:val="28"/>
                <w:szCs w:val="28"/>
                <w:lang w:val="lv-LV"/>
              </w:rPr>
              <w:t xml:space="preserve"> </w:t>
            </w:r>
            <w:r w:rsidR="005D4BD6" w:rsidRPr="00751B35">
              <w:rPr>
                <w:sz w:val="28"/>
                <w:szCs w:val="28"/>
                <w:lang w:val="lv-LV"/>
              </w:rPr>
              <w:t>shēmas kopējais budžets tika palielināts līdz 78 </w:t>
            </w:r>
            <w:r w:rsidRPr="00751B35">
              <w:rPr>
                <w:sz w:val="28"/>
                <w:szCs w:val="28"/>
                <w:lang w:val="lv-LV"/>
              </w:rPr>
              <w:t>728</w:t>
            </w:r>
            <w:r w:rsidR="005D4BD6" w:rsidRPr="00751B35">
              <w:rPr>
                <w:rFonts w:eastAsia="Arial Unicode MS"/>
                <w:sz w:val="28"/>
                <w:szCs w:val="28"/>
                <w:lang w:val="lv-LV"/>
              </w:rPr>
              <w:t> </w:t>
            </w:r>
            <w:r w:rsidRPr="00751B35">
              <w:rPr>
                <w:rFonts w:eastAsia="Arial Unicode MS"/>
                <w:sz w:val="28"/>
                <w:szCs w:val="28"/>
                <w:lang w:val="lv-LV"/>
              </w:rPr>
              <w:t xml:space="preserve"> 350</w:t>
            </w:r>
            <w:r w:rsidR="005D4BD6" w:rsidRPr="00751B35">
              <w:rPr>
                <w:rFonts w:eastAsia="Arial Unicode MS"/>
                <w:sz w:val="28"/>
                <w:szCs w:val="28"/>
                <w:lang w:val="lv-LV"/>
              </w:rPr>
              <w:t xml:space="preserve"> </w:t>
            </w:r>
            <w:proofErr w:type="spellStart"/>
            <w:r w:rsidR="005D4BD6" w:rsidRPr="00751B35">
              <w:rPr>
                <w:rFonts w:eastAsia="Arial Unicode MS"/>
                <w:i/>
                <w:sz w:val="28"/>
                <w:szCs w:val="28"/>
                <w:lang w:val="lv-LV"/>
              </w:rPr>
              <w:t>euro</w:t>
            </w:r>
            <w:proofErr w:type="spellEnd"/>
            <w:r w:rsidR="00081A08" w:rsidRPr="00751B35">
              <w:rPr>
                <w:rFonts w:eastAsia="Arial Unicode MS"/>
                <w:sz w:val="28"/>
                <w:szCs w:val="28"/>
                <w:lang w:val="lv-LV"/>
              </w:rPr>
              <w:t>. Savukārt 15.10.2013. Ministru kabinets ap</w:t>
            </w:r>
            <w:r w:rsidR="005917DC" w:rsidRPr="00751B35">
              <w:rPr>
                <w:rFonts w:eastAsia="Arial Unicode MS"/>
                <w:sz w:val="28"/>
                <w:szCs w:val="28"/>
                <w:lang w:val="lv-LV"/>
              </w:rPr>
              <w:t>s</w:t>
            </w:r>
            <w:r w:rsidR="00081A08" w:rsidRPr="00751B35">
              <w:rPr>
                <w:rFonts w:eastAsia="Arial Unicode MS"/>
                <w:sz w:val="28"/>
                <w:szCs w:val="28"/>
                <w:lang w:val="lv-LV"/>
              </w:rPr>
              <w:t xml:space="preserve">tiprināja shēmas kopējā budžeta palielinājumu līdz </w:t>
            </w:r>
            <w:r w:rsidR="00081A08" w:rsidRPr="00751B35">
              <w:rPr>
                <w:sz w:val="28"/>
                <w:szCs w:val="28"/>
              </w:rPr>
              <w:t>84</w:t>
            </w:r>
            <w:r w:rsidR="00C84412" w:rsidRPr="00751B35">
              <w:rPr>
                <w:sz w:val="28"/>
                <w:szCs w:val="28"/>
              </w:rPr>
              <w:t> </w:t>
            </w:r>
            <w:r w:rsidR="00081A08" w:rsidRPr="00751B35">
              <w:rPr>
                <w:sz w:val="28"/>
                <w:szCs w:val="28"/>
              </w:rPr>
              <w:t xml:space="preserve">029 689 </w:t>
            </w:r>
            <w:r w:rsidR="00081A08" w:rsidRPr="00751B35">
              <w:rPr>
                <w:i/>
                <w:sz w:val="28"/>
                <w:szCs w:val="28"/>
              </w:rPr>
              <w:t>euro</w:t>
            </w:r>
            <w:r w:rsidR="005917DC" w:rsidRPr="00751B35">
              <w:rPr>
                <w:i/>
                <w:sz w:val="28"/>
                <w:szCs w:val="28"/>
              </w:rPr>
              <w:t xml:space="preserve"> </w:t>
            </w:r>
            <w:r w:rsidR="005917DC" w:rsidRPr="00751B35">
              <w:rPr>
                <w:sz w:val="28"/>
                <w:szCs w:val="28"/>
              </w:rPr>
              <w:t>(</w:t>
            </w:r>
            <w:proofErr w:type="spellStart"/>
            <w:r w:rsidR="005917DC" w:rsidRPr="00751B35">
              <w:rPr>
                <w:sz w:val="28"/>
                <w:szCs w:val="28"/>
              </w:rPr>
              <w:t>Ministru</w:t>
            </w:r>
            <w:proofErr w:type="spellEnd"/>
            <w:r w:rsidR="005917DC" w:rsidRPr="00751B35">
              <w:rPr>
                <w:sz w:val="28"/>
                <w:szCs w:val="28"/>
              </w:rPr>
              <w:t xml:space="preserve"> </w:t>
            </w:r>
            <w:proofErr w:type="spellStart"/>
            <w:r w:rsidR="005917DC" w:rsidRPr="00751B35">
              <w:rPr>
                <w:sz w:val="28"/>
                <w:szCs w:val="28"/>
              </w:rPr>
              <w:t>kabineta</w:t>
            </w:r>
            <w:proofErr w:type="spellEnd"/>
            <w:r w:rsidR="005917DC" w:rsidRPr="00751B35">
              <w:rPr>
                <w:sz w:val="28"/>
                <w:szCs w:val="28"/>
              </w:rPr>
              <w:t xml:space="preserve"> </w:t>
            </w:r>
            <w:r w:rsidR="005917DC" w:rsidRPr="00751B35">
              <w:rPr>
                <w:sz w:val="28"/>
                <w:szCs w:val="28"/>
              </w:rPr>
              <w:lastRenderedPageBreak/>
              <w:t xml:space="preserve">01.11.2013. </w:t>
            </w:r>
            <w:proofErr w:type="spellStart"/>
            <w:proofErr w:type="gramStart"/>
            <w:r w:rsidR="005917DC" w:rsidRPr="00751B35">
              <w:rPr>
                <w:sz w:val="28"/>
                <w:szCs w:val="28"/>
              </w:rPr>
              <w:t>rīkojums</w:t>
            </w:r>
            <w:proofErr w:type="spellEnd"/>
            <w:proofErr w:type="gramEnd"/>
            <w:r w:rsidR="005917DC" w:rsidRPr="00751B35">
              <w:rPr>
                <w:sz w:val="28"/>
                <w:szCs w:val="28"/>
              </w:rPr>
              <w:t xml:space="preserve"> Nr.519 </w:t>
            </w:r>
            <w:r w:rsidR="005917DC" w:rsidRPr="00751B35">
              <w:rPr>
                <w:sz w:val="28"/>
                <w:szCs w:val="28"/>
                <w:lang w:val="lv-LV"/>
              </w:rPr>
              <w:t>„</w:t>
            </w:r>
            <w:proofErr w:type="spellStart"/>
            <w:r w:rsidR="005917DC" w:rsidRPr="00751B35">
              <w:rPr>
                <w:sz w:val="28"/>
                <w:szCs w:val="28"/>
              </w:rPr>
              <w:t>Grozījumi</w:t>
            </w:r>
            <w:proofErr w:type="spellEnd"/>
            <w:r w:rsidR="005917DC" w:rsidRPr="00751B35">
              <w:rPr>
                <w:sz w:val="28"/>
                <w:szCs w:val="28"/>
              </w:rPr>
              <w:t xml:space="preserve"> </w:t>
            </w:r>
            <w:proofErr w:type="spellStart"/>
            <w:r w:rsidR="005917DC" w:rsidRPr="00751B35">
              <w:rPr>
                <w:sz w:val="28"/>
                <w:szCs w:val="28"/>
              </w:rPr>
              <w:t>darbības</w:t>
            </w:r>
            <w:proofErr w:type="spellEnd"/>
            <w:r w:rsidR="005917DC" w:rsidRPr="00751B35">
              <w:rPr>
                <w:sz w:val="28"/>
                <w:szCs w:val="28"/>
              </w:rPr>
              <w:t xml:space="preserve"> </w:t>
            </w:r>
            <w:proofErr w:type="spellStart"/>
            <w:r w:rsidR="005917DC" w:rsidRPr="00751B35">
              <w:rPr>
                <w:sz w:val="28"/>
                <w:szCs w:val="28"/>
              </w:rPr>
              <w:t>programmas</w:t>
            </w:r>
            <w:proofErr w:type="spellEnd"/>
            <w:r w:rsidR="005917DC" w:rsidRPr="00751B35">
              <w:rPr>
                <w:sz w:val="28"/>
                <w:szCs w:val="28"/>
              </w:rPr>
              <w:t xml:space="preserve"> </w:t>
            </w:r>
            <w:r w:rsidR="005917DC" w:rsidRPr="00751B35">
              <w:rPr>
                <w:sz w:val="28"/>
                <w:szCs w:val="28"/>
                <w:lang w:val="lv-LV"/>
              </w:rPr>
              <w:t>„</w:t>
            </w:r>
            <w:proofErr w:type="spellStart"/>
            <w:r w:rsidR="005917DC" w:rsidRPr="00751B35">
              <w:rPr>
                <w:sz w:val="28"/>
                <w:szCs w:val="28"/>
              </w:rPr>
              <w:t>Infrastruktūra</w:t>
            </w:r>
            <w:proofErr w:type="spellEnd"/>
            <w:r w:rsidR="005917DC" w:rsidRPr="00751B35">
              <w:rPr>
                <w:sz w:val="28"/>
                <w:szCs w:val="28"/>
              </w:rPr>
              <w:t xml:space="preserve"> un </w:t>
            </w:r>
            <w:proofErr w:type="spellStart"/>
            <w:r w:rsidR="005917DC" w:rsidRPr="00751B35">
              <w:rPr>
                <w:sz w:val="28"/>
                <w:szCs w:val="28"/>
              </w:rPr>
              <w:t>pakalpojumi</w:t>
            </w:r>
            <w:proofErr w:type="spellEnd"/>
            <w:r w:rsidR="005917DC" w:rsidRPr="00751B35">
              <w:rPr>
                <w:sz w:val="28"/>
                <w:szCs w:val="28"/>
              </w:rPr>
              <w:t xml:space="preserve">” </w:t>
            </w:r>
            <w:proofErr w:type="spellStart"/>
            <w:r w:rsidR="005917DC" w:rsidRPr="00751B35">
              <w:rPr>
                <w:sz w:val="28"/>
                <w:szCs w:val="28"/>
              </w:rPr>
              <w:t>papildinājumā</w:t>
            </w:r>
            <w:proofErr w:type="spellEnd"/>
            <w:r w:rsidR="005917DC" w:rsidRPr="00751B35">
              <w:rPr>
                <w:sz w:val="28"/>
                <w:szCs w:val="28"/>
              </w:rPr>
              <w:t>”)</w:t>
            </w:r>
            <w:r w:rsidR="00081A08" w:rsidRPr="00751B35">
              <w:rPr>
                <w:sz w:val="28"/>
                <w:szCs w:val="28"/>
              </w:rPr>
              <w:t>.</w:t>
            </w:r>
            <w:r w:rsidR="00081A08" w:rsidRPr="00751B35">
              <w:rPr>
                <w:rFonts w:eastAsia="Arial Unicode MS"/>
                <w:sz w:val="28"/>
                <w:szCs w:val="28"/>
                <w:lang w:val="lv-LV"/>
              </w:rPr>
              <w:t>Tiesību akta projekt</w:t>
            </w:r>
            <w:r w:rsidR="005D4BD6" w:rsidRPr="00751B35">
              <w:rPr>
                <w:rFonts w:eastAsia="Arial Unicode MS"/>
                <w:sz w:val="28"/>
                <w:szCs w:val="28"/>
                <w:lang w:val="lv-LV"/>
              </w:rPr>
              <w:t>ā paredzēts</w:t>
            </w:r>
            <w:r w:rsidR="005917DC" w:rsidRPr="00751B35">
              <w:rPr>
                <w:rFonts w:eastAsia="Arial Unicode MS"/>
                <w:sz w:val="28"/>
                <w:szCs w:val="28"/>
                <w:lang w:val="lv-LV"/>
              </w:rPr>
              <w:t xml:space="preserve"> palielināt 3.5.2.1.1.apakšaktivitātes projektu i</w:t>
            </w:r>
            <w:r w:rsidR="00CA1B8B" w:rsidRPr="00751B35">
              <w:rPr>
                <w:rFonts w:eastAsia="Arial Unicode MS"/>
                <w:sz w:val="28"/>
                <w:szCs w:val="28"/>
                <w:lang w:val="lv-LV"/>
              </w:rPr>
              <w:t xml:space="preserve">esniegumu atlases otrās kārtas </w:t>
            </w:r>
            <w:r w:rsidR="005917DC" w:rsidRPr="00751B35">
              <w:rPr>
                <w:rFonts w:eastAsia="Arial Unicode MS"/>
                <w:sz w:val="28"/>
                <w:szCs w:val="28"/>
                <w:lang w:val="lv-LV"/>
              </w:rPr>
              <w:t>un turpmāko kārtu ietvaros pieejamo KF finansējumu</w:t>
            </w:r>
            <w:r w:rsidR="00CA1B8B" w:rsidRPr="00751B35">
              <w:rPr>
                <w:rFonts w:eastAsia="Arial Unicode MS"/>
                <w:sz w:val="28"/>
                <w:szCs w:val="28"/>
                <w:lang w:val="lv-LV"/>
              </w:rPr>
              <w:t xml:space="preserve"> līdz</w:t>
            </w:r>
            <w:r w:rsidR="005917DC" w:rsidRPr="00751B35">
              <w:rPr>
                <w:rFonts w:eastAsia="Arial Unicode MS"/>
                <w:sz w:val="28"/>
                <w:szCs w:val="28"/>
                <w:lang w:val="lv-LV"/>
              </w:rPr>
              <w:t xml:space="preserve"> </w:t>
            </w:r>
            <w:r w:rsidR="00B1649C" w:rsidRPr="00751B35">
              <w:rPr>
                <w:rFonts w:eastAsia="Arial Unicode MS"/>
                <w:sz w:val="28"/>
                <w:szCs w:val="28"/>
              </w:rPr>
              <w:t>75 493 087</w:t>
            </w:r>
            <w:r w:rsidR="00CA1B8B" w:rsidRPr="00751B35">
              <w:rPr>
                <w:rFonts w:eastAsia="Arial Unicode MS"/>
                <w:sz w:val="28"/>
                <w:szCs w:val="28"/>
              </w:rPr>
              <w:t xml:space="preserve"> </w:t>
            </w:r>
            <w:proofErr w:type="spellStart"/>
            <w:r w:rsidRPr="00751B35">
              <w:rPr>
                <w:i/>
                <w:sz w:val="28"/>
                <w:szCs w:val="28"/>
                <w:lang w:val="lv-LV"/>
              </w:rPr>
              <w:t>euro</w:t>
            </w:r>
            <w:proofErr w:type="spellEnd"/>
            <w:r w:rsidR="00CA1B8B" w:rsidRPr="00751B35">
              <w:rPr>
                <w:sz w:val="28"/>
                <w:szCs w:val="28"/>
                <w:lang w:val="lv-LV"/>
              </w:rPr>
              <w:t xml:space="preserve">, tādējādi kopējais 3.5.2.1.1.apakšaktivitātes ietvaros pieejamais KF finansējums tiks palielināts līdz </w:t>
            </w:r>
            <w:r w:rsidR="00B1649C" w:rsidRPr="00751B35">
              <w:rPr>
                <w:sz w:val="28"/>
                <w:szCs w:val="28"/>
                <w:lang w:val="lv-LV"/>
              </w:rPr>
              <w:t>84 448 883</w:t>
            </w:r>
            <w:r w:rsidR="00CA1B8B" w:rsidRPr="00751B35">
              <w:rPr>
                <w:sz w:val="28"/>
                <w:szCs w:val="28"/>
                <w:lang w:val="lv-LV"/>
              </w:rPr>
              <w:t xml:space="preserve"> </w:t>
            </w:r>
            <w:proofErr w:type="spellStart"/>
            <w:r w:rsidR="00CA1B8B" w:rsidRPr="00751B35">
              <w:rPr>
                <w:i/>
                <w:sz w:val="28"/>
                <w:szCs w:val="28"/>
                <w:lang w:val="lv-LV"/>
              </w:rPr>
              <w:t>euro</w:t>
            </w:r>
            <w:proofErr w:type="spellEnd"/>
            <w:r w:rsidR="00CA1B8B" w:rsidRPr="00751B35">
              <w:rPr>
                <w:sz w:val="28"/>
                <w:szCs w:val="28"/>
                <w:lang w:val="lv-LV"/>
              </w:rPr>
              <w:t>.</w:t>
            </w:r>
          </w:p>
        </w:tc>
        <w:tc>
          <w:tcPr>
            <w:tcW w:w="2033" w:type="dxa"/>
            <w:hideMark/>
          </w:tcPr>
          <w:p w:rsidR="00E34A70" w:rsidRPr="00751B35" w:rsidRDefault="00E34A70" w:rsidP="002238D4">
            <w:pPr>
              <w:rPr>
                <w:rFonts w:eastAsia="Times New Roman"/>
                <w:sz w:val="28"/>
                <w:szCs w:val="28"/>
                <w:lang w:val="lv-LV" w:eastAsia="lv-LV"/>
              </w:rPr>
            </w:pPr>
            <w:r w:rsidRPr="00751B35">
              <w:rPr>
                <w:rFonts w:eastAsia="Times New Roman"/>
                <w:sz w:val="28"/>
                <w:szCs w:val="28"/>
                <w:lang w:val="lv-LV" w:eastAsia="lv-LV"/>
              </w:rPr>
              <w:lastRenderedPageBreak/>
              <w:t>Tiesību akta projekts neparedz stingrākas prasības kā noteikts ES tiesību aktā</w:t>
            </w:r>
            <w:r w:rsidRPr="00751B35">
              <w:rPr>
                <w:rFonts w:eastAsia="Times New Roman"/>
                <w:sz w:val="28"/>
                <w:szCs w:val="28"/>
                <w:lang w:val="lv-LV"/>
              </w:rPr>
              <w:t>.</w:t>
            </w:r>
          </w:p>
        </w:tc>
      </w:tr>
      <w:tr w:rsidR="004B15B2" w:rsidRPr="00751B35" w:rsidTr="00C61F40">
        <w:trPr>
          <w:trHeight w:val="282"/>
          <w:tblCellSpacing w:w="0" w:type="dxa"/>
        </w:trPr>
        <w:tc>
          <w:tcPr>
            <w:tcW w:w="2003" w:type="dxa"/>
            <w:vAlign w:val="center"/>
            <w:hideMark/>
          </w:tcPr>
          <w:p w:rsidR="004B15B2" w:rsidRPr="00751B35" w:rsidRDefault="004B15B2" w:rsidP="002238D4">
            <w:pPr>
              <w:rPr>
                <w:rFonts w:eastAsia="Times New Roman"/>
                <w:sz w:val="28"/>
                <w:szCs w:val="28"/>
                <w:lang w:val="lv-LV" w:eastAsia="lv-LV"/>
              </w:rPr>
            </w:pPr>
            <w:r w:rsidRPr="00751B35">
              <w:rPr>
                <w:rFonts w:eastAsia="Times New Roman"/>
                <w:sz w:val="28"/>
                <w:szCs w:val="28"/>
                <w:lang w:val="lv-LV" w:eastAsia="lv-LV"/>
              </w:rPr>
              <w:lastRenderedPageBreak/>
              <w:t>Kā ir izmantota ES tiesību aktā paredzētā rīcības brīvība dalībvalstij pārņemt vai ieviest noteiktas ES tiesību akta normas.</w:t>
            </w:r>
          </w:p>
          <w:p w:rsidR="004B15B2" w:rsidRPr="00751B35" w:rsidRDefault="004B15B2" w:rsidP="002238D4">
            <w:pPr>
              <w:rPr>
                <w:rFonts w:eastAsia="Times New Roman"/>
                <w:sz w:val="28"/>
                <w:szCs w:val="28"/>
                <w:lang w:val="lv-LV" w:eastAsia="lv-LV"/>
              </w:rPr>
            </w:pPr>
            <w:r w:rsidRPr="00751B35">
              <w:rPr>
                <w:rFonts w:eastAsia="Times New Roman"/>
                <w:sz w:val="28"/>
                <w:szCs w:val="28"/>
                <w:lang w:val="lv-LV" w:eastAsia="lv-LV"/>
              </w:rPr>
              <w:t>Kādēļ?</w:t>
            </w:r>
          </w:p>
        </w:tc>
        <w:tc>
          <w:tcPr>
            <w:tcW w:w="7188" w:type="dxa"/>
            <w:gridSpan w:val="3"/>
            <w:hideMark/>
          </w:tcPr>
          <w:p w:rsidR="004B15B2" w:rsidRPr="00751B35" w:rsidRDefault="004B15B2" w:rsidP="002238D4">
            <w:pPr>
              <w:rPr>
                <w:rFonts w:eastAsia="Times New Roman"/>
                <w:sz w:val="28"/>
                <w:szCs w:val="28"/>
                <w:lang w:val="lv-LV" w:eastAsia="lv-LV"/>
              </w:rPr>
            </w:pPr>
            <w:r w:rsidRPr="00751B35">
              <w:rPr>
                <w:rFonts w:eastAsia="Times New Roman"/>
                <w:sz w:val="28"/>
                <w:szCs w:val="28"/>
                <w:lang w:val="lv-LV" w:eastAsia="lv-LV"/>
              </w:rPr>
              <w:t>Projekts šo jomu neskar.</w:t>
            </w:r>
          </w:p>
        </w:tc>
      </w:tr>
      <w:tr w:rsidR="004B15B2" w:rsidRPr="00751B35" w:rsidTr="00C61F40">
        <w:trPr>
          <w:trHeight w:val="643"/>
          <w:tblCellSpacing w:w="0" w:type="dxa"/>
        </w:trPr>
        <w:tc>
          <w:tcPr>
            <w:tcW w:w="2003" w:type="dxa"/>
            <w:vAlign w:val="center"/>
            <w:hideMark/>
          </w:tcPr>
          <w:p w:rsidR="004B15B2" w:rsidRPr="00751B35" w:rsidRDefault="004B15B2" w:rsidP="002238D4">
            <w:pPr>
              <w:rPr>
                <w:rFonts w:eastAsia="Times New Roman"/>
                <w:sz w:val="28"/>
                <w:szCs w:val="28"/>
                <w:lang w:val="lv-LV" w:eastAsia="lv-LV"/>
              </w:rPr>
            </w:pPr>
            <w:r w:rsidRPr="00751B35">
              <w:rPr>
                <w:rFonts w:eastAsia="Times New Roman"/>
                <w:sz w:val="28"/>
                <w:szCs w:val="28"/>
                <w:lang w:val="lv-LV" w:eastAsia="lv-LV"/>
              </w:rPr>
              <w:t xml:space="preserve">Saistības sniegt paziņojumu ES institūcijām un ES dalībvalstīm atbilstoši normatīvajiem aktiem, kas </w:t>
            </w:r>
            <w:r w:rsidRPr="00751B35">
              <w:rPr>
                <w:rFonts w:eastAsia="Times New Roman"/>
                <w:sz w:val="28"/>
                <w:szCs w:val="28"/>
                <w:lang w:val="lv-LV" w:eastAsia="lv-LV"/>
              </w:rPr>
              <w:lastRenderedPageBreak/>
              <w:t>regulē informācijas sniegšanu par tehnisko noteikumu, valsts atbalsta piešķiršanas un finanšu noteikumu (attiecībā uz monetāro politiku) projektiem</w:t>
            </w:r>
          </w:p>
        </w:tc>
        <w:tc>
          <w:tcPr>
            <w:tcW w:w="7188" w:type="dxa"/>
            <w:gridSpan w:val="3"/>
            <w:hideMark/>
          </w:tcPr>
          <w:p w:rsidR="004B15B2" w:rsidRPr="00751B35" w:rsidRDefault="004B15B2" w:rsidP="002238D4">
            <w:pPr>
              <w:jc w:val="both"/>
              <w:rPr>
                <w:rFonts w:eastAsia="Times New Roman"/>
                <w:sz w:val="28"/>
                <w:szCs w:val="28"/>
                <w:lang w:val="lv-LV" w:eastAsia="lv-LV"/>
              </w:rPr>
            </w:pPr>
            <w:r w:rsidRPr="00751B35">
              <w:rPr>
                <w:sz w:val="28"/>
                <w:szCs w:val="28"/>
                <w:lang w:val="lv-LV"/>
              </w:rPr>
              <w:lastRenderedPageBreak/>
              <w:t>-</w:t>
            </w:r>
          </w:p>
        </w:tc>
      </w:tr>
      <w:tr w:rsidR="004B15B2" w:rsidRPr="00751B35" w:rsidTr="00C61F40">
        <w:trPr>
          <w:trHeight w:val="399"/>
          <w:tblCellSpacing w:w="0" w:type="dxa"/>
        </w:trPr>
        <w:tc>
          <w:tcPr>
            <w:tcW w:w="2003" w:type="dxa"/>
            <w:hideMark/>
          </w:tcPr>
          <w:p w:rsidR="004B15B2" w:rsidRPr="00751B35" w:rsidRDefault="004B15B2" w:rsidP="002238D4">
            <w:pPr>
              <w:rPr>
                <w:rFonts w:eastAsia="Times New Roman"/>
                <w:sz w:val="28"/>
                <w:szCs w:val="28"/>
                <w:lang w:val="lv-LV" w:eastAsia="lv-LV"/>
              </w:rPr>
            </w:pPr>
            <w:r w:rsidRPr="00751B35">
              <w:rPr>
                <w:rFonts w:eastAsia="Times New Roman"/>
                <w:sz w:val="28"/>
                <w:szCs w:val="28"/>
                <w:lang w:val="lv-LV" w:eastAsia="lv-LV"/>
              </w:rPr>
              <w:lastRenderedPageBreak/>
              <w:t>Cita informācija</w:t>
            </w:r>
          </w:p>
        </w:tc>
        <w:tc>
          <w:tcPr>
            <w:tcW w:w="7188" w:type="dxa"/>
            <w:gridSpan w:val="3"/>
            <w:hideMark/>
          </w:tcPr>
          <w:p w:rsidR="004B15B2" w:rsidRPr="00751B35" w:rsidRDefault="004B15B2" w:rsidP="002238D4">
            <w:pPr>
              <w:rPr>
                <w:rFonts w:eastAsia="Times New Roman"/>
                <w:sz w:val="28"/>
                <w:szCs w:val="28"/>
                <w:lang w:val="lv-LV" w:eastAsia="lv-LV"/>
              </w:rPr>
            </w:pPr>
            <w:r w:rsidRPr="00751B35">
              <w:rPr>
                <w:sz w:val="28"/>
                <w:szCs w:val="28"/>
                <w:lang w:val="lv-LV"/>
              </w:rPr>
              <w:t>Nav.</w:t>
            </w:r>
          </w:p>
        </w:tc>
      </w:tr>
    </w:tbl>
    <w:p w:rsidR="00E34A70" w:rsidRPr="00751B35" w:rsidRDefault="00E34A70" w:rsidP="002238D4">
      <w:pPr>
        <w:jc w:val="both"/>
        <w:rPr>
          <w:rFonts w:eastAsia="Times New Roman"/>
          <w:sz w:val="28"/>
          <w:szCs w:val="28"/>
          <w:lang w:val="lv-LV" w:eastAsia="lv-LV"/>
        </w:rPr>
      </w:pP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E34A70" w:rsidRPr="00751B35" w:rsidTr="00E34A70">
        <w:trPr>
          <w:trHeight w:val="178"/>
          <w:tblCellSpacing w:w="0" w:type="dxa"/>
        </w:trPr>
        <w:tc>
          <w:tcPr>
            <w:tcW w:w="9115" w:type="dxa"/>
            <w:gridSpan w:val="4"/>
            <w:vAlign w:val="center"/>
            <w:hideMark/>
          </w:tcPr>
          <w:p w:rsidR="00E34A70" w:rsidRPr="00751B35" w:rsidRDefault="00E34A70" w:rsidP="002238D4">
            <w:pPr>
              <w:jc w:val="center"/>
              <w:rPr>
                <w:rFonts w:eastAsia="Times New Roman"/>
                <w:bCs/>
                <w:sz w:val="28"/>
                <w:szCs w:val="28"/>
                <w:lang w:val="lv-LV"/>
              </w:rPr>
            </w:pPr>
            <w:r w:rsidRPr="00751B35">
              <w:rPr>
                <w:rFonts w:eastAsia="Times New Roman"/>
                <w:bCs/>
                <w:sz w:val="28"/>
                <w:szCs w:val="28"/>
                <w:lang w:val="lv-LV"/>
              </w:rPr>
              <w:t>2.tabula</w:t>
            </w:r>
          </w:p>
          <w:p w:rsidR="00E34A70" w:rsidRPr="00751B35" w:rsidRDefault="00E34A70" w:rsidP="002238D4">
            <w:pPr>
              <w:jc w:val="center"/>
              <w:rPr>
                <w:rFonts w:eastAsia="Times New Roman"/>
                <w:bCs/>
                <w:sz w:val="28"/>
                <w:szCs w:val="28"/>
                <w:lang w:val="lv-LV"/>
              </w:rPr>
            </w:pPr>
            <w:r w:rsidRPr="00751B35">
              <w:rPr>
                <w:rFonts w:eastAsia="Times New Roman"/>
                <w:bCs/>
                <w:sz w:val="28"/>
                <w:szCs w:val="28"/>
                <w:lang w:val="lv-LV"/>
              </w:rPr>
              <w:t>Ar tiesību akta projektu uzņemtās saistības, kas izriet no starptautiskajiem tiesību aktiem vai starptautiskas institūcijas vai organizācijas dokumentiem</w:t>
            </w:r>
          </w:p>
          <w:p w:rsidR="00E34A70" w:rsidRPr="00751B35" w:rsidRDefault="00E34A70" w:rsidP="002238D4">
            <w:pPr>
              <w:jc w:val="center"/>
              <w:rPr>
                <w:rFonts w:eastAsia="Times New Roman"/>
                <w:bCs/>
                <w:sz w:val="28"/>
                <w:szCs w:val="28"/>
                <w:lang w:val="lv-LV"/>
              </w:rPr>
            </w:pPr>
            <w:r w:rsidRPr="00751B35">
              <w:rPr>
                <w:rFonts w:eastAsia="Times New Roman"/>
                <w:bCs/>
                <w:sz w:val="28"/>
                <w:szCs w:val="28"/>
                <w:lang w:val="lv-LV"/>
              </w:rPr>
              <w:t>Pasākumi šo saistību izpildei</w:t>
            </w:r>
          </w:p>
        </w:tc>
      </w:tr>
      <w:tr w:rsidR="00E34A70" w:rsidRPr="00751B35" w:rsidTr="00E34A70">
        <w:trPr>
          <w:trHeight w:val="1845"/>
          <w:tblCellSpacing w:w="0" w:type="dxa"/>
        </w:trPr>
        <w:tc>
          <w:tcPr>
            <w:tcW w:w="3594" w:type="dxa"/>
            <w:gridSpan w:val="2"/>
            <w:vAlign w:val="center"/>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Attiecīgā starptautiskā tiesību akta vai starptautiskas institūcijas vai organizācijas dokumenta (turpmāk – starptautiskais dokuments) datums, numurs un nosaukums</w:t>
            </w:r>
          </w:p>
        </w:tc>
        <w:tc>
          <w:tcPr>
            <w:tcW w:w="5521" w:type="dxa"/>
            <w:gridSpan w:val="2"/>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E34A70" w:rsidRPr="00751B35" w:rsidTr="00E34A70">
        <w:trPr>
          <w:trHeight w:val="219"/>
          <w:tblCellSpacing w:w="0" w:type="dxa"/>
        </w:trPr>
        <w:tc>
          <w:tcPr>
            <w:tcW w:w="9115" w:type="dxa"/>
            <w:gridSpan w:val="4"/>
            <w:vAlign w:val="center"/>
            <w:hideMark/>
          </w:tcPr>
          <w:p w:rsidR="00E34A70" w:rsidRPr="00751B35" w:rsidRDefault="00E34A70" w:rsidP="002238D4">
            <w:pPr>
              <w:rPr>
                <w:rFonts w:eastAsia="Times New Roman"/>
                <w:sz w:val="28"/>
                <w:szCs w:val="28"/>
                <w:lang w:val="lv-LV"/>
              </w:rPr>
            </w:pPr>
          </w:p>
        </w:tc>
      </w:tr>
      <w:tr w:rsidR="00E34A70" w:rsidRPr="00751B35" w:rsidTr="00E34A70">
        <w:trPr>
          <w:trHeight w:val="343"/>
          <w:tblCellSpacing w:w="0" w:type="dxa"/>
        </w:trPr>
        <w:tc>
          <w:tcPr>
            <w:tcW w:w="2602" w:type="dxa"/>
            <w:vAlign w:val="center"/>
            <w:hideMark/>
          </w:tcPr>
          <w:p w:rsidR="00E34A70" w:rsidRPr="00751B35" w:rsidRDefault="00E34A70" w:rsidP="002238D4">
            <w:pPr>
              <w:jc w:val="center"/>
              <w:rPr>
                <w:rFonts w:eastAsia="Times New Roman"/>
                <w:sz w:val="28"/>
                <w:szCs w:val="28"/>
                <w:lang w:val="lv-LV"/>
              </w:rPr>
            </w:pPr>
            <w:r w:rsidRPr="00751B35">
              <w:rPr>
                <w:rFonts w:eastAsia="Times New Roman"/>
                <w:sz w:val="28"/>
                <w:szCs w:val="28"/>
                <w:lang w:val="lv-LV"/>
              </w:rPr>
              <w:t>A</w:t>
            </w:r>
          </w:p>
        </w:tc>
        <w:tc>
          <w:tcPr>
            <w:tcW w:w="2599" w:type="dxa"/>
            <w:gridSpan w:val="2"/>
            <w:vAlign w:val="center"/>
            <w:hideMark/>
          </w:tcPr>
          <w:p w:rsidR="00E34A70" w:rsidRPr="00751B35" w:rsidRDefault="00E34A70" w:rsidP="002238D4">
            <w:pPr>
              <w:jc w:val="center"/>
              <w:rPr>
                <w:rFonts w:eastAsia="Times New Roman"/>
                <w:sz w:val="28"/>
                <w:szCs w:val="28"/>
                <w:lang w:val="lv-LV"/>
              </w:rPr>
            </w:pPr>
            <w:r w:rsidRPr="00751B35">
              <w:rPr>
                <w:rFonts w:eastAsia="Times New Roman"/>
                <w:sz w:val="28"/>
                <w:szCs w:val="28"/>
                <w:lang w:val="lv-LV"/>
              </w:rPr>
              <w:t>B</w:t>
            </w:r>
          </w:p>
        </w:tc>
        <w:tc>
          <w:tcPr>
            <w:tcW w:w="3914" w:type="dxa"/>
            <w:vAlign w:val="center"/>
            <w:hideMark/>
          </w:tcPr>
          <w:p w:rsidR="00E34A70" w:rsidRPr="00751B35" w:rsidRDefault="00E34A70" w:rsidP="002238D4">
            <w:pPr>
              <w:jc w:val="center"/>
              <w:rPr>
                <w:rFonts w:eastAsia="Times New Roman"/>
                <w:sz w:val="28"/>
                <w:szCs w:val="28"/>
                <w:lang w:val="lv-LV"/>
              </w:rPr>
            </w:pPr>
            <w:r w:rsidRPr="00751B35">
              <w:rPr>
                <w:rFonts w:eastAsia="Times New Roman"/>
                <w:sz w:val="28"/>
                <w:szCs w:val="28"/>
                <w:lang w:val="lv-LV"/>
              </w:rPr>
              <w:t>C</w:t>
            </w:r>
          </w:p>
        </w:tc>
      </w:tr>
      <w:tr w:rsidR="00E34A70" w:rsidRPr="00751B35" w:rsidTr="00E34A70">
        <w:trPr>
          <w:trHeight w:val="1512"/>
          <w:tblCellSpacing w:w="0" w:type="dxa"/>
        </w:trPr>
        <w:tc>
          <w:tcPr>
            <w:tcW w:w="2602" w:type="dxa"/>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Starptautiskās saistības (pēc būtības), kas izriet no norādītā starptautiskā dokumenta.</w:t>
            </w:r>
          </w:p>
          <w:p w:rsidR="00E34A70" w:rsidRPr="00751B35" w:rsidRDefault="00E34A70" w:rsidP="002238D4">
            <w:pPr>
              <w:rPr>
                <w:rFonts w:eastAsia="Times New Roman"/>
                <w:sz w:val="28"/>
                <w:szCs w:val="28"/>
                <w:lang w:val="lv-LV"/>
              </w:rPr>
            </w:pPr>
          </w:p>
          <w:p w:rsidR="00E34A70" w:rsidRPr="00751B35" w:rsidRDefault="00E34A70" w:rsidP="002238D4">
            <w:pPr>
              <w:rPr>
                <w:rFonts w:eastAsia="Times New Roman"/>
                <w:sz w:val="28"/>
                <w:szCs w:val="28"/>
                <w:lang w:val="lv-LV"/>
              </w:rPr>
            </w:pPr>
            <w:r w:rsidRPr="00751B35">
              <w:rPr>
                <w:rFonts w:eastAsia="Times New Roman"/>
                <w:sz w:val="28"/>
                <w:szCs w:val="28"/>
                <w:lang w:val="lv-LV"/>
              </w:rPr>
              <w:t xml:space="preserve">Konkrēti veicamie pasākumi vai uzdevumi, kas nepieciešami šo starptautisko saistību </w:t>
            </w:r>
            <w:r w:rsidRPr="00751B35">
              <w:rPr>
                <w:rFonts w:eastAsia="Times New Roman"/>
                <w:sz w:val="28"/>
                <w:szCs w:val="28"/>
                <w:lang w:val="lv-LV"/>
              </w:rPr>
              <w:lastRenderedPageBreak/>
              <w:t>izpildei</w:t>
            </w:r>
          </w:p>
        </w:tc>
        <w:tc>
          <w:tcPr>
            <w:tcW w:w="2599" w:type="dxa"/>
            <w:gridSpan w:val="2"/>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lastRenderedPageBreak/>
              <w:t>Ja pasākumi vai uzdevumi, ar ko tiks izpildītas starptautiskās saistības, tiek noteikti projektā, norāda attiecīgo projekta vienību.</w:t>
            </w:r>
          </w:p>
          <w:p w:rsidR="00E34A70" w:rsidRPr="00751B35" w:rsidRDefault="00E34A70" w:rsidP="002238D4">
            <w:pPr>
              <w:rPr>
                <w:rFonts w:eastAsia="Times New Roman"/>
                <w:sz w:val="28"/>
                <w:szCs w:val="28"/>
                <w:lang w:val="lv-LV"/>
              </w:rPr>
            </w:pPr>
          </w:p>
          <w:p w:rsidR="00E34A70" w:rsidRPr="00751B35" w:rsidRDefault="00E34A70" w:rsidP="002238D4">
            <w:pPr>
              <w:rPr>
                <w:rFonts w:eastAsia="Times New Roman"/>
                <w:sz w:val="28"/>
                <w:szCs w:val="28"/>
                <w:lang w:val="lv-LV"/>
              </w:rPr>
            </w:pPr>
            <w:r w:rsidRPr="00751B35">
              <w:rPr>
                <w:rFonts w:eastAsia="Times New Roman"/>
                <w:sz w:val="28"/>
                <w:szCs w:val="28"/>
                <w:lang w:val="lv-LV"/>
              </w:rPr>
              <w:t xml:space="preserve">Vai arī norāda dokumentu, kurā </w:t>
            </w:r>
            <w:r w:rsidRPr="00751B35">
              <w:rPr>
                <w:rFonts w:eastAsia="Times New Roman"/>
                <w:sz w:val="28"/>
                <w:szCs w:val="28"/>
                <w:lang w:val="lv-LV"/>
              </w:rPr>
              <w:lastRenderedPageBreak/>
              <w:t>sniegts izvērsts skaidrojums, kādā veidā tiks nodrošināta starptautisko saistību izpilde</w:t>
            </w:r>
          </w:p>
        </w:tc>
        <w:tc>
          <w:tcPr>
            <w:tcW w:w="3914" w:type="dxa"/>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lastRenderedPageBreak/>
              <w:t>Informācija par to, vai starptautiskās saistības, kas minētas šīs tabulas A ailē, tiek izpildītas pilnībā vai daļēji.</w:t>
            </w:r>
          </w:p>
          <w:p w:rsidR="00E34A70" w:rsidRPr="00751B35" w:rsidRDefault="00E34A70" w:rsidP="002238D4">
            <w:pPr>
              <w:rPr>
                <w:rFonts w:eastAsia="Times New Roman"/>
                <w:sz w:val="28"/>
                <w:szCs w:val="28"/>
                <w:lang w:val="lv-LV"/>
              </w:rPr>
            </w:pPr>
          </w:p>
          <w:p w:rsidR="00E34A70" w:rsidRPr="00751B35" w:rsidRDefault="00E34A70" w:rsidP="002238D4">
            <w:pPr>
              <w:rPr>
                <w:rFonts w:eastAsia="Times New Roman"/>
                <w:sz w:val="28"/>
                <w:szCs w:val="28"/>
                <w:lang w:val="lv-LV"/>
              </w:rPr>
            </w:pPr>
            <w:r w:rsidRPr="00751B35">
              <w:rPr>
                <w:rFonts w:eastAsia="Times New Roman"/>
                <w:sz w:val="28"/>
                <w:szCs w:val="28"/>
                <w:lang w:val="lv-LV"/>
              </w:rPr>
              <w:t>Ja attiecīgās starptautiskās saistības tiek izpildītas daļēji, sniedz attiecīgu skaidrojumu, kā arī precīzi norāda, kad un kādā veidā starptautiskās saistības tiks izpildītas pilnībā.</w:t>
            </w:r>
          </w:p>
          <w:p w:rsidR="00E34A70" w:rsidRPr="00751B35" w:rsidRDefault="00E34A70" w:rsidP="002238D4">
            <w:pPr>
              <w:rPr>
                <w:rFonts w:eastAsia="Times New Roman"/>
                <w:sz w:val="28"/>
                <w:szCs w:val="28"/>
                <w:lang w:val="lv-LV"/>
              </w:rPr>
            </w:pPr>
          </w:p>
          <w:p w:rsidR="00E34A70" w:rsidRPr="00751B35" w:rsidRDefault="00E34A70" w:rsidP="002238D4">
            <w:pPr>
              <w:rPr>
                <w:rFonts w:eastAsia="Times New Roman"/>
                <w:sz w:val="28"/>
                <w:szCs w:val="28"/>
                <w:lang w:val="lv-LV"/>
              </w:rPr>
            </w:pPr>
            <w:r w:rsidRPr="00751B35">
              <w:rPr>
                <w:rFonts w:eastAsia="Times New Roman"/>
                <w:sz w:val="28"/>
                <w:szCs w:val="28"/>
                <w:lang w:val="lv-LV"/>
              </w:rPr>
              <w:t>Norāda institūciju, kas ir atbildīga par šo saistību izpildi pilnībā</w:t>
            </w:r>
          </w:p>
        </w:tc>
      </w:tr>
      <w:tr w:rsidR="00E34A70" w:rsidRPr="00751B35" w:rsidTr="00E34A70">
        <w:trPr>
          <w:trHeight w:val="282"/>
          <w:tblCellSpacing w:w="0" w:type="dxa"/>
        </w:trPr>
        <w:tc>
          <w:tcPr>
            <w:tcW w:w="2602" w:type="dxa"/>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lastRenderedPageBreak/>
              <w:t>Projekts šo jomu neskar.</w:t>
            </w:r>
          </w:p>
        </w:tc>
        <w:tc>
          <w:tcPr>
            <w:tcW w:w="2599" w:type="dxa"/>
            <w:gridSpan w:val="2"/>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Projekts šo jomu neskar.</w:t>
            </w:r>
          </w:p>
        </w:tc>
        <w:tc>
          <w:tcPr>
            <w:tcW w:w="3914" w:type="dxa"/>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Projekts šo jomu neskar.</w:t>
            </w:r>
          </w:p>
        </w:tc>
      </w:tr>
      <w:tr w:rsidR="00E34A70" w:rsidRPr="00751B35" w:rsidTr="00E34A70">
        <w:trPr>
          <w:trHeight w:val="260"/>
          <w:tblCellSpacing w:w="0" w:type="dxa"/>
        </w:trPr>
        <w:tc>
          <w:tcPr>
            <w:tcW w:w="2602" w:type="dxa"/>
            <w:vAlign w:val="center"/>
            <w:hideMark/>
          </w:tcPr>
          <w:p w:rsidR="00E34A70" w:rsidRPr="00751B35" w:rsidRDefault="00E34A70" w:rsidP="002238D4">
            <w:pPr>
              <w:rPr>
                <w:rFonts w:eastAsia="Times New Roman"/>
                <w:sz w:val="28"/>
                <w:szCs w:val="28"/>
                <w:lang w:val="lv-LV"/>
              </w:rPr>
            </w:pPr>
          </w:p>
        </w:tc>
        <w:tc>
          <w:tcPr>
            <w:tcW w:w="2599" w:type="dxa"/>
            <w:gridSpan w:val="2"/>
            <w:vAlign w:val="center"/>
            <w:hideMark/>
          </w:tcPr>
          <w:p w:rsidR="00E34A70" w:rsidRPr="00751B35" w:rsidRDefault="00E34A70" w:rsidP="002238D4">
            <w:pPr>
              <w:rPr>
                <w:rFonts w:eastAsia="Times New Roman"/>
                <w:sz w:val="28"/>
                <w:szCs w:val="28"/>
                <w:lang w:val="lv-LV"/>
              </w:rPr>
            </w:pPr>
          </w:p>
        </w:tc>
        <w:tc>
          <w:tcPr>
            <w:tcW w:w="3914" w:type="dxa"/>
            <w:vAlign w:val="center"/>
            <w:hideMark/>
          </w:tcPr>
          <w:p w:rsidR="00E34A70" w:rsidRPr="00751B35" w:rsidRDefault="00E34A70" w:rsidP="002238D4">
            <w:pPr>
              <w:rPr>
                <w:rFonts w:eastAsia="Times New Roman"/>
                <w:sz w:val="28"/>
                <w:szCs w:val="28"/>
                <w:lang w:val="lv-LV"/>
              </w:rPr>
            </w:pPr>
          </w:p>
        </w:tc>
      </w:tr>
      <w:tr w:rsidR="00E34A70" w:rsidRPr="00751B35" w:rsidTr="00E34A70">
        <w:trPr>
          <w:trHeight w:val="1079"/>
          <w:tblCellSpacing w:w="0" w:type="dxa"/>
        </w:trPr>
        <w:tc>
          <w:tcPr>
            <w:tcW w:w="2602" w:type="dxa"/>
            <w:vAlign w:val="center"/>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Vai starptautiskajā dokumentā paredzētās saistības nav pretrunā ar jau esošajām Latvijas Republikas starptautiskajām saistībām</w:t>
            </w:r>
          </w:p>
        </w:tc>
        <w:tc>
          <w:tcPr>
            <w:tcW w:w="6513" w:type="dxa"/>
            <w:gridSpan w:val="3"/>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Projekts šo jomu neskar.</w:t>
            </w:r>
          </w:p>
        </w:tc>
      </w:tr>
      <w:tr w:rsidR="00E34A70" w:rsidRPr="00751B35" w:rsidTr="00E34A70">
        <w:trPr>
          <w:trHeight w:val="337"/>
          <w:tblCellSpacing w:w="0" w:type="dxa"/>
        </w:trPr>
        <w:tc>
          <w:tcPr>
            <w:tcW w:w="2602" w:type="dxa"/>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Cita informācija</w:t>
            </w:r>
          </w:p>
        </w:tc>
        <w:tc>
          <w:tcPr>
            <w:tcW w:w="6513" w:type="dxa"/>
            <w:gridSpan w:val="3"/>
            <w:hideMark/>
          </w:tcPr>
          <w:p w:rsidR="00E34A70" w:rsidRPr="00751B35" w:rsidRDefault="00E34A70" w:rsidP="002238D4">
            <w:pPr>
              <w:rPr>
                <w:rFonts w:eastAsia="Times New Roman"/>
                <w:sz w:val="28"/>
                <w:szCs w:val="28"/>
                <w:lang w:val="lv-LV"/>
              </w:rPr>
            </w:pPr>
            <w:r w:rsidRPr="00751B35">
              <w:rPr>
                <w:rFonts w:eastAsia="Times New Roman"/>
                <w:sz w:val="28"/>
                <w:szCs w:val="28"/>
                <w:lang w:val="lv-LV"/>
              </w:rPr>
              <w:t>Nav.</w:t>
            </w:r>
          </w:p>
        </w:tc>
      </w:tr>
    </w:tbl>
    <w:p w:rsidR="005D4BD6" w:rsidRPr="00751B35" w:rsidRDefault="005D4BD6" w:rsidP="002238D4">
      <w:pPr>
        <w:rPr>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
        <w:gridCol w:w="2835"/>
        <w:gridCol w:w="5913"/>
      </w:tblGrid>
      <w:tr w:rsidR="003A7D89" w:rsidRPr="00751B35" w:rsidTr="005D4BD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70219F" w:rsidP="002238D4">
            <w:pPr>
              <w:ind w:firstLine="720"/>
              <w:jc w:val="both"/>
              <w:rPr>
                <w:rFonts w:eastAsia="Times New Roman"/>
                <w:b/>
                <w:sz w:val="28"/>
                <w:szCs w:val="28"/>
                <w:lang w:val="lv-LV" w:eastAsia="lv-LV"/>
              </w:rPr>
            </w:pPr>
            <w:r w:rsidRPr="00751B35">
              <w:rPr>
                <w:rFonts w:eastAsia="Times New Roman"/>
                <w:b/>
                <w:sz w:val="28"/>
                <w:szCs w:val="28"/>
                <w:lang w:val="lv-LV" w:eastAsia="lv-LV"/>
              </w:rPr>
              <w:t>VII. </w:t>
            </w:r>
            <w:r w:rsidR="003A7D89" w:rsidRPr="00751B35">
              <w:rPr>
                <w:rFonts w:eastAsia="Times New Roman"/>
                <w:b/>
                <w:sz w:val="28"/>
                <w:szCs w:val="28"/>
                <w:lang w:val="lv-LV" w:eastAsia="lv-LV"/>
              </w:rPr>
              <w:t>Tiesību akta projekta izpildes nodrošināšana un tās ietekme uz institūcijām</w:t>
            </w:r>
          </w:p>
        </w:tc>
      </w:tr>
      <w:tr w:rsidR="003A7D89" w:rsidRPr="00751B35" w:rsidTr="005D4BD6">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Projekta izpildē iesaistītās institūcijas</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980F0E">
            <w:pPr>
              <w:ind w:firstLine="720"/>
              <w:jc w:val="both"/>
              <w:rPr>
                <w:rFonts w:eastAsia="Times New Roman"/>
                <w:sz w:val="28"/>
                <w:szCs w:val="28"/>
                <w:lang w:val="lv-LV" w:eastAsia="lv-LV"/>
              </w:rPr>
            </w:pPr>
            <w:r w:rsidRPr="00751B35">
              <w:rPr>
                <w:rFonts w:eastAsia="Times New Roman"/>
                <w:sz w:val="28"/>
                <w:szCs w:val="28"/>
                <w:lang w:val="lv-LV" w:eastAsia="lv-LV"/>
              </w:rPr>
              <w:t xml:space="preserve">Ministru kabineta </w:t>
            </w:r>
            <w:r w:rsidR="00A46462" w:rsidRPr="00751B35">
              <w:rPr>
                <w:sz w:val="28"/>
                <w:szCs w:val="28"/>
                <w:lang w:val="lv-LV"/>
              </w:rPr>
              <w:t>noteikumu</w:t>
            </w:r>
            <w:r w:rsidRPr="00751B35">
              <w:rPr>
                <w:rFonts w:eastAsia="Times New Roman"/>
                <w:sz w:val="28"/>
                <w:szCs w:val="28"/>
                <w:lang w:val="lv-LV" w:eastAsia="lv-LV"/>
              </w:rPr>
              <w:t xml:space="preserve"> projekta izpildi nodrošinās </w:t>
            </w:r>
            <w:r w:rsidR="00980F0E" w:rsidRPr="00751B35">
              <w:rPr>
                <w:rFonts w:eastAsia="Times New Roman"/>
                <w:sz w:val="28"/>
                <w:szCs w:val="28"/>
                <w:lang w:val="lv-LV" w:eastAsia="lv-LV"/>
              </w:rPr>
              <w:t>Latvijas Investīciju un attīstības aģentūra (turpmāk –</w:t>
            </w:r>
            <w:r w:rsidR="00F309E3">
              <w:rPr>
                <w:rFonts w:eastAsia="Times New Roman"/>
                <w:sz w:val="28"/>
                <w:szCs w:val="28"/>
                <w:lang w:val="lv-LV" w:eastAsia="lv-LV"/>
              </w:rPr>
              <w:t xml:space="preserve"> </w:t>
            </w:r>
            <w:r w:rsidR="00731AA9" w:rsidRPr="00751B35">
              <w:rPr>
                <w:rFonts w:eastAsia="Times New Roman"/>
                <w:sz w:val="28"/>
                <w:szCs w:val="28"/>
                <w:lang w:val="lv-LV" w:eastAsia="lv-LV"/>
              </w:rPr>
              <w:t>LIAA</w:t>
            </w:r>
            <w:r w:rsidR="00980F0E" w:rsidRPr="00751B35">
              <w:rPr>
                <w:rFonts w:eastAsia="Times New Roman"/>
                <w:sz w:val="28"/>
                <w:szCs w:val="28"/>
                <w:lang w:val="lv-LV" w:eastAsia="lv-LV"/>
              </w:rPr>
              <w:t>)</w:t>
            </w:r>
            <w:r w:rsidRPr="00751B35">
              <w:rPr>
                <w:rFonts w:eastAsia="Times New Roman"/>
                <w:sz w:val="28"/>
                <w:szCs w:val="28"/>
                <w:lang w:val="lv-LV" w:eastAsia="lv-LV"/>
              </w:rPr>
              <w:t>.</w:t>
            </w:r>
          </w:p>
        </w:tc>
      </w:tr>
      <w:tr w:rsidR="003A7D89" w:rsidRPr="00751B35" w:rsidTr="00383C1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Projekta izpildes ietekme uz pārvaldes funkcijām</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7A3C54">
            <w:pPr>
              <w:ind w:firstLine="567"/>
              <w:jc w:val="both"/>
              <w:rPr>
                <w:rFonts w:eastAsia="Times New Roman"/>
                <w:sz w:val="28"/>
                <w:szCs w:val="28"/>
                <w:lang w:val="lv-LV" w:eastAsia="lv-LV"/>
              </w:rPr>
            </w:pPr>
            <w:r w:rsidRPr="00751B35">
              <w:rPr>
                <w:rFonts w:eastAsia="Times New Roman"/>
                <w:sz w:val="28"/>
                <w:szCs w:val="28"/>
                <w:lang w:val="lv-LV" w:eastAsia="lv-LV"/>
              </w:rPr>
              <w:t xml:space="preserve">Ministru kabineta </w:t>
            </w:r>
            <w:r w:rsidR="00A46462" w:rsidRPr="00751B35">
              <w:rPr>
                <w:sz w:val="28"/>
                <w:szCs w:val="28"/>
                <w:lang w:val="lv-LV"/>
              </w:rPr>
              <w:t>noteikumu</w:t>
            </w:r>
            <w:r w:rsidRPr="00751B35">
              <w:rPr>
                <w:rFonts w:eastAsia="Times New Roman"/>
                <w:sz w:val="28"/>
                <w:szCs w:val="28"/>
                <w:lang w:val="lv-LV" w:eastAsia="lv-LV"/>
              </w:rPr>
              <w:t xml:space="preserve"> projekta izpilde tiks nodrošināta </w:t>
            </w:r>
            <w:r w:rsidR="00731AA9" w:rsidRPr="00751B35">
              <w:rPr>
                <w:rFonts w:eastAsia="Times New Roman"/>
                <w:sz w:val="28"/>
                <w:szCs w:val="28"/>
                <w:lang w:val="lv-LV" w:eastAsia="lv-LV"/>
              </w:rPr>
              <w:t>LIAA</w:t>
            </w:r>
            <w:r w:rsidRPr="00751B35">
              <w:rPr>
                <w:rFonts w:eastAsia="Times New Roman"/>
                <w:sz w:val="28"/>
                <w:szCs w:val="28"/>
                <w:lang w:val="lv-LV" w:eastAsia="lv-LV"/>
              </w:rPr>
              <w:t xml:space="preserve"> esošo funkciju ietvaros.</w:t>
            </w:r>
          </w:p>
        </w:tc>
      </w:tr>
      <w:tr w:rsidR="003A7D89" w:rsidRPr="00751B35"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Projekta izpildes ietekme uz pārvaldes institucionālo struktūru. Jaunu institūciju izveide</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ind w:firstLine="720"/>
              <w:jc w:val="both"/>
              <w:rPr>
                <w:rFonts w:eastAsia="Times New Roman"/>
                <w:sz w:val="28"/>
                <w:szCs w:val="28"/>
                <w:lang w:val="lv-LV" w:eastAsia="lv-LV"/>
              </w:rPr>
            </w:pPr>
            <w:r w:rsidRPr="00751B35">
              <w:rPr>
                <w:sz w:val="28"/>
                <w:szCs w:val="28"/>
                <w:lang w:val="lv-LV"/>
              </w:rPr>
              <w:t xml:space="preserve">Ministru kabineta </w:t>
            </w:r>
            <w:r w:rsidR="00A46462" w:rsidRPr="00751B35">
              <w:rPr>
                <w:sz w:val="28"/>
                <w:szCs w:val="28"/>
                <w:lang w:val="lv-LV"/>
              </w:rPr>
              <w:t>noteikumu</w:t>
            </w:r>
            <w:r w:rsidRPr="00751B35">
              <w:rPr>
                <w:sz w:val="28"/>
                <w:szCs w:val="28"/>
                <w:lang w:val="lv-LV"/>
              </w:rPr>
              <w:t xml:space="preserve"> projekta izpildei nav nepieciešams izveidot jaunas institūcijas</w:t>
            </w:r>
            <w:r w:rsidRPr="00751B35">
              <w:rPr>
                <w:rFonts w:eastAsia="Times New Roman"/>
                <w:sz w:val="28"/>
                <w:szCs w:val="28"/>
                <w:lang w:val="lv-LV" w:eastAsia="lv-LV"/>
              </w:rPr>
              <w:t>.</w:t>
            </w:r>
          </w:p>
        </w:tc>
      </w:tr>
      <w:tr w:rsidR="003A7D89" w:rsidRPr="00751B35"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Projekta izpildes ietekmes uz pārvaldes institucionālo struktūru. Esošu institūciju likvidācija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ind w:firstLine="720"/>
              <w:jc w:val="both"/>
              <w:rPr>
                <w:rFonts w:eastAsia="Times New Roman"/>
                <w:sz w:val="28"/>
                <w:szCs w:val="28"/>
                <w:lang w:val="lv-LV" w:eastAsia="lv-LV"/>
              </w:rPr>
            </w:pPr>
            <w:r w:rsidRPr="00751B35">
              <w:rPr>
                <w:sz w:val="28"/>
                <w:szCs w:val="28"/>
                <w:lang w:val="lv-LV"/>
              </w:rPr>
              <w:t xml:space="preserve">Ministru kabineta </w:t>
            </w:r>
            <w:r w:rsidR="00A46462" w:rsidRPr="00751B35">
              <w:rPr>
                <w:sz w:val="28"/>
                <w:szCs w:val="28"/>
                <w:lang w:val="lv-LV"/>
              </w:rPr>
              <w:t>noteikumu</w:t>
            </w:r>
            <w:r w:rsidRPr="00751B35">
              <w:rPr>
                <w:sz w:val="28"/>
                <w:szCs w:val="28"/>
                <w:lang w:val="lv-LV"/>
              </w:rPr>
              <w:t xml:space="preserve"> projekta izpildei nav nepieciešams likvidēt esošās institūcijas</w:t>
            </w:r>
            <w:r w:rsidRPr="00751B35">
              <w:rPr>
                <w:rFonts w:eastAsia="Times New Roman"/>
                <w:sz w:val="28"/>
                <w:szCs w:val="28"/>
                <w:lang w:val="lv-LV" w:eastAsia="lv-LV"/>
              </w:rPr>
              <w:t>.</w:t>
            </w:r>
          </w:p>
        </w:tc>
      </w:tr>
      <w:tr w:rsidR="003A7D89" w:rsidRPr="00751B35" w:rsidTr="00351715">
        <w:trPr>
          <w:trHeight w:val="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5.</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 xml:space="preserve">Projekta izpildes ietekmes uz pārvaldes institucionālo struktūru. Esošu institūciju </w:t>
            </w:r>
            <w:r w:rsidRPr="00751B35">
              <w:rPr>
                <w:rFonts w:eastAsia="Times New Roman"/>
                <w:sz w:val="28"/>
                <w:szCs w:val="28"/>
                <w:lang w:val="lv-LV" w:eastAsia="lv-LV"/>
              </w:rPr>
              <w:lastRenderedPageBreak/>
              <w:t>reorganizācija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ind w:firstLine="720"/>
              <w:jc w:val="both"/>
              <w:rPr>
                <w:rFonts w:eastAsia="Times New Roman"/>
                <w:sz w:val="28"/>
                <w:szCs w:val="28"/>
                <w:lang w:val="lv-LV" w:eastAsia="lv-LV"/>
              </w:rPr>
            </w:pPr>
            <w:r w:rsidRPr="00751B35">
              <w:rPr>
                <w:rFonts w:eastAsia="Times New Roman"/>
                <w:sz w:val="28"/>
                <w:szCs w:val="28"/>
                <w:lang w:val="lv-LV" w:eastAsia="lv-LV"/>
              </w:rPr>
              <w:lastRenderedPageBreak/>
              <w:t xml:space="preserve">Ministru kabineta </w:t>
            </w:r>
            <w:r w:rsidR="00A46462" w:rsidRPr="00751B35">
              <w:rPr>
                <w:sz w:val="28"/>
                <w:szCs w:val="28"/>
                <w:lang w:val="lv-LV"/>
              </w:rPr>
              <w:t>noteikumu</w:t>
            </w:r>
            <w:r w:rsidRPr="00751B35">
              <w:rPr>
                <w:sz w:val="28"/>
                <w:szCs w:val="28"/>
                <w:lang w:val="lv-LV"/>
              </w:rPr>
              <w:t xml:space="preserve"> projekta izpildei nav nepieciešams reorganizēt esošās institūcijas</w:t>
            </w:r>
            <w:r w:rsidRPr="00751B35">
              <w:rPr>
                <w:rFonts w:eastAsia="Times New Roman"/>
                <w:sz w:val="28"/>
                <w:szCs w:val="28"/>
                <w:lang w:val="lv-LV" w:eastAsia="lv-LV"/>
              </w:rPr>
              <w:t>.</w:t>
            </w:r>
          </w:p>
        </w:tc>
      </w:tr>
      <w:tr w:rsidR="003A7D89" w:rsidRPr="00751B35" w:rsidTr="005D4BD6">
        <w:trPr>
          <w:trHeight w:val="2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lastRenderedPageBreak/>
              <w:t>6.</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jc w:val="both"/>
              <w:rPr>
                <w:rFonts w:eastAsia="Times New Roman"/>
                <w:sz w:val="28"/>
                <w:szCs w:val="28"/>
                <w:lang w:val="lv-LV" w:eastAsia="lv-LV"/>
              </w:rPr>
            </w:pPr>
            <w:r w:rsidRPr="00751B35">
              <w:rPr>
                <w:rFonts w:eastAsia="Times New Roman"/>
                <w:sz w:val="28"/>
                <w:szCs w:val="28"/>
                <w:lang w:val="lv-LV" w:eastAsia="lv-LV"/>
              </w:rPr>
              <w:t>Cita informācija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51B35" w:rsidRDefault="003A7D89" w:rsidP="002238D4">
            <w:pPr>
              <w:ind w:firstLine="720"/>
              <w:jc w:val="both"/>
              <w:rPr>
                <w:rFonts w:eastAsia="Times New Roman"/>
                <w:sz w:val="28"/>
                <w:szCs w:val="28"/>
                <w:lang w:val="lv-LV" w:eastAsia="lv-LV"/>
              </w:rPr>
            </w:pPr>
            <w:r w:rsidRPr="00751B35">
              <w:rPr>
                <w:rFonts w:eastAsia="Times New Roman"/>
                <w:sz w:val="28"/>
                <w:szCs w:val="28"/>
                <w:lang w:val="lv-LV" w:eastAsia="lv-LV"/>
              </w:rPr>
              <w:t>Nav.</w:t>
            </w:r>
          </w:p>
        </w:tc>
      </w:tr>
    </w:tbl>
    <w:p w:rsidR="0088512F" w:rsidRPr="00751B35" w:rsidRDefault="0088512F" w:rsidP="002238D4">
      <w:pPr>
        <w:tabs>
          <w:tab w:val="left" w:pos="7655"/>
        </w:tabs>
        <w:jc w:val="both"/>
        <w:rPr>
          <w:sz w:val="28"/>
          <w:szCs w:val="28"/>
          <w:lang w:val="lv-LV"/>
        </w:rPr>
      </w:pPr>
      <w:r w:rsidRPr="00751B35">
        <w:rPr>
          <w:sz w:val="28"/>
          <w:szCs w:val="28"/>
          <w:lang w:val="lv-LV"/>
        </w:rPr>
        <w:t xml:space="preserve">Anotācijas </w:t>
      </w:r>
      <w:r w:rsidR="0070219F" w:rsidRPr="00751B35">
        <w:rPr>
          <w:sz w:val="28"/>
          <w:szCs w:val="28"/>
          <w:lang w:val="lv-LV"/>
        </w:rPr>
        <w:t xml:space="preserve">III, </w:t>
      </w:r>
      <w:r w:rsidRPr="00751B35">
        <w:rPr>
          <w:sz w:val="28"/>
          <w:szCs w:val="28"/>
          <w:lang w:val="lv-LV"/>
        </w:rPr>
        <w:t xml:space="preserve">VI sadaļa – </w:t>
      </w:r>
      <w:r w:rsidRPr="00751B35">
        <w:rPr>
          <w:iCs/>
          <w:sz w:val="28"/>
          <w:szCs w:val="28"/>
          <w:lang w:val="lv-LV"/>
        </w:rPr>
        <w:t>projekts šīs jomas neskar</w:t>
      </w:r>
      <w:r w:rsidRPr="00751B35">
        <w:rPr>
          <w:sz w:val="28"/>
          <w:szCs w:val="28"/>
          <w:lang w:val="lv-LV"/>
        </w:rPr>
        <w:t>.</w:t>
      </w:r>
    </w:p>
    <w:p w:rsidR="0037328F" w:rsidRPr="00751B35" w:rsidRDefault="0037328F" w:rsidP="002238D4">
      <w:pPr>
        <w:tabs>
          <w:tab w:val="right" w:pos="9072"/>
        </w:tabs>
        <w:rPr>
          <w:sz w:val="28"/>
          <w:szCs w:val="28"/>
          <w:lang w:val="lv-LV"/>
        </w:rPr>
      </w:pPr>
    </w:p>
    <w:p w:rsidR="008456E4" w:rsidRPr="00751B35" w:rsidRDefault="008456E4" w:rsidP="002238D4">
      <w:pPr>
        <w:tabs>
          <w:tab w:val="right" w:pos="9072"/>
        </w:tabs>
        <w:rPr>
          <w:sz w:val="28"/>
          <w:szCs w:val="28"/>
          <w:lang w:val="lv-LV"/>
        </w:rPr>
      </w:pPr>
    </w:p>
    <w:p w:rsidR="008456E4" w:rsidRPr="00751B35" w:rsidRDefault="008456E4" w:rsidP="002238D4">
      <w:pPr>
        <w:tabs>
          <w:tab w:val="right" w:pos="9072"/>
        </w:tabs>
        <w:rPr>
          <w:sz w:val="28"/>
          <w:szCs w:val="28"/>
          <w:lang w:val="lv-LV"/>
        </w:rPr>
      </w:pPr>
    </w:p>
    <w:p w:rsidR="00B54345" w:rsidRPr="00751B35" w:rsidRDefault="00232991" w:rsidP="002238D4">
      <w:pPr>
        <w:tabs>
          <w:tab w:val="decimal" w:pos="9072"/>
        </w:tabs>
        <w:jc w:val="both"/>
        <w:rPr>
          <w:sz w:val="28"/>
          <w:szCs w:val="28"/>
          <w:lang w:val="sv-SE" w:bidi="lo-LA"/>
        </w:rPr>
      </w:pPr>
      <w:r w:rsidRPr="00751B35">
        <w:rPr>
          <w:sz w:val="28"/>
          <w:szCs w:val="28"/>
          <w:lang w:val="sv-SE" w:bidi="lo-LA"/>
        </w:rPr>
        <w:t xml:space="preserve">Ekonomikas </w:t>
      </w:r>
      <w:proofErr w:type="spellStart"/>
      <w:r w:rsidRPr="00751B35">
        <w:rPr>
          <w:sz w:val="28"/>
          <w:szCs w:val="28"/>
          <w:lang w:val="sv-SE" w:bidi="lo-LA"/>
        </w:rPr>
        <w:t>ministr</w:t>
      </w:r>
      <w:r w:rsidR="005269EE" w:rsidRPr="00751B35">
        <w:rPr>
          <w:bCs/>
          <w:sz w:val="28"/>
          <w:szCs w:val="28"/>
          <w:lang w:val="sv-SE" w:bidi="lo-LA"/>
        </w:rPr>
        <w:t>s</w:t>
      </w:r>
      <w:proofErr w:type="spellEnd"/>
      <w:r w:rsidR="005269EE" w:rsidRPr="00751B35">
        <w:rPr>
          <w:bCs/>
          <w:sz w:val="28"/>
          <w:szCs w:val="28"/>
          <w:lang w:val="sv-SE" w:bidi="lo-LA"/>
        </w:rPr>
        <w:tab/>
      </w:r>
      <w:proofErr w:type="spellStart"/>
      <w:r w:rsidRPr="00751B35">
        <w:rPr>
          <w:bCs/>
          <w:sz w:val="28"/>
          <w:szCs w:val="28"/>
          <w:lang w:val="sv-SE" w:bidi="lo-LA"/>
        </w:rPr>
        <w:t>D</w:t>
      </w:r>
      <w:proofErr w:type="gramStart"/>
      <w:r w:rsidRPr="00751B35">
        <w:rPr>
          <w:bCs/>
          <w:sz w:val="28"/>
          <w:szCs w:val="28"/>
          <w:lang w:val="sv-SE" w:bidi="lo-LA"/>
        </w:rPr>
        <w:t>.Pav</w:t>
      </w:r>
      <w:proofErr w:type="gramEnd"/>
      <w:r w:rsidRPr="00751B35">
        <w:rPr>
          <w:bCs/>
          <w:sz w:val="28"/>
          <w:szCs w:val="28"/>
          <w:lang w:val="sv-SE" w:bidi="lo-LA"/>
        </w:rPr>
        <w:t>ļuts</w:t>
      </w:r>
      <w:proofErr w:type="spellEnd"/>
    </w:p>
    <w:p w:rsidR="002238D4" w:rsidRPr="00751B35" w:rsidRDefault="002238D4" w:rsidP="002238D4">
      <w:pPr>
        <w:tabs>
          <w:tab w:val="left" w:pos="7513"/>
          <w:tab w:val="decimal" w:pos="10490"/>
        </w:tabs>
        <w:ind w:right="6236"/>
        <w:jc w:val="both"/>
        <w:rPr>
          <w:sz w:val="28"/>
          <w:szCs w:val="28"/>
          <w:lang w:val="sv-SE" w:bidi="lo-LA"/>
        </w:rPr>
      </w:pPr>
    </w:p>
    <w:p w:rsidR="00B54345" w:rsidRPr="00751B35" w:rsidRDefault="00B54345" w:rsidP="00232991">
      <w:pPr>
        <w:tabs>
          <w:tab w:val="left" w:pos="8222"/>
          <w:tab w:val="decimal" w:pos="10490"/>
        </w:tabs>
        <w:ind w:right="6236"/>
        <w:jc w:val="both"/>
        <w:rPr>
          <w:sz w:val="28"/>
          <w:szCs w:val="28"/>
        </w:rPr>
      </w:pPr>
      <w:proofErr w:type="spellStart"/>
      <w:r w:rsidRPr="00751B35">
        <w:rPr>
          <w:sz w:val="28"/>
          <w:szCs w:val="28"/>
          <w:lang w:val="sv-SE" w:bidi="lo-LA"/>
        </w:rPr>
        <w:t>Vīza</w:t>
      </w:r>
      <w:proofErr w:type="spellEnd"/>
      <w:r w:rsidRPr="00751B35">
        <w:rPr>
          <w:sz w:val="28"/>
          <w:szCs w:val="28"/>
          <w:lang w:val="sv-SE" w:bidi="lo-LA"/>
        </w:rPr>
        <w:t xml:space="preserve">: </w:t>
      </w:r>
      <w:proofErr w:type="spellStart"/>
      <w:r w:rsidRPr="00751B35">
        <w:rPr>
          <w:sz w:val="28"/>
          <w:szCs w:val="28"/>
          <w:lang w:val="sv-SE" w:bidi="lo-LA"/>
        </w:rPr>
        <w:t>valsts</w:t>
      </w:r>
      <w:proofErr w:type="spellEnd"/>
      <w:r w:rsidRPr="00751B35">
        <w:rPr>
          <w:sz w:val="28"/>
          <w:szCs w:val="28"/>
          <w:lang w:val="sv-SE" w:bidi="lo-LA"/>
        </w:rPr>
        <w:t xml:space="preserve"> </w:t>
      </w:r>
      <w:proofErr w:type="spellStart"/>
      <w:r w:rsidRPr="00751B35">
        <w:rPr>
          <w:sz w:val="28"/>
          <w:szCs w:val="28"/>
          <w:lang w:val="sv-SE" w:bidi="lo-LA"/>
        </w:rPr>
        <w:t>sekretārs</w:t>
      </w:r>
      <w:proofErr w:type="spellEnd"/>
      <w:r w:rsidRPr="00751B35">
        <w:rPr>
          <w:sz w:val="28"/>
          <w:szCs w:val="28"/>
          <w:lang w:val="sv-SE" w:bidi="lo-LA"/>
        </w:rPr>
        <w:tab/>
      </w:r>
      <w:proofErr w:type="spellStart"/>
      <w:r w:rsidRPr="00751B35">
        <w:rPr>
          <w:sz w:val="28"/>
          <w:szCs w:val="28"/>
        </w:rPr>
        <w:t>J.</w:t>
      </w:r>
      <w:r w:rsidR="00232991" w:rsidRPr="00751B35">
        <w:rPr>
          <w:sz w:val="28"/>
          <w:szCs w:val="28"/>
        </w:rPr>
        <w:t>Pūce</w:t>
      </w:r>
      <w:proofErr w:type="spellEnd"/>
    </w:p>
    <w:p w:rsidR="0067232A" w:rsidRPr="00751B35" w:rsidRDefault="0067232A" w:rsidP="00080A4B">
      <w:pPr>
        <w:jc w:val="both"/>
        <w:rPr>
          <w:sz w:val="28"/>
          <w:szCs w:val="28"/>
          <w:lang w:val="lv-LV" w:bidi="lo-LA"/>
        </w:rPr>
      </w:pPr>
    </w:p>
    <w:p w:rsidR="0007250C" w:rsidRPr="00751B35" w:rsidRDefault="0007250C" w:rsidP="002238D4">
      <w:pPr>
        <w:jc w:val="both"/>
        <w:rPr>
          <w:sz w:val="28"/>
          <w:szCs w:val="28"/>
          <w:lang w:val="lv-LV" w:bidi="lo-LA"/>
        </w:rPr>
      </w:pPr>
    </w:p>
    <w:p w:rsidR="0007250C" w:rsidRPr="00751B35" w:rsidRDefault="0007250C" w:rsidP="002238D4">
      <w:pPr>
        <w:jc w:val="both"/>
        <w:rPr>
          <w:sz w:val="28"/>
          <w:szCs w:val="28"/>
          <w:lang w:val="lv-LV" w:bidi="lo-LA"/>
        </w:rPr>
      </w:pPr>
    </w:p>
    <w:p w:rsidR="00232991" w:rsidRPr="00751B35" w:rsidRDefault="00232991" w:rsidP="002238D4">
      <w:pPr>
        <w:jc w:val="both"/>
        <w:rPr>
          <w:sz w:val="28"/>
          <w:szCs w:val="28"/>
          <w:lang w:val="lv-LV" w:bidi="lo-LA"/>
        </w:rPr>
      </w:pPr>
    </w:p>
    <w:p w:rsidR="00232991" w:rsidRPr="00751B35" w:rsidRDefault="00232991" w:rsidP="002238D4">
      <w:pPr>
        <w:jc w:val="both"/>
        <w:rPr>
          <w:sz w:val="28"/>
          <w:szCs w:val="28"/>
          <w:lang w:val="lv-LV" w:bidi="lo-LA"/>
        </w:rPr>
      </w:pPr>
    </w:p>
    <w:p w:rsidR="00D504B2" w:rsidRPr="00751B35" w:rsidRDefault="00D504B2" w:rsidP="002238D4">
      <w:pPr>
        <w:jc w:val="both"/>
        <w:rPr>
          <w:sz w:val="28"/>
          <w:szCs w:val="28"/>
          <w:lang w:val="lv-LV" w:bidi="lo-LA"/>
        </w:rPr>
      </w:pPr>
    </w:p>
    <w:p w:rsidR="00E2796E" w:rsidRPr="00751B35" w:rsidRDefault="00E2796E"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8456E4" w:rsidRPr="00751B35" w:rsidRDefault="008456E4" w:rsidP="002238D4">
      <w:pPr>
        <w:jc w:val="both"/>
        <w:rPr>
          <w:sz w:val="28"/>
          <w:szCs w:val="28"/>
          <w:lang w:val="lv-LV" w:bidi="lo-LA"/>
        </w:rPr>
      </w:pPr>
    </w:p>
    <w:p w:rsidR="00AA0E78" w:rsidRPr="00751B35" w:rsidRDefault="00AA0E78" w:rsidP="002238D4">
      <w:pPr>
        <w:jc w:val="both"/>
        <w:rPr>
          <w:sz w:val="28"/>
          <w:szCs w:val="28"/>
          <w:lang w:val="lv-LV" w:bidi="lo-LA"/>
        </w:rPr>
      </w:pPr>
    </w:p>
    <w:p w:rsidR="00AA0E78" w:rsidRPr="00751B35" w:rsidRDefault="00AA0E78" w:rsidP="002238D4">
      <w:pPr>
        <w:jc w:val="both"/>
        <w:rPr>
          <w:sz w:val="28"/>
          <w:szCs w:val="28"/>
          <w:lang w:val="lv-LV" w:bidi="lo-LA"/>
        </w:rPr>
      </w:pPr>
    </w:p>
    <w:p w:rsidR="008456E4" w:rsidRPr="00751B35" w:rsidRDefault="008456E4" w:rsidP="002238D4">
      <w:pPr>
        <w:jc w:val="both"/>
        <w:rPr>
          <w:sz w:val="28"/>
          <w:szCs w:val="28"/>
          <w:lang w:val="lv-LV" w:bidi="lo-LA"/>
        </w:rPr>
      </w:pPr>
    </w:p>
    <w:p w:rsidR="002336C8" w:rsidRPr="00751B35" w:rsidRDefault="00F309E3" w:rsidP="002238D4">
      <w:pPr>
        <w:jc w:val="both"/>
        <w:rPr>
          <w:sz w:val="28"/>
          <w:szCs w:val="28"/>
          <w:lang w:val="lv-LV" w:bidi="lo-LA"/>
        </w:rPr>
      </w:pPr>
      <w:r>
        <w:rPr>
          <w:sz w:val="28"/>
          <w:szCs w:val="28"/>
          <w:lang w:val="lv-LV" w:bidi="lo-LA"/>
        </w:rPr>
        <w:t>27.11.2013 10:19</w:t>
      </w:r>
      <w:bookmarkStart w:id="5" w:name="_GoBack"/>
      <w:bookmarkEnd w:id="5"/>
    </w:p>
    <w:p w:rsidR="00B74BCA" w:rsidRPr="00751B35" w:rsidRDefault="00D156DF" w:rsidP="002238D4">
      <w:pPr>
        <w:jc w:val="both"/>
        <w:rPr>
          <w:sz w:val="28"/>
          <w:szCs w:val="28"/>
          <w:lang w:val="sv-SE" w:bidi="lo-LA"/>
        </w:rPr>
      </w:pPr>
      <w:r w:rsidRPr="00751B35">
        <w:rPr>
          <w:sz w:val="28"/>
          <w:szCs w:val="28"/>
        </w:rPr>
        <w:fldChar w:fldCharType="begin"/>
      </w:r>
      <w:r w:rsidRPr="00751B35">
        <w:rPr>
          <w:sz w:val="28"/>
          <w:szCs w:val="28"/>
        </w:rPr>
        <w:instrText xml:space="preserve"> NUMWORDS   \* MERGEFORMAT </w:instrText>
      </w:r>
      <w:r w:rsidRPr="00751B35">
        <w:rPr>
          <w:sz w:val="28"/>
          <w:szCs w:val="28"/>
        </w:rPr>
        <w:fldChar w:fldCharType="separate"/>
      </w:r>
      <w:r w:rsidR="00F309E3" w:rsidRPr="00F309E3">
        <w:rPr>
          <w:noProof/>
          <w:sz w:val="28"/>
          <w:szCs w:val="28"/>
          <w:lang w:val="sv-SE" w:bidi="lo-LA"/>
        </w:rPr>
        <w:t>1561</w:t>
      </w:r>
      <w:r w:rsidRPr="00751B35">
        <w:rPr>
          <w:noProof/>
          <w:sz w:val="28"/>
          <w:szCs w:val="28"/>
          <w:lang w:val="sv-SE" w:bidi="lo-LA"/>
        </w:rPr>
        <w:fldChar w:fldCharType="end"/>
      </w:r>
    </w:p>
    <w:p w:rsidR="0077545A" w:rsidRPr="00751B35" w:rsidRDefault="00B74BCA" w:rsidP="002238D4">
      <w:pPr>
        <w:jc w:val="both"/>
        <w:rPr>
          <w:sz w:val="28"/>
          <w:szCs w:val="28"/>
          <w:lang w:val="sv-SE" w:bidi="lo-LA"/>
        </w:rPr>
      </w:pPr>
      <w:proofErr w:type="spellStart"/>
      <w:r w:rsidRPr="00751B35">
        <w:rPr>
          <w:sz w:val="28"/>
          <w:szCs w:val="28"/>
          <w:lang w:val="sv-SE" w:bidi="lo-LA"/>
        </w:rPr>
        <w:t>L</w:t>
      </w:r>
      <w:proofErr w:type="gramStart"/>
      <w:r w:rsidRPr="00751B35">
        <w:rPr>
          <w:sz w:val="28"/>
          <w:szCs w:val="28"/>
          <w:lang w:val="sv-SE" w:bidi="lo-LA"/>
        </w:rPr>
        <w:t>.Mi</w:t>
      </w:r>
      <w:proofErr w:type="gramEnd"/>
      <w:r w:rsidRPr="00751B35">
        <w:rPr>
          <w:sz w:val="28"/>
          <w:szCs w:val="28"/>
          <w:lang w:val="sv-SE" w:bidi="lo-LA"/>
        </w:rPr>
        <w:t>čule</w:t>
      </w:r>
      <w:proofErr w:type="spellEnd"/>
    </w:p>
    <w:p w:rsidR="00097583" w:rsidRPr="00ED68FA" w:rsidRDefault="00B74BCA" w:rsidP="002238D4">
      <w:pPr>
        <w:jc w:val="both"/>
        <w:rPr>
          <w:sz w:val="28"/>
          <w:szCs w:val="28"/>
          <w:lang w:val="sv-SE" w:bidi="lo-LA"/>
        </w:rPr>
      </w:pPr>
      <w:r w:rsidRPr="00751B35">
        <w:rPr>
          <w:sz w:val="28"/>
          <w:szCs w:val="28"/>
          <w:lang w:val="sv-SE" w:bidi="lo-LA"/>
        </w:rPr>
        <w:t>67013</w:t>
      </w:r>
      <w:r w:rsidR="00864EFE" w:rsidRPr="00751B35">
        <w:rPr>
          <w:sz w:val="28"/>
          <w:szCs w:val="28"/>
          <w:lang w:val="sv-SE" w:bidi="lo-LA"/>
        </w:rPr>
        <w:t>093</w:t>
      </w:r>
      <w:r w:rsidR="00386053" w:rsidRPr="00751B35">
        <w:rPr>
          <w:sz w:val="28"/>
          <w:szCs w:val="28"/>
          <w:lang w:val="sv-SE" w:bidi="lo-LA"/>
        </w:rPr>
        <w:t>,</w:t>
      </w:r>
      <w:r w:rsidRPr="00751B35">
        <w:rPr>
          <w:sz w:val="28"/>
          <w:szCs w:val="28"/>
          <w:lang w:val="sv-SE" w:bidi="lo-LA"/>
        </w:rPr>
        <w:t xml:space="preserve"> </w:t>
      </w:r>
      <w:hyperlink r:id="rId9" w:history="1">
        <w:r w:rsidRPr="00751B35">
          <w:rPr>
            <w:sz w:val="28"/>
            <w:szCs w:val="28"/>
            <w:lang w:val="sv-SE" w:bidi="lo-LA"/>
          </w:rPr>
          <w:t>Liga.Micule@em.gov.lv</w:t>
        </w:r>
      </w:hyperlink>
    </w:p>
    <w:sectPr w:rsidR="00097583" w:rsidRPr="00ED68FA"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78" w:rsidRDefault="00292878" w:rsidP="00B014C2">
      <w:r>
        <w:separator/>
      </w:r>
    </w:p>
  </w:endnote>
  <w:endnote w:type="continuationSeparator" w:id="0">
    <w:p w:rsidR="00292878" w:rsidRDefault="0029287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1611D0" w:rsidRDefault="00F309E3" w:rsidP="001611D0">
    <w:pPr>
      <w:pStyle w:val="BodyText"/>
      <w:rPr>
        <w:sz w:val="24"/>
        <w:szCs w:val="24"/>
      </w:rPr>
    </w:pPr>
    <w:r>
      <w:fldChar w:fldCharType="begin"/>
    </w:r>
    <w:r>
      <w:instrText xml:space="preserve"> FILENAME   \* MERGEFORMAT </w:instrText>
    </w:r>
    <w:r>
      <w:fldChar w:fldCharType="separate"/>
    </w:r>
    <w:r w:rsidR="009D7B42" w:rsidRPr="009D7B42">
      <w:rPr>
        <w:noProof/>
        <w:sz w:val="24"/>
        <w:szCs w:val="24"/>
      </w:rPr>
      <w:t>EMAnot_271113_groz824</w:t>
    </w:r>
    <w:r>
      <w:rPr>
        <w:noProof/>
        <w:sz w:val="24"/>
        <w:szCs w:val="24"/>
      </w:rPr>
      <w:fldChar w:fldCharType="end"/>
    </w:r>
    <w:r w:rsidR="003E784A" w:rsidRPr="00C33F2C">
      <w:rPr>
        <w:sz w:val="24"/>
        <w:szCs w:val="24"/>
      </w:rPr>
      <w:t xml:space="preserve">; </w:t>
    </w:r>
    <w:bookmarkStart w:id="6" w:name="OLE_LINK6"/>
    <w:bookmarkStart w:id="7" w:name="OLE_LINK7"/>
    <w:bookmarkStart w:id="8" w:name="OLE_LINK14"/>
    <w:r w:rsidR="003E784A" w:rsidRPr="00C33F2C">
      <w:rPr>
        <w:sz w:val="24"/>
        <w:szCs w:val="24"/>
      </w:rPr>
      <w:t xml:space="preserve">Ministru kabineta </w:t>
    </w:r>
    <w:r w:rsidR="003E784A">
      <w:rPr>
        <w:sz w:val="24"/>
        <w:szCs w:val="24"/>
      </w:rPr>
      <w:t>noteikumu</w:t>
    </w:r>
    <w:r w:rsidR="003E784A" w:rsidRPr="00C33F2C">
      <w:rPr>
        <w:sz w:val="24"/>
        <w:szCs w:val="24"/>
      </w:rPr>
      <w:t xml:space="preserve"> projekta </w:t>
    </w:r>
    <w:r w:rsidR="003E784A">
      <w:rPr>
        <w:sz w:val="24"/>
        <w:szCs w:val="24"/>
      </w:rPr>
      <w:t>„</w:t>
    </w:r>
    <w:r w:rsidR="003E784A" w:rsidRPr="001611D0">
      <w:rPr>
        <w:sz w:val="24"/>
        <w:szCs w:val="24"/>
      </w:rPr>
      <w:t>Grozījum</w:t>
    </w:r>
    <w:r w:rsidR="007A3C54">
      <w:rPr>
        <w:sz w:val="24"/>
        <w:szCs w:val="24"/>
      </w:rPr>
      <w:t>s</w:t>
    </w:r>
    <w:r w:rsidR="003E784A" w:rsidRPr="001611D0">
      <w:rPr>
        <w:sz w:val="24"/>
        <w:szCs w:val="24"/>
      </w:rPr>
      <w:t xml:space="preserve"> Ministru kabineta 2010.gada 31.augusta noteikumos Nr.824 „Noteikumi par darbības programmas „Infrastruktūra un pakalpojumi” papildinājuma </w:t>
    </w:r>
    <w:r w:rsidR="003E784A" w:rsidRPr="003F0C4F">
      <w:rPr>
        <w:sz w:val="24"/>
        <w:szCs w:val="24"/>
      </w:rPr>
      <w:t xml:space="preserve">3.5.2.1.1.apakšaktivitātes </w:t>
    </w:r>
    <w:r w:rsidR="003E784A" w:rsidRPr="001611D0">
      <w:rPr>
        <w:sz w:val="24"/>
        <w:szCs w:val="24"/>
      </w:rPr>
      <w:t>„Pasākumi centralizētās siltumapgādes sistēmu efektivitātes paaugstināšanai” projektu iesniegumu atlases otro kārtu un turpmākajām kārtām”</w:t>
    </w:r>
    <w:r w:rsidR="003E784A" w:rsidRPr="00C33F2C">
      <w:rPr>
        <w:sz w:val="24"/>
        <w:szCs w:val="24"/>
      </w:rPr>
      <w:t>” sākotnējās ietekmes novērtējuma ziņojums (anotācija)</w:t>
    </w:r>
    <w:bookmarkEnd w:id="6"/>
    <w:bookmarkEnd w:id="7"/>
    <w:bookmarkEnd w:id="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C33F2C" w:rsidRDefault="00F309E3" w:rsidP="00D7256E">
    <w:pPr>
      <w:pStyle w:val="BodyText"/>
      <w:rPr>
        <w:sz w:val="24"/>
        <w:szCs w:val="24"/>
      </w:rPr>
    </w:pPr>
    <w:r>
      <w:fldChar w:fldCharType="begin"/>
    </w:r>
    <w:r>
      <w:instrText xml:space="preserve"> FILENAME   \* MERGEFORMAT </w:instrText>
    </w:r>
    <w:r>
      <w:fldChar w:fldCharType="separate"/>
    </w:r>
    <w:r w:rsidR="009D7B42" w:rsidRPr="009D7B42">
      <w:rPr>
        <w:noProof/>
        <w:sz w:val="24"/>
        <w:szCs w:val="24"/>
      </w:rPr>
      <w:t>EMAnot_271113_groz824</w:t>
    </w:r>
    <w:r>
      <w:rPr>
        <w:noProof/>
        <w:sz w:val="24"/>
        <w:szCs w:val="24"/>
      </w:rPr>
      <w:fldChar w:fldCharType="end"/>
    </w:r>
    <w:r w:rsidR="003E784A" w:rsidRPr="00C33F2C">
      <w:rPr>
        <w:sz w:val="24"/>
        <w:szCs w:val="24"/>
      </w:rPr>
      <w:t xml:space="preserve">; </w:t>
    </w:r>
    <w:bookmarkStart w:id="9" w:name="OLE_LINK12"/>
    <w:bookmarkStart w:id="10" w:name="OLE_LINK13"/>
    <w:bookmarkStart w:id="11" w:name="_Hlk259447629"/>
    <w:r w:rsidR="003E784A" w:rsidRPr="00C33F2C">
      <w:rPr>
        <w:sz w:val="24"/>
        <w:szCs w:val="24"/>
      </w:rPr>
      <w:t xml:space="preserve">Ministru kabineta </w:t>
    </w:r>
    <w:r w:rsidR="003E784A">
      <w:rPr>
        <w:sz w:val="24"/>
        <w:szCs w:val="24"/>
      </w:rPr>
      <w:t>noteikumu</w:t>
    </w:r>
    <w:r w:rsidR="003E784A" w:rsidRPr="00C33F2C">
      <w:rPr>
        <w:sz w:val="24"/>
        <w:szCs w:val="24"/>
      </w:rPr>
      <w:t xml:space="preserve"> projekta </w:t>
    </w:r>
    <w:r w:rsidR="007A3C54">
      <w:rPr>
        <w:sz w:val="24"/>
        <w:szCs w:val="24"/>
      </w:rPr>
      <w:t>„Grozījums</w:t>
    </w:r>
    <w:r w:rsidR="003E784A" w:rsidRPr="001611D0">
      <w:rPr>
        <w:sz w:val="24"/>
        <w:szCs w:val="24"/>
      </w:rPr>
      <w:t xml:space="preserve"> Ministru kabineta 2010.gada 31.augusta noteikumos Nr.824 „Noteikumi par darbības programmas „Infrastruktūra un pakalpojumi” papildinājuma </w:t>
    </w:r>
    <w:r w:rsidR="003E784A" w:rsidRPr="003F0C4F">
      <w:rPr>
        <w:sz w:val="24"/>
        <w:szCs w:val="24"/>
      </w:rPr>
      <w:t xml:space="preserve">3.5.2.1.1.apakšaktivitātes </w:t>
    </w:r>
    <w:r w:rsidR="003E784A" w:rsidRPr="001611D0">
      <w:rPr>
        <w:sz w:val="24"/>
        <w:szCs w:val="24"/>
      </w:rPr>
      <w:t>„Pasākumi centralizētās siltumapgādes sistēmu efektivitātes paaugstināšanai” projektu iesniegumu atlases otro kārtu un turpmākajām kārtām”</w:t>
    </w:r>
    <w:r w:rsidR="003E784A" w:rsidRPr="00C33F2C">
      <w:rPr>
        <w:sz w:val="24"/>
        <w:szCs w:val="24"/>
      </w:rPr>
      <w:t>” sākotnējās ietekmes novērtējuma ziņojums (anotācija)</w:t>
    </w:r>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78" w:rsidRDefault="00292878" w:rsidP="00B014C2">
      <w:r>
        <w:separator/>
      </w:r>
    </w:p>
  </w:footnote>
  <w:footnote w:type="continuationSeparator" w:id="0">
    <w:p w:rsidR="00292878" w:rsidRDefault="00292878"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E784A" w:rsidRPr="00B014C2" w:rsidRDefault="003E784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F309E3">
          <w:rPr>
            <w:noProof/>
            <w:sz w:val="24"/>
            <w:szCs w:val="24"/>
          </w:rPr>
          <w:t>10</w:t>
        </w:r>
        <w:r w:rsidRPr="00B014C2">
          <w:rPr>
            <w:sz w:val="24"/>
            <w:szCs w:val="24"/>
          </w:rPr>
          <w:fldChar w:fldCharType="end"/>
        </w:r>
      </w:p>
    </w:sdtContent>
  </w:sdt>
  <w:p w:rsidR="003E784A" w:rsidRDefault="003E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BC9"/>
    <w:multiLevelType w:val="hybridMultilevel"/>
    <w:tmpl w:val="3BA8FFEE"/>
    <w:lvl w:ilvl="0" w:tplc="80C816F0">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7ED43E0"/>
    <w:multiLevelType w:val="hybridMultilevel"/>
    <w:tmpl w:val="63D66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nsid w:val="39202F56"/>
    <w:multiLevelType w:val="hybridMultilevel"/>
    <w:tmpl w:val="4036D824"/>
    <w:lvl w:ilvl="0" w:tplc="8340A844">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1">
    <w:nsid w:val="4BE83910"/>
    <w:multiLevelType w:val="hybridMultilevel"/>
    <w:tmpl w:val="4E1CDC66"/>
    <w:lvl w:ilvl="0" w:tplc="20084D8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9D3A0D"/>
    <w:multiLevelType w:val="hybridMultilevel"/>
    <w:tmpl w:val="8C96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E4979"/>
    <w:multiLevelType w:val="hybridMultilevel"/>
    <w:tmpl w:val="FB6AB54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nsid w:val="73EE4F36"/>
    <w:multiLevelType w:val="hybridMultilevel"/>
    <w:tmpl w:val="C24ECFC0"/>
    <w:lvl w:ilvl="0" w:tplc="7CE2503E">
      <w:start w:val="1"/>
      <w:numFmt w:val="decimal"/>
      <w:lvlText w:val="%1)"/>
      <w:lvlJc w:val="left"/>
      <w:pPr>
        <w:ind w:left="870" w:hanging="51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3"/>
  </w:num>
  <w:num w:numId="6">
    <w:abstractNumId w:val="9"/>
  </w:num>
  <w:num w:numId="7">
    <w:abstractNumId w:val="0"/>
  </w:num>
  <w:num w:numId="8">
    <w:abstractNumId w:val="15"/>
  </w:num>
  <w:num w:numId="9">
    <w:abstractNumId w:val="13"/>
  </w:num>
  <w:num w:numId="10">
    <w:abstractNumId w:val="1"/>
  </w:num>
  <w:num w:numId="11">
    <w:abstractNumId w:val="12"/>
  </w:num>
  <w:num w:numId="12">
    <w:abstractNumId w:val="17"/>
  </w:num>
  <w:num w:numId="13">
    <w:abstractNumId w:val="10"/>
  </w:num>
  <w:num w:numId="14">
    <w:abstractNumId w:val="6"/>
  </w:num>
  <w:num w:numId="15">
    <w:abstractNumId w:val="7"/>
  </w:num>
  <w:num w:numId="16">
    <w:abstractNumId w:val="11"/>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CEF"/>
    <w:rsid w:val="0001186C"/>
    <w:rsid w:val="00011E56"/>
    <w:rsid w:val="000120A0"/>
    <w:rsid w:val="000121A7"/>
    <w:rsid w:val="00014006"/>
    <w:rsid w:val="0001626D"/>
    <w:rsid w:val="0001764D"/>
    <w:rsid w:val="0001781C"/>
    <w:rsid w:val="00020A02"/>
    <w:rsid w:val="000214DF"/>
    <w:rsid w:val="000262D3"/>
    <w:rsid w:val="00026BA7"/>
    <w:rsid w:val="00026C03"/>
    <w:rsid w:val="0002762A"/>
    <w:rsid w:val="00030BAE"/>
    <w:rsid w:val="00030D7B"/>
    <w:rsid w:val="00031099"/>
    <w:rsid w:val="000320DD"/>
    <w:rsid w:val="0003693D"/>
    <w:rsid w:val="00036E03"/>
    <w:rsid w:val="00037262"/>
    <w:rsid w:val="0004167C"/>
    <w:rsid w:val="000445F3"/>
    <w:rsid w:val="00047EF5"/>
    <w:rsid w:val="00050184"/>
    <w:rsid w:val="00050EA4"/>
    <w:rsid w:val="00052380"/>
    <w:rsid w:val="000564DA"/>
    <w:rsid w:val="00056DE2"/>
    <w:rsid w:val="00056E1B"/>
    <w:rsid w:val="00057414"/>
    <w:rsid w:val="00060D39"/>
    <w:rsid w:val="00063D82"/>
    <w:rsid w:val="000643D5"/>
    <w:rsid w:val="00064E49"/>
    <w:rsid w:val="00066FFE"/>
    <w:rsid w:val="00071114"/>
    <w:rsid w:val="0007250C"/>
    <w:rsid w:val="000729ED"/>
    <w:rsid w:val="00072ECD"/>
    <w:rsid w:val="00080A4B"/>
    <w:rsid w:val="00081A08"/>
    <w:rsid w:val="00081C1D"/>
    <w:rsid w:val="00081F44"/>
    <w:rsid w:val="00083704"/>
    <w:rsid w:val="000847AE"/>
    <w:rsid w:val="0008486C"/>
    <w:rsid w:val="00086412"/>
    <w:rsid w:val="00087524"/>
    <w:rsid w:val="00091DBA"/>
    <w:rsid w:val="00097446"/>
    <w:rsid w:val="00097583"/>
    <w:rsid w:val="000A164A"/>
    <w:rsid w:val="000A402E"/>
    <w:rsid w:val="000A4AED"/>
    <w:rsid w:val="000A5FB9"/>
    <w:rsid w:val="000B0719"/>
    <w:rsid w:val="000B2AE3"/>
    <w:rsid w:val="000B3704"/>
    <w:rsid w:val="000B71C3"/>
    <w:rsid w:val="000C29F8"/>
    <w:rsid w:val="000C669A"/>
    <w:rsid w:val="000D0388"/>
    <w:rsid w:val="000D19C8"/>
    <w:rsid w:val="000D2F05"/>
    <w:rsid w:val="000D45E4"/>
    <w:rsid w:val="000D4DC9"/>
    <w:rsid w:val="000D5FF6"/>
    <w:rsid w:val="000D6DF2"/>
    <w:rsid w:val="000E02F6"/>
    <w:rsid w:val="000E2F17"/>
    <w:rsid w:val="000E409F"/>
    <w:rsid w:val="000E4277"/>
    <w:rsid w:val="000E76F9"/>
    <w:rsid w:val="000F0232"/>
    <w:rsid w:val="000F5077"/>
    <w:rsid w:val="000F6C72"/>
    <w:rsid w:val="000F6E9E"/>
    <w:rsid w:val="001000B5"/>
    <w:rsid w:val="001002E4"/>
    <w:rsid w:val="0010079A"/>
    <w:rsid w:val="0010385C"/>
    <w:rsid w:val="00103FE1"/>
    <w:rsid w:val="0010410B"/>
    <w:rsid w:val="001047E8"/>
    <w:rsid w:val="00113288"/>
    <w:rsid w:val="001141FA"/>
    <w:rsid w:val="00115E25"/>
    <w:rsid w:val="00120651"/>
    <w:rsid w:val="0012067B"/>
    <w:rsid w:val="001232D1"/>
    <w:rsid w:val="001254CC"/>
    <w:rsid w:val="001267F1"/>
    <w:rsid w:val="001305B3"/>
    <w:rsid w:val="00130D33"/>
    <w:rsid w:val="00131980"/>
    <w:rsid w:val="00131C62"/>
    <w:rsid w:val="00134E0F"/>
    <w:rsid w:val="00135424"/>
    <w:rsid w:val="001428EB"/>
    <w:rsid w:val="00142A69"/>
    <w:rsid w:val="00142AC2"/>
    <w:rsid w:val="00142CBB"/>
    <w:rsid w:val="00144D39"/>
    <w:rsid w:val="00153C1A"/>
    <w:rsid w:val="001611D0"/>
    <w:rsid w:val="0016376D"/>
    <w:rsid w:val="001663F9"/>
    <w:rsid w:val="001700A4"/>
    <w:rsid w:val="0017312C"/>
    <w:rsid w:val="001733BE"/>
    <w:rsid w:val="0017472D"/>
    <w:rsid w:val="001764E7"/>
    <w:rsid w:val="00182537"/>
    <w:rsid w:val="00182CC4"/>
    <w:rsid w:val="001831F7"/>
    <w:rsid w:val="00184C02"/>
    <w:rsid w:val="00184E37"/>
    <w:rsid w:val="001855EE"/>
    <w:rsid w:val="00186895"/>
    <w:rsid w:val="001871BB"/>
    <w:rsid w:val="00190498"/>
    <w:rsid w:val="00191102"/>
    <w:rsid w:val="00191B2C"/>
    <w:rsid w:val="00194800"/>
    <w:rsid w:val="00195EB1"/>
    <w:rsid w:val="001971A4"/>
    <w:rsid w:val="001973A7"/>
    <w:rsid w:val="001A082F"/>
    <w:rsid w:val="001A2ABA"/>
    <w:rsid w:val="001A3B25"/>
    <w:rsid w:val="001A3C19"/>
    <w:rsid w:val="001A4C6A"/>
    <w:rsid w:val="001B0C97"/>
    <w:rsid w:val="001B262F"/>
    <w:rsid w:val="001B3236"/>
    <w:rsid w:val="001B4556"/>
    <w:rsid w:val="001B4EB9"/>
    <w:rsid w:val="001B5566"/>
    <w:rsid w:val="001B5F59"/>
    <w:rsid w:val="001B6F62"/>
    <w:rsid w:val="001B7875"/>
    <w:rsid w:val="001C1BFF"/>
    <w:rsid w:val="001C2D96"/>
    <w:rsid w:val="001C6A1F"/>
    <w:rsid w:val="001D02A2"/>
    <w:rsid w:val="001D39D9"/>
    <w:rsid w:val="001D416F"/>
    <w:rsid w:val="001D46D6"/>
    <w:rsid w:val="001D5E9C"/>
    <w:rsid w:val="001D76FC"/>
    <w:rsid w:val="001E3BD0"/>
    <w:rsid w:val="001E5031"/>
    <w:rsid w:val="001E7BB7"/>
    <w:rsid w:val="001F02C1"/>
    <w:rsid w:val="001F604C"/>
    <w:rsid w:val="001F6151"/>
    <w:rsid w:val="001F7527"/>
    <w:rsid w:val="00200612"/>
    <w:rsid w:val="002009BD"/>
    <w:rsid w:val="00205FEE"/>
    <w:rsid w:val="0021241F"/>
    <w:rsid w:val="00213D6A"/>
    <w:rsid w:val="00214535"/>
    <w:rsid w:val="002149CB"/>
    <w:rsid w:val="00216B96"/>
    <w:rsid w:val="00221058"/>
    <w:rsid w:val="00221205"/>
    <w:rsid w:val="00221561"/>
    <w:rsid w:val="00221795"/>
    <w:rsid w:val="00221CAE"/>
    <w:rsid w:val="00222195"/>
    <w:rsid w:val="00222690"/>
    <w:rsid w:val="002238D4"/>
    <w:rsid w:val="00223A02"/>
    <w:rsid w:val="00224C7C"/>
    <w:rsid w:val="0023085A"/>
    <w:rsid w:val="00230FB6"/>
    <w:rsid w:val="00231EB0"/>
    <w:rsid w:val="00232991"/>
    <w:rsid w:val="00233657"/>
    <w:rsid w:val="002336C8"/>
    <w:rsid w:val="00233F7A"/>
    <w:rsid w:val="0023462C"/>
    <w:rsid w:val="00234C58"/>
    <w:rsid w:val="00234DDC"/>
    <w:rsid w:val="00245D09"/>
    <w:rsid w:val="00247529"/>
    <w:rsid w:val="002507A0"/>
    <w:rsid w:val="002534F2"/>
    <w:rsid w:val="002543B5"/>
    <w:rsid w:val="0025484B"/>
    <w:rsid w:val="00257EAE"/>
    <w:rsid w:val="00261B9F"/>
    <w:rsid w:val="0026446F"/>
    <w:rsid w:val="00265C1B"/>
    <w:rsid w:val="002701D0"/>
    <w:rsid w:val="002702EB"/>
    <w:rsid w:val="00270E6E"/>
    <w:rsid w:val="00271EC3"/>
    <w:rsid w:val="00277B44"/>
    <w:rsid w:val="00280A6B"/>
    <w:rsid w:val="00284232"/>
    <w:rsid w:val="002843C3"/>
    <w:rsid w:val="00285613"/>
    <w:rsid w:val="00285CAB"/>
    <w:rsid w:val="0028698C"/>
    <w:rsid w:val="00287254"/>
    <w:rsid w:val="00290331"/>
    <w:rsid w:val="002912E4"/>
    <w:rsid w:val="00292878"/>
    <w:rsid w:val="0029306A"/>
    <w:rsid w:val="002954D4"/>
    <w:rsid w:val="00295842"/>
    <w:rsid w:val="00295C0F"/>
    <w:rsid w:val="002A0052"/>
    <w:rsid w:val="002A0CEE"/>
    <w:rsid w:val="002B01D7"/>
    <w:rsid w:val="002B30A6"/>
    <w:rsid w:val="002B34B0"/>
    <w:rsid w:val="002B4D01"/>
    <w:rsid w:val="002B5249"/>
    <w:rsid w:val="002B667D"/>
    <w:rsid w:val="002B768A"/>
    <w:rsid w:val="002C0E0E"/>
    <w:rsid w:val="002C20C8"/>
    <w:rsid w:val="002C4039"/>
    <w:rsid w:val="002D259E"/>
    <w:rsid w:val="002D3839"/>
    <w:rsid w:val="002D3E95"/>
    <w:rsid w:val="002D43D4"/>
    <w:rsid w:val="002D5EBC"/>
    <w:rsid w:val="002D7C26"/>
    <w:rsid w:val="002E1D56"/>
    <w:rsid w:val="002E3CFA"/>
    <w:rsid w:val="002E6122"/>
    <w:rsid w:val="002E7059"/>
    <w:rsid w:val="002E7530"/>
    <w:rsid w:val="002E7962"/>
    <w:rsid w:val="002E7BEF"/>
    <w:rsid w:val="002F063C"/>
    <w:rsid w:val="002F0C0A"/>
    <w:rsid w:val="002F423D"/>
    <w:rsid w:val="002F4553"/>
    <w:rsid w:val="002F6D2C"/>
    <w:rsid w:val="003000F0"/>
    <w:rsid w:val="00306CD1"/>
    <w:rsid w:val="003074F0"/>
    <w:rsid w:val="00307F40"/>
    <w:rsid w:val="003114B3"/>
    <w:rsid w:val="003124BE"/>
    <w:rsid w:val="00314594"/>
    <w:rsid w:val="00320EB0"/>
    <w:rsid w:val="00322A15"/>
    <w:rsid w:val="00323EBB"/>
    <w:rsid w:val="00324F11"/>
    <w:rsid w:val="00327F62"/>
    <w:rsid w:val="00330AF0"/>
    <w:rsid w:val="00334B3B"/>
    <w:rsid w:val="00335837"/>
    <w:rsid w:val="003365BB"/>
    <w:rsid w:val="003372CD"/>
    <w:rsid w:val="00341D01"/>
    <w:rsid w:val="0034284E"/>
    <w:rsid w:val="00344B27"/>
    <w:rsid w:val="00347801"/>
    <w:rsid w:val="003479DF"/>
    <w:rsid w:val="00351715"/>
    <w:rsid w:val="0035647E"/>
    <w:rsid w:val="003575E4"/>
    <w:rsid w:val="00357B86"/>
    <w:rsid w:val="00360437"/>
    <w:rsid w:val="00360962"/>
    <w:rsid w:val="003611ED"/>
    <w:rsid w:val="00361DA6"/>
    <w:rsid w:val="00362D30"/>
    <w:rsid w:val="00364114"/>
    <w:rsid w:val="00365213"/>
    <w:rsid w:val="003661FA"/>
    <w:rsid w:val="003707C8"/>
    <w:rsid w:val="003717B0"/>
    <w:rsid w:val="0037328F"/>
    <w:rsid w:val="0037466C"/>
    <w:rsid w:val="0037568A"/>
    <w:rsid w:val="00383500"/>
    <w:rsid w:val="00383C10"/>
    <w:rsid w:val="00384799"/>
    <w:rsid w:val="00385DB0"/>
    <w:rsid w:val="00386053"/>
    <w:rsid w:val="00391942"/>
    <w:rsid w:val="003922EC"/>
    <w:rsid w:val="00396D2E"/>
    <w:rsid w:val="003A5545"/>
    <w:rsid w:val="003A56E6"/>
    <w:rsid w:val="003A5F98"/>
    <w:rsid w:val="003A7D89"/>
    <w:rsid w:val="003B04FD"/>
    <w:rsid w:val="003B060D"/>
    <w:rsid w:val="003B2031"/>
    <w:rsid w:val="003B2464"/>
    <w:rsid w:val="003B3450"/>
    <w:rsid w:val="003B4994"/>
    <w:rsid w:val="003B5399"/>
    <w:rsid w:val="003B580C"/>
    <w:rsid w:val="003B590B"/>
    <w:rsid w:val="003C1C94"/>
    <w:rsid w:val="003C406A"/>
    <w:rsid w:val="003C7C12"/>
    <w:rsid w:val="003D107E"/>
    <w:rsid w:val="003D342E"/>
    <w:rsid w:val="003D3A14"/>
    <w:rsid w:val="003E0167"/>
    <w:rsid w:val="003E0BD3"/>
    <w:rsid w:val="003E284A"/>
    <w:rsid w:val="003E2968"/>
    <w:rsid w:val="003E3604"/>
    <w:rsid w:val="003E6CB3"/>
    <w:rsid w:val="003E784A"/>
    <w:rsid w:val="003F0C4F"/>
    <w:rsid w:val="003F17ED"/>
    <w:rsid w:val="003F3B12"/>
    <w:rsid w:val="003F4E09"/>
    <w:rsid w:val="004010C8"/>
    <w:rsid w:val="00401C5F"/>
    <w:rsid w:val="0040254D"/>
    <w:rsid w:val="00402B2B"/>
    <w:rsid w:val="00404C10"/>
    <w:rsid w:val="00404D4B"/>
    <w:rsid w:val="004074FD"/>
    <w:rsid w:val="004105B8"/>
    <w:rsid w:val="00412413"/>
    <w:rsid w:val="00414CC7"/>
    <w:rsid w:val="00415C03"/>
    <w:rsid w:val="00416C3A"/>
    <w:rsid w:val="00420FC8"/>
    <w:rsid w:val="0042129F"/>
    <w:rsid w:val="004232D7"/>
    <w:rsid w:val="0042395B"/>
    <w:rsid w:val="004246FE"/>
    <w:rsid w:val="0042472B"/>
    <w:rsid w:val="00431CB5"/>
    <w:rsid w:val="004322CA"/>
    <w:rsid w:val="00434ACC"/>
    <w:rsid w:val="00435CDA"/>
    <w:rsid w:val="00436E46"/>
    <w:rsid w:val="00436E6A"/>
    <w:rsid w:val="004413C4"/>
    <w:rsid w:val="00442884"/>
    <w:rsid w:val="00443B04"/>
    <w:rsid w:val="0044567A"/>
    <w:rsid w:val="004465FC"/>
    <w:rsid w:val="004522D7"/>
    <w:rsid w:val="004527EA"/>
    <w:rsid w:val="00452FDF"/>
    <w:rsid w:val="00457B62"/>
    <w:rsid w:val="00460A29"/>
    <w:rsid w:val="00470BFE"/>
    <w:rsid w:val="00472EF3"/>
    <w:rsid w:val="00475A76"/>
    <w:rsid w:val="004775F4"/>
    <w:rsid w:val="00484C10"/>
    <w:rsid w:val="00485E0B"/>
    <w:rsid w:val="00486BD6"/>
    <w:rsid w:val="00487753"/>
    <w:rsid w:val="0049013B"/>
    <w:rsid w:val="004901C2"/>
    <w:rsid w:val="00491F0A"/>
    <w:rsid w:val="004960FB"/>
    <w:rsid w:val="00497086"/>
    <w:rsid w:val="004A22E5"/>
    <w:rsid w:val="004A4A04"/>
    <w:rsid w:val="004A554F"/>
    <w:rsid w:val="004B055E"/>
    <w:rsid w:val="004B15B2"/>
    <w:rsid w:val="004B18A4"/>
    <w:rsid w:val="004B1FE7"/>
    <w:rsid w:val="004B5D5B"/>
    <w:rsid w:val="004B77C0"/>
    <w:rsid w:val="004C1463"/>
    <w:rsid w:val="004D066F"/>
    <w:rsid w:val="004D3629"/>
    <w:rsid w:val="004D4997"/>
    <w:rsid w:val="004D5486"/>
    <w:rsid w:val="004D54CD"/>
    <w:rsid w:val="004D6EF0"/>
    <w:rsid w:val="004D790D"/>
    <w:rsid w:val="004E01F5"/>
    <w:rsid w:val="004E3075"/>
    <w:rsid w:val="004E67EA"/>
    <w:rsid w:val="004E7B96"/>
    <w:rsid w:val="004F0E94"/>
    <w:rsid w:val="004F178A"/>
    <w:rsid w:val="004F2331"/>
    <w:rsid w:val="004F2B79"/>
    <w:rsid w:val="004F3281"/>
    <w:rsid w:val="004F5489"/>
    <w:rsid w:val="00501F08"/>
    <w:rsid w:val="00502247"/>
    <w:rsid w:val="00502CD4"/>
    <w:rsid w:val="00503D5C"/>
    <w:rsid w:val="00505A0D"/>
    <w:rsid w:val="00505B7D"/>
    <w:rsid w:val="00506DDA"/>
    <w:rsid w:val="00506F5C"/>
    <w:rsid w:val="00507FEA"/>
    <w:rsid w:val="00510235"/>
    <w:rsid w:val="00511ADB"/>
    <w:rsid w:val="00512B10"/>
    <w:rsid w:val="0051358D"/>
    <w:rsid w:val="00513AF6"/>
    <w:rsid w:val="00517C20"/>
    <w:rsid w:val="00521424"/>
    <w:rsid w:val="00522B62"/>
    <w:rsid w:val="00524D01"/>
    <w:rsid w:val="005254AB"/>
    <w:rsid w:val="005269EE"/>
    <w:rsid w:val="005278E9"/>
    <w:rsid w:val="00530C47"/>
    <w:rsid w:val="00531687"/>
    <w:rsid w:val="00532532"/>
    <w:rsid w:val="00532EE4"/>
    <w:rsid w:val="00532FEB"/>
    <w:rsid w:val="0053498B"/>
    <w:rsid w:val="00537A29"/>
    <w:rsid w:val="005422C3"/>
    <w:rsid w:val="0054270D"/>
    <w:rsid w:val="00542739"/>
    <w:rsid w:val="00542F49"/>
    <w:rsid w:val="00543052"/>
    <w:rsid w:val="00544913"/>
    <w:rsid w:val="00546E77"/>
    <w:rsid w:val="005502FB"/>
    <w:rsid w:val="00554A7A"/>
    <w:rsid w:val="00554E07"/>
    <w:rsid w:val="00555896"/>
    <w:rsid w:val="0056506A"/>
    <w:rsid w:val="005662F5"/>
    <w:rsid w:val="005663B6"/>
    <w:rsid w:val="00566BF0"/>
    <w:rsid w:val="0056795E"/>
    <w:rsid w:val="00570B3E"/>
    <w:rsid w:val="005747E7"/>
    <w:rsid w:val="0057501D"/>
    <w:rsid w:val="0057644B"/>
    <w:rsid w:val="00576AEE"/>
    <w:rsid w:val="00576D8A"/>
    <w:rsid w:val="00580317"/>
    <w:rsid w:val="0058086F"/>
    <w:rsid w:val="0058249F"/>
    <w:rsid w:val="0058679B"/>
    <w:rsid w:val="005877DA"/>
    <w:rsid w:val="005917DC"/>
    <w:rsid w:val="005919C4"/>
    <w:rsid w:val="00593CA6"/>
    <w:rsid w:val="0059700D"/>
    <w:rsid w:val="00597137"/>
    <w:rsid w:val="00597231"/>
    <w:rsid w:val="005A1D6F"/>
    <w:rsid w:val="005A2A2D"/>
    <w:rsid w:val="005A37FF"/>
    <w:rsid w:val="005B2099"/>
    <w:rsid w:val="005B21E8"/>
    <w:rsid w:val="005B29DE"/>
    <w:rsid w:val="005B4307"/>
    <w:rsid w:val="005B5803"/>
    <w:rsid w:val="005C05FC"/>
    <w:rsid w:val="005C251D"/>
    <w:rsid w:val="005C6DDB"/>
    <w:rsid w:val="005D1220"/>
    <w:rsid w:val="005D3658"/>
    <w:rsid w:val="005D4522"/>
    <w:rsid w:val="005D4BD6"/>
    <w:rsid w:val="005D6171"/>
    <w:rsid w:val="005E0180"/>
    <w:rsid w:val="005E2EDA"/>
    <w:rsid w:val="005E4730"/>
    <w:rsid w:val="005E713D"/>
    <w:rsid w:val="005F09EC"/>
    <w:rsid w:val="005F1C44"/>
    <w:rsid w:val="005F3794"/>
    <w:rsid w:val="006046DA"/>
    <w:rsid w:val="00606ED6"/>
    <w:rsid w:val="00607722"/>
    <w:rsid w:val="00610DDF"/>
    <w:rsid w:val="0061387A"/>
    <w:rsid w:val="00614602"/>
    <w:rsid w:val="0062102B"/>
    <w:rsid w:val="006218A6"/>
    <w:rsid w:val="00622CBB"/>
    <w:rsid w:val="00625D54"/>
    <w:rsid w:val="00626F78"/>
    <w:rsid w:val="00630367"/>
    <w:rsid w:val="006309F5"/>
    <w:rsid w:val="00630BAA"/>
    <w:rsid w:val="00631039"/>
    <w:rsid w:val="00633CE4"/>
    <w:rsid w:val="00636440"/>
    <w:rsid w:val="00641379"/>
    <w:rsid w:val="006418ED"/>
    <w:rsid w:val="00643B54"/>
    <w:rsid w:val="006456BB"/>
    <w:rsid w:val="00647402"/>
    <w:rsid w:val="00650716"/>
    <w:rsid w:val="006512F4"/>
    <w:rsid w:val="00651669"/>
    <w:rsid w:val="00652901"/>
    <w:rsid w:val="006543B3"/>
    <w:rsid w:val="00654C63"/>
    <w:rsid w:val="00660008"/>
    <w:rsid w:val="00664C33"/>
    <w:rsid w:val="00665020"/>
    <w:rsid w:val="00667BAB"/>
    <w:rsid w:val="006711E1"/>
    <w:rsid w:val="00671825"/>
    <w:rsid w:val="006722B5"/>
    <w:rsid w:val="0067232A"/>
    <w:rsid w:val="00672A2F"/>
    <w:rsid w:val="00673175"/>
    <w:rsid w:val="00673C0E"/>
    <w:rsid w:val="00674BA7"/>
    <w:rsid w:val="00676770"/>
    <w:rsid w:val="0068051B"/>
    <w:rsid w:val="00681496"/>
    <w:rsid w:val="00682B64"/>
    <w:rsid w:val="0068409B"/>
    <w:rsid w:val="00684EA2"/>
    <w:rsid w:val="006910BE"/>
    <w:rsid w:val="006936C4"/>
    <w:rsid w:val="006A3A28"/>
    <w:rsid w:val="006A6AD4"/>
    <w:rsid w:val="006A7488"/>
    <w:rsid w:val="006A7638"/>
    <w:rsid w:val="006B0E03"/>
    <w:rsid w:val="006B78D5"/>
    <w:rsid w:val="006C114F"/>
    <w:rsid w:val="006C15FA"/>
    <w:rsid w:val="006D0B9B"/>
    <w:rsid w:val="006D1F62"/>
    <w:rsid w:val="006D2CE4"/>
    <w:rsid w:val="006D30BF"/>
    <w:rsid w:val="006D40AB"/>
    <w:rsid w:val="006D662F"/>
    <w:rsid w:val="006D69A4"/>
    <w:rsid w:val="006E07AC"/>
    <w:rsid w:val="006E09B6"/>
    <w:rsid w:val="006E0ECB"/>
    <w:rsid w:val="006E1F97"/>
    <w:rsid w:val="006E3949"/>
    <w:rsid w:val="006F02CA"/>
    <w:rsid w:val="006F0C19"/>
    <w:rsid w:val="006F24A8"/>
    <w:rsid w:val="006F56C1"/>
    <w:rsid w:val="0070219F"/>
    <w:rsid w:val="0070392D"/>
    <w:rsid w:val="00704CAB"/>
    <w:rsid w:val="007058E9"/>
    <w:rsid w:val="007065FA"/>
    <w:rsid w:val="0070678E"/>
    <w:rsid w:val="00706B4B"/>
    <w:rsid w:val="00706EC2"/>
    <w:rsid w:val="00716786"/>
    <w:rsid w:val="00720ABC"/>
    <w:rsid w:val="00720EE5"/>
    <w:rsid w:val="007217E4"/>
    <w:rsid w:val="00721D6C"/>
    <w:rsid w:val="00721E50"/>
    <w:rsid w:val="00725107"/>
    <w:rsid w:val="00725B16"/>
    <w:rsid w:val="007278CF"/>
    <w:rsid w:val="00731AA9"/>
    <w:rsid w:val="00732F77"/>
    <w:rsid w:val="007363F2"/>
    <w:rsid w:val="00737AB8"/>
    <w:rsid w:val="00743E33"/>
    <w:rsid w:val="00744513"/>
    <w:rsid w:val="00751B35"/>
    <w:rsid w:val="0075546F"/>
    <w:rsid w:val="0075648C"/>
    <w:rsid w:val="00763137"/>
    <w:rsid w:val="00767185"/>
    <w:rsid w:val="00767E0F"/>
    <w:rsid w:val="00770BD3"/>
    <w:rsid w:val="007715A2"/>
    <w:rsid w:val="00771E40"/>
    <w:rsid w:val="0077435A"/>
    <w:rsid w:val="0077545A"/>
    <w:rsid w:val="00781C31"/>
    <w:rsid w:val="00790E90"/>
    <w:rsid w:val="00791433"/>
    <w:rsid w:val="00793496"/>
    <w:rsid w:val="00793A6B"/>
    <w:rsid w:val="007944CE"/>
    <w:rsid w:val="00794B98"/>
    <w:rsid w:val="007955A0"/>
    <w:rsid w:val="00797D6F"/>
    <w:rsid w:val="007A0A71"/>
    <w:rsid w:val="007A0D95"/>
    <w:rsid w:val="007A14D0"/>
    <w:rsid w:val="007A2498"/>
    <w:rsid w:val="007A3C54"/>
    <w:rsid w:val="007B0767"/>
    <w:rsid w:val="007B224B"/>
    <w:rsid w:val="007B2C2E"/>
    <w:rsid w:val="007B32AB"/>
    <w:rsid w:val="007B38CE"/>
    <w:rsid w:val="007B461A"/>
    <w:rsid w:val="007B7B66"/>
    <w:rsid w:val="007C1582"/>
    <w:rsid w:val="007C2960"/>
    <w:rsid w:val="007C2992"/>
    <w:rsid w:val="007C62F5"/>
    <w:rsid w:val="007C7357"/>
    <w:rsid w:val="007C7B92"/>
    <w:rsid w:val="007D054D"/>
    <w:rsid w:val="007D14B7"/>
    <w:rsid w:val="007D284D"/>
    <w:rsid w:val="007D45FD"/>
    <w:rsid w:val="007D4D0F"/>
    <w:rsid w:val="007D6721"/>
    <w:rsid w:val="007D6900"/>
    <w:rsid w:val="007D7A8A"/>
    <w:rsid w:val="007E0403"/>
    <w:rsid w:val="007E0A01"/>
    <w:rsid w:val="007E1DC0"/>
    <w:rsid w:val="007E7623"/>
    <w:rsid w:val="007F0242"/>
    <w:rsid w:val="007F0C15"/>
    <w:rsid w:val="008079FF"/>
    <w:rsid w:val="00810BB4"/>
    <w:rsid w:val="00812990"/>
    <w:rsid w:val="00814B24"/>
    <w:rsid w:val="00815CC0"/>
    <w:rsid w:val="008173C3"/>
    <w:rsid w:val="00817839"/>
    <w:rsid w:val="00823419"/>
    <w:rsid w:val="00823C4F"/>
    <w:rsid w:val="0082492B"/>
    <w:rsid w:val="00824A69"/>
    <w:rsid w:val="008253A7"/>
    <w:rsid w:val="008265EF"/>
    <w:rsid w:val="00827407"/>
    <w:rsid w:val="00836318"/>
    <w:rsid w:val="00837E38"/>
    <w:rsid w:val="00841058"/>
    <w:rsid w:val="008444BD"/>
    <w:rsid w:val="00844DC6"/>
    <w:rsid w:val="008456E4"/>
    <w:rsid w:val="00850C57"/>
    <w:rsid w:val="00851D2A"/>
    <w:rsid w:val="00855B83"/>
    <w:rsid w:val="00860387"/>
    <w:rsid w:val="00861F33"/>
    <w:rsid w:val="008620C5"/>
    <w:rsid w:val="00862971"/>
    <w:rsid w:val="00863D81"/>
    <w:rsid w:val="00864EFE"/>
    <w:rsid w:val="008657D2"/>
    <w:rsid w:val="00866076"/>
    <w:rsid w:val="00867E1F"/>
    <w:rsid w:val="0087015B"/>
    <w:rsid w:val="00874C25"/>
    <w:rsid w:val="0087682B"/>
    <w:rsid w:val="00877FED"/>
    <w:rsid w:val="008801C6"/>
    <w:rsid w:val="00880F80"/>
    <w:rsid w:val="008822A5"/>
    <w:rsid w:val="008833AC"/>
    <w:rsid w:val="0088512F"/>
    <w:rsid w:val="00885C85"/>
    <w:rsid w:val="00890CFA"/>
    <w:rsid w:val="00891DAA"/>
    <w:rsid w:val="00891EFC"/>
    <w:rsid w:val="0089622A"/>
    <w:rsid w:val="00897C16"/>
    <w:rsid w:val="008A3E29"/>
    <w:rsid w:val="008A4831"/>
    <w:rsid w:val="008A492C"/>
    <w:rsid w:val="008A4C41"/>
    <w:rsid w:val="008A515D"/>
    <w:rsid w:val="008A615D"/>
    <w:rsid w:val="008A6918"/>
    <w:rsid w:val="008A69DC"/>
    <w:rsid w:val="008B2556"/>
    <w:rsid w:val="008B447B"/>
    <w:rsid w:val="008B4856"/>
    <w:rsid w:val="008C1D54"/>
    <w:rsid w:val="008C2886"/>
    <w:rsid w:val="008C2E67"/>
    <w:rsid w:val="008D17E5"/>
    <w:rsid w:val="008D2382"/>
    <w:rsid w:val="008D6725"/>
    <w:rsid w:val="008D78FF"/>
    <w:rsid w:val="008E162E"/>
    <w:rsid w:val="008E476F"/>
    <w:rsid w:val="008E4F4B"/>
    <w:rsid w:val="008E5AD7"/>
    <w:rsid w:val="008E5F7D"/>
    <w:rsid w:val="008E6217"/>
    <w:rsid w:val="008F48C1"/>
    <w:rsid w:val="008F4C9D"/>
    <w:rsid w:val="008F5394"/>
    <w:rsid w:val="008F636C"/>
    <w:rsid w:val="008F6397"/>
    <w:rsid w:val="0090048A"/>
    <w:rsid w:val="009041C1"/>
    <w:rsid w:val="0090449A"/>
    <w:rsid w:val="00904A06"/>
    <w:rsid w:val="0090536A"/>
    <w:rsid w:val="00907AFA"/>
    <w:rsid w:val="00911D0C"/>
    <w:rsid w:val="00912888"/>
    <w:rsid w:val="00914CB3"/>
    <w:rsid w:val="00916328"/>
    <w:rsid w:val="00917324"/>
    <w:rsid w:val="00920CC5"/>
    <w:rsid w:val="009223E3"/>
    <w:rsid w:val="0092468A"/>
    <w:rsid w:val="009260C5"/>
    <w:rsid w:val="00926505"/>
    <w:rsid w:val="009269B4"/>
    <w:rsid w:val="00930A2C"/>
    <w:rsid w:val="00930CFF"/>
    <w:rsid w:val="00932B78"/>
    <w:rsid w:val="00933744"/>
    <w:rsid w:val="0094012A"/>
    <w:rsid w:val="00940388"/>
    <w:rsid w:val="009429B7"/>
    <w:rsid w:val="00944903"/>
    <w:rsid w:val="00945AEE"/>
    <w:rsid w:val="0094732D"/>
    <w:rsid w:val="00947CF8"/>
    <w:rsid w:val="009520C3"/>
    <w:rsid w:val="0095555C"/>
    <w:rsid w:val="0095680E"/>
    <w:rsid w:val="0095696B"/>
    <w:rsid w:val="00957187"/>
    <w:rsid w:val="00960DE7"/>
    <w:rsid w:val="0096201A"/>
    <w:rsid w:val="00962693"/>
    <w:rsid w:val="00962CEA"/>
    <w:rsid w:val="00970581"/>
    <w:rsid w:val="00971B45"/>
    <w:rsid w:val="00977A1D"/>
    <w:rsid w:val="00980F0E"/>
    <w:rsid w:val="009839B3"/>
    <w:rsid w:val="0098472B"/>
    <w:rsid w:val="0099344A"/>
    <w:rsid w:val="0099417B"/>
    <w:rsid w:val="00994A10"/>
    <w:rsid w:val="00995388"/>
    <w:rsid w:val="00996D7F"/>
    <w:rsid w:val="009A164D"/>
    <w:rsid w:val="009A19C7"/>
    <w:rsid w:val="009A38AD"/>
    <w:rsid w:val="009A4558"/>
    <w:rsid w:val="009A57E0"/>
    <w:rsid w:val="009A5AF3"/>
    <w:rsid w:val="009A6C4D"/>
    <w:rsid w:val="009A6ECF"/>
    <w:rsid w:val="009A712C"/>
    <w:rsid w:val="009B0D79"/>
    <w:rsid w:val="009B0DB2"/>
    <w:rsid w:val="009B2F66"/>
    <w:rsid w:val="009C1ADF"/>
    <w:rsid w:val="009C2CF9"/>
    <w:rsid w:val="009C5919"/>
    <w:rsid w:val="009C6996"/>
    <w:rsid w:val="009C7064"/>
    <w:rsid w:val="009C7B1F"/>
    <w:rsid w:val="009D10C0"/>
    <w:rsid w:val="009D3A3F"/>
    <w:rsid w:val="009D46D6"/>
    <w:rsid w:val="009D5C1D"/>
    <w:rsid w:val="009D6B85"/>
    <w:rsid w:val="009D7B42"/>
    <w:rsid w:val="009E116E"/>
    <w:rsid w:val="009E182A"/>
    <w:rsid w:val="009E1AEA"/>
    <w:rsid w:val="009E2B24"/>
    <w:rsid w:val="009E388E"/>
    <w:rsid w:val="009E4C1F"/>
    <w:rsid w:val="009E532D"/>
    <w:rsid w:val="009E5351"/>
    <w:rsid w:val="009E604D"/>
    <w:rsid w:val="009E7E9F"/>
    <w:rsid w:val="009F0EF2"/>
    <w:rsid w:val="009F1B35"/>
    <w:rsid w:val="009F2379"/>
    <w:rsid w:val="009F37B4"/>
    <w:rsid w:val="009F3B93"/>
    <w:rsid w:val="009F4A55"/>
    <w:rsid w:val="009F4D79"/>
    <w:rsid w:val="00A01864"/>
    <w:rsid w:val="00A023DB"/>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4ADB"/>
    <w:rsid w:val="00A552DA"/>
    <w:rsid w:val="00A6113D"/>
    <w:rsid w:val="00A6164F"/>
    <w:rsid w:val="00A6235A"/>
    <w:rsid w:val="00A62805"/>
    <w:rsid w:val="00A63A3D"/>
    <w:rsid w:val="00A64ED3"/>
    <w:rsid w:val="00A6716E"/>
    <w:rsid w:val="00A700D6"/>
    <w:rsid w:val="00A74FF3"/>
    <w:rsid w:val="00A805C2"/>
    <w:rsid w:val="00A806F1"/>
    <w:rsid w:val="00A85AB5"/>
    <w:rsid w:val="00A85F08"/>
    <w:rsid w:val="00A87BE9"/>
    <w:rsid w:val="00A9241A"/>
    <w:rsid w:val="00A95893"/>
    <w:rsid w:val="00A963C3"/>
    <w:rsid w:val="00A96F94"/>
    <w:rsid w:val="00AA0E78"/>
    <w:rsid w:val="00AA127F"/>
    <w:rsid w:val="00AA230A"/>
    <w:rsid w:val="00AA3F0D"/>
    <w:rsid w:val="00AA4BA7"/>
    <w:rsid w:val="00AA5C4F"/>
    <w:rsid w:val="00AA6501"/>
    <w:rsid w:val="00AA712A"/>
    <w:rsid w:val="00AA7E8A"/>
    <w:rsid w:val="00AB1A94"/>
    <w:rsid w:val="00AB22E4"/>
    <w:rsid w:val="00AB248D"/>
    <w:rsid w:val="00AB2915"/>
    <w:rsid w:val="00AB2B24"/>
    <w:rsid w:val="00AB488D"/>
    <w:rsid w:val="00AB4BC9"/>
    <w:rsid w:val="00AB5B30"/>
    <w:rsid w:val="00AB5FC3"/>
    <w:rsid w:val="00AB6101"/>
    <w:rsid w:val="00AB7F6E"/>
    <w:rsid w:val="00AC0231"/>
    <w:rsid w:val="00AC07D2"/>
    <w:rsid w:val="00AC25E4"/>
    <w:rsid w:val="00AC3764"/>
    <w:rsid w:val="00AC6009"/>
    <w:rsid w:val="00AC64F1"/>
    <w:rsid w:val="00AD0DF6"/>
    <w:rsid w:val="00AD2826"/>
    <w:rsid w:val="00AD4944"/>
    <w:rsid w:val="00AD5849"/>
    <w:rsid w:val="00AD7CF0"/>
    <w:rsid w:val="00AE05F1"/>
    <w:rsid w:val="00AE1659"/>
    <w:rsid w:val="00AE4EB6"/>
    <w:rsid w:val="00AE51EC"/>
    <w:rsid w:val="00AE6E0C"/>
    <w:rsid w:val="00AF1851"/>
    <w:rsid w:val="00AF1E99"/>
    <w:rsid w:val="00B014C2"/>
    <w:rsid w:val="00B033B8"/>
    <w:rsid w:val="00B0347F"/>
    <w:rsid w:val="00B04FAA"/>
    <w:rsid w:val="00B04FD2"/>
    <w:rsid w:val="00B06540"/>
    <w:rsid w:val="00B115B5"/>
    <w:rsid w:val="00B121E8"/>
    <w:rsid w:val="00B13499"/>
    <w:rsid w:val="00B1649C"/>
    <w:rsid w:val="00B1662F"/>
    <w:rsid w:val="00B16F9F"/>
    <w:rsid w:val="00B20342"/>
    <w:rsid w:val="00B221CA"/>
    <w:rsid w:val="00B26217"/>
    <w:rsid w:val="00B274BB"/>
    <w:rsid w:val="00B30133"/>
    <w:rsid w:val="00B31340"/>
    <w:rsid w:val="00B37577"/>
    <w:rsid w:val="00B44516"/>
    <w:rsid w:val="00B45711"/>
    <w:rsid w:val="00B46B34"/>
    <w:rsid w:val="00B54345"/>
    <w:rsid w:val="00B56517"/>
    <w:rsid w:val="00B5655C"/>
    <w:rsid w:val="00B56EB8"/>
    <w:rsid w:val="00B57637"/>
    <w:rsid w:val="00B57721"/>
    <w:rsid w:val="00B60083"/>
    <w:rsid w:val="00B60EEC"/>
    <w:rsid w:val="00B60F38"/>
    <w:rsid w:val="00B6151B"/>
    <w:rsid w:val="00B6163A"/>
    <w:rsid w:val="00B62197"/>
    <w:rsid w:val="00B63BE0"/>
    <w:rsid w:val="00B6474E"/>
    <w:rsid w:val="00B64931"/>
    <w:rsid w:val="00B65CFA"/>
    <w:rsid w:val="00B6797B"/>
    <w:rsid w:val="00B70F42"/>
    <w:rsid w:val="00B74BCA"/>
    <w:rsid w:val="00B756EA"/>
    <w:rsid w:val="00B75B65"/>
    <w:rsid w:val="00B7774A"/>
    <w:rsid w:val="00B81E82"/>
    <w:rsid w:val="00B82499"/>
    <w:rsid w:val="00B82737"/>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314"/>
    <w:rsid w:val="00BC06E8"/>
    <w:rsid w:val="00BC2500"/>
    <w:rsid w:val="00BC4144"/>
    <w:rsid w:val="00BC4472"/>
    <w:rsid w:val="00BC51A3"/>
    <w:rsid w:val="00BC66EB"/>
    <w:rsid w:val="00BC6F33"/>
    <w:rsid w:val="00BD1934"/>
    <w:rsid w:val="00BD1A48"/>
    <w:rsid w:val="00BD3F85"/>
    <w:rsid w:val="00BD4752"/>
    <w:rsid w:val="00BD63E9"/>
    <w:rsid w:val="00BE0EC8"/>
    <w:rsid w:val="00BE4892"/>
    <w:rsid w:val="00BE649D"/>
    <w:rsid w:val="00BE6A4E"/>
    <w:rsid w:val="00BF13E2"/>
    <w:rsid w:val="00BF162D"/>
    <w:rsid w:val="00BF249C"/>
    <w:rsid w:val="00BF4361"/>
    <w:rsid w:val="00BF6568"/>
    <w:rsid w:val="00C02217"/>
    <w:rsid w:val="00C027B2"/>
    <w:rsid w:val="00C027C5"/>
    <w:rsid w:val="00C03B9C"/>
    <w:rsid w:val="00C044F2"/>
    <w:rsid w:val="00C11C6A"/>
    <w:rsid w:val="00C165FF"/>
    <w:rsid w:val="00C16A63"/>
    <w:rsid w:val="00C16F7D"/>
    <w:rsid w:val="00C1739F"/>
    <w:rsid w:val="00C20A0F"/>
    <w:rsid w:val="00C20EF9"/>
    <w:rsid w:val="00C21A1E"/>
    <w:rsid w:val="00C21E02"/>
    <w:rsid w:val="00C24F0A"/>
    <w:rsid w:val="00C25337"/>
    <w:rsid w:val="00C307D2"/>
    <w:rsid w:val="00C31A26"/>
    <w:rsid w:val="00C327A5"/>
    <w:rsid w:val="00C32F05"/>
    <w:rsid w:val="00C33F2C"/>
    <w:rsid w:val="00C342EF"/>
    <w:rsid w:val="00C34377"/>
    <w:rsid w:val="00C34941"/>
    <w:rsid w:val="00C37B14"/>
    <w:rsid w:val="00C40FDA"/>
    <w:rsid w:val="00C438C9"/>
    <w:rsid w:val="00C44C95"/>
    <w:rsid w:val="00C4549D"/>
    <w:rsid w:val="00C45AB4"/>
    <w:rsid w:val="00C5082A"/>
    <w:rsid w:val="00C52C5E"/>
    <w:rsid w:val="00C5549D"/>
    <w:rsid w:val="00C56553"/>
    <w:rsid w:val="00C61BDC"/>
    <w:rsid w:val="00C61F40"/>
    <w:rsid w:val="00C61FF9"/>
    <w:rsid w:val="00C627A2"/>
    <w:rsid w:val="00C65525"/>
    <w:rsid w:val="00C6637E"/>
    <w:rsid w:val="00C7152A"/>
    <w:rsid w:val="00C728A7"/>
    <w:rsid w:val="00C74E12"/>
    <w:rsid w:val="00C7500F"/>
    <w:rsid w:val="00C751EA"/>
    <w:rsid w:val="00C75A4F"/>
    <w:rsid w:val="00C772EA"/>
    <w:rsid w:val="00C8212B"/>
    <w:rsid w:val="00C83591"/>
    <w:rsid w:val="00C83878"/>
    <w:rsid w:val="00C84412"/>
    <w:rsid w:val="00C85068"/>
    <w:rsid w:val="00C86127"/>
    <w:rsid w:val="00C937BF"/>
    <w:rsid w:val="00C93C55"/>
    <w:rsid w:val="00C94994"/>
    <w:rsid w:val="00C95CFC"/>
    <w:rsid w:val="00C9779A"/>
    <w:rsid w:val="00C97812"/>
    <w:rsid w:val="00C97B18"/>
    <w:rsid w:val="00C97C3E"/>
    <w:rsid w:val="00CA0169"/>
    <w:rsid w:val="00CA0B16"/>
    <w:rsid w:val="00CA0E9F"/>
    <w:rsid w:val="00CA181C"/>
    <w:rsid w:val="00CA1B8B"/>
    <w:rsid w:val="00CA34C6"/>
    <w:rsid w:val="00CA4ADF"/>
    <w:rsid w:val="00CA6526"/>
    <w:rsid w:val="00CA7E59"/>
    <w:rsid w:val="00CB1829"/>
    <w:rsid w:val="00CB19CB"/>
    <w:rsid w:val="00CB204F"/>
    <w:rsid w:val="00CB3F99"/>
    <w:rsid w:val="00CB45B6"/>
    <w:rsid w:val="00CB5D7B"/>
    <w:rsid w:val="00CB6882"/>
    <w:rsid w:val="00CB7A76"/>
    <w:rsid w:val="00CC1AF1"/>
    <w:rsid w:val="00CC2408"/>
    <w:rsid w:val="00CC76C2"/>
    <w:rsid w:val="00CD40FD"/>
    <w:rsid w:val="00CD4E1C"/>
    <w:rsid w:val="00CE09F6"/>
    <w:rsid w:val="00CE128B"/>
    <w:rsid w:val="00CE28C1"/>
    <w:rsid w:val="00CE46A5"/>
    <w:rsid w:val="00CF05DA"/>
    <w:rsid w:val="00CF370C"/>
    <w:rsid w:val="00CF4D9E"/>
    <w:rsid w:val="00CF50F6"/>
    <w:rsid w:val="00CF5C7C"/>
    <w:rsid w:val="00D0079F"/>
    <w:rsid w:val="00D0267C"/>
    <w:rsid w:val="00D03BE9"/>
    <w:rsid w:val="00D11E93"/>
    <w:rsid w:val="00D12D69"/>
    <w:rsid w:val="00D12F6E"/>
    <w:rsid w:val="00D156DF"/>
    <w:rsid w:val="00D215C9"/>
    <w:rsid w:val="00D23D51"/>
    <w:rsid w:val="00D23E53"/>
    <w:rsid w:val="00D24EDC"/>
    <w:rsid w:val="00D26D77"/>
    <w:rsid w:val="00D277E5"/>
    <w:rsid w:val="00D315BC"/>
    <w:rsid w:val="00D31657"/>
    <w:rsid w:val="00D31FAE"/>
    <w:rsid w:val="00D419F1"/>
    <w:rsid w:val="00D43F5E"/>
    <w:rsid w:val="00D4692E"/>
    <w:rsid w:val="00D469C4"/>
    <w:rsid w:val="00D478F2"/>
    <w:rsid w:val="00D50452"/>
    <w:rsid w:val="00D504B2"/>
    <w:rsid w:val="00D512C5"/>
    <w:rsid w:val="00D517AB"/>
    <w:rsid w:val="00D56DA8"/>
    <w:rsid w:val="00D57DB1"/>
    <w:rsid w:val="00D60FC3"/>
    <w:rsid w:val="00D62CCB"/>
    <w:rsid w:val="00D71175"/>
    <w:rsid w:val="00D7155A"/>
    <w:rsid w:val="00D71706"/>
    <w:rsid w:val="00D7256E"/>
    <w:rsid w:val="00D72F3D"/>
    <w:rsid w:val="00D74282"/>
    <w:rsid w:val="00D766E9"/>
    <w:rsid w:val="00D83021"/>
    <w:rsid w:val="00D838E0"/>
    <w:rsid w:val="00D86FBC"/>
    <w:rsid w:val="00D87745"/>
    <w:rsid w:val="00D91AE6"/>
    <w:rsid w:val="00D94F4A"/>
    <w:rsid w:val="00D97711"/>
    <w:rsid w:val="00DA0A55"/>
    <w:rsid w:val="00DA0AB2"/>
    <w:rsid w:val="00DA1A7B"/>
    <w:rsid w:val="00DA33A5"/>
    <w:rsid w:val="00DA3982"/>
    <w:rsid w:val="00DA3D82"/>
    <w:rsid w:val="00DA4981"/>
    <w:rsid w:val="00DA4F89"/>
    <w:rsid w:val="00DA546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D0266"/>
    <w:rsid w:val="00DD21C0"/>
    <w:rsid w:val="00DD2DC8"/>
    <w:rsid w:val="00DD4220"/>
    <w:rsid w:val="00DD42C2"/>
    <w:rsid w:val="00DE01CE"/>
    <w:rsid w:val="00DE0762"/>
    <w:rsid w:val="00DE66BC"/>
    <w:rsid w:val="00DE67FC"/>
    <w:rsid w:val="00DF00C1"/>
    <w:rsid w:val="00DF0637"/>
    <w:rsid w:val="00DF0A7E"/>
    <w:rsid w:val="00DF7228"/>
    <w:rsid w:val="00E004F7"/>
    <w:rsid w:val="00E020FA"/>
    <w:rsid w:val="00E02232"/>
    <w:rsid w:val="00E03A78"/>
    <w:rsid w:val="00E07DF2"/>
    <w:rsid w:val="00E147E0"/>
    <w:rsid w:val="00E16A55"/>
    <w:rsid w:val="00E20E90"/>
    <w:rsid w:val="00E21DCB"/>
    <w:rsid w:val="00E22906"/>
    <w:rsid w:val="00E22D5A"/>
    <w:rsid w:val="00E22EBE"/>
    <w:rsid w:val="00E25884"/>
    <w:rsid w:val="00E26AAA"/>
    <w:rsid w:val="00E2796E"/>
    <w:rsid w:val="00E3376A"/>
    <w:rsid w:val="00E3385D"/>
    <w:rsid w:val="00E34A70"/>
    <w:rsid w:val="00E43842"/>
    <w:rsid w:val="00E44062"/>
    <w:rsid w:val="00E4416C"/>
    <w:rsid w:val="00E51BA8"/>
    <w:rsid w:val="00E51BE9"/>
    <w:rsid w:val="00E52FCD"/>
    <w:rsid w:val="00E54741"/>
    <w:rsid w:val="00E56A1F"/>
    <w:rsid w:val="00E5743D"/>
    <w:rsid w:val="00E62150"/>
    <w:rsid w:val="00E63210"/>
    <w:rsid w:val="00E6447F"/>
    <w:rsid w:val="00E65F36"/>
    <w:rsid w:val="00E65F64"/>
    <w:rsid w:val="00E671E2"/>
    <w:rsid w:val="00E70ADE"/>
    <w:rsid w:val="00E70B81"/>
    <w:rsid w:val="00E7255F"/>
    <w:rsid w:val="00E73425"/>
    <w:rsid w:val="00E73C02"/>
    <w:rsid w:val="00E7628E"/>
    <w:rsid w:val="00E77577"/>
    <w:rsid w:val="00E8006C"/>
    <w:rsid w:val="00E81737"/>
    <w:rsid w:val="00E835E0"/>
    <w:rsid w:val="00E8408D"/>
    <w:rsid w:val="00E86938"/>
    <w:rsid w:val="00E90C7E"/>
    <w:rsid w:val="00E921F7"/>
    <w:rsid w:val="00EA2820"/>
    <w:rsid w:val="00EA2A1E"/>
    <w:rsid w:val="00EA6137"/>
    <w:rsid w:val="00EB03F5"/>
    <w:rsid w:val="00EB263C"/>
    <w:rsid w:val="00EB4862"/>
    <w:rsid w:val="00EC09FD"/>
    <w:rsid w:val="00EC1C10"/>
    <w:rsid w:val="00EC1CD1"/>
    <w:rsid w:val="00EC26E1"/>
    <w:rsid w:val="00EC4103"/>
    <w:rsid w:val="00EC48E3"/>
    <w:rsid w:val="00ED175B"/>
    <w:rsid w:val="00ED29AD"/>
    <w:rsid w:val="00ED377B"/>
    <w:rsid w:val="00ED38DD"/>
    <w:rsid w:val="00ED49F3"/>
    <w:rsid w:val="00ED68FA"/>
    <w:rsid w:val="00EE0046"/>
    <w:rsid w:val="00EE35DE"/>
    <w:rsid w:val="00EE4E64"/>
    <w:rsid w:val="00EE4FC3"/>
    <w:rsid w:val="00EF0654"/>
    <w:rsid w:val="00EF26A5"/>
    <w:rsid w:val="00EF335B"/>
    <w:rsid w:val="00EF4B50"/>
    <w:rsid w:val="00EF594F"/>
    <w:rsid w:val="00EF662A"/>
    <w:rsid w:val="00EF6E5B"/>
    <w:rsid w:val="00EF7435"/>
    <w:rsid w:val="00EF7A99"/>
    <w:rsid w:val="00F017F1"/>
    <w:rsid w:val="00F02F53"/>
    <w:rsid w:val="00F062BB"/>
    <w:rsid w:val="00F10EB1"/>
    <w:rsid w:val="00F14553"/>
    <w:rsid w:val="00F154DF"/>
    <w:rsid w:val="00F15932"/>
    <w:rsid w:val="00F17FB6"/>
    <w:rsid w:val="00F210C4"/>
    <w:rsid w:val="00F213B5"/>
    <w:rsid w:val="00F2176B"/>
    <w:rsid w:val="00F2244C"/>
    <w:rsid w:val="00F22471"/>
    <w:rsid w:val="00F2289A"/>
    <w:rsid w:val="00F23AB0"/>
    <w:rsid w:val="00F24053"/>
    <w:rsid w:val="00F25271"/>
    <w:rsid w:val="00F25DD3"/>
    <w:rsid w:val="00F27161"/>
    <w:rsid w:val="00F272C4"/>
    <w:rsid w:val="00F309E3"/>
    <w:rsid w:val="00F33C48"/>
    <w:rsid w:val="00F33E2D"/>
    <w:rsid w:val="00F45FC6"/>
    <w:rsid w:val="00F500B2"/>
    <w:rsid w:val="00F51751"/>
    <w:rsid w:val="00F543D6"/>
    <w:rsid w:val="00F545A9"/>
    <w:rsid w:val="00F573E5"/>
    <w:rsid w:val="00F64547"/>
    <w:rsid w:val="00F65DC0"/>
    <w:rsid w:val="00F65EC5"/>
    <w:rsid w:val="00F66AC2"/>
    <w:rsid w:val="00F67545"/>
    <w:rsid w:val="00F73E4D"/>
    <w:rsid w:val="00F74809"/>
    <w:rsid w:val="00F768B2"/>
    <w:rsid w:val="00F80221"/>
    <w:rsid w:val="00F81BA5"/>
    <w:rsid w:val="00F82D25"/>
    <w:rsid w:val="00F86F4B"/>
    <w:rsid w:val="00F90307"/>
    <w:rsid w:val="00F91EB0"/>
    <w:rsid w:val="00F9294A"/>
    <w:rsid w:val="00F92A3D"/>
    <w:rsid w:val="00F97A74"/>
    <w:rsid w:val="00FA2DB4"/>
    <w:rsid w:val="00FA371D"/>
    <w:rsid w:val="00FA6047"/>
    <w:rsid w:val="00FA6053"/>
    <w:rsid w:val="00FA6507"/>
    <w:rsid w:val="00FA6DB0"/>
    <w:rsid w:val="00FB0E25"/>
    <w:rsid w:val="00FB4555"/>
    <w:rsid w:val="00FB4FBC"/>
    <w:rsid w:val="00FB6D65"/>
    <w:rsid w:val="00FC02DA"/>
    <w:rsid w:val="00FC4CC7"/>
    <w:rsid w:val="00FC4F08"/>
    <w:rsid w:val="00FC5C04"/>
    <w:rsid w:val="00FC63D8"/>
    <w:rsid w:val="00FD22C6"/>
    <w:rsid w:val="00FD3BBA"/>
    <w:rsid w:val="00FD4326"/>
    <w:rsid w:val="00FD758A"/>
    <w:rsid w:val="00FD7D7A"/>
    <w:rsid w:val="00FE1558"/>
    <w:rsid w:val="00FE24EE"/>
    <w:rsid w:val="00FE2734"/>
    <w:rsid w:val="00FF1D9A"/>
    <w:rsid w:val="00FF3E15"/>
    <w:rsid w:val="00FF47BF"/>
    <w:rsid w:val="00FF49BA"/>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 w:type="character" w:customStyle="1" w:styleId="highlight">
    <w:name w:val="highlight"/>
    <w:basedOn w:val="DefaultParagraphFont"/>
    <w:rsid w:val="00AA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 w:type="character" w:customStyle="1" w:styleId="highlight">
    <w:name w:val="highlight"/>
    <w:basedOn w:val="DefaultParagraphFont"/>
    <w:rsid w:val="00AA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92313235">
      <w:bodyDiv w:val="1"/>
      <w:marLeft w:val="0"/>
      <w:marRight w:val="0"/>
      <w:marTop w:val="0"/>
      <w:marBottom w:val="0"/>
      <w:divBdr>
        <w:top w:val="none" w:sz="0" w:space="0" w:color="auto"/>
        <w:left w:val="none" w:sz="0" w:space="0" w:color="auto"/>
        <w:bottom w:val="none" w:sz="0" w:space="0" w:color="auto"/>
        <w:right w:val="none" w:sz="0" w:space="0" w:color="auto"/>
      </w:divBdr>
    </w:div>
    <w:div w:id="435714297">
      <w:bodyDiv w:val="1"/>
      <w:marLeft w:val="0"/>
      <w:marRight w:val="0"/>
      <w:marTop w:val="0"/>
      <w:marBottom w:val="0"/>
      <w:divBdr>
        <w:top w:val="none" w:sz="0" w:space="0" w:color="auto"/>
        <w:left w:val="none" w:sz="0" w:space="0" w:color="auto"/>
        <w:bottom w:val="none" w:sz="0" w:space="0" w:color="auto"/>
        <w:right w:val="none" w:sz="0" w:space="0" w:color="auto"/>
      </w:divBdr>
    </w:div>
    <w:div w:id="464390896">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97006428">
      <w:bodyDiv w:val="1"/>
      <w:marLeft w:val="0"/>
      <w:marRight w:val="0"/>
      <w:marTop w:val="0"/>
      <w:marBottom w:val="0"/>
      <w:divBdr>
        <w:top w:val="none" w:sz="0" w:space="0" w:color="auto"/>
        <w:left w:val="none" w:sz="0" w:space="0" w:color="auto"/>
        <w:bottom w:val="none" w:sz="0" w:space="0" w:color="auto"/>
        <w:right w:val="none" w:sz="0" w:space="0" w:color="auto"/>
      </w:divBdr>
    </w:div>
    <w:div w:id="716050015">
      <w:bodyDiv w:val="1"/>
      <w:marLeft w:val="0"/>
      <w:marRight w:val="0"/>
      <w:marTop w:val="0"/>
      <w:marBottom w:val="0"/>
      <w:divBdr>
        <w:top w:val="none" w:sz="0" w:space="0" w:color="auto"/>
        <w:left w:val="none" w:sz="0" w:space="0" w:color="auto"/>
        <w:bottom w:val="none" w:sz="0" w:space="0" w:color="auto"/>
        <w:right w:val="none" w:sz="0" w:space="0" w:color="auto"/>
      </w:divBdr>
    </w:div>
    <w:div w:id="1052650731">
      <w:bodyDiv w:val="1"/>
      <w:marLeft w:val="0"/>
      <w:marRight w:val="0"/>
      <w:marTop w:val="0"/>
      <w:marBottom w:val="0"/>
      <w:divBdr>
        <w:top w:val="none" w:sz="0" w:space="0" w:color="auto"/>
        <w:left w:val="none" w:sz="0" w:space="0" w:color="auto"/>
        <w:bottom w:val="none" w:sz="0" w:space="0" w:color="auto"/>
        <w:right w:val="none" w:sz="0" w:space="0" w:color="auto"/>
      </w:divBdr>
      <w:divsChild>
        <w:div w:id="796602806">
          <w:marLeft w:val="0"/>
          <w:marRight w:val="0"/>
          <w:marTop w:val="0"/>
          <w:marBottom w:val="0"/>
          <w:divBdr>
            <w:top w:val="none" w:sz="0" w:space="0" w:color="auto"/>
            <w:left w:val="none" w:sz="0" w:space="0" w:color="auto"/>
            <w:bottom w:val="none" w:sz="0" w:space="0" w:color="auto"/>
            <w:right w:val="none" w:sz="0" w:space="0" w:color="auto"/>
          </w:divBdr>
        </w:div>
        <w:div w:id="723480282">
          <w:marLeft w:val="0"/>
          <w:marRight w:val="0"/>
          <w:marTop w:val="0"/>
          <w:marBottom w:val="0"/>
          <w:divBdr>
            <w:top w:val="none" w:sz="0" w:space="0" w:color="auto"/>
            <w:left w:val="none" w:sz="0" w:space="0" w:color="auto"/>
            <w:bottom w:val="none" w:sz="0" w:space="0" w:color="auto"/>
            <w:right w:val="none" w:sz="0" w:space="0" w:color="auto"/>
          </w:divBdr>
        </w:div>
      </w:divsChild>
    </w:div>
    <w:div w:id="1131292715">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6">
          <w:marLeft w:val="0"/>
          <w:marRight w:val="0"/>
          <w:marTop w:val="0"/>
          <w:marBottom w:val="0"/>
          <w:divBdr>
            <w:top w:val="none" w:sz="0" w:space="0" w:color="auto"/>
            <w:left w:val="none" w:sz="0" w:space="0" w:color="auto"/>
            <w:bottom w:val="none" w:sz="0" w:space="0" w:color="auto"/>
            <w:right w:val="none" w:sz="0" w:space="0" w:color="auto"/>
          </w:divBdr>
        </w:div>
        <w:div w:id="1817793450">
          <w:marLeft w:val="0"/>
          <w:marRight w:val="0"/>
          <w:marTop w:val="0"/>
          <w:marBottom w:val="0"/>
          <w:divBdr>
            <w:top w:val="none" w:sz="0" w:space="0" w:color="auto"/>
            <w:left w:val="none" w:sz="0" w:space="0" w:color="auto"/>
            <w:bottom w:val="none" w:sz="0" w:space="0" w:color="auto"/>
            <w:right w:val="none" w:sz="0" w:space="0" w:color="auto"/>
          </w:divBdr>
        </w:div>
      </w:divsChild>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338457506">
      <w:bodyDiv w:val="1"/>
      <w:marLeft w:val="0"/>
      <w:marRight w:val="0"/>
      <w:marTop w:val="0"/>
      <w:marBottom w:val="0"/>
      <w:divBdr>
        <w:top w:val="none" w:sz="0" w:space="0" w:color="auto"/>
        <w:left w:val="none" w:sz="0" w:space="0" w:color="auto"/>
        <w:bottom w:val="none" w:sz="0" w:space="0" w:color="auto"/>
        <w:right w:val="none" w:sz="0" w:space="0" w:color="auto"/>
      </w:divBdr>
      <w:divsChild>
        <w:div w:id="1399792402">
          <w:marLeft w:val="0"/>
          <w:marRight w:val="0"/>
          <w:marTop w:val="0"/>
          <w:marBottom w:val="0"/>
          <w:divBdr>
            <w:top w:val="none" w:sz="0" w:space="0" w:color="auto"/>
            <w:left w:val="none" w:sz="0" w:space="0" w:color="auto"/>
            <w:bottom w:val="none" w:sz="0" w:space="0" w:color="auto"/>
            <w:right w:val="none" w:sz="0" w:space="0" w:color="auto"/>
          </w:divBdr>
        </w:div>
        <w:div w:id="192497819">
          <w:marLeft w:val="0"/>
          <w:marRight w:val="0"/>
          <w:marTop w:val="0"/>
          <w:marBottom w:val="0"/>
          <w:divBdr>
            <w:top w:val="none" w:sz="0" w:space="0" w:color="auto"/>
            <w:left w:val="none" w:sz="0" w:space="0" w:color="auto"/>
            <w:bottom w:val="none" w:sz="0" w:space="0" w:color="auto"/>
            <w:right w:val="none" w:sz="0" w:space="0" w:color="auto"/>
          </w:divBdr>
        </w:div>
        <w:div w:id="1921215073">
          <w:marLeft w:val="0"/>
          <w:marRight w:val="0"/>
          <w:marTop w:val="0"/>
          <w:marBottom w:val="0"/>
          <w:divBdr>
            <w:top w:val="none" w:sz="0" w:space="0" w:color="auto"/>
            <w:left w:val="none" w:sz="0" w:space="0" w:color="auto"/>
            <w:bottom w:val="none" w:sz="0" w:space="0" w:color="auto"/>
            <w:right w:val="none" w:sz="0" w:space="0" w:color="auto"/>
          </w:divBdr>
        </w:div>
        <w:div w:id="822114114">
          <w:marLeft w:val="0"/>
          <w:marRight w:val="0"/>
          <w:marTop w:val="0"/>
          <w:marBottom w:val="0"/>
          <w:divBdr>
            <w:top w:val="none" w:sz="0" w:space="0" w:color="auto"/>
            <w:left w:val="none" w:sz="0" w:space="0" w:color="auto"/>
            <w:bottom w:val="none" w:sz="0" w:space="0" w:color="auto"/>
            <w:right w:val="none" w:sz="0" w:space="0" w:color="auto"/>
          </w:divBdr>
        </w:div>
        <w:div w:id="1294946815">
          <w:marLeft w:val="0"/>
          <w:marRight w:val="0"/>
          <w:marTop w:val="0"/>
          <w:marBottom w:val="0"/>
          <w:divBdr>
            <w:top w:val="none" w:sz="0" w:space="0" w:color="auto"/>
            <w:left w:val="none" w:sz="0" w:space="0" w:color="auto"/>
            <w:bottom w:val="none" w:sz="0" w:space="0" w:color="auto"/>
            <w:right w:val="none" w:sz="0" w:space="0" w:color="auto"/>
          </w:divBdr>
        </w:div>
        <w:div w:id="1079600928">
          <w:marLeft w:val="0"/>
          <w:marRight w:val="0"/>
          <w:marTop w:val="0"/>
          <w:marBottom w:val="0"/>
          <w:divBdr>
            <w:top w:val="none" w:sz="0" w:space="0" w:color="auto"/>
            <w:left w:val="none" w:sz="0" w:space="0" w:color="auto"/>
            <w:bottom w:val="none" w:sz="0" w:space="0" w:color="auto"/>
            <w:right w:val="none" w:sz="0" w:space="0" w:color="auto"/>
          </w:divBdr>
        </w:div>
        <w:div w:id="1867016598">
          <w:marLeft w:val="0"/>
          <w:marRight w:val="0"/>
          <w:marTop w:val="0"/>
          <w:marBottom w:val="0"/>
          <w:divBdr>
            <w:top w:val="none" w:sz="0" w:space="0" w:color="auto"/>
            <w:left w:val="none" w:sz="0" w:space="0" w:color="auto"/>
            <w:bottom w:val="none" w:sz="0" w:space="0" w:color="auto"/>
            <w:right w:val="none" w:sz="0" w:space="0" w:color="auto"/>
          </w:divBdr>
        </w:div>
        <w:div w:id="948514917">
          <w:marLeft w:val="0"/>
          <w:marRight w:val="0"/>
          <w:marTop w:val="0"/>
          <w:marBottom w:val="0"/>
          <w:divBdr>
            <w:top w:val="none" w:sz="0" w:space="0" w:color="auto"/>
            <w:left w:val="none" w:sz="0" w:space="0" w:color="auto"/>
            <w:bottom w:val="none" w:sz="0" w:space="0" w:color="auto"/>
            <w:right w:val="none" w:sz="0" w:space="0" w:color="auto"/>
          </w:divBdr>
        </w:div>
        <w:div w:id="679936617">
          <w:marLeft w:val="0"/>
          <w:marRight w:val="0"/>
          <w:marTop w:val="0"/>
          <w:marBottom w:val="0"/>
          <w:divBdr>
            <w:top w:val="none" w:sz="0" w:space="0" w:color="auto"/>
            <w:left w:val="none" w:sz="0" w:space="0" w:color="auto"/>
            <w:bottom w:val="none" w:sz="0" w:space="0" w:color="auto"/>
            <w:right w:val="none" w:sz="0" w:space="0" w:color="auto"/>
          </w:divBdr>
        </w:div>
        <w:div w:id="2070810229">
          <w:marLeft w:val="0"/>
          <w:marRight w:val="0"/>
          <w:marTop w:val="0"/>
          <w:marBottom w:val="0"/>
          <w:divBdr>
            <w:top w:val="none" w:sz="0" w:space="0" w:color="auto"/>
            <w:left w:val="none" w:sz="0" w:space="0" w:color="auto"/>
            <w:bottom w:val="none" w:sz="0" w:space="0" w:color="auto"/>
            <w:right w:val="none" w:sz="0" w:space="0" w:color="auto"/>
          </w:divBdr>
        </w:div>
        <w:div w:id="707799484">
          <w:marLeft w:val="0"/>
          <w:marRight w:val="0"/>
          <w:marTop w:val="0"/>
          <w:marBottom w:val="0"/>
          <w:divBdr>
            <w:top w:val="none" w:sz="0" w:space="0" w:color="auto"/>
            <w:left w:val="none" w:sz="0" w:space="0" w:color="auto"/>
            <w:bottom w:val="none" w:sz="0" w:space="0" w:color="auto"/>
            <w:right w:val="none" w:sz="0" w:space="0" w:color="auto"/>
          </w:divBdr>
        </w:div>
        <w:div w:id="552624038">
          <w:marLeft w:val="0"/>
          <w:marRight w:val="0"/>
          <w:marTop w:val="0"/>
          <w:marBottom w:val="0"/>
          <w:divBdr>
            <w:top w:val="none" w:sz="0" w:space="0" w:color="auto"/>
            <w:left w:val="none" w:sz="0" w:space="0" w:color="auto"/>
            <w:bottom w:val="none" w:sz="0" w:space="0" w:color="auto"/>
            <w:right w:val="none" w:sz="0" w:space="0" w:color="auto"/>
          </w:divBdr>
        </w:div>
        <w:div w:id="102498981">
          <w:marLeft w:val="0"/>
          <w:marRight w:val="0"/>
          <w:marTop w:val="0"/>
          <w:marBottom w:val="0"/>
          <w:divBdr>
            <w:top w:val="none" w:sz="0" w:space="0" w:color="auto"/>
            <w:left w:val="none" w:sz="0" w:space="0" w:color="auto"/>
            <w:bottom w:val="none" w:sz="0" w:space="0" w:color="auto"/>
            <w:right w:val="none" w:sz="0" w:space="0" w:color="auto"/>
          </w:divBdr>
        </w:div>
        <w:div w:id="205338331">
          <w:marLeft w:val="0"/>
          <w:marRight w:val="0"/>
          <w:marTop w:val="0"/>
          <w:marBottom w:val="0"/>
          <w:divBdr>
            <w:top w:val="none" w:sz="0" w:space="0" w:color="auto"/>
            <w:left w:val="none" w:sz="0" w:space="0" w:color="auto"/>
            <w:bottom w:val="none" w:sz="0" w:space="0" w:color="auto"/>
            <w:right w:val="none" w:sz="0" w:space="0" w:color="auto"/>
          </w:divBdr>
        </w:div>
        <w:div w:id="2129662249">
          <w:marLeft w:val="0"/>
          <w:marRight w:val="0"/>
          <w:marTop w:val="0"/>
          <w:marBottom w:val="0"/>
          <w:divBdr>
            <w:top w:val="none" w:sz="0" w:space="0" w:color="auto"/>
            <w:left w:val="none" w:sz="0" w:space="0" w:color="auto"/>
            <w:bottom w:val="none" w:sz="0" w:space="0" w:color="auto"/>
            <w:right w:val="none" w:sz="0" w:space="0" w:color="auto"/>
          </w:divBdr>
        </w:div>
        <w:div w:id="1725714012">
          <w:marLeft w:val="0"/>
          <w:marRight w:val="0"/>
          <w:marTop w:val="0"/>
          <w:marBottom w:val="0"/>
          <w:divBdr>
            <w:top w:val="none" w:sz="0" w:space="0" w:color="auto"/>
            <w:left w:val="none" w:sz="0" w:space="0" w:color="auto"/>
            <w:bottom w:val="none" w:sz="0" w:space="0" w:color="auto"/>
            <w:right w:val="none" w:sz="0" w:space="0" w:color="auto"/>
          </w:divBdr>
        </w:div>
        <w:div w:id="769660740">
          <w:marLeft w:val="0"/>
          <w:marRight w:val="0"/>
          <w:marTop w:val="0"/>
          <w:marBottom w:val="0"/>
          <w:divBdr>
            <w:top w:val="none" w:sz="0" w:space="0" w:color="auto"/>
            <w:left w:val="none" w:sz="0" w:space="0" w:color="auto"/>
            <w:bottom w:val="none" w:sz="0" w:space="0" w:color="auto"/>
            <w:right w:val="none" w:sz="0" w:space="0" w:color="auto"/>
          </w:divBdr>
        </w:div>
        <w:div w:id="582684676">
          <w:marLeft w:val="0"/>
          <w:marRight w:val="0"/>
          <w:marTop w:val="0"/>
          <w:marBottom w:val="0"/>
          <w:divBdr>
            <w:top w:val="none" w:sz="0" w:space="0" w:color="auto"/>
            <w:left w:val="none" w:sz="0" w:space="0" w:color="auto"/>
            <w:bottom w:val="none" w:sz="0" w:space="0" w:color="auto"/>
            <w:right w:val="none" w:sz="0" w:space="0" w:color="auto"/>
          </w:divBdr>
        </w:div>
        <w:div w:id="38163847">
          <w:marLeft w:val="0"/>
          <w:marRight w:val="0"/>
          <w:marTop w:val="0"/>
          <w:marBottom w:val="0"/>
          <w:divBdr>
            <w:top w:val="none" w:sz="0" w:space="0" w:color="auto"/>
            <w:left w:val="none" w:sz="0" w:space="0" w:color="auto"/>
            <w:bottom w:val="none" w:sz="0" w:space="0" w:color="auto"/>
            <w:right w:val="none" w:sz="0" w:space="0" w:color="auto"/>
          </w:divBdr>
        </w:div>
        <w:div w:id="1097479992">
          <w:marLeft w:val="0"/>
          <w:marRight w:val="0"/>
          <w:marTop w:val="0"/>
          <w:marBottom w:val="0"/>
          <w:divBdr>
            <w:top w:val="none" w:sz="0" w:space="0" w:color="auto"/>
            <w:left w:val="none" w:sz="0" w:space="0" w:color="auto"/>
            <w:bottom w:val="none" w:sz="0" w:space="0" w:color="auto"/>
            <w:right w:val="none" w:sz="0" w:space="0" w:color="auto"/>
          </w:divBdr>
        </w:div>
        <w:div w:id="120657702">
          <w:marLeft w:val="0"/>
          <w:marRight w:val="0"/>
          <w:marTop w:val="0"/>
          <w:marBottom w:val="0"/>
          <w:divBdr>
            <w:top w:val="none" w:sz="0" w:space="0" w:color="auto"/>
            <w:left w:val="none" w:sz="0" w:space="0" w:color="auto"/>
            <w:bottom w:val="none" w:sz="0" w:space="0" w:color="auto"/>
            <w:right w:val="none" w:sz="0" w:space="0" w:color="auto"/>
          </w:divBdr>
        </w:div>
        <w:div w:id="661590538">
          <w:marLeft w:val="0"/>
          <w:marRight w:val="0"/>
          <w:marTop w:val="0"/>
          <w:marBottom w:val="0"/>
          <w:divBdr>
            <w:top w:val="none" w:sz="0" w:space="0" w:color="auto"/>
            <w:left w:val="none" w:sz="0" w:space="0" w:color="auto"/>
            <w:bottom w:val="none" w:sz="0" w:space="0" w:color="auto"/>
            <w:right w:val="none" w:sz="0" w:space="0" w:color="auto"/>
          </w:divBdr>
        </w:div>
        <w:div w:id="468010612">
          <w:marLeft w:val="0"/>
          <w:marRight w:val="0"/>
          <w:marTop w:val="0"/>
          <w:marBottom w:val="0"/>
          <w:divBdr>
            <w:top w:val="none" w:sz="0" w:space="0" w:color="auto"/>
            <w:left w:val="none" w:sz="0" w:space="0" w:color="auto"/>
            <w:bottom w:val="none" w:sz="0" w:space="0" w:color="auto"/>
            <w:right w:val="none" w:sz="0" w:space="0" w:color="auto"/>
          </w:divBdr>
        </w:div>
        <w:div w:id="1780877935">
          <w:marLeft w:val="0"/>
          <w:marRight w:val="0"/>
          <w:marTop w:val="0"/>
          <w:marBottom w:val="0"/>
          <w:divBdr>
            <w:top w:val="none" w:sz="0" w:space="0" w:color="auto"/>
            <w:left w:val="none" w:sz="0" w:space="0" w:color="auto"/>
            <w:bottom w:val="none" w:sz="0" w:space="0" w:color="auto"/>
            <w:right w:val="none" w:sz="0" w:space="0" w:color="auto"/>
          </w:divBdr>
        </w:div>
        <w:div w:id="1534536629">
          <w:marLeft w:val="0"/>
          <w:marRight w:val="0"/>
          <w:marTop w:val="0"/>
          <w:marBottom w:val="0"/>
          <w:divBdr>
            <w:top w:val="none" w:sz="0" w:space="0" w:color="auto"/>
            <w:left w:val="none" w:sz="0" w:space="0" w:color="auto"/>
            <w:bottom w:val="none" w:sz="0" w:space="0" w:color="auto"/>
            <w:right w:val="none" w:sz="0" w:space="0" w:color="auto"/>
          </w:divBdr>
        </w:div>
        <w:div w:id="1642036428">
          <w:marLeft w:val="0"/>
          <w:marRight w:val="0"/>
          <w:marTop w:val="0"/>
          <w:marBottom w:val="0"/>
          <w:divBdr>
            <w:top w:val="none" w:sz="0" w:space="0" w:color="auto"/>
            <w:left w:val="none" w:sz="0" w:space="0" w:color="auto"/>
            <w:bottom w:val="none" w:sz="0" w:space="0" w:color="auto"/>
            <w:right w:val="none" w:sz="0" w:space="0" w:color="auto"/>
          </w:divBdr>
        </w:div>
        <w:div w:id="1254975905">
          <w:marLeft w:val="0"/>
          <w:marRight w:val="0"/>
          <w:marTop w:val="0"/>
          <w:marBottom w:val="0"/>
          <w:divBdr>
            <w:top w:val="none" w:sz="0" w:space="0" w:color="auto"/>
            <w:left w:val="none" w:sz="0" w:space="0" w:color="auto"/>
            <w:bottom w:val="none" w:sz="0" w:space="0" w:color="auto"/>
            <w:right w:val="none" w:sz="0" w:space="0" w:color="auto"/>
          </w:divBdr>
        </w:div>
        <w:div w:id="1651011666">
          <w:marLeft w:val="0"/>
          <w:marRight w:val="0"/>
          <w:marTop w:val="0"/>
          <w:marBottom w:val="0"/>
          <w:divBdr>
            <w:top w:val="none" w:sz="0" w:space="0" w:color="auto"/>
            <w:left w:val="none" w:sz="0" w:space="0" w:color="auto"/>
            <w:bottom w:val="none" w:sz="0" w:space="0" w:color="auto"/>
            <w:right w:val="none" w:sz="0" w:space="0" w:color="auto"/>
          </w:divBdr>
        </w:div>
        <w:div w:id="366026477">
          <w:marLeft w:val="0"/>
          <w:marRight w:val="0"/>
          <w:marTop w:val="0"/>
          <w:marBottom w:val="0"/>
          <w:divBdr>
            <w:top w:val="none" w:sz="0" w:space="0" w:color="auto"/>
            <w:left w:val="none" w:sz="0" w:space="0" w:color="auto"/>
            <w:bottom w:val="none" w:sz="0" w:space="0" w:color="auto"/>
            <w:right w:val="none" w:sz="0" w:space="0" w:color="auto"/>
          </w:divBdr>
        </w:div>
        <w:div w:id="232155831">
          <w:marLeft w:val="0"/>
          <w:marRight w:val="0"/>
          <w:marTop w:val="0"/>
          <w:marBottom w:val="0"/>
          <w:divBdr>
            <w:top w:val="none" w:sz="0" w:space="0" w:color="auto"/>
            <w:left w:val="none" w:sz="0" w:space="0" w:color="auto"/>
            <w:bottom w:val="none" w:sz="0" w:space="0" w:color="auto"/>
            <w:right w:val="none" w:sz="0" w:space="0" w:color="auto"/>
          </w:divBdr>
        </w:div>
        <w:div w:id="419107656">
          <w:marLeft w:val="0"/>
          <w:marRight w:val="0"/>
          <w:marTop w:val="0"/>
          <w:marBottom w:val="0"/>
          <w:divBdr>
            <w:top w:val="none" w:sz="0" w:space="0" w:color="auto"/>
            <w:left w:val="none" w:sz="0" w:space="0" w:color="auto"/>
            <w:bottom w:val="none" w:sz="0" w:space="0" w:color="auto"/>
            <w:right w:val="none" w:sz="0" w:space="0" w:color="auto"/>
          </w:divBdr>
        </w:div>
        <w:div w:id="1342587782">
          <w:marLeft w:val="0"/>
          <w:marRight w:val="0"/>
          <w:marTop w:val="0"/>
          <w:marBottom w:val="0"/>
          <w:divBdr>
            <w:top w:val="none" w:sz="0" w:space="0" w:color="auto"/>
            <w:left w:val="none" w:sz="0" w:space="0" w:color="auto"/>
            <w:bottom w:val="none" w:sz="0" w:space="0" w:color="auto"/>
            <w:right w:val="none" w:sz="0" w:space="0" w:color="auto"/>
          </w:divBdr>
        </w:div>
        <w:div w:id="227302648">
          <w:marLeft w:val="0"/>
          <w:marRight w:val="0"/>
          <w:marTop w:val="0"/>
          <w:marBottom w:val="0"/>
          <w:divBdr>
            <w:top w:val="none" w:sz="0" w:space="0" w:color="auto"/>
            <w:left w:val="none" w:sz="0" w:space="0" w:color="auto"/>
            <w:bottom w:val="none" w:sz="0" w:space="0" w:color="auto"/>
            <w:right w:val="none" w:sz="0" w:space="0" w:color="auto"/>
          </w:divBdr>
        </w:div>
        <w:div w:id="820345257">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526864672">
          <w:marLeft w:val="0"/>
          <w:marRight w:val="0"/>
          <w:marTop w:val="0"/>
          <w:marBottom w:val="0"/>
          <w:divBdr>
            <w:top w:val="none" w:sz="0" w:space="0" w:color="auto"/>
            <w:left w:val="none" w:sz="0" w:space="0" w:color="auto"/>
            <w:bottom w:val="none" w:sz="0" w:space="0" w:color="auto"/>
            <w:right w:val="none" w:sz="0" w:space="0" w:color="auto"/>
          </w:divBdr>
        </w:div>
        <w:div w:id="988745899">
          <w:marLeft w:val="0"/>
          <w:marRight w:val="0"/>
          <w:marTop w:val="0"/>
          <w:marBottom w:val="0"/>
          <w:divBdr>
            <w:top w:val="none" w:sz="0" w:space="0" w:color="auto"/>
            <w:left w:val="none" w:sz="0" w:space="0" w:color="auto"/>
            <w:bottom w:val="none" w:sz="0" w:space="0" w:color="auto"/>
            <w:right w:val="none" w:sz="0" w:space="0" w:color="auto"/>
          </w:divBdr>
        </w:div>
        <w:div w:id="2143499456">
          <w:marLeft w:val="0"/>
          <w:marRight w:val="0"/>
          <w:marTop w:val="0"/>
          <w:marBottom w:val="0"/>
          <w:divBdr>
            <w:top w:val="none" w:sz="0" w:space="0" w:color="auto"/>
            <w:left w:val="none" w:sz="0" w:space="0" w:color="auto"/>
            <w:bottom w:val="none" w:sz="0" w:space="0" w:color="auto"/>
            <w:right w:val="none" w:sz="0" w:space="0" w:color="auto"/>
          </w:divBdr>
        </w:div>
        <w:div w:id="1371149438">
          <w:marLeft w:val="0"/>
          <w:marRight w:val="0"/>
          <w:marTop w:val="0"/>
          <w:marBottom w:val="0"/>
          <w:divBdr>
            <w:top w:val="none" w:sz="0" w:space="0" w:color="auto"/>
            <w:left w:val="none" w:sz="0" w:space="0" w:color="auto"/>
            <w:bottom w:val="none" w:sz="0" w:space="0" w:color="auto"/>
            <w:right w:val="none" w:sz="0" w:space="0" w:color="auto"/>
          </w:divBdr>
        </w:div>
        <w:div w:id="943147187">
          <w:marLeft w:val="0"/>
          <w:marRight w:val="0"/>
          <w:marTop w:val="0"/>
          <w:marBottom w:val="0"/>
          <w:divBdr>
            <w:top w:val="none" w:sz="0" w:space="0" w:color="auto"/>
            <w:left w:val="none" w:sz="0" w:space="0" w:color="auto"/>
            <w:bottom w:val="none" w:sz="0" w:space="0" w:color="auto"/>
            <w:right w:val="none" w:sz="0" w:space="0" w:color="auto"/>
          </w:divBdr>
        </w:div>
        <w:div w:id="300697377">
          <w:marLeft w:val="0"/>
          <w:marRight w:val="0"/>
          <w:marTop w:val="0"/>
          <w:marBottom w:val="0"/>
          <w:divBdr>
            <w:top w:val="none" w:sz="0" w:space="0" w:color="auto"/>
            <w:left w:val="none" w:sz="0" w:space="0" w:color="auto"/>
            <w:bottom w:val="none" w:sz="0" w:space="0" w:color="auto"/>
            <w:right w:val="none" w:sz="0" w:space="0" w:color="auto"/>
          </w:divBdr>
        </w:div>
        <w:div w:id="1201432708">
          <w:marLeft w:val="0"/>
          <w:marRight w:val="0"/>
          <w:marTop w:val="0"/>
          <w:marBottom w:val="0"/>
          <w:divBdr>
            <w:top w:val="none" w:sz="0" w:space="0" w:color="auto"/>
            <w:left w:val="none" w:sz="0" w:space="0" w:color="auto"/>
            <w:bottom w:val="none" w:sz="0" w:space="0" w:color="auto"/>
            <w:right w:val="none" w:sz="0" w:space="0" w:color="auto"/>
          </w:divBdr>
        </w:div>
        <w:div w:id="965234222">
          <w:marLeft w:val="0"/>
          <w:marRight w:val="0"/>
          <w:marTop w:val="0"/>
          <w:marBottom w:val="0"/>
          <w:divBdr>
            <w:top w:val="none" w:sz="0" w:space="0" w:color="auto"/>
            <w:left w:val="none" w:sz="0" w:space="0" w:color="auto"/>
            <w:bottom w:val="none" w:sz="0" w:space="0" w:color="auto"/>
            <w:right w:val="none" w:sz="0" w:space="0" w:color="auto"/>
          </w:divBdr>
        </w:div>
      </w:divsChild>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8038">
          <w:marLeft w:val="0"/>
          <w:marRight w:val="0"/>
          <w:marTop w:val="0"/>
          <w:marBottom w:val="0"/>
          <w:divBdr>
            <w:top w:val="none" w:sz="0" w:space="0" w:color="auto"/>
            <w:left w:val="none" w:sz="0" w:space="0" w:color="auto"/>
            <w:bottom w:val="none" w:sz="0" w:space="0" w:color="auto"/>
            <w:right w:val="none" w:sz="0" w:space="0" w:color="auto"/>
          </w:divBdr>
          <w:divsChild>
            <w:div w:id="321666788">
              <w:marLeft w:val="0"/>
              <w:marRight w:val="0"/>
              <w:marTop w:val="0"/>
              <w:marBottom w:val="0"/>
              <w:divBdr>
                <w:top w:val="none" w:sz="0" w:space="0" w:color="auto"/>
                <w:left w:val="none" w:sz="0" w:space="0" w:color="auto"/>
                <w:bottom w:val="none" w:sz="0" w:space="0" w:color="auto"/>
                <w:right w:val="none" w:sz="0" w:space="0" w:color="auto"/>
              </w:divBdr>
              <w:divsChild>
                <w:div w:id="1500656614">
                  <w:marLeft w:val="0"/>
                  <w:marRight w:val="0"/>
                  <w:marTop w:val="0"/>
                  <w:marBottom w:val="0"/>
                  <w:divBdr>
                    <w:top w:val="none" w:sz="0" w:space="0" w:color="auto"/>
                    <w:left w:val="none" w:sz="0" w:space="0" w:color="auto"/>
                    <w:bottom w:val="none" w:sz="0" w:space="0" w:color="auto"/>
                    <w:right w:val="none" w:sz="0" w:space="0" w:color="auto"/>
                  </w:divBdr>
                  <w:divsChild>
                    <w:div w:id="1670906322">
                      <w:marLeft w:val="0"/>
                      <w:marRight w:val="0"/>
                      <w:marTop w:val="0"/>
                      <w:marBottom w:val="0"/>
                      <w:divBdr>
                        <w:top w:val="none" w:sz="0" w:space="0" w:color="auto"/>
                        <w:left w:val="none" w:sz="0" w:space="0" w:color="auto"/>
                        <w:bottom w:val="none" w:sz="0" w:space="0" w:color="auto"/>
                        <w:right w:val="none" w:sz="0" w:space="0" w:color="auto"/>
                      </w:divBdr>
                      <w:divsChild>
                        <w:div w:id="742725563">
                          <w:marLeft w:val="0"/>
                          <w:marRight w:val="0"/>
                          <w:marTop w:val="300"/>
                          <w:marBottom w:val="0"/>
                          <w:divBdr>
                            <w:top w:val="none" w:sz="0" w:space="0" w:color="auto"/>
                            <w:left w:val="none" w:sz="0" w:space="0" w:color="auto"/>
                            <w:bottom w:val="none" w:sz="0" w:space="0" w:color="auto"/>
                            <w:right w:val="none" w:sz="0" w:space="0" w:color="auto"/>
                          </w:divBdr>
                          <w:divsChild>
                            <w:div w:id="1947616836">
                              <w:marLeft w:val="0"/>
                              <w:marRight w:val="0"/>
                              <w:marTop w:val="480"/>
                              <w:marBottom w:val="240"/>
                              <w:divBdr>
                                <w:top w:val="none" w:sz="0" w:space="0" w:color="auto"/>
                                <w:left w:val="none" w:sz="0" w:space="0" w:color="auto"/>
                                <w:bottom w:val="none" w:sz="0" w:space="0" w:color="auto"/>
                                <w:right w:val="none" w:sz="0" w:space="0" w:color="auto"/>
                              </w:divBdr>
                            </w:div>
                            <w:div w:id="12719387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63709883">
      <w:bodyDiv w:val="1"/>
      <w:marLeft w:val="0"/>
      <w:marRight w:val="0"/>
      <w:marTop w:val="0"/>
      <w:marBottom w:val="0"/>
      <w:divBdr>
        <w:top w:val="none" w:sz="0" w:space="0" w:color="auto"/>
        <w:left w:val="none" w:sz="0" w:space="0" w:color="auto"/>
        <w:bottom w:val="none" w:sz="0" w:space="0" w:color="auto"/>
        <w:right w:val="none" w:sz="0" w:space="0" w:color="auto"/>
      </w:divBdr>
      <w:divsChild>
        <w:div w:id="1072855161">
          <w:marLeft w:val="0"/>
          <w:marRight w:val="0"/>
          <w:marTop w:val="0"/>
          <w:marBottom w:val="0"/>
          <w:divBdr>
            <w:top w:val="none" w:sz="0" w:space="0" w:color="auto"/>
            <w:left w:val="none" w:sz="0" w:space="0" w:color="auto"/>
            <w:bottom w:val="none" w:sz="0" w:space="0" w:color="auto"/>
            <w:right w:val="none" w:sz="0" w:space="0" w:color="auto"/>
          </w:divBdr>
        </w:div>
        <w:div w:id="1844396389">
          <w:marLeft w:val="0"/>
          <w:marRight w:val="0"/>
          <w:marTop w:val="0"/>
          <w:marBottom w:val="0"/>
          <w:divBdr>
            <w:top w:val="none" w:sz="0" w:space="0" w:color="auto"/>
            <w:left w:val="none" w:sz="0" w:space="0" w:color="auto"/>
            <w:bottom w:val="none" w:sz="0" w:space="0" w:color="auto"/>
            <w:right w:val="none" w:sz="0" w:space="0" w:color="auto"/>
          </w:divBdr>
        </w:div>
      </w:divsChild>
    </w:div>
    <w:div w:id="157412309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9352-8479-4628-B5E9-7501883F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1585</Words>
  <Characters>11302</Characters>
  <Application>Microsoft Office Word</Application>
  <DocSecurity>0</DocSecurity>
  <Lines>565</Lines>
  <Paragraphs>163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31.augusta noteikumos Nr.824 „Noteikumi par darbības programmas „Infrastruktūra un pakalpojumi” papildinājuma 3.5.2.1.1.apakšaktivitātes „Pasākumi centralizētās siltumapgādes sist</vt:lpstr>
    </vt:vector>
  </TitlesOfParts>
  <Company>LR Ekonomikas ministrija</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13</cp:revision>
  <cp:lastPrinted>2013-11-27T08:00:00Z</cp:lastPrinted>
  <dcterms:created xsi:type="dcterms:W3CDTF">2013-11-13T14:25:00Z</dcterms:created>
  <dcterms:modified xsi:type="dcterms:W3CDTF">2013-11-27T08:19:00Z</dcterms:modified>
</cp:coreProperties>
</file>