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02422B" w:rsidRDefault="007C4B41" w:rsidP="00AD3269">
      <w:pPr>
        <w:pStyle w:val="naislab"/>
        <w:spacing w:before="0" w:after="0"/>
        <w:jc w:val="center"/>
        <w:outlineLvl w:val="0"/>
        <w:rPr>
          <w:b/>
        </w:rPr>
      </w:pPr>
      <w:bookmarkStart w:id="0" w:name="_GoBack"/>
      <w:bookmarkEnd w:id="0"/>
      <w:r w:rsidRPr="0002422B">
        <w:rPr>
          <w:b/>
        </w:rPr>
        <w:t xml:space="preserve">Ministru kabineta noteikumu projekta „Grozījumi Ministru kabineta 2011.gada 29.novembra noteikumos Nr.914 </w:t>
      </w:r>
      <w:r w:rsidR="006A006B" w:rsidRPr="0002422B">
        <w:rPr>
          <w:b/>
        </w:rPr>
        <w:t>„</w:t>
      </w:r>
      <w:r w:rsidRPr="0002422B">
        <w:rPr>
          <w:b/>
        </w:rPr>
        <w:t>Elektroenerģijas tirdzniecības un lietošanas noteikumi</w:t>
      </w:r>
      <w:r w:rsidR="006A006B" w:rsidRPr="0002422B">
        <w:rPr>
          <w:b/>
        </w:rPr>
        <w:t>”</w:t>
      </w:r>
      <w:r w:rsidRPr="0002422B">
        <w:rPr>
          <w:b/>
        </w:rPr>
        <w:t xml:space="preserve">” </w:t>
      </w:r>
      <w:r w:rsidR="00047D0E" w:rsidRPr="0002422B">
        <w:rPr>
          <w:b/>
        </w:rPr>
        <w:t>tiesību akta projekta sākotnējās ietekmes novērtējuma ziņojums (anotācija)</w:t>
      </w: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74"/>
        <w:gridCol w:w="6520"/>
      </w:tblGrid>
      <w:tr w:rsidR="0002422B" w:rsidRPr="0002422B" w:rsidTr="00723DF2">
        <w:tc>
          <w:tcPr>
            <w:tcW w:w="9644" w:type="dxa"/>
            <w:gridSpan w:val="3"/>
            <w:vAlign w:val="center"/>
          </w:tcPr>
          <w:p w:rsidR="00852042" w:rsidRPr="0002422B" w:rsidRDefault="00852042" w:rsidP="006C4607">
            <w:pPr>
              <w:pStyle w:val="naisnod"/>
              <w:spacing w:before="0" w:after="0"/>
            </w:pPr>
            <w:r w:rsidRPr="0002422B">
              <w:t>I</w:t>
            </w:r>
            <w:r w:rsidR="000941C5" w:rsidRPr="0002422B">
              <w:t>.</w:t>
            </w:r>
            <w:r w:rsidRPr="0002422B">
              <w:t xml:space="preserve"> Tiesību akta </w:t>
            </w:r>
            <w:r w:rsidR="002E3FF4" w:rsidRPr="0002422B">
              <w:t xml:space="preserve">projekta </w:t>
            </w:r>
            <w:r w:rsidRPr="0002422B">
              <w:t>izstrādes nepieciešamība</w:t>
            </w:r>
          </w:p>
        </w:tc>
      </w:tr>
      <w:tr w:rsidR="0002422B" w:rsidRPr="0002422B" w:rsidTr="00242C36">
        <w:trPr>
          <w:trHeight w:val="630"/>
        </w:trPr>
        <w:tc>
          <w:tcPr>
            <w:tcW w:w="550" w:type="dxa"/>
          </w:tcPr>
          <w:p w:rsidR="00262E2B" w:rsidRPr="0002422B" w:rsidRDefault="00262E2B" w:rsidP="006C4607">
            <w:pPr>
              <w:pStyle w:val="naiskr"/>
              <w:spacing w:before="0" w:after="0"/>
            </w:pPr>
            <w:r w:rsidRPr="0002422B">
              <w:t>1.</w:t>
            </w:r>
          </w:p>
        </w:tc>
        <w:tc>
          <w:tcPr>
            <w:tcW w:w="2574" w:type="dxa"/>
          </w:tcPr>
          <w:p w:rsidR="00262E2B" w:rsidRPr="0002422B" w:rsidRDefault="002D7F54" w:rsidP="006C4607">
            <w:pPr>
              <w:pStyle w:val="naiskr"/>
              <w:spacing w:before="0" w:after="0"/>
              <w:ind w:hanging="10"/>
            </w:pPr>
            <w:r w:rsidRPr="0002422B">
              <w:t>Pamatojums</w:t>
            </w:r>
          </w:p>
        </w:tc>
        <w:tc>
          <w:tcPr>
            <w:tcW w:w="6520" w:type="dxa"/>
          </w:tcPr>
          <w:p w:rsidR="00F7524D" w:rsidRDefault="00F7524D" w:rsidP="0002422B">
            <w:pPr>
              <w:ind w:left="142" w:firstLine="567"/>
              <w:jc w:val="both"/>
            </w:pPr>
            <w:r w:rsidRPr="00C10465">
              <w:t xml:space="preserve">Ministru kabineta noteikumu projekts „Grozījumi Ministru kabineta 2011. gada 29. novembra noteikumos Nr.914 „Elektroenerģijas tirdzniecības un lietošanas noteikumi”” (turpmāk – noteikumu projekts) sagatavots atbilstoši Deklarācijas par Valda </w:t>
            </w:r>
            <w:proofErr w:type="spellStart"/>
            <w:r w:rsidRPr="00C10465">
              <w:t>Dombrovska</w:t>
            </w:r>
            <w:proofErr w:type="spellEnd"/>
            <w:r w:rsidRPr="00C10465">
              <w:t xml:space="preserve"> vadītā Ministru kabineta iecerēto darbību II nodaļas </w:t>
            </w:r>
            <w:r w:rsidRPr="00C10465">
              <w:rPr>
                <w:i/>
              </w:rPr>
              <w:t>Inovatīva un efektīva ekonomika</w:t>
            </w:r>
            <w:r w:rsidRPr="00C10465">
              <w:t xml:space="preserve"> apakšnodaļai </w:t>
            </w:r>
            <w:r w:rsidRPr="00C10465">
              <w:rPr>
                <w:i/>
              </w:rPr>
              <w:t>Enerģētika konkurētspējīgai ekonomikai</w:t>
            </w:r>
            <w:r w:rsidRPr="00C10465">
              <w:t xml:space="preserve"> un Valdības Rīcības plāna (MK 07.02.2012. sēde, </w:t>
            </w:r>
            <w:proofErr w:type="spellStart"/>
            <w:r w:rsidRPr="00C10465">
              <w:t>prot</w:t>
            </w:r>
            <w:proofErr w:type="spellEnd"/>
            <w:r w:rsidRPr="00C10465">
              <w:t>. Nr.7 §24) 62. punktam.</w:t>
            </w:r>
          </w:p>
          <w:p w:rsidR="002162DC" w:rsidRPr="0002422B" w:rsidRDefault="001C6018" w:rsidP="0002422B">
            <w:pPr>
              <w:ind w:left="142" w:firstLine="567"/>
              <w:jc w:val="both"/>
            </w:pPr>
            <w:r w:rsidRPr="0002422B">
              <w:t>„Grozījumi Ministru kabineta 2011.gada 29.novembra noteikumos Nr.914 „Elektroenerģijas tirdzniecības un lietošanas noteikumi””</w:t>
            </w:r>
            <w:r w:rsidR="00B64110" w:rsidRPr="0002422B">
              <w:t xml:space="preserve"> (turpmāk – grozījumi)</w:t>
            </w:r>
            <w:r w:rsidRPr="0002422B">
              <w:t xml:space="preserve"> ir </w:t>
            </w:r>
            <w:r w:rsidR="0013010B" w:rsidRPr="0002422B">
              <w:t xml:space="preserve">sagatavoti </w:t>
            </w:r>
            <w:r w:rsidR="00EC613F" w:rsidRPr="0002422B">
              <w:t>ņemot vērā plānoto</w:t>
            </w:r>
            <w:r w:rsidRPr="0002422B">
              <w:t xml:space="preserve"> el</w:t>
            </w:r>
            <w:r w:rsidR="00EC613F" w:rsidRPr="0002422B">
              <w:t xml:space="preserve">ektroenerģijas tirgus </w:t>
            </w:r>
            <w:r w:rsidR="00AB1B48" w:rsidRPr="0002422B">
              <w:t>liberalizācijas procesa pabeigšanu</w:t>
            </w:r>
            <w:r w:rsidR="00EC613F" w:rsidRPr="0002422B">
              <w:t>.</w:t>
            </w:r>
            <w:r w:rsidR="000C58E0" w:rsidRPr="0002422B">
              <w:t xml:space="preserve"> </w:t>
            </w:r>
            <w:r w:rsidR="00AB1B48" w:rsidRPr="0002422B">
              <w:t xml:space="preserve">  </w:t>
            </w:r>
          </w:p>
          <w:p w:rsidR="0013010B" w:rsidRPr="0002422B" w:rsidRDefault="00AB1B48" w:rsidP="0002422B">
            <w:pPr>
              <w:ind w:left="142" w:firstLine="567"/>
              <w:jc w:val="both"/>
            </w:pPr>
            <w:r w:rsidRPr="0002422B">
              <w:t xml:space="preserve">Izmaiņas Elektroenerģijas tirgus likumā, kas šobrīd tiek izskatītas </w:t>
            </w:r>
            <w:r w:rsidR="0052318C" w:rsidRPr="0002422B">
              <w:t>tiesību aktu paketes par 2014.gada valsts budžetu ietvaros, paredz, ka pilnīga t</w:t>
            </w:r>
            <w:r w:rsidR="000C58E0" w:rsidRPr="0002422B">
              <w:t xml:space="preserve">irgus </w:t>
            </w:r>
            <w:r w:rsidR="0052318C" w:rsidRPr="0002422B">
              <w:t xml:space="preserve">liberalizācija ir plānota </w:t>
            </w:r>
            <w:r w:rsidR="001C6018" w:rsidRPr="0002422B">
              <w:t xml:space="preserve">no 2014.gada 1.aprīļa. </w:t>
            </w:r>
          </w:p>
          <w:p w:rsidR="002D2C74" w:rsidRPr="0002422B" w:rsidRDefault="00E40DCA" w:rsidP="00C27C58">
            <w:pPr>
              <w:ind w:left="142" w:firstLine="567"/>
              <w:jc w:val="both"/>
            </w:pPr>
            <w:r w:rsidRPr="0002422B">
              <w:t>Šob</w:t>
            </w:r>
            <w:r w:rsidR="00C40525" w:rsidRPr="0002422B">
              <w:t>rīd</w:t>
            </w:r>
            <w:r w:rsidR="00B12C80" w:rsidRPr="0002422B">
              <w:t>,</w:t>
            </w:r>
            <w:r w:rsidR="00413FF5" w:rsidRPr="0002422B">
              <w:t xml:space="preserve"> pastāvot </w:t>
            </w:r>
            <w:proofErr w:type="spellStart"/>
            <w:r w:rsidR="00413FF5" w:rsidRPr="0002422B">
              <w:t>pašdeklarēšanās</w:t>
            </w:r>
            <w:proofErr w:type="spellEnd"/>
            <w:r w:rsidR="00413FF5" w:rsidRPr="0002422B">
              <w:t xml:space="preserve"> metodei</w:t>
            </w:r>
            <w:r w:rsidR="00B12C80" w:rsidRPr="0002422B">
              <w:t>,</w:t>
            </w:r>
            <w:r w:rsidR="00413FF5" w:rsidRPr="0002422B">
              <w:t xml:space="preserve"> tirgotājs informāciju par patēriņu iegūst, tikai tad, ja lietotājs norēķinu periodā deklarē</w:t>
            </w:r>
            <w:r w:rsidR="00303B83" w:rsidRPr="0002422B">
              <w:t xml:space="preserve"> elektroenerģijas patēriņu</w:t>
            </w:r>
            <w:r w:rsidR="00413FF5" w:rsidRPr="0002422B">
              <w:t xml:space="preserve"> un to apmaksā</w:t>
            </w:r>
            <w:r w:rsidR="00303B83" w:rsidRPr="0002422B">
              <w:t xml:space="preserve">. Ja lietotājs </w:t>
            </w:r>
            <w:r w:rsidRPr="0002422B">
              <w:t>norēķinu periodā patēriņu sistēmas operatoram nedeklarē, tad gan sistēmas operatoram, gan tirgotājam ir jāpieņem, ka objektā patēriņa nav bijis, lai gan pastāv situācija, ka lietotājs ir patiesībā elektroenerģiju ir patērēji</w:t>
            </w:r>
            <w:r w:rsidR="00042A07" w:rsidRPr="0002422B">
              <w:t>s</w:t>
            </w:r>
            <w:r w:rsidRPr="0002422B">
              <w:t>, bet par to nav ziņojis.</w:t>
            </w:r>
            <w:r w:rsidR="007B16DB" w:rsidRPr="0002422B">
              <w:t xml:space="preserve"> </w:t>
            </w:r>
            <w:r w:rsidR="001C6018" w:rsidRPr="0002422B">
              <w:t>Informācijas plūsma no tirgotāja uz sadales sistēmas operatoru, ir iespējama tikai monopola tirgus apstākļos, kur vienīgais tirgotājs ir vertikāli integrēta komersanta sastāvdaļa</w:t>
            </w:r>
            <w:r w:rsidR="00B12C80" w:rsidRPr="0002422B">
              <w:t xml:space="preserve"> (saskaņā ar Elektroenerģijas tirgus likuma 33.pantu publiskā tirgotāja pienākums ir  piegādāt elektroenerģiju visiem saistītajiem lietotājiem visā Latvijas teritorijā)</w:t>
            </w:r>
            <w:r w:rsidR="001C6018" w:rsidRPr="0002422B">
              <w:t>. Tādēļ mainot tirgus modeli, jāmainās arī ir informācijas apmaiņas procesam.</w:t>
            </w:r>
          </w:p>
          <w:p w:rsidR="00317A72" w:rsidRPr="0002422B" w:rsidRDefault="00317A72" w:rsidP="00C27C58">
            <w:pPr>
              <w:ind w:left="142" w:firstLine="567"/>
              <w:jc w:val="both"/>
            </w:pPr>
            <w:r w:rsidRPr="0002422B">
              <w:t>Nemainot norēķinu sistēmu principus un metodes tirgus modelis nedarbosies efektīvi un var radīt šķēršļus tirgotājiem un sistēmas operatoriem.</w:t>
            </w:r>
          </w:p>
          <w:p w:rsidR="002760D6" w:rsidRPr="0002422B" w:rsidRDefault="00AF7850" w:rsidP="00D06C80">
            <w:pPr>
              <w:ind w:left="102" w:firstLine="567"/>
              <w:jc w:val="both"/>
            </w:pPr>
            <w:r w:rsidRPr="0002422B">
              <w:t xml:space="preserve">Elektroenerģijas tirgus atvēršana un ar to saistīto pasākumu ieviešana </w:t>
            </w:r>
            <w:r w:rsidR="00B64110" w:rsidRPr="0002422B">
              <w:t>sekmē</w:t>
            </w:r>
            <w:r w:rsidR="007266D3" w:rsidRPr="0002422B">
              <w:t xml:space="preserve"> Baltijas enerģētikas tirgus </w:t>
            </w:r>
            <w:proofErr w:type="spellStart"/>
            <w:r w:rsidR="007266D3" w:rsidRPr="0002422B">
              <w:t>starpsavienojumu</w:t>
            </w:r>
            <w:proofErr w:type="spellEnd"/>
            <w:r w:rsidR="007266D3" w:rsidRPr="0002422B">
              <w:t xml:space="preserve"> plāna (turpmāk - BEMIP) rīcības plāna, kas tik apstiprināts, Latvijai un septiņām citām Baltijas jūras reģiona dalībvalstīm </w:t>
            </w:r>
            <w:r w:rsidR="002760D6" w:rsidRPr="0002422B">
              <w:t>2009.gada 17.jūnijā</w:t>
            </w:r>
            <w:r w:rsidRPr="0002422B">
              <w:t>,</w:t>
            </w:r>
            <w:r w:rsidR="002760D6" w:rsidRPr="0002422B">
              <w:t xml:space="preserve"> paraksto</w:t>
            </w:r>
            <w:r w:rsidR="007266D3" w:rsidRPr="0002422B">
              <w:t>t</w:t>
            </w:r>
            <w:r w:rsidR="002760D6" w:rsidRPr="0002422B">
              <w:t xml:space="preserve"> saprašanās memorand</w:t>
            </w:r>
            <w:r w:rsidR="007266D3" w:rsidRPr="0002422B">
              <w:t xml:space="preserve">u  </w:t>
            </w:r>
            <w:r w:rsidR="002760D6" w:rsidRPr="0002422B">
              <w:t>ar Eiropas Komisiju</w:t>
            </w:r>
            <w:r w:rsidRPr="0002422B">
              <w:t>, īstenošanu</w:t>
            </w:r>
            <w:r w:rsidR="007266D3" w:rsidRPr="0002422B">
              <w:t>.</w:t>
            </w:r>
            <w:r w:rsidR="002760D6" w:rsidRPr="0002422B">
              <w:t xml:space="preserve"> </w:t>
            </w:r>
            <w:r w:rsidR="007266D3" w:rsidRPr="0002422B">
              <w:t xml:space="preserve">BEMIP rīcības plāns paredz Baltijas valstīm veikt  saskaņotas darbības, lai izveidotu pilnīgi funkcionējošu un integrētu elektroenerģijas tirgu, to balstot uz Ziemeļvalstu elektroenerģijas tirgus modeli. Viens no BEMIP rīcības plāna uzdevumiem ir pakāpeniska Baltijas valstu iekšējo elektroenerģijas tirgu atvēršana, cita starpā paredzot arī regulētu elektroenerģijas tarifu  atcelšanu saistītajiem  elektroenerģijas lietotājiem, tostarp mājsaimniecībām, lai tās varētu izvēlēties sev </w:t>
            </w:r>
            <w:r w:rsidR="007266D3" w:rsidRPr="0002422B">
              <w:lastRenderedPageBreak/>
              <w:t>piemērotu elektroenerģijas piegādātāju konkurētspējīgā elektroenerģijas tirgū. Līdz šim elektroenerģijas tirgus atvēršana Latvijā ir veiksmīgi noritējusi trīs posmos, tirgū iesaistot visus Latvijas elektroenerģijas lietotāj</w:t>
            </w:r>
            <w:r w:rsidR="00694078" w:rsidRPr="0002422B">
              <w:t>us</w:t>
            </w:r>
            <w:r w:rsidRPr="0002422B">
              <w:t>,</w:t>
            </w:r>
            <w:r w:rsidR="00694078" w:rsidRPr="0002422B">
              <w:t xml:space="preserve"> izņemot mājsaimniecības</w:t>
            </w:r>
            <w:r w:rsidRPr="0002422B">
              <w:t xml:space="preserve"> un pārējos saistītos lietotājus</w:t>
            </w:r>
            <w:r w:rsidR="00694078" w:rsidRPr="0002422B">
              <w:t>.</w:t>
            </w:r>
          </w:p>
          <w:p w:rsidR="00B67F0F" w:rsidRPr="0002422B" w:rsidRDefault="002760D6" w:rsidP="00317A72">
            <w:pPr>
              <w:ind w:left="102" w:firstLine="567"/>
              <w:jc w:val="both"/>
            </w:pPr>
            <w:r w:rsidRPr="0002422B">
              <w:t>L</w:t>
            </w:r>
            <w:r w:rsidR="00291309" w:rsidRPr="0002422B">
              <w:t xml:space="preserve">ai </w:t>
            </w:r>
            <w:r w:rsidR="00B64110" w:rsidRPr="0002422B">
              <w:t xml:space="preserve">nodrošinātu  saistīto lietotāju izpratni par atvērta elektroenerģijas tirgus darbību un pakāpeniskumu tirgus atvēršanu,  </w:t>
            </w:r>
            <w:r w:rsidR="00291309" w:rsidRPr="0002422B">
              <w:t xml:space="preserve">saistītajiem lietotājiem </w:t>
            </w:r>
            <w:r w:rsidR="00B64110" w:rsidRPr="0002422B">
              <w:t xml:space="preserve">tiek veikta </w:t>
            </w:r>
            <w:r w:rsidR="00291309" w:rsidRPr="0002422B">
              <w:t>pārej</w:t>
            </w:r>
            <w:r w:rsidR="00B64110" w:rsidRPr="0002422B">
              <w:t>a</w:t>
            </w:r>
            <w:r w:rsidR="00291309" w:rsidRPr="0002422B">
              <w:t xml:space="preserve"> no </w:t>
            </w:r>
            <w:r w:rsidR="00B64110" w:rsidRPr="0002422B">
              <w:t xml:space="preserve">norēķinu veidiem , kādi tiek piemēroti regulētu </w:t>
            </w:r>
            <w:r w:rsidR="00291309" w:rsidRPr="0002422B">
              <w:t>elektroenerģijas</w:t>
            </w:r>
            <w:r w:rsidR="008713E8" w:rsidRPr="0002422B">
              <w:t xml:space="preserve"> </w:t>
            </w:r>
            <w:r w:rsidR="00B64110" w:rsidRPr="0002422B">
              <w:t xml:space="preserve">tarifu gadījumā </w:t>
            </w:r>
            <w:r w:rsidR="00291309" w:rsidRPr="0002422B">
              <w:t xml:space="preserve">uz </w:t>
            </w:r>
            <w:r w:rsidR="00B64110" w:rsidRPr="0002422B">
              <w:t xml:space="preserve">norēķinu veidiem, kādi tiek piemēroti, pastāvot brīvam elektroenerģijas </w:t>
            </w:r>
            <w:r w:rsidR="00291309" w:rsidRPr="0002422B">
              <w:t>tirgu</w:t>
            </w:r>
            <w:r w:rsidR="00B64110" w:rsidRPr="0002422B">
              <w:t>m</w:t>
            </w:r>
            <w:r w:rsidR="00114CD2" w:rsidRPr="0002422B">
              <w:t xml:space="preserve">, tas ir </w:t>
            </w:r>
            <w:r w:rsidR="00B67F0F" w:rsidRPr="0002422B">
              <w:t xml:space="preserve"> veicot izlīdzināto maksājumu vai  apmaksājot saņemtos rēķinus.</w:t>
            </w:r>
          </w:p>
          <w:p w:rsidR="001C6018" w:rsidRPr="0002422B" w:rsidRDefault="00114CD2" w:rsidP="00317A72">
            <w:pPr>
              <w:ind w:left="102" w:firstLine="567"/>
              <w:jc w:val="both"/>
            </w:pPr>
            <w:r w:rsidRPr="0002422B">
              <w:t>Turklāt i</w:t>
            </w:r>
            <w:r w:rsidR="00D06C80" w:rsidRPr="0002422B">
              <w:t xml:space="preserve">zlīdzinātā maksājuma ieviešana vienkāršo norēķinu kārtību maksājumiem par elektroenerģiju, jo </w:t>
            </w:r>
            <w:r w:rsidR="00462D4D" w:rsidRPr="0002422B">
              <w:t xml:space="preserve">mājsaimniecības </w:t>
            </w:r>
            <w:r w:rsidR="00D06C80" w:rsidRPr="0002422B">
              <w:t>lietotājam n</w:t>
            </w:r>
            <w:r w:rsidR="007266D3" w:rsidRPr="0002422B">
              <w:t>av</w:t>
            </w:r>
            <w:r w:rsidR="00D06C80" w:rsidRPr="0002422B">
              <w:t xml:space="preserve"> katru mēnesi </w:t>
            </w:r>
            <w:r w:rsidR="00462D4D" w:rsidRPr="0002422B">
              <w:t xml:space="preserve">jāaprēķina maksājamās summas apmērus, balsoties uz paša nolasīto </w:t>
            </w:r>
            <w:proofErr w:type="spellStart"/>
            <w:r w:rsidR="007303FB" w:rsidRPr="0002422B">
              <w:t>komercuzskaites</w:t>
            </w:r>
            <w:proofErr w:type="spellEnd"/>
            <w:r w:rsidR="007303FB" w:rsidRPr="0002422B">
              <w:t xml:space="preserve"> mēraparāta</w:t>
            </w:r>
            <w:r w:rsidR="00462D4D" w:rsidRPr="0002422B">
              <w:t xml:space="preserve"> rādījumu</w:t>
            </w:r>
            <w:r w:rsidR="00986748" w:rsidRPr="0002422B">
              <w:t xml:space="preserve"> un </w:t>
            </w:r>
            <w:r w:rsidR="00462D4D" w:rsidRPr="0002422B">
              <w:t>spēkā esošo tarifu</w:t>
            </w:r>
            <w:r w:rsidR="00D06C80" w:rsidRPr="0002422B">
              <w:t>. Šād</w:t>
            </w:r>
            <w:r w:rsidR="007266D3" w:rsidRPr="0002422B">
              <w:t>s</w:t>
            </w:r>
            <w:r w:rsidR="00D06C80" w:rsidRPr="0002422B">
              <w:t xml:space="preserve"> maksājum</w:t>
            </w:r>
            <w:r w:rsidR="007266D3" w:rsidRPr="0002422B">
              <w:t>s</w:t>
            </w:r>
            <w:r w:rsidR="008713E8" w:rsidRPr="0002422B">
              <w:t xml:space="preserve"> </w:t>
            </w:r>
            <w:r w:rsidR="00A25D54" w:rsidRPr="0002422B">
              <w:t xml:space="preserve"> nodrošina</w:t>
            </w:r>
            <w:r w:rsidR="00D06C80" w:rsidRPr="0002422B">
              <w:t xml:space="preserve">, ka </w:t>
            </w:r>
            <w:r w:rsidR="00317A72" w:rsidRPr="0002422B">
              <w:t>lietotājiem apmaksai tiks paredzēta</w:t>
            </w:r>
            <w:r w:rsidR="00D06C80" w:rsidRPr="0002422B">
              <w:t xml:space="preserve"> </w:t>
            </w:r>
            <w:r w:rsidR="001C6018" w:rsidRPr="0002422B">
              <w:t xml:space="preserve"> v</w:t>
            </w:r>
            <w:r w:rsidR="00317A72" w:rsidRPr="0002422B">
              <w:t>ienāda maksājuma summa</w:t>
            </w:r>
            <w:r w:rsidR="001C6018" w:rsidRPr="0002422B">
              <w:t xml:space="preserve"> bez sezonālajām svārstībām un lielākiem maksājumiem par elektroenerģijas patēriņa pīķa periodiem, kas ierasti sakrīt arī ar citu pakalpojumu maksimumiem (siltumenerģijas pakalpojumi).</w:t>
            </w:r>
            <w:r w:rsidR="00317A72" w:rsidRPr="0002422B">
              <w:t xml:space="preserve"> </w:t>
            </w:r>
            <w:r w:rsidR="00B67F0F" w:rsidRPr="0002422B">
              <w:t>Tas</w:t>
            </w:r>
            <w:r w:rsidR="00317A72" w:rsidRPr="0002422B">
              <w:t xml:space="preserve"> atvieglotu</w:t>
            </w:r>
            <w:r w:rsidR="001C6018" w:rsidRPr="0002422B">
              <w:t xml:space="preserve"> mājsaimniecības budžeta plānošana</w:t>
            </w:r>
            <w:r w:rsidR="00317A72" w:rsidRPr="0002422B">
              <w:t>s procesu</w:t>
            </w:r>
            <w:r w:rsidR="001C6018" w:rsidRPr="0002422B">
              <w:t>, jau iepriekš zinot, cik</w:t>
            </w:r>
            <w:r w:rsidR="00317A72" w:rsidRPr="0002422B">
              <w:t xml:space="preserve"> lietotājam</w:t>
            </w:r>
            <w:r w:rsidR="001C6018" w:rsidRPr="0002422B">
              <w:t xml:space="preserve"> vajadzēs maksāt par elektroenerģiju</w:t>
            </w:r>
            <w:r w:rsidR="00317A72" w:rsidRPr="0002422B">
              <w:t xml:space="preserve">. </w:t>
            </w:r>
          </w:p>
          <w:p w:rsidR="00A635D1" w:rsidRPr="0002422B" w:rsidRDefault="00A635D1" w:rsidP="00CD1D0E">
            <w:pPr>
              <w:ind w:left="102" w:firstLine="567"/>
              <w:jc w:val="both"/>
            </w:pPr>
          </w:p>
        </w:tc>
      </w:tr>
      <w:tr w:rsidR="0002422B" w:rsidRPr="0002422B" w:rsidTr="00242C36">
        <w:trPr>
          <w:trHeight w:val="472"/>
        </w:trPr>
        <w:tc>
          <w:tcPr>
            <w:tcW w:w="550" w:type="dxa"/>
          </w:tcPr>
          <w:p w:rsidR="00262E2B" w:rsidRPr="0002422B" w:rsidRDefault="00262E2B" w:rsidP="006C4607">
            <w:pPr>
              <w:pStyle w:val="naiskr"/>
              <w:spacing w:before="0" w:after="0"/>
            </w:pPr>
            <w:r w:rsidRPr="0002422B">
              <w:lastRenderedPageBreak/>
              <w:t>2.</w:t>
            </w:r>
          </w:p>
        </w:tc>
        <w:tc>
          <w:tcPr>
            <w:tcW w:w="2574" w:type="dxa"/>
          </w:tcPr>
          <w:p w:rsidR="00262E2B" w:rsidRPr="0002422B" w:rsidRDefault="00262E2B" w:rsidP="006C4607">
            <w:pPr>
              <w:pStyle w:val="naiskr"/>
              <w:tabs>
                <w:tab w:val="left" w:pos="170"/>
              </w:tabs>
              <w:spacing w:before="0" w:after="0"/>
            </w:pPr>
            <w:r w:rsidRPr="0002422B">
              <w:t>Pašreizējā situācija</w:t>
            </w:r>
            <w:r w:rsidR="001F5CD6" w:rsidRPr="0002422B">
              <w:t xml:space="preserve"> un problēmas</w:t>
            </w:r>
          </w:p>
        </w:tc>
        <w:tc>
          <w:tcPr>
            <w:tcW w:w="6520" w:type="dxa"/>
          </w:tcPr>
          <w:p w:rsidR="00291309" w:rsidRPr="0002422B" w:rsidRDefault="00E32746" w:rsidP="00CD1D0E">
            <w:pPr>
              <w:spacing w:after="60"/>
              <w:ind w:left="102" w:firstLine="607"/>
              <w:jc w:val="both"/>
            </w:pPr>
            <w:r w:rsidRPr="0002422B">
              <w:t>Pašlaik</w:t>
            </w:r>
            <w:r w:rsidR="00291309" w:rsidRPr="0002422B">
              <w:t xml:space="preserve"> Ministru kabineta </w:t>
            </w:r>
            <w:r w:rsidR="00C0619F" w:rsidRPr="0002422B">
              <w:t>2011. gada 29. novembra noteikumu</w:t>
            </w:r>
            <w:r w:rsidR="00291309" w:rsidRPr="0002422B">
              <w:t xml:space="preserve"> Nr.914 „Elektroenerģijas tirdzniecības un lietošanas noteikumi” </w:t>
            </w:r>
            <w:r w:rsidR="00291309" w:rsidRPr="0002422B">
              <w:rPr>
                <w:bCs/>
              </w:rPr>
              <w:t xml:space="preserve">(turpmāk - MK noteikumi Nr.914) </w:t>
            </w:r>
            <w:r w:rsidR="00291309" w:rsidRPr="0002422B">
              <w:t>21.punkts paredz, ka</w:t>
            </w:r>
            <w:r w:rsidRPr="0002422B">
              <w:t>,</w:t>
            </w:r>
            <w:r w:rsidR="00291309" w:rsidRPr="0002422B">
              <w:t xml:space="preserve"> vienojoties ar publisko tirgotāju</w:t>
            </w:r>
            <w:r w:rsidRPr="0002422B">
              <w:t>,</w:t>
            </w:r>
            <w:r w:rsidR="00291309" w:rsidRPr="0002422B">
              <w:t xml:space="preserve"> </w:t>
            </w:r>
            <w:r w:rsidR="006F6E2A" w:rsidRPr="0002422B">
              <w:t>saistītais</w:t>
            </w:r>
            <w:r w:rsidR="00291309" w:rsidRPr="0002422B">
              <w:t xml:space="preserve"> lietotājs par pat</w:t>
            </w:r>
            <w:r w:rsidR="00CD1D0E" w:rsidRPr="0002422B">
              <w:t>ērēto elektroenerģiju norēķinās:</w:t>
            </w:r>
            <w:r w:rsidR="00291309" w:rsidRPr="0002422B">
              <w:t xml:space="preserve"> </w:t>
            </w:r>
            <w:r w:rsidR="006F6E2A" w:rsidRPr="0002422B">
              <w:t xml:space="preserve">apmaksājot aprēķinātu naudas summu, kas </w:t>
            </w:r>
            <w:r w:rsidR="00B67F0F" w:rsidRPr="0002422B">
              <w:t xml:space="preserve">tiek noteikta lietotāja </w:t>
            </w:r>
            <w:r w:rsidR="00291309" w:rsidRPr="0002422B">
              <w:t>nolas</w:t>
            </w:r>
            <w:r w:rsidR="00B67F0F" w:rsidRPr="0002422B">
              <w:t>īto</w:t>
            </w:r>
            <w:r w:rsidR="00291309" w:rsidRPr="0002422B">
              <w:t xml:space="preserve"> skaitītāja rādījumu </w:t>
            </w:r>
            <w:r w:rsidR="00B67F0F" w:rsidRPr="0002422B">
              <w:t xml:space="preserve"> par mēnesī patērēto elektroenerģiju</w:t>
            </w:r>
            <w:r w:rsidR="006F6E2A" w:rsidRPr="0002422B">
              <w:t xml:space="preserve"> reizinot ar spēkā esošo tarifu</w:t>
            </w:r>
            <w:r w:rsidR="00291309" w:rsidRPr="0002422B">
              <w:t xml:space="preserve"> (</w:t>
            </w:r>
            <w:proofErr w:type="spellStart"/>
            <w:r w:rsidR="00291309" w:rsidRPr="0002422B">
              <w:t>pašdeklarēšanās</w:t>
            </w:r>
            <w:proofErr w:type="spellEnd"/>
            <w:r w:rsidR="00291309" w:rsidRPr="0002422B">
              <w:t xml:space="preserve"> metode), veicot izlīdzināto maksājumu, apmaksājot saņemto rēķinu vai veicot priekšapmaksu. </w:t>
            </w:r>
          </w:p>
          <w:p w:rsidR="001B5C48" w:rsidRPr="0002422B" w:rsidRDefault="00291309" w:rsidP="00291309">
            <w:pPr>
              <w:autoSpaceDE w:val="0"/>
              <w:autoSpaceDN w:val="0"/>
              <w:adjustRightInd w:val="0"/>
              <w:spacing w:after="60"/>
              <w:ind w:left="102" w:firstLine="567"/>
              <w:jc w:val="both"/>
            </w:pPr>
            <w:r w:rsidRPr="0002422B">
              <w:t xml:space="preserve">Šobrīd lielākā daļa saistīto lietotāju norēķiniem izmanto </w:t>
            </w:r>
            <w:proofErr w:type="spellStart"/>
            <w:r w:rsidRPr="0002422B">
              <w:t>pašdeklarēšanās</w:t>
            </w:r>
            <w:proofErr w:type="spellEnd"/>
            <w:r w:rsidRPr="0002422B">
              <w:t xml:space="preserve"> metodi (vairāk kā 90%), </w:t>
            </w:r>
            <w:r w:rsidR="00E32746" w:rsidRPr="0002422B">
              <w:t>proti,</w:t>
            </w:r>
            <w:r w:rsidRPr="0002422B">
              <w:t xml:space="preserve"> </w:t>
            </w:r>
            <w:r w:rsidR="00593262" w:rsidRPr="0002422B">
              <w:t>Plaši pielietotā</w:t>
            </w:r>
            <w:r w:rsidRPr="0002422B">
              <w:t xml:space="preserve"> </w:t>
            </w:r>
            <w:proofErr w:type="spellStart"/>
            <w:r w:rsidRPr="0002422B">
              <w:t>pašdeklarēšanās</w:t>
            </w:r>
            <w:proofErr w:type="spellEnd"/>
            <w:r w:rsidRPr="0002422B">
              <w:t xml:space="preserve"> </w:t>
            </w:r>
            <w:r w:rsidR="00593262" w:rsidRPr="0002422B">
              <w:t>metode nereti ir iemesls ievērojamu pārmaksu vai parādu uzkrājumiem, klientiem nepareizi nolasot skaitītāja rādījumus vai arī piemērojot spēkā neesošus tarifus, radot zaudējumus gan</w:t>
            </w:r>
            <w:r w:rsidRPr="0002422B">
              <w:t xml:space="preserve"> publiskajam tirgotājam </w:t>
            </w:r>
            <w:r w:rsidR="00593262" w:rsidRPr="0002422B">
              <w:t>un sadales sistēmas operatoram, gan arī lietotājiem</w:t>
            </w:r>
            <w:r w:rsidRPr="0002422B">
              <w:t>.</w:t>
            </w:r>
            <w:r w:rsidR="00593262" w:rsidRPr="0002422B">
              <w:t xml:space="preserve">  </w:t>
            </w:r>
          </w:p>
          <w:p w:rsidR="00291309" w:rsidRPr="0002422B" w:rsidRDefault="00593262" w:rsidP="00291309">
            <w:pPr>
              <w:autoSpaceDE w:val="0"/>
              <w:autoSpaceDN w:val="0"/>
              <w:adjustRightInd w:val="0"/>
              <w:spacing w:after="60"/>
              <w:ind w:left="102" w:firstLine="567"/>
              <w:jc w:val="both"/>
            </w:pPr>
            <w:proofErr w:type="spellStart"/>
            <w:r w:rsidRPr="0002422B">
              <w:t>P</w:t>
            </w:r>
            <w:r w:rsidR="00291309" w:rsidRPr="0002422B">
              <w:t>ašdeklarēšanās</w:t>
            </w:r>
            <w:proofErr w:type="spellEnd"/>
            <w:r w:rsidR="00291309" w:rsidRPr="0002422B">
              <w:t xml:space="preserve"> metod</w:t>
            </w:r>
            <w:r w:rsidR="00E32746" w:rsidRPr="0002422B">
              <w:t>e neļauj</w:t>
            </w:r>
            <w:r w:rsidR="00291309" w:rsidRPr="0002422B">
              <w:t xml:space="preserve"> </w:t>
            </w:r>
            <w:r w:rsidRPr="0002422B">
              <w:t xml:space="preserve">arī </w:t>
            </w:r>
            <w:r w:rsidR="00291309" w:rsidRPr="0002422B">
              <w:t xml:space="preserve">publiskajam tirgotājam </w:t>
            </w:r>
            <w:r w:rsidRPr="0002422B">
              <w:t>uzrādīt</w:t>
            </w:r>
            <w:r w:rsidR="00291309" w:rsidRPr="0002422B">
              <w:t xml:space="preserve"> lietotājam </w:t>
            </w:r>
            <w:r w:rsidR="00E32746" w:rsidRPr="0002422B">
              <w:t>sadalīt</w:t>
            </w:r>
            <w:r w:rsidRPr="0002422B">
              <w:t>u</w:t>
            </w:r>
            <w:r w:rsidR="00E32746" w:rsidRPr="0002422B">
              <w:t xml:space="preserve"> </w:t>
            </w:r>
            <w:r w:rsidR="00291309" w:rsidRPr="0002422B">
              <w:t>lietotāja ikmēneša maksājumu sastāvdaļā</w:t>
            </w:r>
            <w:r w:rsidR="00E32746" w:rsidRPr="0002422B">
              <w:t>s</w:t>
            </w:r>
            <w:r w:rsidR="00291309" w:rsidRPr="0002422B">
              <w:t xml:space="preserve">, tā atspoguļojot katras sastāvdaļās cenu, jo lietotājs deklarē </w:t>
            </w:r>
            <w:r w:rsidRPr="0002422B">
              <w:t xml:space="preserve">maksājamo summu </w:t>
            </w:r>
            <w:r w:rsidR="00291309" w:rsidRPr="0002422B">
              <w:t>vienpusēji</w:t>
            </w:r>
            <w:r w:rsidRPr="0002422B">
              <w:t xml:space="preserve">, </w:t>
            </w:r>
            <w:r w:rsidR="00291309" w:rsidRPr="0002422B">
              <w:t>veic</w:t>
            </w:r>
            <w:r w:rsidRPr="0002422B">
              <w:t>ot</w:t>
            </w:r>
            <w:r w:rsidR="00291309" w:rsidRPr="0002422B">
              <w:t xml:space="preserve"> norēķinu.</w:t>
            </w:r>
            <w:r w:rsidRPr="0002422B">
              <w:t xml:space="preserve"> </w:t>
            </w:r>
          </w:p>
          <w:p w:rsidR="0010301B" w:rsidRPr="0002422B" w:rsidRDefault="0010301B" w:rsidP="0002422B">
            <w:pPr>
              <w:ind w:left="142"/>
              <w:jc w:val="both"/>
              <w:rPr>
                <w:bCs/>
              </w:rPr>
            </w:pPr>
            <w:r w:rsidRPr="0002422B">
              <w:t xml:space="preserve">Plānotais brīvā </w:t>
            </w:r>
            <w:r w:rsidR="00984D79" w:rsidRPr="0002422B">
              <w:t xml:space="preserve">elektroenerģijas </w:t>
            </w:r>
            <w:r w:rsidRPr="0002422B">
              <w:t xml:space="preserve">tirgus modelis mājsaimniecībām pieprasa norēķinu sistēmas maiņu. Elektroenerģijas  tirgus apstākļos, kad lietotājam ir tiesībās neierobežoti mainīt elektroenerģijas tirgotāju, ir  jāievieš tāds </w:t>
            </w:r>
            <w:r w:rsidR="001B5C48" w:rsidRPr="0002422B">
              <w:t xml:space="preserve"> informācijas plūsmas un </w:t>
            </w:r>
            <w:r w:rsidRPr="0002422B">
              <w:t>norēķinu vei</w:t>
            </w:r>
            <w:r w:rsidR="001B5C48" w:rsidRPr="0002422B">
              <w:t>ds</w:t>
            </w:r>
            <w:r w:rsidRPr="0002422B">
              <w:t xml:space="preserve">, </w:t>
            </w:r>
            <w:r w:rsidR="001B5C48" w:rsidRPr="0002422B">
              <w:t xml:space="preserve">kas nodrošina tirgotāju ar informāciju par lietotāja patērētās elektroenerģijas daudzumu. </w:t>
            </w:r>
            <w:r w:rsidR="00984D79" w:rsidRPr="0002422B">
              <w:t xml:space="preserve">Informāciju par </w:t>
            </w:r>
            <w:r w:rsidR="00984D79" w:rsidRPr="0002422B">
              <w:lastRenderedPageBreak/>
              <w:t xml:space="preserve">elektroenerģijas patēriņu jādrošina sistēmas operatoram, kuram tā tālāk jānosūta elektroenerģijas tirgotājam norēķinu sagatavošanai, ko </w:t>
            </w:r>
            <w:proofErr w:type="spellStart"/>
            <w:r w:rsidR="00984D79" w:rsidRPr="0002422B">
              <w:t>p</w:t>
            </w:r>
            <w:r w:rsidRPr="0002422B">
              <w:t>ašdeklarācijas</w:t>
            </w:r>
            <w:proofErr w:type="spellEnd"/>
            <w:r w:rsidRPr="0002422B">
              <w:t xml:space="preserve"> metod</w:t>
            </w:r>
            <w:r w:rsidR="00984D79" w:rsidRPr="0002422B">
              <w:t>es</w:t>
            </w:r>
            <w:r w:rsidRPr="0002422B">
              <w:t xml:space="preserve"> </w:t>
            </w:r>
            <w:r w:rsidR="00984D79" w:rsidRPr="0002422B">
              <w:t>gadījumā</w:t>
            </w:r>
            <w:r w:rsidR="001B5C48" w:rsidRPr="0002422B">
              <w:t xml:space="preserve"> </w:t>
            </w:r>
            <w:r w:rsidR="00984D79" w:rsidRPr="0002422B">
              <w:t>nav iespējams piemērot</w:t>
            </w:r>
            <w:r w:rsidRPr="0002422B">
              <w:t xml:space="preserve">. </w:t>
            </w:r>
          </w:p>
          <w:p w:rsidR="00B67F0F" w:rsidRPr="0002422B" w:rsidRDefault="00B67F0F" w:rsidP="0002422B">
            <w:pPr>
              <w:ind w:left="102" w:firstLine="567"/>
              <w:jc w:val="both"/>
              <w:rPr>
                <w:bCs/>
              </w:rPr>
            </w:pPr>
          </w:p>
        </w:tc>
      </w:tr>
      <w:tr w:rsidR="0002422B" w:rsidRPr="0002422B" w:rsidTr="00242C36">
        <w:trPr>
          <w:trHeight w:val="1071"/>
        </w:trPr>
        <w:tc>
          <w:tcPr>
            <w:tcW w:w="550" w:type="dxa"/>
          </w:tcPr>
          <w:p w:rsidR="00262E2B" w:rsidRPr="0002422B" w:rsidRDefault="00262E2B" w:rsidP="006C4607">
            <w:pPr>
              <w:pStyle w:val="naiskr"/>
              <w:spacing w:before="0" w:after="0"/>
            </w:pPr>
            <w:r w:rsidRPr="0002422B">
              <w:lastRenderedPageBreak/>
              <w:t>3.</w:t>
            </w:r>
          </w:p>
        </w:tc>
        <w:tc>
          <w:tcPr>
            <w:tcW w:w="2574" w:type="dxa"/>
          </w:tcPr>
          <w:p w:rsidR="00262E2B" w:rsidRPr="0002422B" w:rsidRDefault="00420870" w:rsidP="006C4607">
            <w:pPr>
              <w:pStyle w:val="naiskr"/>
              <w:spacing w:before="0" w:after="0"/>
            </w:pPr>
            <w:r w:rsidRPr="0002422B">
              <w:t>S</w:t>
            </w:r>
            <w:r w:rsidR="000B69CF" w:rsidRPr="0002422B">
              <w:t xml:space="preserve">aistītie </w:t>
            </w:r>
            <w:r w:rsidR="001A6AE4" w:rsidRPr="0002422B">
              <w:t>politikas ietekmes novērtējumi</w:t>
            </w:r>
            <w:r w:rsidR="00CB0247" w:rsidRPr="0002422B">
              <w:t xml:space="preserve"> un</w:t>
            </w:r>
            <w:r w:rsidR="001A6AE4" w:rsidRPr="0002422B">
              <w:t xml:space="preserve"> </w:t>
            </w:r>
            <w:r w:rsidR="000B69CF" w:rsidRPr="0002422B">
              <w:t>pētījumi</w:t>
            </w:r>
          </w:p>
        </w:tc>
        <w:tc>
          <w:tcPr>
            <w:tcW w:w="6520" w:type="dxa"/>
          </w:tcPr>
          <w:p w:rsidR="00E251A9" w:rsidRPr="0002422B" w:rsidRDefault="00291309" w:rsidP="00E251A9">
            <w:pPr>
              <w:ind w:left="102" w:firstLine="567"/>
              <w:jc w:val="both"/>
            </w:pPr>
            <w:r w:rsidRPr="0002422B">
              <w:t>Izmaiņas norēķinu kārtībā saskan ar starptautisko praksi un rekomendācijām par elektroenerģijas tirgus attīstības modeli, tajā skaitā norēķinu kārtību.</w:t>
            </w:r>
            <w:r w:rsidR="009F60DD" w:rsidRPr="0002422B">
              <w:t xml:space="preserve"> E</w:t>
            </w:r>
            <w:r w:rsidRPr="0002422B">
              <w:t>iropas elektroenerģijas industrijas vadošā organizācija</w:t>
            </w:r>
            <w:r w:rsidR="00E32746" w:rsidRPr="0002422B">
              <w:t xml:space="preserve"> </w:t>
            </w:r>
            <w:r w:rsidR="00A70523" w:rsidRPr="0002422B">
              <w:t>- elektroenerģijas j</w:t>
            </w:r>
            <w:r w:rsidR="009F60DD" w:rsidRPr="0002422B">
              <w:t>omā</w:t>
            </w:r>
            <w:r w:rsidR="00A70523" w:rsidRPr="0002422B">
              <w:t xml:space="preserve"> iesaistīto</w:t>
            </w:r>
            <w:r w:rsidR="009F60DD" w:rsidRPr="0002422B">
              <w:t xml:space="preserve"> pušu</w:t>
            </w:r>
            <w:r w:rsidR="00A70523" w:rsidRPr="0002422B">
              <w:t xml:space="preserve"> pārstāvošā apvienība</w:t>
            </w:r>
            <w:r w:rsidRPr="0002422B">
              <w:t xml:space="preserve"> </w:t>
            </w:r>
            <w:proofErr w:type="spellStart"/>
            <w:r w:rsidRPr="0002422B">
              <w:rPr>
                <w:i/>
              </w:rPr>
              <w:t>Eurelectric</w:t>
            </w:r>
            <w:proofErr w:type="spellEnd"/>
            <w:r w:rsidR="00A70523" w:rsidRPr="0002422B">
              <w:t>, kurā Latvija ir dalībvalsts statusā,</w:t>
            </w:r>
            <w:r w:rsidRPr="0002422B">
              <w:rPr>
                <w:i/>
              </w:rPr>
              <w:t xml:space="preserve"> </w:t>
            </w:r>
            <w:r w:rsidRPr="0002422B">
              <w:t>ir rekomendējusi, ka elektroenerģijas piegādātājiem jānodrošina lietotājiem iespēja norēķinos izmantot izlīdzinātā maksājuma metodi</w:t>
            </w:r>
            <w:r w:rsidR="009F60DD" w:rsidRPr="0002422B">
              <w:t xml:space="preserve"> tirgus atvēršanas ietvaros</w:t>
            </w:r>
            <w:r w:rsidRPr="0002422B">
              <w:rPr>
                <w:rStyle w:val="FootnoteReference"/>
              </w:rPr>
              <w:footnoteReference w:id="2"/>
            </w:r>
            <w:r w:rsidRPr="0002422B">
              <w:t xml:space="preserve">. </w:t>
            </w:r>
          </w:p>
          <w:p w:rsidR="00E251A9" w:rsidRPr="0002422B" w:rsidRDefault="00E251A9" w:rsidP="00E251A9">
            <w:pPr>
              <w:ind w:left="102" w:firstLine="567"/>
              <w:jc w:val="both"/>
            </w:pPr>
            <w:r w:rsidRPr="0002422B">
              <w:t xml:space="preserve">Pielietojot </w:t>
            </w:r>
            <w:proofErr w:type="spellStart"/>
            <w:r w:rsidRPr="0002422B">
              <w:t>pašdeklarēšanās</w:t>
            </w:r>
            <w:proofErr w:type="spellEnd"/>
            <w:r w:rsidRPr="0002422B">
              <w:t xml:space="preserve"> metodi, lietotājs nevar gūt pilnvērtīgu izpratni par vienas elektroenerģijas patēriņa vienības izmaksu sastāvdaļām, jo komunikācija un informācijas apmaiņa ir pakārtota izejot no lietotāja puses, </w:t>
            </w:r>
            <w:proofErr w:type="spellStart"/>
            <w:r w:rsidRPr="0002422B">
              <w:t>t.i</w:t>
            </w:r>
            <w:proofErr w:type="spellEnd"/>
            <w:r w:rsidRPr="0002422B">
              <w:t>., lietotājs maksā par elektroenerģiju, un no š</w:t>
            </w:r>
            <w:r w:rsidR="009267FC" w:rsidRPr="0002422B">
              <w:t>ī</w:t>
            </w:r>
            <w:r w:rsidRPr="0002422B">
              <w:t>s apmaksātās summas publiskais tirgotājs var aprēķināt lietotāja elektroenerģijas patēriņu.</w:t>
            </w:r>
          </w:p>
          <w:p w:rsidR="00E251A9" w:rsidRPr="0002422B" w:rsidRDefault="00E251A9" w:rsidP="00E251A9">
            <w:pPr>
              <w:ind w:left="102" w:firstLine="567"/>
              <w:jc w:val="both"/>
            </w:pPr>
            <w:r w:rsidRPr="0002422B">
              <w:t>Šajā gadījumā publiskajam tirgotājam nav iespēju informēt lietotāju cik konkrētajā norēķinu periodā lietotājs samaksā par elektroenerģiju, sistēmas pakalpojumiem, OIK, PVN.</w:t>
            </w:r>
          </w:p>
          <w:p w:rsidR="00E251A9" w:rsidRPr="0002422B" w:rsidRDefault="00E251A9" w:rsidP="00E251A9">
            <w:pPr>
              <w:ind w:left="102" w:firstLine="567"/>
              <w:jc w:val="both"/>
            </w:pPr>
            <w:r w:rsidRPr="0002422B">
              <w:t>Turpretim ar izlīdzinātā maksājuma metodi vai tirgotāja sagatavotu rēķinu, publiskais tirgotājs lietotājam tieši varēs norādīt (ikmēneša izlīdzinātā maksājuma kvītī vai ikmēneša rēķinā) cenu veidojošās sastāvdaļas.</w:t>
            </w:r>
          </w:p>
          <w:p w:rsidR="0007615A" w:rsidRPr="0002422B" w:rsidRDefault="0007615A" w:rsidP="0009687F">
            <w:pPr>
              <w:pStyle w:val="FootnoteText"/>
              <w:ind w:firstLine="669"/>
              <w:jc w:val="both"/>
              <w:rPr>
                <w:sz w:val="24"/>
                <w:szCs w:val="24"/>
              </w:rPr>
            </w:pPr>
          </w:p>
        </w:tc>
      </w:tr>
      <w:tr w:rsidR="0002422B" w:rsidRPr="0002422B" w:rsidTr="00242C36">
        <w:trPr>
          <w:trHeight w:val="384"/>
        </w:trPr>
        <w:tc>
          <w:tcPr>
            <w:tcW w:w="550" w:type="dxa"/>
          </w:tcPr>
          <w:p w:rsidR="00262E2B" w:rsidRPr="0002422B" w:rsidRDefault="00262E2B" w:rsidP="006C4607">
            <w:pPr>
              <w:pStyle w:val="naiskr"/>
              <w:spacing w:before="0" w:after="0"/>
            </w:pPr>
            <w:r w:rsidRPr="0002422B">
              <w:t>4.</w:t>
            </w:r>
          </w:p>
        </w:tc>
        <w:tc>
          <w:tcPr>
            <w:tcW w:w="2574" w:type="dxa"/>
          </w:tcPr>
          <w:p w:rsidR="009A3C53" w:rsidRPr="0002422B" w:rsidRDefault="000C790C" w:rsidP="006C4607">
            <w:pPr>
              <w:pStyle w:val="naiskr"/>
              <w:spacing w:before="0" w:after="0"/>
            </w:pPr>
            <w:r w:rsidRPr="0002422B">
              <w:t>Tiesiskā r</w:t>
            </w:r>
            <w:r w:rsidR="00400032" w:rsidRPr="0002422B">
              <w:t xml:space="preserve">egulējuma </w:t>
            </w:r>
            <w:r w:rsidR="00262E2B" w:rsidRPr="0002422B">
              <w:t>mērķis un būtība</w:t>
            </w:r>
          </w:p>
          <w:p w:rsidR="009A3C53" w:rsidRPr="0002422B" w:rsidRDefault="009A3C53" w:rsidP="00617AA3"/>
          <w:p w:rsidR="009A3C53" w:rsidRPr="0002422B" w:rsidRDefault="009A3C53" w:rsidP="00617AA3"/>
          <w:p w:rsidR="009A3C53" w:rsidRPr="0002422B" w:rsidRDefault="009A3C53" w:rsidP="009A3C53"/>
          <w:p w:rsidR="009A3C53" w:rsidRPr="0002422B" w:rsidRDefault="009A3C53" w:rsidP="009A3C53"/>
          <w:p w:rsidR="00262E2B" w:rsidRPr="0002422B" w:rsidRDefault="009A3C53" w:rsidP="00617AA3">
            <w:pPr>
              <w:tabs>
                <w:tab w:val="left" w:pos="900"/>
              </w:tabs>
            </w:pPr>
            <w:r w:rsidRPr="0002422B">
              <w:tab/>
            </w:r>
          </w:p>
        </w:tc>
        <w:tc>
          <w:tcPr>
            <w:tcW w:w="6520" w:type="dxa"/>
          </w:tcPr>
          <w:p w:rsidR="00F31605" w:rsidRPr="0002422B" w:rsidRDefault="00291309" w:rsidP="00F31605">
            <w:pPr>
              <w:pStyle w:val="naiskr"/>
              <w:ind w:left="102" w:firstLine="567"/>
              <w:jc w:val="both"/>
            </w:pPr>
            <w:r w:rsidRPr="0002422B">
              <w:t>Grozījumi paredz, ka</w:t>
            </w:r>
            <w:r w:rsidR="00F57DC0" w:rsidRPr="0002422B">
              <w:t xml:space="preserve"> saistītais lietotājs par saņemto elektroenerģiju norēķinās saskaņā ar publiskā tirgotāja apstiprināto norēķinu kārtību un atbilstoši tai </w:t>
            </w:r>
            <w:r w:rsidR="00B51FE2" w:rsidRPr="0002422B">
              <w:t>izvēlēto</w:t>
            </w:r>
            <w:r w:rsidR="00F57DC0" w:rsidRPr="0002422B">
              <w:t xml:space="preserve"> norēķinu veidu – veicot izlīdzināto maksājumu v</w:t>
            </w:r>
            <w:r w:rsidR="00B51FE2" w:rsidRPr="0002422B">
              <w:t>ai  apmaksājot saņemtos rēķinus</w:t>
            </w:r>
            <w:r w:rsidR="006A4C75" w:rsidRPr="0002422B">
              <w:t xml:space="preserve">. </w:t>
            </w:r>
            <w:r w:rsidR="00BC4C7B" w:rsidRPr="0002422B">
              <w:t>Vienlaikus lietotājiem būs tiesības</w:t>
            </w:r>
            <w:r w:rsidR="00114CD2" w:rsidRPr="0002422B">
              <w:t>,</w:t>
            </w:r>
            <w:r w:rsidR="00BC4C7B" w:rsidRPr="0002422B">
              <w:t xml:space="preserve"> </w:t>
            </w:r>
            <w:r w:rsidR="00F31605" w:rsidRPr="0002422B">
              <w:t>ievērojot elektroenerģijas piegāde</w:t>
            </w:r>
            <w:r w:rsidR="00D763A7" w:rsidRPr="0002422B">
              <w:t>s</w:t>
            </w:r>
            <w:r w:rsidR="00F31605" w:rsidRPr="0002422B">
              <w:t xml:space="preserve"> līguma nosacījumus un publiskā tirgotāja norēķinu kārtību</w:t>
            </w:r>
            <w:r w:rsidR="00114CD2" w:rsidRPr="0002422B">
              <w:t>,</w:t>
            </w:r>
            <w:r w:rsidR="00F31605" w:rsidRPr="0002422B">
              <w:t xml:space="preserve"> veikt </w:t>
            </w:r>
            <w:r w:rsidR="000113DE" w:rsidRPr="0002422B">
              <w:t>elektroenerģijas priekšapmaksu.</w:t>
            </w:r>
          </w:p>
          <w:p w:rsidR="001B5C48" w:rsidRPr="0002422B" w:rsidRDefault="00E251A9" w:rsidP="00E251A9">
            <w:pPr>
              <w:pStyle w:val="naiskr"/>
              <w:ind w:left="102" w:firstLine="567"/>
              <w:jc w:val="both"/>
              <w:rPr>
                <w:bCs/>
              </w:rPr>
            </w:pPr>
            <w:r w:rsidRPr="0002422B">
              <w:t xml:space="preserve">Izlīdzinātā maksājuma apmēru nosaka ņemot vērā lietotāja patēriņu, kas ir noteikts par pamatu ņemot faktisko elektroenerģijas patēriņu laika posmā starp divām sadales sistēmas operatora veiktām kontrolpārbaudēm. </w:t>
            </w:r>
            <w:r w:rsidRPr="0002422B">
              <w:rPr>
                <w:bCs/>
              </w:rPr>
              <w:t xml:space="preserve"> Izlīdzinātais maksājums atvieglos mājsaimniecības lietotāju norēķinus, jo turpmāk lietotājiem nebūs katru mēnesi jāuzņem skaitītāja rādījums un pašam jāaprēķina apmaksājamā summa, bet reizi mēnesī  jāveic iepriekš noteiktas summas apmaksu.  </w:t>
            </w:r>
          </w:p>
          <w:p w:rsidR="00E251A9" w:rsidRPr="0002422B" w:rsidRDefault="00E251A9" w:rsidP="00E251A9">
            <w:pPr>
              <w:pStyle w:val="naiskr"/>
              <w:ind w:left="102" w:firstLine="567"/>
              <w:jc w:val="both"/>
            </w:pPr>
            <w:r w:rsidRPr="0002422B">
              <w:rPr>
                <w:bCs/>
              </w:rPr>
              <w:t xml:space="preserve">Kā alternatīvs norēķinu veids būs publiskā tirgotāja izrakstīts rēķins (elektroniski piegādāts) par aktuālo elektroenerģijas patēriņu, kas iegūts lietotājam regulāri šo informāciju iesniedzot sadales sistēmas operatoram vai to </w:t>
            </w:r>
            <w:r w:rsidRPr="0002422B">
              <w:rPr>
                <w:bCs/>
              </w:rPr>
              <w:lastRenderedPageBreak/>
              <w:t>iegūstot, izmantojot viedos skaitītājus.</w:t>
            </w:r>
          </w:p>
          <w:p w:rsidR="00E251A9" w:rsidRPr="0002422B" w:rsidRDefault="001B5C48" w:rsidP="00E251A9">
            <w:pPr>
              <w:pStyle w:val="naiskr"/>
              <w:ind w:left="102" w:firstLine="567"/>
              <w:jc w:val="both"/>
            </w:pPr>
            <w:r w:rsidRPr="0002422B">
              <w:t>Lietotājiem</w:t>
            </w:r>
            <w:r w:rsidR="00E251A9" w:rsidRPr="0002422B">
              <w:t>, kas no jauna izveidos pieslēgumu un uzsāks patērēt elektroenerģiju</w:t>
            </w:r>
            <w:r w:rsidRPr="0002422B">
              <w:t>,</w:t>
            </w:r>
            <w:r w:rsidR="00E251A9" w:rsidRPr="0002422B">
              <w:t xml:space="preserve"> izlīdzinātā maksājuma apmēru noteiks</w:t>
            </w:r>
            <w:r w:rsidRPr="0002422B">
              <w:t>,</w:t>
            </w:r>
            <w:r w:rsidR="00E251A9" w:rsidRPr="0002422B">
              <w:t xml:space="preserve"> publiskajam tirgotājam vienojoties ar lietotāju, balstoties uz paredzamo lietotāja patēriņu, ņemot vērā lietotāja prognozi un lietotāja patēriņa profilu.</w:t>
            </w:r>
          </w:p>
          <w:p w:rsidR="00E251A9" w:rsidRPr="0002422B" w:rsidRDefault="00E251A9" w:rsidP="00E251A9">
            <w:pPr>
              <w:pStyle w:val="naiskr"/>
              <w:ind w:left="102" w:firstLine="567"/>
              <w:jc w:val="both"/>
            </w:pPr>
            <w:r w:rsidRPr="0002422B">
              <w:t>Ja lietotāja faktiskais ikmēneša elektroenerģijas patēriņš atšķiras no tam noteiktā ikmēneša elektroenerģijas patēriņa, tad piegādātājam, ir tiesības veikt pārrēķinu izlīdzinātā maksājuma apmēros. Tāpat ja lietotājs konstatē, ka noteiktais izlīdzinātā maksājuma apmērs ir lielāks vai mazāks nekā faktiskais patēriņš, arī lietotājs ir tiesīgs rosināt koriģēt IM apmēru.</w:t>
            </w:r>
          </w:p>
          <w:p w:rsidR="00E251A9" w:rsidRPr="0002422B" w:rsidRDefault="00E251A9" w:rsidP="00E251A9">
            <w:pPr>
              <w:pStyle w:val="naiskr"/>
              <w:ind w:left="102" w:firstLine="567"/>
              <w:jc w:val="both"/>
            </w:pPr>
            <w:r w:rsidRPr="0002422B">
              <w:t>Izlīdzinātā maksājuma apmēru koriģēs pēc sadales sistēmas operatora skaitītāja kontrolpārbaudes, ja tajā konstatēs faktiskā patēriņa  neatbilstību ar noteikto izlīdzinātā maksājuma apmēru. Nosakot jaunu izlīdzinātā maksājuma apmēru piegādātājs veiks pārrēķinu par lietotāja faktisko patēriņu un izlīdzinātā maksājuma kārtībā apmaksāto, ja lietotājs būs samaksājis vairāk, tad piegādātājs šo apmēru iekļaus (izlīdzinās uz nākamo 12 mēnešu periodu), kā kompensāciju nākamā perioda izlīdzinātā maksājuma apmērā, ja lietotājs būs apmaksājis mazāk nekā faktiskais patēriņš, piegādātājs starpību iekļaus (izlīdzinās uz nākamo 12 mēnešu periodu),  nākamo norēķinu periodu izlīdzinātā maksājuma apmērā.</w:t>
            </w:r>
          </w:p>
          <w:p w:rsidR="00291309" w:rsidRPr="0002422B" w:rsidRDefault="001B5C48" w:rsidP="00E251A9">
            <w:pPr>
              <w:pStyle w:val="naiskr"/>
              <w:spacing w:before="0" w:after="0"/>
              <w:ind w:left="102" w:firstLine="567"/>
              <w:jc w:val="both"/>
            </w:pPr>
            <w:r w:rsidRPr="0002422B">
              <w:t>R</w:t>
            </w:r>
            <w:r w:rsidR="00E251A9" w:rsidRPr="0002422B">
              <w:t>ēķinu kā norēķinu metod</w:t>
            </w:r>
            <w:r w:rsidR="00086B3B" w:rsidRPr="0002422B">
              <w:t>i</w:t>
            </w:r>
            <w:r w:rsidR="00E251A9" w:rsidRPr="0002422B">
              <w:t xml:space="preserve"> </w:t>
            </w:r>
            <w:r w:rsidR="00086B3B" w:rsidRPr="0002422B">
              <w:t xml:space="preserve">varēs izmantot  jebkurš lietotājs ar </w:t>
            </w:r>
            <w:r w:rsidR="00E251A9" w:rsidRPr="0002422B">
              <w:t xml:space="preserve"> nosacījumu, ka lietotājs piekritīs, ka rēķins tam tiks nosūtīts elektroniskā formā.</w:t>
            </w:r>
            <w:r w:rsidR="00A34E6A" w:rsidRPr="0002422B">
              <w:t xml:space="preserve"> Lai norēķinātos ar rēķina izrakstīšanas metodi, lietotājam būs </w:t>
            </w:r>
            <w:r w:rsidR="00984D79" w:rsidRPr="0002422B">
              <w:t xml:space="preserve">pienākums </w:t>
            </w:r>
            <w:r w:rsidR="00A34E6A" w:rsidRPr="0002422B">
              <w:t xml:space="preserve">publiskā tirgotāja noteiktā periodā </w:t>
            </w:r>
            <w:r w:rsidR="00012901" w:rsidRPr="0002422B">
              <w:t xml:space="preserve">ziņot sistēmas operatoram </w:t>
            </w:r>
            <w:r w:rsidR="00984D79" w:rsidRPr="0002422B">
              <w:t xml:space="preserve">par </w:t>
            </w:r>
            <w:r w:rsidR="00012901" w:rsidRPr="0002422B">
              <w:t>elektroenerģijas patēriņu</w:t>
            </w:r>
            <w:r w:rsidR="00984D79" w:rsidRPr="0002422B">
              <w:t xml:space="preserve">. Balstoties uz to, tirgotājs  izrakstīs rēķinu apmaksai. </w:t>
            </w:r>
            <w:r w:rsidR="00E04958" w:rsidRPr="0002422B">
              <w:t>Ja lietotājs neziņo par patēriņu</w:t>
            </w:r>
            <w:r w:rsidR="00E11E3B" w:rsidRPr="0002422B">
              <w:t>, tad</w:t>
            </w:r>
            <w:r w:rsidR="00E04958" w:rsidRPr="0002422B">
              <w:t xml:space="preserve"> sistēmas operators</w:t>
            </w:r>
            <w:r w:rsidR="00984D79" w:rsidRPr="0002422B">
              <w:t xml:space="preserve">, nosakot </w:t>
            </w:r>
            <w:r w:rsidR="00E04958" w:rsidRPr="0002422B">
              <w:t xml:space="preserve"> norēķinu perioda patēriņu</w:t>
            </w:r>
            <w:r w:rsidR="00984D79" w:rsidRPr="0002422B">
              <w:t>,</w:t>
            </w:r>
            <w:r w:rsidR="00E04958" w:rsidRPr="0002422B">
              <w:t xml:space="preserve"> </w:t>
            </w:r>
            <w:r w:rsidR="00E11E3B" w:rsidRPr="0002422B">
              <w:t>piemēro vidējo objekta elektroenerģijas patēriņu.</w:t>
            </w:r>
          </w:p>
          <w:p w:rsidR="00F57DC0" w:rsidRPr="0002422B" w:rsidRDefault="00030251" w:rsidP="00030251">
            <w:pPr>
              <w:pStyle w:val="naiskr"/>
              <w:spacing w:before="0" w:after="0"/>
              <w:ind w:left="102" w:firstLine="567"/>
              <w:jc w:val="both"/>
              <w:rPr>
                <w:bCs/>
              </w:rPr>
            </w:pPr>
            <w:r w:rsidRPr="0002422B">
              <w:rPr>
                <w:bCs/>
              </w:rPr>
              <w:t>Publiskajam tirgotājam</w:t>
            </w:r>
            <w:r w:rsidR="00F57DC0" w:rsidRPr="0002422B">
              <w:t xml:space="preserve"> </w:t>
            </w:r>
            <w:r w:rsidRPr="0002422B">
              <w:t xml:space="preserve">ir pienākums </w:t>
            </w:r>
            <w:r w:rsidR="00F57DC0" w:rsidRPr="0002422B">
              <w:rPr>
                <w:bCs/>
              </w:rPr>
              <w:t>publicē</w:t>
            </w:r>
            <w:r w:rsidRPr="0002422B">
              <w:rPr>
                <w:bCs/>
              </w:rPr>
              <w:t>t</w:t>
            </w:r>
            <w:r w:rsidR="00F57DC0" w:rsidRPr="0002422B">
              <w:rPr>
                <w:bCs/>
              </w:rPr>
              <w:t xml:space="preserve"> norēķinu kārtību savā tīmekļa vietnē. Publiskajam tirgotājam ir pienākums saistītajam lietotājam sniegt informāciju par noteiktās norēķinu kārtības pielietošanu.</w:t>
            </w:r>
          </w:p>
        </w:tc>
      </w:tr>
      <w:tr w:rsidR="0002422B" w:rsidRPr="0002422B" w:rsidTr="00242C36">
        <w:trPr>
          <w:trHeight w:val="476"/>
        </w:trPr>
        <w:tc>
          <w:tcPr>
            <w:tcW w:w="550" w:type="dxa"/>
          </w:tcPr>
          <w:p w:rsidR="00262E2B" w:rsidRPr="0002422B" w:rsidRDefault="00262E2B" w:rsidP="006C4607">
            <w:pPr>
              <w:pStyle w:val="naiskr"/>
              <w:spacing w:before="0" w:after="0"/>
            </w:pPr>
            <w:r w:rsidRPr="0002422B">
              <w:lastRenderedPageBreak/>
              <w:t>5.</w:t>
            </w:r>
          </w:p>
        </w:tc>
        <w:tc>
          <w:tcPr>
            <w:tcW w:w="2574" w:type="dxa"/>
          </w:tcPr>
          <w:p w:rsidR="00262E2B" w:rsidRPr="0002422B" w:rsidRDefault="001A4066" w:rsidP="006C4607">
            <w:pPr>
              <w:pStyle w:val="naiskr"/>
              <w:spacing w:before="0" w:after="0"/>
            </w:pPr>
            <w:r w:rsidRPr="0002422B">
              <w:t>Projekta i</w:t>
            </w:r>
            <w:r w:rsidR="00262E2B" w:rsidRPr="0002422B">
              <w:t>zstrād</w:t>
            </w:r>
            <w:r w:rsidR="00420870" w:rsidRPr="0002422B">
              <w:t xml:space="preserve">ē </w:t>
            </w:r>
            <w:r w:rsidR="00262E2B" w:rsidRPr="0002422B">
              <w:t>iesaistītās institūcijas</w:t>
            </w:r>
          </w:p>
        </w:tc>
        <w:tc>
          <w:tcPr>
            <w:tcW w:w="6520" w:type="dxa"/>
          </w:tcPr>
          <w:p w:rsidR="00262E2B" w:rsidRPr="0002422B" w:rsidRDefault="007C4B41" w:rsidP="00E251A9">
            <w:pPr>
              <w:pStyle w:val="naiskr"/>
              <w:spacing w:before="0" w:after="0"/>
              <w:ind w:left="102" w:firstLine="567"/>
            </w:pPr>
            <w:r w:rsidRPr="0002422B">
              <w:t xml:space="preserve">Ekonomikas ministrija, </w:t>
            </w:r>
            <w:r w:rsidR="008162B8" w:rsidRPr="0002422B">
              <w:t>Sabiedrisko pakalpojumu regulēšanas komisija, AS „Latvenergo”</w:t>
            </w:r>
            <w:r w:rsidR="00A635D1" w:rsidRPr="0002422B">
              <w:t xml:space="preserve">, AS „Sadales </w:t>
            </w:r>
            <w:r w:rsidR="004540BD" w:rsidRPr="0002422B">
              <w:t>tīkls</w:t>
            </w:r>
            <w:r w:rsidR="00A635D1" w:rsidRPr="0002422B">
              <w:t>”</w:t>
            </w:r>
          </w:p>
        </w:tc>
      </w:tr>
      <w:tr w:rsidR="0002422B" w:rsidRPr="0002422B" w:rsidTr="00242C36">
        <w:trPr>
          <w:trHeight w:val="1340"/>
        </w:trPr>
        <w:tc>
          <w:tcPr>
            <w:tcW w:w="550" w:type="dxa"/>
          </w:tcPr>
          <w:p w:rsidR="00262E2B" w:rsidRPr="0002422B" w:rsidRDefault="00262E2B" w:rsidP="006C4607">
            <w:pPr>
              <w:pStyle w:val="naiskr"/>
              <w:spacing w:before="0" w:after="0"/>
            </w:pPr>
            <w:r w:rsidRPr="0002422B">
              <w:t>6.</w:t>
            </w:r>
          </w:p>
        </w:tc>
        <w:tc>
          <w:tcPr>
            <w:tcW w:w="2574" w:type="dxa"/>
          </w:tcPr>
          <w:p w:rsidR="00262E2B" w:rsidRPr="0002422B" w:rsidRDefault="00BB7C94" w:rsidP="006C4607">
            <w:pPr>
              <w:pStyle w:val="naiskr"/>
              <w:spacing w:before="0" w:after="0"/>
              <w:rPr>
                <w:i/>
                <w:highlight w:val="yellow"/>
              </w:rPr>
            </w:pPr>
            <w:r w:rsidRPr="0002422B">
              <w:t xml:space="preserve">Iemesli, kādēļ netika nodrošināta </w:t>
            </w:r>
            <w:r w:rsidR="00262E2B" w:rsidRPr="0002422B">
              <w:t xml:space="preserve">sabiedrības </w:t>
            </w:r>
            <w:r w:rsidRPr="0002422B">
              <w:t>līdzdalība</w:t>
            </w:r>
          </w:p>
        </w:tc>
        <w:tc>
          <w:tcPr>
            <w:tcW w:w="6520" w:type="dxa"/>
          </w:tcPr>
          <w:p w:rsidR="007C4B41" w:rsidRPr="0002422B" w:rsidRDefault="00E251A9" w:rsidP="00E251A9">
            <w:pPr>
              <w:pStyle w:val="FootnoteText"/>
              <w:ind w:left="102" w:firstLine="567"/>
              <w:rPr>
                <w:sz w:val="24"/>
                <w:szCs w:val="24"/>
              </w:rPr>
            </w:pPr>
            <w:r w:rsidRPr="0002422B">
              <w:rPr>
                <w:sz w:val="24"/>
                <w:szCs w:val="24"/>
              </w:rPr>
              <w:t>Projekts izsludināts 8. augusta Valsts sekretāru sanāksmē  (VSS-1574).</w:t>
            </w:r>
          </w:p>
          <w:p w:rsidR="00F57DC0" w:rsidRPr="0002422B" w:rsidRDefault="00405CFE" w:rsidP="00F57DC0">
            <w:pPr>
              <w:pStyle w:val="FootnoteText"/>
              <w:ind w:left="102" w:firstLine="567"/>
              <w:jc w:val="both"/>
              <w:rPr>
                <w:sz w:val="24"/>
                <w:szCs w:val="24"/>
              </w:rPr>
            </w:pPr>
            <w:r w:rsidRPr="0002422B">
              <w:rPr>
                <w:sz w:val="24"/>
                <w:szCs w:val="24"/>
              </w:rPr>
              <w:t xml:space="preserve">Latvijā </w:t>
            </w:r>
            <w:r w:rsidR="0087112E" w:rsidRPr="0002422B">
              <w:rPr>
                <w:sz w:val="24"/>
                <w:szCs w:val="24"/>
              </w:rPr>
              <w:t>2013. gada</w:t>
            </w:r>
            <w:r w:rsidRPr="0002422B">
              <w:rPr>
                <w:sz w:val="24"/>
                <w:szCs w:val="24"/>
              </w:rPr>
              <w:t xml:space="preserve"> augustā tika veikta iedzīvotāju aptauja </w:t>
            </w:r>
            <w:r w:rsidR="00CE1200" w:rsidRPr="0002422B">
              <w:rPr>
                <w:sz w:val="24"/>
                <w:szCs w:val="24"/>
              </w:rPr>
              <w:t xml:space="preserve"> elektroenerģijas tirgus pilnīgu atvēršanas jautājumā</w:t>
            </w:r>
            <w:r w:rsidRPr="0002422B">
              <w:rPr>
                <w:sz w:val="24"/>
                <w:szCs w:val="24"/>
              </w:rPr>
              <w:t xml:space="preserve">. Aptauju pēc Ekonomikas ministrijas pasūtījuma veica pētījumu centrs SKDS, aptaujājot 1000 Latvijas pastāvīgos iedzīvotājus vecumā no 18 līdz 74 gadiem. </w:t>
            </w:r>
            <w:r w:rsidR="00F57DC0" w:rsidRPr="0002422B">
              <w:rPr>
                <w:sz w:val="24"/>
                <w:szCs w:val="24"/>
              </w:rPr>
              <w:t xml:space="preserve">Saskaņā ar pētījumu centra SKDS veiktās Latvijas iedzīvotāju aptaujas rezultātiem, 50 % Latvijas iedzīvotāju atbalsta elektroenerģijas tirgus pilnīgu atvēršanu, paužot gatavību izvērtēt elektroenerģijas tirgotāju piedāvājumu atbilstību saviem elektrības lietošanas paradumiem un izvēlēties sev izdevīgāko </w:t>
            </w:r>
            <w:r w:rsidR="00F57DC0" w:rsidRPr="0002422B">
              <w:rPr>
                <w:sz w:val="24"/>
                <w:szCs w:val="24"/>
              </w:rPr>
              <w:lastRenderedPageBreak/>
              <w:t>piedāvājumu</w:t>
            </w:r>
            <w:r w:rsidR="00850745" w:rsidRPr="0002422B">
              <w:rPr>
                <w:rStyle w:val="FootnoteReference"/>
                <w:sz w:val="24"/>
                <w:szCs w:val="24"/>
              </w:rPr>
              <w:footnoteReference w:id="3"/>
            </w:r>
            <w:r w:rsidR="00F57DC0" w:rsidRPr="0002422B">
              <w:rPr>
                <w:sz w:val="24"/>
                <w:szCs w:val="24"/>
              </w:rPr>
              <w:t>.</w:t>
            </w:r>
            <w:r w:rsidRPr="0002422B">
              <w:rPr>
                <w:sz w:val="24"/>
                <w:szCs w:val="24"/>
              </w:rPr>
              <w:t xml:space="preserve"> Tādējādi, Ekonomikas ministrija uzskata, ka šāds aptaujas rezultāts ir arī indikators izlīdzinātā maksājuma ieviešanas atbalsta apmēriem, jo gaidāmās izmaiņas un cilvēkiem sniegtā iespēja izvērtēt elektroenerģijas tirgotāju piedāvājumu</w:t>
            </w:r>
            <w:r w:rsidR="00F54952" w:rsidRPr="0002422B">
              <w:rPr>
                <w:sz w:val="24"/>
                <w:szCs w:val="24"/>
              </w:rPr>
              <w:t>, kā arī norēķinu kārtības izmaiņas</w:t>
            </w:r>
            <w:r w:rsidR="009267FC" w:rsidRPr="0002422B">
              <w:rPr>
                <w:sz w:val="24"/>
                <w:szCs w:val="24"/>
              </w:rPr>
              <w:t xml:space="preserve"> ir neatņemama</w:t>
            </w:r>
            <w:r w:rsidR="00F54952" w:rsidRPr="0002422B">
              <w:rPr>
                <w:sz w:val="24"/>
                <w:szCs w:val="24"/>
              </w:rPr>
              <w:t>s</w:t>
            </w:r>
            <w:r w:rsidR="009267FC" w:rsidRPr="0002422B">
              <w:rPr>
                <w:sz w:val="24"/>
                <w:szCs w:val="24"/>
              </w:rPr>
              <w:t xml:space="preserve"> atvērta </w:t>
            </w:r>
            <w:r w:rsidR="00F54952" w:rsidRPr="0002422B">
              <w:rPr>
                <w:sz w:val="24"/>
                <w:szCs w:val="24"/>
              </w:rPr>
              <w:t>tirgus</w:t>
            </w:r>
            <w:r w:rsidR="009267FC" w:rsidRPr="0002422B">
              <w:rPr>
                <w:sz w:val="24"/>
                <w:szCs w:val="24"/>
              </w:rPr>
              <w:t xml:space="preserve"> iezīmes</w:t>
            </w:r>
            <w:r w:rsidRPr="0002422B">
              <w:rPr>
                <w:sz w:val="24"/>
                <w:szCs w:val="24"/>
              </w:rPr>
              <w:t>. Balstoties uz iepriekš anotācijā izklāstīto informāciju, bez izlīdzinātā maksājuma ieviešanas šādas iespējas saistītajiem lietotājiem tiktu liegtas. Kā arī jāņem vērā, ka elektroenerģijas tirgus atvēršana</w:t>
            </w:r>
            <w:r w:rsidR="00CE1200" w:rsidRPr="0002422B">
              <w:rPr>
                <w:sz w:val="24"/>
                <w:szCs w:val="24"/>
              </w:rPr>
              <w:t xml:space="preserve"> paredz plašas izmaiņas  kopējā sistēmā, kur maksājuma kārtības maiņa ir tikai viena no izmaiņām, lai pārietu no regulētajām cenām uz tirgus principiem balstītiem cenu noteikšanas mehānismiem.</w:t>
            </w:r>
          </w:p>
          <w:p w:rsidR="00F57DC0" w:rsidRPr="0002422B" w:rsidRDefault="00F57DC0" w:rsidP="00F57DC0">
            <w:pPr>
              <w:pStyle w:val="FootnoteText"/>
              <w:ind w:left="102" w:firstLine="567"/>
              <w:jc w:val="both"/>
              <w:rPr>
                <w:sz w:val="24"/>
                <w:szCs w:val="24"/>
              </w:rPr>
            </w:pPr>
            <w:r w:rsidRPr="0002422B">
              <w:rPr>
                <w:sz w:val="24"/>
                <w:szCs w:val="24"/>
              </w:rPr>
              <w:t>Elektroenerģijas tirgus atvēršanu neatbalsta 17 % Latvijas iedzīvotāju, 13 % - drīzāk neatbalsta, savukārt, 20 % respondentu nav viedokļa šajā jautājumā.</w:t>
            </w:r>
            <w:r w:rsidR="00CE1200" w:rsidRPr="0002422B">
              <w:rPr>
                <w:sz w:val="24"/>
                <w:szCs w:val="24"/>
              </w:rPr>
              <w:t xml:space="preserve"> </w:t>
            </w:r>
            <w:r w:rsidRPr="0002422B">
              <w:rPr>
                <w:sz w:val="24"/>
                <w:szCs w:val="24"/>
              </w:rPr>
              <w:t xml:space="preserve">Aptaujas laikā kopumā visās </w:t>
            </w:r>
            <w:proofErr w:type="spellStart"/>
            <w:r w:rsidRPr="0002422B">
              <w:rPr>
                <w:sz w:val="24"/>
                <w:szCs w:val="24"/>
              </w:rPr>
              <w:t>sociāldemogrāfiskajās</w:t>
            </w:r>
            <w:proofErr w:type="spellEnd"/>
            <w:r w:rsidRPr="0002422B">
              <w:rPr>
                <w:sz w:val="24"/>
                <w:szCs w:val="24"/>
              </w:rPr>
              <w:t xml:space="preserve"> grupās vērojams līdzīgs atbalsts elektroenerģijas tirgus atvēršanai, tomēr lielāks atbalsts vērojams respondentu vidū vecuma grupā no 25 – 34 gadiem, ar augstāko izglītību, augstākiem ienākumiem un Rīgā dzīvojošajiem.</w:t>
            </w:r>
          </w:p>
        </w:tc>
      </w:tr>
      <w:tr w:rsidR="0002422B" w:rsidRPr="0002422B" w:rsidTr="00242C36">
        <w:tc>
          <w:tcPr>
            <w:tcW w:w="550" w:type="dxa"/>
          </w:tcPr>
          <w:p w:rsidR="00262E2B" w:rsidRPr="0002422B" w:rsidRDefault="00262E2B" w:rsidP="006C4607">
            <w:pPr>
              <w:pStyle w:val="naiskr"/>
              <w:spacing w:before="0" w:after="0"/>
            </w:pPr>
            <w:r w:rsidRPr="0002422B">
              <w:lastRenderedPageBreak/>
              <w:t>7.</w:t>
            </w:r>
          </w:p>
        </w:tc>
        <w:tc>
          <w:tcPr>
            <w:tcW w:w="2574" w:type="dxa"/>
          </w:tcPr>
          <w:p w:rsidR="00262E2B" w:rsidRPr="0002422B" w:rsidRDefault="00262E2B" w:rsidP="006C4607">
            <w:pPr>
              <w:pStyle w:val="naiskr"/>
              <w:spacing w:before="0" w:after="0"/>
            </w:pPr>
            <w:r w:rsidRPr="0002422B">
              <w:t>Cita informācija</w:t>
            </w:r>
          </w:p>
        </w:tc>
        <w:tc>
          <w:tcPr>
            <w:tcW w:w="6520" w:type="dxa"/>
          </w:tcPr>
          <w:p w:rsidR="006A188C" w:rsidRPr="0002422B" w:rsidRDefault="006A188C" w:rsidP="00483B9F">
            <w:pPr>
              <w:autoSpaceDE w:val="0"/>
              <w:autoSpaceDN w:val="0"/>
              <w:adjustRightInd w:val="0"/>
              <w:spacing w:after="60"/>
              <w:ind w:left="102"/>
              <w:jc w:val="both"/>
            </w:pPr>
            <w:r w:rsidRPr="0002422B">
              <w:t xml:space="preserve">Plānots, ka </w:t>
            </w:r>
            <w:r w:rsidR="00483B9F" w:rsidRPr="0002422B">
              <w:t xml:space="preserve">grozījumi </w:t>
            </w:r>
            <w:r w:rsidR="00984D79" w:rsidRPr="0002422B">
              <w:t xml:space="preserve">stājas </w:t>
            </w:r>
            <w:r w:rsidRPr="0002422B">
              <w:t xml:space="preserve">spēkā 2013.gada </w:t>
            </w:r>
            <w:r w:rsidR="00F57DC0" w:rsidRPr="0002422B">
              <w:t>1</w:t>
            </w:r>
            <w:r w:rsidRPr="0002422B">
              <w:t>.</w:t>
            </w:r>
            <w:r w:rsidR="00F57DC0" w:rsidRPr="0002422B">
              <w:t>novembr</w:t>
            </w:r>
            <w:r w:rsidR="00483B9F" w:rsidRPr="0002422B">
              <w:t>ī, bet izmaiņas noteikumu 21.punktā (norēķinu sistēmas maiņa) 2013.gada 1.decembrī</w:t>
            </w:r>
            <w:r w:rsidR="00DC10F5" w:rsidRPr="0002422B">
              <w:t>. Līdz 1.decembrim publiskais tirgotājs uzsāktu īstenot informēšanas kampaņu par norēķinu maiņu</w:t>
            </w:r>
            <w:r w:rsidR="00984D79" w:rsidRPr="0002422B">
              <w:t>,</w:t>
            </w:r>
            <w:r w:rsidR="00B16594" w:rsidRPr="0002422B">
              <w:t xml:space="preserve"> un lietotāji par elektroenerģiju pēc pašu izvēlētās norēķinu metodes </w:t>
            </w:r>
            <w:r w:rsidR="00F237C9" w:rsidRPr="0002422B">
              <w:t>norēķināsies</w:t>
            </w:r>
            <w:r w:rsidR="00984D79" w:rsidRPr="0002422B">
              <w:t>,</w:t>
            </w:r>
            <w:r w:rsidR="00B16594" w:rsidRPr="0002422B">
              <w:t xml:space="preserve"> sākot no 1.decembra. Šāds laika grafiks noteikts,</w:t>
            </w:r>
            <w:r w:rsidR="00163BB2" w:rsidRPr="0002422B">
              <w:t xml:space="preserve"> jo</w:t>
            </w:r>
            <w:r w:rsidR="00B16594" w:rsidRPr="0002422B">
              <w:t xml:space="preserve"> tas</w:t>
            </w:r>
            <w:r w:rsidRPr="0002422B">
              <w:t xml:space="preserve"> ļaus AS „Latvenergo” šo izmaiņu informēšanas kampaņu apvienot ar paralēlo cenu uzrādīšan</w:t>
            </w:r>
            <w:r w:rsidR="00BB6825" w:rsidRPr="0002422B">
              <w:t xml:space="preserve">as periodu, kas ir saistīts ar </w:t>
            </w:r>
            <w:proofErr w:type="spellStart"/>
            <w:r w:rsidR="00BB6825" w:rsidRPr="0002422B">
              <w:t>E</w:t>
            </w:r>
            <w:r w:rsidR="00163BB2" w:rsidRPr="0002422B">
              <w:t>u</w:t>
            </w:r>
            <w:r w:rsidRPr="0002422B">
              <w:t>ro</w:t>
            </w:r>
            <w:proofErr w:type="spellEnd"/>
            <w:r w:rsidRPr="0002422B">
              <w:t xml:space="preserve"> ieviešanu.</w:t>
            </w:r>
            <w:r w:rsidR="00593262" w:rsidRPr="0002422B">
              <w:t xml:space="preserve"> Ņemot vērā iev</w:t>
            </w:r>
            <w:r w:rsidR="004D4AEF" w:rsidRPr="0002422B">
              <w:t xml:space="preserve">ērojamo klientu skaitu, izlīdzināto maksājumu kā pamata norēķinu veidu ieviesīs divu mēnešu laikā. </w:t>
            </w:r>
          </w:p>
          <w:p w:rsidR="00262E2B" w:rsidRPr="0002422B" w:rsidRDefault="00262E2B" w:rsidP="006A188C">
            <w:pPr>
              <w:pStyle w:val="naiskr"/>
              <w:spacing w:before="0" w:after="0"/>
              <w:ind w:left="102" w:firstLine="567"/>
            </w:pPr>
          </w:p>
        </w:tc>
      </w:tr>
    </w:tbl>
    <w:p w:rsidR="00852042" w:rsidRPr="0002422B" w:rsidRDefault="00852042" w:rsidP="006C460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3119"/>
        <w:gridCol w:w="6067"/>
      </w:tblGrid>
      <w:tr w:rsidR="0002422B" w:rsidRPr="0002422B" w:rsidTr="00FD2A8A">
        <w:tc>
          <w:tcPr>
            <w:tcW w:w="9758" w:type="dxa"/>
            <w:gridSpan w:val="3"/>
            <w:vAlign w:val="center"/>
          </w:tcPr>
          <w:p w:rsidR="0062298A" w:rsidRPr="0002422B" w:rsidRDefault="0062298A" w:rsidP="006C4607">
            <w:pPr>
              <w:pStyle w:val="naisnod"/>
              <w:spacing w:before="0" w:after="0"/>
            </w:pPr>
            <w:r w:rsidRPr="0002422B">
              <w:t>II</w:t>
            </w:r>
            <w:r w:rsidR="000941C5" w:rsidRPr="0002422B">
              <w:t>.</w:t>
            </w:r>
            <w:r w:rsidRPr="0002422B">
              <w:t xml:space="preserve"> Tiesību akta projekta ietekme uz sabiedrību</w:t>
            </w:r>
          </w:p>
        </w:tc>
      </w:tr>
      <w:tr w:rsidR="0002422B" w:rsidRPr="0002422B" w:rsidTr="00A635D1">
        <w:trPr>
          <w:trHeight w:val="467"/>
        </w:trPr>
        <w:tc>
          <w:tcPr>
            <w:tcW w:w="572" w:type="dxa"/>
          </w:tcPr>
          <w:p w:rsidR="0062298A" w:rsidRPr="0002422B" w:rsidRDefault="0062298A" w:rsidP="006C4607">
            <w:pPr>
              <w:pStyle w:val="naiskr"/>
              <w:spacing w:before="0" w:after="0"/>
            </w:pPr>
            <w:r w:rsidRPr="0002422B">
              <w:t>1.</w:t>
            </w:r>
          </w:p>
        </w:tc>
        <w:tc>
          <w:tcPr>
            <w:tcW w:w="3119" w:type="dxa"/>
          </w:tcPr>
          <w:p w:rsidR="0062298A" w:rsidRPr="0002422B" w:rsidRDefault="00C27A08" w:rsidP="006C4607">
            <w:pPr>
              <w:pStyle w:val="naiskr"/>
              <w:spacing w:before="0" w:after="0"/>
            </w:pPr>
            <w:r w:rsidRPr="0002422B">
              <w:t xml:space="preserve">Sabiedrības </w:t>
            </w:r>
            <w:proofErr w:type="spellStart"/>
            <w:r w:rsidRPr="0002422B">
              <w:t>mērķgrupa</w:t>
            </w:r>
            <w:proofErr w:type="spellEnd"/>
          </w:p>
        </w:tc>
        <w:tc>
          <w:tcPr>
            <w:tcW w:w="6067" w:type="dxa"/>
          </w:tcPr>
          <w:p w:rsidR="0062298A" w:rsidRPr="0002422B" w:rsidRDefault="00BB6825" w:rsidP="00BB6825">
            <w:pPr>
              <w:pStyle w:val="naiskr"/>
              <w:spacing w:before="0" w:after="0"/>
              <w:ind w:left="141" w:firstLine="567"/>
              <w:jc w:val="both"/>
            </w:pPr>
            <w:r w:rsidRPr="0002422B">
              <w:t>Visas Latvijas mājsaimniecības</w:t>
            </w:r>
            <w:r w:rsidR="00163BB2" w:rsidRPr="0002422B">
              <w:rPr>
                <w:iCs/>
              </w:rPr>
              <w:t xml:space="preserve"> (</w:t>
            </w:r>
            <w:r w:rsidRPr="0002422B">
              <w:rPr>
                <w:iCs/>
              </w:rPr>
              <w:t>kopskaitā ap 900 tūkstoši</w:t>
            </w:r>
            <w:r w:rsidR="00163BB2" w:rsidRPr="0002422B">
              <w:rPr>
                <w:iCs/>
              </w:rPr>
              <w:t>)</w:t>
            </w:r>
          </w:p>
        </w:tc>
      </w:tr>
      <w:tr w:rsidR="0002422B" w:rsidRPr="0002422B" w:rsidTr="00A635D1">
        <w:trPr>
          <w:trHeight w:val="523"/>
        </w:trPr>
        <w:tc>
          <w:tcPr>
            <w:tcW w:w="572" w:type="dxa"/>
          </w:tcPr>
          <w:p w:rsidR="0062298A" w:rsidRPr="0002422B" w:rsidRDefault="0062298A" w:rsidP="006C4607">
            <w:pPr>
              <w:pStyle w:val="naiskr"/>
              <w:spacing w:before="0" w:after="0"/>
            </w:pPr>
            <w:r w:rsidRPr="0002422B">
              <w:t>2.</w:t>
            </w:r>
          </w:p>
        </w:tc>
        <w:tc>
          <w:tcPr>
            <w:tcW w:w="3119" w:type="dxa"/>
          </w:tcPr>
          <w:p w:rsidR="00C1133D" w:rsidRPr="0002422B" w:rsidRDefault="00C27A08" w:rsidP="006C4607">
            <w:pPr>
              <w:pStyle w:val="naiskr"/>
              <w:spacing w:before="0" w:after="0"/>
            </w:pPr>
            <w:r w:rsidRPr="0002422B">
              <w:t xml:space="preserve">Citas sabiedrības grupas (bez </w:t>
            </w:r>
            <w:proofErr w:type="spellStart"/>
            <w:r w:rsidRPr="0002422B">
              <w:t>mērķgrupas</w:t>
            </w:r>
            <w:proofErr w:type="spellEnd"/>
            <w:r w:rsidRPr="0002422B">
              <w:t>), kuras tiesiskais regulējums arī ietekmē vai varētu ietekmēt</w:t>
            </w:r>
          </w:p>
        </w:tc>
        <w:tc>
          <w:tcPr>
            <w:tcW w:w="6067" w:type="dxa"/>
          </w:tcPr>
          <w:p w:rsidR="0062298A" w:rsidRPr="0002422B" w:rsidRDefault="00617AA3" w:rsidP="008162B8">
            <w:pPr>
              <w:pStyle w:val="naiskr"/>
              <w:spacing w:before="0" w:after="0"/>
              <w:ind w:left="141" w:firstLine="567"/>
              <w:jc w:val="both"/>
            </w:pPr>
            <w:r w:rsidRPr="0002422B">
              <w:rPr>
                <w:iCs/>
              </w:rPr>
              <w:t>Nav.</w:t>
            </w:r>
          </w:p>
        </w:tc>
      </w:tr>
      <w:tr w:rsidR="0002422B" w:rsidRPr="0002422B" w:rsidTr="00A635D1">
        <w:trPr>
          <w:trHeight w:val="517"/>
        </w:trPr>
        <w:tc>
          <w:tcPr>
            <w:tcW w:w="572" w:type="dxa"/>
          </w:tcPr>
          <w:p w:rsidR="0062298A" w:rsidRPr="0002422B" w:rsidRDefault="0062298A" w:rsidP="006C4607">
            <w:pPr>
              <w:pStyle w:val="naiskr"/>
              <w:spacing w:before="0" w:after="0"/>
            </w:pPr>
            <w:r w:rsidRPr="0002422B">
              <w:t>3.</w:t>
            </w:r>
          </w:p>
        </w:tc>
        <w:tc>
          <w:tcPr>
            <w:tcW w:w="3119" w:type="dxa"/>
          </w:tcPr>
          <w:p w:rsidR="00C1133D" w:rsidRPr="0002422B" w:rsidRDefault="000C790C" w:rsidP="006C4607">
            <w:pPr>
              <w:pStyle w:val="naiskr"/>
              <w:spacing w:before="0" w:after="0"/>
            </w:pPr>
            <w:r w:rsidRPr="0002422B">
              <w:t>Tiesiskā r</w:t>
            </w:r>
            <w:r w:rsidR="003D21FF" w:rsidRPr="0002422B">
              <w:t>egulējuma</w:t>
            </w:r>
            <w:r w:rsidR="00C27A08" w:rsidRPr="0002422B">
              <w:t xml:space="preserve"> finansiālā ietekme</w:t>
            </w:r>
          </w:p>
        </w:tc>
        <w:tc>
          <w:tcPr>
            <w:tcW w:w="6067" w:type="dxa"/>
          </w:tcPr>
          <w:p w:rsidR="0062298A" w:rsidRPr="0002422B" w:rsidRDefault="008162B8" w:rsidP="008162B8">
            <w:pPr>
              <w:pStyle w:val="naiskr"/>
              <w:spacing w:before="0" w:after="0"/>
              <w:ind w:left="141" w:firstLine="567"/>
              <w:jc w:val="both"/>
            </w:pPr>
            <w:r w:rsidRPr="0002422B">
              <w:t>Finansiāli neitrāls</w:t>
            </w:r>
            <w:r w:rsidR="007C4B41" w:rsidRPr="0002422B">
              <w:t>. Noteikumu projekts neparedz izmaiņas izmaksu vai maksājumu apjoma ziņā.</w:t>
            </w:r>
          </w:p>
        </w:tc>
      </w:tr>
      <w:tr w:rsidR="0002422B" w:rsidRPr="0002422B" w:rsidTr="00A635D1">
        <w:trPr>
          <w:trHeight w:val="517"/>
        </w:trPr>
        <w:tc>
          <w:tcPr>
            <w:tcW w:w="572" w:type="dxa"/>
          </w:tcPr>
          <w:p w:rsidR="00C27A08" w:rsidRPr="0002422B" w:rsidRDefault="00C27A08" w:rsidP="006C4607">
            <w:pPr>
              <w:pStyle w:val="naiskr"/>
              <w:spacing w:before="0" w:after="0"/>
            </w:pPr>
            <w:r w:rsidRPr="0002422B">
              <w:t>4.</w:t>
            </w:r>
          </w:p>
        </w:tc>
        <w:tc>
          <w:tcPr>
            <w:tcW w:w="3119" w:type="dxa"/>
          </w:tcPr>
          <w:p w:rsidR="00C27A08" w:rsidRPr="0002422B" w:rsidRDefault="00C27A08" w:rsidP="006C4607">
            <w:pPr>
              <w:pStyle w:val="naiskr"/>
              <w:spacing w:before="0" w:after="0"/>
            </w:pPr>
            <w:r w:rsidRPr="0002422B">
              <w:t>Tiesiskā regulējuma nefinansiālā ietekme</w:t>
            </w:r>
          </w:p>
        </w:tc>
        <w:tc>
          <w:tcPr>
            <w:tcW w:w="6067" w:type="dxa"/>
          </w:tcPr>
          <w:p w:rsidR="008162B8" w:rsidRPr="0002422B" w:rsidRDefault="00BB6825" w:rsidP="008162B8">
            <w:pPr>
              <w:pStyle w:val="naiskr"/>
              <w:ind w:left="141" w:firstLine="567"/>
              <w:jc w:val="both"/>
            </w:pPr>
            <w:r w:rsidRPr="0002422B">
              <w:t>Lietotājiem būs izprotamāki</w:t>
            </w:r>
            <w:r w:rsidR="008162B8" w:rsidRPr="0002422B">
              <w:t xml:space="preserve"> elektroenerģijas cenu veidošanas </w:t>
            </w:r>
            <w:r w:rsidRPr="0002422B">
              <w:t>principi</w:t>
            </w:r>
            <w:r w:rsidR="008162B8" w:rsidRPr="0002422B">
              <w:t xml:space="preserve">, </w:t>
            </w:r>
            <w:r w:rsidRPr="0002422B">
              <w:t>mājsaimniecību</w:t>
            </w:r>
            <w:r w:rsidR="008162B8" w:rsidRPr="0002422B">
              <w:t xml:space="preserve"> sagatavošana tirgus atvēršanas procesam, jo maksājumu plānos skaidri tiks norād</w:t>
            </w:r>
            <w:r w:rsidRPr="0002422B">
              <w:t>īta katras komponentes vērtība.</w:t>
            </w:r>
          </w:p>
          <w:p w:rsidR="00C27A08" w:rsidRPr="0002422B" w:rsidRDefault="008162B8" w:rsidP="008162B8">
            <w:pPr>
              <w:pStyle w:val="naiskr"/>
              <w:ind w:left="141" w:firstLine="567"/>
              <w:jc w:val="both"/>
            </w:pPr>
            <w:r w:rsidRPr="0002422B">
              <w:t xml:space="preserve">Šādas izmaiņas atvieglos gaidāmās izmaiņas sistēmas pakalpojumu tarifu struktūrā. Kā arī viestās izmaiņas </w:t>
            </w:r>
            <w:r w:rsidRPr="0002422B">
              <w:lastRenderedPageBreak/>
              <w:t xml:space="preserve">norēķinos un cenu veidošanas principos sakritīs ar paralēlo cenu informēšanas kampaņu </w:t>
            </w:r>
            <w:proofErr w:type="spellStart"/>
            <w:r w:rsidRPr="0002422B">
              <w:t>E</w:t>
            </w:r>
            <w:r w:rsidR="00163BB2" w:rsidRPr="0002422B">
              <w:t>u</w:t>
            </w:r>
            <w:r w:rsidRPr="0002422B">
              <w:t>ro</w:t>
            </w:r>
            <w:proofErr w:type="spellEnd"/>
            <w:r w:rsidRPr="0002422B">
              <w:t xml:space="preserve"> ieviešanā.</w:t>
            </w:r>
          </w:p>
        </w:tc>
      </w:tr>
      <w:tr w:rsidR="0002422B" w:rsidRPr="0002422B" w:rsidTr="00A635D1">
        <w:trPr>
          <w:trHeight w:val="531"/>
        </w:trPr>
        <w:tc>
          <w:tcPr>
            <w:tcW w:w="572" w:type="dxa"/>
          </w:tcPr>
          <w:p w:rsidR="0062298A" w:rsidRPr="0002422B" w:rsidRDefault="00C27A08" w:rsidP="006C4607">
            <w:pPr>
              <w:pStyle w:val="naiskr"/>
              <w:spacing w:before="0" w:after="0"/>
            </w:pPr>
            <w:r w:rsidRPr="0002422B">
              <w:lastRenderedPageBreak/>
              <w:t>5</w:t>
            </w:r>
            <w:r w:rsidR="0062298A" w:rsidRPr="0002422B">
              <w:t>.</w:t>
            </w:r>
          </w:p>
        </w:tc>
        <w:tc>
          <w:tcPr>
            <w:tcW w:w="3119" w:type="dxa"/>
          </w:tcPr>
          <w:p w:rsidR="00C1133D" w:rsidRPr="0002422B" w:rsidRDefault="00C1133D" w:rsidP="006C4607">
            <w:pPr>
              <w:pStyle w:val="naiskr"/>
              <w:spacing w:before="0" w:after="0"/>
            </w:pPr>
            <w:r w:rsidRPr="0002422B">
              <w:t>Administratīv</w:t>
            </w:r>
            <w:r w:rsidR="00C27A08" w:rsidRPr="0002422B">
              <w:t>ās</w:t>
            </w:r>
            <w:r w:rsidRPr="0002422B">
              <w:t xml:space="preserve"> procedūr</w:t>
            </w:r>
            <w:r w:rsidR="00965897" w:rsidRPr="0002422B">
              <w:t>a</w:t>
            </w:r>
            <w:r w:rsidRPr="0002422B">
              <w:t xml:space="preserve">s </w:t>
            </w:r>
            <w:r w:rsidR="00C27A08" w:rsidRPr="0002422B">
              <w:t>raksturojums</w:t>
            </w:r>
          </w:p>
        </w:tc>
        <w:tc>
          <w:tcPr>
            <w:tcW w:w="6067" w:type="dxa"/>
          </w:tcPr>
          <w:p w:rsidR="0062298A" w:rsidRPr="0002422B" w:rsidRDefault="007C4B41" w:rsidP="007C4B41">
            <w:pPr>
              <w:pStyle w:val="naiskr"/>
              <w:spacing w:before="0" w:after="0"/>
              <w:ind w:left="141" w:firstLine="567"/>
            </w:pPr>
            <w:r w:rsidRPr="0002422B">
              <w:t>Projekts šo jomu neskar.</w:t>
            </w:r>
          </w:p>
        </w:tc>
      </w:tr>
      <w:tr w:rsidR="0002422B" w:rsidRPr="0002422B" w:rsidTr="00A635D1">
        <w:trPr>
          <w:trHeight w:val="357"/>
        </w:trPr>
        <w:tc>
          <w:tcPr>
            <w:tcW w:w="572" w:type="dxa"/>
          </w:tcPr>
          <w:p w:rsidR="0062298A" w:rsidRPr="0002422B" w:rsidRDefault="00C27A08" w:rsidP="006C4607">
            <w:pPr>
              <w:pStyle w:val="naiskr"/>
              <w:spacing w:before="0" w:after="0"/>
            </w:pPr>
            <w:r w:rsidRPr="0002422B">
              <w:t>6</w:t>
            </w:r>
            <w:r w:rsidR="0062298A" w:rsidRPr="0002422B">
              <w:t>.</w:t>
            </w:r>
          </w:p>
        </w:tc>
        <w:tc>
          <w:tcPr>
            <w:tcW w:w="3119" w:type="dxa"/>
          </w:tcPr>
          <w:p w:rsidR="00AE5066" w:rsidRPr="0002422B" w:rsidRDefault="00C27A08" w:rsidP="006C4607">
            <w:pPr>
              <w:pStyle w:val="naiskr"/>
              <w:spacing w:before="0" w:after="0"/>
            </w:pPr>
            <w:r w:rsidRPr="0002422B">
              <w:t xml:space="preserve">Administratīvo izmaksu </w:t>
            </w:r>
            <w:r w:rsidR="00502374" w:rsidRPr="0002422B">
              <w:t xml:space="preserve">monetārs </w:t>
            </w:r>
            <w:r w:rsidRPr="0002422B">
              <w:t>novērtējums</w:t>
            </w:r>
          </w:p>
        </w:tc>
        <w:tc>
          <w:tcPr>
            <w:tcW w:w="6067" w:type="dxa"/>
          </w:tcPr>
          <w:p w:rsidR="0062298A" w:rsidRPr="0002422B" w:rsidRDefault="007C4B41" w:rsidP="007C4B41">
            <w:pPr>
              <w:pStyle w:val="naiskr"/>
              <w:spacing w:before="0" w:after="0"/>
              <w:ind w:left="141" w:firstLine="567"/>
            </w:pPr>
            <w:r w:rsidRPr="0002422B">
              <w:t>Projekts šo jomu neskar.</w:t>
            </w:r>
          </w:p>
        </w:tc>
      </w:tr>
      <w:tr w:rsidR="0002422B" w:rsidRPr="0002422B" w:rsidTr="00A635D1">
        <w:tc>
          <w:tcPr>
            <w:tcW w:w="572" w:type="dxa"/>
          </w:tcPr>
          <w:p w:rsidR="0062298A" w:rsidRPr="0002422B" w:rsidRDefault="00C27A08" w:rsidP="006C4607">
            <w:pPr>
              <w:pStyle w:val="naiskr"/>
              <w:spacing w:before="0" w:after="0"/>
            </w:pPr>
            <w:r w:rsidRPr="0002422B">
              <w:t>7</w:t>
            </w:r>
            <w:r w:rsidR="0062298A" w:rsidRPr="0002422B">
              <w:t>.</w:t>
            </w:r>
          </w:p>
        </w:tc>
        <w:tc>
          <w:tcPr>
            <w:tcW w:w="3119" w:type="dxa"/>
          </w:tcPr>
          <w:p w:rsidR="0062298A" w:rsidRPr="0002422B" w:rsidRDefault="009E12D7" w:rsidP="006C4607">
            <w:pPr>
              <w:pStyle w:val="naiskr"/>
              <w:spacing w:before="0" w:after="0"/>
            </w:pPr>
            <w:r w:rsidRPr="0002422B">
              <w:t>Cita informācija</w:t>
            </w:r>
          </w:p>
        </w:tc>
        <w:tc>
          <w:tcPr>
            <w:tcW w:w="6067" w:type="dxa"/>
          </w:tcPr>
          <w:p w:rsidR="0062298A" w:rsidRPr="0002422B" w:rsidRDefault="007C4B41" w:rsidP="007C4B41">
            <w:pPr>
              <w:pStyle w:val="naiskr"/>
              <w:spacing w:before="0" w:after="0"/>
              <w:ind w:left="141" w:firstLine="567"/>
            </w:pPr>
            <w:r w:rsidRPr="0002422B">
              <w:t>Nav.</w:t>
            </w:r>
          </w:p>
        </w:tc>
      </w:tr>
    </w:tbl>
    <w:p w:rsidR="008C5649" w:rsidRPr="0002422B" w:rsidRDefault="008C5649" w:rsidP="006C4607">
      <w:pPr>
        <w:pStyle w:val="naisf"/>
        <w:spacing w:before="0" w:after="0"/>
      </w:pPr>
    </w:p>
    <w:p w:rsidR="007C4B41" w:rsidRPr="0002422B" w:rsidRDefault="007C4B41" w:rsidP="00A635D1">
      <w:pPr>
        <w:pStyle w:val="NormalWeb"/>
        <w:spacing w:before="0" w:beforeAutospacing="0" w:after="0" w:afterAutospacing="0" w:line="276" w:lineRule="auto"/>
        <w:rPr>
          <w:b/>
          <w:lang w:val="lv-LV"/>
        </w:rPr>
      </w:pPr>
      <w:r w:rsidRPr="0002422B">
        <w:rPr>
          <w:b/>
          <w:lang w:val="lv-LV"/>
        </w:rPr>
        <w:t>Anotācijas III, IV</w:t>
      </w:r>
      <w:r w:rsidR="0002422B" w:rsidRPr="0002422B">
        <w:rPr>
          <w:b/>
          <w:lang w:val="lv-LV"/>
        </w:rPr>
        <w:t>, V, VI</w:t>
      </w:r>
      <w:r w:rsidRPr="0002422B">
        <w:rPr>
          <w:b/>
          <w:lang w:val="lv-LV"/>
        </w:rPr>
        <w:t xml:space="preserve"> sadaļa – </w:t>
      </w:r>
      <w:r w:rsidR="001D77CC" w:rsidRPr="0002422B">
        <w:rPr>
          <w:b/>
          <w:lang w:val="lv-LV"/>
        </w:rPr>
        <w:t>projekts šīs jomas neskar.</w:t>
      </w:r>
    </w:p>
    <w:p w:rsidR="007C4B41" w:rsidRPr="0002422B" w:rsidRDefault="007C4B41" w:rsidP="006C4607">
      <w:pPr>
        <w:pStyle w:val="naisf"/>
        <w:spacing w:before="0" w:after="0"/>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02422B" w:rsidRPr="0002422B" w:rsidTr="00FD2A8A">
        <w:tc>
          <w:tcPr>
            <w:tcW w:w="10264" w:type="dxa"/>
            <w:gridSpan w:val="3"/>
            <w:tcBorders>
              <w:top w:val="single" w:sz="4" w:space="0" w:color="auto"/>
            </w:tcBorders>
          </w:tcPr>
          <w:p w:rsidR="0023436E" w:rsidRPr="0002422B" w:rsidRDefault="0023436E" w:rsidP="007D099D">
            <w:pPr>
              <w:pStyle w:val="naisnod"/>
              <w:spacing w:before="0" w:after="0"/>
              <w:ind w:left="57" w:right="57"/>
            </w:pPr>
            <w:r w:rsidRPr="0002422B">
              <w:t>VII</w:t>
            </w:r>
            <w:r w:rsidR="000941C5" w:rsidRPr="0002422B">
              <w:t>.</w:t>
            </w:r>
            <w:r w:rsidRPr="0002422B">
              <w:t xml:space="preserve"> Tiesību akta projekta izpildes nodrošināšana un tās ietekme uz institūcijām</w:t>
            </w:r>
          </w:p>
        </w:tc>
      </w:tr>
      <w:tr w:rsidR="0002422B" w:rsidRPr="0002422B" w:rsidTr="00FD2A8A">
        <w:trPr>
          <w:trHeight w:val="427"/>
        </w:trPr>
        <w:tc>
          <w:tcPr>
            <w:tcW w:w="374" w:type="dxa"/>
          </w:tcPr>
          <w:p w:rsidR="0023436E" w:rsidRPr="0002422B" w:rsidRDefault="0023436E" w:rsidP="007D099D">
            <w:pPr>
              <w:pStyle w:val="naisnod"/>
              <w:spacing w:before="0" w:after="0"/>
              <w:ind w:left="57" w:right="57"/>
              <w:jc w:val="left"/>
              <w:rPr>
                <w:b w:val="0"/>
              </w:rPr>
            </w:pPr>
            <w:r w:rsidRPr="0002422B">
              <w:rPr>
                <w:b w:val="0"/>
              </w:rPr>
              <w:t>1.</w:t>
            </w:r>
          </w:p>
        </w:tc>
        <w:tc>
          <w:tcPr>
            <w:tcW w:w="4588" w:type="dxa"/>
          </w:tcPr>
          <w:p w:rsidR="0023436E" w:rsidRPr="0002422B" w:rsidRDefault="001A4066" w:rsidP="007D099D">
            <w:pPr>
              <w:pStyle w:val="naisf"/>
              <w:spacing w:before="0" w:after="0"/>
              <w:ind w:left="57" w:right="57" w:firstLine="0"/>
              <w:jc w:val="left"/>
            </w:pPr>
            <w:r w:rsidRPr="0002422B">
              <w:t>P</w:t>
            </w:r>
            <w:r w:rsidR="0023436E" w:rsidRPr="0002422B">
              <w:t xml:space="preserve">rojekta izpildē iesaistītās institūcijas </w:t>
            </w:r>
          </w:p>
        </w:tc>
        <w:tc>
          <w:tcPr>
            <w:tcW w:w="5302" w:type="dxa"/>
          </w:tcPr>
          <w:p w:rsidR="0023436E" w:rsidRPr="0002422B" w:rsidRDefault="007C4B41" w:rsidP="000539BE">
            <w:pPr>
              <w:pStyle w:val="naisnod"/>
              <w:spacing w:before="0" w:after="0"/>
              <w:ind w:left="57" w:right="57"/>
              <w:jc w:val="left"/>
              <w:rPr>
                <w:b w:val="0"/>
              </w:rPr>
            </w:pPr>
            <w:r w:rsidRPr="0002422B">
              <w:rPr>
                <w:b w:val="0"/>
              </w:rPr>
              <w:t>Noteikumu projekta izpildē ir iesaistīta Ekonomikas ministrija</w:t>
            </w:r>
            <w:r w:rsidR="005E6B88" w:rsidRPr="0002422B">
              <w:rPr>
                <w:b w:val="0"/>
              </w:rPr>
              <w:t>,</w:t>
            </w:r>
            <w:r w:rsidRPr="0002422B">
              <w:rPr>
                <w:b w:val="0"/>
              </w:rPr>
              <w:t xml:space="preserve"> </w:t>
            </w:r>
            <w:r w:rsidR="000539BE" w:rsidRPr="0002422B">
              <w:rPr>
                <w:b w:val="0"/>
              </w:rPr>
              <w:t>publiskais tirgotājs AS "Latvenergo" un sadales sistēmas operators AS "Sadales tīkls".</w:t>
            </w:r>
          </w:p>
        </w:tc>
      </w:tr>
      <w:tr w:rsidR="0002422B" w:rsidRPr="0002422B" w:rsidTr="00FD2A8A">
        <w:trPr>
          <w:trHeight w:val="463"/>
        </w:trPr>
        <w:tc>
          <w:tcPr>
            <w:tcW w:w="374" w:type="dxa"/>
          </w:tcPr>
          <w:p w:rsidR="0023436E" w:rsidRPr="0002422B" w:rsidRDefault="0023436E" w:rsidP="007D099D">
            <w:pPr>
              <w:pStyle w:val="naisnod"/>
              <w:spacing w:before="0" w:after="0"/>
              <w:ind w:left="57" w:right="57"/>
              <w:jc w:val="left"/>
              <w:rPr>
                <w:b w:val="0"/>
              </w:rPr>
            </w:pPr>
            <w:r w:rsidRPr="0002422B">
              <w:rPr>
                <w:b w:val="0"/>
              </w:rPr>
              <w:t>2.</w:t>
            </w:r>
          </w:p>
        </w:tc>
        <w:tc>
          <w:tcPr>
            <w:tcW w:w="4588" w:type="dxa"/>
          </w:tcPr>
          <w:p w:rsidR="0023436E" w:rsidRPr="0002422B" w:rsidRDefault="001A4066" w:rsidP="007D099D">
            <w:pPr>
              <w:pStyle w:val="naisf"/>
              <w:spacing w:before="0" w:after="0"/>
              <w:ind w:left="57" w:right="57" w:firstLine="0"/>
              <w:jc w:val="left"/>
            </w:pPr>
            <w:r w:rsidRPr="0002422B">
              <w:t>Projekta i</w:t>
            </w:r>
            <w:r w:rsidR="0023436E" w:rsidRPr="0002422B">
              <w:t xml:space="preserve">zpildes ietekme uz pārvaldes funkcijām </w:t>
            </w:r>
          </w:p>
        </w:tc>
        <w:tc>
          <w:tcPr>
            <w:tcW w:w="5302" w:type="dxa"/>
          </w:tcPr>
          <w:p w:rsidR="0023436E" w:rsidRPr="0002422B" w:rsidRDefault="004F0653" w:rsidP="00C27C58">
            <w:pPr>
              <w:pStyle w:val="naisnod"/>
              <w:spacing w:before="0" w:after="0"/>
              <w:ind w:left="57" w:right="57"/>
              <w:jc w:val="left"/>
              <w:rPr>
                <w:b w:val="0"/>
              </w:rPr>
            </w:pPr>
            <w:r w:rsidRPr="0002422B">
              <w:rPr>
                <w:b w:val="0"/>
              </w:rPr>
              <w:t>Noteikumu projekta izpildi nodrošinās</w:t>
            </w:r>
            <w:r w:rsidR="000539BE" w:rsidRPr="0002422B">
              <w:rPr>
                <w:b w:val="0"/>
              </w:rPr>
              <w:t xml:space="preserve"> publiskā tirgotāja</w:t>
            </w:r>
            <w:r w:rsidRPr="0002422B">
              <w:rPr>
                <w:b w:val="0"/>
              </w:rPr>
              <w:t xml:space="preserve">  A/S </w:t>
            </w:r>
            <w:r w:rsidR="000539BE" w:rsidRPr="0002422B">
              <w:rPr>
                <w:b w:val="0"/>
              </w:rPr>
              <w:t>„</w:t>
            </w:r>
            <w:r w:rsidRPr="0002422B">
              <w:rPr>
                <w:b w:val="0"/>
              </w:rPr>
              <w:t>Latvenergo</w:t>
            </w:r>
            <w:r w:rsidR="000539BE" w:rsidRPr="0002422B">
              <w:rPr>
                <w:b w:val="0"/>
              </w:rPr>
              <w:t xml:space="preserve">” un sadales sistēmas operatora A/S „Sadales tīkls” </w:t>
            </w:r>
            <w:r w:rsidRPr="0002422B">
              <w:rPr>
                <w:b w:val="0"/>
              </w:rPr>
              <w:t xml:space="preserve"> darbības ietvaros.</w:t>
            </w:r>
            <w:r w:rsidR="00490578" w:rsidRPr="0002422B">
              <w:rPr>
                <w:b w:val="0"/>
              </w:rPr>
              <w:t xml:space="preserve"> </w:t>
            </w:r>
          </w:p>
        </w:tc>
      </w:tr>
      <w:tr w:rsidR="0002422B" w:rsidRPr="0002422B" w:rsidTr="00FD2A8A">
        <w:trPr>
          <w:trHeight w:val="725"/>
        </w:trPr>
        <w:tc>
          <w:tcPr>
            <w:tcW w:w="374" w:type="dxa"/>
          </w:tcPr>
          <w:p w:rsidR="0023436E" w:rsidRPr="0002422B" w:rsidRDefault="0023436E" w:rsidP="007D099D">
            <w:pPr>
              <w:pStyle w:val="naisnod"/>
              <w:spacing w:before="0" w:after="0"/>
              <w:ind w:left="57" w:right="57"/>
              <w:jc w:val="left"/>
              <w:rPr>
                <w:b w:val="0"/>
              </w:rPr>
            </w:pPr>
            <w:r w:rsidRPr="0002422B">
              <w:rPr>
                <w:b w:val="0"/>
              </w:rPr>
              <w:t>3.</w:t>
            </w:r>
          </w:p>
        </w:tc>
        <w:tc>
          <w:tcPr>
            <w:tcW w:w="4588" w:type="dxa"/>
          </w:tcPr>
          <w:p w:rsidR="0023436E" w:rsidRPr="0002422B" w:rsidRDefault="001A4066" w:rsidP="007D099D">
            <w:pPr>
              <w:pStyle w:val="naisf"/>
              <w:spacing w:before="0" w:after="0"/>
              <w:ind w:left="57" w:right="57" w:firstLine="0"/>
              <w:jc w:val="left"/>
            </w:pPr>
            <w:r w:rsidRPr="0002422B">
              <w:t>Projekta iz</w:t>
            </w:r>
            <w:r w:rsidR="0023436E" w:rsidRPr="0002422B">
              <w:t>pildes ietekme uz pārvaldes institucionālo struktūru.</w:t>
            </w:r>
          </w:p>
          <w:p w:rsidR="0023436E" w:rsidRPr="0002422B" w:rsidRDefault="006C4607" w:rsidP="007D099D">
            <w:pPr>
              <w:pStyle w:val="naisf"/>
              <w:spacing w:before="0" w:after="0"/>
              <w:ind w:left="57" w:right="57" w:firstLine="0"/>
              <w:jc w:val="left"/>
            </w:pPr>
            <w:r w:rsidRPr="0002422B">
              <w:t>Jaunu institūciju izveide</w:t>
            </w:r>
          </w:p>
        </w:tc>
        <w:tc>
          <w:tcPr>
            <w:tcW w:w="5302" w:type="dxa"/>
          </w:tcPr>
          <w:p w:rsidR="0023436E" w:rsidRPr="0002422B" w:rsidRDefault="004F0653" w:rsidP="007D099D">
            <w:pPr>
              <w:pStyle w:val="naisnod"/>
              <w:spacing w:before="0" w:after="0"/>
              <w:ind w:left="57" w:right="57"/>
              <w:jc w:val="left"/>
              <w:rPr>
                <w:b w:val="0"/>
              </w:rPr>
            </w:pPr>
            <w:r w:rsidRPr="0002422B">
              <w:rPr>
                <w:b w:val="0"/>
              </w:rPr>
              <w:t>Noteikumu projekta izpildei nav nepieciešams radīt jaunas institūcijas.</w:t>
            </w:r>
          </w:p>
        </w:tc>
      </w:tr>
      <w:tr w:rsidR="0002422B" w:rsidRPr="0002422B" w:rsidTr="00FD2A8A">
        <w:trPr>
          <w:trHeight w:val="780"/>
        </w:trPr>
        <w:tc>
          <w:tcPr>
            <w:tcW w:w="374" w:type="dxa"/>
          </w:tcPr>
          <w:p w:rsidR="0023436E" w:rsidRPr="0002422B" w:rsidRDefault="0023436E" w:rsidP="007D099D">
            <w:pPr>
              <w:pStyle w:val="naisnod"/>
              <w:spacing w:before="0" w:after="0"/>
              <w:ind w:left="57" w:right="57"/>
              <w:jc w:val="left"/>
              <w:rPr>
                <w:b w:val="0"/>
              </w:rPr>
            </w:pPr>
            <w:r w:rsidRPr="0002422B">
              <w:rPr>
                <w:b w:val="0"/>
              </w:rPr>
              <w:t>4.</w:t>
            </w:r>
          </w:p>
        </w:tc>
        <w:tc>
          <w:tcPr>
            <w:tcW w:w="4588" w:type="dxa"/>
          </w:tcPr>
          <w:p w:rsidR="0023436E" w:rsidRPr="0002422B" w:rsidRDefault="001A4066" w:rsidP="007D099D">
            <w:pPr>
              <w:pStyle w:val="naisf"/>
              <w:spacing w:before="0" w:after="0"/>
              <w:ind w:left="57" w:right="57" w:firstLine="0"/>
              <w:jc w:val="left"/>
            </w:pPr>
            <w:r w:rsidRPr="0002422B">
              <w:t>Projekta i</w:t>
            </w:r>
            <w:r w:rsidR="0023436E" w:rsidRPr="0002422B">
              <w:t>zpildes ietekme uz pārvaldes institucionālo struktūru.</w:t>
            </w:r>
          </w:p>
          <w:p w:rsidR="0023436E" w:rsidRPr="0002422B" w:rsidRDefault="006C4607" w:rsidP="007D099D">
            <w:pPr>
              <w:pStyle w:val="naisf"/>
              <w:spacing w:before="0" w:after="0"/>
              <w:ind w:left="57" w:right="57" w:firstLine="0"/>
              <w:jc w:val="left"/>
            </w:pPr>
            <w:r w:rsidRPr="0002422B">
              <w:t>Esošu institūciju likvidācija</w:t>
            </w:r>
          </w:p>
        </w:tc>
        <w:tc>
          <w:tcPr>
            <w:tcW w:w="5302" w:type="dxa"/>
          </w:tcPr>
          <w:p w:rsidR="0023436E" w:rsidRPr="0002422B" w:rsidRDefault="004F0653" w:rsidP="007D099D">
            <w:pPr>
              <w:pStyle w:val="naisnod"/>
              <w:spacing w:before="0" w:after="0"/>
              <w:ind w:left="57" w:right="57"/>
              <w:jc w:val="left"/>
              <w:rPr>
                <w:b w:val="0"/>
              </w:rPr>
            </w:pPr>
            <w:r w:rsidRPr="0002422B">
              <w:rPr>
                <w:b w:val="0"/>
              </w:rPr>
              <w:t>Noteikumu projekta izpildei nav nepieciešams likvidēt esošās institūcijas.</w:t>
            </w:r>
          </w:p>
        </w:tc>
      </w:tr>
      <w:tr w:rsidR="0002422B" w:rsidRPr="0002422B" w:rsidTr="00FD2A8A">
        <w:trPr>
          <w:trHeight w:val="703"/>
        </w:trPr>
        <w:tc>
          <w:tcPr>
            <w:tcW w:w="374" w:type="dxa"/>
          </w:tcPr>
          <w:p w:rsidR="0023436E" w:rsidRPr="0002422B" w:rsidRDefault="0023436E" w:rsidP="007D099D">
            <w:pPr>
              <w:pStyle w:val="naisnod"/>
              <w:spacing w:before="0" w:after="0"/>
              <w:ind w:left="57" w:right="57"/>
              <w:jc w:val="left"/>
              <w:rPr>
                <w:b w:val="0"/>
              </w:rPr>
            </w:pPr>
            <w:r w:rsidRPr="0002422B">
              <w:rPr>
                <w:b w:val="0"/>
              </w:rPr>
              <w:t>5.</w:t>
            </w:r>
          </w:p>
        </w:tc>
        <w:tc>
          <w:tcPr>
            <w:tcW w:w="4588" w:type="dxa"/>
          </w:tcPr>
          <w:p w:rsidR="0023436E" w:rsidRPr="0002422B" w:rsidRDefault="001A4066" w:rsidP="007D099D">
            <w:pPr>
              <w:pStyle w:val="naisf"/>
              <w:spacing w:before="0" w:after="0"/>
              <w:ind w:left="57" w:right="57" w:firstLine="0"/>
              <w:jc w:val="left"/>
            </w:pPr>
            <w:r w:rsidRPr="0002422B">
              <w:t>Projekta i</w:t>
            </w:r>
            <w:r w:rsidR="0023436E" w:rsidRPr="0002422B">
              <w:t>zpildes ietekme uz pārvaldes institucionālo struktūru.</w:t>
            </w:r>
          </w:p>
          <w:p w:rsidR="0023436E" w:rsidRPr="0002422B" w:rsidRDefault="0023436E" w:rsidP="007D099D">
            <w:pPr>
              <w:pStyle w:val="naisf"/>
              <w:spacing w:before="0" w:after="0"/>
              <w:ind w:left="57" w:right="57" w:firstLine="0"/>
              <w:jc w:val="left"/>
            </w:pPr>
            <w:r w:rsidRPr="0002422B">
              <w:t>Esošu institūciju reorganizācija</w:t>
            </w:r>
          </w:p>
        </w:tc>
        <w:tc>
          <w:tcPr>
            <w:tcW w:w="5302" w:type="dxa"/>
          </w:tcPr>
          <w:p w:rsidR="0023436E" w:rsidRPr="0002422B" w:rsidRDefault="004F0653" w:rsidP="007D099D">
            <w:pPr>
              <w:pStyle w:val="naisnod"/>
              <w:spacing w:before="0" w:after="0"/>
              <w:ind w:left="57" w:right="57"/>
              <w:jc w:val="left"/>
              <w:rPr>
                <w:b w:val="0"/>
              </w:rPr>
            </w:pPr>
            <w:r w:rsidRPr="0002422B">
              <w:rPr>
                <w:b w:val="0"/>
              </w:rPr>
              <w:t>Noteikumu projekta izpildei nav nepieciešams reorganizēt esošās institūcijas.</w:t>
            </w:r>
          </w:p>
        </w:tc>
      </w:tr>
      <w:tr w:rsidR="0002422B" w:rsidRPr="0002422B" w:rsidTr="00FD2A8A">
        <w:trPr>
          <w:trHeight w:val="476"/>
        </w:trPr>
        <w:tc>
          <w:tcPr>
            <w:tcW w:w="374" w:type="dxa"/>
          </w:tcPr>
          <w:p w:rsidR="0023436E" w:rsidRPr="0002422B" w:rsidRDefault="00F63DAC" w:rsidP="007D099D">
            <w:pPr>
              <w:pStyle w:val="naiskr"/>
              <w:spacing w:before="0" w:after="0"/>
              <w:ind w:left="57" w:right="57"/>
            </w:pPr>
            <w:r w:rsidRPr="0002422B">
              <w:t>6</w:t>
            </w:r>
            <w:r w:rsidR="0023436E" w:rsidRPr="0002422B">
              <w:t>.</w:t>
            </w:r>
          </w:p>
        </w:tc>
        <w:tc>
          <w:tcPr>
            <w:tcW w:w="4588" w:type="dxa"/>
          </w:tcPr>
          <w:p w:rsidR="0023436E" w:rsidRPr="0002422B" w:rsidRDefault="006C4607" w:rsidP="007D099D">
            <w:pPr>
              <w:pStyle w:val="naiskr"/>
              <w:spacing w:before="0" w:after="0"/>
              <w:ind w:left="57" w:right="57"/>
            </w:pPr>
            <w:r w:rsidRPr="0002422B">
              <w:t>Cita informācija</w:t>
            </w:r>
          </w:p>
        </w:tc>
        <w:tc>
          <w:tcPr>
            <w:tcW w:w="5302" w:type="dxa"/>
          </w:tcPr>
          <w:p w:rsidR="0023436E" w:rsidRPr="0002422B" w:rsidRDefault="0023436E" w:rsidP="007D099D">
            <w:pPr>
              <w:pStyle w:val="naiskr"/>
              <w:spacing w:before="0" w:after="0"/>
              <w:ind w:left="57" w:right="57"/>
            </w:pPr>
            <w:r w:rsidRPr="0002422B">
              <w:t>Nav</w:t>
            </w:r>
          </w:p>
        </w:tc>
      </w:tr>
    </w:tbl>
    <w:p w:rsidR="00214094" w:rsidRPr="0002422B" w:rsidRDefault="00214094" w:rsidP="006C4607">
      <w:pPr>
        <w:pStyle w:val="naisf"/>
        <w:tabs>
          <w:tab w:val="left" w:pos="5760"/>
        </w:tabs>
        <w:spacing w:before="0" w:after="0"/>
        <w:ind w:firstLine="720"/>
        <w:rPr>
          <w:sz w:val="28"/>
          <w:szCs w:val="28"/>
        </w:rPr>
      </w:pPr>
    </w:p>
    <w:p w:rsidR="00214094" w:rsidRPr="0002422B" w:rsidRDefault="00214094" w:rsidP="006C4607">
      <w:pPr>
        <w:pStyle w:val="naisf"/>
        <w:tabs>
          <w:tab w:val="left" w:pos="5760"/>
        </w:tabs>
        <w:spacing w:before="0" w:after="0"/>
        <w:ind w:firstLine="720"/>
        <w:rPr>
          <w:sz w:val="28"/>
          <w:szCs w:val="28"/>
        </w:rPr>
      </w:pPr>
    </w:p>
    <w:p w:rsidR="00BF40ED" w:rsidRPr="0002422B" w:rsidRDefault="00BF40ED" w:rsidP="006C4607">
      <w:pPr>
        <w:pStyle w:val="naisf"/>
        <w:tabs>
          <w:tab w:val="left" w:pos="6804"/>
        </w:tabs>
        <w:spacing w:before="0" w:after="0"/>
        <w:ind w:firstLine="720"/>
        <w:rPr>
          <w:sz w:val="28"/>
          <w:szCs w:val="28"/>
        </w:rPr>
      </w:pPr>
    </w:p>
    <w:p w:rsidR="00047D0E" w:rsidRPr="0002422B" w:rsidRDefault="00047D0E" w:rsidP="00047D0E">
      <w:pPr>
        <w:tabs>
          <w:tab w:val="left" w:pos="6710"/>
        </w:tabs>
        <w:rPr>
          <w:sz w:val="28"/>
          <w:szCs w:val="28"/>
        </w:rPr>
      </w:pPr>
      <w:r w:rsidRPr="0002422B">
        <w:rPr>
          <w:sz w:val="28"/>
          <w:szCs w:val="28"/>
        </w:rPr>
        <w:t>Ekonomikas ministrs</w:t>
      </w:r>
      <w:r w:rsidRPr="0002422B">
        <w:rPr>
          <w:sz w:val="28"/>
          <w:szCs w:val="28"/>
        </w:rPr>
        <w:tab/>
      </w:r>
      <w:r w:rsidRPr="0002422B">
        <w:rPr>
          <w:sz w:val="28"/>
          <w:szCs w:val="28"/>
        </w:rPr>
        <w:tab/>
      </w:r>
      <w:r w:rsidRPr="0002422B">
        <w:rPr>
          <w:sz w:val="28"/>
          <w:szCs w:val="28"/>
        </w:rPr>
        <w:tab/>
        <w:t>D.Pavļuts</w:t>
      </w:r>
    </w:p>
    <w:p w:rsidR="00047D0E" w:rsidRPr="0002422B" w:rsidRDefault="00047D0E" w:rsidP="00047D0E">
      <w:pPr>
        <w:tabs>
          <w:tab w:val="left" w:pos="6710"/>
        </w:tabs>
        <w:rPr>
          <w:sz w:val="28"/>
          <w:szCs w:val="28"/>
        </w:rPr>
      </w:pPr>
    </w:p>
    <w:p w:rsidR="00242C36" w:rsidRDefault="00242C36" w:rsidP="00047D0E">
      <w:pPr>
        <w:keepLines/>
        <w:widowControl w:val="0"/>
        <w:rPr>
          <w:sz w:val="28"/>
          <w:szCs w:val="28"/>
          <w:lang w:eastAsia="en-US"/>
        </w:rPr>
      </w:pPr>
    </w:p>
    <w:p w:rsidR="00047D0E" w:rsidRPr="0002422B" w:rsidRDefault="00047D0E" w:rsidP="00047D0E">
      <w:pPr>
        <w:keepLines/>
        <w:widowControl w:val="0"/>
        <w:rPr>
          <w:sz w:val="28"/>
          <w:szCs w:val="28"/>
          <w:lang w:eastAsia="en-US"/>
        </w:rPr>
      </w:pPr>
      <w:r w:rsidRPr="0002422B">
        <w:rPr>
          <w:sz w:val="28"/>
          <w:szCs w:val="28"/>
          <w:lang w:eastAsia="en-US"/>
        </w:rPr>
        <w:t>Iesniedzējs:</w:t>
      </w:r>
    </w:p>
    <w:p w:rsidR="00047D0E" w:rsidRPr="0002422B" w:rsidRDefault="00047D0E" w:rsidP="00047D0E">
      <w:pPr>
        <w:keepLines/>
        <w:widowControl w:val="0"/>
        <w:rPr>
          <w:sz w:val="28"/>
          <w:szCs w:val="28"/>
          <w:lang w:eastAsia="en-US"/>
        </w:rPr>
      </w:pPr>
    </w:p>
    <w:p w:rsidR="00047D0E" w:rsidRPr="0002422B" w:rsidRDefault="00047D0E" w:rsidP="00047D0E">
      <w:pPr>
        <w:keepLines/>
        <w:widowControl w:val="0"/>
        <w:rPr>
          <w:sz w:val="28"/>
          <w:szCs w:val="28"/>
          <w:lang w:eastAsia="en-US"/>
        </w:rPr>
      </w:pPr>
      <w:r w:rsidRPr="0002422B">
        <w:rPr>
          <w:sz w:val="28"/>
          <w:szCs w:val="28"/>
          <w:lang w:eastAsia="en-US"/>
        </w:rPr>
        <w:t>Ekonomikas ministrs</w:t>
      </w:r>
      <w:r w:rsidRPr="0002422B">
        <w:rPr>
          <w:sz w:val="28"/>
          <w:szCs w:val="28"/>
          <w:lang w:eastAsia="en-US"/>
        </w:rPr>
        <w:tab/>
      </w:r>
      <w:r w:rsidRPr="0002422B">
        <w:rPr>
          <w:sz w:val="28"/>
          <w:szCs w:val="28"/>
          <w:lang w:eastAsia="en-US"/>
        </w:rPr>
        <w:tab/>
      </w:r>
      <w:r w:rsidRPr="0002422B">
        <w:rPr>
          <w:sz w:val="28"/>
          <w:szCs w:val="28"/>
          <w:lang w:eastAsia="en-US"/>
        </w:rPr>
        <w:tab/>
      </w:r>
      <w:r w:rsidRPr="0002422B">
        <w:rPr>
          <w:sz w:val="28"/>
          <w:szCs w:val="28"/>
          <w:lang w:eastAsia="en-US"/>
        </w:rPr>
        <w:tab/>
      </w:r>
      <w:r w:rsidRPr="0002422B">
        <w:rPr>
          <w:sz w:val="28"/>
          <w:szCs w:val="28"/>
          <w:lang w:eastAsia="en-US"/>
        </w:rPr>
        <w:tab/>
      </w:r>
      <w:r w:rsidRPr="0002422B">
        <w:rPr>
          <w:sz w:val="28"/>
          <w:szCs w:val="28"/>
          <w:lang w:eastAsia="en-US"/>
        </w:rPr>
        <w:tab/>
      </w:r>
      <w:r w:rsidRPr="0002422B">
        <w:rPr>
          <w:sz w:val="28"/>
          <w:szCs w:val="28"/>
          <w:lang w:eastAsia="en-US"/>
        </w:rPr>
        <w:tab/>
      </w:r>
      <w:r w:rsidRPr="0002422B">
        <w:rPr>
          <w:sz w:val="28"/>
          <w:szCs w:val="28"/>
          <w:lang w:eastAsia="en-US"/>
        </w:rPr>
        <w:tab/>
        <w:t>D.Pavļuts</w:t>
      </w:r>
    </w:p>
    <w:p w:rsidR="00047D0E" w:rsidRPr="0002422B" w:rsidRDefault="00047D0E" w:rsidP="00047D0E">
      <w:pPr>
        <w:keepLines/>
        <w:widowControl w:val="0"/>
        <w:rPr>
          <w:sz w:val="28"/>
          <w:szCs w:val="28"/>
          <w:lang w:eastAsia="en-US"/>
        </w:rPr>
      </w:pPr>
    </w:p>
    <w:p w:rsidR="00047D0E" w:rsidRPr="0002422B" w:rsidRDefault="00047D0E" w:rsidP="00047D0E">
      <w:pPr>
        <w:keepLines/>
        <w:widowControl w:val="0"/>
        <w:rPr>
          <w:sz w:val="28"/>
          <w:szCs w:val="28"/>
          <w:lang w:eastAsia="en-US"/>
        </w:rPr>
      </w:pPr>
      <w:r w:rsidRPr="0002422B">
        <w:rPr>
          <w:sz w:val="28"/>
          <w:szCs w:val="28"/>
          <w:lang w:eastAsia="en-US"/>
        </w:rPr>
        <w:t>Vīza: Valsts sekretārs</w:t>
      </w:r>
      <w:r w:rsidRPr="0002422B">
        <w:rPr>
          <w:sz w:val="28"/>
          <w:szCs w:val="28"/>
          <w:lang w:eastAsia="en-US"/>
        </w:rPr>
        <w:tab/>
      </w:r>
      <w:r w:rsidRPr="0002422B">
        <w:rPr>
          <w:sz w:val="28"/>
          <w:szCs w:val="28"/>
          <w:lang w:eastAsia="en-US"/>
        </w:rPr>
        <w:tab/>
      </w:r>
      <w:r w:rsidRPr="0002422B">
        <w:rPr>
          <w:sz w:val="28"/>
          <w:szCs w:val="28"/>
          <w:lang w:eastAsia="en-US"/>
        </w:rPr>
        <w:tab/>
      </w:r>
      <w:r w:rsidRPr="0002422B">
        <w:rPr>
          <w:sz w:val="28"/>
          <w:szCs w:val="28"/>
          <w:lang w:eastAsia="en-US"/>
        </w:rPr>
        <w:tab/>
      </w:r>
      <w:r w:rsidRPr="0002422B">
        <w:rPr>
          <w:sz w:val="28"/>
          <w:szCs w:val="28"/>
          <w:lang w:eastAsia="en-US"/>
        </w:rPr>
        <w:tab/>
      </w:r>
      <w:r w:rsidRPr="0002422B">
        <w:rPr>
          <w:sz w:val="28"/>
          <w:szCs w:val="28"/>
          <w:lang w:eastAsia="en-US"/>
        </w:rPr>
        <w:tab/>
      </w:r>
      <w:r w:rsidRPr="0002422B">
        <w:rPr>
          <w:sz w:val="28"/>
          <w:szCs w:val="28"/>
          <w:lang w:eastAsia="en-US"/>
        </w:rPr>
        <w:tab/>
      </w:r>
      <w:r w:rsidRPr="0002422B">
        <w:rPr>
          <w:sz w:val="28"/>
          <w:szCs w:val="28"/>
          <w:lang w:eastAsia="en-US"/>
        </w:rPr>
        <w:tab/>
        <w:t xml:space="preserve">      J.Pūce</w:t>
      </w:r>
    </w:p>
    <w:p w:rsidR="00047D0E" w:rsidRPr="0002422B" w:rsidRDefault="00047D0E" w:rsidP="00047D0E">
      <w:pPr>
        <w:rPr>
          <w:rFonts w:eastAsia="Calibri"/>
          <w:sz w:val="28"/>
          <w:szCs w:val="28"/>
          <w:lang w:eastAsia="en-US"/>
        </w:rPr>
      </w:pPr>
    </w:p>
    <w:p w:rsidR="00047D0E" w:rsidRPr="0002422B" w:rsidRDefault="00047D0E" w:rsidP="00047D0E">
      <w:pPr>
        <w:rPr>
          <w:rFonts w:eastAsia="Calibri"/>
          <w:sz w:val="20"/>
          <w:szCs w:val="20"/>
          <w:lang w:val="en-US" w:eastAsia="en-US"/>
        </w:rPr>
      </w:pPr>
    </w:p>
    <w:p w:rsidR="00047D0E" w:rsidRPr="0002422B" w:rsidRDefault="00047D0E" w:rsidP="00047D0E">
      <w:pPr>
        <w:rPr>
          <w:rFonts w:eastAsia="Calibri"/>
          <w:sz w:val="20"/>
          <w:szCs w:val="20"/>
          <w:lang w:val="en-US" w:eastAsia="en-US"/>
        </w:rPr>
      </w:pPr>
    </w:p>
    <w:p w:rsidR="005E6B88" w:rsidRPr="0002422B" w:rsidRDefault="00047D0E" w:rsidP="005E6B88">
      <w:pPr>
        <w:jc w:val="both"/>
        <w:rPr>
          <w:sz w:val="20"/>
          <w:szCs w:val="20"/>
        </w:rPr>
      </w:pPr>
      <w:r w:rsidRPr="0002422B">
        <w:rPr>
          <w:rFonts w:eastAsia="Calibri"/>
          <w:sz w:val="20"/>
          <w:szCs w:val="20"/>
          <w:lang w:val="en-US" w:eastAsia="en-US"/>
        </w:rPr>
        <w:t xml:space="preserve"> </w:t>
      </w:r>
    </w:p>
    <w:p w:rsidR="005E6B88" w:rsidRPr="0002422B" w:rsidRDefault="0002422B" w:rsidP="005E6B88">
      <w:pPr>
        <w:jc w:val="both"/>
        <w:rPr>
          <w:sz w:val="20"/>
          <w:szCs w:val="20"/>
        </w:rPr>
      </w:pPr>
      <w:r w:rsidRPr="0002422B">
        <w:rPr>
          <w:sz w:val="20"/>
          <w:szCs w:val="20"/>
        </w:rPr>
        <w:t>28.10.2013. 11:2</w:t>
      </w:r>
      <w:r w:rsidR="00617AA3" w:rsidRPr="0002422B">
        <w:rPr>
          <w:sz w:val="20"/>
          <w:szCs w:val="20"/>
        </w:rPr>
        <w:t>5</w:t>
      </w:r>
    </w:p>
    <w:p w:rsidR="0002422B" w:rsidRPr="0002422B" w:rsidRDefault="00984D79" w:rsidP="005E6B88">
      <w:pPr>
        <w:jc w:val="both"/>
        <w:rPr>
          <w:sz w:val="20"/>
          <w:szCs w:val="20"/>
        </w:rPr>
      </w:pPr>
      <w:r w:rsidRPr="0002422B">
        <w:rPr>
          <w:sz w:val="20"/>
          <w:szCs w:val="20"/>
        </w:rPr>
        <w:fldChar w:fldCharType="begin"/>
      </w:r>
      <w:r w:rsidRPr="0002422B">
        <w:rPr>
          <w:sz w:val="20"/>
          <w:szCs w:val="20"/>
        </w:rPr>
        <w:instrText xml:space="preserve"> NUMWORDS   \* MERGEFORMAT </w:instrText>
      </w:r>
      <w:r w:rsidRPr="0002422B">
        <w:rPr>
          <w:sz w:val="20"/>
          <w:szCs w:val="20"/>
        </w:rPr>
        <w:fldChar w:fldCharType="separate"/>
      </w:r>
      <w:r w:rsidR="00F7524D">
        <w:rPr>
          <w:noProof/>
          <w:sz w:val="20"/>
          <w:szCs w:val="20"/>
        </w:rPr>
        <w:t>1840</w:t>
      </w:r>
      <w:r w:rsidRPr="0002422B">
        <w:rPr>
          <w:sz w:val="20"/>
          <w:szCs w:val="20"/>
        </w:rPr>
        <w:fldChar w:fldCharType="end"/>
      </w:r>
    </w:p>
    <w:p w:rsidR="005E6B88" w:rsidRPr="0002422B" w:rsidRDefault="005E6B88" w:rsidP="005E6B88">
      <w:pPr>
        <w:jc w:val="both"/>
        <w:rPr>
          <w:sz w:val="20"/>
          <w:szCs w:val="20"/>
        </w:rPr>
      </w:pPr>
      <w:r w:rsidRPr="0002422B">
        <w:rPr>
          <w:sz w:val="20"/>
          <w:szCs w:val="20"/>
        </w:rPr>
        <w:t>E.Dzirkalis, 67013066</w:t>
      </w:r>
    </w:p>
    <w:p w:rsidR="00047D0E" w:rsidRPr="0002422B" w:rsidRDefault="00B81F02" w:rsidP="00242C36">
      <w:pPr>
        <w:jc w:val="both"/>
        <w:rPr>
          <w:rFonts w:eastAsia="Calibri"/>
          <w:sz w:val="20"/>
          <w:szCs w:val="20"/>
          <w:lang w:val="en-US" w:eastAsia="en-US"/>
        </w:rPr>
      </w:pPr>
      <w:hyperlink r:id="rId10" w:history="1">
        <w:r w:rsidR="005E6B88" w:rsidRPr="0002422B">
          <w:rPr>
            <w:rStyle w:val="Hyperlink"/>
            <w:color w:val="auto"/>
            <w:sz w:val="20"/>
            <w:szCs w:val="20"/>
          </w:rPr>
          <w:t>Edgars.Dzirkalis@em.gov.lv</w:t>
        </w:r>
      </w:hyperlink>
    </w:p>
    <w:p w:rsidR="00047D0E" w:rsidRPr="0002422B" w:rsidRDefault="00047D0E" w:rsidP="00047D0E">
      <w:pPr>
        <w:rPr>
          <w:rFonts w:eastAsia="Calibri"/>
          <w:sz w:val="20"/>
          <w:szCs w:val="20"/>
          <w:lang w:val="fr-FR" w:eastAsia="en-US"/>
        </w:rPr>
      </w:pPr>
    </w:p>
    <w:sectPr w:rsidR="00047D0E" w:rsidRPr="0002422B" w:rsidSect="00C31E36">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02" w:rsidRDefault="00B81F02">
      <w:r>
        <w:separator/>
      </w:r>
    </w:p>
  </w:endnote>
  <w:endnote w:type="continuationSeparator" w:id="0">
    <w:p w:rsidR="00B81F02" w:rsidRDefault="00B81F02">
      <w:r>
        <w:continuationSeparator/>
      </w:r>
    </w:p>
  </w:endnote>
  <w:endnote w:type="continuationNotice" w:id="1">
    <w:p w:rsidR="00B81F02" w:rsidRDefault="00B81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4F" w:rsidRPr="00DE0B7D" w:rsidRDefault="0031584F" w:rsidP="0031584F">
    <w:pPr>
      <w:tabs>
        <w:tab w:val="center" w:pos="4153"/>
        <w:tab w:val="right" w:pos="8306"/>
      </w:tabs>
      <w:rPr>
        <w:sz w:val="20"/>
        <w:szCs w:val="20"/>
      </w:rPr>
    </w:pPr>
    <w:r w:rsidRPr="00162C6D">
      <w:rPr>
        <w:sz w:val="20"/>
        <w:szCs w:val="20"/>
      </w:rPr>
      <w:t>EMAnot_</w:t>
    </w:r>
    <w:r w:rsidR="001E79B4">
      <w:rPr>
        <w:sz w:val="20"/>
        <w:szCs w:val="20"/>
      </w:rPr>
      <w:t>281013</w:t>
    </w:r>
    <w:r w:rsidRPr="00162C6D">
      <w:rPr>
        <w:sz w:val="20"/>
        <w:szCs w:val="20"/>
      </w:rPr>
      <w:t>_</w:t>
    </w:r>
    <w:r>
      <w:rPr>
        <w:sz w:val="20"/>
        <w:szCs w:val="20"/>
      </w:rPr>
      <w:t>groz_not.914</w:t>
    </w:r>
    <w:r w:rsidR="006743FE">
      <w:rPr>
        <w:sz w:val="20"/>
        <w:szCs w:val="20"/>
      </w:rPr>
      <w:t>.1574</w:t>
    </w:r>
    <w:r w:rsidRPr="00162C6D">
      <w:rPr>
        <w:sz w:val="20"/>
        <w:szCs w:val="20"/>
      </w:rPr>
      <w:t xml:space="preserve">; </w:t>
    </w:r>
    <w:r w:rsidRPr="00E205AF">
      <w:rPr>
        <w:sz w:val="20"/>
        <w:szCs w:val="20"/>
      </w:rPr>
      <w:t>Ministru kabineta noteikumu projekta „Grozījumi Ministru kabineta 2011.gada 29.novembra noteikumos Nr.914 „Elektroenerģijas tirdzniecības un lietošanas noteikumi”” tiesību akta projekta sākotnējās ietekmes novērtējuma ziņojums (anotācija)</w:t>
    </w:r>
  </w:p>
  <w:p w:rsidR="00C31E36" w:rsidRPr="00C701F9" w:rsidRDefault="00C31E36" w:rsidP="00C70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44" w:rsidRPr="00DE0B7D" w:rsidRDefault="00E60D44" w:rsidP="00E60D44">
    <w:pPr>
      <w:tabs>
        <w:tab w:val="center" w:pos="4153"/>
        <w:tab w:val="right" w:pos="8306"/>
      </w:tabs>
      <w:rPr>
        <w:sz w:val="20"/>
        <w:szCs w:val="20"/>
      </w:rPr>
    </w:pPr>
    <w:r w:rsidRPr="00162C6D">
      <w:rPr>
        <w:sz w:val="20"/>
        <w:szCs w:val="20"/>
      </w:rPr>
      <w:t>EMAnot_</w:t>
    </w:r>
    <w:r w:rsidR="001E79B4">
      <w:rPr>
        <w:sz w:val="20"/>
        <w:szCs w:val="20"/>
      </w:rPr>
      <w:t>2810</w:t>
    </w:r>
    <w:r w:rsidR="00C926E1">
      <w:rPr>
        <w:sz w:val="20"/>
        <w:szCs w:val="20"/>
      </w:rPr>
      <w:t>13</w:t>
    </w:r>
    <w:r w:rsidRPr="00162C6D">
      <w:rPr>
        <w:sz w:val="20"/>
        <w:szCs w:val="20"/>
      </w:rPr>
      <w:t>_</w:t>
    </w:r>
    <w:r w:rsidR="00E205AF">
      <w:rPr>
        <w:sz w:val="20"/>
        <w:szCs w:val="20"/>
      </w:rPr>
      <w:t>groz</w:t>
    </w:r>
    <w:r w:rsidR="00C926E1">
      <w:rPr>
        <w:sz w:val="20"/>
        <w:szCs w:val="20"/>
      </w:rPr>
      <w:t>_not.</w:t>
    </w:r>
    <w:r w:rsidR="00E205AF">
      <w:rPr>
        <w:sz w:val="20"/>
        <w:szCs w:val="20"/>
      </w:rPr>
      <w:t>914</w:t>
    </w:r>
    <w:r w:rsidR="006743FE">
      <w:rPr>
        <w:sz w:val="20"/>
        <w:szCs w:val="20"/>
      </w:rPr>
      <w:t>.1574</w:t>
    </w:r>
    <w:r w:rsidRPr="00162C6D">
      <w:rPr>
        <w:sz w:val="20"/>
        <w:szCs w:val="20"/>
      </w:rPr>
      <w:t xml:space="preserve">; </w:t>
    </w:r>
    <w:r w:rsidR="00E205AF" w:rsidRPr="00E205AF">
      <w:rPr>
        <w:sz w:val="20"/>
        <w:szCs w:val="20"/>
      </w:rPr>
      <w:t>Ministru kabineta noteikumu projekta „Grozījumi Ministru kabineta 2011.gada 29.novembra noteikumos Nr.914 „Elektroenerģijas tirdzniecības un lietošanas noteikumi”” tiesību akta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02" w:rsidRDefault="00B81F02">
      <w:r>
        <w:separator/>
      </w:r>
    </w:p>
  </w:footnote>
  <w:footnote w:type="continuationSeparator" w:id="0">
    <w:p w:rsidR="00B81F02" w:rsidRDefault="00B81F02">
      <w:r>
        <w:continuationSeparator/>
      </w:r>
    </w:p>
  </w:footnote>
  <w:footnote w:type="continuationNotice" w:id="1">
    <w:p w:rsidR="00B81F02" w:rsidRDefault="00B81F02"/>
  </w:footnote>
  <w:footnote w:id="2">
    <w:p w:rsidR="00291309" w:rsidRPr="00291309" w:rsidRDefault="00291309" w:rsidP="00291309">
      <w:pPr>
        <w:pStyle w:val="FootnoteText"/>
        <w:rPr>
          <w:rFonts w:ascii="Calibri" w:hAnsi="Calibri"/>
        </w:rPr>
      </w:pPr>
      <w:r>
        <w:rPr>
          <w:rStyle w:val="FootnoteReference"/>
        </w:rPr>
        <w:footnoteRef/>
      </w:r>
      <w:r>
        <w:t xml:space="preserve"> </w:t>
      </w:r>
      <w:hyperlink r:id="rId1" w:history="1">
        <w:r>
          <w:rPr>
            <w:rStyle w:val="Hyperlink"/>
          </w:rPr>
          <w:t>http://www.eurelectric.org/media/26650/customer-centric_retail_markets-web-2011-321-0002-01-e.pdf</w:t>
        </w:r>
      </w:hyperlink>
    </w:p>
    <w:p w:rsidR="00291309" w:rsidRDefault="00291309" w:rsidP="00291309">
      <w:pPr>
        <w:pStyle w:val="FootnoteText"/>
      </w:pPr>
    </w:p>
  </w:footnote>
  <w:footnote w:id="3">
    <w:p w:rsidR="00850745" w:rsidRDefault="00850745">
      <w:pPr>
        <w:pStyle w:val="FootnoteText"/>
      </w:pPr>
      <w:r>
        <w:rPr>
          <w:rStyle w:val="FootnoteReference"/>
        </w:rPr>
        <w:footnoteRef/>
      </w:r>
      <w:r>
        <w:t xml:space="preserve"> </w:t>
      </w:r>
      <w:hyperlink r:id="rId2" w:history="1">
        <w:r>
          <w:rPr>
            <w:rStyle w:val="Hyperlink"/>
          </w:rPr>
          <w:t>http://www.em.gov.lv/em/2nd/?lang=lv&amp;id=33506&amp;cat=621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9B4">
      <w:rPr>
        <w:rStyle w:val="PageNumber"/>
        <w:noProof/>
      </w:rPr>
      <w:t>6</w:t>
    </w:r>
    <w:r>
      <w:rPr>
        <w:rStyle w:val="PageNumber"/>
      </w:rPr>
      <w:fldChar w:fldCharType="end"/>
    </w:r>
  </w:p>
  <w:p w:rsidR="00C31E36" w:rsidRDefault="00C31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DE6"/>
    <w:multiLevelType w:val="multilevel"/>
    <w:tmpl w:val="A966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AE547C"/>
    <w:multiLevelType w:val="hybridMultilevel"/>
    <w:tmpl w:val="1C90064A"/>
    <w:lvl w:ilvl="0" w:tplc="79681E62">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01876BA"/>
    <w:multiLevelType w:val="hybridMultilevel"/>
    <w:tmpl w:val="07F242A8"/>
    <w:lvl w:ilvl="0" w:tplc="C450D4F0">
      <w:numFmt w:val="bullet"/>
      <w:lvlText w:val="–"/>
      <w:lvlJc w:val="left"/>
      <w:pPr>
        <w:ind w:left="1287" w:hanging="360"/>
      </w:pPr>
      <w:rPr>
        <w:rFonts w:ascii="Garamond" w:eastAsia="Calibri" w:hAnsi="Garamond"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4"/>
  </w:num>
  <w:num w:numId="3">
    <w:abstractNumId w:val="4"/>
  </w:num>
  <w:num w:numId="4">
    <w:abstractNumId w:val="2"/>
  </w:num>
  <w:num w:numId="5">
    <w:abstractNumId w:val="1"/>
  </w:num>
  <w:num w:numId="6">
    <w:abstractNumId w:val="11"/>
  </w:num>
  <w:num w:numId="7">
    <w:abstractNumId w:val="15"/>
  </w:num>
  <w:num w:numId="8">
    <w:abstractNumId w:val="7"/>
  </w:num>
  <w:num w:numId="9">
    <w:abstractNumId w:val="3"/>
  </w:num>
  <w:num w:numId="10">
    <w:abstractNumId w:val="8"/>
  </w:num>
  <w:num w:numId="11">
    <w:abstractNumId w:val="9"/>
  </w:num>
  <w:num w:numId="12">
    <w:abstractNumId w:val="12"/>
  </w:num>
  <w:num w:numId="13">
    <w:abstractNumId w:val="13"/>
  </w:num>
  <w:num w:numId="14">
    <w:abstractNumId w:val="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649"/>
    <w:rsid w:val="000113DE"/>
    <w:rsid w:val="00011D24"/>
    <w:rsid w:val="00012901"/>
    <w:rsid w:val="00013FF4"/>
    <w:rsid w:val="00020FE1"/>
    <w:rsid w:val="00022E13"/>
    <w:rsid w:val="0002422B"/>
    <w:rsid w:val="00026FA3"/>
    <w:rsid w:val="00027DBA"/>
    <w:rsid w:val="00030251"/>
    <w:rsid w:val="00030C20"/>
    <w:rsid w:val="00032388"/>
    <w:rsid w:val="00035CE2"/>
    <w:rsid w:val="00037B05"/>
    <w:rsid w:val="00042A07"/>
    <w:rsid w:val="00047D0E"/>
    <w:rsid w:val="000539BE"/>
    <w:rsid w:val="0005553B"/>
    <w:rsid w:val="000604D2"/>
    <w:rsid w:val="0007615A"/>
    <w:rsid w:val="00086B3B"/>
    <w:rsid w:val="0009005E"/>
    <w:rsid w:val="000941C5"/>
    <w:rsid w:val="00094B54"/>
    <w:rsid w:val="0009687F"/>
    <w:rsid w:val="000A6451"/>
    <w:rsid w:val="000A7BDC"/>
    <w:rsid w:val="000B064E"/>
    <w:rsid w:val="000B69CF"/>
    <w:rsid w:val="000C1C72"/>
    <w:rsid w:val="000C58E0"/>
    <w:rsid w:val="000C790C"/>
    <w:rsid w:val="000F061D"/>
    <w:rsid w:val="000F4794"/>
    <w:rsid w:val="0010301B"/>
    <w:rsid w:val="00110EC2"/>
    <w:rsid w:val="00114CD2"/>
    <w:rsid w:val="00117356"/>
    <w:rsid w:val="00124F12"/>
    <w:rsid w:val="0013010B"/>
    <w:rsid w:val="00144E3A"/>
    <w:rsid w:val="0015060C"/>
    <w:rsid w:val="0016018A"/>
    <w:rsid w:val="00161F0E"/>
    <w:rsid w:val="00162C6D"/>
    <w:rsid w:val="00163BB2"/>
    <w:rsid w:val="00170E2A"/>
    <w:rsid w:val="00177394"/>
    <w:rsid w:val="00182C18"/>
    <w:rsid w:val="00183CC2"/>
    <w:rsid w:val="001869E2"/>
    <w:rsid w:val="001900E4"/>
    <w:rsid w:val="00190F88"/>
    <w:rsid w:val="0019338C"/>
    <w:rsid w:val="001A245C"/>
    <w:rsid w:val="001A4066"/>
    <w:rsid w:val="001A5273"/>
    <w:rsid w:val="001A6AE4"/>
    <w:rsid w:val="001B01FD"/>
    <w:rsid w:val="001B4A71"/>
    <w:rsid w:val="001B5C48"/>
    <w:rsid w:val="001C6018"/>
    <w:rsid w:val="001C7CFA"/>
    <w:rsid w:val="001D5B54"/>
    <w:rsid w:val="001D77CC"/>
    <w:rsid w:val="001E1DBF"/>
    <w:rsid w:val="001E4639"/>
    <w:rsid w:val="001E4A7D"/>
    <w:rsid w:val="001E79B4"/>
    <w:rsid w:val="001F3A97"/>
    <w:rsid w:val="001F4209"/>
    <w:rsid w:val="001F43A8"/>
    <w:rsid w:val="001F5CD6"/>
    <w:rsid w:val="0021263D"/>
    <w:rsid w:val="00213F0C"/>
    <w:rsid w:val="00214094"/>
    <w:rsid w:val="0021592D"/>
    <w:rsid w:val="002162DC"/>
    <w:rsid w:val="00222D76"/>
    <w:rsid w:val="00223238"/>
    <w:rsid w:val="00223EB1"/>
    <w:rsid w:val="00231344"/>
    <w:rsid w:val="0023436E"/>
    <w:rsid w:val="002347C0"/>
    <w:rsid w:val="00241A6C"/>
    <w:rsid w:val="00242C36"/>
    <w:rsid w:val="00242D2B"/>
    <w:rsid w:val="00262E2B"/>
    <w:rsid w:val="00270429"/>
    <w:rsid w:val="002723E9"/>
    <w:rsid w:val="0027347A"/>
    <w:rsid w:val="002760D6"/>
    <w:rsid w:val="00276644"/>
    <w:rsid w:val="00277929"/>
    <w:rsid w:val="00283B82"/>
    <w:rsid w:val="002846E9"/>
    <w:rsid w:val="00284C34"/>
    <w:rsid w:val="0029066C"/>
    <w:rsid w:val="00291309"/>
    <w:rsid w:val="00292DE3"/>
    <w:rsid w:val="002B50DB"/>
    <w:rsid w:val="002B5F44"/>
    <w:rsid w:val="002C12AB"/>
    <w:rsid w:val="002C7CAC"/>
    <w:rsid w:val="002D2C74"/>
    <w:rsid w:val="002D3306"/>
    <w:rsid w:val="002D48AA"/>
    <w:rsid w:val="002D7BAA"/>
    <w:rsid w:val="002D7F54"/>
    <w:rsid w:val="002E2C76"/>
    <w:rsid w:val="002E3FF4"/>
    <w:rsid w:val="002F2C7F"/>
    <w:rsid w:val="002F78C8"/>
    <w:rsid w:val="00301CF3"/>
    <w:rsid w:val="003021FC"/>
    <w:rsid w:val="00303B83"/>
    <w:rsid w:val="0031584F"/>
    <w:rsid w:val="00317A72"/>
    <w:rsid w:val="0032052E"/>
    <w:rsid w:val="00322307"/>
    <w:rsid w:val="0032715C"/>
    <w:rsid w:val="00336600"/>
    <w:rsid w:val="00337CA5"/>
    <w:rsid w:val="00362478"/>
    <w:rsid w:val="00364CA1"/>
    <w:rsid w:val="00365D82"/>
    <w:rsid w:val="00373832"/>
    <w:rsid w:val="00375B25"/>
    <w:rsid w:val="0038132C"/>
    <w:rsid w:val="00396542"/>
    <w:rsid w:val="0039685B"/>
    <w:rsid w:val="003A31A6"/>
    <w:rsid w:val="003A3401"/>
    <w:rsid w:val="003A7F0C"/>
    <w:rsid w:val="003A7F79"/>
    <w:rsid w:val="003B6404"/>
    <w:rsid w:val="003C449B"/>
    <w:rsid w:val="003C7CEA"/>
    <w:rsid w:val="003D21FF"/>
    <w:rsid w:val="003E085E"/>
    <w:rsid w:val="003F0112"/>
    <w:rsid w:val="003F071A"/>
    <w:rsid w:val="003F160B"/>
    <w:rsid w:val="00400032"/>
    <w:rsid w:val="00400B5B"/>
    <w:rsid w:val="004044AE"/>
    <w:rsid w:val="00405A00"/>
    <w:rsid w:val="00405CFE"/>
    <w:rsid w:val="00411EA9"/>
    <w:rsid w:val="00413D76"/>
    <w:rsid w:val="00413FF5"/>
    <w:rsid w:val="00420870"/>
    <w:rsid w:val="004306A0"/>
    <w:rsid w:val="00432D0C"/>
    <w:rsid w:val="004336AB"/>
    <w:rsid w:val="0043791B"/>
    <w:rsid w:val="00441483"/>
    <w:rsid w:val="00441BCB"/>
    <w:rsid w:val="0045176A"/>
    <w:rsid w:val="004540BD"/>
    <w:rsid w:val="00456332"/>
    <w:rsid w:val="00460BCC"/>
    <w:rsid w:val="00460DCA"/>
    <w:rsid w:val="00461826"/>
    <w:rsid w:val="00462D4D"/>
    <w:rsid w:val="004800F9"/>
    <w:rsid w:val="00483B9F"/>
    <w:rsid w:val="00490578"/>
    <w:rsid w:val="0049134A"/>
    <w:rsid w:val="00496C6A"/>
    <w:rsid w:val="004A58CB"/>
    <w:rsid w:val="004B1795"/>
    <w:rsid w:val="004B56DD"/>
    <w:rsid w:val="004C020F"/>
    <w:rsid w:val="004C1AFD"/>
    <w:rsid w:val="004C558B"/>
    <w:rsid w:val="004D4AEF"/>
    <w:rsid w:val="004E5AB0"/>
    <w:rsid w:val="004F0653"/>
    <w:rsid w:val="004F081D"/>
    <w:rsid w:val="004F1F88"/>
    <w:rsid w:val="004F5F1B"/>
    <w:rsid w:val="00502374"/>
    <w:rsid w:val="005060A1"/>
    <w:rsid w:val="00516072"/>
    <w:rsid w:val="005213EA"/>
    <w:rsid w:val="0052318C"/>
    <w:rsid w:val="005332EC"/>
    <w:rsid w:val="00534418"/>
    <w:rsid w:val="005353AB"/>
    <w:rsid w:val="00541877"/>
    <w:rsid w:val="005560BC"/>
    <w:rsid w:val="005573BE"/>
    <w:rsid w:val="005676E9"/>
    <w:rsid w:val="0057101C"/>
    <w:rsid w:val="005725F2"/>
    <w:rsid w:val="00572700"/>
    <w:rsid w:val="0057751F"/>
    <w:rsid w:val="00580468"/>
    <w:rsid w:val="00582231"/>
    <w:rsid w:val="0058603B"/>
    <w:rsid w:val="00586610"/>
    <w:rsid w:val="00586EDB"/>
    <w:rsid w:val="005901CB"/>
    <w:rsid w:val="005920EB"/>
    <w:rsid w:val="00593262"/>
    <w:rsid w:val="0059431B"/>
    <w:rsid w:val="005A39CC"/>
    <w:rsid w:val="005B4730"/>
    <w:rsid w:val="005D7A63"/>
    <w:rsid w:val="005E05D7"/>
    <w:rsid w:val="005E100D"/>
    <w:rsid w:val="005E41E7"/>
    <w:rsid w:val="005E450F"/>
    <w:rsid w:val="005E6B88"/>
    <w:rsid w:val="00613371"/>
    <w:rsid w:val="00617AA3"/>
    <w:rsid w:val="0062298A"/>
    <w:rsid w:val="00626514"/>
    <w:rsid w:val="00626589"/>
    <w:rsid w:val="006339A0"/>
    <w:rsid w:val="006413A8"/>
    <w:rsid w:val="00642E56"/>
    <w:rsid w:val="006439BE"/>
    <w:rsid w:val="00651E00"/>
    <w:rsid w:val="00654B54"/>
    <w:rsid w:val="006619B3"/>
    <w:rsid w:val="00662AAD"/>
    <w:rsid w:val="00664406"/>
    <w:rsid w:val="006743FE"/>
    <w:rsid w:val="00674572"/>
    <w:rsid w:val="00680C90"/>
    <w:rsid w:val="0068125B"/>
    <w:rsid w:val="00687763"/>
    <w:rsid w:val="00692B0D"/>
    <w:rsid w:val="00693E0E"/>
    <w:rsid w:val="00694078"/>
    <w:rsid w:val="006A006B"/>
    <w:rsid w:val="006A188C"/>
    <w:rsid w:val="006A1AE3"/>
    <w:rsid w:val="006A4C75"/>
    <w:rsid w:val="006B57C5"/>
    <w:rsid w:val="006C30E1"/>
    <w:rsid w:val="006C4607"/>
    <w:rsid w:val="006D48F1"/>
    <w:rsid w:val="006E0EEB"/>
    <w:rsid w:val="006F189A"/>
    <w:rsid w:val="006F45BE"/>
    <w:rsid w:val="006F4EA1"/>
    <w:rsid w:val="006F6E2A"/>
    <w:rsid w:val="006F72B1"/>
    <w:rsid w:val="007004FC"/>
    <w:rsid w:val="007063EB"/>
    <w:rsid w:val="00706670"/>
    <w:rsid w:val="00711F59"/>
    <w:rsid w:val="00723DF2"/>
    <w:rsid w:val="0072417C"/>
    <w:rsid w:val="007266D3"/>
    <w:rsid w:val="007303FB"/>
    <w:rsid w:val="00734450"/>
    <w:rsid w:val="00745F67"/>
    <w:rsid w:val="0075039E"/>
    <w:rsid w:val="00752D9D"/>
    <w:rsid w:val="00754784"/>
    <w:rsid w:val="00757C6E"/>
    <w:rsid w:val="00762BDA"/>
    <w:rsid w:val="0077010D"/>
    <w:rsid w:val="007805FD"/>
    <w:rsid w:val="00784422"/>
    <w:rsid w:val="00787833"/>
    <w:rsid w:val="007935CC"/>
    <w:rsid w:val="007A6FE2"/>
    <w:rsid w:val="007B16DB"/>
    <w:rsid w:val="007B31BD"/>
    <w:rsid w:val="007B3B54"/>
    <w:rsid w:val="007B3FA0"/>
    <w:rsid w:val="007C0F2C"/>
    <w:rsid w:val="007C2BCC"/>
    <w:rsid w:val="007C4B41"/>
    <w:rsid w:val="007C4EF0"/>
    <w:rsid w:val="007D099D"/>
    <w:rsid w:val="007D46B7"/>
    <w:rsid w:val="007E0123"/>
    <w:rsid w:val="007E2664"/>
    <w:rsid w:val="007E3ABF"/>
    <w:rsid w:val="007E5BFA"/>
    <w:rsid w:val="007E6689"/>
    <w:rsid w:val="007E731C"/>
    <w:rsid w:val="007F0A03"/>
    <w:rsid w:val="007F7B16"/>
    <w:rsid w:val="00810040"/>
    <w:rsid w:val="008162B8"/>
    <w:rsid w:val="0082023A"/>
    <w:rsid w:val="00821A7A"/>
    <w:rsid w:val="008234A0"/>
    <w:rsid w:val="008253F8"/>
    <w:rsid w:val="008325E4"/>
    <w:rsid w:val="00832A2B"/>
    <w:rsid w:val="00845811"/>
    <w:rsid w:val="00846994"/>
    <w:rsid w:val="00850451"/>
    <w:rsid w:val="00850745"/>
    <w:rsid w:val="00850E22"/>
    <w:rsid w:val="00852042"/>
    <w:rsid w:val="008534C9"/>
    <w:rsid w:val="0085599D"/>
    <w:rsid w:val="00862E12"/>
    <w:rsid w:val="0087112E"/>
    <w:rsid w:val="008713E8"/>
    <w:rsid w:val="0087510C"/>
    <w:rsid w:val="00894F91"/>
    <w:rsid w:val="008968D2"/>
    <w:rsid w:val="0089738E"/>
    <w:rsid w:val="008B5FDB"/>
    <w:rsid w:val="008C1928"/>
    <w:rsid w:val="008C50F4"/>
    <w:rsid w:val="008C5649"/>
    <w:rsid w:val="008D6FB3"/>
    <w:rsid w:val="008E4367"/>
    <w:rsid w:val="008E44A2"/>
    <w:rsid w:val="008E697D"/>
    <w:rsid w:val="00903263"/>
    <w:rsid w:val="009055AD"/>
    <w:rsid w:val="00906A21"/>
    <w:rsid w:val="009079C3"/>
    <w:rsid w:val="00910462"/>
    <w:rsid w:val="00913CF0"/>
    <w:rsid w:val="00915AB1"/>
    <w:rsid w:val="00917532"/>
    <w:rsid w:val="009235BA"/>
    <w:rsid w:val="00924023"/>
    <w:rsid w:val="00924CE2"/>
    <w:rsid w:val="00925B9F"/>
    <w:rsid w:val="009267FC"/>
    <w:rsid w:val="00931AED"/>
    <w:rsid w:val="009476A3"/>
    <w:rsid w:val="0095334F"/>
    <w:rsid w:val="0095561F"/>
    <w:rsid w:val="00965897"/>
    <w:rsid w:val="0096765C"/>
    <w:rsid w:val="009727E4"/>
    <w:rsid w:val="00981036"/>
    <w:rsid w:val="0098178D"/>
    <w:rsid w:val="00984D79"/>
    <w:rsid w:val="00986748"/>
    <w:rsid w:val="00987DA3"/>
    <w:rsid w:val="009934C5"/>
    <w:rsid w:val="00994C0F"/>
    <w:rsid w:val="00995E75"/>
    <w:rsid w:val="009A27A9"/>
    <w:rsid w:val="009A3C53"/>
    <w:rsid w:val="009B22D7"/>
    <w:rsid w:val="009B7015"/>
    <w:rsid w:val="009B72ED"/>
    <w:rsid w:val="009C29CC"/>
    <w:rsid w:val="009C4FBB"/>
    <w:rsid w:val="009C6DEB"/>
    <w:rsid w:val="009D2C82"/>
    <w:rsid w:val="009D6504"/>
    <w:rsid w:val="009E12D7"/>
    <w:rsid w:val="009E661A"/>
    <w:rsid w:val="009E7E67"/>
    <w:rsid w:val="009F60DD"/>
    <w:rsid w:val="00A00034"/>
    <w:rsid w:val="00A04FD3"/>
    <w:rsid w:val="00A05A6F"/>
    <w:rsid w:val="00A06781"/>
    <w:rsid w:val="00A074C3"/>
    <w:rsid w:val="00A07C54"/>
    <w:rsid w:val="00A1509C"/>
    <w:rsid w:val="00A249B9"/>
    <w:rsid w:val="00A25D54"/>
    <w:rsid w:val="00A305A2"/>
    <w:rsid w:val="00A34260"/>
    <w:rsid w:val="00A34E6A"/>
    <w:rsid w:val="00A43107"/>
    <w:rsid w:val="00A57D68"/>
    <w:rsid w:val="00A635D1"/>
    <w:rsid w:val="00A64AD8"/>
    <w:rsid w:val="00A70523"/>
    <w:rsid w:val="00A70CFD"/>
    <w:rsid w:val="00A72A0B"/>
    <w:rsid w:val="00A81E42"/>
    <w:rsid w:val="00A83A65"/>
    <w:rsid w:val="00A864FE"/>
    <w:rsid w:val="00A86F41"/>
    <w:rsid w:val="00A87D04"/>
    <w:rsid w:val="00A950C5"/>
    <w:rsid w:val="00A96969"/>
    <w:rsid w:val="00A97B9E"/>
    <w:rsid w:val="00AA1D25"/>
    <w:rsid w:val="00AB1B48"/>
    <w:rsid w:val="00AB2B1A"/>
    <w:rsid w:val="00AB397F"/>
    <w:rsid w:val="00AB5832"/>
    <w:rsid w:val="00AC29DE"/>
    <w:rsid w:val="00AC51F2"/>
    <w:rsid w:val="00AD3269"/>
    <w:rsid w:val="00AE2822"/>
    <w:rsid w:val="00AE33C0"/>
    <w:rsid w:val="00AE5066"/>
    <w:rsid w:val="00AE5E24"/>
    <w:rsid w:val="00AE61B7"/>
    <w:rsid w:val="00AE6CBA"/>
    <w:rsid w:val="00AE79AD"/>
    <w:rsid w:val="00AF268E"/>
    <w:rsid w:val="00AF341B"/>
    <w:rsid w:val="00AF35E4"/>
    <w:rsid w:val="00AF5CDE"/>
    <w:rsid w:val="00AF7850"/>
    <w:rsid w:val="00B02E22"/>
    <w:rsid w:val="00B1158F"/>
    <w:rsid w:val="00B11A57"/>
    <w:rsid w:val="00B12C80"/>
    <w:rsid w:val="00B14196"/>
    <w:rsid w:val="00B158AE"/>
    <w:rsid w:val="00B16594"/>
    <w:rsid w:val="00B16860"/>
    <w:rsid w:val="00B211C3"/>
    <w:rsid w:val="00B239F4"/>
    <w:rsid w:val="00B25597"/>
    <w:rsid w:val="00B267B9"/>
    <w:rsid w:val="00B274EC"/>
    <w:rsid w:val="00B306CD"/>
    <w:rsid w:val="00B33E09"/>
    <w:rsid w:val="00B369A6"/>
    <w:rsid w:val="00B444A7"/>
    <w:rsid w:val="00B50708"/>
    <w:rsid w:val="00B50C68"/>
    <w:rsid w:val="00B51293"/>
    <w:rsid w:val="00B51FE2"/>
    <w:rsid w:val="00B52B1E"/>
    <w:rsid w:val="00B55481"/>
    <w:rsid w:val="00B56C32"/>
    <w:rsid w:val="00B57ACF"/>
    <w:rsid w:val="00B620D6"/>
    <w:rsid w:val="00B64110"/>
    <w:rsid w:val="00B64BB1"/>
    <w:rsid w:val="00B67F0F"/>
    <w:rsid w:val="00B73166"/>
    <w:rsid w:val="00B741A7"/>
    <w:rsid w:val="00B80E18"/>
    <w:rsid w:val="00B81F02"/>
    <w:rsid w:val="00B8426C"/>
    <w:rsid w:val="00B90745"/>
    <w:rsid w:val="00B91B8D"/>
    <w:rsid w:val="00B94E90"/>
    <w:rsid w:val="00BA44D9"/>
    <w:rsid w:val="00BB0A82"/>
    <w:rsid w:val="00BB6825"/>
    <w:rsid w:val="00BB7C94"/>
    <w:rsid w:val="00BC0A9D"/>
    <w:rsid w:val="00BC4C7B"/>
    <w:rsid w:val="00BC57DF"/>
    <w:rsid w:val="00BF40ED"/>
    <w:rsid w:val="00BF584A"/>
    <w:rsid w:val="00BF5BC2"/>
    <w:rsid w:val="00C02500"/>
    <w:rsid w:val="00C0619F"/>
    <w:rsid w:val="00C1133D"/>
    <w:rsid w:val="00C16D57"/>
    <w:rsid w:val="00C16D82"/>
    <w:rsid w:val="00C27A08"/>
    <w:rsid w:val="00C27C58"/>
    <w:rsid w:val="00C31312"/>
    <w:rsid w:val="00C31E36"/>
    <w:rsid w:val="00C326C6"/>
    <w:rsid w:val="00C35295"/>
    <w:rsid w:val="00C36763"/>
    <w:rsid w:val="00C36ADD"/>
    <w:rsid w:val="00C36E74"/>
    <w:rsid w:val="00C40525"/>
    <w:rsid w:val="00C40595"/>
    <w:rsid w:val="00C41621"/>
    <w:rsid w:val="00C42B98"/>
    <w:rsid w:val="00C449FA"/>
    <w:rsid w:val="00C44D8A"/>
    <w:rsid w:val="00C5384F"/>
    <w:rsid w:val="00C56964"/>
    <w:rsid w:val="00C625A9"/>
    <w:rsid w:val="00C656D5"/>
    <w:rsid w:val="00C67103"/>
    <w:rsid w:val="00C701F9"/>
    <w:rsid w:val="00C71BB9"/>
    <w:rsid w:val="00C80B9D"/>
    <w:rsid w:val="00C8126C"/>
    <w:rsid w:val="00C87E86"/>
    <w:rsid w:val="00C926E1"/>
    <w:rsid w:val="00C940D8"/>
    <w:rsid w:val="00C94C28"/>
    <w:rsid w:val="00CA0AAD"/>
    <w:rsid w:val="00CB0247"/>
    <w:rsid w:val="00CB3440"/>
    <w:rsid w:val="00CC1692"/>
    <w:rsid w:val="00CC55F0"/>
    <w:rsid w:val="00CC5E86"/>
    <w:rsid w:val="00CC6BA9"/>
    <w:rsid w:val="00CD03CD"/>
    <w:rsid w:val="00CD138B"/>
    <w:rsid w:val="00CD1D0E"/>
    <w:rsid w:val="00CD3E31"/>
    <w:rsid w:val="00CD74A3"/>
    <w:rsid w:val="00CE0527"/>
    <w:rsid w:val="00CE1200"/>
    <w:rsid w:val="00CE5B23"/>
    <w:rsid w:val="00CF3B88"/>
    <w:rsid w:val="00CF70AD"/>
    <w:rsid w:val="00CF7729"/>
    <w:rsid w:val="00D00059"/>
    <w:rsid w:val="00D052D9"/>
    <w:rsid w:val="00D06C80"/>
    <w:rsid w:val="00D107FA"/>
    <w:rsid w:val="00D11E28"/>
    <w:rsid w:val="00D12275"/>
    <w:rsid w:val="00D12766"/>
    <w:rsid w:val="00D20FF4"/>
    <w:rsid w:val="00D24D2C"/>
    <w:rsid w:val="00D3535C"/>
    <w:rsid w:val="00D35881"/>
    <w:rsid w:val="00D42EEA"/>
    <w:rsid w:val="00D47E6E"/>
    <w:rsid w:val="00D73C79"/>
    <w:rsid w:val="00D763A7"/>
    <w:rsid w:val="00DA0FDE"/>
    <w:rsid w:val="00DA1A8C"/>
    <w:rsid w:val="00DA614B"/>
    <w:rsid w:val="00DA7DA5"/>
    <w:rsid w:val="00DB073B"/>
    <w:rsid w:val="00DB6F84"/>
    <w:rsid w:val="00DB78F0"/>
    <w:rsid w:val="00DC0CEA"/>
    <w:rsid w:val="00DC10F5"/>
    <w:rsid w:val="00DC2E43"/>
    <w:rsid w:val="00DD095C"/>
    <w:rsid w:val="00DD1020"/>
    <w:rsid w:val="00DD1330"/>
    <w:rsid w:val="00DD65C5"/>
    <w:rsid w:val="00DD670D"/>
    <w:rsid w:val="00DE0B83"/>
    <w:rsid w:val="00DE1A81"/>
    <w:rsid w:val="00DE1C13"/>
    <w:rsid w:val="00DE4E10"/>
    <w:rsid w:val="00DE4E5C"/>
    <w:rsid w:val="00DF0D74"/>
    <w:rsid w:val="00E00BAF"/>
    <w:rsid w:val="00E02742"/>
    <w:rsid w:val="00E02ABF"/>
    <w:rsid w:val="00E04958"/>
    <w:rsid w:val="00E05FCB"/>
    <w:rsid w:val="00E11E3B"/>
    <w:rsid w:val="00E14995"/>
    <w:rsid w:val="00E179CD"/>
    <w:rsid w:val="00E205AF"/>
    <w:rsid w:val="00E23E8D"/>
    <w:rsid w:val="00E24B00"/>
    <w:rsid w:val="00E251A9"/>
    <w:rsid w:val="00E32746"/>
    <w:rsid w:val="00E37F98"/>
    <w:rsid w:val="00E40DCA"/>
    <w:rsid w:val="00E46559"/>
    <w:rsid w:val="00E53B8B"/>
    <w:rsid w:val="00E54282"/>
    <w:rsid w:val="00E5708F"/>
    <w:rsid w:val="00E60D44"/>
    <w:rsid w:val="00E6273E"/>
    <w:rsid w:val="00E6670C"/>
    <w:rsid w:val="00E67235"/>
    <w:rsid w:val="00E776E8"/>
    <w:rsid w:val="00E92C1F"/>
    <w:rsid w:val="00E95D4B"/>
    <w:rsid w:val="00EB199F"/>
    <w:rsid w:val="00EC23F7"/>
    <w:rsid w:val="00EC4BD8"/>
    <w:rsid w:val="00EC613F"/>
    <w:rsid w:val="00EC63EB"/>
    <w:rsid w:val="00ED412F"/>
    <w:rsid w:val="00EF36B2"/>
    <w:rsid w:val="00F1246B"/>
    <w:rsid w:val="00F201EC"/>
    <w:rsid w:val="00F208A9"/>
    <w:rsid w:val="00F237C9"/>
    <w:rsid w:val="00F25605"/>
    <w:rsid w:val="00F31605"/>
    <w:rsid w:val="00F41D75"/>
    <w:rsid w:val="00F5139D"/>
    <w:rsid w:val="00F51805"/>
    <w:rsid w:val="00F54952"/>
    <w:rsid w:val="00F56F81"/>
    <w:rsid w:val="00F57DC0"/>
    <w:rsid w:val="00F63DAC"/>
    <w:rsid w:val="00F647E1"/>
    <w:rsid w:val="00F65DDD"/>
    <w:rsid w:val="00F7454F"/>
    <w:rsid w:val="00F7524D"/>
    <w:rsid w:val="00F77988"/>
    <w:rsid w:val="00F77F48"/>
    <w:rsid w:val="00FA0C65"/>
    <w:rsid w:val="00FB1919"/>
    <w:rsid w:val="00FB30F1"/>
    <w:rsid w:val="00FB53E7"/>
    <w:rsid w:val="00FD2A8A"/>
    <w:rsid w:val="00FE7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57101C"/>
    <w:pPr>
      <w:spacing w:after="200" w:line="276" w:lineRule="auto"/>
      <w:ind w:left="720"/>
      <w:contextualSpacing/>
    </w:pPr>
    <w:rPr>
      <w:rFonts w:ascii="Calibri" w:hAnsi="Calibri"/>
      <w:sz w:val="22"/>
      <w:szCs w:val="22"/>
    </w:rPr>
  </w:style>
  <w:style w:type="character" w:customStyle="1" w:styleId="FootnoteTextChar">
    <w:name w:val="Footnote Text Char"/>
    <w:link w:val="FootnoteText"/>
    <w:uiPriority w:val="99"/>
    <w:semiHidden/>
    <w:rsid w:val="0057101C"/>
  </w:style>
  <w:style w:type="character" w:customStyle="1" w:styleId="apple-converted-space">
    <w:name w:val="apple-converted-space"/>
    <w:rsid w:val="0057101C"/>
  </w:style>
  <w:style w:type="paragraph" w:customStyle="1" w:styleId="tv213">
    <w:name w:val="tv213"/>
    <w:basedOn w:val="Normal"/>
    <w:rsid w:val="0057101C"/>
    <w:pPr>
      <w:spacing w:before="100" w:beforeAutospacing="1" w:after="100" w:afterAutospacing="1"/>
    </w:pPr>
  </w:style>
  <w:style w:type="paragraph" w:customStyle="1" w:styleId="tv2131">
    <w:name w:val="tv2131"/>
    <w:basedOn w:val="Normal"/>
    <w:rsid w:val="0057101C"/>
    <w:pPr>
      <w:spacing w:before="240" w:line="360" w:lineRule="auto"/>
      <w:ind w:firstLine="272"/>
      <w:jc w:val="both"/>
    </w:pPr>
    <w:rPr>
      <w:rFonts w:ascii="Verdana" w:hAnsi="Verdana"/>
      <w:sz w:val="16"/>
      <w:szCs w:val="16"/>
    </w:rPr>
  </w:style>
  <w:style w:type="paragraph" w:styleId="NormalWeb">
    <w:name w:val="Normal (Web)"/>
    <w:basedOn w:val="Normal"/>
    <w:uiPriority w:val="99"/>
    <w:rsid w:val="007C4B41"/>
    <w:pPr>
      <w:spacing w:before="100" w:beforeAutospacing="1" w:after="100" w:afterAutospacing="1"/>
    </w:pPr>
    <w:rPr>
      <w:rFonts w:eastAsia="Arial Unicode MS"/>
      <w:lang w:val="en-GB" w:eastAsia="en-US"/>
    </w:rPr>
  </w:style>
  <w:style w:type="character" w:customStyle="1" w:styleId="HeaderChar">
    <w:name w:val="Header Char"/>
    <w:link w:val="Header"/>
    <w:uiPriority w:val="99"/>
    <w:rsid w:val="005E6B88"/>
    <w:rPr>
      <w:sz w:val="24"/>
      <w:szCs w:val="24"/>
    </w:rPr>
  </w:style>
  <w:style w:type="character" w:styleId="Strong">
    <w:name w:val="Strong"/>
    <w:uiPriority w:val="22"/>
    <w:qFormat/>
    <w:rsid w:val="00A305A2"/>
    <w:rPr>
      <w:b/>
    </w:rPr>
  </w:style>
  <w:style w:type="paragraph" w:customStyle="1" w:styleId="tvhtml">
    <w:name w:val="tv_html"/>
    <w:basedOn w:val="Normal"/>
    <w:rsid w:val="00A305A2"/>
    <w:pPr>
      <w:spacing w:before="100" w:beforeAutospacing="1" w:after="100" w:afterAutospacing="1"/>
    </w:pPr>
    <w:rPr>
      <w:rFonts w:ascii="Verdana" w:hAnsi="Verdana"/>
      <w:sz w:val="16"/>
      <w:szCs w:val="16"/>
    </w:rPr>
  </w:style>
  <w:style w:type="character" w:styleId="FollowedHyperlink">
    <w:name w:val="FollowedHyperlink"/>
    <w:rsid w:val="009F60DD"/>
    <w:rPr>
      <w:color w:val="800080"/>
      <w:u w:val="single"/>
    </w:rPr>
  </w:style>
  <w:style w:type="paragraph" w:styleId="Revision">
    <w:name w:val="Revision"/>
    <w:hidden/>
    <w:uiPriority w:val="99"/>
    <w:semiHidden/>
    <w:rsid w:val="009A3C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57101C"/>
    <w:pPr>
      <w:spacing w:after="200" w:line="276" w:lineRule="auto"/>
      <w:ind w:left="720"/>
      <w:contextualSpacing/>
    </w:pPr>
    <w:rPr>
      <w:rFonts w:ascii="Calibri" w:hAnsi="Calibri"/>
      <w:sz w:val="22"/>
      <w:szCs w:val="22"/>
    </w:rPr>
  </w:style>
  <w:style w:type="character" w:customStyle="1" w:styleId="FootnoteTextChar">
    <w:name w:val="Footnote Text Char"/>
    <w:link w:val="FootnoteText"/>
    <w:uiPriority w:val="99"/>
    <w:semiHidden/>
    <w:rsid w:val="0057101C"/>
  </w:style>
  <w:style w:type="character" w:customStyle="1" w:styleId="apple-converted-space">
    <w:name w:val="apple-converted-space"/>
    <w:rsid w:val="0057101C"/>
  </w:style>
  <w:style w:type="paragraph" w:customStyle="1" w:styleId="tv213">
    <w:name w:val="tv213"/>
    <w:basedOn w:val="Normal"/>
    <w:rsid w:val="0057101C"/>
    <w:pPr>
      <w:spacing w:before="100" w:beforeAutospacing="1" w:after="100" w:afterAutospacing="1"/>
    </w:pPr>
  </w:style>
  <w:style w:type="paragraph" w:customStyle="1" w:styleId="tv2131">
    <w:name w:val="tv2131"/>
    <w:basedOn w:val="Normal"/>
    <w:rsid w:val="0057101C"/>
    <w:pPr>
      <w:spacing w:before="240" w:line="360" w:lineRule="auto"/>
      <w:ind w:firstLine="272"/>
      <w:jc w:val="both"/>
    </w:pPr>
    <w:rPr>
      <w:rFonts w:ascii="Verdana" w:hAnsi="Verdana"/>
      <w:sz w:val="16"/>
      <w:szCs w:val="16"/>
    </w:rPr>
  </w:style>
  <w:style w:type="paragraph" w:styleId="NormalWeb">
    <w:name w:val="Normal (Web)"/>
    <w:basedOn w:val="Normal"/>
    <w:uiPriority w:val="99"/>
    <w:rsid w:val="007C4B41"/>
    <w:pPr>
      <w:spacing w:before="100" w:beforeAutospacing="1" w:after="100" w:afterAutospacing="1"/>
    </w:pPr>
    <w:rPr>
      <w:rFonts w:eastAsia="Arial Unicode MS"/>
      <w:lang w:val="en-GB" w:eastAsia="en-US"/>
    </w:rPr>
  </w:style>
  <w:style w:type="character" w:customStyle="1" w:styleId="HeaderChar">
    <w:name w:val="Header Char"/>
    <w:link w:val="Header"/>
    <w:uiPriority w:val="99"/>
    <w:rsid w:val="005E6B88"/>
    <w:rPr>
      <w:sz w:val="24"/>
      <w:szCs w:val="24"/>
    </w:rPr>
  </w:style>
  <w:style w:type="character" w:styleId="Strong">
    <w:name w:val="Strong"/>
    <w:uiPriority w:val="22"/>
    <w:qFormat/>
    <w:rsid w:val="00A305A2"/>
    <w:rPr>
      <w:b/>
    </w:rPr>
  </w:style>
  <w:style w:type="paragraph" w:customStyle="1" w:styleId="tvhtml">
    <w:name w:val="tv_html"/>
    <w:basedOn w:val="Normal"/>
    <w:rsid w:val="00A305A2"/>
    <w:pPr>
      <w:spacing w:before="100" w:beforeAutospacing="1" w:after="100" w:afterAutospacing="1"/>
    </w:pPr>
    <w:rPr>
      <w:rFonts w:ascii="Verdana" w:hAnsi="Verdana"/>
      <w:sz w:val="16"/>
      <w:szCs w:val="16"/>
    </w:rPr>
  </w:style>
  <w:style w:type="character" w:styleId="FollowedHyperlink">
    <w:name w:val="FollowedHyperlink"/>
    <w:rsid w:val="009F60DD"/>
    <w:rPr>
      <w:color w:val="800080"/>
      <w:u w:val="single"/>
    </w:rPr>
  </w:style>
  <w:style w:type="paragraph" w:styleId="Revision">
    <w:name w:val="Revision"/>
    <w:hidden/>
    <w:uiPriority w:val="99"/>
    <w:semiHidden/>
    <w:rsid w:val="009A3C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7786">
      <w:bodyDiv w:val="1"/>
      <w:marLeft w:val="0"/>
      <w:marRight w:val="0"/>
      <w:marTop w:val="0"/>
      <w:marBottom w:val="0"/>
      <w:divBdr>
        <w:top w:val="none" w:sz="0" w:space="0" w:color="auto"/>
        <w:left w:val="none" w:sz="0" w:space="0" w:color="auto"/>
        <w:bottom w:val="none" w:sz="0" w:space="0" w:color="auto"/>
        <w:right w:val="none" w:sz="0" w:space="0" w:color="auto"/>
      </w:divBdr>
    </w:div>
    <w:div w:id="782192895">
      <w:bodyDiv w:val="1"/>
      <w:marLeft w:val="0"/>
      <w:marRight w:val="0"/>
      <w:marTop w:val="0"/>
      <w:marBottom w:val="0"/>
      <w:divBdr>
        <w:top w:val="none" w:sz="0" w:space="0" w:color="auto"/>
        <w:left w:val="none" w:sz="0" w:space="0" w:color="auto"/>
        <w:bottom w:val="none" w:sz="0" w:space="0" w:color="auto"/>
        <w:right w:val="none" w:sz="0" w:space="0" w:color="auto"/>
      </w:divBdr>
    </w:div>
    <w:div w:id="1018658037">
      <w:bodyDiv w:val="1"/>
      <w:marLeft w:val="0"/>
      <w:marRight w:val="0"/>
      <w:marTop w:val="0"/>
      <w:marBottom w:val="0"/>
      <w:divBdr>
        <w:top w:val="none" w:sz="0" w:space="0" w:color="auto"/>
        <w:left w:val="none" w:sz="0" w:space="0" w:color="auto"/>
        <w:bottom w:val="none" w:sz="0" w:space="0" w:color="auto"/>
        <w:right w:val="none" w:sz="0" w:space="0" w:color="auto"/>
      </w:divBdr>
    </w:div>
    <w:div w:id="1136483903">
      <w:bodyDiv w:val="1"/>
      <w:marLeft w:val="0"/>
      <w:marRight w:val="0"/>
      <w:marTop w:val="0"/>
      <w:marBottom w:val="0"/>
      <w:divBdr>
        <w:top w:val="none" w:sz="0" w:space="0" w:color="auto"/>
        <w:left w:val="none" w:sz="0" w:space="0" w:color="auto"/>
        <w:bottom w:val="none" w:sz="0" w:space="0" w:color="auto"/>
        <w:right w:val="none" w:sz="0" w:space="0" w:color="auto"/>
      </w:divBdr>
    </w:div>
    <w:div w:id="1309241190">
      <w:bodyDiv w:val="1"/>
      <w:marLeft w:val="0"/>
      <w:marRight w:val="0"/>
      <w:marTop w:val="0"/>
      <w:marBottom w:val="0"/>
      <w:divBdr>
        <w:top w:val="none" w:sz="0" w:space="0" w:color="auto"/>
        <w:left w:val="none" w:sz="0" w:space="0" w:color="auto"/>
        <w:bottom w:val="none" w:sz="0" w:space="0" w:color="auto"/>
        <w:right w:val="none" w:sz="0" w:space="0" w:color="auto"/>
      </w:divBdr>
    </w:div>
    <w:div w:id="1498692409">
      <w:bodyDiv w:val="1"/>
      <w:marLeft w:val="0"/>
      <w:marRight w:val="0"/>
      <w:marTop w:val="0"/>
      <w:marBottom w:val="0"/>
      <w:divBdr>
        <w:top w:val="none" w:sz="0" w:space="0" w:color="auto"/>
        <w:left w:val="none" w:sz="0" w:space="0" w:color="auto"/>
        <w:bottom w:val="none" w:sz="0" w:space="0" w:color="auto"/>
        <w:right w:val="none" w:sz="0" w:space="0" w:color="auto"/>
      </w:divBdr>
    </w:div>
    <w:div w:id="1518275303">
      <w:bodyDiv w:val="1"/>
      <w:marLeft w:val="0"/>
      <w:marRight w:val="0"/>
      <w:marTop w:val="0"/>
      <w:marBottom w:val="0"/>
      <w:divBdr>
        <w:top w:val="none" w:sz="0" w:space="0" w:color="auto"/>
        <w:left w:val="none" w:sz="0" w:space="0" w:color="auto"/>
        <w:bottom w:val="none" w:sz="0" w:space="0" w:color="auto"/>
        <w:right w:val="none" w:sz="0" w:space="0" w:color="auto"/>
      </w:divBdr>
    </w:div>
    <w:div w:id="2001737904">
      <w:bodyDiv w:val="1"/>
      <w:marLeft w:val="0"/>
      <w:marRight w:val="0"/>
      <w:marTop w:val="0"/>
      <w:marBottom w:val="0"/>
      <w:divBdr>
        <w:top w:val="none" w:sz="0" w:space="0" w:color="auto"/>
        <w:left w:val="none" w:sz="0" w:space="0" w:color="auto"/>
        <w:bottom w:val="none" w:sz="0" w:space="0" w:color="auto"/>
        <w:right w:val="none" w:sz="0" w:space="0" w:color="auto"/>
      </w:divBdr>
    </w:div>
    <w:div w:id="206930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Edgars.Dzirkalis@em.gov.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m.gov.lv/em/2nd/?lang=lv&amp;id=33506&amp;cat=621" TargetMode="External"/><Relationship Id="rId1" Type="http://schemas.openxmlformats.org/officeDocument/2006/relationships/hyperlink" Target="http://www.eurelectric.org/media/26650/customer-centric_retail_markets-web-2011-321-0002-0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39F0-660B-44F6-931D-99CC8015CBA9}">
  <ds:schemaRefs>
    <ds:schemaRef ds:uri="http://schemas.openxmlformats.org/officeDocument/2006/bibliography"/>
  </ds:schemaRefs>
</ds:datastoreItem>
</file>

<file path=customXml/itemProps2.xml><?xml version="1.0" encoding="utf-8"?>
<ds:datastoreItem xmlns:ds="http://schemas.openxmlformats.org/officeDocument/2006/customXml" ds:itemID="{54ED609C-9A28-429C-9B2E-815EC9FA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1865</Words>
  <Characters>13895</Characters>
  <Application>Microsoft Office Word</Application>
  <DocSecurity>0</DocSecurity>
  <Lines>347</Lines>
  <Paragraphs>113</Paragraphs>
  <ScaleCrop>false</ScaleCrop>
  <HeadingPairs>
    <vt:vector size="2" baseType="variant">
      <vt:variant>
        <vt:lpstr>Title</vt:lpstr>
      </vt:variant>
      <vt:variant>
        <vt:i4>1</vt:i4>
      </vt:variant>
    </vt:vector>
  </HeadingPairs>
  <TitlesOfParts>
    <vt:vector size="1" baseType="lpstr">
      <vt:lpstr>Ministru kabineta instrukcijas projekts “Tiesību akta projekta sākotnējās ietekmes izvērtēšanas kārtība”</vt:lpstr>
    </vt:vector>
  </TitlesOfParts>
  <Company>Valsts kanceleja, Politikas koordinācijas departaments</Company>
  <LinksUpToDate>false</LinksUpToDate>
  <CharactersWithSpaces>15647</CharactersWithSpaces>
  <SharedDoc>false</SharedDoc>
  <HLinks>
    <vt:vector size="12" baseType="variant">
      <vt:variant>
        <vt:i4>7077967</vt:i4>
      </vt:variant>
      <vt:variant>
        <vt:i4>0</vt:i4>
      </vt:variant>
      <vt:variant>
        <vt:i4>0</vt:i4>
      </vt:variant>
      <vt:variant>
        <vt:i4>5</vt:i4>
      </vt:variant>
      <vt:variant>
        <vt:lpwstr>mailto:Edgars.Dzirkalis@em.gov.lv</vt:lpwstr>
      </vt:variant>
      <vt:variant>
        <vt:lpwstr/>
      </vt:variant>
      <vt:variant>
        <vt:i4>7733351</vt:i4>
      </vt:variant>
      <vt:variant>
        <vt:i4>0</vt:i4>
      </vt:variant>
      <vt:variant>
        <vt:i4>0</vt:i4>
      </vt:variant>
      <vt:variant>
        <vt:i4>5</vt:i4>
      </vt:variant>
      <vt:variant>
        <vt:lpwstr>http://www.eurelectric.org/media/26650/customer-centric_retail_markets-web-2011-321-0002-01-e.pdf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Edgars Dzirkalis</dc:creator>
  <cp:lastModifiedBy>Edgars Dzirkalis</cp:lastModifiedBy>
  <cp:revision>6</cp:revision>
  <cp:lastPrinted>2013-08-27T13:20:00Z</cp:lastPrinted>
  <dcterms:created xsi:type="dcterms:W3CDTF">2013-10-28T09:27:00Z</dcterms:created>
  <dcterms:modified xsi:type="dcterms:W3CDTF">2013-10-28T09:33:00Z</dcterms:modified>
</cp:coreProperties>
</file>