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C1" w:rsidRPr="00EA0986" w:rsidRDefault="00BB09C5" w:rsidP="00307EC1">
      <w:pPr>
        <w:tabs>
          <w:tab w:val="left" w:pos="6237"/>
        </w:tabs>
        <w:jc w:val="center"/>
        <w:rPr>
          <w:b/>
          <w:sz w:val="26"/>
          <w:szCs w:val="26"/>
          <w:lang w:val="lv-LV"/>
        </w:rPr>
      </w:pPr>
      <w:bookmarkStart w:id="0" w:name="OLE_LINK3"/>
      <w:bookmarkStart w:id="1" w:name="OLE_LINK1"/>
      <w:bookmarkStart w:id="2" w:name="OLE_LINK2"/>
      <w:r w:rsidRPr="00EA0986">
        <w:rPr>
          <w:b/>
          <w:sz w:val="26"/>
          <w:szCs w:val="26"/>
          <w:lang w:val="lv-LV"/>
        </w:rPr>
        <w:t xml:space="preserve">Ministru kabineta </w:t>
      </w:r>
      <w:r w:rsidR="00C83591" w:rsidRPr="00EA0986">
        <w:rPr>
          <w:b/>
          <w:sz w:val="26"/>
          <w:szCs w:val="26"/>
          <w:lang w:val="lv-LV"/>
        </w:rPr>
        <w:t>noteikumu</w:t>
      </w:r>
      <w:r w:rsidR="001764E7" w:rsidRPr="00EA0986">
        <w:rPr>
          <w:b/>
          <w:sz w:val="26"/>
          <w:szCs w:val="26"/>
          <w:lang w:val="lv-LV"/>
        </w:rPr>
        <w:t xml:space="preserve"> </w:t>
      </w:r>
      <w:r w:rsidRPr="00EA0986">
        <w:rPr>
          <w:b/>
          <w:sz w:val="26"/>
          <w:szCs w:val="26"/>
          <w:lang w:val="lv-LV"/>
        </w:rPr>
        <w:t xml:space="preserve">projekta </w:t>
      </w:r>
      <w:r w:rsidR="00092473" w:rsidRPr="00EA0986">
        <w:rPr>
          <w:b/>
          <w:sz w:val="26"/>
          <w:szCs w:val="26"/>
          <w:lang w:val="lv-LV"/>
        </w:rPr>
        <w:t>„</w:t>
      </w:r>
      <w:r w:rsidR="00307EC1" w:rsidRPr="00EA0986">
        <w:rPr>
          <w:b/>
          <w:sz w:val="26"/>
          <w:szCs w:val="26"/>
          <w:lang w:val="lv-LV"/>
        </w:rPr>
        <w:t>Grozījumi Ministru kabineta 2009.gada 15.septembra noteikumos Nr.1065 „Noteikumi par aizdevumiem sīko (</w:t>
      </w:r>
      <w:proofErr w:type="spellStart"/>
      <w:r w:rsidR="00307EC1" w:rsidRPr="00EA0986">
        <w:rPr>
          <w:b/>
          <w:sz w:val="26"/>
          <w:szCs w:val="26"/>
          <w:lang w:val="lv-LV"/>
        </w:rPr>
        <w:t>mikro</w:t>
      </w:r>
      <w:proofErr w:type="spellEnd"/>
      <w:r w:rsidR="00307EC1" w:rsidRPr="00EA0986">
        <w:rPr>
          <w:b/>
          <w:sz w:val="26"/>
          <w:szCs w:val="26"/>
          <w:lang w:val="lv-LV"/>
        </w:rPr>
        <w:t>), mazo un vidējo saimnieciskās darbības veicēju un lauksaimniecības pakalpojumu kooperatīvo sabiedrību attīstības veicināšanai”</w:t>
      </w:r>
    </w:p>
    <w:p w:rsidR="00522B62" w:rsidRPr="00153E7C" w:rsidRDefault="00092473" w:rsidP="00F22471">
      <w:pPr>
        <w:pStyle w:val="BodyText"/>
        <w:jc w:val="center"/>
        <w:rPr>
          <w:b/>
          <w:sz w:val="26"/>
          <w:szCs w:val="26"/>
        </w:rPr>
      </w:pPr>
      <w:r w:rsidRPr="00153E7C">
        <w:rPr>
          <w:b/>
          <w:sz w:val="26"/>
          <w:szCs w:val="26"/>
        </w:rPr>
        <w:t xml:space="preserve"> </w:t>
      </w:r>
      <w:r w:rsidR="003000F0" w:rsidRPr="00153E7C">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153E7C">
          <w:rPr>
            <w:b/>
            <w:sz w:val="26"/>
            <w:szCs w:val="26"/>
          </w:rPr>
          <w:t>ziņojums</w:t>
        </w:r>
      </w:smartTag>
      <w:r w:rsidR="00E73425" w:rsidRPr="00153E7C">
        <w:rPr>
          <w:b/>
          <w:sz w:val="26"/>
          <w:szCs w:val="26"/>
        </w:rPr>
        <w:t xml:space="preserve"> </w:t>
      </w:r>
      <w:r w:rsidR="003000F0" w:rsidRPr="00153E7C">
        <w:rPr>
          <w:b/>
          <w:sz w:val="26"/>
          <w:szCs w:val="26"/>
        </w:rPr>
        <w:t>(</w:t>
      </w:r>
      <w:r w:rsidR="00E73425" w:rsidRPr="00153E7C">
        <w:rPr>
          <w:b/>
          <w:sz w:val="26"/>
          <w:szCs w:val="26"/>
        </w:rPr>
        <w:t>anotācija</w:t>
      </w:r>
      <w:r w:rsidR="003000F0" w:rsidRPr="00153E7C">
        <w:rPr>
          <w:b/>
          <w:sz w:val="26"/>
          <w:szCs w:val="26"/>
        </w:rPr>
        <w:t>)</w:t>
      </w:r>
    </w:p>
    <w:p w:rsidR="00B84C4B" w:rsidRPr="00153E7C"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153E7C"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153E7C" w:rsidRDefault="00A31FDC" w:rsidP="00F22471">
            <w:pPr>
              <w:ind w:firstLine="720"/>
              <w:jc w:val="both"/>
              <w:rPr>
                <w:rFonts w:eastAsia="Times New Roman"/>
                <w:b/>
                <w:sz w:val="26"/>
                <w:szCs w:val="26"/>
                <w:lang w:val="lv-LV" w:eastAsia="lv-LV"/>
              </w:rPr>
            </w:pPr>
            <w:r w:rsidRPr="00153E7C">
              <w:rPr>
                <w:rFonts w:eastAsia="Times New Roman"/>
                <w:b/>
                <w:sz w:val="26"/>
                <w:szCs w:val="26"/>
                <w:lang w:val="lv-LV" w:eastAsia="lv-LV"/>
              </w:rPr>
              <w:t>I.Tiesību akta projekta izstrādes nepieciešamība</w:t>
            </w:r>
          </w:p>
        </w:tc>
      </w:tr>
      <w:tr w:rsidR="00A31FDC" w:rsidRPr="00153E7C"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153E7C" w:rsidRDefault="00092473" w:rsidP="00F20C84">
            <w:pPr>
              <w:jc w:val="both"/>
              <w:rPr>
                <w:sz w:val="26"/>
                <w:szCs w:val="26"/>
                <w:lang w:val="lv-LV"/>
              </w:rPr>
            </w:pPr>
            <w:r w:rsidRPr="00153E7C">
              <w:rPr>
                <w:sz w:val="26"/>
                <w:szCs w:val="26"/>
                <w:lang w:val="lv-LV"/>
              </w:rPr>
              <w:t>Ši</w:t>
            </w:r>
            <w:r w:rsidR="00C83342" w:rsidRPr="00153E7C">
              <w:rPr>
                <w:sz w:val="26"/>
                <w:szCs w:val="26"/>
                <w:lang w:val="lv-LV"/>
              </w:rPr>
              <w:t xml:space="preserve">e grozījumi </w:t>
            </w:r>
            <w:r w:rsidR="00BE25AA" w:rsidRPr="00153E7C">
              <w:rPr>
                <w:sz w:val="26"/>
                <w:szCs w:val="26"/>
                <w:lang w:val="lv-LV"/>
              </w:rPr>
              <w:t>Ministru kabineta 2009.gada 15.septembra noteikumos Nr.</w:t>
            </w:r>
            <w:r w:rsidR="00BE25AA" w:rsidRPr="00EA0986">
              <w:rPr>
                <w:sz w:val="26"/>
                <w:szCs w:val="26"/>
                <w:lang w:val="lv-LV"/>
              </w:rPr>
              <w:t>1065</w:t>
            </w:r>
            <w:r w:rsidR="00BE25AA" w:rsidRPr="00153E7C">
              <w:rPr>
                <w:sz w:val="26"/>
                <w:szCs w:val="26"/>
                <w:lang w:val="lv-LV"/>
              </w:rPr>
              <w:t xml:space="preserve"> „Noteikumi par aizdevumiem sīko (</w:t>
            </w:r>
            <w:proofErr w:type="spellStart"/>
            <w:r w:rsidR="00BE25AA" w:rsidRPr="00153E7C">
              <w:rPr>
                <w:sz w:val="26"/>
                <w:szCs w:val="26"/>
                <w:lang w:val="lv-LV"/>
              </w:rPr>
              <w:t>mikro</w:t>
            </w:r>
            <w:proofErr w:type="spellEnd"/>
            <w:r w:rsidR="00BE25AA" w:rsidRPr="00153E7C">
              <w:rPr>
                <w:sz w:val="26"/>
                <w:szCs w:val="26"/>
                <w:lang w:val="lv-LV"/>
              </w:rPr>
              <w:t xml:space="preserve">), mazo un vidējo saimnieciskās darbības veicēju un lauksaimniecības pakalpojumu kooperatīvo sabiedrību attīstības veicināšanai” (turpmāk – MK noteikumi Nr.1065) </w:t>
            </w:r>
            <w:r w:rsidRPr="00153E7C">
              <w:rPr>
                <w:sz w:val="26"/>
                <w:szCs w:val="26"/>
                <w:lang w:val="lv-LV"/>
              </w:rPr>
              <w:t>ir izstrādāti pamatojoties uz</w:t>
            </w:r>
            <w:r w:rsidR="0081539E" w:rsidRPr="00153E7C">
              <w:rPr>
                <w:sz w:val="26"/>
                <w:szCs w:val="26"/>
                <w:lang w:val="lv-LV"/>
              </w:rPr>
              <w:t xml:space="preserve"> Ministru kabineta iekārtas likuma </w:t>
            </w:r>
            <w:r w:rsidR="005F6018" w:rsidRPr="00153E7C">
              <w:rPr>
                <w:sz w:val="26"/>
                <w:szCs w:val="26"/>
                <w:lang w:val="lv-LV"/>
              </w:rPr>
              <w:t>31.panta pirmās daļas 3.punktu,</w:t>
            </w:r>
            <w:r w:rsidRPr="00153E7C">
              <w:rPr>
                <w:sz w:val="26"/>
                <w:szCs w:val="26"/>
                <w:lang w:val="lv-LV"/>
              </w:rPr>
              <w:t xml:space="preserve"> </w:t>
            </w:r>
            <w:proofErr w:type="spellStart"/>
            <w:r w:rsidRPr="00153E7C">
              <w:rPr>
                <w:i/>
                <w:sz w:val="26"/>
                <w:szCs w:val="26"/>
                <w:lang w:val="lv-LV"/>
              </w:rPr>
              <w:t>Euro</w:t>
            </w:r>
            <w:proofErr w:type="spellEnd"/>
            <w:r w:rsidRPr="00153E7C">
              <w:rPr>
                <w:i/>
                <w:sz w:val="26"/>
                <w:szCs w:val="26"/>
                <w:lang w:val="lv-LV"/>
              </w:rPr>
              <w:t xml:space="preserve"> </w:t>
            </w:r>
            <w:r w:rsidRPr="00EA0986">
              <w:rPr>
                <w:sz w:val="26"/>
                <w:szCs w:val="26"/>
                <w:lang w:val="lv-LV"/>
              </w:rPr>
              <w:t>ieviešanas kārtības likuma 30.panta pirm</w:t>
            </w:r>
            <w:r w:rsidR="005E49F0" w:rsidRPr="00EA0986">
              <w:rPr>
                <w:sz w:val="26"/>
                <w:szCs w:val="26"/>
                <w:lang w:val="lv-LV"/>
              </w:rPr>
              <w:t>o</w:t>
            </w:r>
            <w:r w:rsidRPr="00EA0986">
              <w:rPr>
                <w:sz w:val="26"/>
                <w:szCs w:val="26"/>
                <w:lang w:val="lv-LV"/>
              </w:rPr>
              <w:t xml:space="preserve"> daļu un Ministru kabineta 2012.gada 27.jūnija rīkojuma Nr.282 „Par „Koncepciju par normatīvo aktu sakārtošanu saistībā ar eiro ieviešanu Latvijā”” 7.1.apakšpunktu, kā arī ņemot vērā Komisijas </w:t>
            </w:r>
            <w:r w:rsidR="00F20C84">
              <w:rPr>
                <w:sz w:val="26"/>
                <w:szCs w:val="26"/>
                <w:lang w:val="lv-LV"/>
              </w:rPr>
              <w:t xml:space="preserve">2006.gada 15.decembra </w:t>
            </w:r>
            <w:r w:rsidRPr="00EA0986">
              <w:rPr>
                <w:sz w:val="26"/>
                <w:szCs w:val="26"/>
                <w:lang w:val="lv-LV"/>
              </w:rPr>
              <w:t>Regulu</w:t>
            </w:r>
            <w:r w:rsidR="00511C7D" w:rsidRPr="00EA0986">
              <w:rPr>
                <w:sz w:val="26"/>
                <w:szCs w:val="26"/>
                <w:lang w:val="lv-LV"/>
              </w:rPr>
              <w:t xml:space="preserve"> (EK) Nr.1998/2006 par Līguma 87. un 88.</w:t>
            </w:r>
            <w:r w:rsidRPr="00EA0986">
              <w:rPr>
                <w:sz w:val="26"/>
                <w:szCs w:val="26"/>
                <w:lang w:val="lv-LV"/>
              </w:rPr>
              <w:t xml:space="preserve">panta piemērošanu </w:t>
            </w:r>
            <w:proofErr w:type="spellStart"/>
            <w:r w:rsidRPr="00EA0986">
              <w:rPr>
                <w:i/>
                <w:sz w:val="26"/>
                <w:szCs w:val="26"/>
                <w:lang w:val="lv-LV"/>
              </w:rPr>
              <w:t>de</w:t>
            </w:r>
            <w:proofErr w:type="spellEnd"/>
            <w:r w:rsidRPr="00EA0986">
              <w:rPr>
                <w:i/>
                <w:sz w:val="26"/>
                <w:szCs w:val="26"/>
                <w:lang w:val="lv-LV"/>
              </w:rPr>
              <w:t xml:space="preserve"> </w:t>
            </w:r>
            <w:proofErr w:type="spellStart"/>
            <w:r w:rsidRPr="00EA0986">
              <w:rPr>
                <w:i/>
                <w:sz w:val="26"/>
                <w:szCs w:val="26"/>
                <w:lang w:val="lv-LV"/>
              </w:rPr>
              <w:t>minimis</w:t>
            </w:r>
            <w:proofErr w:type="spellEnd"/>
            <w:r w:rsidRPr="00EA0986">
              <w:rPr>
                <w:sz w:val="26"/>
                <w:szCs w:val="26"/>
                <w:lang w:val="lv-LV"/>
              </w:rPr>
              <w:t xml:space="preserve"> atbalstam (turpmāk – Regula Nr.1998/2006)</w:t>
            </w:r>
            <w:r w:rsidR="004035D5">
              <w:rPr>
                <w:sz w:val="26"/>
                <w:szCs w:val="26"/>
                <w:lang w:val="lv-LV"/>
              </w:rPr>
              <w:t xml:space="preserve"> (Eiropas Savienības Oficiālais Vēstnesis, 2006.gada 28.decembris, Nr.L379/5)</w:t>
            </w:r>
            <w:r w:rsidR="005F6018" w:rsidRPr="00EA0986">
              <w:rPr>
                <w:sz w:val="26"/>
                <w:szCs w:val="26"/>
                <w:lang w:val="lv-LV"/>
              </w:rPr>
              <w:t>,</w:t>
            </w:r>
            <w:r w:rsidRPr="00EA0986">
              <w:rPr>
                <w:sz w:val="26"/>
                <w:szCs w:val="26"/>
                <w:lang w:val="lv-LV"/>
              </w:rPr>
              <w:t xml:space="preserve"> Komisijas </w:t>
            </w:r>
            <w:r w:rsidR="00F20C84">
              <w:rPr>
                <w:sz w:val="26"/>
                <w:szCs w:val="26"/>
                <w:lang w:val="lv-LV"/>
              </w:rPr>
              <w:t>2007.gada 20.decembra</w:t>
            </w:r>
            <w:r w:rsidR="00F20C84" w:rsidRPr="00153E7C">
              <w:rPr>
                <w:sz w:val="26"/>
                <w:szCs w:val="26"/>
                <w:lang w:val="lv-LV"/>
              </w:rPr>
              <w:t xml:space="preserve"> </w:t>
            </w:r>
            <w:r w:rsidRPr="00EA0986">
              <w:rPr>
                <w:sz w:val="26"/>
                <w:szCs w:val="26"/>
                <w:lang w:val="lv-LV"/>
              </w:rPr>
              <w:t xml:space="preserve">Regulu (EK) Nr.1535/2007 par EK līguma 87. un 88.panta piemērošanu </w:t>
            </w:r>
            <w:proofErr w:type="spellStart"/>
            <w:r w:rsidRPr="00EA0986">
              <w:rPr>
                <w:i/>
                <w:sz w:val="26"/>
                <w:szCs w:val="26"/>
                <w:lang w:val="lv-LV"/>
              </w:rPr>
              <w:t>de</w:t>
            </w:r>
            <w:proofErr w:type="spellEnd"/>
            <w:r w:rsidRPr="00EA0986">
              <w:rPr>
                <w:i/>
                <w:sz w:val="26"/>
                <w:szCs w:val="26"/>
                <w:lang w:val="lv-LV"/>
              </w:rPr>
              <w:t xml:space="preserve"> </w:t>
            </w:r>
            <w:proofErr w:type="spellStart"/>
            <w:r w:rsidRPr="00EA0986">
              <w:rPr>
                <w:i/>
                <w:sz w:val="26"/>
                <w:szCs w:val="26"/>
                <w:lang w:val="lv-LV"/>
              </w:rPr>
              <w:t>minimis</w:t>
            </w:r>
            <w:proofErr w:type="spellEnd"/>
            <w:r w:rsidRPr="00EA0986">
              <w:rPr>
                <w:sz w:val="26"/>
                <w:szCs w:val="26"/>
                <w:lang w:val="lv-LV"/>
              </w:rPr>
              <w:t xml:space="preserve"> atbalstam lauksaimniecības produktu ražošanas nozarē (turpmāk </w:t>
            </w:r>
            <w:r w:rsidR="00691B3C" w:rsidRPr="00EA0986">
              <w:rPr>
                <w:sz w:val="26"/>
                <w:szCs w:val="26"/>
                <w:lang w:val="lv-LV"/>
              </w:rPr>
              <w:t xml:space="preserve">– </w:t>
            </w:r>
            <w:r w:rsidRPr="00EA0986">
              <w:rPr>
                <w:sz w:val="26"/>
                <w:szCs w:val="26"/>
                <w:lang w:val="lv-LV"/>
              </w:rPr>
              <w:t>Regula Nr.1535/2007)</w:t>
            </w:r>
            <w:r w:rsidR="005F6018" w:rsidRPr="00EA0986">
              <w:rPr>
                <w:sz w:val="26"/>
                <w:szCs w:val="26"/>
                <w:lang w:val="lv-LV"/>
              </w:rPr>
              <w:t xml:space="preserve"> </w:t>
            </w:r>
            <w:r w:rsidR="004035D5">
              <w:rPr>
                <w:sz w:val="26"/>
                <w:szCs w:val="26"/>
                <w:lang w:val="lv-LV"/>
              </w:rPr>
              <w:t xml:space="preserve">(Eiropas Savienības Oficiālais Vēstnesis, </w:t>
            </w:r>
            <w:r w:rsidR="004C2DF8">
              <w:rPr>
                <w:sz w:val="26"/>
                <w:szCs w:val="26"/>
                <w:lang w:val="lv-LV"/>
              </w:rPr>
              <w:t>2007.gada 21.decembris, Nr.L337/35</w:t>
            </w:r>
            <w:r w:rsidR="004035D5">
              <w:rPr>
                <w:sz w:val="26"/>
                <w:szCs w:val="26"/>
                <w:lang w:val="lv-LV"/>
              </w:rPr>
              <w:t xml:space="preserve">) </w:t>
            </w:r>
            <w:r w:rsidR="005F6018" w:rsidRPr="00EA0986">
              <w:rPr>
                <w:sz w:val="26"/>
                <w:szCs w:val="26"/>
                <w:lang w:val="lv-LV"/>
              </w:rPr>
              <w:t xml:space="preserve">un Komisijas </w:t>
            </w:r>
            <w:r w:rsidR="00F20C84">
              <w:rPr>
                <w:sz w:val="26"/>
                <w:szCs w:val="26"/>
                <w:lang w:val="lv-LV"/>
              </w:rPr>
              <w:t xml:space="preserve">2006.gada 15.decembra </w:t>
            </w:r>
            <w:r w:rsidR="005F6018" w:rsidRPr="00EA0986">
              <w:rPr>
                <w:sz w:val="26"/>
                <w:szCs w:val="26"/>
                <w:lang w:val="lv-LV"/>
              </w:rPr>
              <w:t>Regulu (EK) Nr.1857/2006 par Līguma 87. un 88.panta piemērošanu attiecībā uz maziem un vidējiem uzņēmumiem, kas nodarbojas ar lauksaimniecības produktu ražošanu, un grozījumiem Regulā (EK) Nr.70/2001</w:t>
            </w:r>
            <w:r w:rsidR="009449FD">
              <w:rPr>
                <w:sz w:val="26"/>
                <w:szCs w:val="26"/>
                <w:lang w:val="lv-LV"/>
              </w:rPr>
              <w:t xml:space="preserve"> (turpmāk – Regula Nr.1857/2006)</w:t>
            </w:r>
            <w:r w:rsidR="005F6018" w:rsidRPr="00EA0986">
              <w:rPr>
                <w:sz w:val="26"/>
                <w:szCs w:val="26"/>
                <w:lang w:val="lv-LV"/>
              </w:rPr>
              <w:t xml:space="preserve"> (Eiropas Savienības Oficiālais Vēstnesis, 2006.gada 16.decembris, Nr.L358</w:t>
            </w:r>
            <w:r w:rsidR="00096AA9">
              <w:rPr>
                <w:sz w:val="26"/>
                <w:szCs w:val="26"/>
                <w:lang w:val="lv-LV"/>
              </w:rPr>
              <w:t>/3</w:t>
            </w:r>
            <w:r w:rsidR="005F6018" w:rsidRPr="00EA0986">
              <w:rPr>
                <w:sz w:val="26"/>
                <w:szCs w:val="26"/>
                <w:lang w:val="lv-LV"/>
              </w:rPr>
              <w:t>).</w:t>
            </w:r>
          </w:p>
        </w:tc>
      </w:tr>
      <w:tr w:rsidR="00A31FDC" w:rsidRPr="00153E7C"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5F6018" w:rsidRPr="00EA0986" w:rsidRDefault="005F6018" w:rsidP="00EA0986">
            <w:pPr>
              <w:jc w:val="both"/>
              <w:rPr>
                <w:rFonts w:eastAsia="Times New Roman"/>
                <w:bCs/>
                <w:sz w:val="26"/>
                <w:szCs w:val="26"/>
                <w:lang w:val="lv-LV"/>
              </w:rPr>
            </w:pPr>
            <w:r w:rsidRPr="00EA0986">
              <w:rPr>
                <w:rFonts w:eastAsia="Times New Roman"/>
                <w:bCs/>
                <w:sz w:val="26"/>
                <w:szCs w:val="26"/>
                <w:lang w:val="lv-LV"/>
              </w:rPr>
              <w:t xml:space="preserve">2009.gada 15.septembrī tika apstiprināti MK noteikumi Nr.1065, kuri noteica atbalsta piešķiršanas nosacījumus apgrozāmo līdzekļu aizdevumiem un investīciju aizdevumiem, kā arī noteica, ka aizdevumus sniegs VAS „Latvijas Hipotēku un zemes banka” (turpmāk tekstā – </w:t>
            </w:r>
            <w:r w:rsidR="00BE25AA" w:rsidRPr="00EA0986">
              <w:rPr>
                <w:rFonts w:eastAsia="Times New Roman"/>
                <w:bCs/>
                <w:sz w:val="26"/>
                <w:szCs w:val="26"/>
                <w:lang w:val="lv-LV"/>
              </w:rPr>
              <w:t>LHZB</w:t>
            </w:r>
            <w:r w:rsidRPr="00EA0986">
              <w:rPr>
                <w:rFonts w:eastAsia="Times New Roman"/>
                <w:bCs/>
                <w:sz w:val="26"/>
                <w:szCs w:val="26"/>
                <w:lang w:val="lv-LV"/>
              </w:rPr>
              <w:t xml:space="preserve">). </w:t>
            </w:r>
          </w:p>
          <w:p w:rsidR="00C67E3F" w:rsidRPr="00EA0986" w:rsidRDefault="00C67E3F" w:rsidP="00EA0986">
            <w:pPr>
              <w:jc w:val="both"/>
              <w:rPr>
                <w:rFonts w:eastAsia="Times New Roman"/>
                <w:bCs/>
                <w:sz w:val="26"/>
                <w:szCs w:val="26"/>
                <w:lang w:val="lv-LV"/>
              </w:rPr>
            </w:pPr>
            <w:r w:rsidRPr="00153E7C">
              <w:rPr>
                <w:rFonts w:eastAsia="Times New Roman"/>
                <w:bCs/>
                <w:sz w:val="26"/>
                <w:szCs w:val="26"/>
                <w:lang w:val="lv-LV"/>
              </w:rPr>
              <w:t xml:space="preserve">Programmas apjoms atbilstoši MK noteikumiem </w:t>
            </w:r>
            <w:r w:rsidR="00691B3C" w:rsidRPr="00153E7C">
              <w:rPr>
                <w:rFonts w:eastAsia="Times New Roman"/>
                <w:bCs/>
                <w:sz w:val="26"/>
                <w:szCs w:val="26"/>
                <w:lang w:val="lv-LV"/>
              </w:rPr>
              <w:t>N</w:t>
            </w:r>
            <w:r w:rsidRPr="00153E7C">
              <w:rPr>
                <w:rFonts w:eastAsia="Times New Roman"/>
                <w:bCs/>
                <w:sz w:val="26"/>
                <w:szCs w:val="26"/>
                <w:lang w:val="lv-LV"/>
              </w:rPr>
              <w:t xml:space="preserve">r.1065 ir 142 </w:t>
            </w:r>
            <w:proofErr w:type="spellStart"/>
            <w:r w:rsidRPr="00153E7C">
              <w:rPr>
                <w:rFonts w:eastAsia="Times New Roman"/>
                <w:bCs/>
                <w:sz w:val="26"/>
                <w:szCs w:val="26"/>
                <w:lang w:val="lv-LV"/>
              </w:rPr>
              <w:t>milj</w:t>
            </w:r>
            <w:proofErr w:type="spellEnd"/>
            <w:r w:rsidRPr="00153E7C">
              <w:rPr>
                <w:rFonts w:eastAsia="Times New Roman"/>
                <w:bCs/>
                <w:sz w:val="26"/>
                <w:szCs w:val="26"/>
                <w:lang w:val="lv-LV"/>
              </w:rPr>
              <w:t>. LVL. Programmas faktiskā realizācija tika uzsākta 2010.gada februārī, piesaistot Eiropas Investīc</w:t>
            </w:r>
            <w:r w:rsidR="00EA0986">
              <w:rPr>
                <w:rFonts w:eastAsia="Times New Roman"/>
                <w:bCs/>
                <w:sz w:val="26"/>
                <w:szCs w:val="26"/>
                <w:lang w:val="lv-LV"/>
              </w:rPr>
              <w:t>i</w:t>
            </w:r>
            <w:r w:rsidRPr="00153E7C">
              <w:rPr>
                <w:rFonts w:eastAsia="Times New Roman"/>
                <w:bCs/>
                <w:sz w:val="26"/>
                <w:szCs w:val="26"/>
                <w:lang w:val="lv-LV"/>
              </w:rPr>
              <w:t>ju bankas finansējumu 70</w:t>
            </w:r>
            <w:r w:rsidR="00A92409">
              <w:rPr>
                <w:rFonts w:eastAsia="Times New Roman"/>
                <w:bCs/>
                <w:sz w:val="26"/>
                <w:szCs w:val="26"/>
                <w:lang w:val="lv-LV"/>
              </w:rPr>
              <w:t>,</w:t>
            </w:r>
            <w:r w:rsidRPr="00153E7C">
              <w:rPr>
                <w:rFonts w:eastAsia="Times New Roman"/>
                <w:bCs/>
                <w:sz w:val="26"/>
                <w:szCs w:val="26"/>
                <w:lang w:val="lv-LV"/>
              </w:rPr>
              <w:t xml:space="preserve">2 </w:t>
            </w:r>
            <w:proofErr w:type="spellStart"/>
            <w:r w:rsidRPr="00153E7C">
              <w:rPr>
                <w:rFonts w:eastAsia="Times New Roman"/>
                <w:bCs/>
                <w:sz w:val="26"/>
                <w:szCs w:val="26"/>
                <w:lang w:val="lv-LV"/>
              </w:rPr>
              <w:t>milj</w:t>
            </w:r>
            <w:proofErr w:type="spellEnd"/>
            <w:r w:rsidRPr="00153E7C">
              <w:rPr>
                <w:rFonts w:eastAsia="Times New Roman"/>
                <w:bCs/>
                <w:sz w:val="26"/>
                <w:szCs w:val="26"/>
                <w:lang w:val="lv-LV"/>
              </w:rPr>
              <w:t xml:space="preserve">. LVL apmērā (programmas realizācijai netiek izmantoti ne valsts budžeta, ne ES fondu līdzekļi). </w:t>
            </w:r>
            <w:r w:rsidRPr="00EA0986">
              <w:rPr>
                <w:rFonts w:eastAsia="Times New Roman"/>
                <w:bCs/>
                <w:sz w:val="26"/>
                <w:szCs w:val="26"/>
                <w:lang w:val="lv-LV"/>
              </w:rPr>
              <w:t xml:space="preserve">Līdz 2013.gada septembrim, programmas ietvaros </w:t>
            </w:r>
            <w:r w:rsidR="00BE25AA" w:rsidRPr="00EA0986">
              <w:rPr>
                <w:rFonts w:eastAsia="Times New Roman"/>
                <w:bCs/>
                <w:sz w:val="26"/>
                <w:szCs w:val="26"/>
                <w:lang w:val="lv-LV"/>
              </w:rPr>
              <w:t>LHZB</w:t>
            </w:r>
            <w:r w:rsidRPr="00EA0986">
              <w:rPr>
                <w:rFonts w:eastAsia="Times New Roman"/>
                <w:bCs/>
                <w:sz w:val="26"/>
                <w:szCs w:val="26"/>
                <w:lang w:val="lv-LV"/>
              </w:rPr>
              <w:t xml:space="preserve"> ir </w:t>
            </w:r>
            <w:r w:rsidRPr="00EA0986">
              <w:rPr>
                <w:rFonts w:eastAsia="Times New Roman"/>
                <w:bCs/>
                <w:sz w:val="26"/>
                <w:szCs w:val="26"/>
                <w:lang w:val="lv-LV"/>
              </w:rPr>
              <w:lastRenderedPageBreak/>
              <w:t xml:space="preserve">apstiprinājusi 837 projektus par kopējo summu 41,5 </w:t>
            </w:r>
            <w:proofErr w:type="spellStart"/>
            <w:r w:rsidRPr="00EA0986">
              <w:rPr>
                <w:rFonts w:eastAsia="Times New Roman"/>
                <w:bCs/>
                <w:sz w:val="26"/>
                <w:szCs w:val="26"/>
                <w:lang w:val="lv-LV"/>
              </w:rPr>
              <w:t>milj</w:t>
            </w:r>
            <w:proofErr w:type="spellEnd"/>
            <w:r w:rsidRPr="00EA0986">
              <w:rPr>
                <w:rFonts w:eastAsia="Times New Roman"/>
                <w:bCs/>
                <w:sz w:val="26"/>
                <w:szCs w:val="26"/>
                <w:lang w:val="lv-LV"/>
              </w:rPr>
              <w:t xml:space="preserve">. LVL apmērā, </w:t>
            </w:r>
            <w:proofErr w:type="spellStart"/>
            <w:r w:rsidRPr="00EA0986">
              <w:rPr>
                <w:rFonts w:eastAsia="Times New Roman"/>
                <w:bCs/>
                <w:sz w:val="26"/>
                <w:szCs w:val="26"/>
                <w:lang w:val="lv-LV"/>
              </w:rPr>
              <w:t>savkārt</w:t>
            </w:r>
            <w:proofErr w:type="spellEnd"/>
            <w:r w:rsidRPr="00EA0986">
              <w:rPr>
                <w:rFonts w:eastAsia="Times New Roman"/>
                <w:bCs/>
                <w:sz w:val="26"/>
                <w:szCs w:val="26"/>
                <w:lang w:val="lv-LV"/>
              </w:rPr>
              <w:t xml:space="preserve"> noslēgto līgumu skaits ir 799 par kopējo summu 38,2 </w:t>
            </w:r>
            <w:proofErr w:type="spellStart"/>
            <w:r w:rsidRPr="00EA0986">
              <w:rPr>
                <w:rFonts w:eastAsia="Times New Roman"/>
                <w:bCs/>
                <w:sz w:val="26"/>
                <w:szCs w:val="26"/>
                <w:lang w:val="lv-LV"/>
              </w:rPr>
              <w:t>milj</w:t>
            </w:r>
            <w:proofErr w:type="spellEnd"/>
            <w:r w:rsidRPr="00EA0986">
              <w:rPr>
                <w:rFonts w:eastAsia="Times New Roman"/>
                <w:bCs/>
                <w:sz w:val="26"/>
                <w:szCs w:val="26"/>
                <w:lang w:val="lv-LV"/>
              </w:rPr>
              <w:t xml:space="preserve"> LVL.</w:t>
            </w:r>
          </w:p>
          <w:p w:rsidR="00C67E3F" w:rsidRDefault="00CC1D5F" w:rsidP="00EA0986">
            <w:pPr>
              <w:jc w:val="both"/>
              <w:rPr>
                <w:rFonts w:eastAsia="Times New Roman"/>
                <w:bCs/>
                <w:sz w:val="26"/>
                <w:szCs w:val="26"/>
                <w:lang w:val="lv-LV"/>
              </w:rPr>
            </w:pPr>
            <w:r w:rsidRPr="00EA0986">
              <w:rPr>
                <w:rFonts w:eastAsia="Times New Roman"/>
                <w:bCs/>
                <w:sz w:val="26"/>
                <w:szCs w:val="26"/>
                <w:lang w:val="lv-LV"/>
              </w:rPr>
              <w:t xml:space="preserve">Patreizējā MK noteikumu Nr.1065 redakcija nosaka, ka  </w:t>
            </w:r>
            <w:proofErr w:type="spellStart"/>
            <w:r w:rsidRPr="00EA0986">
              <w:rPr>
                <w:rFonts w:eastAsia="Times New Roman"/>
                <w:bCs/>
                <w:sz w:val="26"/>
                <w:szCs w:val="26"/>
                <w:lang w:val="lv-LV"/>
              </w:rPr>
              <w:t>nelauksaimnieku</w:t>
            </w:r>
            <w:proofErr w:type="spellEnd"/>
            <w:r w:rsidRPr="00EA0986">
              <w:rPr>
                <w:rFonts w:eastAsia="Times New Roman"/>
                <w:bCs/>
                <w:sz w:val="26"/>
                <w:szCs w:val="26"/>
                <w:lang w:val="lv-LV"/>
              </w:rPr>
              <w:t xml:space="preserve"> projektiem (</w:t>
            </w:r>
            <w:r w:rsidR="00691B3C" w:rsidRPr="00EA0986">
              <w:rPr>
                <w:rFonts w:eastAsia="Times New Roman"/>
                <w:bCs/>
                <w:sz w:val="26"/>
                <w:szCs w:val="26"/>
                <w:lang w:val="lv-LV"/>
              </w:rPr>
              <w:t xml:space="preserve">MK </w:t>
            </w:r>
            <w:r w:rsidRPr="00EA0986">
              <w:rPr>
                <w:rFonts w:eastAsia="Times New Roman"/>
                <w:bCs/>
                <w:sz w:val="26"/>
                <w:szCs w:val="26"/>
                <w:lang w:val="lv-LV"/>
              </w:rPr>
              <w:t xml:space="preserve">noteikumu Nr.1065 7.1. un 7.2.punktā noteiktā mērķa grupa) ir jāfinansē 25% no kopējām investīcijām (Komisijas 2008.gada 6.augusta Regulas (EK) Nr.800/2008, kas atzīst noteiktas atbalsta kategorijas par saderīgām ar kopējo tirgu, piemērojot Līguma 87. un 88.pantu (vispārējā grupu atbrīvojuma regula) </w:t>
            </w:r>
            <w:r w:rsidR="00A42C4D" w:rsidRPr="00153E7C">
              <w:rPr>
                <w:rFonts w:eastAsia="Times New Roman"/>
                <w:bCs/>
                <w:sz w:val="26"/>
                <w:szCs w:val="26"/>
                <w:lang w:val="lv-LV"/>
              </w:rPr>
              <w:t>prasība</w:t>
            </w:r>
            <w:r w:rsidR="00A42C4D">
              <w:rPr>
                <w:rFonts w:eastAsia="Times New Roman"/>
                <w:bCs/>
                <w:sz w:val="26"/>
                <w:szCs w:val="26"/>
                <w:lang w:val="lv-LV"/>
              </w:rPr>
              <w:t>)</w:t>
            </w:r>
            <w:r w:rsidR="00A42C4D" w:rsidRPr="00153E7C">
              <w:rPr>
                <w:rFonts w:eastAsia="Times New Roman"/>
                <w:bCs/>
                <w:sz w:val="26"/>
                <w:szCs w:val="26"/>
                <w:lang w:val="lv-LV"/>
              </w:rPr>
              <w:t xml:space="preserve"> </w:t>
            </w:r>
            <w:r w:rsidRPr="00EA0986">
              <w:rPr>
                <w:rFonts w:eastAsia="Times New Roman"/>
                <w:bCs/>
                <w:sz w:val="26"/>
                <w:szCs w:val="26"/>
                <w:lang w:val="lv-LV"/>
              </w:rPr>
              <w:t xml:space="preserve">(Eiropas Savienības Oficiālais Vēstnesis, 2008.gada 9.augusts, </w:t>
            </w:r>
            <w:proofErr w:type="spellStart"/>
            <w:r w:rsidRPr="00EA0986">
              <w:rPr>
                <w:rFonts w:eastAsia="Times New Roman"/>
                <w:bCs/>
                <w:sz w:val="26"/>
                <w:szCs w:val="26"/>
                <w:lang w:val="lv-LV"/>
              </w:rPr>
              <w:t>Nr</w:t>
            </w:r>
            <w:proofErr w:type="spellEnd"/>
            <w:r w:rsidRPr="00EA0986">
              <w:rPr>
                <w:rFonts w:eastAsia="Times New Roman"/>
                <w:bCs/>
                <w:sz w:val="26"/>
                <w:szCs w:val="26"/>
                <w:lang w:val="lv-LV"/>
              </w:rPr>
              <w:t xml:space="preserve">. L 214) (turpmāk – </w:t>
            </w:r>
            <w:r w:rsidR="00A42C4D">
              <w:rPr>
                <w:rFonts w:eastAsia="Times New Roman"/>
                <w:bCs/>
                <w:sz w:val="26"/>
                <w:szCs w:val="26"/>
                <w:lang w:val="lv-LV"/>
              </w:rPr>
              <w:t>R</w:t>
            </w:r>
            <w:r w:rsidRPr="00EA0986">
              <w:rPr>
                <w:rFonts w:eastAsia="Times New Roman"/>
                <w:bCs/>
                <w:sz w:val="26"/>
                <w:szCs w:val="26"/>
                <w:lang w:val="lv-LV"/>
              </w:rPr>
              <w:t>egula Nr.800/2008), bet lauksaimniekiem (</w:t>
            </w:r>
            <w:r w:rsidR="00F84DC9" w:rsidRPr="00EA0986">
              <w:rPr>
                <w:rFonts w:eastAsia="Times New Roman"/>
                <w:bCs/>
                <w:sz w:val="26"/>
                <w:szCs w:val="26"/>
                <w:lang w:val="lv-LV"/>
              </w:rPr>
              <w:t xml:space="preserve">MK </w:t>
            </w:r>
            <w:r w:rsidRPr="00EA0986">
              <w:rPr>
                <w:rFonts w:eastAsia="Times New Roman"/>
                <w:bCs/>
                <w:sz w:val="26"/>
                <w:szCs w:val="26"/>
                <w:lang w:val="lv-LV"/>
              </w:rPr>
              <w:t xml:space="preserve">noteikumu Nr.1065 7.3.punktā noteiktā mērķa grupa), ja ir labs nodrošinājums (MK noteikumos Nr.1065 izteikts ar saistību nodrošinājuma koeficentu zem 75%), līdzfinansējums var būt mazāks par 25%. Lai noteiktu vienādu pieeju līdzfinansējuma noteikšanā gan lauksaimniekiem, gan arī </w:t>
            </w:r>
            <w:proofErr w:type="spellStart"/>
            <w:r w:rsidRPr="00EA0986">
              <w:rPr>
                <w:rFonts w:eastAsia="Times New Roman"/>
                <w:bCs/>
                <w:sz w:val="26"/>
                <w:szCs w:val="26"/>
                <w:lang w:val="lv-LV"/>
              </w:rPr>
              <w:t>nelauksaimniekiem</w:t>
            </w:r>
            <w:proofErr w:type="spellEnd"/>
            <w:r w:rsidRPr="00EA0986">
              <w:rPr>
                <w:rFonts w:eastAsia="Times New Roman"/>
                <w:bCs/>
                <w:sz w:val="26"/>
                <w:szCs w:val="26"/>
                <w:lang w:val="lv-LV"/>
              </w:rPr>
              <w:t xml:space="preserve">, </w:t>
            </w:r>
            <w:r w:rsidR="00F84DC9" w:rsidRPr="00EA0986">
              <w:rPr>
                <w:rFonts w:eastAsia="Times New Roman"/>
                <w:bCs/>
                <w:sz w:val="26"/>
                <w:szCs w:val="26"/>
                <w:lang w:val="lv-LV"/>
              </w:rPr>
              <w:t>Ekonomikas ministrija izstrādāja MK noteikumu Nr.1065 grozījumu projektu, kas paredz</w:t>
            </w:r>
            <w:r w:rsidRPr="00EA0986">
              <w:rPr>
                <w:rFonts w:eastAsia="Times New Roman"/>
                <w:bCs/>
                <w:sz w:val="26"/>
                <w:szCs w:val="26"/>
                <w:lang w:val="lv-LV"/>
              </w:rPr>
              <w:t xml:space="preserve"> noteikt, ka investīciju aizdevumi </w:t>
            </w:r>
            <w:proofErr w:type="spellStart"/>
            <w:r w:rsidRPr="00EA0986">
              <w:rPr>
                <w:rFonts w:eastAsia="Times New Roman"/>
                <w:bCs/>
                <w:sz w:val="26"/>
                <w:szCs w:val="26"/>
                <w:lang w:val="lv-LV"/>
              </w:rPr>
              <w:t>nelauksaimniekiem</w:t>
            </w:r>
            <w:proofErr w:type="spellEnd"/>
            <w:r w:rsidRPr="00EA0986">
              <w:rPr>
                <w:rFonts w:eastAsia="Times New Roman"/>
                <w:bCs/>
                <w:sz w:val="26"/>
                <w:szCs w:val="26"/>
                <w:lang w:val="lv-LV"/>
              </w:rPr>
              <w:t xml:space="preserve"> </w:t>
            </w:r>
            <w:r w:rsidR="00BE25AA" w:rsidRPr="00EA0986">
              <w:rPr>
                <w:rFonts w:eastAsia="Times New Roman"/>
                <w:bCs/>
                <w:sz w:val="26"/>
                <w:szCs w:val="26"/>
                <w:lang w:val="lv-LV"/>
              </w:rPr>
              <w:t xml:space="preserve">turpmāk </w:t>
            </w:r>
            <w:r w:rsidRPr="00EA0986">
              <w:rPr>
                <w:rFonts w:eastAsia="Times New Roman"/>
                <w:bCs/>
                <w:sz w:val="26"/>
                <w:szCs w:val="26"/>
                <w:lang w:val="lv-LV"/>
              </w:rPr>
              <w:t xml:space="preserve">tiek sniegts kā </w:t>
            </w:r>
            <w:proofErr w:type="spellStart"/>
            <w:r w:rsidRPr="00EA0986">
              <w:rPr>
                <w:rFonts w:eastAsia="Times New Roman"/>
                <w:bCs/>
                <w:i/>
                <w:sz w:val="26"/>
                <w:szCs w:val="26"/>
                <w:lang w:val="lv-LV"/>
              </w:rPr>
              <w:t>de</w:t>
            </w:r>
            <w:proofErr w:type="spellEnd"/>
            <w:r w:rsidRPr="00EA0986">
              <w:rPr>
                <w:rFonts w:eastAsia="Times New Roman"/>
                <w:bCs/>
                <w:i/>
                <w:sz w:val="26"/>
                <w:szCs w:val="26"/>
                <w:lang w:val="lv-LV"/>
              </w:rPr>
              <w:t xml:space="preserve"> </w:t>
            </w:r>
            <w:proofErr w:type="spellStart"/>
            <w:r w:rsidRPr="00EA0986">
              <w:rPr>
                <w:rFonts w:eastAsia="Times New Roman"/>
                <w:bCs/>
                <w:i/>
                <w:sz w:val="26"/>
                <w:szCs w:val="26"/>
                <w:lang w:val="lv-LV"/>
              </w:rPr>
              <w:t>minimis</w:t>
            </w:r>
            <w:proofErr w:type="spellEnd"/>
            <w:r w:rsidRPr="00EA0986">
              <w:rPr>
                <w:rFonts w:eastAsia="Times New Roman"/>
                <w:bCs/>
                <w:sz w:val="26"/>
                <w:szCs w:val="26"/>
                <w:lang w:val="lv-LV"/>
              </w:rPr>
              <w:t xml:space="preserve"> atbalsts atbilstoši Regulai Nr.1998/2006. </w:t>
            </w:r>
            <w:r w:rsidR="00C67E3F" w:rsidRPr="00EA0986">
              <w:rPr>
                <w:rFonts w:eastAsia="Times New Roman"/>
                <w:bCs/>
                <w:sz w:val="26"/>
                <w:szCs w:val="26"/>
                <w:lang w:val="lv-LV"/>
              </w:rPr>
              <w:t xml:space="preserve">Attiecīgi minimālais līdzfinansējuma apjoms tiks samazināts  no 25% uz 10%, vai pat 0% tiem aizdevumiem, kur saistību nodrošinājuma koeficents ir līdz 75%. </w:t>
            </w:r>
            <w:r w:rsidR="008C34B9">
              <w:rPr>
                <w:rFonts w:eastAsia="Times New Roman"/>
                <w:bCs/>
                <w:sz w:val="26"/>
                <w:szCs w:val="26"/>
                <w:lang w:val="lv-LV"/>
              </w:rPr>
              <w:t xml:space="preserve">Tādejādi ir svītrots MK noteikumu Nr.1065 30.punkts, kā arī grozīts </w:t>
            </w:r>
            <w:r w:rsidR="00FB18C1">
              <w:rPr>
                <w:rFonts w:eastAsia="Times New Roman"/>
                <w:bCs/>
                <w:sz w:val="26"/>
                <w:szCs w:val="26"/>
                <w:lang w:val="lv-LV"/>
              </w:rPr>
              <w:t>20.punkts, jo nav</w:t>
            </w:r>
            <w:r w:rsidR="008C34B9">
              <w:rPr>
                <w:rFonts w:eastAsia="Times New Roman"/>
                <w:bCs/>
                <w:sz w:val="26"/>
                <w:szCs w:val="26"/>
                <w:lang w:val="lv-LV"/>
              </w:rPr>
              <w:t xml:space="preserve"> jāpiemēro </w:t>
            </w:r>
            <w:r w:rsidR="008C34B9" w:rsidRPr="00EA0986">
              <w:rPr>
                <w:rFonts w:eastAsia="Times New Roman"/>
                <w:bCs/>
                <w:sz w:val="26"/>
                <w:szCs w:val="26"/>
                <w:lang w:val="lv-LV"/>
              </w:rPr>
              <w:t>Regulas (EK) Nr.800/2008</w:t>
            </w:r>
            <w:r w:rsidR="00FB18C1">
              <w:rPr>
                <w:rFonts w:eastAsia="Times New Roman"/>
                <w:bCs/>
                <w:sz w:val="26"/>
                <w:szCs w:val="26"/>
                <w:lang w:val="lv-LV"/>
              </w:rPr>
              <w:t xml:space="preserve"> prasības.</w:t>
            </w:r>
          </w:p>
          <w:p w:rsidR="000E76CF" w:rsidRPr="00EA0986" w:rsidRDefault="000E76CF" w:rsidP="00EA0986">
            <w:pPr>
              <w:jc w:val="both"/>
              <w:rPr>
                <w:rFonts w:eastAsia="Times New Roman"/>
                <w:bCs/>
                <w:sz w:val="26"/>
                <w:szCs w:val="26"/>
                <w:lang w:val="lv-LV"/>
              </w:rPr>
            </w:pPr>
            <w:r w:rsidRPr="00C27BB9">
              <w:rPr>
                <w:rFonts w:eastAsia="Times New Roman"/>
                <w:bCs/>
                <w:sz w:val="26"/>
                <w:szCs w:val="26"/>
                <w:lang w:val="lv-LV"/>
              </w:rPr>
              <w:t>Papildus svītrots MK noteikumu Nr.1065 25.punkts (regulas Nr.800/2008 12.panta 1.punkta prasība), 26.punkts (regulas Nr.800/2006 12.panta 2.punkta prasība) un 28.punkts (regulas Nr.800/2006 13.panta 6.punkta prasība).</w:t>
            </w:r>
          </w:p>
          <w:p w:rsidR="00335CC3" w:rsidRPr="00153E7C" w:rsidRDefault="00335CC3" w:rsidP="00335CC3">
            <w:pPr>
              <w:jc w:val="both"/>
              <w:rPr>
                <w:sz w:val="26"/>
                <w:szCs w:val="26"/>
                <w:lang w:val="lv-LV"/>
              </w:rPr>
            </w:pPr>
            <w:r w:rsidRPr="00153E7C">
              <w:rPr>
                <w:sz w:val="26"/>
                <w:szCs w:val="26"/>
                <w:lang w:val="lv-LV"/>
              </w:rPr>
              <w:t xml:space="preserve">Ņemot vērā, ka ar 2014.gada 1.janvāri Latvijā plānots ieviest </w:t>
            </w:r>
            <w:proofErr w:type="spellStart"/>
            <w:r w:rsidRPr="00153E7C">
              <w:rPr>
                <w:i/>
                <w:sz w:val="26"/>
                <w:szCs w:val="26"/>
                <w:lang w:val="lv-LV"/>
              </w:rPr>
              <w:t>euro</w:t>
            </w:r>
            <w:proofErr w:type="spellEnd"/>
            <w:r w:rsidRPr="00153E7C">
              <w:rPr>
                <w:sz w:val="26"/>
                <w:szCs w:val="26"/>
                <w:lang w:val="lv-LV"/>
              </w:rPr>
              <w:t xml:space="preserve">, ir nepieciešams veikt grozījumus MK noteikumos Nr.1065, aizstājot tajā latus ar </w:t>
            </w:r>
            <w:proofErr w:type="spellStart"/>
            <w:r w:rsidRPr="00153E7C">
              <w:rPr>
                <w:i/>
                <w:sz w:val="26"/>
                <w:szCs w:val="26"/>
                <w:lang w:val="lv-LV"/>
              </w:rPr>
              <w:t>euro</w:t>
            </w:r>
            <w:proofErr w:type="spellEnd"/>
            <w:r w:rsidRPr="00153E7C">
              <w:rPr>
                <w:sz w:val="26"/>
                <w:szCs w:val="26"/>
                <w:lang w:val="lv-LV"/>
              </w:rPr>
              <w:t xml:space="preserve">. </w:t>
            </w:r>
            <w:r w:rsidR="00153E7C">
              <w:rPr>
                <w:sz w:val="26"/>
                <w:szCs w:val="26"/>
                <w:lang w:val="lv-LV"/>
              </w:rPr>
              <w:t>MK n</w:t>
            </w:r>
            <w:r w:rsidRPr="00153E7C">
              <w:rPr>
                <w:sz w:val="26"/>
                <w:szCs w:val="26"/>
                <w:lang w:val="lv-LV"/>
              </w:rPr>
              <w:t xml:space="preserve">oteikumu projekts paredz izteikt summas </w:t>
            </w:r>
            <w:proofErr w:type="spellStart"/>
            <w:r w:rsidRPr="00153E7C">
              <w:rPr>
                <w:i/>
                <w:sz w:val="26"/>
                <w:szCs w:val="26"/>
                <w:lang w:val="lv-LV"/>
              </w:rPr>
              <w:t>euro</w:t>
            </w:r>
            <w:proofErr w:type="spellEnd"/>
            <w:r w:rsidRPr="00153E7C">
              <w:rPr>
                <w:sz w:val="26"/>
                <w:szCs w:val="26"/>
                <w:lang w:val="lv-LV"/>
              </w:rPr>
              <w:t xml:space="preserve"> un noteikt, ka līdz 20</w:t>
            </w:r>
            <w:r w:rsidR="00FB18C1">
              <w:rPr>
                <w:sz w:val="26"/>
                <w:szCs w:val="26"/>
                <w:lang w:val="lv-LV"/>
              </w:rPr>
              <w:t>13</w:t>
            </w:r>
            <w:r w:rsidRPr="00153E7C">
              <w:rPr>
                <w:sz w:val="26"/>
                <w:szCs w:val="26"/>
                <w:lang w:val="lv-LV"/>
              </w:rPr>
              <w:t xml:space="preserve">.gada </w:t>
            </w:r>
            <w:r w:rsidR="00FB18C1">
              <w:rPr>
                <w:sz w:val="26"/>
                <w:szCs w:val="26"/>
                <w:lang w:val="lv-LV"/>
              </w:rPr>
              <w:t>31.decembrim</w:t>
            </w:r>
            <w:r w:rsidRPr="00153E7C">
              <w:rPr>
                <w:sz w:val="26"/>
                <w:szCs w:val="26"/>
                <w:lang w:val="lv-LV"/>
              </w:rPr>
              <w:t xml:space="preserve"> šo noteikumu ietvaros noteiktās summas </w:t>
            </w:r>
            <w:proofErr w:type="spellStart"/>
            <w:r w:rsidRPr="00153E7C">
              <w:rPr>
                <w:i/>
                <w:sz w:val="26"/>
                <w:szCs w:val="26"/>
                <w:lang w:val="lv-LV"/>
              </w:rPr>
              <w:t>euro</w:t>
            </w:r>
            <w:proofErr w:type="spellEnd"/>
            <w:r w:rsidRPr="00153E7C">
              <w:rPr>
                <w:sz w:val="26"/>
                <w:szCs w:val="26"/>
                <w:lang w:val="lv-LV"/>
              </w:rPr>
              <w:t xml:space="preserve"> pārrēķina latos, ievērojot Padomes 1997.gada 17.jūnija regulas (EK) Nr.1103/97 par dažiem noteikumiem attiecībā uz </w:t>
            </w:r>
            <w:proofErr w:type="spellStart"/>
            <w:r w:rsidRPr="00153E7C">
              <w:rPr>
                <w:i/>
                <w:sz w:val="26"/>
                <w:szCs w:val="26"/>
                <w:lang w:val="lv-LV"/>
              </w:rPr>
              <w:t>euro</w:t>
            </w:r>
            <w:proofErr w:type="spellEnd"/>
            <w:r w:rsidRPr="00153E7C">
              <w:rPr>
                <w:sz w:val="26"/>
                <w:szCs w:val="26"/>
                <w:lang w:val="lv-LV"/>
              </w:rPr>
              <w:t xml:space="preserve"> ieviešanu noteikto maiņas kursu </w:t>
            </w:r>
            <w:r w:rsidR="00A42C4D">
              <w:rPr>
                <w:sz w:val="26"/>
                <w:szCs w:val="26"/>
                <w:lang w:val="lv-LV"/>
              </w:rPr>
              <w:t>(Eiropas Savienības Oficiālais Vēstnesis, 1997.gada 19.jūnijs, Nr.L162)</w:t>
            </w:r>
            <w:r w:rsidR="00FB18C1">
              <w:rPr>
                <w:sz w:val="26"/>
                <w:szCs w:val="26"/>
                <w:lang w:val="lv-LV"/>
              </w:rPr>
              <w:t xml:space="preserve">, </w:t>
            </w:r>
            <w:proofErr w:type="spellStart"/>
            <w:r w:rsidR="00FB18C1" w:rsidRPr="006552BA">
              <w:rPr>
                <w:rFonts w:eastAsia="Times New Roman"/>
                <w:sz w:val="26"/>
                <w:szCs w:val="26"/>
                <w:lang w:eastAsia="lv-LV"/>
              </w:rPr>
              <w:t>Padomes</w:t>
            </w:r>
            <w:proofErr w:type="spellEnd"/>
            <w:r w:rsidR="00FB18C1" w:rsidRPr="006552BA">
              <w:rPr>
                <w:rFonts w:eastAsia="Times New Roman"/>
                <w:sz w:val="26"/>
                <w:szCs w:val="26"/>
                <w:lang w:eastAsia="lv-LV"/>
              </w:rPr>
              <w:t xml:space="preserve"> 2013.gada 9.jūlija </w:t>
            </w:r>
            <w:proofErr w:type="spellStart"/>
            <w:r w:rsidR="00FB18C1" w:rsidRPr="006552BA">
              <w:rPr>
                <w:rFonts w:eastAsia="Times New Roman"/>
                <w:sz w:val="26"/>
                <w:szCs w:val="26"/>
                <w:lang w:eastAsia="lv-LV"/>
              </w:rPr>
              <w:t>Regulu</w:t>
            </w:r>
            <w:proofErr w:type="spellEnd"/>
            <w:r w:rsidR="00FB18C1" w:rsidRPr="006552BA">
              <w:rPr>
                <w:rFonts w:eastAsia="Times New Roman"/>
                <w:sz w:val="26"/>
                <w:szCs w:val="26"/>
                <w:lang w:eastAsia="lv-LV"/>
              </w:rPr>
              <w:t xml:space="preserve"> (ES) Nr. 870/2013, </w:t>
            </w:r>
            <w:proofErr w:type="spellStart"/>
            <w:r w:rsidR="00FB18C1" w:rsidRPr="006552BA">
              <w:rPr>
                <w:rFonts w:eastAsia="Times New Roman"/>
                <w:sz w:val="26"/>
                <w:szCs w:val="26"/>
                <w:lang w:eastAsia="lv-LV"/>
              </w:rPr>
              <w:t>ar</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ko</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groza</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Regulu</w:t>
            </w:r>
            <w:proofErr w:type="spellEnd"/>
            <w:r w:rsidR="00FB18C1" w:rsidRPr="006552BA">
              <w:rPr>
                <w:rFonts w:eastAsia="Times New Roman"/>
                <w:sz w:val="26"/>
                <w:szCs w:val="26"/>
                <w:lang w:eastAsia="lv-LV"/>
              </w:rPr>
              <w:t xml:space="preserve"> (EK) Nr. 2866/98 </w:t>
            </w:r>
            <w:proofErr w:type="spellStart"/>
            <w:r w:rsidR="00FB18C1" w:rsidRPr="006552BA">
              <w:rPr>
                <w:rFonts w:eastAsia="Times New Roman"/>
                <w:sz w:val="26"/>
                <w:szCs w:val="26"/>
                <w:lang w:eastAsia="lv-LV"/>
              </w:rPr>
              <w:t>attiecībā</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uz</w:t>
            </w:r>
            <w:proofErr w:type="spellEnd"/>
            <w:r w:rsidR="00FB18C1" w:rsidRPr="006552BA">
              <w:rPr>
                <w:rFonts w:eastAsia="Times New Roman"/>
                <w:sz w:val="26"/>
                <w:szCs w:val="26"/>
                <w:lang w:eastAsia="lv-LV"/>
              </w:rPr>
              <w:t xml:space="preserve"> </w:t>
            </w:r>
            <w:r w:rsidR="00FB18C1" w:rsidRPr="000C4FFD">
              <w:rPr>
                <w:rFonts w:eastAsia="Times New Roman"/>
                <w:i/>
                <w:sz w:val="26"/>
                <w:szCs w:val="26"/>
                <w:lang w:eastAsia="lv-LV"/>
              </w:rPr>
              <w:t>euro</w:t>
            </w:r>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maiņas</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kursu</w:t>
            </w:r>
            <w:proofErr w:type="spellEnd"/>
            <w:r w:rsidR="00FB18C1" w:rsidRPr="006552BA">
              <w:rPr>
                <w:rFonts w:eastAsia="Times New Roman"/>
                <w:sz w:val="26"/>
                <w:szCs w:val="26"/>
                <w:lang w:eastAsia="lv-LV"/>
              </w:rPr>
              <w:t xml:space="preserve"> </w:t>
            </w:r>
            <w:proofErr w:type="spellStart"/>
            <w:r w:rsidR="00FB18C1" w:rsidRPr="006552BA">
              <w:rPr>
                <w:rFonts w:eastAsia="Times New Roman"/>
                <w:sz w:val="26"/>
                <w:szCs w:val="26"/>
                <w:lang w:eastAsia="lv-LV"/>
              </w:rPr>
              <w:t>Latvijai</w:t>
            </w:r>
            <w:proofErr w:type="spellEnd"/>
            <w:r w:rsidR="00FB18C1" w:rsidRPr="006552BA">
              <w:rPr>
                <w:rFonts w:eastAsia="Times New Roman"/>
                <w:sz w:val="26"/>
                <w:szCs w:val="26"/>
                <w:lang w:eastAsia="lv-LV"/>
              </w:rPr>
              <w:t>,</w:t>
            </w:r>
            <w:r w:rsidR="00A42C4D">
              <w:rPr>
                <w:sz w:val="26"/>
                <w:szCs w:val="26"/>
                <w:lang w:val="lv-LV"/>
              </w:rPr>
              <w:t xml:space="preserve"> </w:t>
            </w:r>
            <w:r w:rsidRPr="00153E7C">
              <w:rPr>
                <w:sz w:val="26"/>
                <w:szCs w:val="26"/>
                <w:lang w:val="lv-LV"/>
              </w:rPr>
              <w:t xml:space="preserve">un ievērojot </w:t>
            </w:r>
            <w:proofErr w:type="spellStart"/>
            <w:r w:rsidRPr="00153E7C">
              <w:rPr>
                <w:i/>
                <w:sz w:val="26"/>
                <w:szCs w:val="26"/>
                <w:lang w:val="lv-LV"/>
              </w:rPr>
              <w:t>Euro</w:t>
            </w:r>
            <w:proofErr w:type="spellEnd"/>
            <w:r w:rsidRPr="00153E7C">
              <w:rPr>
                <w:sz w:val="26"/>
                <w:szCs w:val="26"/>
                <w:lang w:val="lv-LV"/>
              </w:rPr>
              <w:t xml:space="preserve"> ieviešanas kārtības likuma 6.pantā noteiktos noapaļošanas principus. </w:t>
            </w:r>
          </w:p>
          <w:p w:rsidR="0001199D" w:rsidRPr="00153E7C" w:rsidRDefault="00335CC3" w:rsidP="00EA0986">
            <w:pPr>
              <w:jc w:val="both"/>
              <w:rPr>
                <w:sz w:val="26"/>
                <w:szCs w:val="26"/>
                <w:lang w:val="lv-LV"/>
              </w:rPr>
            </w:pPr>
            <w:r w:rsidRPr="00153E7C">
              <w:rPr>
                <w:sz w:val="26"/>
                <w:szCs w:val="26"/>
                <w:lang w:val="lv-LV"/>
              </w:rPr>
              <w:lastRenderedPageBreak/>
              <w:t xml:space="preserve">Tāpat noteikumu projekts paredz termiņa pagarinājumu aizdevumu līgumu noslēgšanai - </w:t>
            </w:r>
            <w:r w:rsidRPr="00153E7C">
              <w:rPr>
                <w:sz w:val="26"/>
                <w:szCs w:val="26"/>
                <w:u w:val="single"/>
                <w:lang w:val="lv-LV"/>
              </w:rPr>
              <w:t>līdz 2014.gada 30.jūnijam</w:t>
            </w:r>
            <w:r w:rsidRPr="00153E7C">
              <w:rPr>
                <w:sz w:val="26"/>
                <w:szCs w:val="26"/>
                <w:lang w:val="lv-LV"/>
              </w:rPr>
              <w:t>. Šobrīd MK noteikumu Nr.1065 5.punkts nosaka šo termiņu līdz 2013.gada 31.decembrim, ņemot vērā</w:t>
            </w:r>
            <w:r w:rsidR="0001199D" w:rsidRPr="00153E7C">
              <w:rPr>
                <w:sz w:val="26"/>
                <w:szCs w:val="26"/>
                <w:lang w:val="lv-LV"/>
              </w:rPr>
              <w:t>:</w:t>
            </w:r>
          </w:p>
          <w:p w:rsidR="0001199D" w:rsidRPr="00153E7C" w:rsidRDefault="00335CC3" w:rsidP="00EA0986">
            <w:pPr>
              <w:pStyle w:val="ListParagraph"/>
              <w:numPr>
                <w:ilvl w:val="0"/>
                <w:numId w:val="16"/>
              </w:numPr>
              <w:ind w:left="0" w:firstLine="0"/>
              <w:jc w:val="both"/>
              <w:rPr>
                <w:sz w:val="26"/>
                <w:szCs w:val="26"/>
                <w:lang w:val="lv-LV"/>
              </w:rPr>
            </w:pPr>
            <w:r w:rsidRPr="00153E7C">
              <w:rPr>
                <w:sz w:val="26"/>
                <w:szCs w:val="26"/>
                <w:lang w:val="lv-LV"/>
              </w:rPr>
              <w:t xml:space="preserve"> Regulas 1998/2006 6.pantu, kas nosaka, ka Regulu Nr.1998/2006 piemēro no 2007.gada 1.janvā</w:t>
            </w:r>
            <w:r w:rsidR="0001199D" w:rsidRPr="00153E7C">
              <w:rPr>
                <w:sz w:val="26"/>
                <w:szCs w:val="26"/>
                <w:lang w:val="lv-LV"/>
              </w:rPr>
              <w:t>ra līdz 2013.gada 31.decembrim;</w:t>
            </w:r>
          </w:p>
          <w:p w:rsidR="0001199D" w:rsidRPr="00153E7C" w:rsidRDefault="00335CC3" w:rsidP="00EA0986">
            <w:pPr>
              <w:pStyle w:val="ListParagraph"/>
              <w:numPr>
                <w:ilvl w:val="0"/>
                <w:numId w:val="16"/>
              </w:numPr>
              <w:ind w:left="0" w:firstLine="0"/>
              <w:jc w:val="both"/>
              <w:rPr>
                <w:sz w:val="26"/>
                <w:szCs w:val="26"/>
                <w:lang w:val="lv-LV"/>
              </w:rPr>
            </w:pPr>
            <w:r w:rsidRPr="00153E7C">
              <w:rPr>
                <w:sz w:val="26"/>
                <w:szCs w:val="26"/>
                <w:lang w:val="lv-LV"/>
              </w:rPr>
              <w:t>Regulas Nr.1535/2007 7.pantu, kas nosaka, ka Regulu Nr.1535/2007 piemēro no 2008.gada 1.janvāra līdz 2013.gada 31.decembrim</w:t>
            </w:r>
            <w:r w:rsidR="0001199D" w:rsidRPr="00153E7C">
              <w:rPr>
                <w:sz w:val="26"/>
                <w:szCs w:val="26"/>
                <w:lang w:val="lv-LV"/>
              </w:rPr>
              <w:t>;</w:t>
            </w:r>
          </w:p>
          <w:p w:rsidR="0001199D" w:rsidRPr="00153E7C" w:rsidRDefault="00335CC3" w:rsidP="00EA0986">
            <w:pPr>
              <w:pStyle w:val="ListParagraph"/>
              <w:numPr>
                <w:ilvl w:val="0"/>
                <w:numId w:val="16"/>
              </w:numPr>
              <w:ind w:left="0" w:firstLine="0"/>
              <w:jc w:val="both"/>
              <w:rPr>
                <w:sz w:val="26"/>
                <w:szCs w:val="26"/>
                <w:lang w:val="lv-LV"/>
              </w:rPr>
            </w:pPr>
            <w:r w:rsidRPr="00153E7C">
              <w:rPr>
                <w:sz w:val="26"/>
                <w:szCs w:val="26"/>
                <w:lang w:val="lv-LV"/>
              </w:rPr>
              <w:t xml:space="preserve">Regulas </w:t>
            </w:r>
            <w:r w:rsidR="00EB760E" w:rsidRPr="00153E7C">
              <w:rPr>
                <w:sz w:val="26"/>
                <w:szCs w:val="26"/>
                <w:lang w:val="lv-LV"/>
              </w:rPr>
              <w:t>Nr.1857/2006 23</w:t>
            </w:r>
            <w:r w:rsidRPr="00153E7C">
              <w:rPr>
                <w:sz w:val="26"/>
                <w:szCs w:val="26"/>
                <w:lang w:val="lv-LV"/>
              </w:rPr>
              <w:t>.pantu</w:t>
            </w:r>
            <w:r w:rsidR="00EB760E" w:rsidRPr="00153E7C">
              <w:rPr>
                <w:sz w:val="26"/>
                <w:szCs w:val="26"/>
                <w:lang w:val="lv-LV"/>
              </w:rPr>
              <w:t xml:space="preserve"> 1.punktu</w:t>
            </w:r>
            <w:r w:rsidRPr="00153E7C">
              <w:rPr>
                <w:sz w:val="26"/>
                <w:szCs w:val="26"/>
                <w:lang w:val="lv-LV"/>
              </w:rPr>
              <w:t>, kas nosaka, ka regulu</w:t>
            </w:r>
            <w:r w:rsidR="0001199D" w:rsidRPr="00153E7C">
              <w:rPr>
                <w:sz w:val="26"/>
                <w:szCs w:val="26"/>
                <w:lang w:val="lv-LV"/>
              </w:rPr>
              <w:t xml:space="preserve"> Nr.1857/2006</w:t>
            </w:r>
            <w:r w:rsidRPr="00153E7C">
              <w:rPr>
                <w:sz w:val="26"/>
                <w:szCs w:val="26"/>
                <w:lang w:val="lv-LV"/>
              </w:rPr>
              <w:t xml:space="preserve"> piemēro </w:t>
            </w:r>
            <w:r w:rsidR="0001199D" w:rsidRPr="00153E7C">
              <w:rPr>
                <w:sz w:val="26"/>
                <w:szCs w:val="26"/>
                <w:lang w:val="lv-LV"/>
              </w:rPr>
              <w:t xml:space="preserve">no 2007.gada 1.janvāra līdz </w:t>
            </w:r>
            <w:r w:rsidRPr="00153E7C">
              <w:rPr>
                <w:sz w:val="26"/>
                <w:szCs w:val="26"/>
                <w:lang w:val="lv-LV"/>
              </w:rPr>
              <w:t>2013.</w:t>
            </w:r>
            <w:r w:rsidR="0001199D" w:rsidRPr="00153E7C">
              <w:rPr>
                <w:sz w:val="26"/>
                <w:szCs w:val="26"/>
                <w:lang w:val="lv-LV"/>
              </w:rPr>
              <w:t>gada 31.</w:t>
            </w:r>
            <w:r w:rsidRPr="00153E7C">
              <w:rPr>
                <w:sz w:val="26"/>
                <w:szCs w:val="26"/>
                <w:lang w:val="lv-LV"/>
              </w:rPr>
              <w:t xml:space="preserve">decembrim. </w:t>
            </w:r>
          </w:p>
          <w:p w:rsidR="0001199D" w:rsidRPr="00153E7C" w:rsidRDefault="00335CC3" w:rsidP="0001199D">
            <w:pPr>
              <w:jc w:val="both"/>
              <w:rPr>
                <w:sz w:val="26"/>
                <w:szCs w:val="26"/>
                <w:lang w:val="lv-LV"/>
              </w:rPr>
            </w:pPr>
            <w:r w:rsidRPr="00153E7C">
              <w:rPr>
                <w:sz w:val="26"/>
                <w:szCs w:val="26"/>
                <w:lang w:val="lv-LV"/>
              </w:rPr>
              <w:t xml:space="preserve">Ņemot vērā, ka jauns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i/>
                <w:sz w:val="26"/>
                <w:szCs w:val="26"/>
                <w:lang w:val="lv-LV"/>
              </w:rPr>
              <w:t xml:space="preserve"> </w:t>
            </w:r>
            <w:r w:rsidRPr="00153E7C">
              <w:rPr>
                <w:sz w:val="26"/>
                <w:szCs w:val="26"/>
                <w:lang w:val="lv-LV"/>
              </w:rPr>
              <w:t>atbalsta regulējums vēl ir izstrādes stadijā, kā arī Eiropas Komisija šobrīd izstrādā jaunu regulu par Līguma 87.un 88.panta piemērošanu attiecībā uz maziem un vidējiem uzņēmumiem, kas nodarbojas ar lauksaimniecības produktu ražošanu, lai turpinātu aizdevumu piešķiršanu, nepieciešams pagarināt atbalsta piešķiršanas termiņu</w:t>
            </w:r>
            <w:r w:rsidR="0001199D" w:rsidRPr="00153E7C">
              <w:rPr>
                <w:sz w:val="26"/>
                <w:szCs w:val="26"/>
                <w:lang w:val="lv-LV"/>
              </w:rPr>
              <w:t xml:space="preserve"> līdz 2014.gada 30.jūnijam</w:t>
            </w:r>
            <w:r w:rsidRPr="00153E7C">
              <w:rPr>
                <w:sz w:val="26"/>
                <w:szCs w:val="26"/>
                <w:lang w:val="lv-LV"/>
              </w:rPr>
              <w:t xml:space="preserve"> atbilstoši</w:t>
            </w:r>
            <w:r w:rsidR="0001199D" w:rsidRPr="00153E7C">
              <w:rPr>
                <w:sz w:val="26"/>
                <w:szCs w:val="26"/>
                <w:lang w:val="lv-LV"/>
              </w:rPr>
              <w:t>:</w:t>
            </w:r>
          </w:p>
          <w:p w:rsidR="00335CC3" w:rsidRPr="00153E7C" w:rsidRDefault="00335CC3" w:rsidP="00EA0986">
            <w:pPr>
              <w:pStyle w:val="ListParagraph"/>
              <w:numPr>
                <w:ilvl w:val="0"/>
                <w:numId w:val="16"/>
              </w:numPr>
              <w:ind w:left="0" w:firstLine="0"/>
              <w:jc w:val="both"/>
              <w:rPr>
                <w:sz w:val="26"/>
                <w:szCs w:val="26"/>
                <w:lang w:val="lv-LV"/>
              </w:rPr>
            </w:pPr>
            <w:r w:rsidRPr="00153E7C">
              <w:rPr>
                <w:sz w:val="26"/>
                <w:szCs w:val="26"/>
                <w:lang w:val="lv-LV"/>
              </w:rPr>
              <w:t xml:space="preserve"> Regulas Nr.1998/2006 5.panta 3.punktam, kas nosaka, ka regulas spēkā esamības laika beigās jebkuru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atbalstu, kurš atbilst šīs regulas nosacījumiem, var likumīgi īstenot turpmākajos sešos mēnešos, proti, </w:t>
            </w:r>
            <w:r w:rsidRPr="00153E7C">
              <w:rPr>
                <w:sz w:val="26"/>
                <w:szCs w:val="26"/>
                <w:u w:val="single"/>
                <w:lang w:val="lv-LV"/>
              </w:rPr>
              <w:t>līdz 2014.gada 30.jūnijam</w:t>
            </w:r>
            <w:r w:rsidR="0001199D" w:rsidRPr="00153E7C">
              <w:rPr>
                <w:sz w:val="26"/>
                <w:szCs w:val="26"/>
                <w:lang w:val="lv-LV"/>
              </w:rPr>
              <w:t>;</w:t>
            </w:r>
          </w:p>
          <w:p w:rsidR="0001199D" w:rsidRPr="00153E7C" w:rsidRDefault="0001199D" w:rsidP="00153E7C">
            <w:pPr>
              <w:pStyle w:val="ListParagraph"/>
              <w:numPr>
                <w:ilvl w:val="0"/>
                <w:numId w:val="16"/>
              </w:numPr>
              <w:ind w:left="0" w:firstLine="0"/>
              <w:jc w:val="both"/>
              <w:rPr>
                <w:sz w:val="26"/>
                <w:szCs w:val="26"/>
                <w:lang w:val="lv-LV"/>
              </w:rPr>
            </w:pPr>
            <w:r w:rsidRPr="00153E7C">
              <w:rPr>
                <w:sz w:val="26"/>
                <w:szCs w:val="26"/>
                <w:lang w:val="lv-LV"/>
              </w:rPr>
              <w:t xml:space="preserve">Regulas Nr.1535/2007 6.panta 3.punktam, kas nosaka, ka regulas spēkā esamības laika beigās jebkuru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atbalstu, kurš atbilst šīs regulu nosacījumiem, var likumīgi īstenot turpmākajos sešos mēnešos, proti, </w:t>
            </w:r>
            <w:r w:rsidRPr="00153E7C">
              <w:rPr>
                <w:sz w:val="26"/>
                <w:szCs w:val="26"/>
                <w:u w:val="single"/>
                <w:lang w:val="lv-LV"/>
              </w:rPr>
              <w:t>līdz 2014.gada 30.jūnijam</w:t>
            </w:r>
            <w:r w:rsidRPr="00153E7C">
              <w:rPr>
                <w:sz w:val="26"/>
                <w:szCs w:val="26"/>
                <w:lang w:val="lv-LV"/>
              </w:rPr>
              <w:t>;</w:t>
            </w:r>
          </w:p>
          <w:p w:rsidR="0001199D" w:rsidRPr="00153E7C" w:rsidRDefault="0001199D" w:rsidP="00153E7C">
            <w:pPr>
              <w:pStyle w:val="ListParagraph"/>
              <w:numPr>
                <w:ilvl w:val="0"/>
                <w:numId w:val="16"/>
              </w:numPr>
              <w:ind w:left="0" w:firstLine="0"/>
              <w:jc w:val="both"/>
              <w:rPr>
                <w:sz w:val="26"/>
                <w:szCs w:val="26"/>
                <w:lang w:val="lv-LV"/>
              </w:rPr>
            </w:pPr>
            <w:r w:rsidRPr="00153E7C">
              <w:rPr>
                <w:sz w:val="26"/>
                <w:szCs w:val="26"/>
                <w:lang w:val="lv-LV"/>
              </w:rPr>
              <w:t xml:space="preserve">Regulas Nr.1857/2006 23.panta 3.punktu, kas nosaka, ka atbalsta shēmām, kuras ir atbrīvotas saskaņā ar šo regulu, atbrīvojumu piemēro sešus mēnešus pēc šīs regulas darbības beigšanās datuma, proti, </w:t>
            </w:r>
            <w:r w:rsidRPr="00153E7C">
              <w:rPr>
                <w:sz w:val="26"/>
                <w:szCs w:val="26"/>
                <w:u w:val="single"/>
                <w:lang w:val="lv-LV"/>
              </w:rPr>
              <w:t>līdz 2014.gada 30.jūnijam</w:t>
            </w:r>
            <w:r w:rsidRPr="00153E7C">
              <w:rPr>
                <w:sz w:val="26"/>
                <w:szCs w:val="26"/>
                <w:lang w:val="lv-LV"/>
              </w:rPr>
              <w:t>.</w:t>
            </w:r>
          </w:p>
          <w:p w:rsidR="000275AB" w:rsidRPr="00153E7C" w:rsidRDefault="008C34B9" w:rsidP="0001199D">
            <w:pPr>
              <w:jc w:val="both"/>
              <w:rPr>
                <w:sz w:val="26"/>
                <w:szCs w:val="26"/>
                <w:lang w:val="lv-LV"/>
              </w:rPr>
            </w:pPr>
            <w:r>
              <w:rPr>
                <w:sz w:val="26"/>
                <w:szCs w:val="26"/>
                <w:lang w:val="lv-LV"/>
              </w:rPr>
              <w:t xml:space="preserve">Attiecīgā pieeja saistībā par Regulas Nr.1998/2006 termiņa pagarinājumu ar elektroniskā pasta vēstuli saskaņota ir ar Eiropas Komisijas </w:t>
            </w:r>
            <w:r w:rsidRPr="004C64F4">
              <w:rPr>
                <w:i/>
                <w:sz w:val="26"/>
                <w:szCs w:val="26"/>
                <w:u w:val="single"/>
                <w:lang w:val="lv-LV"/>
              </w:rPr>
              <w:t xml:space="preserve">DG </w:t>
            </w:r>
            <w:proofErr w:type="spellStart"/>
            <w:r w:rsidRPr="004C64F4">
              <w:rPr>
                <w:i/>
                <w:sz w:val="26"/>
                <w:szCs w:val="26"/>
                <w:u w:val="single"/>
                <w:lang w:val="lv-LV"/>
              </w:rPr>
              <w:t>Competition</w:t>
            </w:r>
            <w:proofErr w:type="spellEnd"/>
            <w:r>
              <w:rPr>
                <w:sz w:val="26"/>
                <w:szCs w:val="26"/>
                <w:lang w:val="lv-LV"/>
              </w:rPr>
              <w:t xml:space="preserve"> pārstāvjiem, kas norāda, ka Regulas Nr.1998/2006 5.panta 3.punkts attiecināms arī uz jauna atbalsta lēmuma pieņemšanu. Jauno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Pr>
                <w:sz w:val="26"/>
                <w:szCs w:val="26"/>
                <w:lang w:val="lv-LV"/>
              </w:rPr>
              <w:t xml:space="preserve"> atbalsta regulējuma ietvertie nosacījumi tiks iestrādāti MK noteikumos Nr.1065 līdz ar jauno </w:t>
            </w:r>
            <w:proofErr w:type="spellStart"/>
            <w:r w:rsidRPr="004C64F4">
              <w:rPr>
                <w:i/>
                <w:sz w:val="26"/>
                <w:szCs w:val="26"/>
                <w:lang w:val="lv-LV"/>
              </w:rPr>
              <w:t>de</w:t>
            </w:r>
            <w:proofErr w:type="spellEnd"/>
            <w:r w:rsidRPr="004C64F4">
              <w:rPr>
                <w:i/>
                <w:sz w:val="26"/>
                <w:szCs w:val="26"/>
                <w:lang w:val="lv-LV"/>
              </w:rPr>
              <w:t xml:space="preserve"> </w:t>
            </w:r>
            <w:proofErr w:type="spellStart"/>
            <w:r w:rsidRPr="004C64F4">
              <w:rPr>
                <w:i/>
                <w:sz w:val="26"/>
                <w:szCs w:val="26"/>
                <w:lang w:val="lv-LV"/>
              </w:rPr>
              <w:t>minimis</w:t>
            </w:r>
            <w:proofErr w:type="spellEnd"/>
            <w:r>
              <w:rPr>
                <w:sz w:val="26"/>
                <w:szCs w:val="26"/>
                <w:lang w:val="lv-LV"/>
              </w:rPr>
              <w:t xml:space="preserve"> regulu spēkā stāšanos.</w:t>
            </w:r>
            <w:r w:rsidR="0001199D" w:rsidRPr="00153E7C">
              <w:rPr>
                <w:sz w:val="26"/>
                <w:szCs w:val="26"/>
                <w:lang w:val="lv-LV"/>
              </w:rPr>
              <w:t xml:space="preserve"> </w:t>
            </w:r>
          </w:p>
          <w:p w:rsidR="009637AA" w:rsidRPr="00153E7C" w:rsidRDefault="009637AA" w:rsidP="009637AA">
            <w:pPr>
              <w:jc w:val="both"/>
              <w:rPr>
                <w:sz w:val="26"/>
                <w:szCs w:val="26"/>
                <w:lang w:val="lv-LV"/>
              </w:rPr>
            </w:pPr>
            <w:r w:rsidRPr="00153E7C">
              <w:rPr>
                <w:sz w:val="26"/>
                <w:szCs w:val="26"/>
                <w:lang w:val="lv-LV"/>
              </w:rPr>
              <w:t xml:space="preserve">Lai varētu piesaistīt vairāk potenciālo aizņēmēju skaitu, ir nepieciešams atļaut šīs programmas ietvaros piešķirtos aizdevumus apvienot ar SIA „Latvijas Garantiju aģentūra” </w:t>
            </w:r>
            <w:r w:rsidRPr="00153E7C">
              <w:rPr>
                <w:sz w:val="26"/>
                <w:szCs w:val="26"/>
                <w:lang w:val="lv-LV"/>
              </w:rPr>
              <w:lastRenderedPageBreak/>
              <w:t xml:space="preserve">(turpmāk – LGA) garantijām darbības programmas </w:t>
            </w:r>
            <w:r w:rsidR="00153E7C">
              <w:rPr>
                <w:sz w:val="26"/>
                <w:szCs w:val="26"/>
                <w:lang w:val="lv-LV"/>
              </w:rPr>
              <w:t>„</w:t>
            </w:r>
            <w:r w:rsidRPr="00153E7C">
              <w:rPr>
                <w:sz w:val="26"/>
                <w:szCs w:val="26"/>
                <w:lang w:val="lv-LV"/>
              </w:rPr>
              <w:t xml:space="preserve">Uzņēmējdarbība un inovācijas” papildinājuma 2.2.1.3.aktivitātes </w:t>
            </w:r>
            <w:r w:rsidR="00153E7C">
              <w:rPr>
                <w:sz w:val="26"/>
                <w:szCs w:val="26"/>
                <w:lang w:val="lv-LV"/>
              </w:rPr>
              <w:t>„</w:t>
            </w:r>
            <w:r w:rsidRPr="00153E7C">
              <w:rPr>
                <w:sz w:val="26"/>
                <w:szCs w:val="26"/>
                <w:lang w:val="lv-LV"/>
              </w:rPr>
              <w:t>Garantijas komersantu konkurētspējas uzlabošanai” ietvaros</w:t>
            </w:r>
            <w:r w:rsidR="006E13D1">
              <w:rPr>
                <w:sz w:val="26"/>
                <w:szCs w:val="26"/>
                <w:lang w:val="lv-LV"/>
              </w:rPr>
              <w:t xml:space="preserve"> saskaņā ar 2009.gada 10.marta noteikumiem </w:t>
            </w:r>
            <w:proofErr w:type="spellStart"/>
            <w:r w:rsidR="006E13D1">
              <w:rPr>
                <w:sz w:val="26"/>
                <w:szCs w:val="26"/>
                <w:lang w:val="lv-LV"/>
              </w:rPr>
              <w:t>Nr</w:t>
            </w:r>
            <w:proofErr w:type="spellEnd"/>
            <w:r w:rsidR="006E13D1">
              <w:rPr>
                <w:sz w:val="26"/>
                <w:szCs w:val="26"/>
                <w:lang w:val="lv-LV"/>
              </w:rPr>
              <w:t>. 237 „</w:t>
            </w:r>
            <w:r w:rsidR="006E13D1" w:rsidRPr="006E13D1">
              <w:rPr>
                <w:sz w:val="26"/>
                <w:szCs w:val="26"/>
                <w:lang w:val="lv-LV"/>
              </w:rPr>
              <w:t>Noteikumi par darbības programmas “Uzņēmējdarbība un inovācijas” papildinājuma 2.2.1.3.aktivitāti “Garantijas komersantu konkurētspējas uzlabošanai”</w:t>
            </w:r>
            <w:r w:rsidRPr="00153E7C">
              <w:rPr>
                <w:sz w:val="26"/>
                <w:szCs w:val="26"/>
                <w:lang w:val="lv-LV"/>
              </w:rPr>
              <w:t xml:space="preserve">. </w:t>
            </w:r>
            <w:r w:rsidR="006E13D1">
              <w:rPr>
                <w:sz w:val="26"/>
                <w:szCs w:val="26"/>
                <w:lang w:val="lv-LV"/>
              </w:rPr>
              <w:t xml:space="preserve"> </w:t>
            </w:r>
            <w:r w:rsidR="00C67E3F" w:rsidRPr="00153E7C">
              <w:rPr>
                <w:sz w:val="26"/>
                <w:szCs w:val="26"/>
                <w:lang w:val="lv-LV"/>
              </w:rPr>
              <w:t>Šis grozījums arī palīdzētu piesaistīt vairāk potenciālo aizņēmēju ar nepietiekošu nodrošinājumu</w:t>
            </w:r>
            <w:r w:rsidR="00153E7C">
              <w:rPr>
                <w:sz w:val="26"/>
                <w:szCs w:val="26"/>
                <w:lang w:val="lv-LV"/>
              </w:rPr>
              <w:t>.</w:t>
            </w:r>
          </w:p>
        </w:tc>
      </w:tr>
      <w:tr w:rsidR="00A31FDC" w:rsidRPr="00153E7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EA0986">
            <w:pPr>
              <w:jc w:val="both"/>
              <w:rPr>
                <w:bCs/>
                <w:sz w:val="26"/>
                <w:szCs w:val="26"/>
                <w:lang w:val="lv-LV"/>
              </w:rPr>
            </w:pPr>
            <w:r w:rsidRPr="00153E7C">
              <w:rPr>
                <w:iCs/>
                <w:sz w:val="26"/>
                <w:szCs w:val="26"/>
                <w:lang w:val="lv-LV"/>
              </w:rPr>
              <w:t>Projekts šo jomu neskar</w:t>
            </w:r>
            <w:r w:rsidRPr="00153E7C">
              <w:rPr>
                <w:color w:val="000000"/>
                <w:sz w:val="26"/>
                <w:szCs w:val="26"/>
                <w:lang w:val="lv-LV"/>
              </w:rPr>
              <w:t xml:space="preserve">. </w:t>
            </w:r>
          </w:p>
        </w:tc>
      </w:tr>
    </w:tbl>
    <w:p w:rsidR="00C97F6E" w:rsidRPr="00153E7C" w:rsidRDefault="00C97F6E" w:rsidP="00F22471">
      <w:pPr>
        <w:jc w:val="both"/>
        <w:rPr>
          <w:rFonts w:eastAsia="Times New Roman"/>
          <w:sz w:val="26"/>
          <w:szCs w:val="26"/>
          <w:lang w:val="lv-LV" w:eastAsia="lv-LV"/>
        </w:rPr>
        <w:sectPr w:rsidR="00C97F6E" w:rsidRPr="00153E7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153E7C" w:rsidRDefault="00C97F6E" w:rsidP="00F22471">
      <w:pPr>
        <w:jc w:val="both"/>
        <w:rPr>
          <w:rFonts w:eastAsia="Times New Roman"/>
          <w:sz w:val="26"/>
          <w:szCs w:val="26"/>
          <w:lang w:val="lv-LV" w:eastAsia="lv-LV"/>
        </w:rPr>
        <w:sectPr w:rsidR="00C97F6E" w:rsidRPr="00153E7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153E7C"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CC8" w:rsidRPr="00153E7C" w:rsidRDefault="00457CC8" w:rsidP="00457CC8">
            <w:pPr>
              <w:ind w:firstLine="709"/>
              <w:jc w:val="both"/>
              <w:rPr>
                <w:bCs/>
                <w:sz w:val="26"/>
                <w:szCs w:val="26"/>
                <w:lang w:val="lv-LV"/>
              </w:rPr>
            </w:pPr>
            <w:r w:rsidRPr="00153E7C">
              <w:rPr>
                <w:bCs/>
                <w:sz w:val="26"/>
                <w:szCs w:val="26"/>
                <w:lang w:val="lv-LV"/>
              </w:rPr>
              <w:t>Noteikumu projekts paredz veikt grozījumus MK noteikumos Nr.</w:t>
            </w:r>
            <w:r w:rsidR="00EB760E" w:rsidRPr="00153E7C">
              <w:rPr>
                <w:bCs/>
                <w:sz w:val="26"/>
                <w:szCs w:val="26"/>
                <w:lang w:val="lv-LV"/>
              </w:rPr>
              <w:t>1065</w:t>
            </w:r>
            <w:r w:rsidRPr="00153E7C">
              <w:rPr>
                <w:bCs/>
                <w:sz w:val="26"/>
                <w:szCs w:val="26"/>
                <w:lang w:val="lv-LV"/>
              </w:rPr>
              <w:t>, izdarot šādas izmaiņas:</w:t>
            </w:r>
          </w:p>
          <w:p w:rsidR="00457CC8" w:rsidRPr="00153E7C" w:rsidRDefault="00153E7C" w:rsidP="009906DC">
            <w:pPr>
              <w:pStyle w:val="ListParagraph"/>
              <w:numPr>
                <w:ilvl w:val="0"/>
                <w:numId w:val="15"/>
              </w:numPr>
              <w:jc w:val="both"/>
              <w:rPr>
                <w:bCs/>
                <w:sz w:val="26"/>
                <w:szCs w:val="26"/>
                <w:lang w:val="lv-LV"/>
              </w:rPr>
            </w:pPr>
            <w:r>
              <w:rPr>
                <w:bCs/>
                <w:sz w:val="26"/>
                <w:szCs w:val="26"/>
                <w:lang w:val="lv-LV"/>
              </w:rPr>
              <w:t>p</w:t>
            </w:r>
            <w:r w:rsidR="00EB760E" w:rsidRPr="00153E7C">
              <w:rPr>
                <w:bCs/>
                <w:sz w:val="26"/>
                <w:szCs w:val="26"/>
                <w:lang w:val="lv-LV"/>
              </w:rPr>
              <w:t xml:space="preserve">agarināt </w:t>
            </w:r>
            <w:r w:rsidR="00E237AA" w:rsidRPr="00153E7C">
              <w:rPr>
                <w:sz w:val="26"/>
                <w:szCs w:val="26"/>
                <w:lang w:val="lv-LV"/>
              </w:rPr>
              <w:t>aizdevumu</w:t>
            </w:r>
            <w:r w:rsidR="00457CC8" w:rsidRPr="00153E7C">
              <w:rPr>
                <w:sz w:val="26"/>
                <w:szCs w:val="26"/>
                <w:lang w:val="lv-LV"/>
              </w:rPr>
              <w:t xml:space="preserve"> </w:t>
            </w:r>
            <w:r w:rsidR="00D94B9B" w:rsidRPr="00153E7C">
              <w:rPr>
                <w:sz w:val="26"/>
                <w:szCs w:val="26"/>
                <w:lang w:val="lv-LV"/>
              </w:rPr>
              <w:t xml:space="preserve">līgumu noslēgšanas </w:t>
            </w:r>
            <w:r w:rsidR="00901246" w:rsidRPr="00153E7C">
              <w:rPr>
                <w:sz w:val="26"/>
                <w:szCs w:val="26"/>
                <w:lang w:val="lv-LV"/>
              </w:rPr>
              <w:t xml:space="preserve">termiņu līdz 2014.gada </w:t>
            </w:r>
            <w:r w:rsidR="00457CC8" w:rsidRPr="00153E7C">
              <w:rPr>
                <w:sz w:val="26"/>
                <w:szCs w:val="26"/>
                <w:lang w:val="lv-LV"/>
              </w:rPr>
              <w:t>30.</w:t>
            </w:r>
            <w:r w:rsidR="00376A40" w:rsidRPr="00153E7C">
              <w:rPr>
                <w:sz w:val="26"/>
                <w:szCs w:val="26"/>
                <w:lang w:val="lv-LV"/>
              </w:rPr>
              <w:t>jūnijam</w:t>
            </w:r>
            <w:r w:rsidR="00457CC8" w:rsidRPr="00153E7C">
              <w:rPr>
                <w:sz w:val="26"/>
                <w:szCs w:val="26"/>
                <w:lang w:val="lv-LV"/>
              </w:rPr>
              <w:t xml:space="preserve"> saskaņā ar Regulas Nr.1998/2006 5.panta 3.punktu</w:t>
            </w:r>
            <w:r w:rsidR="00EB760E" w:rsidRPr="00153E7C">
              <w:rPr>
                <w:sz w:val="26"/>
                <w:szCs w:val="26"/>
                <w:lang w:val="lv-LV"/>
              </w:rPr>
              <w:t>,</w:t>
            </w:r>
            <w:r w:rsidR="00901246" w:rsidRPr="00153E7C">
              <w:rPr>
                <w:sz w:val="26"/>
                <w:szCs w:val="26"/>
                <w:lang w:val="lv-LV"/>
              </w:rPr>
              <w:t xml:space="preserve"> Regulas Nr.1535</w:t>
            </w:r>
            <w:r w:rsidR="00D94B9B" w:rsidRPr="00153E7C">
              <w:rPr>
                <w:sz w:val="26"/>
                <w:szCs w:val="26"/>
                <w:lang w:val="lv-LV"/>
              </w:rPr>
              <w:t>/2007 6.panta 3.punktu</w:t>
            </w:r>
            <w:r w:rsidR="00C27BB9">
              <w:rPr>
                <w:sz w:val="26"/>
                <w:szCs w:val="26"/>
                <w:lang w:val="lv-LV"/>
              </w:rPr>
              <w:t xml:space="preserve"> un</w:t>
            </w:r>
            <w:r w:rsidR="00EB760E" w:rsidRPr="00153E7C">
              <w:rPr>
                <w:sz w:val="26"/>
                <w:szCs w:val="26"/>
                <w:lang w:val="lv-LV"/>
              </w:rPr>
              <w:t xml:space="preserve"> Regulas Nr.1857/2006 23.panta 3.punktu </w:t>
            </w:r>
            <w:r w:rsidR="00457CC8" w:rsidRPr="00153E7C">
              <w:rPr>
                <w:sz w:val="26"/>
                <w:szCs w:val="26"/>
                <w:lang w:val="lv-LV"/>
              </w:rPr>
              <w:t>;</w:t>
            </w:r>
          </w:p>
          <w:p w:rsidR="00457CC8" w:rsidRPr="00153E7C" w:rsidRDefault="00457CC8" w:rsidP="009906DC">
            <w:pPr>
              <w:pStyle w:val="ListParagraph"/>
              <w:numPr>
                <w:ilvl w:val="0"/>
                <w:numId w:val="15"/>
              </w:numPr>
              <w:jc w:val="both"/>
              <w:rPr>
                <w:bCs/>
                <w:sz w:val="26"/>
                <w:szCs w:val="26"/>
                <w:lang w:val="lv-LV"/>
              </w:rPr>
            </w:pPr>
            <w:r w:rsidRPr="00153E7C">
              <w:rPr>
                <w:sz w:val="26"/>
                <w:szCs w:val="26"/>
                <w:lang w:val="lv-LV"/>
              </w:rPr>
              <w:t xml:space="preserve">nodrošināt noteikumos lietotās valūtas pāreju uz </w:t>
            </w:r>
            <w:proofErr w:type="spellStart"/>
            <w:r w:rsidRPr="00153E7C">
              <w:rPr>
                <w:i/>
                <w:sz w:val="26"/>
                <w:szCs w:val="26"/>
                <w:lang w:val="lv-LV"/>
              </w:rPr>
              <w:t>euro</w:t>
            </w:r>
            <w:proofErr w:type="spellEnd"/>
            <w:r w:rsidR="009906DC" w:rsidRPr="00153E7C">
              <w:rPr>
                <w:bCs/>
                <w:sz w:val="26"/>
                <w:szCs w:val="26"/>
                <w:lang w:val="lv-LV"/>
              </w:rPr>
              <w:t>;</w:t>
            </w:r>
          </w:p>
          <w:p w:rsidR="009637AA" w:rsidRPr="00153E7C" w:rsidRDefault="00B57C79" w:rsidP="009906DC">
            <w:pPr>
              <w:pStyle w:val="ListParagraph"/>
              <w:numPr>
                <w:ilvl w:val="0"/>
                <w:numId w:val="15"/>
              </w:numPr>
              <w:spacing w:before="60" w:after="60"/>
              <w:jc w:val="both"/>
              <w:rPr>
                <w:sz w:val="26"/>
                <w:szCs w:val="26"/>
                <w:lang w:val="lv-LV"/>
              </w:rPr>
            </w:pPr>
            <w:r w:rsidRPr="00153E7C">
              <w:rPr>
                <w:sz w:val="26"/>
                <w:szCs w:val="26"/>
                <w:lang w:val="lv-LV"/>
              </w:rPr>
              <w:t xml:space="preserve">noteikt, ka investīciju aizdevumus </w:t>
            </w:r>
            <w:proofErr w:type="spellStart"/>
            <w:r w:rsidRPr="00153E7C">
              <w:rPr>
                <w:sz w:val="26"/>
                <w:szCs w:val="26"/>
                <w:lang w:val="lv-LV"/>
              </w:rPr>
              <w:t>nelauksaimniekiem</w:t>
            </w:r>
            <w:proofErr w:type="spellEnd"/>
            <w:r w:rsidRPr="00153E7C">
              <w:rPr>
                <w:sz w:val="26"/>
                <w:szCs w:val="26"/>
                <w:lang w:val="lv-LV"/>
              </w:rPr>
              <w:t xml:space="preserve"> (MK noteikumus Nr.1065 7.1. un 7.2. punktā noteiktā mērķa grupa) piešķir saskaņā ar Regulu Nr.1998/2006</w:t>
            </w:r>
            <w:r w:rsidR="009637AA" w:rsidRPr="00153E7C">
              <w:rPr>
                <w:sz w:val="26"/>
                <w:szCs w:val="26"/>
                <w:lang w:val="lv-LV"/>
              </w:rPr>
              <w:t>;</w:t>
            </w:r>
          </w:p>
          <w:p w:rsidR="00B84C4B" w:rsidRPr="00153E7C" w:rsidRDefault="009637AA" w:rsidP="00EA0986">
            <w:pPr>
              <w:pStyle w:val="ListParagraph"/>
              <w:numPr>
                <w:ilvl w:val="0"/>
                <w:numId w:val="15"/>
              </w:numPr>
              <w:spacing w:before="60" w:after="60"/>
              <w:jc w:val="both"/>
              <w:rPr>
                <w:sz w:val="26"/>
                <w:szCs w:val="26"/>
                <w:lang w:val="lv-LV"/>
              </w:rPr>
            </w:pPr>
            <w:r w:rsidRPr="00153E7C">
              <w:rPr>
                <w:sz w:val="26"/>
                <w:szCs w:val="26"/>
                <w:lang w:val="lv-LV"/>
              </w:rPr>
              <w:t>atļaut aizdevumus apvienot ar LGA garantijām</w:t>
            </w:r>
            <w:r w:rsidR="00B57C79" w:rsidRPr="00153E7C">
              <w:rPr>
                <w:sz w:val="26"/>
                <w:szCs w:val="26"/>
                <w:lang w:val="lv-LV"/>
              </w:rPr>
              <w:t>.</w:t>
            </w:r>
          </w:p>
        </w:tc>
      </w:tr>
      <w:tr w:rsidR="00A31FDC" w:rsidRPr="00153E7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EA0986">
            <w:pPr>
              <w:pStyle w:val="BodyText"/>
              <w:ind w:right="142"/>
              <w:rPr>
                <w:sz w:val="26"/>
                <w:szCs w:val="26"/>
              </w:rPr>
            </w:pPr>
            <w:r w:rsidRPr="00153E7C">
              <w:rPr>
                <w:iCs/>
                <w:sz w:val="26"/>
                <w:szCs w:val="26"/>
              </w:rPr>
              <w:t>Projekts šo jomu neskar</w:t>
            </w:r>
            <w:r w:rsidRPr="00153E7C">
              <w:rPr>
                <w:sz w:val="26"/>
                <w:szCs w:val="26"/>
              </w:rPr>
              <w:t>.</w:t>
            </w:r>
          </w:p>
        </w:tc>
      </w:tr>
      <w:tr w:rsidR="00A31FDC" w:rsidRPr="00153E7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EA0986">
            <w:pPr>
              <w:pStyle w:val="BodyText"/>
              <w:ind w:right="142"/>
              <w:rPr>
                <w:sz w:val="26"/>
                <w:szCs w:val="26"/>
              </w:rPr>
            </w:pPr>
            <w:r w:rsidRPr="00153E7C">
              <w:rPr>
                <w:iCs/>
                <w:sz w:val="26"/>
                <w:szCs w:val="26"/>
              </w:rPr>
              <w:t>Projekts šo jomu neskar</w:t>
            </w:r>
            <w:r w:rsidRPr="00153E7C">
              <w:rPr>
                <w:sz w:val="26"/>
                <w:szCs w:val="26"/>
              </w:rPr>
              <w:t>.</w:t>
            </w:r>
          </w:p>
          <w:p w:rsidR="00A31FDC" w:rsidRPr="00153E7C" w:rsidRDefault="00A31FDC" w:rsidP="00F22471">
            <w:pPr>
              <w:pStyle w:val="BodyText"/>
              <w:ind w:right="142" w:firstLine="720"/>
              <w:rPr>
                <w:sz w:val="26"/>
                <w:szCs w:val="26"/>
              </w:rPr>
            </w:pPr>
          </w:p>
          <w:p w:rsidR="00B84C4B" w:rsidRPr="00153E7C" w:rsidRDefault="00B84C4B" w:rsidP="00F22471">
            <w:pPr>
              <w:pStyle w:val="BodyText"/>
              <w:ind w:right="142" w:firstLine="720"/>
              <w:rPr>
                <w:sz w:val="26"/>
                <w:szCs w:val="26"/>
              </w:rPr>
            </w:pPr>
          </w:p>
          <w:p w:rsidR="00B84C4B" w:rsidRPr="00153E7C" w:rsidRDefault="00B84C4B" w:rsidP="00F22471">
            <w:pPr>
              <w:pStyle w:val="BodyText"/>
              <w:ind w:right="142" w:firstLine="720"/>
              <w:rPr>
                <w:sz w:val="26"/>
                <w:szCs w:val="26"/>
              </w:rPr>
            </w:pPr>
          </w:p>
          <w:p w:rsidR="00B84C4B" w:rsidRPr="00153E7C" w:rsidRDefault="00B84C4B" w:rsidP="00F22471">
            <w:pPr>
              <w:pStyle w:val="BodyText"/>
              <w:ind w:right="142" w:firstLine="720"/>
              <w:rPr>
                <w:sz w:val="26"/>
                <w:szCs w:val="26"/>
              </w:rPr>
            </w:pPr>
          </w:p>
        </w:tc>
      </w:tr>
      <w:tr w:rsidR="00A31FDC" w:rsidRPr="00153E7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53E7C" w:rsidRDefault="00A31FDC" w:rsidP="00F22471">
            <w:pPr>
              <w:jc w:val="both"/>
              <w:rPr>
                <w:rFonts w:eastAsia="Times New Roman"/>
                <w:sz w:val="26"/>
                <w:szCs w:val="26"/>
                <w:lang w:val="lv-LV" w:eastAsia="lv-LV"/>
              </w:rPr>
            </w:pPr>
            <w:r w:rsidRPr="00153E7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153E7C" w:rsidRDefault="00543052" w:rsidP="00B84C4B">
            <w:pPr>
              <w:ind w:left="142" w:firstLine="567"/>
              <w:jc w:val="both"/>
              <w:rPr>
                <w:sz w:val="26"/>
                <w:szCs w:val="26"/>
                <w:lang w:val="lv-LV"/>
              </w:rPr>
            </w:pPr>
            <w:r w:rsidRPr="00153E7C">
              <w:rPr>
                <w:sz w:val="26"/>
                <w:szCs w:val="26"/>
                <w:lang w:val="lv-LV"/>
              </w:rPr>
              <w:t>Nav.</w:t>
            </w:r>
          </w:p>
        </w:tc>
      </w:tr>
    </w:tbl>
    <w:p w:rsidR="00E8006C" w:rsidRPr="00153E7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153E7C"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ind w:firstLine="720"/>
              <w:jc w:val="both"/>
              <w:rPr>
                <w:rFonts w:eastAsia="Times New Roman"/>
                <w:b/>
                <w:sz w:val="26"/>
                <w:szCs w:val="26"/>
                <w:lang w:val="lv-LV" w:eastAsia="lv-LV"/>
              </w:rPr>
            </w:pPr>
            <w:r w:rsidRPr="00153E7C">
              <w:rPr>
                <w:rFonts w:eastAsia="Times New Roman"/>
                <w:b/>
                <w:sz w:val="26"/>
                <w:szCs w:val="26"/>
                <w:lang w:val="lv-LV" w:eastAsia="lv-LV"/>
              </w:rPr>
              <w:t>II. Tiesību akta projekta ietekme uz sabiedrību</w:t>
            </w: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 xml:space="preserve">Sabiedrības </w:t>
            </w:r>
            <w:proofErr w:type="spellStart"/>
            <w:r w:rsidRPr="00153E7C">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EA0986" w:rsidRDefault="00153E7C" w:rsidP="00EA0986">
            <w:pPr>
              <w:jc w:val="both"/>
              <w:rPr>
                <w:sz w:val="26"/>
                <w:szCs w:val="26"/>
                <w:lang w:val="lv-LV"/>
              </w:rPr>
            </w:pPr>
            <w:r>
              <w:rPr>
                <w:sz w:val="26"/>
                <w:szCs w:val="26"/>
                <w:lang w:val="lv-LV"/>
              </w:rPr>
              <w:t>S</w:t>
            </w:r>
            <w:r w:rsidR="00B57C79" w:rsidRPr="00EA0986">
              <w:rPr>
                <w:sz w:val="26"/>
                <w:szCs w:val="26"/>
                <w:lang w:val="lv-LV"/>
              </w:rPr>
              <w:t>īkie (</w:t>
            </w:r>
            <w:proofErr w:type="spellStart"/>
            <w:r w:rsidR="00B57C79" w:rsidRPr="00EA0986">
              <w:rPr>
                <w:sz w:val="26"/>
                <w:szCs w:val="26"/>
                <w:lang w:val="lv-LV"/>
              </w:rPr>
              <w:t>mikro</w:t>
            </w:r>
            <w:proofErr w:type="spellEnd"/>
            <w:r w:rsidR="00B57C79" w:rsidRPr="00EA0986">
              <w:rPr>
                <w:sz w:val="26"/>
                <w:szCs w:val="26"/>
                <w:lang w:val="lv-LV"/>
              </w:rPr>
              <w:t>), mazie un vidējie komersanti</w:t>
            </w:r>
            <w:r>
              <w:rPr>
                <w:sz w:val="26"/>
                <w:szCs w:val="26"/>
                <w:lang w:val="lv-LV"/>
              </w:rPr>
              <w:t xml:space="preserve">, kā arī </w:t>
            </w:r>
            <w:r w:rsidR="00B57C79" w:rsidRPr="00EA0986">
              <w:rPr>
                <w:sz w:val="26"/>
                <w:szCs w:val="26"/>
                <w:lang w:val="lv-LV"/>
              </w:rPr>
              <w:t>sīkie (</w:t>
            </w:r>
            <w:proofErr w:type="spellStart"/>
            <w:r w:rsidR="00B57C79" w:rsidRPr="00EA0986">
              <w:rPr>
                <w:sz w:val="26"/>
                <w:szCs w:val="26"/>
                <w:lang w:val="lv-LV"/>
              </w:rPr>
              <w:t>mikro</w:t>
            </w:r>
            <w:proofErr w:type="spellEnd"/>
            <w:r w:rsidR="00B57C79" w:rsidRPr="00EA0986">
              <w:rPr>
                <w:sz w:val="26"/>
                <w:szCs w:val="26"/>
                <w:lang w:val="lv-LV"/>
              </w:rPr>
              <w:t xml:space="preserve">), mazie un vidējie uzņēmumi (komersanti, zemnieku vai zvejnieku saimniecības, individuālie </w:t>
            </w:r>
            <w:r w:rsidR="00B57C79" w:rsidRPr="00EA0986">
              <w:rPr>
                <w:sz w:val="26"/>
                <w:szCs w:val="26"/>
                <w:lang w:val="lv-LV"/>
              </w:rPr>
              <w:lastRenderedPageBreak/>
              <w:t>uzņēmumi), kuri nodarbojas ar lauksaimniecības produktu ražošanu</w:t>
            </w:r>
            <w:r>
              <w:rPr>
                <w:sz w:val="26"/>
                <w:szCs w:val="26"/>
                <w:lang w:val="lv-LV"/>
              </w:rPr>
              <w:t>.</w:t>
            </w: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lastRenderedPageBreak/>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 xml:space="preserve">Citas sabiedrības grupas (bez </w:t>
            </w:r>
            <w:proofErr w:type="spellStart"/>
            <w:r w:rsidRPr="00153E7C">
              <w:rPr>
                <w:rFonts w:eastAsia="Times New Roman"/>
                <w:sz w:val="26"/>
                <w:szCs w:val="26"/>
                <w:lang w:val="lv-LV" w:eastAsia="lv-LV"/>
              </w:rPr>
              <w:t>mērķgrupas</w:t>
            </w:r>
            <w:proofErr w:type="spellEnd"/>
            <w:r w:rsidRPr="00153E7C">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153E7C" w:rsidRDefault="00840961" w:rsidP="00236989">
            <w:pPr>
              <w:pStyle w:val="BodyText"/>
              <w:ind w:right="142"/>
              <w:rPr>
                <w:sz w:val="26"/>
                <w:szCs w:val="26"/>
              </w:rPr>
            </w:pPr>
            <w:r w:rsidRPr="00153E7C">
              <w:rPr>
                <w:iCs/>
                <w:sz w:val="26"/>
                <w:szCs w:val="26"/>
              </w:rPr>
              <w:t>Projekts šo jomu neskar</w:t>
            </w:r>
            <w:r w:rsidRPr="00153E7C">
              <w:rPr>
                <w:sz w:val="26"/>
                <w:szCs w:val="26"/>
              </w:rPr>
              <w:t>.</w:t>
            </w:r>
          </w:p>
          <w:p w:rsidR="00F22471" w:rsidRPr="00153E7C" w:rsidRDefault="00F22471" w:rsidP="00F22471">
            <w:pPr>
              <w:ind w:firstLine="720"/>
              <w:jc w:val="both"/>
              <w:rPr>
                <w:rFonts w:eastAsia="Times New Roman"/>
                <w:sz w:val="26"/>
                <w:szCs w:val="26"/>
                <w:lang w:val="lv-LV" w:eastAsia="lv-LV"/>
              </w:rPr>
            </w:pP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B84C4B" w:rsidRPr="00153E7C" w:rsidRDefault="00B57C79" w:rsidP="00972275">
            <w:pPr>
              <w:pStyle w:val="BodyText"/>
              <w:ind w:right="142"/>
              <w:rPr>
                <w:sz w:val="26"/>
                <w:szCs w:val="26"/>
              </w:rPr>
            </w:pPr>
            <w:r w:rsidRPr="00153E7C">
              <w:rPr>
                <w:sz w:val="26"/>
                <w:szCs w:val="26"/>
              </w:rPr>
              <w:t>MK noteikumu Nr.1065</w:t>
            </w:r>
            <w:r w:rsidR="00457CC8" w:rsidRPr="00153E7C">
              <w:rPr>
                <w:sz w:val="26"/>
                <w:szCs w:val="26"/>
              </w:rPr>
              <w:t xml:space="preserve"> pielāgošana pārejai uz </w:t>
            </w:r>
            <w:proofErr w:type="spellStart"/>
            <w:r w:rsidR="00457CC8" w:rsidRPr="00153E7C">
              <w:rPr>
                <w:i/>
                <w:sz w:val="26"/>
                <w:szCs w:val="26"/>
              </w:rPr>
              <w:t>euro</w:t>
            </w:r>
            <w:proofErr w:type="spellEnd"/>
            <w:r w:rsidR="00457CC8" w:rsidRPr="00153E7C">
              <w:rPr>
                <w:sz w:val="26"/>
                <w:szCs w:val="26"/>
              </w:rPr>
              <w:t xml:space="preserve"> valūtu nerada ietekmi uz pieejamā finansējuma apmēru.</w:t>
            </w: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153E7C" w:rsidRDefault="00C1739F" w:rsidP="00236989">
            <w:pPr>
              <w:pStyle w:val="BodyText"/>
              <w:ind w:right="142"/>
              <w:rPr>
                <w:sz w:val="26"/>
                <w:szCs w:val="26"/>
              </w:rPr>
            </w:pPr>
            <w:r w:rsidRPr="00153E7C">
              <w:rPr>
                <w:iCs/>
                <w:sz w:val="26"/>
                <w:szCs w:val="26"/>
              </w:rPr>
              <w:t>Projekts šo jomu neskar</w:t>
            </w:r>
            <w:r w:rsidRPr="00153E7C">
              <w:rPr>
                <w:sz w:val="26"/>
                <w:szCs w:val="26"/>
              </w:rPr>
              <w:t>.</w:t>
            </w:r>
          </w:p>
          <w:p w:rsidR="00F22471" w:rsidRPr="00153E7C" w:rsidRDefault="00F22471" w:rsidP="00F22471">
            <w:pPr>
              <w:ind w:firstLine="720"/>
              <w:jc w:val="both"/>
              <w:rPr>
                <w:rFonts w:eastAsia="Times New Roman"/>
                <w:sz w:val="26"/>
                <w:szCs w:val="26"/>
                <w:lang w:val="lv-LV" w:eastAsia="lv-LV"/>
              </w:rPr>
            </w:pP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236989">
            <w:pPr>
              <w:pStyle w:val="BodyText"/>
              <w:ind w:right="142"/>
              <w:rPr>
                <w:sz w:val="26"/>
                <w:szCs w:val="26"/>
              </w:rPr>
            </w:pPr>
            <w:r w:rsidRPr="00153E7C">
              <w:rPr>
                <w:iCs/>
                <w:sz w:val="26"/>
                <w:szCs w:val="26"/>
              </w:rPr>
              <w:t>Projekts šo jomu neskar</w:t>
            </w:r>
            <w:r w:rsidRPr="00153E7C">
              <w:rPr>
                <w:sz w:val="26"/>
                <w:szCs w:val="26"/>
              </w:rPr>
              <w:t>.</w:t>
            </w:r>
          </w:p>
          <w:p w:rsidR="00F22471" w:rsidRPr="00153E7C" w:rsidRDefault="00F22471" w:rsidP="00F22471">
            <w:pPr>
              <w:ind w:firstLine="720"/>
              <w:jc w:val="both"/>
              <w:rPr>
                <w:rFonts w:eastAsia="Times New Roman"/>
                <w:sz w:val="26"/>
                <w:szCs w:val="26"/>
                <w:lang w:val="lv-LV" w:eastAsia="lv-LV"/>
              </w:rPr>
            </w:pP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236989">
            <w:pPr>
              <w:pStyle w:val="BodyText"/>
              <w:ind w:right="142"/>
              <w:rPr>
                <w:sz w:val="26"/>
                <w:szCs w:val="26"/>
              </w:rPr>
            </w:pPr>
            <w:r w:rsidRPr="00153E7C">
              <w:rPr>
                <w:iCs/>
                <w:sz w:val="26"/>
                <w:szCs w:val="26"/>
              </w:rPr>
              <w:t>Projekts šo jomu neskar</w:t>
            </w:r>
            <w:r w:rsidRPr="00153E7C">
              <w:rPr>
                <w:sz w:val="26"/>
                <w:szCs w:val="26"/>
              </w:rPr>
              <w:t>.</w:t>
            </w:r>
          </w:p>
          <w:p w:rsidR="00F22471" w:rsidRPr="00153E7C" w:rsidRDefault="00F22471" w:rsidP="00F22471">
            <w:pPr>
              <w:ind w:firstLine="720"/>
              <w:jc w:val="both"/>
              <w:rPr>
                <w:rFonts w:eastAsia="Times New Roman"/>
                <w:sz w:val="26"/>
                <w:szCs w:val="26"/>
                <w:lang w:val="lv-LV" w:eastAsia="lv-LV"/>
              </w:rPr>
            </w:pPr>
          </w:p>
        </w:tc>
      </w:tr>
      <w:tr w:rsidR="00F22471" w:rsidRPr="00153E7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F22471">
            <w:pPr>
              <w:jc w:val="both"/>
              <w:rPr>
                <w:rFonts w:eastAsia="Times New Roman"/>
                <w:sz w:val="26"/>
                <w:szCs w:val="26"/>
                <w:lang w:val="lv-LV" w:eastAsia="lv-LV"/>
              </w:rPr>
            </w:pPr>
            <w:r w:rsidRPr="00153E7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53E7C" w:rsidRDefault="00F22471" w:rsidP="00236989">
            <w:pPr>
              <w:jc w:val="both"/>
              <w:rPr>
                <w:rFonts w:eastAsia="Times New Roman"/>
                <w:sz w:val="26"/>
                <w:szCs w:val="26"/>
                <w:lang w:val="lv-LV" w:eastAsia="lv-LV"/>
              </w:rPr>
            </w:pPr>
            <w:r w:rsidRPr="00153E7C">
              <w:rPr>
                <w:rFonts w:eastAsia="Times New Roman"/>
                <w:sz w:val="26"/>
                <w:szCs w:val="26"/>
                <w:lang w:val="lv-LV" w:eastAsia="lv-LV"/>
              </w:rPr>
              <w:t>Nav.</w:t>
            </w:r>
          </w:p>
          <w:p w:rsidR="00B84C4B" w:rsidRPr="00153E7C" w:rsidRDefault="00B84C4B" w:rsidP="00F22471">
            <w:pPr>
              <w:ind w:firstLine="720"/>
              <w:jc w:val="both"/>
              <w:rPr>
                <w:rFonts w:eastAsia="Times New Roman"/>
                <w:sz w:val="26"/>
                <w:szCs w:val="26"/>
                <w:lang w:val="lv-LV" w:eastAsia="lv-LV"/>
              </w:rPr>
            </w:pPr>
          </w:p>
        </w:tc>
      </w:tr>
    </w:tbl>
    <w:p w:rsidR="00E8006C" w:rsidRPr="00153E7C"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153E7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ind w:firstLine="720"/>
              <w:jc w:val="both"/>
              <w:rPr>
                <w:rFonts w:eastAsia="Times New Roman"/>
                <w:b/>
                <w:sz w:val="26"/>
                <w:szCs w:val="26"/>
                <w:lang w:val="lv-LV" w:eastAsia="lv-LV"/>
              </w:rPr>
            </w:pPr>
            <w:r w:rsidRPr="00153E7C">
              <w:rPr>
                <w:rFonts w:eastAsia="Times New Roman"/>
                <w:b/>
                <w:sz w:val="26"/>
                <w:szCs w:val="26"/>
                <w:lang w:val="lv-LV" w:eastAsia="lv-LV"/>
              </w:rPr>
              <w:t>IV. Tiesību akta projekta ietekme uz spēkā esošo tiesību normu sistēmu</w:t>
            </w:r>
          </w:p>
        </w:tc>
      </w:tr>
      <w:tr w:rsidR="003A7D89" w:rsidRPr="00153E7C"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153E7C" w:rsidRDefault="00D94B9B" w:rsidP="00EA0986">
            <w:pPr>
              <w:spacing w:before="60" w:after="60"/>
              <w:jc w:val="both"/>
              <w:rPr>
                <w:sz w:val="26"/>
                <w:szCs w:val="26"/>
                <w:lang w:val="lv-LV"/>
              </w:rPr>
            </w:pPr>
            <w:r w:rsidRPr="00153E7C">
              <w:rPr>
                <w:sz w:val="26"/>
                <w:szCs w:val="26"/>
                <w:lang w:val="lv-LV"/>
              </w:rPr>
              <w:t>Nav</w:t>
            </w:r>
            <w:r w:rsidR="00153E7C">
              <w:rPr>
                <w:sz w:val="26"/>
                <w:szCs w:val="26"/>
                <w:lang w:val="lv-LV"/>
              </w:rPr>
              <w:t>.</w:t>
            </w:r>
          </w:p>
        </w:tc>
      </w:tr>
      <w:tr w:rsidR="003A7D89" w:rsidRPr="00153E7C"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42BAF" w:rsidRPr="00153E7C" w:rsidRDefault="00236989" w:rsidP="00EA0986">
            <w:pPr>
              <w:jc w:val="both"/>
              <w:rPr>
                <w:sz w:val="26"/>
                <w:szCs w:val="26"/>
                <w:lang w:val="lv-LV"/>
              </w:rPr>
            </w:pPr>
            <w:r w:rsidRPr="00153E7C">
              <w:rPr>
                <w:sz w:val="26"/>
                <w:szCs w:val="26"/>
                <w:lang w:val="lv-LV"/>
              </w:rPr>
              <w:t>Nav</w:t>
            </w:r>
            <w:r w:rsidR="00153E7C">
              <w:rPr>
                <w:sz w:val="26"/>
                <w:szCs w:val="26"/>
                <w:lang w:val="lv-LV"/>
              </w:rPr>
              <w:t>.</w:t>
            </w:r>
          </w:p>
        </w:tc>
      </w:tr>
    </w:tbl>
    <w:p w:rsidR="00C9779A" w:rsidRPr="00153E7C" w:rsidRDefault="00C9779A" w:rsidP="00C9779A">
      <w:pPr>
        <w:rPr>
          <w:sz w:val="26"/>
          <w:szCs w:val="26"/>
          <w:lang w:val="lv-LV"/>
        </w:rPr>
      </w:pPr>
    </w:p>
    <w:tbl>
      <w:tblPr>
        <w:tblW w:w="5000"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CellMar>
          <w:top w:w="105" w:type="dxa"/>
          <w:left w:w="105" w:type="dxa"/>
          <w:bottom w:w="105" w:type="dxa"/>
          <w:right w:w="105" w:type="dxa"/>
        </w:tblCellMar>
        <w:tblLook w:val="04A0" w:firstRow="1" w:lastRow="0" w:firstColumn="1" w:lastColumn="0" w:noHBand="0" w:noVBand="1"/>
      </w:tblPr>
      <w:tblGrid>
        <w:gridCol w:w="2311"/>
        <w:gridCol w:w="1394"/>
        <w:gridCol w:w="1394"/>
        <w:gridCol w:w="1394"/>
        <w:gridCol w:w="1394"/>
        <w:gridCol w:w="1394"/>
      </w:tblGrid>
      <w:tr w:rsidR="00742BAF" w:rsidRPr="00153E7C" w:rsidTr="00511C7D">
        <w:trPr>
          <w:trHeight w:val="432"/>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153E7C" w:rsidRDefault="00742BAF" w:rsidP="00511C7D">
            <w:pPr>
              <w:jc w:val="center"/>
              <w:rPr>
                <w:b/>
                <w:sz w:val="26"/>
                <w:szCs w:val="26"/>
                <w:lang w:val="lv-LV"/>
              </w:rPr>
            </w:pPr>
            <w:r w:rsidRPr="00153E7C">
              <w:rPr>
                <w:b/>
                <w:sz w:val="26"/>
                <w:szCs w:val="26"/>
                <w:lang w:val="lv-LV"/>
              </w:rPr>
              <w:br w:type="page"/>
              <w:t>III. Tiesību akta projekta ietekme uz valsts budžetu un pašvaldību budžetiem</w:t>
            </w:r>
          </w:p>
        </w:tc>
      </w:tr>
      <w:tr w:rsidR="00742BAF" w:rsidRPr="00153E7C" w:rsidTr="00511C7D">
        <w:tc>
          <w:tcPr>
            <w:tcW w:w="1440"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153E7C" w:rsidRDefault="00742BAF" w:rsidP="00511C7D">
            <w:pPr>
              <w:pStyle w:val="naisf"/>
              <w:spacing w:before="0" w:after="0"/>
              <w:jc w:val="center"/>
              <w:rPr>
                <w:b/>
                <w:sz w:val="26"/>
                <w:szCs w:val="26"/>
              </w:rPr>
            </w:pPr>
            <w:r w:rsidRPr="00153E7C">
              <w:rPr>
                <w:b/>
                <w:sz w:val="26"/>
                <w:szCs w:val="26"/>
              </w:rPr>
              <w:t>Rādītāji</w:t>
            </w:r>
          </w:p>
        </w:tc>
        <w:tc>
          <w:tcPr>
            <w:tcW w:w="1459"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153E7C" w:rsidRDefault="00742BAF" w:rsidP="00511C7D">
            <w:pPr>
              <w:pStyle w:val="naisf"/>
              <w:spacing w:before="0" w:after="0"/>
              <w:jc w:val="center"/>
              <w:rPr>
                <w:b/>
                <w:sz w:val="26"/>
                <w:szCs w:val="26"/>
              </w:rPr>
            </w:pPr>
            <w:r w:rsidRPr="00153E7C">
              <w:rPr>
                <w:b/>
                <w:sz w:val="26"/>
                <w:szCs w:val="26"/>
              </w:rPr>
              <w:t>2013.</w:t>
            </w:r>
          </w:p>
        </w:tc>
        <w:tc>
          <w:tcPr>
            <w:tcW w:w="2061"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742BAF" w:rsidRPr="00153E7C" w:rsidRDefault="00742BAF" w:rsidP="00511C7D">
            <w:pPr>
              <w:pStyle w:val="naisf"/>
              <w:spacing w:before="0" w:after="0"/>
              <w:jc w:val="center"/>
              <w:rPr>
                <w:b/>
                <w:i/>
                <w:sz w:val="26"/>
                <w:szCs w:val="26"/>
              </w:rPr>
            </w:pPr>
            <w:r w:rsidRPr="00153E7C">
              <w:rPr>
                <w:sz w:val="26"/>
                <w:szCs w:val="26"/>
              </w:rPr>
              <w:t>Turpmākie trīs gadi (</w:t>
            </w:r>
            <w:proofErr w:type="spellStart"/>
            <w:r w:rsidRPr="00153E7C">
              <w:rPr>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153E7C">
                <w:rPr>
                  <w:sz w:val="26"/>
                  <w:szCs w:val="26"/>
                </w:rPr>
                <w:t>. latu</w:t>
              </w:r>
            </w:smartTag>
            <w:r w:rsidRPr="00153E7C">
              <w:rPr>
                <w:sz w:val="26"/>
                <w:szCs w:val="26"/>
              </w:rPr>
              <w:t>)</w:t>
            </w:r>
          </w:p>
        </w:tc>
      </w:tr>
      <w:tr w:rsidR="00742BAF" w:rsidRPr="00153E7C"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153E7C" w:rsidRDefault="00742BAF" w:rsidP="00511C7D">
            <w:pPr>
              <w:rPr>
                <w:rFonts w:eastAsia="Times New Roman"/>
                <w:b/>
                <w:sz w:val="26"/>
                <w:szCs w:val="26"/>
                <w:lang w:val="lv-LV" w:eastAsia="lv-LV"/>
              </w:rPr>
            </w:pPr>
          </w:p>
        </w:tc>
        <w:tc>
          <w:tcPr>
            <w:tcW w:w="0" w:type="auto"/>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153E7C" w:rsidRDefault="00742BAF" w:rsidP="00511C7D">
            <w:pPr>
              <w:rPr>
                <w:rFonts w:eastAsia="Times New Roman"/>
                <w:b/>
                <w:sz w:val="26"/>
                <w:szCs w:val="26"/>
                <w:lang w:val="lv-LV" w:eastAsia="lv-LV"/>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
                <w:i/>
                <w:sz w:val="26"/>
                <w:szCs w:val="26"/>
              </w:rPr>
            </w:pPr>
            <w:r w:rsidRPr="00153E7C">
              <w:rPr>
                <w:b/>
                <w:bCs/>
                <w:sz w:val="26"/>
                <w:szCs w:val="26"/>
              </w:rPr>
              <w:t>2014.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rPr>
                <w:b/>
                <w:i/>
                <w:sz w:val="26"/>
                <w:szCs w:val="26"/>
              </w:rPr>
            </w:pPr>
            <w:r w:rsidRPr="00153E7C">
              <w:rPr>
                <w:b/>
                <w:bCs/>
                <w:sz w:val="26"/>
                <w:szCs w:val="26"/>
              </w:rPr>
              <w:t>2015.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
                <w:i/>
                <w:sz w:val="26"/>
                <w:szCs w:val="26"/>
              </w:rPr>
            </w:pPr>
            <w:r w:rsidRPr="00153E7C">
              <w:rPr>
                <w:b/>
                <w:bCs/>
                <w:sz w:val="26"/>
                <w:szCs w:val="26"/>
              </w:rPr>
              <w:t>2016.</w:t>
            </w:r>
          </w:p>
        </w:tc>
      </w:tr>
      <w:tr w:rsidR="00742BAF" w:rsidRPr="00153E7C" w:rsidTr="00511C7D">
        <w:tc>
          <w:tcPr>
            <w:tcW w:w="0" w:type="auto"/>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742BAF" w:rsidRPr="00153E7C" w:rsidRDefault="00742BAF" w:rsidP="00511C7D">
            <w:pPr>
              <w:rPr>
                <w:rFonts w:eastAsia="Times New Roman"/>
                <w:b/>
                <w:sz w:val="26"/>
                <w:szCs w:val="26"/>
                <w:lang w:val="lv-LV" w:eastAsia="lv-LV"/>
              </w:rPr>
            </w:pP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EA0986">
            <w:pPr>
              <w:pStyle w:val="naisf"/>
              <w:spacing w:before="0" w:after="0"/>
              <w:ind w:firstLine="0"/>
              <w:rPr>
                <w:b/>
                <w:i/>
                <w:sz w:val="26"/>
                <w:szCs w:val="26"/>
              </w:rPr>
            </w:pPr>
            <w:r w:rsidRPr="00153E7C">
              <w:rPr>
                <w:sz w:val="26"/>
                <w:szCs w:val="26"/>
              </w:rPr>
              <w:t>Saskaņā ar valsts budžetu kārtējam gadam</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EA0986">
            <w:pPr>
              <w:pStyle w:val="naisf"/>
              <w:spacing w:before="0" w:after="0"/>
              <w:ind w:firstLine="0"/>
              <w:rPr>
                <w:b/>
                <w:i/>
                <w:sz w:val="26"/>
                <w:szCs w:val="26"/>
              </w:rPr>
            </w:pPr>
            <w:r w:rsidRPr="00153E7C">
              <w:rPr>
                <w:sz w:val="26"/>
                <w:szCs w:val="26"/>
              </w:rPr>
              <w:t>Izmaiņas kārtējā gadā, salīdzinot ar budžetu kārtējam gadam</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EA0986">
            <w:pPr>
              <w:pStyle w:val="naisf"/>
              <w:spacing w:before="0" w:after="0"/>
              <w:ind w:firstLine="0"/>
              <w:rPr>
                <w:b/>
                <w:i/>
                <w:sz w:val="26"/>
                <w:szCs w:val="26"/>
              </w:rPr>
            </w:pPr>
            <w:r w:rsidRPr="00153E7C">
              <w:rPr>
                <w:sz w:val="26"/>
                <w:szCs w:val="26"/>
              </w:rPr>
              <w:t>Izmaiņas, salīdzinot ar kārtējo (n) gadu</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EA0986">
            <w:pPr>
              <w:pStyle w:val="naisf"/>
              <w:spacing w:before="0" w:after="0"/>
              <w:ind w:firstLine="0"/>
              <w:rPr>
                <w:b/>
                <w:i/>
                <w:sz w:val="26"/>
                <w:szCs w:val="26"/>
              </w:rPr>
            </w:pPr>
            <w:r w:rsidRPr="00153E7C">
              <w:rPr>
                <w:sz w:val="26"/>
                <w:szCs w:val="26"/>
              </w:rPr>
              <w:t>Izmaiņas, salīdzinot ar kārtējo (n) gadu</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EA0986">
            <w:pPr>
              <w:pStyle w:val="naisf"/>
              <w:spacing w:before="0" w:after="0"/>
              <w:ind w:firstLine="0"/>
              <w:rPr>
                <w:b/>
                <w:i/>
                <w:sz w:val="26"/>
                <w:szCs w:val="26"/>
              </w:rPr>
            </w:pPr>
            <w:r w:rsidRPr="00153E7C">
              <w:rPr>
                <w:sz w:val="26"/>
                <w:szCs w:val="26"/>
              </w:rPr>
              <w:t>Izmaiņas, salīdzinot ar kārtējo (n) gadu</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1</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2</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3</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4</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5</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pStyle w:val="naisf"/>
              <w:spacing w:before="0" w:after="0"/>
              <w:jc w:val="center"/>
              <w:rPr>
                <w:bCs/>
                <w:sz w:val="26"/>
                <w:szCs w:val="26"/>
              </w:rPr>
            </w:pPr>
            <w:r w:rsidRPr="00153E7C">
              <w:rPr>
                <w:bCs/>
                <w:sz w:val="26"/>
                <w:szCs w:val="26"/>
              </w:rPr>
              <w:t>6</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i/>
                <w:sz w:val="26"/>
                <w:szCs w:val="26"/>
              </w:rPr>
            </w:pPr>
            <w:r w:rsidRPr="00153E7C">
              <w:rPr>
                <w:sz w:val="26"/>
                <w:szCs w:val="26"/>
              </w:rPr>
              <w:lastRenderedPageBreak/>
              <w:t>1. Budžeta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i/>
                <w:sz w:val="26"/>
                <w:szCs w:val="26"/>
              </w:rPr>
            </w:pPr>
            <w:r w:rsidRPr="00153E7C">
              <w:rPr>
                <w:sz w:val="26"/>
                <w:szCs w:val="26"/>
              </w:rPr>
              <w:t>1.1. valsts pamatbudžets, tai skaitā ieņēmumi no maksas pakalpojumiem un citi pašu ieņēmumi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sz w:val="26"/>
                <w:szCs w:val="26"/>
              </w:rPr>
            </w:pPr>
            <w:r w:rsidRPr="00153E7C">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sz w:val="26"/>
                <w:szCs w:val="26"/>
              </w:rPr>
            </w:pPr>
            <w:r w:rsidRPr="00153E7C">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sz w:val="26"/>
                <w:szCs w:val="26"/>
              </w:rPr>
            </w:pPr>
            <w:r w:rsidRPr="00153E7C">
              <w:rPr>
                <w:sz w:val="26"/>
                <w:szCs w:val="26"/>
              </w:rPr>
              <w:t>Nav attiecināms</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i/>
                <w:sz w:val="26"/>
                <w:szCs w:val="26"/>
              </w:rPr>
            </w:pPr>
            <w:r w:rsidRPr="00153E7C">
              <w:rPr>
                <w:sz w:val="26"/>
                <w:szCs w:val="26"/>
              </w:rPr>
              <w:t>1.2.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i/>
                <w:sz w:val="26"/>
                <w:szCs w:val="26"/>
              </w:rPr>
            </w:pPr>
            <w:r w:rsidRPr="00153E7C">
              <w:rPr>
                <w:sz w:val="26"/>
                <w:szCs w:val="26"/>
              </w:rPr>
              <w:t>1.3. pašvaldību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2. Budžeta izdevumi:</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2.1.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sz w:val="26"/>
                <w:szCs w:val="26"/>
              </w:rPr>
            </w:pPr>
            <w:r w:rsidRPr="00153E7C">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2.2. valsts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 xml:space="preserve">2.3.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3. Finansiālā ietekme:</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153E7C" w:rsidRDefault="00742BAF" w:rsidP="00511C7D">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3.1. valsts pamatbudžets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i/>
                <w:sz w:val="26"/>
                <w:szCs w:val="26"/>
              </w:rPr>
            </w:pPr>
            <w:r w:rsidRPr="00153E7C">
              <w:rPr>
                <w:sz w:val="26"/>
                <w:szCs w:val="26"/>
              </w:rPr>
              <w:t>Nav attiecināms</w:t>
            </w: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EA0986" w:rsidRDefault="00742BAF" w:rsidP="00511C7D">
            <w:pPr>
              <w:rPr>
                <w:sz w:val="26"/>
                <w:szCs w:val="26"/>
                <w:vertAlign w:val="subscript"/>
                <w:lang w:val="lv-LV"/>
              </w:rPr>
            </w:pPr>
            <w:r w:rsidRPr="00EA0986">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ind w:firstLine="0"/>
              <w:rPr>
                <w:sz w:val="26"/>
                <w:szCs w:val="26"/>
              </w:rPr>
            </w:pPr>
            <w:r w:rsidRPr="00153E7C">
              <w:rPr>
                <w:sz w:val="26"/>
                <w:szCs w:val="26"/>
              </w:rPr>
              <w:t>Nav attiecināms</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3.2. speciālais budžets</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 xml:space="preserve">3.3. pašvaldību budžets </w:t>
            </w:r>
          </w:p>
        </w:tc>
        <w:tc>
          <w:tcPr>
            <w:tcW w:w="735"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i/>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i/>
                <w:sz w:val="26"/>
                <w:szCs w:val="26"/>
              </w:rPr>
            </w:pPr>
          </w:p>
        </w:tc>
      </w:tr>
      <w:tr w:rsidR="00742BAF" w:rsidRPr="00153E7C" w:rsidTr="00511C7D">
        <w:tc>
          <w:tcPr>
            <w:tcW w:w="1440"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4. Finanšu līdzekļi papildu izde</w:t>
            </w:r>
            <w:r w:rsidRPr="00153E7C">
              <w:rPr>
                <w:sz w:val="26"/>
                <w:szCs w:val="26"/>
                <w:lang w:val="lv-LV"/>
              </w:rPr>
              <w:softHyphen/>
              <w:t xml:space="preserve">vumu </w:t>
            </w:r>
            <w:r w:rsidRPr="00153E7C">
              <w:rPr>
                <w:sz w:val="26"/>
                <w:szCs w:val="26"/>
                <w:lang w:val="lv-LV"/>
              </w:rPr>
              <w:lastRenderedPageBreak/>
              <w:t>finansēšanai (kompensējošu izdevumu samazinājumu norāda ar "+" zīmi)</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153E7C" w:rsidRDefault="00742BAF" w:rsidP="00511C7D">
            <w:pPr>
              <w:pStyle w:val="naisf"/>
              <w:spacing w:before="0" w:after="0"/>
              <w:jc w:val="left"/>
              <w:rPr>
                <w:sz w:val="26"/>
                <w:szCs w:val="26"/>
              </w:rPr>
            </w:pPr>
            <w:r w:rsidRPr="00153E7C">
              <w:rPr>
                <w:sz w:val="26"/>
                <w:szCs w:val="26"/>
              </w:rPr>
              <w:lastRenderedPageBreak/>
              <w:t>X</w:t>
            </w:r>
          </w:p>
          <w:p w:rsidR="00742BAF" w:rsidRPr="00EA0986" w:rsidRDefault="00742BAF" w:rsidP="00511C7D">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r>
      <w:tr w:rsidR="00742BAF" w:rsidRPr="00153E7C"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EA0986" w:rsidRDefault="00742BAF" w:rsidP="00511C7D">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r>
      <w:tr w:rsidR="00742BAF" w:rsidRPr="00153E7C" w:rsidTr="00511C7D">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rPr>
                <w:sz w:val="26"/>
                <w:szCs w:val="26"/>
                <w:lang w:val="lv-LV"/>
              </w:rPr>
            </w:pP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EA0986" w:rsidRDefault="00742BAF" w:rsidP="00511C7D">
            <w:pPr>
              <w:rPr>
                <w:sz w:val="26"/>
                <w:szCs w:val="26"/>
                <w:lang w:val="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jc w:val="left"/>
              <w:rPr>
                <w:b/>
                <w:sz w:val="26"/>
                <w:szCs w:val="26"/>
              </w:rPr>
            </w:pPr>
            <w:r w:rsidRPr="00153E7C">
              <w:rPr>
                <w:sz w:val="26"/>
                <w:szCs w:val="26"/>
              </w:rPr>
              <w:t>Nav attiecināms</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5. Precizēta finansiālā ietekme:</w:t>
            </w:r>
          </w:p>
        </w:tc>
        <w:tc>
          <w:tcPr>
            <w:tcW w:w="735"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742BAF" w:rsidRPr="00153E7C" w:rsidRDefault="00742BAF" w:rsidP="00511C7D">
            <w:pPr>
              <w:pStyle w:val="naisf"/>
              <w:spacing w:before="0" w:after="0"/>
              <w:jc w:val="left"/>
              <w:rPr>
                <w:sz w:val="26"/>
                <w:szCs w:val="26"/>
              </w:rPr>
            </w:pPr>
            <w:r w:rsidRPr="00153E7C">
              <w:rPr>
                <w:sz w:val="26"/>
                <w:szCs w:val="26"/>
              </w:rPr>
              <w:t>X</w:t>
            </w:r>
          </w:p>
          <w:p w:rsidR="00742BAF" w:rsidRPr="00153E7C" w:rsidRDefault="00742BAF" w:rsidP="00511C7D">
            <w:pPr>
              <w:pStyle w:val="naisf"/>
              <w:spacing w:before="0" w:after="0"/>
              <w:jc w:val="center"/>
              <w:rPr>
                <w:sz w:val="26"/>
                <w:szCs w:val="26"/>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5.1. valsts pamatbudžets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rPr>
                <w:sz w:val="26"/>
                <w:szCs w:val="26"/>
                <w:vertAlign w:val="subscript"/>
                <w:lang w:val="lv-LV"/>
              </w:rPr>
            </w:pPr>
            <w:r w:rsidRPr="00153E7C">
              <w:rPr>
                <w:sz w:val="26"/>
                <w:szCs w:val="26"/>
                <w:lang w:val="lv-LV"/>
              </w:rPr>
              <w:t>Nav attiecināms</w:t>
            </w: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sz w:val="26"/>
                <w:szCs w:val="26"/>
              </w:rPr>
            </w:pPr>
            <w:r w:rsidRPr="00153E7C">
              <w:rPr>
                <w:sz w:val="26"/>
                <w:szCs w:val="26"/>
              </w:rPr>
              <w:t>Nav attiecināms</w:t>
            </w: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sz w:val="26"/>
                <w:szCs w:val="26"/>
              </w:rPr>
            </w:pPr>
            <w:r w:rsidRPr="00153E7C">
              <w:rPr>
                <w:sz w:val="26"/>
                <w:szCs w:val="26"/>
              </w:rPr>
              <w:t>Nav attiecināms</w:t>
            </w: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pStyle w:val="naisf"/>
              <w:spacing w:before="0" w:after="0"/>
              <w:rPr>
                <w:sz w:val="26"/>
                <w:szCs w:val="26"/>
              </w:rPr>
            </w:pPr>
            <w:r w:rsidRPr="00153E7C">
              <w:rPr>
                <w:sz w:val="26"/>
                <w:szCs w:val="26"/>
              </w:rPr>
              <w:t>Nav attiecināms</w:t>
            </w: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5.2. speciālais budžets</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r>
      <w:tr w:rsidR="00742BAF" w:rsidRPr="00153E7C" w:rsidTr="00511C7D">
        <w:tc>
          <w:tcPr>
            <w:tcW w:w="144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742BAF" w:rsidRPr="00153E7C" w:rsidRDefault="00742BAF" w:rsidP="00511C7D">
            <w:pPr>
              <w:jc w:val="both"/>
              <w:rPr>
                <w:sz w:val="26"/>
                <w:szCs w:val="26"/>
                <w:lang w:val="lv-LV"/>
              </w:rPr>
            </w:pPr>
            <w:r w:rsidRPr="00153E7C">
              <w:rPr>
                <w:sz w:val="26"/>
                <w:szCs w:val="26"/>
                <w:lang w:val="lv-LV"/>
              </w:rPr>
              <w:t xml:space="preserve">5.3. pašvaldību budžets </w:t>
            </w:r>
          </w:p>
        </w:tc>
        <w:tc>
          <w:tcPr>
            <w:tcW w:w="0" w:type="auto"/>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742BAF" w:rsidRPr="00153E7C" w:rsidRDefault="00742BAF" w:rsidP="00511C7D">
            <w:pPr>
              <w:rPr>
                <w:rFonts w:eastAsia="Times New Roman"/>
                <w:sz w:val="26"/>
                <w:szCs w:val="26"/>
                <w:lang w:val="lv-LV" w:eastAsia="lv-LV"/>
              </w:rPr>
            </w:pPr>
          </w:p>
        </w:tc>
        <w:tc>
          <w:tcPr>
            <w:tcW w:w="724"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809"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10"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c>
          <w:tcPr>
            <w:tcW w:w="64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742BAF" w:rsidRPr="00153E7C" w:rsidRDefault="00742BAF" w:rsidP="00511C7D">
            <w:pPr>
              <w:pStyle w:val="naisf"/>
              <w:spacing w:before="0" w:after="0"/>
              <w:rPr>
                <w:b/>
                <w:sz w:val="26"/>
                <w:szCs w:val="26"/>
              </w:rPr>
            </w:pPr>
          </w:p>
        </w:tc>
      </w:tr>
      <w:tr w:rsidR="00742BAF" w:rsidRPr="00153E7C"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153E7C" w:rsidRDefault="00742BAF" w:rsidP="00511C7D">
            <w:pPr>
              <w:jc w:val="both"/>
              <w:rPr>
                <w:sz w:val="26"/>
                <w:szCs w:val="26"/>
                <w:lang w:val="lv-LV"/>
              </w:rPr>
            </w:pPr>
            <w:r w:rsidRPr="00153E7C">
              <w:rPr>
                <w:sz w:val="26"/>
                <w:szCs w:val="26"/>
                <w:lang w:val="lv-LV"/>
              </w:rPr>
              <w:t>6. Detalizēts ieņēmumu un izdevu</w:t>
            </w:r>
            <w:r w:rsidRPr="00153E7C">
              <w:rPr>
                <w:sz w:val="26"/>
                <w:szCs w:val="26"/>
                <w:lang w:val="lv-LV"/>
              </w:rPr>
              <w:softHyphen/>
              <w:t>mu aprēķins (ja nepieciešams, detalizētu ieņēmumu un izdevumu aprēķinu var pievienot anotācijas pielikumā):</w:t>
            </w:r>
          </w:p>
        </w:tc>
        <w:tc>
          <w:tcPr>
            <w:tcW w:w="3520"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742BAF" w:rsidRPr="00153E7C" w:rsidRDefault="00742BAF" w:rsidP="00511C7D">
            <w:pPr>
              <w:ind w:firstLine="451"/>
              <w:jc w:val="both"/>
              <w:rPr>
                <w:sz w:val="26"/>
                <w:szCs w:val="26"/>
                <w:lang w:val="lv-LV"/>
              </w:rPr>
            </w:pPr>
          </w:p>
        </w:tc>
      </w:tr>
      <w:tr w:rsidR="00742BAF" w:rsidRPr="00153E7C"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153E7C" w:rsidRDefault="00742BAF" w:rsidP="00511C7D">
            <w:pPr>
              <w:jc w:val="both"/>
              <w:rPr>
                <w:sz w:val="26"/>
                <w:szCs w:val="26"/>
                <w:lang w:val="lv-LV"/>
              </w:rPr>
            </w:pPr>
            <w:r w:rsidRPr="00153E7C">
              <w:rPr>
                <w:sz w:val="26"/>
                <w:szCs w:val="26"/>
                <w:lang w:val="lv-LV"/>
              </w:rPr>
              <w:t>6.1. detalizēts ieņēmumu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153E7C" w:rsidRDefault="00742BAF" w:rsidP="00511C7D">
            <w:pPr>
              <w:rPr>
                <w:sz w:val="26"/>
                <w:szCs w:val="26"/>
                <w:lang w:val="lv-LV"/>
              </w:rPr>
            </w:pPr>
          </w:p>
        </w:tc>
      </w:tr>
      <w:tr w:rsidR="00742BAF" w:rsidRPr="00153E7C" w:rsidTr="00742BAF">
        <w:trPr>
          <w:trHeight w:val="585"/>
        </w:trPr>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153E7C" w:rsidRDefault="00742BAF" w:rsidP="00511C7D">
            <w:pPr>
              <w:jc w:val="both"/>
              <w:rPr>
                <w:sz w:val="26"/>
                <w:szCs w:val="26"/>
                <w:lang w:val="lv-LV"/>
              </w:rPr>
            </w:pPr>
            <w:r w:rsidRPr="00153E7C">
              <w:rPr>
                <w:sz w:val="26"/>
                <w:szCs w:val="26"/>
                <w:lang w:val="lv-LV"/>
              </w:rPr>
              <w:t>6.2. detalizēts izdevumu aprēķins</w:t>
            </w:r>
          </w:p>
        </w:tc>
        <w:tc>
          <w:tcPr>
            <w:tcW w:w="0" w:type="auto"/>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742BAF" w:rsidRPr="00153E7C" w:rsidRDefault="00742BAF" w:rsidP="00511C7D">
            <w:pPr>
              <w:rPr>
                <w:sz w:val="26"/>
                <w:szCs w:val="26"/>
                <w:lang w:val="lv-LV"/>
              </w:rPr>
            </w:pPr>
          </w:p>
        </w:tc>
      </w:tr>
      <w:tr w:rsidR="00742BAF" w:rsidRPr="00153E7C" w:rsidTr="00511C7D">
        <w:tc>
          <w:tcPr>
            <w:tcW w:w="1440"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742BAF" w:rsidRPr="00153E7C" w:rsidRDefault="00742BAF" w:rsidP="00511C7D">
            <w:pPr>
              <w:jc w:val="both"/>
              <w:rPr>
                <w:sz w:val="26"/>
                <w:szCs w:val="26"/>
                <w:lang w:val="lv-LV"/>
              </w:rPr>
            </w:pPr>
            <w:r w:rsidRPr="00153E7C">
              <w:rPr>
                <w:sz w:val="26"/>
                <w:szCs w:val="26"/>
                <w:lang w:val="lv-LV"/>
              </w:rPr>
              <w:t>7. Cita informācija</w:t>
            </w:r>
          </w:p>
        </w:tc>
        <w:tc>
          <w:tcPr>
            <w:tcW w:w="3520"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742BAF" w:rsidRPr="00153E7C" w:rsidRDefault="00742BAF" w:rsidP="00511C7D">
            <w:pPr>
              <w:spacing w:after="120"/>
              <w:jc w:val="both"/>
              <w:rPr>
                <w:bCs/>
                <w:color w:val="000000"/>
                <w:sz w:val="26"/>
                <w:szCs w:val="26"/>
                <w:lang w:val="lv-LV"/>
              </w:rPr>
            </w:pPr>
            <w:r w:rsidRPr="00153E7C">
              <w:rPr>
                <w:bCs/>
                <w:color w:val="000000"/>
                <w:sz w:val="26"/>
                <w:szCs w:val="26"/>
                <w:lang w:val="lv-LV"/>
              </w:rPr>
              <w:t xml:space="preserve">Grozījumu ietekmi saistībā ar pāreju uz </w:t>
            </w:r>
            <w:proofErr w:type="spellStart"/>
            <w:r w:rsidRPr="00153E7C">
              <w:rPr>
                <w:bCs/>
                <w:i/>
                <w:color w:val="000000"/>
                <w:sz w:val="26"/>
                <w:szCs w:val="26"/>
                <w:lang w:val="lv-LV"/>
              </w:rPr>
              <w:t>euro</w:t>
            </w:r>
            <w:proofErr w:type="spellEnd"/>
            <w:r w:rsidRPr="00153E7C">
              <w:rPr>
                <w:bCs/>
                <w:color w:val="000000"/>
                <w:sz w:val="26"/>
                <w:szCs w:val="26"/>
                <w:lang w:val="lv-LV"/>
              </w:rPr>
              <w:t xml:space="preserve"> (iespējamo ieņēmumu samazinājumu vai izdevumu palielinājumu) iespējams segt, nemainot attiecīgajās budžeta programmās vai apakšprogrammās finansējuma sadalījumu pa ieņēmumu, izdevumu vai finansēšanas klasifikācijas kodiem. </w:t>
            </w:r>
          </w:p>
        </w:tc>
      </w:tr>
    </w:tbl>
    <w:p w:rsidR="00742BAF" w:rsidRPr="00C27BB9" w:rsidRDefault="00742BAF" w:rsidP="00C9779A">
      <w:pPr>
        <w:rPr>
          <w:sz w:val="16"/>
          <w:szCs w:val="16"/>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C9779A" w:rsidRPr="00153E7C" w:rsidTr="0034794E">
        <w:trPr>
          <w:tblCellSpacing w:w="0" w:type="dxa"/>
        </w:trPr>
        <w:tc>
          <w:tcPr>
            <w:tcW w:w="9191" w:type="dxa"/>
            <w:gridSpan w:val="3"/>
            <w:hideMark/>
          </w:tcPr>
          <w:p w:rsidR="00C9779A" w:rsidRPr="00153E7C" w:rsidRDefault="00C9779A" w:rsidP="0034794E">
            <w:pPr>
              <w:ind w:firstLine="709"/>
              <w:jc w:val="both"/>
              <w:rPr>
                <w:rFonts w:eastAsia="Times New Roman"/>
                <w:b/>
                <w:bCs/>
                <w:sz w:val="26"/>
                <w:szCs w:val="26"/>
                <w:lang w:val="lv-LV" w:eastAsia="lv-LV"/>
              </w:rPr>
            </w:pPr>
            <w:r w:rsidRPr="00153E7C">
              <w:rPr>
                <w:rFonts w:eastAsia="Times New Roman"/>
                <w:b/>
                <w:bCs/>
                <w:sz w:val="26"/>
                <w:szCs w:val="26"/>
                <w:lang w:val="lv-LV" w:eastAsia="lv-LV"/>
              </w:rPr>
              <w:t> V. Tiesību akta projekta atbilstība Latvijas Republikas starptautiskajām saistībām</w:t>
            </w:r>
          </w:p>
        </w:tc>
      </w:tr>
      <w:tr w:rsidR="00C9779A" w:rsidRPr="00153E7C" w:rsidTr="005631C8">
        <w:trPr>
          <w:tblCellSpacing w:w="0" w:type="dxa"/>
        </w:trPr>
        <w:tc>
          <w:tcPr>
            <w:tcW w:w="400"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lastRenderedPageBreak/>
              <w:t> 1.</w:t>
            </w:r>
          </w:p>
        </w:tc>
        <w:tc>
          <w:tcPr>
            <w:tcW w:w="1645"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Saistības pret Eiropas Savienību</w:t>
            </w:r>
          </w:p>
        </w:tc>
        <w:tc>
          <w:tcPr>
            <w:tcW w:w="7146" w:type="dxa"/>
            <w:hideMark/>
          </w:tcPr>
          <w:p w:rsidR="00FC5AC6" w:rsidRPr="00153E7C" w:rsidRDefault="00C9779A" w:rsidP="007E63F8">
            <w:pPr>
              <w:jc w:val="both"/>
              <w:rPr>
                <w:rFonts w:eastAsia="Times New Roman"/>
                <w:sz w:val="26"/>
                <w:szCs w:val="26"/>
                <w:lang w:val="lv-LV" w:eastAsia="lv-LV"/>
              </w:rPr>
            </w:pPr>
            <w:r w:rsidRPr="00153E7C">
              <w:rPr>
                <w:rFonts w:eastAsia="Times New Roman"/>
                <w:sz w:val="26"/>
                <w:szCs w:val="26"/>
                <w:lang w:val="lv-LV" w:eastAsia="lv-LV"/>
              </w:rPr>
              <w:t>Ar tiesību</w:t>
            </w:r>
            <w:r w:rsidR="002954D4" w:rsidRPr="00153E7C">
              <w:rPr>
                <w:rFonts w:eastAsia="Times New Roman"/>
                <w:sz w:val="26"/>
                <w:szCs w:val="26"/>
                <w:lang w:val="lv-LV" w:eastAsia="lv-LV"/>
              </w:rPr>
              <w:t xml:space="preserve"> akta projektu </w:t>
            </w:r>
            <w:r w:rsidR="00742BAF" w:rsidRPr="00153E7C">
              <w:rPr>
                <w:rFonts w:eastAsia="Times New Roman"/>
                <w:sz w:val="26"/>
                <w:szCs w:val="26"/>
                <w:lang w:val="lv-LV" w:eastAsia="lv-LV"/>
              </w:rPr>
              <w:t>tiek ieviesta</w:t>
            </w:r>
            <w:r w:rsidR="00FC5AC6" w:rsidRPr="00153E7C">
              <w:rPr>
                <w:rFonts w:eastAsia="Times New Roman"/>
                <w:sz w:val="26"/>
                <w:szCs w:val="26"/>
                <w:lang w:val="lv-LV" w:eastAsia="lv-LV"/>
              </w:rPr>
              <w:t>s:</w:t>
            </w:r>
          </w:p>
          <w:p w:rsidR="00FC5AC6" w:rsidRPr="00153E7C" w:rsidRDefault="00FA59B7" w:rsidP="00EA0986">
            <w:pPr>
              <w:pStyle w:val="ListParagraph"/>
              <w:ind w:left="0"/>
              <w:jc w:val="both"/>
              <w:rPr>
                <w:rFonts w:eastAsia="Times New Roman"/>
                <w:sz w:val="26"/>
                <w:szCs w:val="26"/>
                <w:lang w:val="lv-LV" w:eastAsia="lv-LV"/>
              </w:rPr>
            </w:pPr>
            <w:r>
              <w:rPr>
                <w:rFonts w:eastAsia="Times New Roman"/>
                <w:sz w:val="26"/>
                <w:szCs w:val="26"/>
                <w:lang w:val="lv-LV" w:eastAsia="lv-LV"/>
              </w:rPr>
              <w:t>-</w:t>
            </w:r>
            <w:r w:rsidR="00742BAF" w:rsidRPr="00153E7C">
              <w:rPr>
                <w:rFonts w:eastAsia="Times New Roman"/>
                <w:sz w:val="26"/>
                <w:szCs w:val="26"/>
                <w:lang w:val="lv-LV" w:eastAsia="lv-LV"/>
              </w:rPr>
              <w:t>Regula</w:t>
            </w:r>
            <w:r w:rsidR="00D94B9B" w:rsidRPr="00153E7C">
              <w:rPr>
                <w:rFonts w:eastAsia="Times New Roman"/>
                <w:sz w:val="26"/>
                <w:szCs w:val="26"/>
                <w:lang w:val="lv-LV" w:eastAsia="lv-LV"/>
              </w:rPr>
              <w:t xml:space="preserve"> </w:t>
            </w:r>
            <w:proofErr w:type="spellStart"/>
            <w:r w:rsidR="00D94B9B" w:rsidRPr="00153E7C">
              <w:rPr>
                <w:rFonts w:eastAsia="Times New Roman"/>
                <w:sz w:val="26"/>
                <w:szCs w:val="26"/>
                <w:lang w:val="lv-LV" w:eastAsia="lv-LV"/>
              </w:rPr>
              <w:t>Nr</w:t>
            </w:r>
            <w:proofErr w:type="spellEnd"/>
            <w:r w:rsidR="00D94B9B" w:rsidRPr="00153E7C">
              <w:rPr>
                <w:rFonts w:eastAsia="Times New Roman"/>
                <w:sz w:val="26"/>
                <w:szCs w:val="26"/>
                <w:lang w:val="lv-LV" w:eastAsia="lv-LV"/>
              </w:rPr>
              <w:t>.</w:t>
            </w:r>
            <w:r w:rsidR="00742BAF" w:rsidRPr="00153E7C">
              <w:rPr>
                <w:rFonts w:eastAsia="Times New Roman"/>
                <w:sz w:val="26"/>
                <w:szCs w:val="26"/>
                <w:lang w:val="lv-LV" w:eastAsia="lv-LV"/>
              </w:rPr>
              <w:t xml:space="preserve"> 1998/2006</w:t>
            </w:r>
            <w:r w:rsidR="00FC5AC6" w:rsidRPr="00153E7C">
              <w:rPr>
                <w:rFonts w:eastAsia="Times New Roman"/>
                <w:sz w:val="26"/>
                <w:szCs w:val="26"/>
                <w:lang w:val="lv-LV" w:eastAsia="lv-LV"/>
              </w:rPr>
              <w:t>;</w:t>
            </w:r>
          </w:p>
          <w:p w:rsidR="009450CF" w:rsidRPr="00153E7C" w:rsidRDefault="00FA59B7" w:rsidP="00EA0986">
            <w:pPr>
              <w:pStyle w:val="ListParagraph"/>
              <w:ind w:left="0"/>
              <w:jc w:val="both"/>
              <w:rPr>
                <w:rFonts w:eastAsia="Times New Roman"/>
                <w:sz w:val="26"/>
                <w:szCs w:val="26"/>
                <w:lang w:val="lv-LV" w:eastAsia="lv-LV"/>
              </w:rPr>
            </w:pPr>
            <w:r>
              <w:rPr>
                <w:rFonts w:eastAsia="Times New Roman"/>
                <w:sz w:val="26"/>
                <w:szCs w:val="26"/>
                <w:lang w:val="lv-LV" w:eastAsia="lv-LV"/>
              </w:rPr>
              <w:t>-</w:t>
            </w:r>
            <w:r w:rsidR="00D94B9B" w:rsidRPr="00153E7C">
              <w:rPr>
                <w:rFonts w:eastAsia="Times New Roman"/>
                <w:sz w:val="26"/>
                <w:szCs w:val="26"/>
                <w:lang w:val="lv-LV" w:eastAsia="lv-LV"/>
              </w:rPr>
              <w:t>Regula Nr.</w:t>
            </w:r>
            <w:r w:rsidR="00901246" w:rsidRPr="00153E7C">
              <w:rPr>
                <w:rFonts w:eastAsia="Times New Roman"/>
                <w:sz w:val="26"/>
                <w:szCs w:val="26"/>
                <w:lang w:val="lv-LV" w:eastAsia="lv-LV"/>
              </w:rPr>
              <w:t>1535</w:t>
            </w:r>
            <w:r w:rsidR="00FC5AC6" w:rsidRPr="00153E7C">
              <w:rPr>
                <w:rFonts w:eastAsia="Times New Roman"/>
                <w:sz w:val="26"/>
                <w:szCs w:val="26"/>
                <w:lang w:val="lv-LV" w:eastAsia="lv-LV"/>
              </w:rPr>
              <w:t>/2007;</w:t>
            </w:r>
          </w:p>
          <w:p w:rsidR="00B84C4B" w:rsidRPr="00153E7C" w:rsidRDefault="00FA59B7" w:rsidP="00EA0986">
            <w:pPr>
              <w:pStyle w:val="ListParagraph"/>
              <w:ind w:left="0"/>
              <w:jc w:val="both"/>
              <w:rPr>
                <w:rFonts w:eastAsia="Times New Roman"/>
                <w:sz w:val="26"/>
                <w:szCs w:val="26"/>
                <w:lang w:val="lv-LV" w:eastAsia="lv-LV"/>
              </w:rPr>
            </w:pPr>
            <w:r>
              <w:rPr>
                <w:rFonts w:eastAsia="Times New Roman"/>
                <w:sz w:val="26"/>
                <w:szCs w:val="26"/>
                <w:lang w:val="lv-LV" w:eastAsia="lv-LV"/>
              </w:rPr>
              <w:t>-</w:t>
            </w:r>
            <w:r w:rsidR="00FC5AC6" w:rsidRPr="00153E7C">
              <w:rPr>
                <w:rFonts w:eastAsia="Times New Roman"/>
                <w:sz w:val="26"/>
                <w:szCs w:val="26"/>
                <w:lang w:val="lv-LV" w:eastAsia="lv-LV"/>
              </w:rPr>
              <w:t>Regula Nr.1857/2006</w:t>
            </w:r>
            <w:r w:rsidR="009637AA" w:rsidRPr="00153E7C">
              <w:rPr>
                <w:rFonts w:eastAsia="Times New Roman"/>
                <w:sz w:val="26"/>
                <w:szCs w:val="26"/>
                <w:lang w:val="lv-LV" w:eastAsia="lv-LV"/>
              </w:rPr>
              <w:t>.</w:t>
            </w:r>
          </w:p>
        </w:tc>
      </w:tr>
      <w:tr w:rsidR="00C9779A" w:rsidRPr="00153E7C" w:rsidTr="005631C8">
        <w:trPr>
          <w:tblCellSpacing w:w="0" w:type="dxa"/>
        </w:trPr>
        <w:tc>
          <w:tcPr>
            <w:tcW w:w="400"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2.</w:t>
            </w:r>
          </w:p>
        </w:tc>
        <w:tc>
          <w:tcPr>
            <w:tcW w:w="1645"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Citas starptautiskās saistības</w:t>
            </w:r>
          </w:p>
        </w:tc>
        <w:tc>
          <w:tcPr>
            <w:tcW w:w="7146" w:type="dxa"/>
            <w:hideMark/>
          </w:tcPr>
          <w:p w:rsidR="00C9779A" w:rsidRPr="00153E7C" w:rsidRDefault="00C9779A" w:rsidP="00742BAF">
            <w:pPr>
              <w:rPr>
                <w:rFonts w:eastAsia="Times New Roman"/>
                <w:sz w:val="26"/>
                <w:szCs w:val="26"/>
                <w:lang w:val="lv-LV" w:eastAsia="lv-LV"/>
              </w:rPr>
            </w:pPr>
            <w:r w:rsidRPr="00153E7C">
              <w:rPr>
                <w:sz w:val="26"/>
                <w:szCs w:val="26"/>
                <w:lang w:val="lv-LV"/>
              </w:rPr>
              <w:t>Projekts šo jomu neskar.</w:t>
            </w:r>
          </w:p>
        </w:tc>
      </w:tr>
      <w:tr w:rsidR="00C9779A" w:rsidRPr="00153E7C" w:rsidTr="005631C8">
        <w:trPr>
          <w:tblCellSpacing w:w="0" w:type="dxa"/>
        </w:trPr>
        <w:tc>
          <w:tcPr>
            <w:tcW w:w="400"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3.</w:t>
            </w:r>
          </w:p>
        </w:tc>
        <w:tc>
          <w:tcPr>
            <w:tcW w:w="1645" w:type="dxa"/>
            <w:hideMark/>
          </w:tcPr>
          <w:p w:rsidR="00C9779A" w:rsidRPr="00153E7C" w:rsidRDefault="00C9779A" w:rsidP="0034794E">
            <w:pPr>
              <w:rPr>
                <w:sz w:val="26"/>
                <w:szCs w:val="26"/>
                <w:lang w:val="lv-LV"/>
              </w:rPr>
            </w:pPr>
            <w:r w:rsidRPr="00153E7C">
              <w:rPr>
                <w:sz w:val="26"/>
                <w:szCs w:val="26"/>
                <w:lang w:val="lv-LV"/>
              </w:rPr>
              <w:t> Cita informācija</w:t>
            </w:r>
          </w:p>
        </w:tc>
        <w:tc>
          <w:tcPr>
            <w:tcW w:w="7146" w:type="dxa"/>
            <w:hideMark/>
          </w:tcPr>
          <w:p w:rsidR="00B84C4B" w:rsidRPr="00153E7C" w:rsidRDefault="00FC5AC6" w:rsidP="00F20476">
            <w:pPr>
              <w:jc w:val="both"/>
              <w:rPr>
                <w:rFonts w:eastAsia="Times New Roman"/>
                <w:sz w:val="26"/>
                <w:szCs w:val="26"/>
                <w:lang w:val="lv-LV" w:eastAsia="lv-LV"/>
              </w:rPr>
            </w:pPr>
            <w:r w:rsidRPr="00153E7C">
              <w:rPr>
                <w:sz w:val="26"/>
                <w:szCs w:val="26"/>
                <w:lang w:val="lv-LV"/>
              </w:rPr>
              <w:t>Projekts šo jomu neskar.</w:t>
            </w:r>
          </w:p>
        </w:tc>
      </w:tr>
    </w:tbl>
    <w:p w:rsidR="00C9779A" w:rsidRPr="00C27BB9" w:rsidRDefault="00C9779A" w:rsidP="00C9779A">
      <w:pPr>
        <w:ind w:firstLine="468"/>
        <w:jc w:val="both"/>
        <w:rPr>
          <w:rFonts w:eastAsia="Times New Roman"/>
          <w:sz w:val="16"/>
          <w:szCs w:val="16"/>
          <w:lang w:val="lv-LV" w:eastAsia="lv-LV"/>
        </w:rPr>
      </w:pPr>
      <w:r w:rsidRPr="00153E7C">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C9779A" w:rsidRPr="00153E7C" w:rsidTr="0034794E">
        <w:trPr>
          <w:trHeight w:val="525"/>
          <w:tblCellSpacing w:w="0" w:type="dxa"/>
        </w:trPr>
        <w:tc>
          <w:tcPr>
            <w:tcW w:w="9191" w:type="dxa"/>
            <w:gridSpan w:val="4"/>
            <w:vAlign w:val="center"/>
            <w:hideMark/>
          </w:tcPr>
          <w:p w:rsidR="00C9779A" w:rsidRPr="00153E7C" w:rsidRDefault="00C9779A" w:rsidP="0034794E">
            <w:pPr>
              <w:jc w:val="center"/>
              <w:rPr>
                <w:rFonts w:eastAsia="Times New Roman"/>
                <w:b/>
                <w:bCs/>
                <w:sz w:val="26"/>
                <w:szCs w:val="26"/>
                <w:lang w:val="lv-LV" w:eastAsia="lv-LV"/>
              </w:rPr>
            </w:pPr>
            <w:r w:rsidRPr="00153E7C">
              <w:rPr>
                <w:rFonts w:eastAsia="Times New Roman"/>
                <w:b/>
                <w:bCs/>
                <w:sz w:val="26"/>
                <w:szCs w:val="26"/>
                <w:lang w:val="lv-LV" w:eastAsia="lv-LV"/>
              </w:rPr>
              <w:t> 1.tabula</w:t>
            </w:r>
          </w:p>
          <w:p w:rsidR="00C9779A" w:rsidRPr="00153E7C" w:rsidRDefault="00C9779A" w:rsidP="0034794E">
            <w:pPr>
              <w:jc w:val="center"/>
              <w:rPr>
                <w:rFonts w:eastAsia="Times New Roman"/>
                <w:b/>
                <w:bCs/>
                <w:sz w:val="26"/>
                <w:szCs w:val="26"/>
                <w:lang w:val="lv-LV" w:eastAsia="lv-LV"/>
              </w:rPr>
            </w:pPr>
            <w:r w:rsidRPr="00153E7C">
              <w:rPr>
                <w:rFonts w:eastAsia="Times New Roman"/>
                <w:b/>
                <w:bCs/>
                <w:sz w:val="26"/>
                <w:szCs w:val="26"/>
                <w:lang w:val="lv-LV" w:eastAsia="lv-LV"/>
              </w:rPr>
              <w:t>Tiesību akta projekta atbilstība ES tiesību aktiem</w:t>
            </w:r>
          </w:p>
        </w:tc>
      </w:tr>
      <w:tr w:rsidR="00C9779A" w:rsidRPr="00153E7C" w:rsidTr="0034794E">
        <w:trPr>
          <w:trHeight w:val="1256"/>
          <w:tblCellSpacing w:w="0" w:type="dxa"/>
        </w:trPr>
        <w:tc>
          <w:tcPr>
            <w:tcW w:w="2003" w:type="dxa"/>
            <w:vAlign w:val="center"/>
            <w:hideMark/>
          </w:tcPr>
          <w:p w:rsidR="00C9779A" w:rsidRPr="00153E7C" w:rsidRDefault="00C9779A" w:rsidP="0034794E">
            <w:pPr>
              <w:jc w:val="center"/>
              <w:rPr>
                <w:rFonts w:eastAsia="Times New Roman"/>
                <w:sz w:val="26"/>
                <w:szCs w:val="26"/>
                <w:lang w:val="lv-LV" w:eastAsia="lv-LV"/>
              </w:rPr>
            </w:pPr>
            <w:r w:rsidRPr="00153E7C">
              <w:rPr>
                <w:rFonts w:eastAsia="Times New Roman"/>
                <w:sz w:val="26"/>
                <w:szCs w:val="26"/>
                <w:lang w:val="lv-LV" w:eastAsia="lv-LV"/>
              </w:rPr>
              <w:t> Attiecīgā ES tiesību akta datums, numurs un nosaukums</w:t>
            </w:r>
          </w:p>
        </w:tc>
        <w:tc>
          <w:tcPr>
            <w:tcW w:w="7188" w:type="dxa"/>
            <w:gridSpan w:val="3"/>
            <w:vAlign w:val="center"/>
            <w:hideMark/>
          </w:tcPr>
          <w:p w:rsidR="00C9779A" w:rsidRPr="00153E7C" w:rsidRDefault="005631C8" w:rsidP="005631C8">
            <w:pPr>
              <w:jc w:val="both"/>
              <w:rPr>
                <w:rFonts w:eastAsia="Times New Roman"/>
                <w:sz w:val="26"/>
                <w:szCs w:val="26"/>
                <w:lang w:val="lv-LV" w:eastAsia="lv-LV"/>
              </w:rPr>
            </w:pPr>
            <w:r w:rsidRPr="00153E7C">
              <w:rPr>
                <w:rFonts w:eastAsia="Times New Roman"/>
                <w:sz w:val="26"/>
                <w:szCs w:val="26"/>
                <w:lang w:val="lv-LV" w:eastAsia="lv-LV"/>
              </w:rPr>
              <w:t>Ar normatīvo aktu tiek ieviestas šāda Eiropas Savienības tiesību akta prasības:</w:t>
            </w:r>
          </w:p>
          <w:p w:rsidR="001802E6" w:rsidRDefault="001802E6" w:rsidP="00EA0986">
            <w:pPr>
              <w:jc w:val="both"/>
              <w:rPr>
                <w:sz w:val="26"/>
                <w:szCs w:val="26"/>
                <w:lang w:val="lv-LV"/>
              </w:rPr>
            </w:pPr>
            <w:r>
              <w:rPr>
                <w:sz w:val="26"/>
                <w:szCs w:val="26"/>
                <w:lang w:val="lv-LV"/>
              </w:rPr>
              <w:t>-</w:t>
            </w:r>
            <w:r w:rsidR="006C53BE">
              <w:rPr>
                <w:sz w:val="26"/>
                <w:szCs w:val="26"/>
                <w:lang w:val="lv-LV"/>
              </w:rPr>
              <w:t xml:space="preserve"> Komisijas </w:t>
            </w:r>
            <w:r>
              <w:rPr>
                <w:sz w:val="26"/>
                <w:szCs w:val="26"/>
                <w:lang w:val="lv-LV"/>
              </w:rPr>
              <w:t>2006.gada 15.decembra Regula</w:t>
            </w:r>
            <w:r w:rsidRPr="00153E7C">
              <w:rPr>
                <w:sz w:val="26"/>
                <w:szCs w:val="26"/>
                <w:lang w:val="lv-LV"/>
              </w:rPr>
              <w:t xml:space="preserve"> (EK) Nr.1998/2006 par Līguma 87. un 88.panta piemērošanu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atbalstam</w:t>
            </w:r>
            <w:r>
              <w:rPr>
                <w:sz w:val="26"/>
                <w:szCs w:val="26"/>
                <w:lang w:val="lv-LV"/>
              </w:rPr>
              <w:t>;</w:t>
            </w:r>
          </w:p>
          <w:p w:rsidR="00921208" w:rsidRDefault="00921208" w:rsidP="00EA0986">
            <w:pPr>
              <w:jc w:val="both"/>
              <w:rPr>
                <w:sz w:val="26"/>
                <w:szCs w:val="26"/>
                <w:lang w:val="lv-LV"/>
              </w:rPr>
            </w:pPr>
            <w:r>
              <w:rPr>
                <w:sz w:val="26"/>
                <w:szCs w:val="26"/>
                <w:lang w:val="lv-LV"/>
              </w:rPr>
              <w:t>-</w:t>
            </w:r>
            <w:r w:rsidR="006C53BE">
              <w:rPr>
                <w:sz w:val="26"/>
                <w:szCs w:val="26"/>
                <w:lang w:val="lv-LV"/>
              </w:rPr>
              <w:t xml:space="preserve"> Komisijas </w:t>
            </w:r>
            <w:r>
              <w:rPr>
                <w:sz w:val="26"/>
                <w:szCs w:val="26"/>
                <w:lang w:val="lv-LV"/>
              </w:rPr>
              <w:t xml:space="preserve">2007.gada 20.decembra </w:t>
            </w:r>
            <w:r w:rsidR="009C4BE7">
              <w:rPr>
                <w:sz w:val="26"/>
                <w:szCs w:val="26"/>
                <w:lang w:val="lv-LV"/>
              </w:rPr>
              <w:t>Regula</w:t>
            </w:r>
            <w:r w:rsidRPr="00153E7C">
              <w:rPr>
                <w:sz w:val="26"/>
                <w:szCs w:val="26"/>
                <w:lang w:val="lv-LV"/>
              </w:rPr>
              <w:t xml:space="preserve"> (EK) Nr.1535/2007 par EK līguma 87. un 88.panta piemērošanu </w:t>
            </w:r>
            <w:proofErr w:type="spellStart"/>
            <w:r w:rsidRPr="00153E7C">
              <w:rPr>
                <w:i/>
                <w:sz w:val="26"/>
                <w:szCs w:val="26"/>
                <w:lang w:val="lv-LV"/>
              </w:rPr>
              <w:t>de</w:t>
            </w:r>
            <w:proofErr w:type="spellEnd"/>
            <w:r w:rsidRPr="00153E7C">
              <w:rPr>
                <w:i/>
                <w:sz w:val="26"/>
                <w:szCs w:val="26"/>
                <w:lang w:val="lv-LV"/>
              </w:rPr>
              <w:t xml:space="preserve"> </w:t>
            </w:r>
            <w:proofErr w:type="spellStart"/>
            <w:r w:rsidRPr="00153E7C">
              <w:rPr>
                <w:i/>
                <w:sz w:val="26"/>
                <w:szCs w:val="26"/>
                <w:lang w:val="lv-LV"/>
              </w:rPr>
              <w:t>minimis</w:t>
            </w:r>
            <w:proofErr w:type="spellEnd"/>
            <w:r w:rsidRPr="00153E7C">
              <w:rPr>
                <w:sz w:val="26"/>
                <w:szCs w:val="26"/>
                <w:lang w:val="lv-LV"/>
              </w:rPr>
              <w:t xml:space="preserve"> atbalstam lauksaimniecības produktu ražošanas nozarē</w:t>
            </w:r>
            <w:r>
              <w:rPr>
                <w:sz w:val="26"/>
                <w:szCs w:val="26"/>
                <w:lang w:val="lv-LV"/>
              </w:rPr>
              <w:t>;</w:t>
            </w:r>
          </w:p>
          <w:p w:rsidR="00FC5AC6" w:rsidRPr="00EA0986" w:rsidRDefault="009C4BE7" w:rsidP="00EA0986">
            <w:pPr>
              <w:jc w:val="both"/>
              <w:rPr>
                <w:rFonts w:eastAsia="Times New Roman"/>
                <w:sz w:val="26"/>
                <w:szCs w:val="26"/>
                <w:lang w:val="lv-LV" w:eastAsia="lv-LV"/>
              </w:rPr>
            </w:pPr>
            <w:r>
              <w:rPr>
                <w:sz w:val="26"/>
                <w:szCs w:val="26"/>
                <w:lang w:val="lv-LV"/>
              </w:rPr>
              <w:t>-</w:t>
            </w:r>
            <w:r w:rsidRPr="00153E7C">
              <w:rPr>
                <w:sz w:val="26"/>
                <w:szCs w:val="26"/>
                <w:lang w:val="lv-LV"/>
              </w:rPr>
              <w:t xml:space="preserve"> </w:t>
            </w:r>
            <w:r w:rsidR="006C53BE">
              <w:rPr>
                <w:sz w:val="26"/>
                <w:szCs w:val="26"/>
                <w:lang w:val="lv-LV"/>
              </w:rPr>
              <w:t xml:space="preserve">Komisijas </w:t>
            </w:r>
            <w:r w:rsidR="00F6177A">
              <w:rPr>
                <w:sz w:val="26"/>
                <w:szCs w:val="26"/>
                <w:lang w:val="lv-LV"/>
              </w:rPr>
              <w:t xml:space="preserve">2006.gada 15.decembra </w:t>
            </w:r>
            <w:r>
              <w:rPr>
                <w:sz w:val="26"/>
                <w:szCs w:val="26"/>
                <w:lang w:val="lv-LV"/>
              </w:rPr>
              <w:t>Regula</w:t>
            </w:r>
            <w:r w:rsidRPr="00153E7C">
              <w:rPr>
                <w:sz w:val="26"/>
                <w:szCs w:val="26"/>
                <w:lang w:val="lv-LV"/>
              </w:rPr>
              <w:t xml:space="preserve"> (EK) Nr.1857/2006 par Līguma 87. un 88.panta piemērošanu attiecībā uz maziem un vidējiem uzņēmumiem, kas nodarbojas ar lauksaimniecības produktu ražošanu, un grozījumiem Regulā (EK) Nr.70/2001</w:t>
            </w:r>
            <w:r w:rsidR="008C34B9">
              <w:rPr>
                <w:sz w:val="26"/>
                <w:szCs w:val="26"/>
                <w:lang w:val="lv-LV"/>
              </w:rPr>
              <w:t>.</w:t>
            </w:r>
          </w:p>
        </w:tc>
      </w:tr>
      <w:tr w:rsidR="00C9779A" w:rsidRPr="00153E7C" w:rsidTr="0034794E">
        <w:trPr>
          <w:trHeight w:val="166"/>
          <w:tblCellSpacing w:w="0" w:type="dxa"/>
        </w:trPr>
        <w:tc>
          <w:tcPr>
            <w:tcW w:w="2003" w:type="dxa"/>
            <w:vAlign w:val="center"/>
            <w:hideMark/>
          </w:tcPr>
          <w:p w:rsidR="00C9779A" w:rsidRPr="00153E7C" w:rsidRDefault="00C9779A" w:rsidP="0034794E">
            <w:pPr>
              <w:jc w:val="center"/>
              <w:rPr>
                <w:rFonts w:eastAsia="Times New Roman"/>
                <w:sz w:val="26"/>
                <w:szCs w:val="26"/>
                <w:lang w:val="lv-LV" w:eastAsia="lv-LV"/>
              </w:rPr>
            </w:pPr>
            <w:r w:rsidRPr="00153E7C">
              <w:rPr>
                <w:rFonts w:eastAsia="Times New Roman"/>
                <w:sz w:val="26"/>
                <w:szCs w:val="26"/>
                <w:lang w:val="lv-LV" w:eastAsia="lv-LV"/>
              </w:rPr>
              <w:t> A</w:t>
            </w:r>
          </w:p>
        </w:tc>
        <w:tc>
          <w:tcPr>
            <w:tcW w:w="2452" w:type="dxa"/>
            <w:vAlign w:val="center"/>
            <w:hideMark/>
          </w:tcPr>
          <w:p w:rsidR="00C9779A" w:rsidRPr="00153E7C" w:rsidRDefault="00C9779A" w:rsidP="0034794E">
            <w:pPr>
              <w:jc w:val="center"/>
              <w:rPr>
                <w:rFonts w:eastAsia="Times New Roman"/>
                <w:sz w:val="26"/>
                <w:szCs w:val="26"/>
                <w:lang w:val="lv-LV" w:eastAsia="lv-LV"/>
              </w:rPr>
            </w:pPr>
            <w:r w:rsidRPr="00153E7C">
              <w:rPr>
                <w:rFonts w:eastAsia="Times New Roman"/>
                <w:sz w:val="26"/>
                <w:szCs w:val="26"/>
                <w:lang w:val="lv-LV" w:eastAsia="lv-LV"/>
              </w:rPr>
              <w:t> B</w:t>
            </w:r>
          </w:p>
        </w:tc>
        <w:tc>
          <w:tcPr>
            <w:tcW w:w="2703" w:type="dxa"/>
            <w:vAlign w:val="center"/>
            <w:hideMark/>
          </w:tcPr>
          <w:p w:rsidR="00C9779A" w:rsidRPr="00153E7C" w:rsidRDefault="00C9779A" w:rsidP="0034794E">
            <w:pPr>
              <w:jc w:val="center"/>
              <w:rPr>
                <w:rFonts w:eastAsia="Times New Roman"/>
                <w:sz w:val="26"/>
                <w:szCs w:val="26"/>
                <w:lang w:val="lv-LV" w:eastAsia="lv-LV"/>
              </w:rPr>
            </w:pPr>
            <w:r w:rsidRPr="00153E7C">
              <w:rPr>
                <w:rFonts w:eastAsia="Times New Roman"/>
                <w:sz w:val="26"/>
                <w:szCs w:val="26"/>
                <w:lang w:val="lv-LV" w:eastAsia="lv-LV"/>
              </w:rPr>
              <w:t> C</w:t>
            </w:r>
          </w:p>
        </w:tc>
        <w:tc>
          <w:tcPr>
            <w:tcW w:w="2033" w:type="dxa"/>
            <w:vAlign w:val="center"/>
            <w:hideMark/>
          </w:tcPr>
          <w:p w:rsidR="00C9779A" w:rsidRPr="00153E7C" w:rsidRDefault="00C9779A" w:rsidP="0034794E">
            <w:pPr>
              <w:jc w:val="center"/>
              <w:rPr>
                <w:rFonts w:eastAsia="Times New Roman"/>
                <w:sz w:val="26"/>
                <w:szCs w:val="26"/>
                <w:lang w:val="lv-LV" w:eastAsia="lv-LV"/>
              </w:rPr>
            </w:pPr>
            <w:r w:rsidRPr="00153E7C">
              <w:rPr>
                <w:rFonts w:eastAsia="Times New Roman"/>
                <w:sz w:val="26"/>
                <w:szCs w:val="26"/>
                <w:lang w:val="lv-LV" w:eastAsia="lv-LV"/>
              </w:rPr>
              <w:t> D</w:t>
            </w:r>
          </w:p>
        </w:tc>
      </w:tr>
      <w:tr w:rsidR="00C9779A" w:rsidRPr="00153E7C" w:rsidTr="0034794E">
        <w:trPr>
          <w:trHeight w:val="2917"/>
          <w:tblCellSpacing w:w="0" w:type="dxa"/>
        </w:trPr>
        <w:tc>
          <w:tcPr>
            <w:tcW w:w="2003"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Attiecīgā ES tiesību akta panta numurs (uzskaitot katru tiesību akta</w:t>
            </w:r>
            <w:r w:rsidRPr="00153E7C">
              <w:rPr>
                <w:rFonts w:eastAsia="Times New Roman"/>
                <w:sz w:val="26"/>
                <w:szCs w:val="26"/>
                <w:lang w:val="lv-LV" w:eastAsia="lv-LV"/>
              </w:rPr>
              <w:br/>
              <w:t>vienību – pantu, daļu, punktu, apakšpunktu)</w:t>
            </w:r>
          </w:p>
        </w:tc>
        <w:tc>
          <w:tcPr>
            <w:tcW w:w="2452"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Projekta vienība, kas pārņem vai ievieš katru šīs tabulas A ailē minēto ES tiesību akta vienību</w:t>
            </w:r>
          </w:p>
        </w:tc>
        <w:tc>
          <w:tcPr>
            <w:tcW w:w="2703"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Informācija par to, vai šīs tabulas A ailē minētās ES tiesību akta vienības tiek pārņemtas vai ieviestas pilnībā vai daļēji.</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xml:space="preserve">Ja attiecīgā ES tiesību akta vienība tiek pārņemta vai ieviesta daļēji, – sniedz attiecīgu skaidrojumu, kā arī precīzi norāda, kad un kādā veidā ES tiesību akta vienība tiks </w:t>
            </w:r>
            <w:r w:rsidRPr="00153E7C">
              <w:rPr>
                <w:rFonts w:eastAsia="Times New Roman"/>
                <w:sz w:val="26"/>
                <w:szCs w:val="26"/>
                <w:lang w:val="lv-LV" w:eastAsia="lv-LV"/>
              </w:rPr>
              <w:lastRenderedPageBreak/>
              <w:t>pārņemta vai ieviesta pilnībā.</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Norāda institūciju, kas ir atbildīga par šo saistību izpildi pilnībā</w:t>
            </w:r>
          </w:p>
        </w:tc>
        <w:tc>
          <w:tcPr>
            <w:tcW w:w="2033" w:type="dxa"/>
            <w:hideMark/>
          </w:tcPr>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lastRenderedPageBreak/>
              <w:t>Informācija par to, vai šīs tabulas B ailē minētās projekta vienības paredz stingrākas prasības nekā šīs tabulas A ailē minētās ES tiesību akta vienības.</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xml:space="preserve">Ja projekts satur stingrākas prasības nekā attiecīgais ES </w:t>
            </w:r>
            <w:r w:rsidRPr="00153E7C">
              <w:rPr>
                <w:rFonts w:eastAsia="Times New Roman"/>
                <w:sz w:val="26"/>
                <w:szCs w:val="26"/>
                <w:lang w:val="lv-LV" w:eastAsia="lv-LV"/>
              </w:rPr>
              <w:lastRenderedPageBreak/>
              <w:t>tiesību akts, – norāda pamatojumu un samērīgumu.</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 </w:t>
            </w:r>
          </w:p>
          <w:p w:rsidR="00C9779A" w:rsidRPr="00153E7C" w:rsidRDefault="00C9779A" w:rsidP="0034794E">
            <w:pPr>
              <w:rPr>
                <w:rFonts w:eastAsia="Times New Roman"/>
                <w:sz w:val="26"/>
                <w:szCs w:val="26"/>
                <w:lang w:val="lv-LV" w:eastAsia="lv-LV"/>
              </w:rPr>
            </w:pPr>
            <w:r w:rsidRPr="00153E7C">
              <w:rPr>
                <w:rFonts w:eastAsia="Times New Roman"/>
                <w:sz w:val="26"/>
                <w:szCs w:val="26"/>
                <w:lang w:val="lv-LV" w:eastAsia="lv-LV"/>
              </w:rPr>
              <w:t>Norāda iespējamās alternatīvas (</w:t>
            </w:r>
            <w:proofErr w:type="spellStart"/>
            <w:r w:rsidRPr="00153E7C">
              <w:rPr>
                <w:rFonts w:eastAsia="Times New Roman"/>
                <w:sz w:val="26"/>
                <w:szCs w:val="26"/>
                <w:lang w:val="lv-LV" w:eastAsia="lv-LV"/>
              </w:rPr>
              <w:t>t.sk</w:t>
            </w:r>
            <w:proofErr w:type="spellEnd"/>
            <w:r w:rsidRPr="00153E7C">
              <w:rPr>
                <w:rFonts w:eastAsia="Times New Roman"/>
                <w:sz w:val="26"/>
                <w:szCs w:val="26"/>
                <w:lang w:val="lv-LV" w:eastAsia="lv-LV"/>
              </w:rPr>
              <w:t>. alternatīvas, kas neparedz tiesiskā regulējuma izstrādi) – kādos gadījumos būtu iespējams izvairīties no stingrāku prasību noteikšanas, nekā paredzēts attiecīgajos ES tiesību aktos</w:t>
            </w:r>
          </w:p>
        </w:tc>
      </w:tr>
      <w:tr w:rsidR="00196D43" w:rsidRPr="00153E7C" w:rsidTr="002954D4">
        <w:trPr>
          <w:trHeight w:val="590"/>
          <w:tblCellSpacing w:w="0" w:type="dxa"/>
        </w:trPr>
        <w:tc>
          <w:tcPr>
            <w:tcW w:w="2003" w:type="dxa"/>
            <w:hideMark/>
          </w:tcPr>
          <w:p w:rsidR="00196D43" w:rsidRPr="008C34B9" w:rsidRDefault="00196D43" w:rsidP="00236989">
            <w:pPr>
              <w:jc w:val="both"/>
              <w:rPr>
                <w:rFonts w:eastAsia="Times New Roman"/>
                <w:i/>
                <w:sz w:val="26"/>
                <w:szCs w:val="26"/>
                <w:lang w:val="lv-LV" w:eastAsia="lv-LV"/>
              </w:rPr>
            </w:pPr>
            <w:r w:rsidRPr="008C34B9">
              <w:rPr>
                <w:i/>
                <w:sz w:val="26"/>
                <w:szCs w:val="26"/>
                <w:lang w:val="lv-LV"/>
              </w:rPr>
              <w:lastRenderedPageBreak/>
              <w:t xml:space="preserve">Regulas </w:t>
            </w:r>
            <w:proofErr w:type="spellStart"/>
            <w:r w:rsidRPr="008C34B9">
              <w:rPr>
                <w:i/>
                <w:sz w:val="26"/>
                <w:szCs w:val="26"/>
                <w:lang w:val="lv-LV"/>
              </w:rPr>
              <w:t>Nr</w:t>
            </w:r>
            <w:proofErr w:type="spellEnd"/>
            <w:r w:rsidRPr="008C34B9">
              <w:rPr>
                <w:i/>
                <w:sz w:val="26"/>
                <w:szCs w:val="26"/>
                <w:lang w:val="lv-LV"/>
              </w:rPr>
              <w:t xml:space="preserve">. </w:t>
            </w:r>
            <w:r w:rsidR="00742BAF" w:rsidRPr="008C34B9">
              <w:rPr>
                <w:i/>
                <w:sz w:val="26"/>
                <w:szCs w:val="26"/>
                <w:lang w:val="lv-LV"/>
              </w:rPr>
              <w:t>1998/2006 5.panta 3</w:t>
            </w:r>
            <w:r w:rsidRPr="008C34B9">
              <w:rPr>
                <w:i/>
                <w:sz w:val="26"/>
                <w:szCs w:val="26"/>
                <w:lang w:val="lv-LV"/>
              </w:rPr>
              <w:t xml:space="preserve"> punkts</w:t>
            </w:r>
            <w:r w:rsidR="00D94B9B" w:rsidRPr="008C34B9">
              <w:rPr>
                <w:i/>
                <w:sz w:val="26"/>
                <w:szCs w:val="26"/>
                <w:lang w:val="lv-LV"/>
              </w:rPr>
              <w:t>;</w:t>
            </w:r>
            <w:r w:rsidR="00901246" w:rsidRPr="008C34B9">
              <w:rPr>
                <w:rFonts w:eastAsia="Times New Roman"/>
                <w:i/>
                <w:sz w:val="26"/>
                <w:szCs w:val="26"/>
                <w:lang w:val="lv-LV" w:eastAsia="lv-LV"/>
              </w:rPr>
              <w:t>.</w:t>
            </w:r>
          </w:p>
        </w:tc>
        <w:tc>
          <w:tcPr>
            <w:tcW w:w="2452" w:type="dxa"/>
            <w:hideMark/>
          </w:tcPr>
          <w:p w:rsidR="00196D43" w:rsidRPr="008C34B9" w:rsidRDefault="00FA59B7" w:rsidP="00D94B9B">
            <w:pPr>
              <w:jc w:val="both"/>
              <w:rPr>
                <w:rFonts w:eastAsia="Times New Roman"/>
                <w:i/>
                <w:sz w:val="26"/>
                <w:szCs w:val="26"/>
                <w:lang w:val="lv-LV"/>
              </w:rPr>
            </w:pPr>
            <w:r w:rsidRPr="008C34B9">
              <w:rPr>
                <w:rFonts w:eastAsia="Times New Roman"/>
                <w:i/>
                <w:sz w:val="26"/>
                <w:szCs w:val="26"/>
                <w:lang w:val="lv-LV"/>
              </w:rPr>
              <w:t>MK n</w:t>
            </w:r>
            <w:r w:rsidR="00FC5AC6" w:rsidRPr="008C34B9">
              <w:rPr>
                <w:rFonts w:eastAsia="Times New Roman"/>
                <w:i/>
                <w:sz w:val="26"/>
                <w:szCs w:val="26"/>
                <w:lang w:val="lv-LV"/>
              </w:rPr>
              <w:t xml:space="preserve">oteikumu projekta 2.punkts (ar ko groza MK noteikumu Nr.1065 </w:t>
            </w:r>
            <w:r w:rsidR="00FC5AC6" w:rsidRPr="008C34B9">
              <w:rPr>
                <w:i/>
                <w:sz w:val="26"/>
                <w:szCs w:val="26"/>
                <w:lang w:val="lv-LV"/>
              </w:rPr>
              <w:t>6.punktu</w:t>
            </w:r>
            <w:r w:rsidR="009637AA" w:rsidRPr="008C34B9">
              <w:rPr>
                <w:i/>
                <w:sz w:val="26"/>
                <w:szCs w:val="26"/>
                <w:lang w:val="lv-LV"/>
              </w:rPr>
              <w:t>)</w:t>
            </w:r>
            <w:r w:rsidR="00FC5AC6" w:rsidRPr="008C34B9">
              <w:rPr>
                <w:rFonts w:eastAsia="Times New Roman"/>
                <w:i/>
                <w:sz w:val="26"/>
                <w:szCs w:val="26"/>
                <w:lang w:val="lv-LV"/>
              </w:rPr>
              <w:t>.</w:t>
            </w:r>
          </w:p>
        </w:tc>
        <w:tc>
          <w:tcPr>
            <w:tcW w:w="2703" w:type="dxa"/>
            <w:hideMark/>
          </w:tcPr>
          <w:p w:rsidR="00196D43" w:rsidRPr="008C34B9" w:rsidRDefault="00196D43">
            <w:pPr>
              <w:pStyle w:val="naisf"/>
              <w:spacing w:before="0" w:after="0"/>
              <w:rPr>
                <w:i/>
                <w:sz w:val="26"/>
                <w:szCs w:val="26"/>
              </w:rPr>
            </w:pPr>
            <w:r w:rsidRPr="008C34B9">
              <w:rPr>
                <w:i/>
                <w:sz w:val="26"/>
                <w:szCs w:val="26"/>
              </w:rPr>
              <w:t>ieviesta pilnībā</w:t>
            </w:r>
          </w:p>
        </w:tc>
        <w:tc>
          <w:tcPr>
            <w:tcW w:w="2033" w:type="dxa"/>
            <w:hideMark/>
          </w:tcPr>
          <w:p w:rsidR="00196D43" w:rsidRPr="008C34B9" w:rsidRDefault="00196D43" w:rsidP="00236989">
            <w:pPr>
              <w:pStyle w:val="naisf"/>
              <w:spacing w:before="0" w:after="0"/>
              <w:ind w:firstLine="0"/>
              <w:rPr>
                <w:i/>
                <w:sz w:val="26"/>
                <w:szCs w:val="26"/>
              </w:rPr>
            </w:pPr>
            <w:r w:rsidRPr="008C34B9">
              <w:rPr>
                <w:i/>
                <w:sz w:val="26"/>
                <w:szCs w:val="26"/>
              </w:rPr>
              <w:t>neparedz stingrākas prasības</w:t>
            </w:r>
          </w:p>
        </w:tc>
      </w:tr>
      <w:tr w:rsidR="00FC5AC6" w:rsidRPr="00153E7C" w:rsidTr="002954D4">
        <w:trPr>
          <w:trHeight w:val="590"/>
          <w:tblCellSpacing w:w="0" w:type="dxa"/>
        </w:trPr>
        <w:tc>
          <w:tcPr>
            <w:tcW w:w="2003" w:type="dxa"/>
          </w:tcPr>
          <w:p w:rsidR="00FC5AC6" w:rsidRPr="008C34B9" w:rsidRDefault="00FC5AC6" w:rsidP="0035758A">
            <w:pPr>
              <w:jc w:val="both"/>
              <w:rPr>
                <w:i/>
                <w:sz w:val="26"/>
                <w:szCs w:val="26"/>
                <w:lang w:val="lv-LV"/>
              </w:rPr>
            </w:pPr>
            <w:r w:rsidRPr="008C34B9">
              <w:rPr>
                <w:rFonts w:eastAsia="Times New Roman"/>
                <w:i/>
                <w:sz w:val="26"/>
                <w:szCs w:val="26"/>
                <w:lang w:val="lv-LV" w:eastAsia="lv-LV"/>
              </w:rPr>
              <w:t>Regulas Nr.1535/2007 6.panta 3.punkts</w:t>
            </w:r>
          </w:p>
        </w:tc>
        <w:tc>
          <w:tcPr>
            <w:tcW w:w="2452" w:type="dxa"/>
          </w:tcPr>
          <w:p w:rsidR="00FC5AC6" w:rsidRPr="008C34B9" w:rsidRDefault="00E00806" w:rsidP="0035758A">
            <w:pPr>
              <w:jc w:val="both"/>
              <w:rPr>
                <w:rFonts w:eastAsia="Times New Roman"/>
                <w:i/>
                <w:sz w:val="26"/>
                <w:szCs w:val="26"/>
                <w:lang w:val="lv-LV"/>
              </w:rPr>
            </w:pPr>
            <w:r w:rsidRPr="008C34B9">
              <w:rPr>
                <w:rFonts w:eastAsia="Times New Roman"/>
                <w:i/>
                <w:sz w:val="26"/>
                <w:szCs w:val="26"/>
                <w:lang w:val="lv-LV"/>
              </w:rPr>
              <w:t>MK n</w:t>
            </w:r>
            <w:r w:rsidR="00FC5AC6" w:rsidRPr="008C34B9">
              <w:rPr>
                <w:rFonts w:eastAsia="Times New Roman"/>
                <w:i/>
                <w:sz w:val="26"/>
                <w:szCs w:val="26"/>
                <w:lang w:val="lv-LV"/>
              </w:rPr>
              <w:t xml:space="preserve">oteikumu projekta 2.punkts (ar ko groza MK noteikumu Nr.1065 </w:t>
            </w:r>
            <w:r w:rsidR="00FC5AC6" w:rsidRPr="008C34B9">
              <w:rPr>
                <w:i/>
                <w:sz w:val="26"/>
                <w:szCs w:val="26"/>
                <w:lang w:val="lv-LV"/>
              </w:rPr>
              <w:t>6.punktu</w:t>
            </w:r>
            <w:r w:rsidR="009637AA" w:rsidRPr="008C34B9">
              <w:rPr>
                <w:i/>
                <w:sz w:val="26"/>
                <w:szCs w:val="26"/>
                <w:lang w:val="lv-LV"/>
              </w:rPr>
              <w:t>)</w:t>
            </w:r>
            <w:r w:rsidR="00FC5AC6" w:rsidRPr="008C34B9">
              <w:rPr>
                <w:rFonts w:eastAsia="Times New Roman"/>
                <w:i/>
                <w:sz w:val="26"/>
                <w:szCs w:val="26"/>
                <w:lang w:val="lv-LV"/>
              </w:rPr>
              <w:t>.</w:t>
            </w:r>
          </w:p>
        </w:tc>
        <w:tc>
          <w:tcPr>
            <w:tcW w:w="2703" w:type="dxa"/>
          </w:tcPr>
          <w:p w:rsidR="00FC5AC6" w:rsidRPr="008C34B9" w:rsidRDefault="00FC5AC6" w:rsidP="0035758A">
            <w:pPr>
              <w:pStyle w:val="naisf"/>
              <w:spacing w:before="0" w:after="0"/>
              <w:rPr>
                <w:i/>
                <w:sz w:val="26"/>
                <w:szCs w:val="26"/>
              </w:rPr>
            </w:pPr>
            <w:r w:rsidRPr="008C34B9">
              <w:rPr>
                <w:i/>
                <w:sz w:val="26"/>
                <w:szCs w:val="26"/>
              </w:rPr>
              <w:t>ieviesta pilnībā</w:t>
            </w:r>
          </w:p>
        </w:tc>
        <w:tc>
          <w:tcPr>
            <w:tcW w:w="2033" w:type="dxa"/>
          </w:tcPr>
          <w:p w:rsidR="00FC5AC6" w:rsidRPr="008C34B9" w:rsidRDefault="00FC5AC6" w:rsidP="0035758A">
            <w:pPr>
              <w:pStyle w:val="naisf"/>
              <w:spacing w:before="0" w:after="0"/>
              <w:ind w:firstLine="0"/>
              <w:rPr>
                <w:i/>
                <w:sz w:val="26"/>
                <w:szCs w:val="26"/>
              </w:rPr>
            </w:pPr>
            <w:r w:rsidRPr="008C34B9">
              <w:rPr>
                <w:i/>
                <w:sz w:val="26"/>
                <w:szCs w:val="26"/>
              </w:rPr>
              <w:t>neparedz stingrākas prasības</w:t>
            </w:r>
          </w:p>
        </w:tc>
      </w:tr>
      <w:tr w:rsidR="00FC5AC6" w:rsidRPr="00153E7C" w:rsidTr="002954D4">
        <w:trPr>
          <w:trHeight w:val="590"/>
          <w:tblCellSpacing w:w="0" w:type="dxa"/>
        </w:trPr>
        <w:tc>
          <w:tcPr>
            <w:tcW w:w="2003" w:type="dxa"/>
          </w:tcPr>
          <w:p w:rsidR="00FC5AC6" w:rsidRPr="008C34B9" w:rsidRDefault="00FC5AC6" w:rsidP="00FC5AC6">
            <w:pPr>
              <w:jc w:val="both"/>
              <w:rPr>
                <w:i/>
                <w:sz w:val="26"/>
                <w:szCs w:val="26"/>
                <w:lang w:val="lv-LV"/>
              </w:rPr>
            </w:pPr>
            <w:r w:rsidRPr="008C34B9">
              <w:rPr>
                <w:rFonts w:eastAsia="Times New Roman"/>
                <w:i/>
                <w:sz w:val="26"/>
                <w:szCs w:val="26"/>
                <w:lang w:val="lv-LV" w:eastAsia="lv-LV"/>
              </w:rPr>
              <w:t>Regulas Nr.1857/2006  23.panta 3.punkts</w:t>
            </w:r>
          </w:p>
        </w:tc>
        <w:tc>
          <w:tcPr>
            <w:tcW w:w="2452" w:type="dxa"/>
          </w:tcPr>
          <w:p w:rsidR="00FC5AC6" w:rsidRPr="008C34B9" w:rsidRDefault="00E00806" w:rsidP="00D94B9B">
            <w:pPr>
              <w:jc w:val="both"/>
              <w:rPr>
                <w:rFonts w:eastAsia="Times New Roman"/>
                <w:i/>
                <w:sz w:val="26"/>
                <w:szCs w:val="26"/>
                <w:lang w:val="lv-LV"/>
              </w:rPr>
            </w:pPr>
            <w:r w:rsidRPr="008C34B9">
              <w:rPr>
                <w:rFonts w:eastAsia="Times New Roman"/>
                <w:i/>
                <w:sz w:val="26"/>
                <w:szCs w:val="26"/>
                <w:lang w:val="lv-LV"/>
              </w:rPr>
              <w:t>MK n</w:t>
            </w:r>
            <w:r w:rsidR="00FC5AC6" w:rsidRPr="008C34B9">
              <w:rPr>
                <w:rFonts w:eastAsia="Times New Roman"/>
                <w:i/>
                <w:sz w:val="26"/>
                <w:szCs w:val="26"/>
                <w:lang w:val="lv-LV"/>
              </w:rPr>
              <w:t xml:space="preserve">oteikumu projekta 2.punkts (ar ko groza MK noteikumu Nr.1065 </w:t>
            </w:r>
            <w:r w:rsidR="00FC5AC6" w:rsidRPr="008C34B9">
              <w:rPr>
                <w:i/>
                <w:sz w:val="26"/>
                <w:szCs w:val="26"/>
                <w:lang w:val="lv-LV"/>
              </w:rPr>
              <w:t>6.punktu</w:t>
            </w:r>
            <w:r w:rsidR="009637AA" w:rsidRPr="008C34B9">
              <w:rPr>
                <w:i/>
                <w:sz w:val="26"/>
                <w:szCs w:val="26"/>
                <w:lang w:val="lv-LV"/>
              </w:rPr>
              <w:t>)</w:t>
            </w:r>
            <w:r w:rsidR="00FC5AC6" w:rsidRPr="008C34B9">
              <w:rPr>
                <w:rFonts w:eastAsia="Times New Roman"/>
                <w:i/>
                <w:sz w:val="26"/>
                <w:szCs w:val="26"/>
                <w:lang w:val="lv-LV"/>
              </w:rPr>
              <w:t>.</w:t>
            </w:r>
          </w:p>
        </w:tc>
        <w:tc>
          <w:tcPr>
            <w:tcW w:w="2703" w:type="dxa"/>
          </w:tcPr>
          <w:p w:rsidR="00FC5AC6" w:rsidRPr="008C34B9" w:rsidRDefault="00FC5AC6" w:rsidP="009826FF">
            <w:pPr>
              <w:pStyle w:val="naisf"/>
              <w:spacing w:before="0" w:after="0"/>
              <w:rPr>
                <w:i/>
                <w:sz w:val="26"/>
                <w:szCs w:val="26"/>
              </w:rPr>
            </w:pPr>
            <w:r w:rsidRPr="008C34B9">
              <w:rPr>
                <w:i/>
                <w:sz w:val="26"/>
                <w:szCs w:val="26"/>
              </w:rPr>
              <w:t>ieviesta pilnībā</w:t>
            </w:r>
          </w:p>
        </w:tc>
        <w:tc>
          <w:tcPr>
            <w:tcW w:w="2033" w:type="dxa"/>
          </w:tcPr>
          <w:p w:rsidR="00FC5AC6" w:rsidRPr="008C34B9" w:rsidRDefault="00FC5AC6" w:rsidP="009826FF">
            <w:pPr>
              <w:pStyle w:val="naisf"/>
              <w:spacing w:before="0" w:after="0"/>
              <w:ind w:firstLine="0"/>
              <w:rPr>
                <w:i/>
                <w:sz w:val="26"/>
                <w:szCs w:val="26"/>
              </w:rPr>
            </w:pPr>
            <w:r w:rsidRPr="008C34B9">
              <w:rPr>
                <w:i/>
                <w:sz w:val="26"/>
                <w:szCs w:val="26"/>
              </w:rPr>
              <w:t>neparedz stingrākas prasības</w:t>
            </w:r>
          </w:p>
        </w:tc>
      </w:tr>
      <w:tr w:rsidR="00C27BB9" w:rsidRPr="00153E7C" w:rsidTr="00C27BB9">
        <w:trPr>
          <w:trHeight w:val="366"/>
          <w:tblCellSpacing w:w="0" w:type="dxa"/>
        </w:trPr>
        <w:tc>
          <w:tcPr>
            <w:tcW w:w="2003" w:type="dxa"/>
          </w:tcPr>
          <w:p w:rsidR="00C27BB9" w:rsidRPr="008C34B9" w:rsidRDefault="00C27BB9" w:rsidP="00831D5A">
            <w:pPr>
              <w:jc w:val="both"/>
              <w:rPr>
                <w:rFonts w:eastAsia="Times New Roman"/>
                <w:i/>
                <w:sz w:val="26"/>
                <w:szCs w:val="26"/>
                <w:lang w:val="lv-LV" w:eastAsia="lv-LV"/>
              </w:rPr>
            </w:pPr>
            <w:r w:rsidRPr="008C34B9">
              <w:rPr>
                <w:rFonts w:eastAsia="Times New Roman"/>
                <w:i/>
                <w:sz w:val="26"/>
                <w:szCs w:val="26"/>
                <w:lang w:val="lv-LV" w:eastAsia="lv-LV"/>
              </w:rPr>
              <w:t>Regulas Nr.1998/2006 3.panta 1.punkts</w:t>
            </w:r>
          </w:p>
        </w:tc>
        <w:tc>
          <w:tcPr>
            <w:tcW w:w="2452" w:type="dxa"/>
          </w:tcPr>
          <w:p w:rsidR="00C27BB9" w:rsidRPr="008C34B9" w:rsidRDefault="00C27BB9" w:rsidP="00831D5A">
            <w:pPr>
              <w:jc w:val="both"/>
              <w:rPr>
                <w:rFonts w:eastAsia="Times New Roman"/>
                <w:i/>
                <w:sz w:val="26"/>
                <w:szCs w:val="26"/>
                <w:lang w:val="lv-LV"/>
              </w:rPr>
            </w:pPr>
            <w:r w:rsidRPr="008C34B9">
              <w:rPr>
                <w:rFonts w:eastAsia="Times New Roman"/>
                <w:i/>
                <w:sz w:val="26"/>
                <w:szCs w:val="26"/>
                <w:lang w:val="lv-LV"/>
              </w:rPr>
              <w:t xml:space="preserve">MK noteikumu projekta 7.punkts (ar ko groza MK noteikumu Nr.1065 </w:t>
            </w:r>
            <w:r w:rsidRPr="008C34B9">
              <w:rPr>
                <w:i/>
                <w:sz w:val="26"/>
                <w:szCs w:val="26"/>
                <w:lang w:val="lv-LV"/>
              </w:rPr>
              <w:t>21.punktu).</w:t>
            </w:r>
          </w:p>
        </w:tc>
        <w:tc>
          <w:tcPr>
            <w:tcW w:w="2703" w:type="dxa"/>
          </w:tcPr>
          <w:p w:rsidR="00C27BB9" w:rsidRPr="008C34B9" w:rsidRDefault="00C27BB9" w:rsidP="00831D5A">
            <w:pPr>
              <w:pStyle w:val="naisf"/>
              <w:spacing w:before="0" w:after="0"/>
              <w:rPr>
                <w:i/>
                <w:sz w:val="26"/>
                <w:szCs w:val="26"/>
              </w:rPr>
            </w:pPr>
            <w:r w:rsidRPr="008C34B9">
              <w:rPr>
                <w:i/>
                <w:sz w:val="26"/>
                <w:szCs w:val="26"/>
              </w:rPr>
              <w:t>ieviesta pilnībā</w:t>
            </w:r>
          </w:p>
        </w:tc>
        <w:tc>
          <w:tcPr>
            <w:tcW w:w="2033" w:type="dxa"/>
          </w:tcPr>
          <w:p w:rsidR="00C27BB9" w:rsidRPr="008C34B9" w:rsidRDefault="00C27BB9" w:rsidP="00831D5A">
            <w:pPr>
              <w:pStyle w:val="naisf"/>
              <w:spacing w:before="0" w:after="0"/>
              <w:ind w:firstLine="0"/>
              <w:rPr>
                <w:i/>
                <w:sz w:val="26"/>
                <w:szCs w:val="26"/>
              </w:rPr>
            </w:pPr>
            <w:r w:rsidRPr="008C34B9">
              <w:rPr>
                <w:i/>
                <w:sz w:val="26"/>
                <w:szCs w:val="26"/>
              </w:rPr>
              <w:t>neparedz stingrākas prasības</w:t>
            </w:r>
          </w:p>
        </w:tc>
      </w:tr>
      <w:tr w:rsidR="00C27BB9" w:rsidRPr="00153E7C" w:rsidTr="00C27BB9">
        <w:trPr>
          <w:trHeight w:val="366"/>
          <w:tblCellSpacing w:w="0" w:type="dxa"/>
        </w:trPr>
        <w:tc>
          <w:tcPr>
            <w:tcW w:w="2003" w:type="dxa"/>
          </w:tcPr>
          <w:p w:rsidR="00C27BB9" w:rsidRPr="008C34B9" w:rsidRDefault="00C27BB9" w:rsidP="00FC5AC6">
            <w:pPr>
              <w:jc w:val="both"/>
              <w:rPr>
                <w:rFonts w:eastAsia="Times New Roman"/>
                <w:i/>
                <w:sz w:val="26"/>
                <w:szCs w:val="26"/>
                <w:lang w:val="lv-LV" w:eastAsia="lv-LV"/>
              </w:rPr>
            </w:pPr>
            <w:r w:rsidRPr="008C34B9">
              <w:rPr>
                <w:rFonts w:eastAsia="Times New Roman"/>
                <w:i/>
                <w:sz w:val="26"/>
                <w:szCs w:val="26"/>
                <w:lang w:val="lv-LV" w:eastAsia="lv-LV"/>
              </w:rPr>
              <w:lastRenderedPageBreak/>
              <w:t>Regulas Nr.1857/2006  4.panta 2.punkts</w:t>
            </w:r>
          </w:p>
        </w:tc>
        <w:tc>
          <w:tcPr>
            <w:tcW w:w="2452" w:type="dxa"/>
          </w:tcPr>
          <w:p w:rsidR="00C27BB9" w:rsidRPr="008C34B9" w:rsidRDefault="00C27BB9" w:rsidP="00D94B9B">
            <w:pPr>
              <w:jc w:val="both"/>
              <w:rPr>
                <w:rFonts w:eastAsia="Times New Roman"/>
                <w:i/>
                <w:sz w:val="26"/>
                <w:szCs w:val="26"/>
                <w:lang w:val="lv-LV"/>
              </w:rPr>
            </w:pPr>
            <w:r w:rsidRPr="008C34B9">
              <w:rPr>
                <w:rFonts w:eastAsia="Times New Roman"/>
                <w:i/>
                <w:sz w:val="26"/>
                <w:szCs w:val="26"/>
                <w:lang w:val="lv-LV"/>
              </w:rPr>
              <w:t xml:space="preserve">MK noteikumu projekta 11.punkts (ar ko groza MK noteikumu Nr.1065 </w:t>
            </w:r>
            <w:r w:rsidRPr="008C34B9">
              <w:rPr>
                <w:i/>
                <w:sz w:val="26"/>
                <w:szCs w:val="26"/>
                <w:lang w:val="lv-LV"/>
              </w:rPr>
              <w:t>29.2.punktu)</w:t>
            </w:r>
            <w:r w:rsidRPr="008C34B9">
              <w:rPr>
                <w:rFonts w:eastAsia="Times New Roman"/>
                <w:i/>
                <w:sz w:val="26"/>
                <w:szCs w:val="26"/>
                <w:lang w:val="lv-LV"/>
              </w:rPr>
              <w:t>.</w:t>
            </w:r>
          </w:p>
        </w:tc>
        <w:tc>
          <w:tcPr>
            <w:tcW w:w="2703" w:type="dxa"/>
          </w:tcPr>
          <w:p w:rsidR="00C27BB9" w:rsidRPr="008C34B9" w:rsidRDefault="00C27BB9" w:rsidP="0035758A">
            <w:pPr>
              <w:pStyle w:val="naisf"/>
              <w:spacing w:before="0" w:after="0"/>
              <w:rPr>
                <w:i/>
                <w:sz w:val="26"/>
                <w:szCs w:val="26"/>
              </w:rPr>
            </w:pPr>
            <w:r w:rsidRPr="008C34B9">
              <w:rPr>
                <w:i/>
                <w:sz w:val="26"/>
                <w:szCs w:val="26"/>
              </w:rPr>
              <w:t>ieviesta pilnībā</w:t>
            </w:r>
          </w:p>
        </w:tc>
        <w:tc>
          <w:tcPr>
            <w:tcW w:w="2033" w:type="dxa"/>
          </w:tcPr>
          <w:p w:rsidR="00C27BB9" w:rsidRPr="008C34B9" w:rsidRDefault="00C27BB9" w:rsidP="0035758A">
            <w:pPr>
              <w:pStyle w:val="naisf"/>
              <w:spacing w:before="0" w:after="0"/>
              <w:ind w:firstLine="0"/>
              <w:rPr>
                <w:i/>
                <w:sz w:val="26"/>
                <w:szCs w:val="26"/>
              </w:rPr>
            </w:pPr>
            <w:r w:rsidRPr="008C34B9">
              <w:rPr>
                <w:i/>
                <w:sz w:val="26"/>
                <w:szCs w:val="26"/>
              </w:rPr>
              <w:t>neparedz stingrākas prasības</w:t>
            </w:r>
          </w:p>
        </w:tc>
      </w:tr>
      <w:tr w:rsidR="00C27BB9" w:rsidRPr="00153E7C" w:rsidTr="002954D4">
        <w:trPr>
          <w:trHeight w:val="590"/>
          <w:tblCellSpacing w:w="0" w:type="dxa"/>
        </w:trPr>
        <w:tc>
          <w:tcPr>
            <w:tcW w:w="2003" w:type="dxa"/>
          </w:tcPr>
          <w:p w:rsidR="00C27BB9" w:rsidRPr="008C34B9" w:rsidRDefault="00C27BB9" w:rsidP="00831D5A">
            <w:pPr>
              <w:jc w:val="both"/>
              <w:rPr>
                <w:rFonts w:eastAsia="Times New Roman"/>
                <w:i/>
                <w:sz w:val="26"/>
                <w:szCs w:val="26"/>
                <w:lang w:val="lv-LV" w:eastAsia="lv-LV"/>
              </w:rPr>
            </w:pPr>
            <w:r w:rsidRPr="008C34B9">
              <w:rPr>
                <w:rFonts w:eastAsia="Times New Roman"/>
                <w:i/>
                <w:sz w:val="26"/>
                <w:szCs w:val="26"/>
                <w:lang w:val="lv-LV" w:eastAsia="lv-LV"/>
              </w:rPr>
              <w:t>Regulas Nr.1998/2006 2.panta 2.punkts</w:t>
            </w:r>
          </w:p>
        </w:tc>
        <w:tc>
          <w:tcPr>
            <w:tcW w:w="2452" w:type="dxa"/>
          </w:tcPr>
          <w:p w:rsidR="00C27BB9" w:rsidRPr="008C34B9" w:rsidRDefault="00C27BB9" w:rsidP="00831D5A">
            <w:pPr>
              <w:jc w:val="both"/>
              <w:rPr>
                <w:rFonts w:eastAsia="Times New Roman"/>
                <w:i/>
                <w:sz w:val="26"/>
                <w:szCs w:val="26"/>
                <w:lang w:val="lv-LV"/>
              </w:rPr>
            </w:pPr>
            <w:r w:rsidRPr="008C34B9">
              <w:rPr>
                <w:rFonts w:eastAsia="Times New Roman"/>
                <w:i/>
                <w:sz w:val="26"/>
                <w:szCs w:val="26"/>
                <w:lang w:val="lv-LV"/>
              </w:rPr>
              <w:t xml:space="preserve">MK noteikumu projekta 11.punkts (ar ko groza MK noteikumu Nr.1065 </w:t>
            </w:r>
            <w:r w:rsidRPr="008C34B9">
              <w:rPr>
                <w:i/>
                <w:sz w:val="26"/>
                <w:szCs w:val="26"/>
                <w:lang w:val="lv-LV"/>
              </w:rPr>
              <w:t>29.1.punktu</w:t>
            </w:r>
          </w:p>
        </w:tc>
        <w:tc>
          <w:tcPr>
            <w:tcW w:w="2703" w:type="dxa"/>
          </w:tcPr>
          <w:p w:rsidR="00C27BB9" w:rsidRPr="008C34B9" w:rsidRDefault="00C27BB9" w:rsidP="00831D5A">
            <w:pPr>
              <w:pStyle w:val="naisf"/>
              <w:spacing w:before="0" w:after="0"/>
              <w:rPr>
                <w:i/>
                <w:sz w:val="26"/>
                <w:szCs w:val="26"/>
              </w:rPr>
            </w:pPr>
            <w:r w:rsidRPr="008C34B9">
              <w:rPr>
                <w:i/>
                <w:sz w:val="26"/>
                <w:szCs w:val="26"/>
              </w:rPr>
              <w:t>ieviesta pilnībā</w:t>
            </w:r>
          </w:p>
        </w:tc>
        <w:tc>
          <w:tcPr>
            <w:tcW w:w="2033" w:type="dxa"/>
          </w:tcPr>
          <w:p w:rsidR="00C27BB9" w:rsidRPr="008C34B9" w:rsidRDefault="00C27BB9" w:rsidP="00831D5A">
            <w:pPr>
              <w:pStyle w:val="naisf"/>
              <w:spacing w:before="0" w:after="0"/>
              <w:ind w:firstLine="0"/>
              <w:rPr>
                <w:i/>
                <w:sz w:val="26"/>
                <w:szCs w:val="26"/>
              </w:rPr>
            </w:pPr>
            <w:r w:rsidRPr="008C34B9">
              <w:rPr>
                <w:i/>
                <w:sz w:val="26"/>
                <w:szCs w:val="26"/>
              </w:rPr>
              <w:t>neparedz stingrākas prasības</w:t>
            </w:r>
          </w:p>
        </w:tc>
      </w:tr>
      <w:tr w:rsidR="00C27BB9" w:rsidRPr="00153E7C" w:rsidTr="002954D4">
        <w:trPr>
          <w:trHeight w:val="590"/>
          <w:tblCellSpacing w:w="0" w:type="dxa"/>
        </w:trPr>
        <w:tc>
          <w:tcPr>
            <w:tcW w:w="2003" w:type="dxa"/>
          </w:tcPr>
          <w:p w:rsidR="00C27BB9" w:rsidRPr="008C34B9" w:rsidRDefault="00C27BB9" w:rsidP="00FC5AC6">
            <w:pPr>
              <w:jc w:val="both"/>
              <w:rPr>
                <w:rFonts w:eastAsia="Times New Roman"/>
                <w:i/>
                <w:sz w:val="26"/>
                <w:szCs w:val="26"/>
                <w:lang w:val="lv-LV" w:eastAsia="lv-LV"/>
              </w:rPr>
            </w:pPr>
            <w:r w:rsidRPr="00591F1C">
              <w:rPr>
                <w:rFonts w:eastAsia="Times New Roman"/>
                <w:i/>
                <w:sz w:val="26"/>
                <w:szCs w:val="26"/>
                <w:lang w:val="lv-LV" w:eastAsia="lv-LV"/>
              </w:rPr>
              <w:t>Komisijas Regulas</w:t>
            </w:r>
            <w:r>
              <w:rPr>
                <w:rFonts w:eastAsia="Times New Roman"/>
                <w:i/>
                <w:sz w:val="26"/>
                <w:szCs w:val="26"/>
                <w:lang w:val="lv-LV" w:eastAsia="lv-LV"/>
              </w:rPr>
              <w:t xml:space="preserve"> Nr.1998/2006 2.panta 5. punkts</w:t>
            </w:r>
          </w:p>
        </w:tc>
        <w:tc>
          <w:tcPr>
            <w:tcW w:w="2452" w:type="dxa"/>
          </w:tcPr>
          <w:p w:rsidR="00C27BB9" w:rsidRPr="008C34B9" w:rsidRDefault="00C27BB9" w:rsidP="00D94B9B">
            <w:pPr>
              <w:jc w:val="both"/>
              <w:rPr>
                <w:rFonts w:eastAsia="Times New Roman"/>
                <w:i/>
                <w:sz w:val="26"/>
                <w:szCs w:val="26"/>
                <w:lang w:val="lv-LV"/>
              </w:rPr>
            </w:pPr>
            <w:r>
              <w:rPr>
                <w:rFonts w:eastAsia="Times New Roman"/>
                <w:i/>
                <w:sz w:val="26"/>
                <w:szCs w:val="26"/>
                <w:lang w:val="lv-LV"/>
              </w:rPr>
              <w:t>MK noteikumu projekta 15</w:t>
            </w:r>
            <w:r w:rsidRPr="008C34B9">
              <w:rPr>
                <w:rFonts w:eastAsia="Times New Roman"/>
                <w:i/>
                <w:sz w:val="26"/>
                <w:szCs w:val="26"/>
                <w:lang w:val="lv-LV"/>
              </w:rPr>
              <w:t xml:space="preserve">.punkts (ar ko groza MK noteikumu Nr.1065 </w:t>
            </w:r>
            <w:r>
              <w:rPr>
                <w:i/>
                <w:sz w:val="26"/>
                <w:szCs w:val="26"/>
                <w:lang w:val="lv-LV"/>
              </w:rPr>
              <w:t>34</w:t>
            </w:r>
            <w:r w:rsidRPr="008C34B9">
              <w:rPr>
                <w:i/>
                <w:sz w:val="26"/>
                <w:szCs w:val="26"/>
                <w:lang w:val="lv-LV"/>
              </w:rPr>
              <w:t>.punktu).</w:t>
            </w:r>
          </w:p>
        </w:tc>
        <w:tc>
          <w:tcPr>
            <w:tcW w:w="2703" w:type="dxa"/>
          </w:tcPr>
          <w:p w:rsidR="00C27BB9" w:rsidRPr="008C34B9" w:rsidRDefault="00C27BB9" w:rsidP="0035758A">
            <w:pPr>
              <w:pStyle w:val="naisf"/>
              <w:spacing w:before="0" w:after="0"/>
              <w:rPr>
                <w:i/>
                <w:sz w:val="26"/>
                <w:szCs w:val="26"/>
              </w:rPr>
            </w:pPr>
            <w:r w:rsidRPr="008C34B9">
              <w:rPr>
                <w:i/>
                <w:sz w:val="26"/>
                <w:szCs w:val="26"/>
              </w:rPr>
              <w:t>ieviesta pilnībā</w:t>
            </w:r>
          </w:p>
        </w:tc>
        <w:tc>
          <w:tcPr>
            <w:tcW w:w="2033" w:type="dxa"/>
          </w:tcPr>
          <w:p w:rsidR="00C27BB9" w:rsidRPr="008C34B9" w:rsidRDefault="00C27BB9" w:rsidP="0035758A">
            <w:pPr>
              <w:pStyle w:val="naisf"/>
              <w:spacing w:before="0" w:after="0"/>
              <w:ind w:firstLine="0"/>
              <w:rPr>
                <w:i/>
                <w:sz w:val="26"/>
                <w:szCs w:val="26"/>
              </w:rPr>
            </w:pPr>
            <w:r w:rsidRPr="008C34B9">
              <w:rPr>
                <w:i/>
                <w:sz w:val="26"/>
                <w:szCs w:val="26"/>
              </w:rPr>
              <w:t>neparedz stingrākas prasības</w:t>
            </w:r>
          </w:p>
        </w:tc>
      </w:tr>
      <w:tr w:rsidR="00C27BB9" w:rsidRPr="00153E7C" w:rsidTr="0034794E">
        <w:trPr>
          <w:trHeight w:val="282"/>
          <w:tblCellSpacing w:w="0" w:type="dxa"/>
        </w:trPr>
        <w:tc>
          <w:tcPr>
            <w:tcW w:w="2003" w:type="dxa"/>
            <w:vAlign w:val="center"/>
            <w:hideMark/>
          </w:tcPr>
          <w:p w:rsidR="00C27BB9" w:rsidRPr="00FA59B7" w:rsidRDefault="00C27BB9" w:rsidP="0034794E">
            <w:pPr>
              <w:rPr>
                <w:rFonts w:eastAsia="Times New Roman"/>
                <w:sz w:val="26"/>
                <w:szCs w:val="26"/>
                <w:lang w:val="lv-LV" w:eastAsia="lv-LV"/>
              </w:rPr>
            </w:pPr>
            <w:r w:rsidRPr="00FA59B7">
              <w:rPr>
                <w:rFonts w:eastAsia="Times New Roman"/>
                <w:sz w:val="26"/>
                <w:szCs w:val="26"/>
                <w:lang w:val="lv-LV" w:eastAsia="lv-LV"/>
              </w:rPr>
              <w:t>Kā ir izmantota ES tiesību aktā paredzētā rīcības brīvība dalībvalstij pārņemt vai ieviest noteiktas ES tiesību akta normas.</w:t>
            </w:r>
          </w:p>
          <w:p w:rsidR="00C27BB9" w:rsidRPr="00FA59B7" w:rsidRDefault="00C27BB9" w:rsidP="0034794E">
            <w:pPr>
              <w:rPr>
                <w:rFonts w:eastAsia="Times New Roman"/>
                <w:sz w:val="26"/>
                <w:szCs w:val="26"/>
                <w:lang w:val="lv-LV" w:eastAsia="lv-LV"/>
              </w:rPr>
            </w:pPr>
            <w:r w:rsidRPr="00FA59B7">
              <w:rPr>
                <w:rFonts w:eastAsia="Times New Roman"/>
                <w:sz w:val="26"/>
                <w:szCs w:val="26"/>
                <w:lang w:val="lv-LV" w:eastAsia="lv-LV"/>
              </w:rPr>
              <w:t>Kādēļ?</w:t>
            </w:r>
          </w:p>
        </w:tc>
        <w:tc>
          <w:tcPr>
            <w:tcW w:w="7188" w:type="dxa"/>
            <w:gridSpan w:val="3"/>
            <w:hideMark/>
          </w:tcPr>
          <w:p w:rsidR="00C27BB9" w:rsidRPr="00FA59B7" w:rsidRDefault="00C27BB9" w:rsidP="0034794E">
            <w:pPr>
              <w:rPr>
                <w:rFonts w:eastAsia="Times New Roman"/>
                <w:sz w:val="26"/>
                <w:szCs w:val="26"/>
                <w:lang w:val="lv-LV" w:eastAsia="lv-LV"/>
              </w:rPr>
            </w:pPr>
            <w:r w:rsidRPr="00FA59B7">
              <w:rPr>
                <w:rFonts w:eastAsia="Times New Roman"/>
                <w:sz w:val="26"/>
                <w:szCs w:val="26"/>
                <w:lang w:val="lv-LV" w:eastAsia="lv-LV"/>
              </w:rPr>
              <w:t> Projekts šo jomu neskar.</w:t>
            </w:r>
          </w:p>
        </w:tc>
      </w:tr>
      <w:tr w:rsidR="00C27BB9" w:rsidRPr="00153E7C" w:rsidTr="0034794E">
        <w:trPr>
          <w:trHeight w:val="916"/>
          <w:tblCellSpacing w:w="0" w:type="dxa"/>
        </w:trPr>
        <w:tc>
          <w:tcPr>
            <w:tcW w:w="2003" w:type="dxa"/>
            <w:vAlign w:val="center"/>
            <w:hideMark/>
          </w:tcPr>
          <w:p w:rsidR="00C27BB9" w:rsidRPr="00FA59B7" w:rsidRDefault="00C27BB9" w:rsidP="0034794E">
            <w:pPr>
              <w:rPr>
                <w:rFonts w:eastAsia="Times New Roman"/>
                <w:sz w:val="26"/>
                <w:szCs w:val="26"/>
                <w:lang w:val="lv-LV" w:eastAsia="lv-LV"/>
              </w:rPr>
            </w:pPr>
            <w:r w:rsidRPr="00FA59B7">
              <w:rPr>
                <w:rFonts w:eastAsia="Times New Roman"/>
                <w:sz w:val="26"/>
                <w:szCs w:val="26"/>
                <w:lang w:val="lv-LV" w:eastAsia="lv-LV"/>
              </w:rPr>
              <w:t xml:space="preserve">Saistības sniegt paziņojumu ES institūcijām un ES dalībvalstīm atbilstoši normatīvajiem aktiem, kas regulē informācijas sniegšanu par tehnisko noteikumu, valsts atbalsta piešķiršanas un finanšu </w:t>
            </w:r>
            <w:r w:rsidRPr="00FA59B7">
              <w:rPr>
                <w:rFonts w:eastAsia="Times New Roman"/>
                <w:sz w:val="26"/>
                <w:szCs w:val="26"/>
                <w:lang w:val="lv-LV" w:eastAsia="lv-LV"/>
              </w:rPr>
              <w:lastRenderedPageBreak/>
              <w:t>noteikumu (attiecībā uz monetāro politiku) projektiem</w:t>
            </w:r>
          </w:p>
        </w:tc>
        <w:tc>
          <w:tcPr>
            <w:tcW w:w="7188" w:type="dxa"/>
            <w:gridSpan w:val="3"/>
            <w:hideMark/>
          </w:tcPr>
          <w:p w:rsidR="00C27BB9" w:rsidRPr="00EA0986" w:rsidRDefault="00C27BB9" w:rsidP="00B526DC">
            <w:pPr>
              <w:jc w:val="both"/>
              <w:rPr>
                <w:sz w:val="26"/>
                <w:szCs w:val="26"/>
                <w:lang w:val="lv-LV" w:eastAsia="lv-LV"/>
              </w:rPr>
            </w:pPr>
            <w:r w:rsidRPr="00EA0986">
              <w:rPr>
                <w:sz w:val="26"/>
                <w:szCs w:val="26"/>
                <w:lang w:val="lv-LV" w:eastAsia="lv-LV"/>
              </w:rPr>
              <w:lastRenderedPageBreak/>
              <w:t xml:space="preserve">. </w:t>
            </w:r>
          </w:p>
          <w:p w:rsidR="00C27BB9" w:rsidRPr="00FA59B7" w:rsidRDefault="00C27BB9" w:rsidP="0034794E">
            <w:pPr>
              <w:jc w:val="both"/>
              <w:rPr>
                <w:rFonts w:eastAsia="Times New Roman"/>
                <w:sz w:val="26"/>
                <w:szCs w:val="26"/>
                <w:lang w:val="lv-LV" w:eastAsia="lv-LV"/>
              </w:rPr>
            </w:pPr>
          </w:p>
        </w:tc>
      </w:tr>
      <w:tr w:rsidR="00C27BB9" w:rsidRPr="00153E7C" w:rsidTr="00742BAF">
        <w:trPr>
          <w:trHeight w:val="447"/>
          <w:tblCellSpacing w:w="0" w:type="dxa"/>
        </w:trPr>
        <w:tc>
          <w:tcPr>
            <w:tcW w:w="2003" w:type="dxa"/>
            <w:hideMark/>
          </w:tcPr>
          <w:p w:rsidR="00C27BB9" w:rsidRPr="00153E7C" w:rsidRDefault="00C27BB9" w:rsidP="0034794E">
            <w:pPr>
              <w:rPr>
                <w:rFonts w:eastAsia="Times New Roman"/>
                <w:sz w:val="26"/>
                <w:szCs w:val="26"/>
                <w:lang w:val="lv-LV" w:eastAsia="lv-LV"/>
              </w:rPr>
            </w:pPr>
            <w:r w:rsidRPr="00153E7C">
              <w:rPr>
                <w:rFonts w:eastAsia="Times New Roman"/>
                <w:sz w:val="26"/>
                <w:szCs w:val="26"/>
                <w:lang w:val="lv-LV" w:eastAsia="lv-LV"/>
              </w:rPr>
              <w:lastRenderedPageBreak/>
              <w:t> Cita informācija</w:t>
            </w:r>
          </w:p>
        </w:tc>
        <w:tc>
          <w:tcPr>
            <w:tcW w:w="7188" w:type="dxa"/>
            <w:gridSpan w:val="3"/>
            <w:hideMark/>
          </w:tcPr>
          <w:p w:rsidR="00C27BB9" w:rsidRPr="00153E7C" w:rsidRDefault="00C27BB9" w:rsidP="0034794E">
            <w:pPr>
              <w:rPr>
                <w:rFonts w:eastAsia="Times New Roman"/>
                <w:sz w:val="26"/>
                <w:szCs w:val="26"/>
                <w:lang w:val="lv-LV" w:eastAsia="lv-LV"/>
              </w:rPr>
            </w:pPr>
            <w:r w:rsidRPr="00153E7C">
              <w:rPr>
                <w:rFonts w:eastAsia="Times New Roman"/>
                <w:sz w:val="26"/>
                <w:szCs w:val="26"/>
                <w:lang w:val="lv-LV" w:eastAsia="lv-LV"/>
              </w:rPr>
              <w:t> </w:t>
            </w:r>
            <w:r w:rsidRPr="00153E7C">
              <w:rPr>
                <w:sz w:val="26"/>
                <w:szCs w:val="26"/>
                <w:lang w:val="lv-LV"/>
              </w:rPr>
              <w:t>Nav.</w:t>
            </w:r>
          </w:p>
        </w:tc>
      </w:tr>
    </w:tbl>
    <w:p w:rsidR="00C9779A" w:rsidRPr="00C27BB9" w:rsidRDefault="00C9779A" w:rsidP="00C9779A">
      <w:pPr>
        <w:ind w:firstLine="468"/>
        <w:jc w:val="both"/>
        <w:rPr>
          <w:rFonts w:eastAsia="Times New Roman"/>
          <w:sz w:val="16"/>
          <w:szCs w:val="16"/>
          <w:lang w:val="lv-LV" w:eastAsia="lv-LV"/>
        </w:rPr>
      </w:pPr>
      <w:r w:rsidRPr="00153E7C">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C9779A" w:rsidRPr="00153E7C" w:rsidTr="0034794E">
        <w:trPr>
          <w:trHeight w:val="796"/>
          <w:tblCellSpacing w:w="0" w:type="dxa"/>
        </w:trPr>
        <w:tc>
          <w:tcPr>
            <w:tcW w:w="9115" w:type="dxa"/>
            <w:gridSpan w:val="4"/>
            <w:vAlign w:val="center"/>
            <w:hideMark/>
          </w:tcPr>
          <w:p w:rsidR="00C9779A" w:rsidRPr="00153E7C" w:rsidRDefault="00C9779A" w:rsidP="0034794E">
            <w:pPr>
              <w:jc w:val="center"/>
              <w:rPr>
                <w:rFonts w:eastAsia="Times New Roman"/>
                <w:b/>
                <w:bCs/>
                <w:sz w:val="26"/>
                <w:szCs w:val="26"/>
                <w:lang w:val="lv-LV"/>
              </w:rPr>
            </w:pPr>
            <w:r w:rsidRPr="00153E7C">
              <w:rPr>
                <w:rFonts w:eastAsia="Times New Roman"/>
                <w:b/>
                <w:bCs/>
                <w:sz w:val="26"/>
                <w:szCs w:val="26"/>
                <w:lang w:val="lv-LV"/>
              </w:rPr>
              <w:t> 2.tabula</w:t>
            </w:r>
          </w:p>
          <w:p w:rsidR="00C9779A" w:rsidRPr="00153E7C" w:rsidRDefault="00C9779A" w:rsidP="0034794E">
            <w:pPr>
              <w:jc w:val="center"/>
              <w:rPr>
                <w:rFonts w:eastAsia="Times New Roman"/>
                <w:b/>
                <w:bCs/>
                <w:sz w:val="26"/>
                <w:szCs w:val="26"/>
                <w:lang w:val="lv-LV"/>
              </w:rPr>
            </w:pPr>
            <w:r w:rsidRPr="00153E7C">
              <w:rPr>
                <w:rFonts w:eastAsia="Times New Roman"/>
                <w:b/>
                <w:bCs/>
                <w:sz w:val="26"/>
                <w:szCs w:val="26"/>
                <w:lang w:val="lv-LV"/>
              </w:rPr>
              <w:t>Ar tiesību akta projektu uzņemtās saistības, kas izriet no starptautiskajiem tiesību aktiem vai starptautiskas institūcijas vai organizācijas dokumentiem</w:t>
            </w:r>
          </w:p>
          <w:p w:rsidR="00C9779A" w:rsidRPr="00153E7C" w:rsidRDefault="00C9779A" w:rsidP="0034794E">
            <w:pPr>
              <w:jc w:val="center"/>
              <w:rPr>
                <w:rFonts w:eastAsia="Times New Roman"/>
                <w:b/>
                <w:bCs/>
                <w:sz w:val="26"/>
                <w:szCs w:val="26"/>
                <w:lang w:val="lv-LV"/>
              </w:rPr>
            </w:pPr>
            <w:r w:rsidRPr="00153E7C">
              <w:rPr>
                <w:rFonts w:eastAsia="Times New Roman"/>
                <w:b/>
                <w:bCs/>
                <w:sz w:val="26"/>
                <w:szCs w:val="26"/>
                <w:lang w:val="lv-LV"/>
              </w:rPr>
              <w:t>Pasākumi šo saistību izpildei</w:t>
            </w:r>
          </w:p>
        </w:tc>
      </w:tr>
      <w:tr w:rsidR="00C9779A" w:rsidRPr="00153E7C" w:rsidTr="0034794E">
        <w:trPr>
          <w:trHeight w:val="1845"/>
          <w:tblCellSpacing w:w="0" w:type="dxa"/>
        </w:trPr>
        <w:tc>
          <w:tcPr>
            <w:tcW w:w="3594" w:type="dxa"/>
            <w:gridSpan w:val="2"/>
            <w:vAlign w:val="center"/>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Attiecīgā starptautiskā tiesību akta vai starptautiskas institūcijas vai organizācijas dokumenta (turpmāk – starptautiskais dokuments) datums, numurs un nosaukums</w:t>
            </w:r>
          </w:p>
        </w:tc>
        <w:tc>
          <w:tcPr>
            <w:tcW w:w="5521" w:type="dxa"/>
            <w:gridSpan w:val="2"/>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p w:rsidR="00B84C4B" w:rsidRPr="00153E7C" w:rsidRDefault="00B84C4B" w:rsidP="0034794E">
            <w:pPr>
              <w:rPr>
                <w:rFonts w:eastAsia="Times New Roman"/>
                <w:sz w:val="26"/>
                <w:szCs w:val="26"/>
                <w:lang w:val="lv-LV"/>
              </w:rPr>
            </w:pPr>
          </w:p>
          <w:p w:rsidR="00B84C4B" w:rsidRPr="00153E7C" w:rsidRDefault="00B84C4B" w:rsidP="0034794E">
            <w:pPr>
              <w:rPr>
                <w:rFonts w:eastAsia="Times New Roman"/>
                <w:sz w:val="26"/>
                <w:szCs w:val="26"/>
                <w:lang w:val="lv-LV"/>
              </w:rPr>
            </w:pPr>
          </w:p>
        </w:tc>
      </w:tr>
      <w:tr w:rsidR="00C9779A" w:rsidRPr="00153E7C" w:rsidTr="0034794E">
        <w:trPr>
          <w:trHeight w:val="343"/>
          <w:tblCellSpacing w:w="0" w:type="dxa"/>
        </w:trPr>
        <w:tc>
          <w:tcPr>
            <w:tcW w:w="2602" w:type="dxa"/>
            <w:vAlign w:val="center"/>
            <w:hideMark/>
          </w:tcPr>
          <w:p w:rsidR="00C9779A" w:rsidRPr="00153E7C" w:rsidRDefault="00C9779A" w:rsidP="0034794E">
            <w:pPr>
              <w:jc w:val="center"/>
              <w:rPr>
                <w:rFonts w:eastAsia="Times New Roman"/>
                <w:sz w:val="26"/>
                <w:szCs w:val="26"/>
                <w:lang w:val="lv-LV"/>
              </w:rPr>
            </w:pPr>
            <w:r w:rsidRPr="00153E7C">
              <w:rPr>
                <w:rFonts w:eastAsia="Times New Roman"/>
                <w:sz w:val="26"/>
                <w:szCs w:val="26"/>
                <w:lang w:val="lv-LV"/>
              </w:rPr>
              <w:t> A</w:t>
            </w:r>
          </w:p>
        </w:tc>
        <w:tc>
          <w:tcPr>
            <w:tcW w:w="2599" w:type="dxa"/>
            <w:gridSpan w:val="2"/>
            <w:vAlign w:val="center"/>
            <w:hideMark/>
          </w:tcPr>
          <w:p w:rsidR="00C9779A" w:rsidRPr="00153E7C" w:rsidRDefault="00C9779A" w:rsidP="0034794E">
            <w:pPr>
              <w:jc w:val="center"/>
              <w:rPr>
                <w:rFonts w:eastAsia="Times New Roman"/>
                <w:sz w:val="26"/>
                <w:szCs w:val="26"/>
                <w:lang w:val="lv-LV"/>
              </w:rPr>
            </w:pPr>
            <w:r w:rsidRPr="00153E7C">
              <w:rPr>
                <w:rFonts w:eastAsia="Times New Roman"/>
                <w:sz w:val="26"/>
                <w:szCs w:val="26"/>
                <w:lang w:val="lv-LV"/>
              </w:rPr>
              <w:t> B</w:t>
            </w:r>
          </w:p>
        </w:tc>
        <w:tc>
          <w:tcPr>
            <w:tcW w:w="3914" w:type="dxa"/>
            <w:vAlign w:val="center"/>
            <w:hideMark/>
          </w:tcPr>
          <w:p w:rsidR="00C9779A" w:rsidRPr="00153E7C" w:rsidRDefault="00C9779A" w:rsidP="0034794E">
            <w:pPr>
              <w:jc w:val="center"/>
              <w:rPr>
                <w:rFonts w:eastAsia="Times New Roman"/>
                <w:sz w:val="26"/>
                <w:szCs w:val="26"/>
                <w:lang w:val="lv-LV"/>
              </w:rPr>
            </w:pPr>
            <w:r w:rsidRPr="00153E7C">
              <w:rPr>
                <w:rFonts w:eastAsia="Times New Roman"/>
                <w:sz w:val="26"/>
                <w:szCs w:val="26"/>
                <w:lang w:val="lv-LV"/>
              </w:rPr>
              <w:t> C</w:t>
            </w:r>
          </w:p>
        </w:tc>
      </w:tr>
      <w:tr w:rsidR="00C9779A" w:rsidRPr="00153E7C" w:rsidTr="0034794E">
        <w:trPr>
          <w:trHeight w:val="1512"/>
          <w:tblCellSpacing w:w="0" w:type="dxa"/>
        </w:trPr>
        <w:tc>
          <w:tcPr>
            <w:tcW w:w="2602" w:type="dxa"/>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 Starptautiskās saistības (pēc būtības), kas izriet no norādītā starptautiskā dokumenta.</w:t>
            </w:r>
          </w:p>
          <w:p w:rsidR="00C9779A" w:rsidRPr="00153E7C" w:rsidRDefault="00C9779A" w:rsidP="0034794E">
            <w:pPr>
              <w:rPr>
                <w:rFonts w:eastAsia="Times New Roman"/>
                <w:sz w:val="26"/>
                <w:szCs w:val="26"/>
                <w:lang w:val="lv-LV"/>
              </w:rPr>
            </w:pPr>
            <w:r w:rsidRPr="00153E7C">
              <w:rPr>
                <w:rFonts w:eastAsia="Times New Roman"/>
                <w:sz w:val="26"/>
                <w:szCs w:val="26"/>
                <w:lang w:val="lv-LV"/>
              </w:rPr>
              <w:t> </w:t>
            </w:r>
          </w:p>
          <w:p w:rsidR="00C9779A" w:rsidRPr="00153E7C" w:rsidRDefault="00C9779A" w:rsidP="0034794E">
            <w:pPr>
              <w:rPr>
                <w:rFonts w:eastAsia="Times New Roman"/>
                <w:sz w:val="26"/>
                <w:szCs w:val="26"/>
                <w:lang w:val="lv-LV"/>
              </w:rPr>
            </w:pPr>
            <w:r w:rsidRPr="00153E7C">
              <w:rPr>
                <w:rFonts w:eastAsia="Times New Roman"/>
                <w:sz w:val="26"/>
                <w:szCs w:val="26"/>
                <w:lang w:val="lv-LV"/>
              </w:rPr>
              <w:t>Konkrēti veicamie pasākumi vai uzdevumi, kas nepieciešami šo starptautisko saistību izpildei</w:t>
            </w:r>
          </w:p>
        </w:tc>
        <w:tc>
          <w:tcPr>
            <w:tcW w:w="2599" w:type="dxa"/>
            <w:gridSpan w:val="2"/>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Ja pasākumi vai uzdevumi, ar ko tiks izpildītas starptautiskās saistības, tiek noteikti projektā, norāda attiecīgo projekta vienību.</w:t>
            </w:r>
          </w:p>
          <w:p w:rsidR="00C9779A" w:rsidRPr="00153E7C" w:rsidRDefault="00C9779A" w:rsidP="0034794E">
            <w:pPr>
              <w:rPr>
                <w:rFonts w:eastAsia="Times New Roman"/>
                <w:sz w:val="26"/>
                <w:szCs w:val="26"/>
                <w:lang w:val="lv-LV"/>
              </w:rPr>
            </w:pPr>
            <w:r w:rsidRPr="00153E7C">
              <w:rPr>
                <w:rFonts w:eastAsia="Times New Roman"/>
                <w:sz w:val="26"/>
                <w:szCs w:val="26"/>
                <w:lang w:val="lv-LV"/>
              </w:rPr>
              <w:t> </w:t>
            </w:r>
          </w:p>
          <w:p w:rsidR="00C9779A" w:rsidRPr="00153E7C" w:rsidRDefault="00C9779A" w:rsidP="0034794E">
            <w:pPr>
              <w:rPr>
                <w:rFonts w:eastAsia="Times New Roman"/>
                <w:sz w:val="26"/>
                <w:szCs w:val="26"/>
                <w:lang w:val="lv-LV"/>
              </w:rPr>
            </w:pPr>
            <w:r w:rsidRPr="00153E7C">
              <w:rPr>
                <w:rFonts w:eastAsia="Times New Roman"/>
                <w:sz w:val="26"/>
                <w:szCs w:val="26"/>
                <w:lang w:val="lv-LV"/>
              </w:rPr>
              <w:t>Vai arī norāda dokumentu, kurā sniegts izvērsts skaidrojums, kādā veidā tiks nodrošināta starptautisko saistību izpilde</w:t>
            </w:r>
          </w:p>
        </w:tc>
        <w:tc>
          <w:tcPr>
            <w:tcW w:w="3914" w:type="dxa"/>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Informācija par to, vai starptautiskās saistības, kas minētas šīs tabulas A ailē, tiek izpildītas pilnībā vai daļēji.</w:t>
            </w:r>
          </w:p>
          <w:p w:rsidR="00C9779A" w:rsidRPr="00153E7C" w:rsidRDefault="00C9779A" w:rsidP="0034794E">
            <w:pPr>
              <w:rPr>
                <w:rFonts w:eastAsia="Times New Roman"/>
                <w:sz w:val="26"/>
                <w:szCs w:val="26"/>
                <w:lang w:val="lv-LV"/>
              </w:rPr>
            </w:pPr>
            <w:r w:rsidRPr="00153E7C">
              <w:rPr>
                <w:rFonts w:eastAsia="Times New Roman"/>
                <w:sz w:val="26"/>
                <w:szCs w:val="26"/>
                <w:lang w:val="lv-LV"/>
              </w:rPr>
              <w:t> </w:t>
            </w:r>
          </w:p>
          <w:p w:rsidR="00C9779A" w:rsidRPr="00153E7C" w:rsidRDefault="00C9779A" w:rsidP="0034794E">
            <w:pPr>
              <w:rPr>
                <w:rFonts w:eastAsia="Times New Roman"/>
                <w:sz w:val="26"/>
                <w:szCs w:val="26"/>
                <w:lang w:val="lv-LV"/>
              </w:rPr>
            </w:pPr>
            <w:r w:rsidRPr="00153E7C">
              <w:rPr>
                <w:rFonts w:eastAsia="Times New Roman"/>
                <w:sz w:val="26"/>
                <w:szCs w:val="26"/>
                <w:lang w:val="lv-LV"/>
              </w:rPr>
              <w:t xml:space="preserve">Ja attiecīgās starptautiskās saistības tiek izpildītas daļēji, sniedz attiecīgu skaidrojumu, kā arī precīzi norāda, kad un kādā veidā starptautiskās </w:t>
            </w:r>
            <w:proofErr w:type="spellStart"/>
            <w:r w:rsidRPr="00153E7C">
              <w:rPr>
                <w:rFonts w:eastAsia="Times New Roman"/>
                <w:sz w:val="26"/>
                <w:szCs w:val="26"/>
                <w:lang w:val="lv-LV"/>
              </w:rPr>
              <w:t>aistības</w:t>
            </w:r>
            <w:proofErr w:type="spellEnd"/>
            <w:r w:rsidRPr="00153E7C">
              <w:rPr>
                <w:rFonts w:eastAsia="Times New Roman"/>
                <w:sz w:val="26"/>
                <w:szCs w:val="26"/>
                <w:lang w:val="lv-LV"/>
              </w:rPr>
              <w:t xml:space="preserve"> tiks izpildītas pilnībā.</w:t>
            </w:r>
          </w:p>
          <w:p w:rsidR="00C9779A" w:rsidRPr="00153E7C" w:rsidRDefault="00C9779A" w:rsidP="0034794E">
            <w:pPr>
              <w:rPr>
                <w:rFonts w:eastAsia="Times New Roman"/>
                <w:sz w:val="26"/>
                <w:szCs w:val="26"/>
                <w:lang w:val="lv-LV"/>
              </w:rPr>
            </w:pPr>
            <w:r w:rsidRPr="00153E7C">
              <w:rPr>
                <w:rFonts w:eastAsia="Times New Roman"/>
                <w:sz w:val="26"/>
                <w:szCs w:val="26"/>
                <w:lang w:val="lv-LV"/>
              </w:rPr>
              <w:t> </w:t>
            </w:r>
          </w:p>
          <w:p w:rsidR="00C9779A" w:rsidRPr="00153E7C" w:rsidRDefault="00C9779A" w:rsidP="0034794E">
            <w:pPr>
              <w:rPr>
                <w:rFonts w:eastAsia="Times New Roman"/>
                <w:sz w:val="26"/>
                <w:szCs w:val="26"/>
                <w:lang w:val="lv-LV"/>
              </w:rPr>
            </w:pPr>
            <w:r w:rsidRPr="00153E7C">
              <w:rPr>
                <w:rFonts w:eastAsia="Times New Roman"/>
                <w:sz w:val="26"/>
                <w:szCs w:val="26"/>
                <w:lang w:val="lv-LV"/>
              </w:rPr>
              <w:t>Norāda institūciju, kas ir atbildīga par šo saistību izpildi pilnībā</w:t>
            </w:r>
            <w:r w:rsidR="00E00806">
              <w:rPr>
                <w:rFonts w:eastAsia="Times New Roman"/>
                <w:sz w:val="26"/>
                <w:szCs w:val="26"/>
                <w:lang w:val="lv-LV"/>
              </w:rPr>
              <w:t>.</w:t>
            </w:r>
          </w:p>
        </w:tc>
      </w:tr>
      <w:tr w:rsidR="00C9779A" w:rsidRPr="00153E7C" w:rsidTr="0034794E">
        <w:trPr>
          <w:trHeight w:val="282"/>
          <w:tblCellSpacing w:w="0" w:type="dxa"/>
        </w:trPr>
        <w:tc>
          <w:tcPr>
            <w:tcW w:w="2602" w:type="dxa"/>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 xml:space="preserve"> Projekts šo jomu neskar.</w:t>
            </w:r>
          </w:p>
        </w:tc>
        <w:tc>
          <w:tcPr>
            <w:tcW w:w="2599" w:type="dxa"/>
            <w:gridSpan w:val="2"/>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Projekts šo jomu neskar.</w:t>
            </w:r>
          </w:p>
        </w:tc>
        <w:tc>
          <w:tcPr>
            <w:tcW w:w="3914" w:type="dxa"/>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Projekts šo jomu neskar.</w:t>
            </w:r>
          </w:p>
        </w:tc>
      </w:tr>
      <w:tr w:rsidR="00C9779A" w:rsidRPr="00153E7C" w:rsidTr="0034794E">
        <w:trPr>
          <w:trHeight w:val="1079"/>
          <w:tblCellSpacing w:w="0" w:type="dxa"/>
        </w:trPr>
        <w:tc>
          <w:tcPr>
            <w:tcW w:w="2602" w:type="dxa"/>
            <w:vAlign w:val="center"/>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lastRenderedPageBreak/>
              <w:t> Vai starptautiskajā dokumentā paredzētās saistības nav pretrunā ar jau esošajām Latvijas Republikas starptautiskajām saistībām</w:t>
            </w:r>
          </w:p>
        </w:tc>
        <w:tc>
          <w:tcPr>
            <w:tcW w:w="6513" w:type="dxa"/>
            <w:gridSpan w:val="3"/>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 Projekts šo jomu neskar.</w:t>
            </w:r>
          </w:p>
        </w:tc>
      </w:tr>
      <w:tr w:rsidR="00C9779A" w:rsidRPr="00153E7C" w:rsidTr="0034794E">
        <w:trPr>
          <w:trHeight w:val="337"/>
          <w:tblCellSpacing w:w="0" w:type="dxa"/>
        </w:trPr>
        <w:tc>
          <w:tcPr>
            <w:tcW w:w="2602" w:type="dxa"/>
            <w:hideMark/>
          </w:tcPr>
          <w:p w:rsidR="00C9779A" w:rsidRPr="00153E7C" w:rsidRDefault="00C9779A" w:rsidP="0034794E">
            <w:pPr>
              <w:rPr>
                <w:rFonts w:eastAsia="Times New Roman"/>
                <w:sz w:val="26"/>
                <w:szCs w:val="26"/>
                <w:lang w:val="lv-LV"/>
              </w:rPr>
            </w:pPr>
            <w:r w:rsidRPr="00153E7C">
              <w:rPr>
                <w:rFonts w:eastAsia="Times New Roman"/>
                <w:sz w:val="26"/>
                <w:szCs w:val="26"/>
                <w:lang w:val="lv-LV"/>
              </w:rPr>
              <w:t> Cita informācija</w:t>
            </w:r>
          </w:p>
        </w:tc>
        <w:tc>
          <w:tcPr>
            <w:tcW w:w="6513" w:type="dxa"/>
            <w:gridSpan w:val="3"/>
            <w:hideMark/>
          </w:tcPr>
          <w:p w:rsidR="00B84C4B" w:rsidRPr="00153E7C" w:rsidRDefault="00C9779A" w:rsidP="0034794E">
            <w:pPr>
              <w:rPr>
                <w:rFonts w:eastAsia="Times New Roman"/>
                <w:sz w:val="26"/>
                <w:szCs w:val="26"/>
                <w:lang w:val="lv-LV"/>
              </w:rPr>
            </w:pPr>
            <w:r w:rsidRPr="00153E7C">
              <w:rPr>
                <w:rFonts w:eastAsia="Times New Roman"/>
                <w:sz w:val="26"/>
                <w:szCs w:val="26"/>
                <w:lang w:val="lv-LV"/>
              </w:rPr>
              <w:t xml:space="preserve"> Nav.</w:t>
            </w:r>
          </w:p>
        </w:tc>
      </w:tr>
    </w:tbl>
    <w:p w:rsidR="00C9779A" w:rsidRPr="00153E7C"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153E7C"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ind w:firstLine="720"/>
              <w:jc w:val="both"/>
              <w:rPr>
                <w:rFonts w:eastAsia="Times New Roman"/>
                <w:b/>
                <w:sz w:val="26"/>
                <w:szCs w:val="26"/>
                <w:lang w:val="lv-LV" w:eastAsia="lv-LV"/>
              </w:rPr>
            </w:pPr>
            <w:r w:rsidRPr="00153E7C">
              <w:rPr>
                <w:rFonts w:eastAsia="Times New Roman"/>
                <w:b/>
                <w:sz w:val="26"/>
                <w:szCs w:val="26"/>
                <w:lang w:val="lv-LV" w:eastAsia="lv-LV"/>
              </w:rPr>
              <w:t>VII. Tiesību akta projekta izpildes nodrošināšana un tās ietekme uz institūcijām</w:t>
            </w:r>
          </w:p>
        </w:tc>
      </w:tr>
      <w:tr w:rsidR="003A7D89" w:rsidRPr="00153E7C"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153E7C" w:rsidRDefault="00901246" w:rsidP="00236989">
            <w:pPr>
              <w:jc w:val="both"/>
              <w:rPr>
                <w:rFonts w:eastAsia="Times New Roman"/>
                <w:sz w:val="26"/>
                <w:szCs w:val="26"/>
                <w:lang w:val="lv-LV" w:eastAsia="lv-LV"/>
              </w:rPr>
            </w:pPr>
            <w:r w:rsidRPr="00153E7C">
              <w:rPr>
                <w:rFonts w:eastAsia="Times New Roman"/>
                <w:sz w:val="26"/>
                <w:szCs w:val="26"/>
                <w:lang w:val="lv-LV" w:eastAsia="lv-LV"/>
              </w:rPr>
              <w:t>MK</w:t>
            </w:r>
            <w:r w:rsidR="003A7D89" w:rsidRPr="00153E7C">
              <w:rPr>
                <w:rFonts w:eastAsia="Times New Roman"/>
                <w:sz w:val="26"/>
                <w:szCs w:val="26"/>
                <w:lang w:val="lv-LV" w:eastAsia="lv-LV"/>
              </w:rPr>
              <w:t xml:space="preserve"> </w:t>
            </w:r>
            <w:r w:rsidR="00A46462" w:rsidRPr="00153E7C">
              <w:rPr>
                <w:sz w:val="26"/>
                <w:szCs w:val="26"/>
                <w:lang w:val="lv-LV"/>
              </w:rPr>
              <w:t>noteikumu</w:t>
            </w:r>
            <w:r w:rsidR="003A7D89" w:rsidRPr="00153E7C">
              <w:rPr>
                <w:rFonts w:eastAsia="Times New Roman"/>
                <w:sz w:val="26"/>
                <w:szCs w:val="26"/>
                <w:lang w:val="lv-LV" w:eastAsia="lv-LV"/>
              </w:rPr>
              <w:t xml:space="preserve"> projekta izpildi nodrošinās </w:t>
            </w:r>
            <w:r w:rsidR="00742BAF" w:rsidRPr="00153E7C">
              <w:rPr>
                <w:rFonts w:eastAsia="Times New Roman"/>
                <w:sz w:val="26"/>
                <w:szCs w:val="26"/>
                <w:lang w:val="lv-LV" w:eastAsia="lv-LV"/>
              </w:rPr>
              <w:t>LHZB</w:t>
            </w:r>
            <w:r w:rsidR="003A7D89" w:rsidRPr="00153E7C">
              <w:rPr>
                <w:rFonts w:eastAsia="Times New Roman"/>
                <w:sz w:val="26"/>
                <w:szCs w:val="26"/>
                <w:lang w:val="lv-LV" w:eastAsia="lv-LV"/>
              </w:rPr>
              <w:t>.</w:t>
            </w:r>
          </w:p>
        </w:tc>
      </w:tr>
      <w:tr w:rsidR="003A7D89" w:rsidRPr="00153E7C"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153E7C" w:rsidRDefault="00901246" w:rsidP="00236989">
            <w:pPr>
              <w:jc w:val="both"/>
              <w:rPr>
                <w:rFonts w:eastAsia="Times New Roman"/>
                <w:sz w:val="26"/>
                <w:szCs w:val="26"/>
                <w:lang w:val="lv-LV" w:eastAsia="lv-LV"/>
              </w:rPr>
            </w:pPr>
            <w:r w:rsidRPr="00153E7C">
              <w:rPr>
                <w:rFonts w:eastAsia="Times New Roman"/>
                <w:sz w:val="26"/>
                <w:szCs w:val="26"/>
                <w:lang w:val="lv-LV" w:eastAsia="lv-LV"/>
              </w:rPr>
              <w:t>MK</w:t>
            </w:r>
            <w:r w:rsidR="003A7D89" w:rsidRPr="00153E7C">
              <w:rPr>
                <w:rFonts w:eastAsia="Times New Roman"/>
                <w:sz w:val="26"/>
                <w:szCs w:val="26"/>
                <w:lang w:val="lv-LV" w:eastAsia="lv-LV"/>
              </w:rPr>
              <w:t xml:space="preserve"> </w:t>
            </w:r>
            <w:r w:rsidR="00A46462" w:rsidRPr="00153E7C">
              <w:rPr>
                <w:sz w:val="26"/>
                <w:szCs w:val="26"/>
                <w:lang w:val="lv-LV"/>
              </w:rPr>
              <w:t>noteikumu</w:t>
            </w:r>
            <w:r w:rsidR="003A7D89" w:rsidRPr="00153E7C">
              <w:rPr>
                <w:rFonts w:eastAsia="Times New Roman"/>
                <w:sz w:val="26"/>
                <w:szCs w:val="26"/>
                <w:lang w:val="lv-LV" w:eastAsia="lv-LV"/>
              </w:rPr>
              <w:t xml:space="preserve"> projekta izpilde tiks nodrošināta </w:t>
            </w:r>
            <w:r w:rsidR="00D94B9B" w:rsidRPr="00153E7C">
              <w:rPr>
                <w:rFonts w:eastAsia="Times New Roman"/>
                <w:sz w:val="26"/>
                <w:szCs w:val="26"/>
                <w:lang w:val="lv-LV" w:eastAsia="lv-LV"/>
              </w:rPr>
              <w:t xml:space="preserve">LHZB </w:t>
            </w:r>
            <w:r w:rsidR="003A7D89" w:rsidRPr="00153E7C">
              <w:rPr>
                <w:rFonts w:eastAsia="Times New Roman"/>
                <w:sz w:val="26"/>
                <w:szCs w:val="26"/>
                <w:lang w:val="lv-LV" w:eastAsia="lv-LV"/>
              </w:rPr>
              <w:t>esošo funkciju ietvaros.</w:t>
            </w:r>
          </w:p>
        </w:tc>
      </w:tr>
      <w:tr w:rsidR="003A7D89" w:rsidRPr="00153E7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901246" w:rsidP="00236989">
            <w:pPr>
              <w:jc w:val="both"/>
              <w:rPr>
                <w:rFonts w:eastAsia="Times New Roman"/>
                <w:sz w:val="26"/>
                <w:szCs w:val="26"/>
                <w:lang w:val="lv-LV" w:eastAsia="lv-LV"/>
              </w:rPr>
            </w:pPr>
            <w:r w:rsidRPr="00153E7C">
              <w:rPr>
                <w:sz w:val="26"/>
                <w:szCs w:val="26"/>
                <w:lang w:val="lv-LV"/>
              </w:rPr>
              <w:t>MK</w:t>
            </w:r>
            <w:r w:rsidR="003A7D89" w:rsidRPr="00153E7C">
              <w:rPr>
                <w:sz w:val="26"/>
                <w:szCs w:val="26"/>
                <w:lang w:val="lv-LV"/>
              </w:rPr>
              <w:t xml:space="preserve"> </w:t>
            </w:r>
            <w:r w:rsidR="00A46462" w:rsidRPr="00153E7C">
              <w:rPr>
                <w:sz w:val="26"/>
                <w:szCs w:val="26"/>
                <w:lang w:val="lv-LV"/>
              </w:rPr>
              <w:t>noteikumu</w:t>
            </w:r>
            <w:r w:rsidR="003A7D89" w:rsidRPr="00153E7C">
              <w:rPr>
                <w:sz w:val="26"/>
                <w:szCs w:val="26"/>
                <w:lang w:val="lv-LV"/>
              </w:rPr>
              <w:t xml:space="preserve"> projekta izpildei nav nepieciešams izveidot jaunas institūcijas</w:t>
            </w:r>
            <w:r w:rsidR="003A7D89" w:rsidRPr="00153E7C">
              <w:rPr>
                <w:rFonts w:eastAsia="Times New Roman"/>
                <w:sz w:val="26"/>
                <w:szCs w:val="26"/>
                <w:lang w:val="lv-LV" w:eastAsia="lv-LV"/>
              </w:rPr>
              <w:t>.</w:t>
            </w:r>
          </w:p>
        </w:tc>
      </w:tr>
      <w:tr w:rsidR="003A7D89" w:rsidRPr="00153E7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901246" w:rsidP="00236989">
            <w:pPr>
              <w:jc w:val="both"/>
              <w:rPr>
                <w:sz w:val="26"/>
                <w:szCs w:val="26"/>
                <w:lang w:val="lv-LV"/>
              </w:rPr>
            </w:pPr>
            <w:r w:rsidRPr="00153E7C">
              <w:rPr>
                <w:sz w:val="26"/>
                <w:szCs w:val="26"/>
                <w:lang w:val="lv-LV"/>
              </w:rPr>
              <w:t>MK</w:t>
            </w:r>
            <w:r w:rsidR="003A7D89" w:rsidRPr="00153E7C">
              <w:rPr>
                <w:sz w:val="26"/>
                <w:szCs w:val="26"/>
                <w:lang w:val="lv-LV"/>
              </w:rPr>
              <w:t xml:space="preserve"> </w:t>
            </w:r>
            <w:r w:rsidR="00A46462" w:rsidRPr="00153E7C">
              <w:rPr>
                <w:sz w:val="26"/>
                <w:szCs w:val="26"/>
                <w:lang w:val="lv-LV"/>
              </w:rPr>
              <w:t>noteikumu</w:t>
            </w:r>
            <w:r w:rsidR="003A7D89" w:rsidRPr="00153E7C">
              <w:rPr>
                <w:sz w:val="26"/>
                <w:szCs w:val="26"/>
                <w:lang w:val="lv-LV"/>
              </w:rPr>
              <w:t xml:space="preserve"> projekta izpildei nav nepieciešams likvidēt esošās institūcijas</w:t>
            </w:r>
            <w:r w:rsidR="003A7D89" w:rsidRPr="00153E7C">
              <w:rPr>
                <w:rFonts w:eastAsia="Times New Roman"/>
                <w:sz w:val="26"/>
                <w:szCs w:val="26"/>
                <w:lang w:val="lv-LV" w:eastAsia="lv-LV"/>
              </w:rPr>
              <w:t>.</w:t>
            </w:r>
          </w:p>
        </w:tc>
      </w:tr>
      <w:tr w:rsidR="003A7D89" w:rsidRPr="00153E7C"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901246" w:rsidP="00236989">
            <w:pPr>
              <w:jc w:val="both"/>
              <w:rPr>
                <w:rFonts w:eastAsia="Times New Roman"/>
                <w:sz w:val="26"/>
                <w:szCs w:val="26"/>
                <w:lang w:val="lv-LV" w:eastAsia="lv-LV"/>
              </w:rPr>
            </w:pPr>
            <w:r w:rsidRPr="00153E7C">
              <w:rPr>
                <w:rFonts w:eastAsia="Times New Roman"/>
                <w:sz w:val="26"/>
                <w:szCs w:val="26"/>
                <w:lang w:val="lv-LV" w:eastAsia="lv-LV"/>
              </w:rPr>
              <w:t>MK</w:t>
            </w:r>
            <w:r w:rsidR="003A7D89" w:rsidRPr="00153E7C">
              <w:rPr>
                <w:rFonts w:eastAsia="Times New Roman"/>
                <w:sz w:val="26"/>
                <w:szCs w:val="26"/>
                <w:lang w:val="lv-LV" w:eastAsia="lv-LV"/>
              </w:rPr>
              <w:t xml:space="preserve"> </w:t>
            </w:r>
            <w:r w:rsidR="00A46462" w:rsidRPr="00153E7C">
              <w:rPr>
                <w:sz w:val="26"/>
                <w:szCs w:val="26"/>
                <w:lang w:val="lv-LV"/>
              </w:rPr>
              <w:t>noteikumu</w:t>
            </w:r>
            <w:r w:rsidR="003A7D89" w:rsidRPr="00153E7C">
              <w:rPr>
                <w:sz w:val="26"/>
                <w:szCs w:val="26"/>
                <w:lang w:val="lv-LV"/>
              </w:rPr>
              <w:t xml:space="preserve"> projekta izpildei nav nepieciešams reorganizēt esošās institūcijas</w:t>
            </w:r>
            <w:r w:rsidR="003A7D89" w:rsidRPr="00153E7C">
              <w:rPr>
                <w:rFonts w:eastAsia="Times New Roman"/>
                <w:sz w:val="26"/>
                <w:szCs w:val="26"/>
                <w:lang w:val="lv-LV" w:eastAsia="lv-LV"/>
              </w:rPr>
              <w:t>.</w:t>
            </w:r>
          </w:p>
          <w:p w:rsidR="00B84C4B" w:rsidRPr="00153E7C" w:rsidRDefault="00B84C4B" w:rsidP="00742BAF">
            <w:pPr>
              <w:jc w:val="both"/>
              <w:rPr>
                <w:rFonts w:eastAsia="Times New Roman"/>
                <w:sz w:val="26"/>
                <w:szCs w:val="26"/>
                <w:lang w:val="lv-LV" w:eastAsia="lv-LV"/>
              </w:rPr>
            </w:pPr>
          </w:p>
        </w:tc>
      </w:tr>
      <w:tr w:rsidR="003A7D89" w:rsidRPr="00153E7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F22471">
            <w:pPr>
              <w:jc w:val="both"/>
              <w:rPr>
                <w:rFonts w:eastAsia="Times New Roman"/>
                <w:sz w:val="26"/>
                <w:szCs w:val="26"/>
                <w:lang w:val="lv-LV" w:eastAsia="lv-LV"/>
              </w:rPr>
            </w:pPr>
            <w:r w:rsidRPr="00153E7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53E7C" w:rsidRDefault="003A7D89" w:rsidP="00236989">
            <w:pPr>
              <w:jc w:val="both"/>
              <w:rPr>
                <w:rFonts w:eastAsia="Times New Roman"/>
                <w:sz w:val="26"/>
                <w:szCs w:val="26"/>
                <w:lang w:val="lv-LV" w:eastAsia="lv-LV"/>
              </w:rPr>
            </w:pPr>
            <w:r w:rsidRPr="00153E7C">
              <w:rPr>
                <w:rFonts w:eastAsia="Times New Roman"/>
                <w:sz w:val="26"/>
                <w:szCs w:val="26"/>
                <w:lang w:val="lv-LV" w:eastAsia="lv-LV"/>
              </w:rPr>
              <w:t>Nav.</w:t>
            </w:r>
          </w:p>
        </w:tc>
      </w:tr>
    </w:tbl>
    <w:p w:rsidR="0088512F" w:rsidRPr="00153E7C" w:rsidRDefault="0088512F" w:rsidP="00F22471">
      <w:pPr>
        <w:tabs>
          <w:tab w:val="left" w:pos="7655"/>
        </w:tabs>
        <w:jc w:val="both"/>
        <w:rPr>
          <w:sz w:val="26"/>
          <w:szCs w:val="26"/>
          <w:lang w:val="lv-LV"/>
        </w:rPr>
      </w:pPr>
      <w:r w:rsidRPr="00153E7C">
        <w:rPr>
          <w:sz w:val="26"/>
          <w:szCs w:val="26"/>
          <w:lang w:val="lv-LV"/>
        </w:rPr>
        <w:t xml:space="preserve">Anotācijas  VI sadaļa – </w:t>
      </w:r>
      <w:r w:rsidRPr="00153E7C">
        <w:rPr>
          <w:iCs/>
          <w:sz w:val="26"/>
          <w:szCs w:val="26"/>
          <w:lang w:val="lv-LV"/>
        </w:rPr>
        <w:t>projekts šīs jomas neskar</w:t>
      </w:r>
      <w:r w:rsidRPr="00153E7C">
        <w:rPr>
          <w:sz w:val="26"/>
          <w:szCs w:val="26"/>
          <w:lang w:val="lv-LV"/>
        </w:rPr>
        <w:t>.</w:t>
      </w:r>
    </w:p>
    <w:p w:rsidR="00BE6E9C" w:rsidRPr="00153E7C" w:rsidRDefault="00BE6E9C" w:rsidP="00A43665">
      <w:pPr>
        <w:tabs>
          <w:tab w:val="right" w:pos="9072"/>
        </w:tabs>
        <w:rPr>
          <w:sz w:val="26"/>
          <w:szCs w:val="26"/>
          <w:lang w:val="lv-LV"/>
        </w:rPr>
      </w:pPr>
    </w:p>
    <w:p w:rsidR="00522B62" w:rsidRPr="00153E7C" w:rsidRDefault="00E73425" w:rsidP="00A43665">
      <w:pPr>
        <w:tabs>
          <w:tab w:val="right" w:pos="9072"/>
        </w:tabs>
        <w:rPr>
          <w:sz w:val="26"/>
          <w:szCs w:val="26"/>
          <w:lang w:val="lv-LV"/>
        </w:rPr>
      </w:pPr>
      <w:r w:rsidRPr="00153E7C">
        <w:rPr>
          <w:sz w:val="26"/>
          <w:szCs w:val="26"/>
          <w:lang w:val="lv-LV"/>
        </w:rPr>
        <w:t>Ekonomikas ministrs</w:t>
      </w:r>
      <w:r w:rsidR="00A43665" w:rsidRPr="00153E7C">
        <w:rPr>
          <w:sz w:val="26"/>
          <w:szCs w:val="26"/>
          <w:lang w:val="lv-LV"/>
        </w:rPr>
        <w:tab/>
      </w:r>
      <w:proofErr w:type="spellStart"/>
      <w:r w:rsidR="00F9294A" w:rsidRPr="00153E7C">
        <w:rPr>
          <w:sz w:val="26"/>
          <w:szCs w:val="26"/>
          <w:lang w:val="lv-LV"/>
        </w:rPr>
        <w:t>D.Pavļuts</w:t>
      </w:r>
      <w:proofErr w:type="spellEnd"/>
      <w:r w:rsidR="00A43665" w:rsidRPr="00153E7C">
        <w:rPr>
          <w:sz w:val="26"/>
          <w:szCs w:val="26"/>
          <w:lang w:val="lv-LV"/>
        </w:rPr>
        <w:tab/>
      </w:r>
      <w:r w:rsidR="00A43665" w:rsidRPr="00153E7C">
        <w:rPr>
          <w:sz w:val="26"/>
          <w:szCs w:val="26"/>
          <w:lang w:val="lv-LV"/>
        </w:rPr>
        <w:tab/>
      </w:r>
      <w:r w:rsidR="00A43665" w:rsidRPr="00153E7C">
        <w:rPr>
          <w:sz w:val="26"/>
          <w:szCs w:val="26"/>
          <w:lang w:val="lv-LV"/>
        </w:rPr>
        <w:tab/>
      </w:r>
      <w:r w:rsidR="00A43665" w:rsidRPr="00153E7C">
        <w:rPr>
          <w:sz w:val="26"/>
          <w:szCs w:val="26"/>
          <w:lang w:val="lv-LV"/>
        </w:rPr>
        <w:tab/>
      </w:r>
      <w:r w:rsidR="00A43665" w:rsidRPr="00153E7C">
        <w:rPr>
          <w:sz w:val="26"/>
          <w:szCs w:val="26"/>
          <w:lang w:val="lv-LV"/>
        </w:rPr>
        <w:tab/>
      </w:r>
      <w:r w:rsidR="00A43665" w:rsidRPr="00153E7C">
        <w:rPr>
          <w:sz w:val="26"/>
          <w:szCs w:val="26"/>
          <w:lang w:val="lv-LV"/>
        </w:rPr>
        <w:tab/>
      </w:r>
    </w:p>
    <w:p w:rsidR="009D5C1D" w:rsidRPr="00153E7C" w:rsidRDefault="009D5C1D" w:rsidP="00F22471">
      <w:pPr>
        <w:tabs>
          <w:tab w:val="left" w:pos="8222"/>
        </w:tabs>
        <w:rPr>
          <w:sz w:val="26"/>
          <w:szCs w:val="26"/>
          <w:lang w:val="lv-LV"/>
        </w:rPr>
      </w:pPr>
    </w:p>
    <w:p w:rsidR="00BE6E9C" w:rsidRPr="00153E7C" w:rsidRDefault="00BE6E9C" w:rsidP="008E5F7D">
      <w:pPr>
        <w:tabs>
          <w:tab w:val="right" w:pos="9072"/>
        </w:tabs>
        <w:rPr>
          <w:sz w:val="26"/>
          <w:szCs w:val="26"/>
          <w:lang w:val="lv-LV"/>
        </w:rPr>
      </w:pPr>
    </w:p>
    <w:p w:rsidR="00C27BB9" w:rsidRDefault="00B74BCA" w:rsidP="00B25EA3">
      <w:pPr>
        <w:tabs>
          <w:tab w:val="right" w:pos="9072"/>
        </w:tabs>
        <w:rPr>
          <w:sz w:val="26"/>
          <w:szCs w:val="26"/>
          <w:lang w:val="lv-LV"/>
        </w:rPr>
      </w:pPr>
      <w:r w:rsidRPr="00153E7C">
        <w:rPr>
          <w:sz w:val="26"/>
          <w:szCs w:val="26"/>
          <w:lang w:val="lv-LV"/>
        </w:rPr>
        <w:t>Vīza</w:t>
      </w:r>
      <w:r w:rsidR="00C27BB9">
        <w:rPr>
          <w:sz w:val="26"/>
          <w:szCs w:val="26"/>
          <w:lang w:val="lv-LV"/>
        </w:rPr>
        <w:t>: valsts sekretāra pienākumu izpildītājs,</w:t>
      </w:r>
    </w:p>
    <w:p w:rsidR="009637AA" w:rsidRPr="00C27BB9" w:rsidRDefault="00C27BB9" w:rsidP="00C27BB9">
      <w:pPr>
        <w:tabs>
          <w:tab w:val="right" w:pos="9072"/>
        </w:tabs>
        <w:rPr>
          <w:sz w:val="26"/>
          <w:szCs w:val="26"/>
          <w:lang w:val="lv-LV"/>
        </w:rPr>
      </w:pPr>
      <w:r>
        <w:rPr>
          <w:sz w:val="26"/>
          <w:szCs w:val="26"/>
          <w:lang w:val="lv-LV"/>
        </w:rPr>
        <w:t>valsts sekretāra vietnieks</w:t>
      </w:r>
      <w:r w:rsidR="00B25EA3">
        <w:rPr>
          <w:sz w:val="26"/>
          <w:szCs w:val="26"/>
          <w:lang w:val="lv-LV"/>
        </w:rPr>
        <w:t xml:space="preserve">     </w:t>
      </w:r>
      <w:r w:rsidR="00B25EA3">
        <w:rPr>
          <w:sz w:val="26"/>
          <w:szCs w:val="26"/>
          <w:lang w:val="lv-LV"/>
        </w:rPr>
        <w:tab/>
      </w:r>
      <w:r>
        <w:rPr>
          <w:sz w:val="26"/>
          <w:szCs w:val="26"/>
          <w:lang w:val="lv-LV"/>
        </w:rPr>
        <w:t>A.Liepiņš</w:t>
      </w:r>
    </w:p>
    <w:p w:rsidR="009637AA" w:rsidRDefault="009637AA" w:rsidP="00F22471">
      <w:pPr>
        <w:jc w:val="both"/>
        <w:rPr>
          <w:color w:val="000000"/>
          <w:sz w:val="28"/>
          <w:szCs w:val="28"/>
          <w:lang w:val="lv-LV"/>
        </w:rPr>
      </w:pPr>
    </w:p>
    <w:p w:rsidR="00C27BB9" w:rsidRPr="00153E7C" w:rsidRDefault="00C27BB9" w:rsidP="00F22471">
      <w:pPr>
        <w:jc w:val="both"/>
        <w:rPr>
          <w:color w:val="000000"/>
          <w:sz w:val="28"/>
          <w:szCs w:val="28"/>
          <w:lang w:val="lv-LV"/>
        </w:rPr>
      </w:pPr>
    </w:p>
    <w:p w:rsidR="00BF2F17" w:rsidRPr="00C27BB9" w:rsidRDefault="00822DF2" w:rsidP="00F22471">
      <w:pPr>
        <w:jc w:val="both"/>
        <w:rPr>
          <w:lang w:val="lv-LV"/>
        </w:rPr>
      </w:pPr>
      <w:r w:rsidRPr="00C27BB9">
        <w:rPr>
          <w:lang w:val="lv-LV"/>
        </w:rPr>
        <w:fldChar w:fldCharType="begin"/>
      </w:r>
      <w:r w:rsidR="00BF2F17" w:rsidRPr="00C27BB9">
        <w:rPr>
          <w:lang w:val="lv-LV"/>
        </w:rPr>
        <w:instrText xml:space="preserve"> TIME \@ "dd.MM.yyyy. H:mm" </w:instrText>
      </w:r>
      <w:r w:rsidRPr="00C27BB9">
        <w:rPr>
          <w:lang w:val="lv-LV"/>
        </w:rPr>
        <w:fldChar w:fldCharType="separate"/>
      </w:r>
      <w:r w:rsidR="00C27BB9">
        <w:rPr>
          <w:noProof/>
          <w:lang w:val="lv-LV"/>
        </w:rPr>
        <w:t>28.11.2013. 12:42</w:t>
      </w:r>
      <w:r w:rsidRPr="00C27BB9">
        <w:rPr>
          <w:lang w:val="lv-LV"/>
        </w:rPr>
        <w:fldChar w:fldCharType="end"/>
      </w:r>
    </w:p>
    <w:p w:rsidR="00BF2F17" w:rsidRPr="00C27BB9" w:rsidRDefault="00822DF2" w:rsidP="00F22471">
      <w:pPr>
        <w:jc w:val="both"/>
        <w:rPr>
          <w:lang w:val="lv-LV"/>
        </w:rPr>
      </w:pPr>
      <w:r w:rsidRPr="00C27BB9">
        <w:rPr>
          <w:lang w:val="lv-LV"/>
        </w:rPr>
        <w:fldChar w:fldCharType="begin"/>
      </w:r>
      <w:r w:rsidR="00307EC1" w:rsidRPr="00C27BB9">
        <w:rPr>
          <w:lang w:val="lv-LV"/>
        </w:rPr>
        <w:instrText xml:space="preserve"> NUMWORDS   \* MERGEFORMAT </w:instrText>
      </w:r>
      <w:r w:rsidRPr="00C27BB9">
        <w:rPr>
          <w:lang w:val="lv-LV"/>
        </w:rPr>
        <w:fldChar w:fldCharType="separate"/>
      </w:r>
      <w:r w:rsidR="00C27BB9">
        <w:rPr>
          <w:noProof/>
          <w:lang w:val="lv-LV"/>
        </w:rPr>
        <w:t>2271</w:t>
      </w:r>
      <w:r w:rsidRPr="00C27BB9">
        <w:rPr>
          <w:noProof/>
          <w:lang w:val="lv-LV"/>
        </w:rPr>
        <w:fldChar w:fldCharType="end"/>
      </w:r>
      <w:bookmarkStart w:id="6" w:name="_GoBack"/>
      <w:bookmarkEnd w:id="6"/>
    </w:p>
    <w:p w:rsidR="00643B54" w:rsidRPr="00C27BB9" w:rsidRDefault="00634095" w:rsidP="00F22471">
      <w:pPr>
        <w:jc w:val="both"/>
        <w:rPr>
          <w:color w:val="000000"/>
          <w:lang w:val="lv-LV"/>
        </w:rPr>
      </w:pPr>
      <w:proofErr w:type="spellStart"/>
      <w:r w:rsidRPr="00C27BB9">
        <w:rPr>
          <w:color w:val="000000"/>
          <w:lang w:val="lv-LV"/>
        </w:rPr>
        <w:t>E.Dlohi</w:t>
      </w:r>
      <w:proofErr w:type="spellEnd"/>
    </w:p>
    <w:p w:rsidR="00097583" w:rsidRPr="00C27BB9" w:rsidRDefault="00B74BCA" w:rsidP="00F22471">
      <w:pPr>
        <w:jc w:val="both"/>
        <w:rPr>
          <w:color w:val="000000"/>
          <w:lang w:val="lv-LV"/>
        </w:rPr>
      </w:pPr>
      <w:r w:rsidRPr="00C27BB9">
        <w:rPr>
          <w:lang w:val="lv-LV"/>
        </w:rPr>
        <w:t>67013</w:t>
      </w:r>
      <w:r w:rsidR="00634095" w:rsidRPr="00C27BB9">
        <w:rPr>
          <w:lang w:val="lv-LV"/>
        </w:rPr>
        <w:t>082</w:t>
      </w:r>
      <w:r w:rsidR="00386053" w:rsidRPr="00C27BB9">
        <w:rPr>
          <w:lang w:val="lv-LV"/>
        </w:rPr>
        <w:t>,</w:t>
      </w:r>
      <w:r w:rsidRPr="00C27BB9">
        <w:rPr>
          <w:lang w:val="lv-LV"/>
        </w:rPr>
        <w:t xml:space="preserve"> </w:t>
      </w:r>
      <w:hyperlink r:id="rId12" w:history="1">
        <w:r w:rsidR="00634095" w:rsidRPr="00C27BB9">
          <w:rPr>
            <w:rStyle w:val="Hyperlink"/>
            <w:lang w:val="lv-LV"/>
          </w:rPr>
          <w:t>Elina.Dlohi@em.gov.lv</w:t>
        </w:r>
      </w:hyperlink>
    </w:p>
    <w:sectPr w:rsidR="00097583" w:rsidRPr="00C27BB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1E" w:rsidRDefault="004D5E1E" w:rsidP="00B014C2">
      <w:r>
        <w:separator/>
      </w:r>
    </w:p>
  </w:endnote>
  <w:endnote w:type="continuationSeparator" w:id="0">
    <w:p w:rsidR="004D5E1E" w:rsidRDefault="004D5E1E"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C1" w:rsidRPr="00C33F2C" w:rsidRDefault="00EB760E" w:rsidP="00307EC1">
    <w:pPr>
      <w:pStyle w:val="BodyText"/>
      <w:rPr>
        <w:sz w:val="24"/>
        <w:szCs w:val="24"/>
      </w:rPr>
    </w:pPr>
    <w:r>
      <w:rPr>
        <w:sz w:val="24"/>
        <w:szCs w:val="24"/>
      </w:rPr>
      <w:t>EMAnot_</w:t>
    </w:r>
    <w:r w:rsidR="00C27BB9">
      <w:rPr>
        <w:sz w:val="24"/>
        <w:szCs w:val="24"/>
      </w:rPr>
      <w:t>28</w:t>
    </w:r>
    <w:r w:rsidR="00307EC1">
      <w:rPr>
        <w:sz w:val="24"/>
        <w:szCs w:val="24"/>
      </w:rPr>
      <w:t>1</w:t>
    </w:r>
    <w:r w:rsidR="008C34B9">
      <w:rPr>
        <w:sz w:val="24"/>
        <w:szCs w:val="24"/>
      </w:rPr>
      <w:t>1</w:t>
    </w:r>
    <w:r w:rsidR="00307EC1">
      <w:rPr>
        <w:sz w:val="24"/>
        <w:szCs w:val="24"/>
      </w:rPr>
      <w:t>13_groz1065</w:t>
    </w:r>
    <w:r w:rsidR="00307EC1" w:rsidRPr="00634095">
      <w:rPr>
        <w:sz w:val="24"/>
        <w:szCs w:val="24"/>
      </w:rPr>
      <w:t>; Ministru kabineta noteikumu projekta „</w:t>
    </w:r>
    <w:r w:rsidR="00307EC1" w:rsidRPr="00307EC1">
      <w:rPr>
        <w:sz w:val="24"/>
        <w:szCs w:val="24"/>
      </w:rPr>
      <w:t>Grozījumi Ministru kabineta 2009.gada 15.septembra noteikumos Nr.1065 „Noteikumi par aizdevumiem sīko (</w:t>
    </w:r>
    <w:proofErr w:type="spellStart"/>
    <w:r w:rsidR="00307EC1" w:rsidRPr="00307EC1">
      <w:rPr>
        <w:sz w:val="24"/>
        <w:szCs w:val="24"/>
      </w:rPr>
      <w:t>mikro</w:t>
    </w:r>
    <w:proofErr w:type="spellEnd"/>
    <w:r w:rsidR="00307EC1" w:rsidRPr="00307EC1">
      <w:rPr>
        <w:sz w:val="24"/>
        <w:szCs w:val="24"/>
      </w:rPr>
      <w:t xml:space="preserve">), mazo un vidējo saimnieciskās darbības veicēju un lauksaimniecības pakalpojumu kooperatīvo sabiedrību attīstības </w:t>
    </w:r>
    <w:r w:rsidR="00307EC1">
      <w:rPr>
        <w:sz w:val="24"/>
        <w:szCs w:val="24"/>
      </w:rPr>
      <w:t>veicināšanai”</w:t>
    </w:r>
    <w:r w:rsidR="00307EC1" w:rsidRPr="00092473">
      <w:rPr>
        <w:sz w:val="24"/>
        <w:szCs w:val="24"/>
      </w:rPr>
      <w:t xml:space="preserve"> ietvaros</w:t>
    </w:r>
    <w:r w:rsidR="00307EC1">
      <w:rPr>
        <w:sz w:val="24"/>
        <w:szCs w:val="24"/>
      </w:rPr>
      <w:t xml:space="preserve">” </w:t>
    </w:r>
    <w:r w:rsidR="00307EC1"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307EC1" w:rsidRPr="00C33F2C">
        <w:rPr>
          <w:sz w:val="24"/>
          <w:szCs w:val="24"/>
        </w:rPr>
        <w:t>ziņojums</w:t>
      </w:r>
    </w:smartTag>
    <w:r w:rsidR="00307EC1" w:rsidRPr="00C33F2C">
      <w:rPr>
        <w:sz w:val="24"/>
        <w:szCs w:val="24"/>
      </w:rPr>
      <w:t xml:space="preserve"> (anotācija)</w:t>
    </w:r>
  </w:p>
  <w:p w:rsidR="00307EC1" w:rsidRDefault="00307EC1" w:rsidP="00307EC1"/>
  <w:p w:rsidR="00511C7D" w:rsidRPr="00307EC1" w:rsidRDefault="00511C7D" w:rsidP="00307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C33F2C" w:rsidRDefault="00EB760E" w:rsidP="00D7256E">
    <w:pPr>
      <w:pStyle w:val="BodyText"/>
      <w:rPr>
        <w:sz w:val="24"/>
        <w:szCs w:val="24"/>
      </w:rPr>
    </w:pPr>
    <w:r>
      <w:rPr>
        <w:sz w:val="24"/>
        <w:szCs w:val="24"/>
      </w:rPr>
      <w:t>EMAnot_</w:t>
    </w:r>
    <w:r w:rsidR="00C27BB9">
      <w:rPr>
        <w:sz w:val="24"/>
        <w:szCs w:val="24"/>
      </w:rPr>
      <w:t>28</w:t>
    </w:r>
    <w:r w:rsidR="00307EC1">
      <w:rPr>
        <w:sz w:val="24"/>
        <w:szCs w:val="24"/>
      </w:rPr>
      <w:t>1</w:t>
    </w:r>
    <w:r w:rsidR="008C34B9">
      <w:rPr>
        <w:sz w:val="24"/>
        <w:szCs w:val="24"/>
      </w:rPr>
      <w:t>1</w:t>
    </w:r>
    <w:r w:rsidR="00307EC1">
      <w:rPr>
        <w:sz w:val="24"/>
        <w:szCs w:val="24"/>
      </w:rPr>
      <w:t>13_groz1065</w:t>
    </w:r>
    <w:r w:rsidR="00511C7D" w:rsidRPr="00634095">
      <w:rPr>
        <w:sz w:val="24"/>
        <w:szCs w:val="24"/>
      </w:rPr>
      <w:t xml:space="preserve">; </w:t>
    </w:r>
    <w:bookmarkStart w:id="3" w:name="OLE_LINK12"/>
    <w:bookmarkStart w:id="4" w:name="OLE_LINK13"/>
    <w:bookmarkStart w:id="5" w:name="_Hlk259447629"/>
    <w:r w:rsidR="00511C7D" w:rsidRPr="00634095">
      <w:rPr>
        <w:sz w:val="24"/>
        <w:szCs w:val="24"/>
      </w:rPr>
      <w:t>Ministru kabineta noteikumu projekta „</w:t>
    </w:r>
    <w:r w:rsidR="00307EC1" w:rsidRPr="00307EC1">
      <w:rPr>
        <w:sz w:val="24"/>
        <w:szCs w:val="24"/>
      </w:rPr>
      <w:t>Grozījumi Ministru kabineta 2009.gada 15.septembra noteikumos Nr.1065 „Noteikumi par aizdevumiem sīko (</w:t>
    </w:r>
    <w:proofErr w:type="spellStart"/>
    <w:r w:rsidR="00307EC1" w:rsidRPr="00307EC1">
      <w:rPr>
        <w:sz w:val="24"/>
        <w:szCs w:val="24"/>
      </w:rPr>
      <w:t>mikro</w:t>
    </w:r>
    <w:proofErr w:type="spellEnd"/>
    <w:r w:rsidR="00307EC1" w:rsidRPr="00307EC1">
      <w:rPr>
        <w:sz w:val="24"/>
        <w:szCs w:val="24"/>
      </w:rPr>
      <w:t xml:space="preserve">), mazo un vidējo saimnieciskās darbības veicēju un lauksaimniecības pakalpojumu kooperatīvo sabiedrību attīstības </w:t>
    </w:r>
    <w:r w:rsidR="00307EC1">
      <w:rPr>
        <w:sz w:val="24"/>
        <w:szCs w:val="24"/>
      </w:rPr>
      <w:t>veicināšanai</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bookmarkEnd w:id="3"/>
    <w:bookmarkEnd w:id="4"/>
    <w:bookmarkEnd w:id="5"/>
  </w:p>
  <w:p w:rsidR="00307EC1" w:rsidRDefault="00307E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1E" w:rsidRDefault="004D5E1E" w:rsidP="00B014C2">
      <w:r>
        <w:separator/>
      </w:r>
    </w:p>
  </w:footnote>
  <w:footnote w:type="continuationSeparator" w:id="0">
    <w:p w:rsidR="004D5E1E" w:rsidRDefault="004D5E1E"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822DF2">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C27BB9">
          <w:rPr>
            <w:noProof/>
            <w:sz w:val="24"/>
            <w:szCs w:val="24"/>
          </w:rPr>
          <w:t>12</w:t>
        </w:r>
        <w:r w:rsidRPr="00B014C2">
          <w:rPr>
            <w:sz w:val="24"/>
            <w:szCs w:val="24"/>
          </w:rPr>
          <w:fldChar w:fldCharType="end"/>
        </w:r>
      </w:p>
    </w:sdtContent>
  </w:sdt>
  <w:p w:rsidR="00511C7D" w:rsidRDefault="00511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C6458"/>
    <w:multiLevelType w:val="hybridMultilevel"/>
    <w:tmpl w:val="4DA4F856"/>
    <w:lvl w:ilvl="0" w:tplc="D5EEA598">
      <w:start w:val="2009"/>
      <w:numFmt w:val="bullet"/>
      <w:lvlText w:val="-"/>
      <w:lvlJc w:val="left"/>
      <w:pPr>
        <w:ind w:left="997" w:hanging="360"/>
      </w:pPr>
      <w:rPr>
        <w:rFonts w:ascii="Times New Roman" w:eastAsia="Calibr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6"/>
  </w:num>
  <w:num w:numId="3">
    <w:abstractNumId w:val="11"/>
  </w:num>
  <w:num w:numId="4">
    <w:abstractNumId w:val="1"/>
  </w:num>
  <w:num w:numId="5">
    <w:abstractNumId w:val="0"/>
  </w:num>
  <w:num w:numId="6">
    <w:abstractNumId w:val="9"/>
  </w:num>
  <w:num w:numId="7">
    <w:abstractNumId w:val="15"/>
  </w:num>
  <w:num w:numId="8">
    <w:abstractNumId w:val="5"/>
  </w:num>
  <w:num w:numId="9">
    <w:abstractNumId w:val="10"/>
  </w:num>
  <w:num w:numId="10">
    <w:abstractNumId w:val="12"/>
  </w:num>
  <w:num w:numId="11">
    <w:abstractNumId w:val="3"/>
  </w:num>
  <w:num w:numId="12">
    <w:abstractNumId w:val="7"/>
  </w:num>
  <w:num w:numId="13">
    <w:abstractNumId w:val="14"/>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816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199D"/>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664E"/>
    <w:rsid w:val="00096AA9"/>
    <w:rsid w:val="00097583"/>
    <w:rsid w:val="000A164A"/>
    <w:rsid w:val="000A402E"/>
    <w:rsid w:val="000A4AED"/>
    <w:rsid w:val="000A5FB9"/>
    <w:rsid w:val="000B0719"/>
    <w:rsid w:val="000B08FC"/>
    <w:rsid w:val="000B10BD"/>
    <w:rsid w:val="000B2AE3"/>
    <w:rsid w:val="000C4FFD"/>
    <w:rsid w:val="000D0388"/>
    <w:rsid w:val="000D19C8"/>
    <w:rsid w:val="000D2F05"/>
    <w:rsid w:val="000D4DC9"/>
    <w:rsid w:val="000D6DF2"/>
    <w:rsid w:val="000E2F17"/>
    <w:rsid w:val="000E409F"/>
    <w:rsid w:val="000E4277"/>
    <w:rsid w:val="000E76CF"/>
    <w:rsid w:val="000E76F0"/>
    <w:rsid w:val="000F0232"/>
    <w:rsid w:val="000F6C72"/>
    <w:rsid w:val="000F6E9E"/>
    <w:rsid w:val="001000B5"/>
    <w:rsid w:val="001002E4"/>
    <w:rsid w:val="0010079A"/>
    <w:rsid w:val="0010385C"/>
    <w:rsid w:val="00103FE1"/>
    <w:rsid w:val="0010410B"/>
    <w:rsid w:val="0010443F"/>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3E7C"/>
    <w:rsid w:val="00155953"/>
    <w:rsid w:val="001611D0"/>
    <w:rsid w:val="0017312C"/>
    <w:rsid w:val="001733BE"/>
    <w:rsid w:val="0017472D"/>
    <w:rsid w:val="001764E7"/>
    <w:rsid w:val="001802E6"/>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1DD1"/>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7EC1"/>
    <w:rsid w:val="003124BE"/>
    <w:rsid w:val="00314594"/>
    <w:rsid w:val="00314A13"/>
    <w:rsid w:val="00315BB0"/>
    <w:rsid w:val="00320EB0"/>
    <w:rsid w:val="00321E80"/>
    <w:rsid w:val="00322A15"/>
    <w:rsid w:val="00324F11"/>
    <w:rsid w:val="00330AF0"/>
    <w:rsid w:val="003312F2"/>
    <w:rsid w:val="00335837"/>
    <w:rsid w:val="00335C2E"/>
    <w:rsid w:val="00335CC3"/>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D4D2F"/>
    <w:rsid w:val="003E0167"/>
    <w:rsid w:val="003E0BD3"/>
    <w:rsid w:val="003E284A"/>
    <w:rsid w:val="003E2968"/>
    <w:rsid w:val="003E3604"/>
    <w:rsid w:val="003E6CB3"/>
    <w:rsid w:val="003F0B61"/>
    <w:rsid w:val="003F0C4F"/>
    <w:rsid w:val="003F17ED"/>
    <w:rsid w:val="003F4E09"/>
    <w:rsid w:val="00401C5F"/>
    <w:rsid w:val="00402B2B"/>
    <w:rsid w:val="004035D5"/>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3736D"/>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C2DF8"/>
    <w:rsid w:val="004D4997"/>
    <w:rsid w:val="004D54CD"/>
    <w:rsid w:val="004D5E1E"/>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1F1C"/>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49F0"/>
    <w:rsid w:val="005E713D"/>
    <w:rsid w:val="005F09EC"/>
    <w:rsid w:val="005F3202"/>
    <w:rsid w:val="005F6018"/>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91B3C"/>
    <w:rsid w:val="00696FF3"/>
    <w:rsid w:val="006A3A28"/>
    <w:rsid w:val="006A3BC9"/>
    <w:rsid w:val="006A668E"/>
    <w:rsid w:val="006A6AD4"/>
    <w:rsid w:val="006A7488"/>
    <w:rsid w:val="006A7638"/>
    <w:rsid w:val="006B0E03"/>
    <w:rsid w:val="006C114F"/>
    <w:rsid w:val="006C15FA"/>
    <w:rsid w:val="006C53BE"/>
    <w:rsid w:val="006D0B9B"/>
    <w:rsid w:val="006D1F62"/>
    <w:rsid w:val="006D23AE"/>
    <w:rsid w:val="006D30BF"/>
    <w:rsid w:val="006D662F"/>
    <w:rsid w:val="006D69A4"/>
    <w:rsid w:val="006E07AC"/>
    <w:rsid w:val="006E09B6"/>
    <w:rsid w:val="006E0ECB"/>
    <w:rsid w:val="006E13D1"/>
    <w:rsid w:val="006E1F97"/>
    <w:rsid w:val="006E3949"/>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73C3"/>
    <w:rsid w:val="00817839"/>
    <w:rsid w:val="00822DF2"/>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C34B9"/>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C5"/>
    <w:rsid w:val="00921208"/>
    <w:rsid w:val="009223CF"/>
    <w:rsid w:val="009223E3"/>
    <w:rsid w:val="0092468A"/>
    <w:rsid w:val="009260C5"/>
    <w:rsid w:val="00930CFF"/>
    <w:rsid w:val="00932B78"/>
    <w:rsid w:val="00933744"/>
    <w:rsid w:val="0094012A"/>
    <w:rsid w:val="00940388"/>
    <w:rsid w:val="009429B7"/>
    <w:rsid w:val="00944903"/>
    <w:rsid w:val="009449FD"/>
    <w:rsid w:val="009450CF"/>
    <w:rsid w:val="00945AEE"/>
    <w:rsid w:val="0094634F"/>
    <w:rsid w:val="0094732D"/>
    <w:rsid w:val="00947CF8"/>
    <w:rsid w:val="009520C3"/>
    <w:rsid w:val="0095680E"/>
    <w:rsid w:val="0095696B"/>
    <w:rsid w:val="00962693"/>
    <w:rsid w:val="00962CEA"/>
    <w:rsid w:val="009637AA"/>
    <w:rsid w:val="00971B45"/>
    <w:rsid w:val="00972275"/>
    <w:rsid w:val="00977A1D"/>
    <w:rsid w:val="00983085"/>
    <w:rsid w:val="0098472B"/>
    <w:rsid w:val="009906DC"/>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4BE7"/>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27386"/>
    <w:rsid w:val="00A30576"/>
    <w:rsid w:val="00A30F97"/>
    <w:rsid w:val="00A31FDC"/>
    <w:rsid w:val="00A32343"/>
    <w:rsid w:val="00A326B1"/>
    <w:rsid w:val="00A3336D"/>
    <w:rsid w:val="00A34AC6"/>
    <w:rsid w:val="00A34F24"/>
    <w:rsid w:val="00A37DC3"/>
    <w:rsid w:val="00A425FC"/>
    <w:rsid w:val="00A42C4D"/>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0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5EA3"/>
    <w:rsid w:val="00B274BB"/>
    <w:rsid w:val="00B30133"/>
    <w:rsid w:val="00B37577"/>
    <w:rsid w:val="00B45711"/>
    <w:rsid w:val="00B46B34"/>
    <w:rsid w:val="00B526DC"/>
    <w:rsid w:val="00B5655C"/>
    <w:rsid w:val="00B56EB8"/>
    <w:rsid w:val="00B57637"/>
    <w:rsid w:val="00B57C79"/>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E9B"/>
    <w:rsid w:val="00BA37BF"/>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25AA"/>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27BB9"/>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67E3F"/>
    <w:rsid w:val="00C7152A"/>
    <w:rsid w:val="00C728A7"/>
    <w:rsid w:val="00C7500F"/>
    <w:rsid w:val="00C751EA"/>
    <w:rsid w:val="00C75A4F"/>
    <w:rsid w:val="00C772EA"/>
    <w:rsid w:val="00C8212B"/>
    <w:rsid w:val="00C83342"/>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26C7"/>
    <w:rsid w:val="00CA34C6"/>
    <w:rsid w:val="00CA4ADF"/>
    <w:rsid w:val="00CA6526"/>
    <w:rsid w:val="00CA7E59"/>
    <w:rsid w:val="00CB1829"/>
    <w:rsid w:val="00CB189E"/>
    <w:rsid w:val="00CB19CB"/>
    <w:rsid w:val="00CB204F"/>
    <w:rsid w:val="00CB45B6"/>
    <w:rsid w:val="00CB5D7B"/>
    <w:rsid w:val="00CB6882"/>
    <w:rsid w:val="00CB7A76"/>
    <w:rsid w:val="00CC1D5F"/>
    <w:rsid w:val="00CC2408"/>
    <w:rsid w:val="00CC4F60"/>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65E4"/>
    <w:rsid w:val="00D7741F"/>
    <w:rsid w:val="00D8286C"/>
    <w:rsid w:val="00D83021"/>
    <w:rsid w:val="00D94B9B"/>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5BB"/>
    <w:rsid w:val="00DF0637"/>
    <w:rsid w:val="00DF0A7E"/>
    <w:rsid w:val="00DF4BCE"/>
    <w:rsid w:val="00E00806"/>
    <w:rsid w:val="00E03A78"/>
    <w:rsid w:val="00E07DF2"/>
    <w:rsid w:val="00E147E0"/>
    <w:rsid w:val="00E14EB7"/>
    <w:rsid w:val="00E22906"/>
    <w:rsid w:val="00E22D5A"/>
    <w:rsid w:val="00E22EBE"/>
    <w:rsid w:val="00E237AA"/>
    <w:rsid w:val="00E25884"/>
    <w:rsid w:val="00E26606"/>
    <w:rsid w:val="00E26AAA"/>
    <w:rsid w:val="00E3385D"/>
    <w:rsid w:val="00E360B7"/>
    <w:rsid w:val="00E43842"/>
    <w:rsid w:val="00E44062"/>
    <w:rsid w:val="00E4416C"/>
    <w:rsid w:val="00E45FE7"/>
    <w:rsid w:val="00E51BA8"/>
    <w:rsid w:val="00E51BE9"/>
    <w:rsid w:val="00E52FCD"/>
    <w:rsid w:val="00E54741"/>
    <w:rsid w:val="00E56A1F"/>
    <w:rsid w:val="00E5743D"/>
    <w:rsid w:val="00E606B4"/>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0986"/>
    <w:rsid w:val="00EA2820"/>
    <w:rsid w:val="00EA6137"/>
    <w:rsid w:val="00EB03F5"/>
    <w:rsid w:val="00EB263C"/>
    <w:rsid w:val="00EB4862"/>
    <w:rsid w:val="00EB760E"/>
    <w:rsid w:val="00EC09FD"/>
    <w:rsid w:val="00EC1C10"/>
    <w:rsid w:val="00EC1CD1"/>
    <w:rsid w:val="00EC4103"/>
    <w:rsid w:val="00ED175B"/>
    <w:rsid w:val="00ED29AD"/>
    <w:rsid w:val="00ED377B"/>
    <w:rsid w:val="00ED49F3"/>
    <w:rsid w:val="00ED683B"/>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6354"/>
    <w:rsid w:val="00F1704E"/>
    <w:rsid w:val="00F17FB6"/>
    <w:rsid w:val="00F20476"/>
    <w:rsid w:val="00F20A3B"/>
    <w:rsid w:val="00F20C84"/>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0C28"/>
    <w:rsid w:val="00F6177A"/>
    <w:rsid w:val="00F64547"/>
    <w:rsid w:val="00F65DC0"/>
    <w:rsid w:val="00F65EC5"/>
    <w:rsid w:val="00F67545"/>
    <w:rsid w:val="00F722C5"/>
    <w:rsid w:val="00F73E4D"/>
    <w:rsid w:val="00F73FBF"/>
    <w:rsid w:val="00F768B2"/>
    <w:rsid w:val="00F80221"/>
    <w:rsid w:val="00F81BA5"/>
    <w:rsid w:val="00F82D25"/>
    <w:rsid w:val="00F84DC9"/>
    <w:rsid w:val="00F86F4B"/>
    <w:rsid w:val="00F90307"/>
    <w:rsid w:val="00F91217"/>
    <w:rsid w:val="00F9294A"/>
    <w:rsid w:val="00F92A3D"/>
    <w:rsid w:val="00F97A74"/>
    <w:rsid w:val="00FA2DB4"/>
    <w:rsid w:val="00FA371D"/>
    <w:rsid w:val="00FA59B7"/>
    <w:rsid w:val="00FA6053"/>
    <w:rsid w:val="00FA6507"/>
    <w:rsid w:val="00FA6DB0"/>
    <w:rsid w:val="00FA7C2F"/>
    <w:rsid w:val="00FB0E25"/>
    <w:rsid w:val="00FB18C1"/>
    <w:rsid w:val="00FB4555"/>
    <w:rsid w:val="00FB553F"/>
    <w:rsid w:val="00FC02DA"/>
    <w:rsid w:val="00FC4CC7"/>
    <w:rsid w:val="00FC5AC6"/>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6991118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780568571">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D51C-A1E9-4BB9-B227-180842E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2317</Words>
  <Characters>15923</Characters>
  <Application>Microsoft Office Word</Application>
  <DocSecurity>0</DocSecurity>
  <Lines>884</Lines>
  <Paragraphs>299</Paragraphs>
  <ScaleCrop>false</ScaleCrop>
  <HeadingPairs>
    <vt:vector size="2" baseType="variant">
      <vt:variant>
        <vt:lpstr>Title</vt:lpstr>
      </vt:variant>
      <vt:variant>
        <vt:i4>1</vt:i4>
      </vt:variant>
    </vt:vector>
  </HeadingPairs>
  <TitlesOfParts>
    <vt:vector size="1" baseType="lpstr">
      <vt:lpstr>Ministru kabineta noteikumu projekta „G„Grozījumi Ministru kabineta 2009.gada 15.septembra noteikumos Nr.1065 „Noteikumi par aizdevumiem sīko (mikro), mazo un vidējo saimnieciskās darbības veicēju un lauksaimniecības pakalpojumu kooperatīvo sabiedrību att</vt:lpstr>
    </vt:vector>
  </TitlesOfParts>
  <Company>LR Ekonomikas ministrija</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„G„Grozījumi Ministru kabineta 2009.gada 15.septembra noteikumos Nr.1065 „Noteikumi par aizdevumiem sīko (mikro), mazo un vidējo saimnieciskās darbības veicēju un lauksaimniecības pakalpojumu kooperatīvo sabiedrību attīstības veicināšanai" ietvaros”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11</cp:revision>
  <cp:lastPrinted>2013-11-28T10:42:00Z</cp:lastPrinted>
  <dcterms:created xsi:type="dcterms:W3CDTF">2013-10-25T09:51:00Z</dcterms:created>
  <dcterms:modified xsi:type="dcterms:W3CDTF">2013-11-28T10:42:00Z</dcterms:modified>
</cp:coreProperties>
</file>