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2" w:rsidRPr="00D4557C" w:rsidRDefault="00BB09C5" w:rsidP="007A1564">
      <w:pPr>
        <w:tabs>
          <w:tab w:val="left" w:pos="6237"/>
        </w:tabs>
        <w:jc w:val="center"/>
        <w:rPr>
          <w:b/>
          <w:sz w:val="26"/>
          <w:szCs w:val="26"/>
          <w:lang w:val="lv-LV"/>
        </w:rPr>
      </w:pPr>
      <w:bookmarkStart w:id="0" w:name="OLE_LINK3"/>
      <w:bookmarkStart w:id="1" w:name="OLE_LINK1"/>
      <w:bookmarkStart w:id="2" w:name="OLE_LINK2"/>
      <w:r w:rsidRPr="00D4557C">
        <w:rPr>
          <w:b/>
          <w:sz w:val="26"/>
          <w:szCs w:val="26"/>
          <w:lang w:val="lv-LV"/>
        </w:rPr>
        <w:t xml:space="preserve">Ministru kabineta </w:t>
      </w:r>
      <w:r w:rsidR="00C83591" w:rsidRPr="00D4557C">
        <w:rPr>
          <w:b/>
          <w:sz w:val="26"/>
          <w:szCs w:val="26"/>
          <w:lang w:val="lv-LV"/>
        </w:rPr>
        <w:t>noteikumu</w:t>
      </w:r>
      <w:r w:rsidR="001764E7" w:rsidRPr="00D4557C">
        <w:rPr>
          <w:b/>
          <w:sz w:val="26"/>
          <w:szCs w:val="26"/>
          <w:lang w:val="lv-LV"/>
        </w:rPr>
        <w:t xml:space="preserve"> </w:t>
      </w:r>
      <w:r w:rsidRPr="00D4557C">
        <w:rPr>
          <w:b/>
          <w:sz w:val="26"/>
          <w:szCs w:val="26"/>
          <w:lang w:val="lv-LV"/>
        </w:rPr>
        <w:t xml:space="preserve">projekta </w:t>
      </w:r>
      <w:r w:rsidR="00092473" w:rsidRPr="00D4557C">
        <w:rPr>
          <w:b/>
          <w:sz w:val="26"/>
          <w:szCs w:val="26"/>
          <w:lang w:val="lv-LV"/>
        </w:rPr>
        <w:t>„</w:t>
      </w:r>
      <w:r w:rsidR="00926CC7" w:rsidRPr="00D4557C">
        <w:rPr>
          <w:b/>
          <w:sz w:val="26"/>
          <w:szCs w:val="26"/>
          <w:lang w:val="lv-LV"/>
        </w:rPr>
        <w:t>Grozījumi Ministru kabineta 2009.gada 17.februāra noteikumos Nr.164 „Noteikumi par aizdevumiem komersantu konkurētspējas uzlabošanai”</w:t>
      </w:r>
      <w:r w:rsidR="00092473" w:rsidRPr="00D4557C">
        <w:rPr>
          <w:b/>
          <w:sz w:val="26"/>
          <w:szCs w:val="26"/>
          <w:lang w:val="lv-LV"/>
        </w:rPr>
        <w:t xml:space="preserve"> </w:t>
      </w:r>
      <w:r w:rsidR="003000F0" w:rsidRPr="00D4557C">
        <w:rPr>
          <w:b/>
          <w:sz w:val="26"/>
          <w:szCs w:val="26"/>
          <w:lang w:val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3000F0" w:rsidRPr="00D4557C">
          <w:rPr>
            <w:b/>
            <w:sz w:val="26"/>
            <w:szCs w:val="26"/>
            <w:lang w:val="lv-LV"/>
          </w:rPr>
          <w:t>ziņojums</w:t>
        </w:r>
      </w:smartTag>
      <w:r w:rsidR="00E73425" w:rsidRPr="00D4557C">
        <w:rPr>
          <w:b/>
          <w:sz w:val="26"/>
          <w:szCs w:val="26"/>
          <w:lang w:val="lv-LV"/>
        </w:rPr>
        <w:t xml:space="preserve"> </w:t>
      </w:r>
      <w:r w:rsidR="003000F0" w:rsidRPr="00D4557C">
        <w:rPr>
          <w:b/>
          <w:sz w:val="26"/>
          <w:szCs w:val="26"/>
          <w:lang w:val="lv-LV"/>
        </w:rPr>
        <w:t>(</w:t>
      </w:r>
      <w:r w:rsidR="00E73425" w:rsidRPr="00D4557C">
        <w:rPr>
          <w:b/>
          <w:sz w:val="26"/>
          <w:szCs w:val="26"/>
          <w:lang w:val="lv-LV"/>
        </w:rPr>
        <w:t>anotācija</w:t>
      </w:r>
      <w:r w:rsidR="003000F0" w:rsidRPr="00D4557C">
        <w:rPr>
          <w:b/>
          <w:sz w:val="26"/>
          <w:szCs w:val="26"/>
          <w:lang w:val="lv-LV"/>
        </w:rPr>
        <w:t>)</w:t>
      </w:r>
    </w:p>
    <w:p w:rsidR="00B84C4B" w:rsidRPr="006C16D7" w:rsidRDefault="00B84C4B" w:rsidP="00F22471">
      <w:pPr>
        <w:pStyle w:val="BodyText"/>
        <w:jc w:val="center"/>
        <w:rPr>
          <w:b/>
          <w:sz w:val="26"/>
          <w:szCs w:val="26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A31FDC" w:rsidRPr="006C16D7" w:rsidTr="00F90307">
        <w:trPr>
          <w:trHeight w:val="141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bookmarkEnd w:id="0"/>
          <w:bookmarkEnd w:id="1"/>
          <w:bookmarkEnd w:id="2"/>
          <w:p w:rsidR="00A31FDC" w:rsidRPr="006C16D7" w:rsidRDefault="00A31FDC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b/>
                <w:sz w:val="26"/>
                <w:szCs w:val="26"/>
                <w:lang w:val="lv-LV" w:eastAsia="lv-LV"/>
              </w:rPr>
              <w:t>I.Tiesību akta projekta izstrādes nepieciešamība</w:t>
            </w:r>
          </w:p>
        </w:tc>
      </w:tr>
      <w:tr w:rsidR="00A31FDC" w:rsidRPr="006C16D7" w:rsidTr="00A43634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Pamatojums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6C16D7" w:rsidRDefault="00926CC7" w:rsidP="0023251B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G</w:t>
            </w:r>
            <w:r w:rsidR="00C83342" w:rsidRPr="006C16D7">
              <w:rPr>
                <w:sz w:val="26"/>
                <w:szCs w:val="26"/>
                <w:lang w:val="lv-LV"/>
              </w:rPr>
              <w:t xml:space="preserve">rozījumi </w:t>
            </w:r>
            <w:r w:rsidRPr="006C16D7">
              <w:rPr>
                <w:sz w:val="26"/>
                <w:szCs w:val="26"/>
                <w:lang w:val="lv-LV"/>
              </w:rPr>
              <w:t xml:space="preserve">Ministru kabineta 2009.gada 17.februāra noteikumos Nr.164 „Noteikumi par aizdevumiem komersantu konkurētspējas uzlabošanai” (turpmāk – MK noteikumi Nr.164) </w:t>
            </w:r>
            <w:r w:rsidR="00092473" w:rsidRPr="006C16D7">
              <w:rPr>
                <w:sz w:val="26"/>
                <w:szCs w:val="26"/>
                <w:lang w:val="lv-LV"/>
              </w:rPr>
              <w:t>ir izstrādāti pamatojoties uz</w:t>
            </w:r>
            <w:r w:rsidR="0081539E" w:rsidRPr="006C16D7">
              <w:rPr>
                <w:sz w:val="26"/>
                <w:szCs w:val="26"/>
                <w:lang w:val="lv-LV"/>
              </w:rPr>
              <w:t xml:space="preserve"> Ministru kabineta iekārtas likuma </w:t>
            </w:r>
            <w:r w:rsidR="005F6018" w:rsidRPr="006C16D7">
              <w:rPr>
                <w:sz w:val="26"/>
                <w:szCs w:val="26"/>
                <w:lang w:val="lv-LV"/>
              </w:rPr>
              <w:t>31.panta pirmās daļas 3.punktu,</w:t>
            </w:r>
            <w:r w:rsidR="00092473" w:rsidRPr="006C16D7"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 w:rsidR="00092473" w:rsidRPr="006C16D7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="00092473" w:rsidRPr="006C16D7">
              <w:rPr>
                <w:i/>
                <w:sz w:val="26"/>
                <w:szCs w:val="26"/>
                <w:lang w:val="lv-LV"/>
              </w:rPr>
              <w:t xml:space="preserve"> </w:t>
            </w:r>
            <w:r w:rsidR="00092473" w:rsidRPr="00D4557C">
              <w:rPr>
                <w:sz w:val="26"/>
                <w:szCs w:val="26"/>
                <w:lang w:val="lv-LV"/>
              </w:rPr>
              <w:t>ieviešanas kārtības likuma 30.panta pirm</w:t>
            </w:r>
            <w:r w:rsidR="0023251B" w:rsidRPr="00D4557C">
              <w:rPr>
                <w:sz w:val="26"/>
                <w:szCs w:val="26"/>
                <w:lang w:val="lv-LV"/>
              </w:rPr>
              <w:t>o</w:t>
            </w:r>
            <w:r w:rsidR="00092473" w:rsidRPr="00D4557C">
              <w:rPr>
                <w:sz w:val="26"/>
                <w:szCs w:val="26"/>
                <w:lang w:val="lv-LV"/>
              </w:rPr>
              <w:t xml:space="preserve"> daļu un Ministru kabineta 2012.gada 27.jūnija rīkojuma Nr.282 „Par „Koncepciju par normatīvo aktu sakārtošanu sais</w:t>
            </w:r>
            <w:r w:rsidR="007A1564" w:rsidRPr="00D4557C">
              <w:rPr>
                <w:sz w:val="26"/>
                <w:szCs w:val="26"/>
                <w:lang w:val="lv-LV"/>
              </w:rPr>
              <w:t>tībā ar eiro ieviešanu Latvijā”</w:t>
            </w:r>
            <w:r w:rsidR="00092473" w:rsidRPr="00D4557C">
              <w:rPr>
                <w:sz w:val="26"/>
                <w:szCs w:val="26"/>
                <w:lang w:val="lv-LV"/>
              </w:rPr>
              <w:t xml:space="preserve"> 7.1.apakšpunktu, kā arī ņemot vērā </w:t>
            </w:r>
            <w:r w:rsidRPr="00D4557C">
              <w:rPr>
                <w:sz w:val="26"/>
                <w:szCs w:val="26"/>
                <w:lang w:val="lv-LV"/>
              </w:rPr>
              <w:t xml:space="preserve">Komisijas </w:t>
            </w:r>
            <w:r w:rsidR="0023251B" w:rsidRPr="00D4557C">
              <w:rPr>
                <w:sz w:val="26"/>
                <w:szCs w:val="26"/>
                <w:lang w:val="lv-LV"/>
              </w:rPr>
              <w:t xml:space="preserve">2008.gada 6.augusta </w:t>
            </w:r>
            <w:r w:rsidRPr="00D4557C">
              <w:rPr>
                <w:sz w:val="26"/>
                <w:szCs w:val="26"/>
                <w:lang w:val="lv-LV"/>
              </w:rPr>
              <w:t>Regulas (EK) Nr.</w:t>
            </w:r>
            <w:r w:rsidR="007A1564" w:rsidRPr="00D4557C">
              <w:rPr>
                <w:sz w:val="26"/>
                <w:szCs w:val="26"/>
                <w:lang w:val="lv-LV"/>
              </w:rPr>
              <w:t>800/2008</w:t>
            </w:r>
            <w:r w:rsidRPr="00D4557C">
              <w:rPr>
                <w:sz w:val="26"/>
                <w:szCs w:val="26"/>
                <w:lang w:val="lv-LV"/>
              </w:rPr>
              <w:t>, kas atzīst noteiktas atbalsta kategorijas par saderīgām ar kopējo tirg</w:t>
            </w:r>
            <w:r w:rsidR="007A1564" w:rsidRPr="00D4557C">
              <w:rPr>
                <w:sz w:val="26"/>
                <w:szCs w:val="26"/>
                <w:lang w:val="lv-LV"/>
              </w:rPr>
              <w:t>u, piemērojot Līguma 87. un 88.</w:t>
            </w:r>
            <w:r w:rsidRPr="00D4557C">
              <w:rPr>
                <w:sz w:val="26"/>
                <w:szCs w:val="26"/>
                <w:lang w:val="lv-LV"/>
              </w:rPr>
              <w:t xml:space="preserve">pantu (vispārējā grupu atbrīvojuma regula) (Eiropas Savienības Oficiālais Vēstnesis, 2008.gada 9.augusts, </w:t>
            </w:r>
            <w:proofErr w:type="spellStart"/>
            <w:r w:rsidRPr="00D4557C">
              <w:rPr>
                <w:sz w:val="26"/>
                <w:szCs w:val="26"/>
                <w:lang w:val="lv-LV"/>
              </w:rPr>
              <w:t>Nr.L</w:t>
            </w:r>
            <w:proofErr w:type="spellEnd"/>
            <w:r w:rsidRPr="00D4557C">
              <w:rPr>
                <w:sz w:val="26"/>
                <w:szCs w:val="26"/>
                <w:lang w:val="lv-LV"/>
              </w:rPr>
              <w:t xml:space="preserve"> 214), (turpmāk – Regula </w:t>
            </w:r>
            <w:r w:rsidR="004A3ED4">
              <w:rPr>
                <w:sz w:val="26"/>
                <w:szCs w:val="26"/>
                <w:lang w:val="lv-LV"/>
              </w:rPr>
              <w:t xml:space="preserve">Nr.800/2008)  44.panta 3.punktu un </w:t>
            </w:r>
            <w:r w:rsidR="004A3ED4" w:rsidRPr="00D9708B">
              <w:rPr>
                <w:sz w:val="26"/>
                <w:szCs w:val="26"/>
                <w:lang w:val="lv-LV"/>
              </w:rPr>
              <w:t xml:space="preserve">Komisijas 2006.gada 15.decembra </w:t>
            </w:r>
            <w:r w:rsidR="004A3ED4">
              <w:rPr>
                <w:sz w:val="26"/>
                <w:szCs w:val="26"/>
                <w:lang w:val="lv-LV"/>
              </w:rPr>
              <w:t>Regulas</w:t>
            </w:r>
            <w:r w:rsidR="004A3ED4" w:rsidRPr="00D9708B">
              <w:rPr>
                <w:sz w:val="26"/>
                <w:szCs w:val="26"/>
                <w:lang w:val="lv-LV"/>
              </w:rPr>
              <w:t xml:space="preserve"> (EK) Nr.1998/2006 par Līguma 87. un 88. panta piemērošanu </w:t>
            </w:r>
            <w:proofErr w:type="spellStart"/>
            <w:r w:rsidR="004A3ED4" w:rsidRPr="00D9708B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="004A3ED4" w:rsidRPr="00D9708B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="004A3ED4" w:rsidRPr="00D9708B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="004A3ED4" w:rsidRPr="00D9708B">
              <w:rPr>
                <w:sz w:val="26"/>
                <w:szCs w:val="26"/>
                <w:lang w:val="lv-LV"/>
              </w:rPr>
              <w:t xml:space="preserve"> atbalstam (turpmāk – Regula Nr.</w:t>
            </w:r>
            <w:r w:rsidR="004A3ED4">
              <w:rPr>
                <w:sz w:val="26"/>
                <w:szCs w:val="26"/>
                <w:lang w:val="lv-LV"/>
              </w:rPr>
              <w:t>1998/2006) 5.panta 3.punktu.</w:t>
            </w:r>
          </w:p>
        </w:tc>
      </w:tr>
      <w:tr w:rsidR="00A31FDC" w:rsidRPr="006C16D7" w:rsidTr="00A43634">
        <w:trPr>
          <w:trHeight w:val="50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Pašreizējā situācija un problēmas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A1564" w:rsidRPr="00D4557C" w:rsidRDefault="006A52B0" w:rsidP="00D4557C">
            <w:pPr>
              <w:jc w:val="both"/>
              <w:rPr>
                <w:rFonts w:eastAsia="Times New Roman"/>
                <w:bCs/>
                <w:i/>
                <w:sz w:val="26"/>
                <w:szCs w:val="26"/>
                <w:lang w:val="lv-LV"/>
              </w:rPr>
            </w:pP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Grozījumi MK noteikum</w:t>
            </w:r>
            <w:r w:rsidR="00343171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os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</w:t>
            </w:r>
            <w:r w:rsidR="00707D26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Nr.164 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ir nepieciešami, lai </w:t>
            </w:r>
            <w:r w:rsidR="007A1564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pagarinātu aizdevumu piešķiršanas termiņu līdz 2014.gada 30.jūnijam</w:t>
            </w:r>
            <w:r w:rsidR="00343171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, kā arī </w:t>
            </w:r>
            <w:r w:rsidR="007A1564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</w:t>
            </w:r>
            <w:r w:rsidR="00343171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aizstāt latus ar </w:t>
            </w:r>
            <w:proofErr w:type="spellStart"/>
            <w:r w:rsidR="00343171" w:rsidRPr="00D4557C">
              <w:rPr>
                <w:rFonts w:eastAsia="Times New Roman"/>
                <w:bCs/>
                <w:i/>
                <w:sz w:val="26"/>
                <w:szCs w:val="26"/>
                <w:lang w:val="lv-LV"/>
              </w:rPr>
              <w:t>euro</w:t>
            </w:r>
            <w:proofErr w:type="spellEnd"/>
            <w:r w:rsidR="00343171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, </w:t>
            </w:r>
            <w:r w:rsidR="007A1564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ņemot vērā, ka ar 2014.gada 1.janvāri Latvijā plānots ieviest</w:t>
            </w:r>
            <w:r w:rsidR="007A1564" w:rsidRPr="00D4557C">
              <w:rPr>
                <w:rFonts w:eastAsia="Times New Roman"/>
                <w:bCs/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="007A1564" w:rsidRPr="00D4557C">
              <w:rPr>
                <w:rFonts w:eastAsia="Times New Roman"/>
                <w:bCs/>
                <w:i/>
                <w:sz w:val="26"/>
                <w:szCs w:val="26"/>
                <w:lang w:val="lv-LV"/>
              </w:rPr>
              <w:t>euro</w:t>
            </w:r>
            <w:proofErr w:type="spellEnd"/>
            <w:r w:rsidR="007A1564" w:rsidRPr="00D4557C">
              <w:rPr>
                <w:rFonts w:eastAsia="Times New Roman"/>
                <w:bCs/>
                <w:i/>
                <w:sz w:val="26"/>
                <w:szCs w:val="26"/>
                <w:lang w:val="lv-LV"/>
              </w:rPr>
              <w:t>.</w:t>
            </w:r>
          </w:p>
          <w:p w:rsidR="000A25B3" w:rsidRDefault="006A52B0" w:rsidP="00630A14">
            <w:pPr>
              <w:jc w:val="both"/>
              <w:rPr>
                <w:rFonts w:eastAsia="Times New Roman"/>
                <w:bCs/>
                <w:sz w:val="26"/>
                <w:szCs w:val="26"/>
                <w:lang w:val="lv-LV"/>
              </w:rPr>
            </w:pP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2009.gada 21.aprīlī Latvijas Hipotēku un zemes banka (turpmāk – </w:t>
            </w:r>
            <w:r w:rsidR="007A1564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LHZB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) un Ekonomikas ministrija noslēdza līgumu par komersantu konkurētspējas uzlabošanas aizdevumu īstenošanas nosacījumiem un kārtību, piesaistot Eiropas Reģionālās attīstības fonda (turpmāk – ERAF) līdzfinansējumu. Līgums nosaka, ka, atbilstoši E</w:t>
            </w:r>
            <w:r w:rsidR="003A3394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iropas Savienības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prasībām, aizdevumu izsniegšanai no ERAF līdzekļiem tiek izveidots Aizdevumu fonds. Ministru kabineta 2009.gada 10.marta noteikumi Nr.238 „Par darbības </w:t>
            </w:r>
            <w:r w:rsidR="006C16D7">
              <w:rPr>
                <w:rFonts w:eastAsia="Times New Roman"/>
                <w:bCs/>
                <w:sz w:val="26"/>
                <w:szCs w:val="26"/>
                <w:lang w:val="lv-LV"/>
              </w:rPr>
              <w:t>programma</w:t>
            </w:r>
            <w:r w:rsidR="00BA2F99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s </w:t>
            </w:r>
            <w:r w:rsidR="00D4557C">
              <w:rPr>
                <w:rFonts w:eastAsia="Times New Roman"/>
                <w:bCs/>
                <w:sz w:val="26"/>
                <w:szCs w:val="26"/>
                <w:lang w:val="lv-LV"/>
              </w:rPr>
              <w:t>„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Uzņēmējdarbība un inovācijas” papildinājuma 2.2.1.4.1.aktivitāti</w:t>
            </w:r>
            <w:r w:rsid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„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Aizdevumi komersantu konkurētspējas uzlabošanai”” </w:t>
            </w:r>
            <w:r w:rsidR="00AD2F20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(turpmāk – MK noteikumi Nr.238) 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nosaka kārtību, kā komersantu konkurētspējas uzlabošanas aizdevumiem tiks piesai</w:t>
            </w:r>
            <w:r w:rsidR="007A1564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stīti ERAF un valsts</w:t>
            </w:r>
            <w:r w:rsidR="004F0713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budžeta</w:t>
            </w:r>
            <w:r w:rsidR="007A1564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līdzekļi 39,5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milj. LVL apmērā. </w:t>
            </w:r>
          </w:p>
          <w:p w:rsidR="00630A14" w:rsidRPr="006C16D7" w:rsidRDefault="00630A14" w:rsidP="00630A14">
            <w:pPr>
              <w:jc w:val="both"/>
              <w:rPr>
                <w:rFonts w:eastAsia="Times New Roman"/>
                <w:bCs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bCs/>
                <w:sz w:val="26"/>
                <w:szCs w:val="26"/>
                <w:lang w:val="lv-LV"/>
              </w:rPr>
              <w:t>Papildus LHZB ir piesaistījusi Ziemeļu In</w:t>
            </w:r>
            <w:r w:rsidR="002639D9" w:rsidRPr="006C16D7">
              <w:rPr>
                <w:rFonts w:eastAsia="Times New Roman"/>
                <w:bCs/>
                <w:sz w:val="26"/>
                <w:szCs w:val="26"/>
                <w:lang w:val="lv-LV"/>
              </w:rPr>
              <w:t>vestīciju bankas finansējumu 70,</w:t>
            </w:r>
            <w:r w:rsidR="00964B4F">
              <w:rPr>
                <w:rFonts w:eastAsia="Times New Roman"/>
                <w:bCs/>
                <w:sz w:val="26"/>
                <w:szCs w:val="26"/>
                <w:lang w:val="lv-LV"/>
              </w:rPr>
              <w:t>28</w:t>
            </w:r>
            <w:r w:rsidRPr="006C16D7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6C16D7">
              <w:rPr>
                <w:rFonts w:eastAsia="Times New Roman"/>
                <w:bCs/>
                <w:sz w:val="26"/>
                <w:szCs w:val="26"/>
                <w:lang w:val="lv-LV"/>
              </w:rPr>
              <w:t>milj</w:t>
            </w:r>
            <w:proofErr w:type="spellEnd"/>
            <w:r w:rsidRPr="006C16D7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. LVL apmērā. Tāpat komersantu kreditēšanai tiek izmantoti Eiropas Investīciju bankas aizdevuma </w:t>
            </w:r>
            <w:r w:rsidRPr="006C16D7">
              <w:rPr>
                <w:rFonts w:eastAsia="Times New Roman"/>
                <w:bCs/>
                <w:sz w:val="26"/>
                <w:szCs w:val="26"/>
                <w:lang w:val="lv-LV"/>
              </w:rPr>
              <w:lastRenderedPageBreak/>
              <w:t>līdzekļi, kas saskaņā ar Likumu par valsts budžetu 2009.gadam paredzēti komercdarbības veicināšanas aizdevumiem.</w:t>
            </w:r>
            <w:r w:rsidR="00AD2F20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</w:t>
            </w:r>
            <w:r w:rsidR="00AD2F20" w:rsidRPr="00ED1D3C">
              <w:rPr>
                <w:rFonts w:eastAsia="Times New Roman"/>
                <w:bCs/>
                <w:sz w:val="26"/>
                <w:szCs w:val="26"/>
                <w:lang w:val="lv-LV"/>
              </w:rPr>
              <w:t>Turpmāk kopā šie trīs resursi tiek saukti par  Konkurētspējas programmu.</w:t>
            </w:r>
          </w:p>
          <w:p w:rsidR="00AD2F20" w:rsidRDefault="00630A14" w:rsidP="00AD2F20">
            <w:pPr>
              <w:jc w:val="both"/>
              <w:rPr>
                <w:rFonts w:eastAsia="Times New Roman"/>
                <w:bCs/>
                <w:sz w:val="26"/>
                <w:szCs w:val="26"/>
                <w:lang w:val="lv-LV"/>
              </w:rPr>
            </w:pP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No </w:t>
            </w:r>
            <w:r w:rsidR="00BA2F99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Konkurētspējas 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programmas darbības sākuma līdz 2013.gada oktobrim LHZB ir piešķīrusi 421 </w:t>
            </w:r>
            <w:r w:rsidR="00AD2F20">
              <w:rPr>
                <w:rFonts w:eastAsia="Times New Roman"/>
                <w:bCs/>
                <w:sz w:val="26"/>
                <w:szCs w:val="26"/>
                <w:lang w:val="lv-LV"/>
              </w:rPr>
              <w:t>aizdevumus par kopējo summu 184,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6 </w:t>
            </w:r>
            <w:proofErr w:type="spellStart"/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milj</w:t>
            </w:r>
            <w:proofErr w:type="spellEnd"/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. LVL. No ERAF līdzekļiem Konkurētspējas programmas ietvaros ir izsniegti 7</w:t>
            </w:r>
            <w:r w:rsidR="00AD2F20">
              <w:rPr>
                <w:rFonts w:eastAsia="Times New Roman"/>
                <w:bCs/>
                <w:sz w:val="26"/>
                <w:szCs w:val="26"/>
                <w:lang w:val="lv-LV"/>
              </w:rPr>
              <w:t>7 aizdevumi par kopējo summu 47,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8 </w:t>
            </w:r>
            <w:proofErr w:type="spellStart"/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milj</w:t>
            </w:r>
            <w:proofErr w:type="spellEnd"/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. latu. 2012.gada nogalē ir sniegts valsts galvojums LHZB aizņēmumam no Ei</w:t>
            </w:r>
            <w:r w:rsidR="00AD2F20">
              <w:rPr>
                <w:rFonts w:eastAsia="Times New Roman"/>
                <w:bCs/>
                <w:sz w:val="26"/>
                <w:szCs w:val="26"/>
                <w:lang w:val="lv-LV"/>
              </w:rPr>
              <w:t>ropas Investīciju bankas LVL 70,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28 </w:t>
            </w:r>
            <w:proofErr w:type="spellStart"/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milj</w:t>
            </w:r>
            <w:proofErr w:type="spellEnd"/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. LVL apmērā. </w:t>
            </w:r>
            <w:r w:rsidR="00AD2F20">
              <w:rPr>
                <w:rFonts w:eastAsia="Times New Roman"/>
                <w:bCs/>
                <w:sz w:val="26"/>
                <w:szCs w:val="26"/>
                <w:lang w:val="lv-LV"/>
              </w:rPr>
              <w:t>Visus augstākminētos aizdevumus LHZB izsniedz saskaņā ar šiem MK noteikumiem Nr.164, proti, valsts atbalsta nosacījumiem.</w:t>
            </w:r>
          </w:p>
          <w:p w:rsidR="00630A14" w:rsidRPr="00D4557C" w:rsidRDefault="00630A14" w:rsidP="00D4557C">
            <w:pPr>
              <w:jc w:val="both"/>
              <w:rPr>
                <w:rFonts w:eastAsia="Times New Roman"/>
                <w:bCs/>
                <w:sz w:val="26"/>
                <w:szCs w:val="26"/>
                <w:lang w:val="lv-LV"/>
              </w:rPr>
            </w:pP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Ņemot vērā </w:t>
            </w:r>
            <w:r w:rsidR="00BA2F99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Konkurētspējas 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programmas veiksmīgo realizāciju, nepieciešams tās termiņa pagarinājums.</w:t>
            </w:r>
          </w:p>
          <w:p w:rsidR="00DF675E" w:rsidRDefault="004F0713" w:rsidP="00D4557C">
            <w:pPr>
              <w:jc w:val="both"/>
              <w:rPr>
                <w:rFonts w:eastAsia="Times New Roman"/>
                <w:bCs/>
                <w:sz w:val="26"/>
                <w:szCs w:val="26"/>
                <w:lang w:val="lv-LV"/>
              </w:rPr>
            </w:pP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Šobrīd</w:t>
            </w:r>
            <w:r w:rsidR="006A170C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spēkā esošā MK noteikumu Nr.164 6.punkta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redakcija nosaka, ka </w:t>
            </w:r>
            <w:r w:rsidR="006A170C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aizdevumu līgumu noslēgšanas termiņš ir 2013.gada 31.decembris. A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ttiecīgā prasība </w:t>
            </w:r>
            <w:r w:rsidR="00BA2F99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MK 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noteikumos</w:t>
            </w:r>
            <w:r w:rsidR="006A170C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Nr.164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ir iekļauta, ņemot vē</w:t>
            </w:r>
            <w:r w:rsidR="006A170C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rā valsts atbalsta regulējumu. </w:t>
            </w:r>
            <w:r w:rsidR="00DF675E">
              <w:rPr>
                <w:rFonts w:eastAsia="Times New Roman"/>
                <w:bCs/>
                <w:sz w:val="26"/>
                <w:szCs w:val="26"/>
                <w:lang w:val="lv-LV"/>
              </w:rPr>
              <w:t>Ņemot vērā, ka</w:t>
            </w:r>
            <w:r w:rsidR="006A170C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Eiropas Komisija</w:t>
            </w:r>
            <w:r w:rsidR="00DF675E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2013.gada 30.oktobrī ir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apstiprin</w:t>
            </w:r>
            <w:r w:rsidR="00DF675E">
              <w:rPr>
                <w:rFonts w:eastAsia="Times New Roman"/>
                <w:bCs/>
                <w:sz w:val="26"/>
                <w:szCs w:val="26"/>
                <w:lang w:val="lv-LV"/>
              </w:rPr>
              <w:t>ājusi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</w:t>
            </w:r>
            <w:r w:rsidR="00DF675E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Latvijas Republikas Reģionālās atbalsta kartes 2007.-2013.pagarinājumu līdz 2014.gada 30.jūnijam, ir iespējams pagarināt MK noteikumos Nr.164 noteikto līgumu noslēgšanas termiņu. Papildus informējam, ka </w:t>
            </w:r>
            <w:r w:rsidR="00DF675E" w:rsidRPr="00DF675E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Jaunās Vispārējās grupu atbrīvojuma regulas projekta otrajā apspriešanā tiek piedāvāts pašreizējās Regulas </w:t>
            </w:r>
            <w:proofErr w:type="spellStart"/>
            <w:r w:rsidR="00DF675E" w:rsidRPr="00DF675E">
              <w:rPr>
                <w:rFonts w:eastAsia="Times New Roman"/>
                <w:bCs/>
                <w:sz w:val="26"/>
                <w:szCs w:val="26"/>
                <w:lang w:val="lv-LV"/>
              </w:rPr>
              <w:t>Nr</w:t>
            </w:r>
            <w:proofErr w:type="spellEnd"/>
            <w:r w:rsidR="00DF675E" w:rsidRPr="00DF675E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. 800/2008 pagarinājums līdz 2014. gada 30. jūnijam, kas nozīmēs, ka, ja tas tiks apstiprināts, Regula </w:t>
            </w:r>
            <w:proofErr w:type="spellStart"/>
            <w:r w:rsidR="00DF675E" w:rsidRPr="00DF675E">
              <w:rPr>
                <w:rFonts w:eastAsia="Times New Roman"/>
                <w:bCs/>
                <w:sz w:val="26"/>
                <w:szCs w:val="26"/>
                <w:lang w:val="lv-LV"/>
              </w:rPr>
              <w:t>Nr</w:t>
            </w:r>
            <w:proofErr w:type="spellEnd"/>
            <w:r w:rsidR="00DF675E" w:rsidRPr="00DF675E">
              <w:rPr>
                <w:rFonts w:eastAsia="Times New Roman"/>
                <w:bCs/>
                <w:sz w:val="26"/>
                <w:szCs w:val="26"/>
                <w:lang w:val="lv-LV"/>
              </w:rPr>
              <w:t>. 800/2008 darbosies līdz 2014. gada 30. jūnijam</w:t>
            </w:r>
          </w:p>
          <w:p w:rsidR="00DF675E" w:rsidRPr="005D7EB7" w:rsidRDefault="00DF675E" w:rsidP="005D7EB7">
            <w:pPr>
              <w:ind w:firstLine="567"/>
              <w:jc w:val="both"/>
              <w:rPr>
                <w:sz w:val="26"/>
                <w:szCs w:val="26"/>
                <w:lang w:val="lv-LV"/>
              </w:rPr>
            </w:pPr>
            <w:r>
              <w:rPr>
                <w:rFonts w:eastAsia="Times New Roman"/>
                <w:bCs/>
                <w:sz w:val="26"/>
                <w:szCs w:val="26"/>
                <w:lang w:val="lv-LV"/>
              </w:rPr>
              <w:t>Saskaņā ar MK noteikumu Nr.165 II sadaļu, apgrozāmo līdzek</w:t>
            </w:r>
            <w:r w:rsidR="008655D8">
              <w:rPr>
                <w:rFonts w:eastAsia="Times New Roman"/>
                <w:bCs/>
                <w:sz w:val="26"/>
                <w:szCs w:val="26"/>
                <w:lang w:val="lv-LV"/>
              </w:rPr>
              <w:t>ļu</w:t>
            </w:r>
            <w:r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aizdevumus sniedz kā </w:t>
            </w:r>
            <w:proofErr w:type="spellStart"/>
            <w:r w:rsidRPr="005D7EB7">
              <w:rPr>
                <w:rFonts w:eastAsia="Times New Roman"/>
                <w:bCs/>
                <w:i/>
                <w:sz w:val="26"/>
                <w:szCs w:val="26"/>
                <w:lang w:val="lv-LV"/>
              </w:rPr>
              <w:t>de</w:t>
            </w:r>
            <w:proofErr w:type="spellEnd"/>
            <w:r w:rsidRPr="005D7EB7">
              <w:rPr>
                <w:rFonts w:eastAsia="Times New Roman"/>
                <w:bCs/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5D7EB7">
              <w:rPr>
                <w:rFonts w:eastAsia="Times New Roman"/>
                <w:bCs/>
                <w:i/>
                <w:sz w:val="26"/>
                <w:szCs w:val="26"/>
                <w:lang w:val="lv-LV"/>
              </w:rPr>
              <w:t>minimis</w:t>
            </w:r>
            <w:proofErr w:type="spellEnd"/>
            <w:r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atbalstu. </w:t>
            </w:r>
            <w:r w:rsidR="008655D8">
              <w:rPr>
                <w:sz w:val="26"/>
                <w:szCs w:val="26"/>
                <w:lang w:val="lv-LV"/>
              </w:rPr>
              <w:t xml:space="preserve">Ņemot vērā Regulas 1998/2006 6.pantu, kas nosaka, ka Regulu Nr.1998/2006 piemēro no 2007.gada 1.janvāra līdz 2013.gada 31.decembrim, šo atbalstu var sniegt līdz </w:t>
            </w:r>
            <w:proofErr w:type="spellStart"/>
            <w:r w:rsidR="008655D8">
              <w:rPr>
                <w:sz w:val="26"/>
                <w:szCs w:val="26"/>
                <w:lang w:val="lv-LV"/>
              </w:rPr>
              <w:t>š.g</w:t>
            </w:r>
            <w:proofErr w:type="spellEnd"/>
            <w:r w:rsidR="008655D8">
              <w:rPr>
                <w:sz w:val="26"/>
                <w:szCs w:val="26"/>
                <w:lang w:val="lv-LV"/>
              </w:rPr>
              <w:t xml:space="preserve">. beigām. Ņemot vērā, ka jaunās Regulas, kas regulēs </w:t>
            </w:r>
            <w:proofErr w:type="spellStart"/>
            <w:r w:rsidR="008655D8" w:rsidRPr="004C64F4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="008655D8" w:rsidRPr="004C64F4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="008655D8" w:rsidRPr="004C64F4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="008655D8">
              <w:rPr>
                <w:sz w:val="26"/>
                <w:szCs w:val="26"/>
                <w:lang w:val="lv-LV"/>
              </w:rPr>
              <w:t xml:space="preserve"> atbalstu, vēl ir izstrādes stadijā, lai nodrošinātu apgrozāmo līdzekļu aizdevumus pēc 2013.gada 31.decembra, nepieciešams pagarināt atbalsta piešķiršanas termiņu atbilstoši Regulas Nr.1998/2006 </w:t>
            </w:r>
            <w:r w:rsidR="008655D8" w:rsidRPr="001537AB">
              <w:rPr>
                <w:sz w:val="26"/>
                <w:szCs w:val="26"/>
                <w:lang w:val="lv-LV"/>
              </w:rPr>
              <w:t>5.p</w:t>
            </w:r>
            <w:r w:rsidR="008655D8">
              <w:rPr>
                <w:sz w:val="26"/>
                <w:szCs w:val="26"/>
                <w:lang w:val="lv-LV"/>
              </w:rPr>
              <w:t xml:space="preserve">anta 3.punktam,kas nosaka, ka </w:t>
            </w:r>
            <w:r w:rsidR="008655D8" w:rsidRPr="001537AB">
              <w:rPr>
                <w:sz w:val="26"/>
                <w:szCs w:val="26"/>
                <w:lang w:val="lv-LV"/>
              </w:rPr>
              <w:t xml:space="preserve">regulas spēkā esamības laika beigās jebkuru </w:t>
            </w:r>
            <w:proofErr w:type="spellStart"/>
            <w:r w:rsidR="008655D8" w:rsidRPr="004C64F4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="008655D8" w:rsidRPr="004C64F4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="008655D8" w:rsidRPr="004C64F4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="008655D8">
              <w:rPr>
                <w:sz w:val="26"/>
                <w:szCs w:val="26"/>
                <w:lang w:val="lv-LV"/>
              </w:rPr>
              <w:t xml:space="preserve"> atbalstu, kurš atbilst šo regulu</w:t>
            </w:r>
            <w:r w:rsidR="008655D8" w:rsidRPr="001537AB">
              <w:rPr>
                <w:sz w:val="26"/>
                <w:szCs w:val="26"/>
                <w:lang w:val="lv-LV"/>
              </w:rPr>
              <w:t xml:space="preserve"> nosacījumiem, var likumīgi īs</w:t>
            </w:r>
            <w:r w:rsidR="008655D8">
              <w:rPr>
                <w:sz w:val="26"/>
                <w:szCs w:val="26"/>
                <w:lang w:val="lv-LV"/>
              </w:rPr>
              <w:t xml:space="preserve">tenot turpmākajos sešos mēnešos, proti, </w:t>
            </w:r>
            <w:r w:rsidR="008655D8" w:rsidRPr="008E54FE">
              <w:rPr>
                <w:sz w:val="26"/>
                <w:szCs w:val="26"/>
                <w:u w:val="single"/>
                <w:lang w:val="lv-LV"/>
              </w:rPr>
              <w:t>līdz 2014.gada 30.jūnijam</w:t>
            </w:r>
            <w:r w:rsidR="008655D8">
              <w:rPr>
                <w:sz w:val="26"/>
                <w:szCs w:val="26"/>
                <w:lang w:val="lv-LV"/>
              </w:rPr>
              <w:t xml:space="preserve">. Attiecīgā pieeja saistībā par Regulas Nr.1998/2006 termiņa pagarinājumu ar elektroniskā pasta vēstuli saskaņota ir ar Eiropas Komisijas </w:t>
            </w:r>
            <w:r w:rsidR="008655D8" w:rsidRPr="004C64F4">
              <w:rPr>
                <w:i/>
                <w:sz w:val="26"/>
                <w:szCs w:val="26"/>
                <w:u w:val="single"/>
                <w:lang w:val="lv-LV"/>
              </w:rPr>
              <w:t xml:space="preserve">DG </w:t>
            </w:r>
            <w:proofErr w:type="spellStart"/>
            <w:r w:rsidR="008655D8" w:rsidRPr="004C64F4">
              <w:rPr>
                <w:i/>
                <w:sz w:val="26"/>
                <w:szCs w:val="26"/>
                <w:u w:val="single"/>
                <w:lang w:val="lv-LV"/>
              </w:rPr>
              <w:t>Competition</w:t>
            </w:r>
            <w:proofErr w:type="spellEnd"/>
            <w:r w:rsidR="008655D8">
              <w:rPr>
                <w:sz w:val="26"/>
                <w:szCs w:val="26"/>
                <w:lang w:val="lv-LV"/>
              </w:rPr>
              <w:t xml:space="preserve"> pārstāvjiem, kas norāda, ka Regulas Nr.1998/2006 5.panta 3.punkts attiecināms arī uz jauna atbalsta lēmuma pieņemšanu. Jauno </w:t>
            </w:r>
            <w:proofErr w:type="spellStart"/>
            <w:r w:rsidR="008655D8" w:rsidRPr="004C64F4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="008655D8" w:rsidRPr="004C64F4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="008655D8" w:rsidRPr="004C64F4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="008655D8">
              <w:rPr>
                <w:sz w:val="26"/>
                <w:szCs w:val="26"/>
                <w:lang w:val="lv-LV"/>
              </w:rPr>
              <w:t xml:space="preserve"> atbalsta regulējuma ietvertie nosacījumi tiks iestrādāti MK noteikumos </w:t>
            </w:r>
            <w:r w:rsidR="008655D8">
              <w:rPr>
                <w:sz w:val="26"/>
                <w:szCs w:val="26"/>
                <w:lang w:val="lv-LV"/>
              </w:rPr>
              <w:lastRenderedPageBreak/>
              <w:t xml:space="preserve">Nr.164 līdz ar jaunās </w:t>
            </w:r>
            <w:proofErr w:type="spellStart"/>
            <w:r w:rsidR="008655D8" w:rsidRPr="004C64F4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="008655D8" w:rsidRPr="004C64F4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="008655D8" w:rsidRPr="004C64F4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="008655D8">
              <w:rPr>
                <w:sz w:val="26"/>
                <w:szCs w:val="26"/>
                <w:lang w:val="lv-LV"/>
              </w:rPr>
              <w:t xml:space="preserve"> regulas spēkā stāšanos.</w:t>
            </w:r>
          </w:p>
          <w:p w:rsidR="004A3ED4" w:rsidRDefault="004F0713" w:rsidP="005D7EB7">
            <w:pPr>
              <w:jc w:val="both"/>
              <w:rPr>
                <w:rFonts w:eastAsia="Times New Roman"/>
                <w:bCs/>
                <w:sz w:val="26"/>
                <w:szCs w:val="26"/>
                <w:lang w:val="lv-LV"/>
              </w:rPr>
            </w:pP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Līdz ar to ir nepieciešams veikt</w:t>
            </w:r>
            <w:r w:rsidR="006A170C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grozījumus MK noteikumos Nr.164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, paredzot, ka </w:t>
            </w:r>
            <w:r w:rsidR="006A170C"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aizdevumu līgumu noslēgšanas termiņš ir 2014.gada 30.jūnijs</w:t>
            </w: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>.</w:t>
            </w:r>
          </w:p>
          <w:p w:rsidR="00AD2F20" w:rsidRPr="00D4557C" w:rsidRDefault="00AD2F20" w:rsidP="00D4557C">
            <w:pPr>
              <w:jc w:val="both"/>
              <w:rPr>
                <w:rFonts w:eastAsia="Times New Roman"/>
                <w:bCs/>
                <w:sz w:val="26"/>
                <w:szCs w:val="26"/>
                <w:lang w:val="lv-LV"/>
              </w:rPr>
            </w:pPr>
            <w:r w:rsidRPr="00ED1D3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Papildus informējam, ka tiks veikti grozījumi arī MK noteikumos Nr.238 un tiks pagarināts </w:t>
            </w:r>
            <w:r w:rsidR="00ED1D3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ERAF </w:t>
            </w:r>
            <w:r w:rsidRPr="00ED1D3C">
              <w:rPr>
                <w:rFonts w:eastAsia="Times New Roman"/>
                <w:bCs/>
                <w:sz w:val="26"/>
                <w:szCs w:val="26"/>
                <w:lang w:val="lv-LV"/>
              </w:rPr>
              <w:t>projekta termiņš līdz 2014.gada 30.jūnijam.</w:t>
            </w:r>
          </w:p>
          <w:p w:rsidR="009637AA" w:rsidRPr="006C16D7" w:rsidRDefault="00335CC3" w:rsidP="00966113">
            <w:pPr>
              <w:jc w:val="both"/>
              <w:rPr>
                <w:sz w:val="26"/>
                <w:szCs w:val="26"/>
                <w:highlight w:val="yellow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 xml:space="preserve">Ņemot vērā, </w:t>
            </w:r>
            <w:r w:rsidRPr="004F5055">
              <w:rPr>
                <w:sz w:val="26"/>
                <w:szCs w:val="26"/>
                <w:lang w:val="lv-LV"/>
              </w:rPr>
              <w:t xml:space="preserve">ka ar 2014.gada 1.janvāri Latvijā plānots ieviest </w:t>
            </w:r>
            <w:proofErr w:type="spellStart"/>
            <w:r w:rsidRPr="004F5055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4F5055">
              <w:rPr>
                <w:sz w:val="26"/>
                <w:szCs w:val="26"/>
                <w:lang w:val="lv-LV"/>
              </w:rPr>
              <w:t xml:space="preserve">, ir nepieciešams veikt </w:t>
            </w:r>
            <w:r w:rsidR="004F0713" w:rsidRPr="004F5055">
              <w:rPr>
                <w:sz w:val="26"/>
                <w:szCs w:val="26"/>
                <w:lang w:val="lv-LV"/>
              </w:rPr>
              <w:t>grozījumus MK noteikumos Nr.164</w:t>
            </w:r>
            <w:r w:rsidRPr="004F5055">
              <w:rPr>
                <w:sz w:val="26"/>
                <w:szCs w:val="26"/>
                <w:lang w:val="lv-LV"/>
              </w:rPr>
              <w:t xml:space="preserve">, aizstājot tajā latus ar </w:t>
            </w:r>
            <w:proofErr w:type="spellStart"/>
            <w:r w:rsidRPr="004F5055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4F5055">
              <w:rPr>
                <w:sz w:val="26"/>
                <w:szCs w:val="26"/>
                <w:lang w:val="lv-LV"/>
              </w:rPr>
              <w:t xml:space="preserve">. Noteikumu projekts paredz izteikt summas </w:t>
            </w:r>
            <w:proofErr w:type="spellStart"/>
            <w:r w:rsidRPr="004F5055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4F5055">
              <w:rPr>
                <w:sz w:val="26"/>
                <w:szCs w:val="26"/>
                <w:lang w:val="lv-LV"/>
              </w:rPr>
              <w:t>, ievērojot Padomes 1997.gada 17.jūnija regulas (EK) Nr.1103/97 par</w:t>
            </w:r>
            <w:r w:rsidRPr="006C16D7">
              <w:rPr>
                <w:sz w:val="26"/>
                <w:szCs w:val="26"/>
                <w:lang w:val="lv-LV"/>
              </w:rPr>
              <w:t xml:space="preserve"> dažiem noteikumiem attiecībā uz </w:t>
            </w:r>
            <w:proofErr w:type="spellStart"/>
            <w:r w:rsidRPr="006C16D7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6C16D7">
              <w:rPr>
                <w:sz w:val="26"/>
                <w:szCs w:val="26"/>
                <w:lang w:val="lv-LV"/>
              </w:rPr>
              <w:t xml:space="preserve"> ieviešanu noteikto maiņas kursu un ievērojot </w:t>
            </w:r>
            <w:proofErr w:type="spellStart"/>
            <w:r w:rsidRPr="006C16D7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6C16D7">
              <w:rPr>
                <w:sz w:val="26"/>
                <w:szCs w:val="26"/>
                <w:lang w:val="lv-LV"/>
              </w:rPr>
              <w:t xml:space="preserve"> ieviešanas kārtības likuma 6.pantā noteiktos noapaļošanas principus. Grozītās tiesību normas </w:t>
            </w:r>
            <w:proofErr w:type="spellStart"/>
            <w:r w:rsidRPr="006C16D7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6C16D7">
              <w:rPr>
                <w:sz w:val="26"/>
                <w:szCs w:val="26"/>
                <w:lang w:val="lv-LV"/>
              </w:rPr>
              <w:t xml:space="preserve"> nav personām nelabvēlīgākas par sākotnējo tiesību normu latos un nerada vērā ņemamu negatīvu ietekmi uz valsts budžetu. </w:t>
            </w:r>
          </w:p>
        </w:tc>
      </w:tr>
      <w:tr w:rsidR="00A31FDC" w:rsidRPr="006C16D7" w:rsidTr="00A43634">
        <w:trPr>
          <w:trHeight w:val="35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Saistītie politikas ietekmes novērtējumi un pētījumi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6C16D7" w:rsidRDefault="00A31FDC" w:rsidP="00D4557C">
            <w:pPr>
              <w:jc w:val="both"/>
              <w:rPr>
                <w:bCs/>
                <w:sz w:val="26"/>
                <w:szCs w:val="26"/>
                <w:highlight w:val="yellow"/>
                <w:lang w:val="lv-LV"/>
              </w:rPr>
            </w:pPr>
            <w:r w:rsidRPr="006C16D7">
              <w:rPr>
                <w:iCs/>
                <w:sz w:val="26"/>
                <w:szCs w:val="26"/>
                <w:lang w:val="lv-LV"/>
              </w:rPr>
              <w:t>Projekts šo jomu neskar</w:t>
            </w:r>
            <w:r w:rsidRPr="006C16D7">
              <w:rPr>
                <w:color w:val="000000"/>
                <w:sz w:val="26"/>
                <w:szCs w:val="26"/>
                <w:lang w:val="lv-LV"/>
              </w:rPr>
              <w:t xml:space="preserve">. </w:t>
            </w:r>
          </w:p>
        </w:tc>
      </w:tr>
    </w:tbl>
    <w:p w:rsidR="00C97F6E" w:rsidRPr="006C16D7" w:rsidRDefault="00C97F6E" w:rsidP="00F22471">
      <w:pPr>
        <w:jc w:val="both"/>
        <w:rPr>
          <w:rFonts w:eastAsia="Times New Roman"/>
          <w:sz w:val="26"/>
          <w:szCs w:val="26"/>
          <w:lang w:val="lv-LV" w:eastAsia="lv-LV"/>
        </w:rPr>
        <w:sectPr w:rsidR="00C97F6E" w:rsidRPr="006C16D7" w:rsidSect="00B014C2">
          <w:headerReference w:type="default" r:id="rId9"/>
          <w:footerReference w:type="default" r:id="rId10"/>
          <w:footerReference w:type="first" r:id="rId11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C97F6E" w:rsidRPr="006C16D7" w:rsidRDefault="00C97F6E" w:rsidP="00F22471">
      <w:pPr>
        <w:jc w:val="both"/>
        <w:rPr>
          <w:rFonts w:eastAsia="Times New Roman"/>
          <w:sz w:val="26"/>
          <w:szCs w:val="26"/>
          <w:lang w:val="lv-LV" w:eastAsia="lv-LV"/>
        </w:rPr>
        <w:sectPr w:rsidR="00C97F6E" w:rsidRPr="006C16D7" w:rsidSect="00C97F6E">
          <w:type w:val="continuous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A31FDC" w:rsidRPr="006C16D7" w:rsidTr="00A43634">
        <w:trPr>
          <w:trHeight w:val="74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Tiesiskā regulējuma mērķis un būtība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57CC8" w:rsidRPr="006C16D7" w:rsidRDefault="00457CC8" w:rsidP="00D4557C">
            <w:pPr>
              <w:jc w:val="both"/>
              <w:rPr>
                <w:bCs/>
                <w:sz w:val="26"/>
                <w:szCs w:val="26"/>
                <w:lang w:val="lv-LV"/>
              </w:rPr>
            </w:pPr>
            <w:r w:rsidRPr="006C16D7">
              <w:rPr>
                <w:bCs/>
                <w:sz w:val="26"/>
                <w:szCs w:val="26"/>
                <w:lang w:val="lv-LV"/>
              </w:rPr>
              <w:t>Noteikumu projekts paredz veikt grozījumus MK noteikumos Nr.</w:t>
            </w:r>
            <w:r w:rsidR="00926CC7" w:rsidRPr="006C16D7">
              <w:rPr>
                <w:bCs/>
                <w:sz w:val="26"/>
                <w:szCs w:val="26"/>
                <w:lang w:val="lv-LV"/>
              </w:rPr>
              <w:t>164</w:t>
            </w:r>
            <w:r w:rsidRPr="006C16D7">
              <w:rPr>
                <w:bCs/>
                <w:sz w:val="26"/>
                <w:szCs w:val="26"/>
                <w:lang w:val="lv-LV"/>
              </w:rPr>
              <w:t>, izdarot šādas izmaiņas:</w:t>
            </w:r>
          </w:p>
          <w:p w:rsidR="00457CC8" w:rsidRPr="006C16D7" w:rsidRDefault="00457CC8" w:rsidP="003C6B65">
            <w:pPr>
              <w:pStyle w:val="ListParagraph"/>
              <w:numPr>
                <w:ilvl w:val="0"/>
                <w:numId w:val="15"/>
              </w:numPr>
              <w:ind w:left="141" w:firstLine="219"/>
              <w:jc w:val="both"/>
              <w:rPr>
                <w:bCs/>
                <w:sz w:val="26"/>
                <w:szCs w:val="26"/>
                <w:lang w:val="lv-LV"/>
              </w:rPr>
            </w:pPr>
            <w:r w:rsidRPr="00D4557C">
              <w:rPr>
                <w:rFonts w:eastAsia="Times New Roman"/>
                <w:bCs/>
                <w:sz w:val="26"/>
                <w:szCs w:val="26"/>
                <w:lang w:val="lv-LV"/>
              </w:rPr>
              <w:t xml:space="preserve"> </w:t>
            </w:r>
            <w:r w:rsidR="00000465" w:rsidRPr="006C16D7">
              <w:rPr>
                <w:bCs/>
                <w:sz w:val="26"/>
                <w:szCs w:val="26"/>
                <w:lang w:val="lv-LV"/>
              </w:rPr>
              <w:t>p</w:t>
            </w:r>
            <w:r w:rsidR="00EB760E" w:rsidRPr="006C16D7">
              <w:rPr>
                <w:bCs/>
                <w:sz w:val="26"/>
                <w:szCs w:val="26"/>
                <w:lang w:val="lv-LV"/>
              </w:rPr>
              <w:t xml:space="preserve">agarināt </w:t>
            </w:r>
            <w:r w:rsidR="00E237AA" w:rsidRPr="006C16D7">
              <w:rPr>
                <w:sz w:val="26"/>
                <w:szCs w:val="26"/>
                <w:lang w:val="lv-LV"/>
              </w:rPr>
              <w:t>aizdevumu</w:t>
            </w:r>
            <w:r w:rsidRPr="006C16D7">
              <w:rPr>
                <w:sz w:val="26"/>
                <w:szCs w:val="26"/>
                <w:lang w:val="lv-LV"/>
              </w:rPr>
              <w:t xml:space="preserve"> </w:t>
            </w:r>
            <w:r w:rsidR="00D94B9B" w:rsidRPr="006C16D7">
              <w:rPr>
                <w:sz w:val="26"/>
                <w:szCs w:val="26"/>
                <w:lang w:val="lv-LV"/>
              </w:rPr>
              <w:t xml:space="preserve">līgumu noslēgšanas </w:t>
            </w:r>
            <w:r w:rsidR="00901246" w:rsidRPr="006C16D7">
              <w:rPr>
                <w:sz w:val="26"/>
                <w:szCs w:val="26"/>
                <w:lang w:val="lv-LV"/>
              </w:rPr>
              <w:t xml:space="preserve">termiņu līdz 2014.gada </w:t>
            </w:r>
            <w:r w:rsidRPr="006C16D7">
              <w:rPr>
                <w:sz w:val="26"/>
                <w:szCs w:val="26"/>
                <w:lang w:val="lv-LV"/>
              </w:rPr>
              <w:t>30.</w:t>
            </w:r>
            <w:r w:rsidR="00376A40" w:rsidRPr="006C16D7">
              <w:rPr>
                <w:sz w:val="26"/>
                <w:szCs w:val="26"/>
                <w:lang w:val="lv-LV"/>
              </w:rPr>
              <w:t>jūnijam</w:t>
            </w:r>
            <w:r w:rsidRPr="006C16D7">
              <w:rPr>
                <w:sz w:val="26"/>
                <w:szCs w:val="26"/>
                <w:lang w:val="lv-LV"/>
              </w:rPr>
              <w:t xml:space="preserve"> saskaņā ar Regulas Nr.</w:t>
            </w:r>
            <w:r w:rsidR="00926CC7" w:rsidRPr="006C16D7">
              <w:rPr>
                <w:sz w:val="26"/>
                <w:szCs w:val="26"/>
                <w:lang w:val="lv-LV"/>
              </w:rPr>
              <w:t>800/2008  44</w:t>
            </w:r>
            <w:r w:rsidRPr="006C16D7">
              <w:rPr>
                <w:sz w:val="26"/>
                <w:szCs w:val="26"/>
                <w:lang w:val="lv-LV"/>
              </w:rPr>
              <w:t>.panta 3.punktu</w:t>
            </w:r>
            <w:r w:rsidR="008655D8">
              <w:rPr>
                <w:sz w:val="26"/>
                <w:szCs w:val="26"/>
                <w:lang w:val="lv-LV"/>
              </w:rPr>
              <w:t xml:space="preserve"> un </w:t>
            </w:r>
            <w:r w:rsidR="008655D8" w:rsidRPr="00D9708B">
              <w:rPr>
                <w:sz w:val="26"/>
                <w:szCs w:val="26"/>
                <w:lang w:val="lv-LV"/>
              </w:rPr>
              <w:t>Regula</w:t>
            </w:r>
            <w:r w:rsidR="008655D8">
              <w:rPr>
                <w:sz w:val="26"/>
                <w:szCs w:val="26"/>
                <w:lang w:val="lv-LV"/>
              </w:rPr>
              <w:t>s</w:t>
            </w:r>
            <w:r w:rsidR="008655D8" w:rsidRPr="00D9708B">
              <w:rPr>
                <w:sz w:val="26"/>
                <w:szCs w:val="26"/>
                <w:lang w:val="lv-LV"/>
              </w:rPr>
              <w:t xml:space="preserve"> Nr.</w:t>
            </w:r>
            <w:r w:rsidR="008655D8">
              <w:rPr>
                <w:sz w:val="26"/>
                <w:szCs w:val="26"/>
                <w:lang w:val="lv-LV"/>
              </w:rPr>
              <w:t>1998/2006 5.panta 3.punktu</w:t>
            </w:r>
            <w:r w:rsidRPr="006C16D7">
              <w:rPr>
                <w:sz w:val="26"/>
                <w:szCs w:val="26"/>
                <w:lang w:val="lv-LV"/>
              </w:rPr>
              <w:t>;</w:t>
            </w:r>
          </w:p>
          <w:p w:rsidR="00B84C4B" w:rsidRPr="00964B4F" w:rsidRDefault="00457CC8" w:rsidP="00D4557C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 xml:space="preserve">nodrošināt noteikumos lietotās valūtas pāreju uz </w:t>
            </w:r>
            <w:proofErr w:type="spellStart"/>
            <w:r w:rsidRPr="006C16D7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="006A52B0" w:rsidRPr="006C16D7">
              <w:rPr>
                <w:bCs/>
                <w:sz w:val="26"/>
                <w:szCs w:val="26"/>
                <w:lang w:val="lv-LV"/>
              </w:rPr>
              <w:t>.</w:t>
            </w:r>
          </w:p>
        </w:tc>
      </w:tr>
      <w:tr w:rsidR="00A31FDC" w:rsidRPr="006C16D7" w:rsidTr="00A43634">
        <w:trPr>
          <w:trHeight w:val="623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Projekta izstrādē iesaistītās institūcijas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6C16D7" w:rsidRDefault="00A31FDC" w:rsidP="00D4557C">
            <w:pPr>
              <w:pStyle w:val="BodyText"/>
              <w:ind w:right="142"/>
              <w:rPr>
                <w:sz w:val="26"/>
                <w:szCs w:val="26"/>
              </w:rPr>
            </w:pPr>
            <w:r w:rsidRPr="006C16D7">
              <w:rPr>
                <w:iCs/>
                <w:sz w:val="26"/>
                <w:szCs w:val="26"/>
              </w:rPr>
              <w:t>Projekts šo jomu neskar</w:t>
            </w:r>
            <w:r w:rsidRPr="006C16D7">
              <w:rPr>
                <w:sz w:val="26"/>
                <w:szCs w:val="26"/>
              </w:rPr>
              <w:t>.</w:t>
            </w:r>
          </w:p>
        </w:tc>
      </w:tr>
      <w:tr w:rsidR="00A31FDC" w:rsidRPr="006C16D7" w:rsidTr="00A43634">
        <w:trPr>
          <w:trHeight w:val="95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6C16D7" w:rsidRDefault="00A31FDC" w:rsidP="00D4557C">
            <w:pPr>
              <w:pStyle w:val="BodyText"/>
              <w:ind w:right="142"/>
              <w:rPr>
                <w:sz w:val="26"/>
                <w:szCs w:val="26"/>
              </w:rPr>
            </w:pPr>
            <w:r w:rsidRPr="006C16D7">
              <w:rPr>
                <w:iCs/>
                <w:sz w:val="26"/>
                <w:szCs w:val="26"/>
              </w:rPr>
              <w:t>Projekts šo jomu neskar</w:t>
            </w:r>
            <w:r w:rsidRPr="006C16D7">
              <w:rPr>
                <w:sz w:val="26"/>
                <w:szCs w:val="26"/>
              </w:rPr>
              <w:t>.</w:t>
            </w:r>
          </w:p>
          <w:p w:rsidR="00A31FDC" w:rsidRPr="006C16D7" w:rsidRDefault="00A31FDC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</w:p>
          <w:p w:rsidR="00B84C4B" w:rsidRPr="006C16D7" w:rsidRDefault="00B84C4B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</w:p>
          <w:p w:rsidR="00B84C4B" w:rsidRPr="006C16D7" w:rsidRDefault="00B84C4B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</w:p>
          <w:p w:rsidR="00B84C4B" w:rsidRPr="006C16D7" w:rsidRDefault="00B84C4B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</w:p>
        </w:tc>
      </w:tr>
      <w:tr w:rsidR="00A31FDC" w:rsidRPr="006C16D7" w:rsidTr="00A43634">
        <w:trPr>
          <w:trHeight w:val="31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6C16D7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6C16D7" w:rsidRDefault="00543052" w:rsidP="00D4557C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Nav.</w:t>
            </w:r>
          </w:p>
        </w:tc>
      </w:tr>
    </w:tbl>
    <w:p w:rsidR="00E8006C" w:rsidRPr="006C16D7" w:rsidRDefault="00E8006C" w:rsidP="00F22471">
      <w:pPr>
        <w:pStyle w:val="naisf"/>
        <w:spacing w:before="0" w:after="0"/>
        <w:rPr>
          <w:sz w:val="26"/>
          <w:szCs w:val="26"/>
        </w:rPr>
      </w:pPr>
    </w:p>
    <w:tbl>
      <w:tblPr>
        <w:tblW w:w="9072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5811"/>
      </w:tblGrid>
      <w:tr w:rsidR="00F22471" w:rsidRPr="006C16D7" w:rsidTr="00511ADB">
        <w:tc>
          <w:tcPr>
            <w:tcW w:w="907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b/>
                <w:sz w:val="26"/>
                <w:szCs w:val="26"/>
                <w:lang w:val="lv-LV" w:eastAsia="lv-LV"/>
              </w:rPr>
              <w:t>II. Tiesību akta projekta ietekme uz sabiedrību</w:t>
            </w:r>
          </w:p>
        </w:tc>
      </w:tr>
      <w:tr w:rsidR="00F22471" w:rsidRPr="006C16D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Sabiedrības </w:t>
            </w:r>
            <w:proofErr w:type="spellStart"/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mērķgrupa</w:t>
            </w:r>
            <w:proofErr w:type="spellEnd"/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4F5055" w:rsidRDefault="00926CC7" w:rsidP="004F5055">
            <w:pPr>
              <w:jc w:val="both"/>
              <w:rPr>
                <w:sz w:val="26"/>
                <w:szCs w:val="26"/>
                <w:lang w:val="lv-LV"/>
              </w:rPr>
            </w:pPr>
            <w:proofErr w:type="spellStart"/>
            <w:r w:rsidRPr="006C16D7">
              <w:rPr>
                <w:sz w:val="26"/>
                <w:szCs w:val="26"/>
                <w:lang w:val="lv-LV"/>
              </w:rPr>
              <w:t>Mikrokomersanti</w:t>
            </w:r>
            <w:proofErr w:type="spellEnd"/>
            <w:r w:rsidRPr="006C16D7">
              <w:rPr>
                <w:sz w:val="26"/>
                <w:szCs w:val="26"/>
                <w:lang w:val="lv-LV"/>
              </w:rPr>
              <w:t>, mazie un vidējie komersanti</w:t>
            </w:r>
            <w:r w:rsidR="006B0947" w:rsidRPr="006C16D7">
              <w:rPr>
                <w:sz w:val="26"/>
                <w:szCs w:val="26"/>
                <w:lang w:val="lv-LV"/>
              </w:rPr>
              <w:t>.</w:t>
            </w:r>
          </w:p>
        </w:tc>
      </w:tr>
      <w:tr w:rsidR="00F22471" w:rsidRPr="006C16D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Citas sabiedrības grupas (bez </w:t>
            </w:r>
            <w:proofErr w:type="spellStart"/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mērķgrupas</w:t>
            </w:r>
            <w:proofErr w:type="spellEnd"/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), kuras </w:t>
            </w: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tiesiskais regulējums arī ietekmē vai varētu ietekmēt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40961" w:rsidRPr="006C16D7" w:rsidRDefault="00840961" w:rsidP="00236989">
            <w:pPr>
              <w:pStyle w:val="BodyText"/>
              <w:ind w:right="142"/>
              <w:rPr>
                <w:sz w:val="26"/>
                <w:szCs w:val="26"/>
              </w:rPr>
            </w:pPr>
            <w:r w:rsidRPr="006C16D7">
              <w:rPr>
                <w:iCs/>
                <w:sz w:val="26"/>
                <w:szCs w:val="26"/>
              </w:rPr>
              <w:lastRenderedPageBreak/>
              <w:t>Projekts šo jomu neskar</w:t>
            </w:r>
            <w:r w:rsidRPr="006C16D7">
              <w:rPr>
                <w:sz w:val="26"/>
                <w:szCs w:val="26"/>
              </w:rPr>
              <w:t>.</w:t>
            </w:r>
          </w:p>
          <w:p w:rsidR="00F22471" w:rsidRPr="006C16D7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6C16D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Tiesiskā regulējuma 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84C4B" w:rsidRPr="006C16D7" w:rsidRDefault="00926CC7" w:rsidP="00972275">
            <w:pPr>
              <w:pStyle w:val="BodyText"/>
              <w:ind w:right="142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MK noteikumu Nr.164</w:t>
            </w:r>
            <w:r w:rsidR="00457CC8" w:rsidRPr="006C16D7">
              <w:rPr>
                <w:sz w:val="26"/>
                <w:szCs w:val="26"/>
              </w:rPr>
              <w:t xml:space="preserve"> pielāgošana pārejai uz </w:t>
            </w:r>
            <w:proofErr w:type="spellStart"/>
            <w:r w:rsidR="00457CC8" w:rsidRPr="006C16D7">
              <w:rPr>
                <w:i/>
                <w:sz w:val="26"/>
                <w:szCs w:val="26"/>
              </w:rPr>
              <w:t>euro</w:t>
            </w:r>
            <w:proofErr w:type="spellEnd"/>
            <w:r w:rsidR="00457CC8" w:rsidRPr="006C16D7">
              <w:rPr>
                <w:sz w:val="26"/>
                <w:szCs w:val="26"/>
              </w:rPr>
              <w:t xml:space="preserve"> valūtu nerada ietekmi uz pieejamā finansējuma apmēru.</w:t>
            </w:r>
          </w:p>
        </w:tc>
      </w:tr>
      <w:tr w:rsidR="00F22471" w:rsidRPr="006C16D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Tiesiskā regulējuma nefinansiālā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1739F" w:rsidRPr="006C16D7" w:rsidRDefault="00C1739F" w:rsidP="00236989">
            <w:pPr>
              <w:pStyle w:val="BodyText"/>
              <w:ind w:right="142"/>
              <w:rPr>
                <w:sz w:val="26"/>
                <w:szCs w:val="26"/>
              </w:rPr>
            </w:pPr>
            <w:r w:rsidRPr="006C16D7">
              <w:rPr>
                <w:iCs/>
                <w:sz w:val="26"/>
                <w:szCs w:val="26"/>
              </w:rPr>
              <w:t>Projekts šo jomu neskar</w:t>
            </w:r>
            <w:r w:rsidRPr="006C16D7">
              <w:rPr>
                <w:sz w:val="26"/>
                <w:szCs w:val="26"/>
              </w:rPr>
              <w:t>.</w:t>
            </w:r>
          </w:p>
          <w:p w:rsidR="00F22471" w:rsidRPr="006C16D7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6C16D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Administratīvās procedūras raksturojums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236989">
            <w:pPr>
              <w:pStyle w:val="BodyText"/>
              <w:ind w:right="142"/>
              <w:rPr>
                <w:sz w:val="26"/>
                <w:szCs w:val="26"/>
              </w:rPr>
            </w:pPr>
            <w:r w:rsidRPr="006C16D7">
              <w:rPr>
                <w:iCs/>
                <w:sz w:val="26"/>
                <w:szCs w:val="26"/>
              </w:rPr>
              <w:t>Projekts šo jomu neskar</w:t>
            </w:r>
            <w:r w:rsidRPr="006C16D7">
              <w:rPr>
                <w:sz w:val="26"/>
                <w:szCs w:val="26"/>
              </w:rPr>
              <w:t>.</w:t>
            </w:r>
          </w:p>
          <w:p w:rsidR="00F22471" w:rsidRPr="006C16D7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6C16D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236989">
            <w:pPr>
              <w:pStyle w:val="BodyText"/>
              <w:ind w:right="142"/>
              <w:rPr>
                <w:sz w:val="26"/>
                <w:szCs w:val="26"/>
              </w:rPr>
            </w:pPr>
            <w:r w:rsidRPr="006C16D7">
              <w:rPr>
                <w:iCs/>
                <w:sz w:val="26"/>
                <w:szCs w:val="26"/>
              </w:rPr>
              <w:t>Projekts šo jomu neskar</w:t>
            </w:r>
            <w:r w:rsidRPr="006C16D7">
              <w:rPr>
                <w:sz w:val="26"/>
                <w:szCs w:val="26"/>
              </w:rPr>
              <w:t>.</w:t>
            </w:r>
          </w:p>
          <w:p w:rsidR="00F22471" w:rsidRPr="006C16D7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6C16D7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6C16D7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84C4B" w:rsidRPr="006C16D7" w:rsidRDefault="00F22471" w:rsidP="003C6B65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:rsidR="00E8006C" w:rsidRPr="006C16D7" w:rsidRDefault="00E8006C" w:rsidP="00F22471">
      <w:pPr>
        <w:ind w:firstLine="720"/>
        <w:jc w:val="both"/>
        <w:rPr>
          <w:rFonts w:eastAsia="Times New Roman"/>
          <w:sz w:val="26"/>
          <w:szCs w:val="26"/>
          <w:lang w:val="lv-LV" w:eastAsia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410"/>
        <w:gridCol w:w="6378"/>
      </w:tblGrid>
      <w:tr w:rsidR="003A7D89" w:rsidRPr="006C16D7" w:rsidTr="00706EC2">
        <w:trPr>
          <w:trHeight w:val="623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6C16D7" w:rsidRDefault="003A7D89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b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3A7D89" w:rsidRPr="006C16D7" w:rsidTr="003124BE">
        <w:trPr>
          <w:trHeight w:val="36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Nepieciešamie saistītie tiesību aktu projekti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6C16D7" w:rsidRDefault="00D94B9B" w:rsidP="00D4557C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Nav</w:t>
            </w:r>
            <w:r w:rsidR="006B0947" w:rsidRPr="006C16D7">
              <w:rPr>
                <w:sz w:val="26"/>
                <w:szCs w:val="26"/>
                <w:lang w:val="lv-LV"/>
              </w:rPr>
              <w:t>.</w:t>
            </w:r>
            <w:r w:rsidR="00457CC8" w:rsidRPr="006C16D7">
              <w:rPr>
                <w:sz w:val="26"/>
                <w:szCs w:val="26"/>
                <w:lang w:val="lv-LV"/>
              </w:rPr>
              <w:t xml:space="preserve"> </w:t>
            </w:r>
          </w:p>
        </w:tc>
      </w:tr>
      <w:tr w:rsidR="003A7D89" w:rsidRPr="006C16D7" w:rsidTr="003124BE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42BAF" w:rsidRPr="006C16D7" w:rsidRDefault="00236989" w:rsidP="00D4557C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Nav</w:t>
            </w:r>
            <w:r w:rsidR="006B0947" w:rsidRPr="006C16D7">
              <w:rPr>
                <w:sz w:val="26"/>
                <w:szCs w:val="26"/>
                <w:lang w:val="lv-LV"/>
              </w:rPr>
              <w:t>.</w:t>
            </w:r>
          </w:p>
        </w:tc>
      </w:tr>
    </w:tbl>
    <w:p w:rsidR="00C9779A" w:rsidRPr="006C16D7" w:rsidRDefault="00C9779A" w:rsidP="00C9779A">
      <w:pPr>
        <w:rPr>
          <w:sz w:val="26"/>
          <w:szCs w:val="26"/>
          <w:lang w:val="lv-LV"/>
        </w:rPr>
      </w:pPr>
    </w:p>
    <w:tbl>
      <w:tblPr>
        <w:tblW w:w="5000" w:type="pct"/>
        <w:tblInd w:w="-38" w:type="dxa"/>
        <w:tblBorders>
          <w:top w:val="thickThinSmallGap" w:sz="12" w:space="0" w:color="BFBFBF"/>
          <w:left w:val="thickThinSmallGap" w:sz="12" w:space="0" w:color="BFBFBF"/>
          <w:bottom w:val="thickThinSmallGap" w:sz="12" w:space="0" w:color="BFBFBF"/>
          <w:right w:val="thickThinSmallGap" w:sz="12" w:space="0" w:color="BFBFBF"/>
          <w:insideH w:val="thickThinSmallGap" w:sz="12" w:space="0" w:color="BFBFBF"/>
          <w:insideV w:val="thickThinSmallGap" w:sz="12" w:space="0" w:color="BFBFB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1394"/>
        <w:gridCol w:w="1394"/>
        <w:gridCol w:w="1394"/>
        <w:gridCol w:w="1394"/>
        <w:gridCol w:w="1394"/>
      </w:tblGrid>
      <w:tr w:rsidR="00742BAF" w:rsidRPr="006C16D7" w:rsidTr="00511C7D">
        <w:trPr>
          <w:trHeight w:val="432"/>
        </w:trPr>
        <w:tc>
          <w:tcPr>
            <w:tcW w:w="5000" w:type="pct"/>
            <w:gridSpan w:val="6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vAlign w:val="center"/>
            <w:hideMark/>
          </w:tcPr>
          <w:p w:rsidR="00742BAF" w:rsidRPr="006C16D7" w:rsidRDefault="00742BAF" w:rsidP="00511C7D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6C16D7">
              <w:rPr>
                <w:b/>
                <w:sz w:val="26"/>
                <w:szCs w:val="26"/>
                <w:lang w:val="lv-LV"/>
              </w:rPr>
              <w:br w:type="page"/>
              <w:t>III. Tiesību akta projekta ietekme uz valsts budžetu un pašvaldību budžetiem</w:t>
            </w:r>
          </w:p>
        </w:tc>
      </w:tr>
      <w:tr w:rsidR="00742BAF" w:rsidRPr="006C16D7" w:rsidTr="00511C7D">
        <w:tc>
          <w:tcPr>
            <w:tcW w:w="1440" w:type="pct"/>
            <w:vMerge w:val="restar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6C16D7">
              <w:rPr>
                <w:b/>
                <w:sz w:val="26"/>
                <w:szCs w:val="26"/>
              </w:rPr>
              <w:t>Rādītāji</w:t>
            </w:r>
          </w:p>
        </w:tc>
        <w:tc>
          <w:tcPr>
            <w:tcW w:w="1459" w:type="pct"/>
            <w:gridSpan w:val="2"/>
            <w:vMerge w:val="restar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6C16D7">
              <w:rPr>
                <w:b/>
                <w:sz w:val="26"/>
                <w:szCs w:val="26"/>
              </w:rPr>
              <w:t>2013.</w:t>
            </w:r>
          </w:p>
        </w:tc>
        <w:tc>
          <w:tcPr>
            <w:tcW w:w="2061" w:type="pct"/>
            <w:gridSpan w:val="3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6C16D7">
                <w:rPr>
                  <w:sz w:val="26"/>
                  <w:szCs w:val="26"/>
                </w:rPr>
                <w:t>. latu</w:t>
              </w:r>
            </w:smartTag>
            <w:r w:rsidRPr="006C16D7">
              <w:rPr>
                <w:sz w:val="26"/>
                <w:szCs w:val="26"/>
              </w:rPr>
              <w:t>)</w:t>
            </w:r>
          </w:p>
        </w:tc>
      </w:tr>
      <w:tr w:rsidR="00742BAF" w:rsidRPr="006C16D7" w:rsidTr="00511C7D">
        <w:tc>
          <w:tcPr>
            <w:tcW w:w="0" w:type="auto"/>
            <w:vMerge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vAlign w:val="center"/>
            <w:hideMark/>
          </w:tcPr>
          <w:p w:rsidR="00742BAF" w:rsidRPr="006C16D7" w:rsidRDefault="00742BAF" w:rsidP="00000465">
            <w:pPr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vAlign w:val="center"/>
            <w:hideMark/>
          </w:tcPr>
          <w:p w:rsidR="00742BAF" w:rsidRPr="006C16D7" w:rsidRDefault="00742BAF" w:rsidP="00000465">
            <w:pPr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6C16D7">
              <w:rPr>
                <w:b/>
                <w:bCs/>
                <w:sz w:val="26"/>
                <w:szCs w:val="26"/>
              </w:rPr>
              <w:t>2014.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  <w:r w:rsidRPr="006C16D7">
              <w:rPr>
                <w:b/>
                <w:bCs/>
                <w:sz w:val="26"/>
                <w:szCs w:val="26"/>
              </w:rPr>
              <w:t>2015.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6C16D7">
              <w:rPr>
                <w:b/>
                <w:bCs/>
                <w:sz w:val="26"/>
                <w:szCs w:val="26"/>
              </w:rPr>
              <w:t>2016.</w:t>
            </w:r>
          </w:p>
        </w:tc>
      </w:tr>
      <w:tr w:rsidR="00742BAF" w:rsidRPr="006C16D7" w:rsidTr="00511C7D">
        <w:tc>
          <w:tcPr>
            <w:tcW w:w="0" w:type="auto"/>
            <w:vMerge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vAlign w:val="center"/>
            <w:hideMark/>
          </w:tcPr>
          <w:p w:rsidR="00742BAF" w:rsidRPr="006C16D7" w:rsidRDefault="00742BAF" w:rsidP="00000465">
            <w:pPr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Saskaņā ar valsts budžetu kārtējam gadam</w:t>
            </w: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Izmaiņas kārtējā gadā, salīdzinot ar budžetu kārtējam gadam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Izmaiņas, salīdzinot ar kārtējo (n) gadu</w:t>
            </w: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6C16D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6C16D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6C16D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6C16D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6C16D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6C16D7">
              <w:rPr>
                <w:bCs/>
                <w:sz w:val="26"/>
                <w:szCs w:val="26"/>
              </w:rPr>
              <w:t>6</w:t>
            </w: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1. Budžeta ieņēmumi: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 xml:space="preserve">1.1. valsts pamatbudžets, tai skaitā ieņēmumi no maksas </w:t>
            </w:r>
            <w:r w:rsidRPr="006C16D7">
              <w:rPr>
                <w:sz w:val="26"/>
                <w:szCs w:val="26"/>
              </w:rPr>
              <w:lastRenderedPageBreak/>
              <w:t>pakalpojumiem un citi pašu ieņēmumi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lastRenderedPageBreak/>
              <w:t>Nav attiecināms</w:t>
            </w: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lastRenderedPageBreak/>
              <w:t>1.2. valsts speciālais budžets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1.3. pašvaldību budžets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2. Budžeta izdevumi: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2.1. valsts pamatbudžets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2.2. valsts speciālais budžets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 xml:space="preserve">2.3. pašvaldību budžets 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3. Finansiālā ietekme: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</w:tcPr>
          <w:p w:rsidR="00742BAF" w:rsidRPr="006C16D7" w:rsidRDefault="00742BAF" w:rsidP="00000465">
            <w:pPr>
              <w:pStyle w:val="naisf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3.1. valsts pamatbudžets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D4557C" w:rsidRDefault="00742BAF" w:rsidP="00D4557C">
            <w:pPr>
              <w:jc w:val="center"/>
              <w:rPr>
                <w:sz w:val="26"/>
                <w:szCs w:val="26"/>
                <w:vertAlign w:val="subscript"/>
                <w:lang w:val="lv-LV"/>
              </w:rPr>
            </w:pPr>
            <w:r w:rsidRPr="00D4557C">
              <w:rPr>
                <w:sz w:val="26"/>
                <w:szCs w:val="26"/>
                <w:lang w:val="lv-LV"/>
              </w:rPr>
              <w:t>Nav attiecināms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D4557C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3.2. speciālais budžets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 xml:space="preserve">3.3. pašvaldību budžets 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6C16D7" w:rsidTr="00511C7D">
        <w:tc>
          <w:tcPr>
            <w:tcW w:w="1440" w:type="pct"/>
            <w:vMerge w:val="restar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4. Finanšu līdzekļi papildu izde</w:t>
            </w:r>
            <w:r w:rsidRPr="006C16D7">
              <w:rPr>
                <w:sz w:val="26"/>
                <w:szCs w:val="26"/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735" w:type="pct"/>
            <w:vMerge w:val="restar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X</w:t>
            </w:r>
          </w:p>
          <w:p w:rsidR="00742BAF" w:rsidRPr="00D4557C" w:rsidRDefault="00742BAF" w:rsidP="00000465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</w:tr>
      <w:tr w:rsidR="00742BAF" w:rsidRPr="006C16D7" w:rsidTr="00511C7D"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D4557C" w:rsidRDefault="00742BAF" w:rsidP="00000465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</w:tr>
      <w:tr w:rsidR="00742BAF" w:rsidRPr="006C16D7" w:rsidTr="00511C7D"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D4557C" w:rsidRDefault="00742BAF" w:rsidP="00000465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Nav attiecināms</w:t>
            </w: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5. Precizēta finansiālā ietekme:</w:t>
            </w:r>
          </w:p>
        </w:tc>
        <w:tc>
          <w:tcPr>
            <w:tcW w:w="735" w:type="pct"/>
            <w:vMerge w:val="restar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</w:tcPr>
          <w:p w:rsidR="00742BAF" w:rsidRPr="006C16D7" w:rsidRDefault="00742BAF" w:rsidP="00000465">
            <w:pPr>
              <w:pStyle w:val="naisf"/>
              <w:spacing w:before="0" w:after="0"/>
              <w:jc w:val="left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t>X</w:t>
            </w:r>
          </w:p>
          <w:p w:rsidR="00742BAF" w:rsidRPr="006C16D7" w:rsidRDefault="00742BAF" w:rsidP="00000465">
            <w:pPr>
              <w:pStyle w:val="naisf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 xml:space="preserve">5.1. valsts </w:t>
            </w:r>
            <w:r w:rsidRPr="006C16D7">
              <w:rPr>
                <w:sz w:val="26"/>
                <w:szCs w:val="26"/>
                <w:lang w:val="lv-LV"/>
              </w:rPr>
              <w:lastRenderedPageBreak/>
              <w:t>pamatbudžets</w:t>
            </w:r>
          </w:p>
        </w:tc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rPr>
                <w:sz w:val="26"/>
                <w:szCs w:val="26"/>
                <w:vertAlign w:val="subscript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 xml:space="preserve">Nav </w:t>
            </w:r>
            <w:r w:rsidRPr="006C16D7">
              <w:rPr>
                <w:sz w:val="26"/>
                <w:szCs w:val="26"/>
                <w:lang w:val="lv-LV"/>
              </w:rPr>
              <w:lastRenderedPageBreak/>
              <w:t>attiecināms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lastRenderedPageBreak/>
              <w:t xml:space="preserve">Nav </w:t>
            </w:r>
            <w:r w:rsidRPr="006C16D7">
              <w:rPr>
                <w:sz w:val="26"/>
                <w:szCs w:val="26"/>
              </w:rPr>
              <w:lastRenderedPageBreak/>
              <w:t>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lastRenderedPageBreak/>
              <w:t xml:space="preserve">Nav </w:t>
            </w:r>
            <w:r w:rsidRPr="006C16D7">
              <w:rPr>
                <w:sz w:val="26"/>
                <w:szCs w:val="26"/>
              </w:rPr>
              <w:lastRenderedPageBreak/>
              <w:t>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pStyle w:val="naisf"/>
              <w:spacing w:before="0" w:after="0"/>
              <w:rPr>
                <w:sz w:val="26"/>
                <w:szCs w:val="26"/>
              </w:rPr>
            </w:pPr>
            <w:r w:rsidRPr="006C16D7">
              <w:rPr>
                <w:sz w:val="26"/>
                <w:szCs w:val="26"/>
              </w:rPr>
              <w:lastRenderedPageBreak/>
              <w:t xml:space="preserve">Nav </w:t>
            </w:r>
            <w:r w:rsidRPr="006C16D7">
              <w:rPr>
                <w:sz w:val="26"/>
                <w:szCs w:val="26"/>
              </w:rPr>
              <w:lastRenderedPageBreak/>
              <w:t>attiecināms</w:t>
            </w: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lastRenderedPageBreak/>
              <w:t>5.2. speciālais budžets</w:t>
            </w:r>
          </w:p>
        </w:tc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 xml:space="preserve">5.3. pašvaldību budžets </w:t>
            </w:r>
          </w:p>
        </w:tc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6C16D7" w:rsidRDefault="00742BAF" w:rsidP="00000465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6C16D7" w:rsidRDefault="00742BAF" w:rsidP="00000465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6. Detalizēts ieņēmumu un izdevu</w:t>
            </w:r>
            <w:r w:rsidRPr="006C16D7">
              <w:rPr>
                <w:sz w:val="26"/>
                <w:szCs w:val="26"/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520" w:type="pct"/>
            <w:gridSpan w:val="5"/>
            <w:vMerge w:val="restar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AF" w:rsidRPr="006C16D7" w:rsidRDefault="00742BAF" w:rsidP="00000465">
            <w:pPr>
              <w:ind w:firstLine="45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6.1. 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vAlign w:val="center"/>
          </w:tcPr>
          <w:p w:rsidR="00742BAF" w:rsidRPr="006C16D7" w:rsidRDefault="00742BAF" w:rsidP="00000465">
            <w:pPr>
              <w:rPr>
                <w:sz w:val="26"/>
                <w:szCs w:val="26"/>
                <w:lang w:val="lv-LV"/>
              </w:rPr>
            </w:pPr>
          </w:p>
        </w:tc>
      </w:tr>
      <w:tr w:rsidR="00742BAF" w:rsidRPr="006C16D7" w:rsidTr="00742BAF">
        <w:trPr>
          <w:trHeight w:val="585"/>
        </w:trPr>
        <w:tc>
          <w:tcPr>
            <w:tcW w:w="1440" w:type="pc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vAlign w:val="center"/>
          </w:tcPr>
          <w:p w:rsidR="00742BAF" w:rsidRPr="006C16D7" w:rsidRDefault="00742BAF" w:rsidP="00000465">
            <w:pPr>
              <w:rPr>
                <w:sz w:val="26"/>
                <w:szCs w:val="26"/>
                <w:lang w:val="lv-LV"/>
              </w:rPr>
            </w:pPr>
          </w:p>
        </w:tc>
      </w:tr>
      <w:tr w:rsidR="00742BAF" w:rsidRPr="006C16D7" w:rsidTr="00511C7D">
        <w:tc>
          <w:tcPr>
            <w:tcW w:w="1440" w:type="pc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BAF" w:rsidRPr="006C16D7" w:rsidRDefault="00742BAF" w:rsidP="00000465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7. Cita informācija</w:t>
            </w:r>
          </w:p>
        </w:tc>
        <w:tc>
          <w:tcPr>
            <w:tcW w:w="3520" w:type="pct"/>
            <w:gridSpan w:val="5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BAF" w:rsidRPr="006C16D7" w:rsidRDefault="00742BAF" w:rsidP="00000465">
            <w:pPr>
              <w:jc w:val="both"/>
              <w:rPr>
                <w:bCs/>
                <w:color w:val="000000"/>
                <w:sz w:val="26"/>
                <w:szCs w:val="26"/>
                <w:lang w:val="lv-LV"/>
              </w:rPr>
            </w:pPr>
            <w:r w:rsidRPr="006C16D7">
              <w:rPr>
                <w:bCs/>
                <w:color w:val="000000"/>
                <w:sz w:val="26"/>
                <w:szCs w:val="26"/>
                <w:lang w:val="lv-LV"/>
              </w:rPr>
              <w:t xml:space="preserve">Grozījumu ietekmi saistībā ar pāreju uz </w:t>
            </w:r>
            <w:proofErr w:type="spellStart"/>
            <w:r w:rsidRPr="006C16D7">
              <w:rPr>
                <w:bCs/>
                <w:i/>
                <w:color w:val="000000"/>
                <w:sz w:val="26"/>
                <w:szCs w:val="26"/>
                <w:lang w:val="lv-LV"/>
              </w:rPr>
              <w:t>euro</w:t>
            </w:r>
            <w:proofErr w:type="spellEnd"/>
            <w:r w:rsidRPr="006C16D7">
              <w:rPr>
                <w:bCs/>
                <w:color w:val="000000"/>
                <w:sz w:val="26"/>
                <w:szCs w:val="26"/>
                <w:lang w:val="lv-LV"/>
              </w:rPr>
              <w:t xml:space="preserve"> (iespējamo ieņēmumu samazinājumu vai izdevumu palielinājumu) iespējams segt, nemainot attiecīgajās budžeta programmās vai apakšprogrammās finansējuma sadalījumu pa ieņēmumu, izdevumu vai finansēšanas klasifikācijas kodiem. </w:t>
            </w:r>
          </w:p>
        </w:tc>
      </w:tr>
    </w:tbl>
    <w:p w:rsidR="00742BAF" w:rsidRPr="006C16D7" w:rsidRDefault="00742BAF" w:rsidP="00C9779A">
      <w:pPr>
        <w:rPr>
          <w:sz w:val="26"/>
          <w:szCs w:val="26"/>
          <w:lang w:val="lv-LV"/>
        </w:rPr>
      </w:pPr>
    </w:p>
    <w:tbl>
      <w:tblPr>
        <w:tblW w:w="0" w:type="auto"/>
        <w:tblCellSpacing w:w="0" w:type="dxa"/>
        <w:tblBorders>
          <w:top w:val="thickThinLargeGap" w:sz="6" w:space="0" w:color="D9D9D9"/>
          <w:left w:val="thickThinLargeGap" w:sz="6" w:space="0" w:color="D9D9D9"/>
          <w:bottom w:val="thickThinLargeGap" w:sz="6" w:space="0" w:color="D9D9D9"/>
          <w:right w:val="thickThinLargeGap" w:sz="6" w:space="0" w:color="D9D9D9"/>
          <w:insideH w:val="thickThinLargeGap" w:sz="6" w:space="0" w:color="D9D9D9"/>
          <w:insideV w:val="thickThinLargeGap" w:sz="6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645"/>
        <w:gridCol w:w="7146"/>
      </w:tblGrid>
      <w:tr w:rsidR="00C9779A" w:rsidRPr="006C16D7" w:rsidTr="0034794E">
        <w:trPr>
          <w:tblCellSpacing w:w="0" w:type="dxa"/>
        </w:trPr>
        <w:tc>
          <w:tcPr>
            <w:tcW w:w="9191" w:type="dxa"/>
            <w:gridSpan w:val="3"/>
            <w:hideMark/>
          </w:tcPr>
          <w:p w:rsidR="00C9779A" w:rsidRPr="006C16D7" w:rsidRDefault="00C9779A" w:rsidP="0034794E">
            <w:pPr>
              <w:ind w:firstLine="709"/>
              <w:jc w:val="both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 V. Tiesību akta projekta atbilstība Latvijas Republikas starptautiskajām saistībām</w:t>
            </w:r>
          </w:p>
        </w:tc>
      </w:tr>
      <w:tr w:rsidR="00C9779A" w:rsidRPr="006C16D7" w:rsidTr="005631C8">
        <w:trPr>
          <w:tblCellSpacing w:w="0" w:type="dxa"/>
        </w:trPr>
        <w:tc>
          <w:tcPr>
            <w:tcW w:w="400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1.</w:t>
            </w:r>
          </w:p>
        </w:tc>
        <w:tc>
          <w:tcPr>
            <w:tcW w:w="1645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Saistības pret Eiropas Savienību</w:t>
            </w:r>
          </w:p>
        </w:tc>
        <w:tc>
          <w:tcPr>
            <w:tcW w:w="7146" w:type="dxa"/>
            <w:hideMark/>
          </w:tcPr>
          <w:p w:rsidR="003C6B65" w:rsidRDefault="00C9779A" w:rsidP="003C6B65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Ar tiesību</w:t>
            </w:r>
            <w:r w:rsidR="002954D4"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 akta projektu </w:t>
            </w:r>
            <w:r w:rsidR="00742BAF" w:rsidRPr="006C16D7">
              <w:rPr>
                <w:rFonts w:eastAsia="Times New Roman"/>
                <w:sz w:val="26"/>
                <w:szCs w:val="26"/>
                <w:lang w:val="lv-LV" w:eastAsia="lv-LV"/>
              </w:rPr>
              <w:t>tiek ieviesta</w:t>
            </w:r>
            <w:r w:rsidR="008655D8">
              <w:rPr>
                <w:rFonts w:eastAsia="Times New Roman"/>
                <w:sz w:val="26"/>
                <w:szCs w:val="26"/>
                <w:lang w:val="lv-LV" w:eastAsia="lv-LV"/>
              </w:rPr>
              <w:t>:</w:t>
            </w:r>
            <w:r w:rsidR="00926CC7" w:rsidRPr="003C6B65">
              <w:rPr>
                <w:rFonts w:eastAsia="Times New Roman"/>
                <w:sz w:val="26"/>
                <w:szCs w:val="26"/>
                <w:lang w:val="lv-LV" w:eastAsia="lv-LV"/>
              </w:rPr>
              <w:t xml:space="preserve"> </w:t>
            </w:r>
          </w:p>
          <w:p w:rsidR="008655D8" w:rsidRDefault="003C6B65" w:rsidP="003C6B65">
            <w:pPr>
              <w:pStyle w:val="ListParagraph"/>
              <w:numPr>
                <w:ilvl w:val="0"/>
                <w:numId w:val="16"/>
              </w:numPr>
              <w:ind w:left="22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- </w:t>
            </w:r>
            <w:r w:rsidR="00E234CB" w:rsidRPr="003C6B65">
              <w:rPr>
                <w:sz w:val="26"/>
                <w:szCs w:val="26"/>
                <w:lang w:val="lv-LV"/>
              </w:rPr>
              <w:t xml:space="preserve">Komisijas 2008.gada 6.augusta Regula (EK) Nr.800/2008, kas atzīst noteiktas atbalsta kategorijas par saderīgām ar kopējo tirgu, piemērojot Līguma 87. un 88.pantu (vispārējā grupu atbrīvojuma regula) (Eiropas Savienības Oficiālais Vēstnesis, 2008.gada 9.augusts, </w:t>
            </w:r>
            <w:proofErr w:type="spellStart"/>
            <w:r w:rsidR="00E234CB" w:rsidRPr="003C6B65">
              <w:rPr>
                <w:sz w:val="26"/>
                <w:szCs w:val="26"/>
                <w:lang w:val="lv-LV"/>
              </w:rPr>
              <w:t>Nr.L</w:t>
            </w:r>
            <w:proofErr w:type="spellEnd"/>
            <w:r w:rsidR="00E234CB" w:rsidRPr="003C6B65">
              <w:rPr>
                <w:sz w:val="26"/>
                <w:szCs w:val="26"/>
                <w:lang w:val="lv-LV"/>
              </w:rPr>
              <w:t xml:space="preserve"> 214)</w:t>
            </w:r>
            <w:r w:rsidR="008655D8" w:rsidRPr="003C6B65">
              <w:rPr>
                <w:sz w:val="26"/>
                <w:szCs w:val="26"/>
                <w:lang w:val="lv-LV"/>
              </w:rPr>
              <w:t>;</w:t>
            </w:r>
          </w:p>
          <w:p w:rsidR="00B84C4B" w:rsidRPr="003C6B65" w:rsidRDefault="003C6B65" w:rsidP="003C6B65">
            <w:pPr>
              <w:pStyle w:val="ListParagraph"/>
              <w:numPr>
                <w:ilvl w:val="0"/>
                <w:numId w:val="16"/>
              </w:numPr>
              <w:ind w:left="22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- </w:t>
            </w:r>
            <w:r w:rsidR="008655D8" w:rsidRPr="003C6B65">
              <w:rPr>
                <w:sz w:val="26"/>
                <w:szCs w:val="26"/>
                <w:lang w:val="lv-LV"/>
              </w:rPr>
              <w:t xml:space="preserve">Komisijas 2006.gada 15.decembra Regulas (EK) Nr.1998/2006 par Līguma 87. un 88. panta piemērošanu </w:t>
            </w:r>
            <w:proofErr w:type="spellStart"/>
            <w:r w:rsidR="008655D8" w:rsidRPr="003C6B65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="008655D8" w:rsidRPr="003C6B65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="008655D8" w:rsidRPr="003C6B65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="008655D8" w:rsidRPr="003C6B65">
              <w:rPr>
                <w:sz w:val="26"/>
                <w:szCs w:val="26"/>
                <w:lang w:val="lv-LV"/>
              </w:rPr>
              <w:t xml:space="preserve"> atbalstam.</w:t>
            </w:r>
          </w:p>
        </w:tc>
      </w:tr>
      <w:tr w:rsidR="00C9779A" w:rsidRPr="006C16D7" w:rsidTr="005631C8">
        <w:trPr>
          <w:tblCellSpacing w:w="0" w:type="dxa"/>
        </w:trPr>
        <w:tc>
          <w:tcPr>
            <w:tcW w:w="400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2.</w:t>
            </w:r>
          </w:p>
        </w:tc>
        <w:tc>
          <w:tcPr>
            <w:tcW w:w="1645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 Citas starptautiskās </w:t>
            </w: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saistības</w:t>
            </w:r>
          </w:p>
        </w:tc>
        <w:tc>
          <w:tcPr>
            <w:tcW w:w="7146" w:type="dxa"/>
            <w:hideMark/>
          </w:tcPr>
          <w:p w:rsidR="00C9779A" w:rsidRPr="006C16D7" w:rsidRDefault="00C9779A" w:rsidP="00742BAF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sz w:val="26"/>
                <w:szCs w:val="26"/>
                <w:lang w:val="lv-LV"/>
              </w:rPr>
              <w:lastRenderedPageBreak/>
              <w:t>Projekts šo jomu neskar.</w:t>
            </w:r>
          </w:p>
        </w:tc>
      </w:tr>
      <w:tr w:rsidR="00C9779A" w:rsidRPr="006C16D7" w:rsidTr="005631C8">
        <w:trPr>
          <w:tblCellSpacing w:w="0" w:type="dxa"/>
        </w:trPr>
        <w:tc>
          <w:tcPr>
            <w:tcW w:w="400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 3.</w:t>
            </w:r>
          </w:p>
        </w:tc>
        <w:tc>
          <w:tcPr>
            <w:tcW w:w="1645" w:type="dxa"/>
            <w:hideMark/>
          </w:tcPr>
          <w:p w:rsidR="00C9779A" w:rsidRPr="006C16D7" w:rsidRDefault="00C9779A" w:rsidP="0034794E">
            <w:pPr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 Cita informācija</w:t>
            </w:r>
          </w:p>
        </w:tc>
        <w:tc>
          <w:tcPr>
            <w:tcW w:w="7146" w:type="dxa"/>
            <w:hideMark/>
          </w:tcPr>
          <w:p w:rsidR="00B84C4B" w:rsidRPr="006C16D7" w:rsidRDefault="00FC5AC6" w:rsidP="00F20476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sz w:val="26"/>
                <w:szCs w:val="26"/>
                <w:lang w:val="lv-LV"/>
              </w:rPr>
              <w:t>Projekts šo jomu neskar.</w:t>
            </w:r>
          </w:p>
        </w:tc>
      </w:tr>
    </w:tbl>
    <w:p w:rsidR="00C9779A" w:rsidRPr="006C16D7" w:rsidRDefault="00C9779A" w:rsidP="00C9779A">
      <w:pPr>
        <w:ind w:firstLine="468"/>
        <w:jc w:val="both"/>
        <w:rPr>
          <w:rFonts w:eastAsia="Times New Roman"/>
          <w:sz w:val="26"/>
          <w:szCs w:val="26"/>
          <w:lang w:val="lv-LV" w:eastAsia="lv-LV"/>
        </w:rPr>
      </w:pPr>
      <w:r w:rsidRPr="006C16D7">
        <w:rPr>
          <w:rFonts w:eastAsia="Times New Roman"/>
          <w:sz w:val="26"/>
          <w:szCs w:val="26"/>
          <w:lang w:val="lv-LV" w:eastAsia="lv-LV"/>
        </w:rPr>
        <w:t> </w:t>
      </w:r>
    </w:p>
    <w:tbl>
      <w:tblPr>
        <w:tblW w:w="0" w:type="auto"/>
        <w:tblCellSpacing w:w="0" w:type="dxa"/>
        <w:tblBorders>
          <w:top w:val="thickThinLargeGap" w:sz="6" w:space="0" w:color="D9D9D9"/>
          <w:left w:val="thickThinLargeGap" w:sz="6" w:space="0" w:color="D9D9D9"/>
          <w:bottom w:val="thickThinLargeGap" w:sz="6" w:space="0" w:color="D9D9D9"/>
          <w:right w:val="thickThinLargeGap" w:sz="6" w:space="0" w:color="D9D9D9"/>
          <w:insideH w:val="thickThinLargeGap" w:sz="6" w:space="0" w:color="D9D9D9"/>
          <w:insideV w:val="thickThinLargeGap" w:sz="6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2452"/>
        <w:gridCol w:w="2703"/>
        <w:gridCol w:w="2033"/>
      </w:tblGrid>
      <w:tr w:rsidR="00C9779A" w:rsidRPr="006C16D7" w:rsidTr="0034794E">
        <w:trPr>
          <w:trHeight w:val="525"/>
          <w:tblCellSpacing w:w="0" w:type="dxa"/>
        </w:trPr>
        <w:tc>
          <w:tcPr>
            <w:tcW w:w="9191" w:type="dxa"/>
            <w:gridSpan w:val="4"/>
            <w:vAlign w:val="center"/>
            <w:hideMark/>
          </w:tcPr>
          <w:p w:rsidR="00C9779A" w:rsidRPr="006C16D7" w:rsidRDefault="00C9779A" w:rsidP="0034794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 1.tabula</w:t>
            </w:r>
          </w:p>
          <w:p w:rsidR="00C9779A" w:rsidRPr="006C16D7" w:rsidRDefault="00C9779A" w:rsidP="0034794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Tiesību akta projekta atbilstība ES tiesību aktiem</w:t>
            </w:r>
          </w:p>
        </w:tc>
      </w:tr>
      <w:tr w:rsidR="00C9779A" w:rsidRPr="006C16D7" w:rsidTr="0034794E">
        <w:trPr>
          <w:trHeight w:val="1256"/>
          <w:tblCellSpacing w:w="0" w:type="dxa"/>
        </w:trPr>
        <w:tc>
          <w:tcPr>
            <w:tcW w:w="2003" w:type="dxa"/>
            <w:vAlign w:val="center"/>
            <w:hideMark/>
          </w:tcPr>
          <w:p w:rsidR="00C9779A" w:rsidRPr="006C16D7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Attiecīgā ES tiesību akta datums, numurs un nosaukums</w:t>
            </w:r>
          </w:p>
        </w:tc>
        <w:tc>
          <w:tcPr>
            <w:tcW w:w="7188" w:type="dxa"/>
            <w:gridSpan w:val="3"/>
            <w:vAlign w:val="center"/>
            <w:hideMark/>
          </w:tcPr>
          <w:p w:rsidR="005D7EB7" w:rsidRDefault="005631C8" w:rsidP="00926CC7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Ar normatīvo aktu tiek ieviestas </w:t>
            </w:r>
            <w:r w:rsidR="005D7EB7">
              <w:rPr>
                <w:rFonts w:eastAsia="Times New Roman"/>
                <w:sz w:val="26"/>
                <w:szCs w:val="26"/>
                <w:lang w:val="lv-LV" w:eastAsia="lv-LV"/>
              </w:rPr>
              <w:t>šādas ES tiesību aktu prasības:</w:t>
            </w:r>
          </w:p>
          <w:p w:rsidR="005D7EB7" w:rsidRPr="005D7EB7" w:rsidRDefault="00E234CB" w:rsidP="003C6B65">
            <w:pPr>
              <w:pStyle w:val="ListParagraph"/>
              <w:numPr>
                <w:ilvl w:val="0"/>
                <w:numId w:val="16"/>
              </w:numPr>
              <w:ind w:left="124" w:firstLine="513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D7EB7">
              <w:rPr>
                <w:sz w:val="26"/>
                <w:szCs w:val="26"/>
                <w:lang w:val="lv-LV"/>
              </w:rPr>
              <w:t xml:space="preserve">Komisijas 2008.gada 6.augusta Regulas (EK) Nr.800/2008, kas atzīst noteiktas atbalsta kategorijas par saderīgām ar kopējo tirgu, piemērojot Līguma 87. un 88.pantu (vispārējā grupu atbrīvojuma regula) (Eiropas Savienības Oficiālais Vēstnesis, 2008.gada 9.augusts, </w:t>
            </w:r>
            <w:proofErr w:type="spellStart"/>
            <w:r w:rsidRPr="005D7EB7">
              <w:rPr>
                <w:sz w:val="26"/>
                <w:szCs w:val="26"/>
                <w:lang w:val="lv-LV"/>
              </w:rPr>
              <w:t>Nr.L</w:t>
            </w:r>
            <w:proofErr w:type="spellEnd"/>
            <w:r w:rsidRPr="005D7EB7">
              <w:rPr>
                <w:sz w:val="26"/>
                <w:szCs w:val="26"/>
                <w:lang w:val="lv-LV"/>
              </w:rPr>
              <w:t xml:space="preserve"> 214)</w:t>
            </w:r>
            <w:r w:rsidR="005D7EB7">
              <w:rPr>
                <w:sz w:val="26"/>
                <w:szCs w:val="26"/>
                <w:lang w:val="lv-LV"/>
              </w:rPr>
              <w:t>;</w:t>
            </w:r>
          </w:p>
          <w:p w:rsidR="00FC5AC6" w:rsidRPr="005D7EB7" w:rsidRDefault="005D7EB7" w:rsidP="004F5055">
            <w:pPr>
              <w:pStyle w:val="ListParagraph"/>
              <w:numPr>
                <w:ilvl w:val="0"/>
                <w:numId w:val="16"/>
              </w:numPr>
              <w:ind w:left="0" w:firstLine="549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D9708B">
              <w:rPr>
                <w:sz w:val="26"/>
                <w:szCs w:val="26"/>
                <w:lang w:val="lv-LV"/>
              </w:rPr>
              <w:t xml:space="preserve">Komisijas 2006.gada 15.decembra </w:t>
            </w:r>
            <w:r>
              <w:rPr>
                <w:sz w:val="26"/>
                <w:szCs w:val="26"/>
                <w:lang w:val="lv-LV"/>
              </w:rPr>
              <w:t>Regula</w:t>
            </w:r>
            <w:r w:rsidRPr="00D9708B">
              <w:rPr>
                <w:sz w:val="26"/>
                <w:szCs w:val="26"/>
                <w:lang w:val="lv-LV"/>
              </w:rPr>
              <w:t xml:space="preserve"> (EK) Nr.1998/2006 par Līguma 87. un 88. panta piemērošanu </w:t>
            </w:r>
            <w:proofErr w:type="spellStart"/>
            <w:r w:rsidRPr="00D9708B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Pr="00D9708B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D9708B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="004F5055">
              <w:rPr>
                <w:sz w:val="26"/>
                <w:szCs w:val="26"/>
                <w:lang w:val="lv-LV"/>
              </w:rPr>
              <w:t xml:space="preserve"> atbalstam.</w:t>
            </w:r>
          </w:p>
        </w:tc>
      </w:tr>
      <w:tr w:rsidR="00C9779A" w:rsidRPr="006C16D7" w:rsidTr="0034794E">
        <w:trPr>
          <w:trHeight w:val="166"/>
          <w:tblCellSpacing w:w="0" w:type="dxa"/>
        </w:trPr>
        <w:tc>
          <w:tcPr>
            <w:tcW w:w="2003" w:type="dxa"/>
            <w:vAlign w:val="center"/>
            <w:hideMark/>
          </w:tcPr>
          <w:p w:rsidR="00C9779A" w:rsidRPr="006C16D7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A</w:t>
            </w:r>
          </w:p>
        </w:tc>
        <w:tc>
          <w:tcPr>
            <w:tcW w:w="2452" w:type="dxa"/>
            <w:vAlign w:val="center"/>
            <w:hideMark/>
          </w:tcPr>
          <w:p w:rsidR="00C9779A" w:rsidRPr="006C16D7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B</w:t>
            </w:r>
          </w:p>
        </w:tc>
        <w:tc>
          <w:tcPr>
            <w:tcW w:w="2703" w:type="dxa"/>
            <w:vAlign w:val="center"/>
            <w:hideMark/>
          </w:tcPr>
          <w:p w:rsidR="00C9779A" w:rsidRPr="006C16D7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C</w:t>
            </w:r>
          </w:p>
        </w:tc>
        <w:tc>
          <w:tcPr>
            <w:tcW w:w="2033" w:type="dxa"/>
            <w:vAlign w:val="center"/>
            <w:hideMark/>
          </w:tcPr>
          <w:p w:rsidR="00C9779A" w:rsidRPr="006C16D7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D</w:t>
            </w:r>
          </w:p>
        </w:tc>
      </w:tr>
      <w:tr w:rsidR="00C9779A" w:rsidRPr="006C16D7" w:rsidTr="0034794E">
        <w:trPr>
          <w:trHeight w:val="2917"/>
          <w:tblCellSpacing w:w="0" w:type="dxa"/>
        </w:trPr>
        <w:tc>
          <w:tcPr>
            <w:tcW w:w="2003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Attiecīgā ES tiesību akta panta numurs (uzskaitot katru tiesību akta</w:t>
            </w: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br/>
              <w:t>vienību – pantu, daļu, punktu, apakšpunktu)</w:t>
            </w:r>
          </w:p>
        </w:tc>
        <w:tc>
          <w:tcPr>
            <w:tcW w:w="2452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Projekta vienība, kas pārņem vai ievieš katru šīs tabulas A ailē minēto ES tiesību akta vienību</w:t>
            </w:r>
          </w:p>
        </w:tc>
        <w:tc>
          <w:tcPr>
            <w:tcW w:w="2703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Informācija par to, vai šīs tabulas A ailē minētās ES tiesību akta vienības tiek pārņemtas vai ieviestas pilnībā vai daļēji.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Norāda institūciju, kas ir atbildīga par šo saistību izpildi pilnībā</w:t>
            </w:r>
          </w:p>
        </w:tc>
        <w:tc>
          <w:tcPr>
            <w:tcW w:w="2033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Informācija par to, vai šīs tabulas B ailē minētās projekta vienības paredz stingrākas prasības nekā šīs tabulas A ailē minētās ES tiesību akta vienības.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Ja projekts satur stingrākas prasības nekā attiecīgais ES tiesību akts, – norāda pamatojumu un samērīgumu.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Norāda iespējamās alternatīvas (t.sk. alternatīvas, kas neparedz tiesiskā regulējuma </w:t>
            </w: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izstrādi) – kādos gadījumos būtu iespējams izvairīties no stingrāku prasību noteikšanas, nekā paredzēts attiecīgajos ES tiesību aktos</w:t>
            </w:r>
          </w:p>
        </w:tc>
      </w:tr>
      <w:tr w:rsidR="005D7EB7" w:rsidRPr="006C16D7" w:rsidTr="002954D4">
        <w:trPr>
          <w:trHeight w:val="590"/>
          <w:tblCellSpacing w:w="0" w:type="dxa"/>
        </w:trPr>
        <w:tc>
          <w:tcPr>
            <w:tcW w:w="2003" w:type="dxa"/>
          </w:tcPr>
          <w:p w:rsidR="005D7EB7" w:rsidRPr="00D4557C" w:rsidRDefault="005D7EB7" w:rsidP="00926CC7">
            <w:pPr>
              <w:jc w:val="both"/>
              <w:rPr>
                <w:sz w:val="26"/>
                <w:szCs w:val="26"/>
                <w:lang w:val="lv-LV"/>
              </w:rPr>
            </w:pPr>
            <w:proofErr w:type="spellStart"/>
            <w:r w:rsidRPr="004B3D19">
              <w:rPr>
                <w:i/>
                <w:sz w:val="26"/>
                <w:szCs w:val="26"/>
              </w:rPr>
              <w:lastRenderedPageBreak/>
              <w:t>Regulas</w:t>
            </w:r>
            <w:proofErr w:type="spellEnd"/>
            <w:r w:rsidRPr="004B3D19">
              <w:rPr>
                <w:i/>
                <w:sz w:val="26"/>
                <w:szCs w:val="26"/>
              </w:rPr>
              <w:t xml:space="preserve"> Nr. 1998/2006 5.panta 3 </w:t>
            </w:r>
            <w:proofErr w:type="spellStart"/>
            <w:r w:rsidRPr="004B3D19">
              <w:rPr>
                <w:i/>
                <w:sz w:val="26"/>
                <w:szCs w:val="26"/>
              </w:rPr>
              <w:t>punkts</w:t>
            </w:r>
            <w:proofErr w:type="spellEnd"/>
          </w:p>
        </w:tc>
        <w:tc>
          <w:tcPr>
            <w:tcW w:w="2452" w:type="dxa"/>
          </w:tcPr>
          <w:p w:rsidR="005D7EB7" w:rsidRPr="006C16D7" w:rsidRDefault="005D7EB7" w:rsidP="00D94B9B">
            <w:pPr>
              <w:jc w:val="both"/>
              <w:rPr>
                <w:rFonts w:eastAsia="Times New Roman"/>
                <w:i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i/>
                <w:sz w:val="26"/>
                <w:szCs w:val="26"/>
                <w:lang w:val="lv-LV"/>
              </w:rPr>
              <w:t xml:space="preserve">Noteikumu projekta </w:t>
            </w:r>
            <w:r>
              <w:rPr>
                <w:rFonts w:eastAsia="Times New Roman"/>
                <w:i/>
                <w:sz w:val="26"/>
                <w:szCs w:val="26"/>
                <w:lang w:val="lv-LV"/>
              </w:rPr>
              <w:t>1.</w:t>
            </w:r>
            <w:r w:rsidRPr="006C16D7">
              <w:rPr>
                <w:rFonts w:eastAsia="Times New Roman"/>
                <w:i/>
                <w:sz w:val="26"/>
                <w:szCs w:val="26"/>
                <w:lang w:val="lv-LV"/>
              </w:rPr>
              <w:t xml:space="preserve">2.punkts (ar ko groza MK noteikumu Nr.164 </w:t>
            </w:r>
            <w:r w:rsidRPr="00D4557C">
              <w:rPr>
                <w:i/>
                <w:sz w:val="26"/>
                <w:szCs w:val="26"/>
                <w:lang w:val="lv-LV"/>
              </w:rPr>
              <w:t>6.punktu)</w:t>
            </w:r>
            <w:r w:rsidRPr="006C16D7">
              <w:rPr>
                <w:rFonts w:eastAsia="Times New Roman"/>
                <w:i/>
                <w:sz w:val="26"/>
                <w:szCs w:val="26"/>
                <w:lang w:val="lv-LV"/>
              </w:rPr>
              <w:t>.</w:t>
            </w:r>
          </w:p>
        </w:tc>
        <w:tc>
          <w:tcPr>
            <w:tcW w:w="2703" w:type="dxa"/>
          </w:tcPr>
          <w:p w:rsidR="005D7EB7" w:rsidRPr="006C16D7" w:rsidRDefault="005D7EB7" w:rsidP="00D4557C">
            <w:pPr>
              <w:pStyle w:val="naisf"/>
              <w:spacing w:before="0" w:after="0"/>
              <w:ind w:firstLine="0"/>
              <w:rPr>
                <w:i/>
                <w:sz w:val="26"/>
                <w:szCs w:val="26"/>
              </w:rPr>
            </w:pPr>
            <w:r w:rsidRPr="006C16D7">
              <w:rPr>
                <w:i/>
                <w:sz w:val="26"/>
                <w:szCs w:val="26"/>
              </w:rPr>
              <w:t>ieviesta pilnībā</w:t>
            </w:r>
          </w:p>
        </w:tc>
        <w:tc>
          <w:tcPr>
            <w:tcW w:w="2033" w:type="dxa"/>
          </w:tcPr>
          <w:p w:rsidR="005D7EB7" w:rsidRPr="006C16D7" w:rsidRDefault="005D7EB7" w:rsidP="00236989">
            <w:pPr>
              <w:pStyle w:val="naisf"/>
              <w:spacing w:before="0" w:after="0"/>
              <w:ind w:firstLine="0"/>
              <w:rPr>
                <w:i/>
                <w:sz w:val="26"/>
                <w:szCs w:val="26"/>
              </w:rPr>
            </w:pPr>
            <w:r w:rsidRPr="006C16D7">
              <w:rPr>
                <w:i/>
                <w:sz w:val="26"/>
                <w:szCs w:val="26"/>
              </w:rPr>
              <w:t>neparedz stingrākas prasības</w:t>
            </w:r>
          </w:p>
        </w:tc>
      </w:tr>
      <w:tr w:rsidR="005D7EB7" w:rsidRPr="006C16D7" w:rsidTr="002954D4">
        <w:trPr>
          <w:trHeight w:val="590"/>
          <w:tblCellSpacing w:w="0" w:type="dxa"/>
        </w:trPr>
        <w:tc>
          <w:tcPr>
            <w:tcW w:w="2003" w:type="dxa"/>
            <w:hideMark/>
          </w:tcPr>
          <w:p w:rsidR="005D7EB7" w:rsidRPr="003C6B65" w:rsidRDefault="005D7EB7" w:rsidP="00926CC7">
            <w:pPr>
              <w:jc w:val="both"/>
              <w:rPr>
                <w:rFonts w:eastAsia="Times New Roman"/>
                <w:i/>
                <w:sz w:val="26"/>
                <w:szCs w:val="26"/>
                <w:lang w:val="lv-LV" w:eastAsia="lv-LV"/>
              </w:rPr>
            </w:pPr>
            <w:r w:rsidRPr="003C6B65">
              <w:rPr>
                <w:i/>
                <w:sz w:val="26"/>
                <w:szCs w:val="26"/>
                <w:lang w:val="lv-LV"/>
              </w:rPr>
              <w:t xml:space="preserve">Regulas </w:t>
            </w:r>
            <w:proofErr w:type="spellStart"/>
            <w:r w:rsidRPr="003C6B65">
              <w:rPr>
                <w:i/>
                <w:sz w:val="26"/>
                <w:szCs w:val="26"/>
                <w:lang w:val="lv-LV"/>
              </w:rPr>
              <w:t>Nr</w:t>
            </w:r>
            <w:proofErr w:type="spellEnd"/>
            <w:r w:rsidRPr="003C6B65">
              <w:rPr>
                <w:i/>
                <w:sz w:val="26"/>
                <w:szCs w:val="26"/>
                <w:lang w:val="lv-LV"/>
              </w:rPr>
              <w:t>. 800/2008 44.panta 3 punkts</w:t>
            </w:r>
            <w:r w:rsidRPr="003C6B65">
              <w:rPr>
                <w:rFonts w:eastAsia="Times New Roman"/>
                <w:i/>
                <w:sz w:val="26"/>
                <w:szCs w:val="26"/>
                <w:lang w:val="lv-LV" w:eastAsia="lv-LV"/>
              </w:rPr>
              <w:t>.</w:t>
            </w:r>
          </w:p>
        </w:tc>
        <w:tc>
          <w:tcPr>
            <w:tcW w:w="2452" w:type="dxa"/>
            <w:hideMark/>
          </w:tcPr>
          <w:p w:rsidR="005D7EB7" w:rsidRPr="006C16D7" w:rsidRDefault="005D7EB7" w:rsidP="00D94B9B">
            <w:pPr>
              <w:jc w:val="both"/>
              <w:rPr>
                <w:rFonts w:eastAsia="Times New Roman"/>
                <w:i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i/>
                <w:sz w:val="26"/>
                <w:szCs w:val="26"/>
                <w:lang w:val="lv-LV"/>
              </w:rPr>
              <w:t xml:space="preserve">Noteikumu projekta </w:t>
            </w:r>
            <w:r>
              <w:rPr>
                <w:rFonts w:eastAsia="Times New Roman"/>
                <w:i/>
                <w:sz w:val="26"/>
                <w:szCs w:val="26"/>
                <w:lang w:val="lv-LV"/>
              </w:rPr>
              <w:t>1.</w:t>
            </w:r>
            <w:r w:rsidRPr="006C16D7">
              <w:rPr>
                <w:rFonts w:eastAsia="Times New Roman"/>
                <w:i/>
                <w:sz w:val="26"/>
                <w:szCs w:val="26"/>
                <w:lang w:val="lv-LV"/>
              </w:rPr>
              <w:t xml:space="preserve">2.punkts (ar ko groza MK noteikumu Nr.164 </w:t>
            </w:r>
            <w:r w:rsidRPr="00D4557C">
              <w:rPr>
                <w:i/>
                <w:sz w:val="26"/>
                <w:szCs w:val="26"/>
                <w:lang w:val="lv-LV"/>
              </w:rPr>
              <w:t>6.punktu)</w:t>
            </w:r>
            <w:r w:rsidRPr="006C16D7">
              <w:rPr>
                <w:rFonts w:eastAsia="Times New Roman"/>
                <w:i/>
                <w:sz w:val="26"/>
                <w:szCs w:val="26"/>
                <w:lang w:val="lv-LV"/>
              </w:rPr>
              <w:t>.</w:t>
            </w:r>
          </w:p>
        </w:tc>
        <w:tc>
          <w:tcPr>
            <w:tcW w:w="2703" w:type="dxa"/>
            <w:hideMark/>
          </w:tcPr>
          <w:p w:rsidR="005D7EB7" w:rsidRPr="006C16D7" w:rsidRDefault="005D7EB7" w:rsidP="00D4557C">
            <w:pPr>
              <w:pStyle w:val="naisf"/>
              <w:spacing w:before="0" w:after="0"/>
              <w:ind w:firstLine="0"/>
              <w:rPr>
                <w:i/>
                <w:sz w:val="26"/>
                <w:szCs w:val="26"/>
              </w:rPr>
            </w:pPr>
            <w:r w:rsidRPr="006C16D7">
              <w:rPr>
                <w:i/>
                <w:sz w:val="26"/>
                <w:szCs w:val="26"/>
              </w:rPr>
              <w:t>ieviesta pilnībā</w:t>
            </w:r>
          </w:p>
        </w:tc>
        <w:tc>
          <w:tcPr>
            <w:tcW w:w="2033" w:type="dxa"/>
            <w:hideMark/>
          </w:tcPr>
          <w:p w:rsidR="005D7EB7" w:rsidRPr="006C16D7" w:rsidRDefault="005D7EB7" w:rsidP="00236989">
            <w:pPr>
              <w:pStyle w:val="naisf"/>
              <w:spacing w:before="0" w:after="0"/>
              <w:ind w:firstLine="0"/>
              <w:rPr>
                <w:i/>
                <w:sz w:val="26"/>
                <w:szCs w:val="26"/>
              </w:rPr>
            </w:pPr>
            <w:r w:rsidRPr="006C16D7">
              <w:rPr>
                <w:i/>
                <w:sz w:val="26"/>
                <w:szCs w:val="26"/>
              </w:rPr>
              <w:t>neparedz stingrākas prasības</w:t>
            </w:r>
          </w:p>
        </w:tc>
      </w:tr>
      <w:tr w:rsidR="005D7EB7" w:rsidRPr="006C16D7" w:rsidTr="0034794E">
        <w:trPr>
          <w:trHeight w:val="282"/>
          <w:tblCellSpacing w:w="0" w:type="dxa"/>
        </w:trPr>
        <w:tc>
          <w:tcPr>
            <w:tcW w:w="2003" w:type="dxa"/>
            <w:vAlign w:val="center"/>
            <w:hideMark/>
          </w:tcPr>
          <w:p w:rsidR="005D7EB7" w:rsidRPr="006C16D7" w:rsidRDefault="005D7EB7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Kā ir izmantota ES tiesību aktā paredzētā rīcības brīvība dalībvalstij pārņemt vai ieviest noteiktas ES tiesību akta normas.</w:t>
            </w:r>
          </w:p>
          <w:p w:rsidR="005D7EB7" w:rsidRPr="006C16D7" w:rsidRDefault="005D7EB7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Kādēļ?</w:t>
            </w:r>
          </w:p>
        </w:tc>
        <w:tc>
          <w:tcPr>
            <w:tcW w:w="7188" w:type="dxa"/>
            <w:gridSpan w:val="3"/>
            <w:hideMark/>
          </w:tcPr>
          <w:p w:rsidR="005D7EB7" w:rsidRPr="006C16D7" w:rsidRDefault="005D7EB7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Projekts šo jomu neskar.</w:t>
            </w:r>
          </w:p>
        </w:tc>
      </w:tr>
      <w:tr w:rsidR="005D7EB7" w:rsidRPr="006C16D7" w:rsidTr="0034794E">
        <w:trPr>
          <w:trHeight w:val="916"/>
          <w:tblCellSpacing w:w="0" w:type="dxa"/>
        </w:trPr>
        <w:tc>
          <w:tcPr>
            <w:tcW w:w="2003" w:type="dxa"/>
            <w:vAlign w:val="center"/>
            <w:hideMark/>
          </w:tcPr>
          <w:p w:rsidR="005D7EB7" w:rsidRPr="006C16D7" w:rsidRDefault="005D7EB7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 Saistības sniegt paziņojumu ES institūcijām un ES dalībvalstīm atbilstoši normatīvajiem aktiem, kas regulē informācijas sniegšanu par tehnisko noteikumu, valsts atbalsta piešķiršanas un finanšu </w:t>
            </w: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noteikumu (attiecībā uz monetāro politiku) projektiem</w:t>
            </w:r>
          </w:p>
        </w:tc>
        <w:tc>
          <w:tcPr>
            <w:tcW w:w="7188" w:type="dxa"/>
            <w:gridSpan w:val="3"/>
            <w:hideMark/>
          </w:tcPr>
          <w:p w:rsidR="005D7EB7" w:rsidRPr="003C6B65" w:rsidRDefault="005D7EB7" w:rsidP="003A339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3C6B65">
              <w:rPr>
                <w:sz w:val="26"/>
                <w:szCs w:val="26"/>
              </w:rPr>
              <w:lastRenderedPageBreak/>
              <w:t>MK noteikumu projekts saskaņā ar Regulas Nr.800/2008 3.pantu ir atbrīvots no iepriekšējas paziņošanas Eiropas Komisijā.</w:t>
            </w:r>
          </w:p>
          <w:p w:rsidR="005D7EB7" w:rsidRPr="003C6B65" w:rsidRDefault="005D7EB7" w:rsidP="003A3394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C6B65">
              <w:rPr>
                <w:rFonts w:eastAsia="Times New Roman"/>
                <w:sz w:val="26"/>
                <w:szCs w:val="26"/>
                <w:lang w:val="lv-LV" w:eastAsia="lv-LV"/>
              </w:rPr>
              <w:t xml:space="preserve">Bet, ņemot vērā, Regulas 800/2008 9.pantu, atbildīgā iestāde 20 darba dienu laikā pēc šī MK noteikumu projekta apstiprināšanas, izmantojot  izveidoto Komisijas IT lietojumprogrammu SANI, sniegs Eiropas Komisijai informācijas kopsavilkumu par termiņa pagarinājumu. </w:t>
            </w:r>
          </w:p>
          <w:p w:rsidR="005D7EB7" w:rsidRPr="006C16D7" w:rsidRDefault="005D7EB7" w:rsidP="005D7EB7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5D7EB7" w:rsidRPr="006C16D7" w:rsidTr="00742BAF">
        <w:trPr>
          <w:trHeight w:val="447"/>
          <w:tblCellSpacing w:w="0" w:type="dxa"/>
        </w:trPr>
        <w:tc>
          <w:tcPr>
            <w:tcW w:w="2003" w:type="dxa"/>
            <w:hideMark/>
          </w:tcPr>
          <w:p w:rsidR="005D7EB7" w:rsidRPr="006C16D7" w:rsidRDefault="005D7EB7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 Cita informācija</w:t>
            </w:r>
          </w:p>
        </w:tc>
        <w:tc>
          <w:tcPr>
            <w:tcW w:w="7188" w:type="dxa"/>
            <w:gridSpan w:val="3"/>
            <w:hideMark/>
          </w:tcPr>
          <w:p w:rsidR="005D7EB7" w:rsidRPr="006C16D7" w:rsidRDefault="005D7EB7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  <w:r w:rsidRPr="006C16D7">
              <w:rPr>
                <w:sz w:val="26"/>
                <w:szCs w:val="26"/>
                <w:lang w:val="lv-LV"/>
              </w:rPr>
              <w:t>Nav.</w:t>
            </w:r>
          </w:p>
        </w:tc>
      </w:tr>
    </w:tbl>
    <w:p w:rsidR="00C9779A" w:rsidRPr="006C16D7" w:rsidRDefault="00C9779A" w:rsidP="00C9779A">
      <w:pPr>
        <w:ind w:firstLine="468"/>
        <w:jc w:val="both"/>
        <w:rPr>
          <w:rFonts w:eastAsia="Times New Roman"/>
          <w:sz w:val="26"/>
          <w:szCs w:val="26"/>
          <w:lang w:val="lv-LV" w:eastAsia="lv-LV"/>
        </w:rPr>
      </w:pPr>
      <w:r w:rsidRPr="006C16D7">
        <w:rPr>
          <w:rFonts w:eastAsia="Times New Roman"/>
          <w:sz w:val="26"/>
          <w:szCs w:val="26"/>
          <w:lang w:val="lv-LV" w:eastAsia="lv-LV"/>
        </w:rPr>
        <w:t> </w:t>
      </w:r>
    </w:p>
    <w:tbl>
      <w:tblPr>
        <w:tblW w:w="0" w:type="auto"/>
        <w:tblCellSpacing w:w="0" w:type="dxa"/>
        <w:tblBorders>
          <w:top w:val="thickThinLargeGap" w:sz="2" w:space="0" w:color="C0C0C0"/>
          <w:left w:val="thickThinLargeGap" w:sz="2" w:space="0" w:color="C0C0C0"/>
          <w:bottom w:val="thickThinLargeGap" w:sz="2" w:space="0" w:color="C0C0C0"/>
          <w:right w:val="thickThinLargeGap" w:sz="2" w:space="0" w:color="C0C0C0"/>
          <w:insideH w:val="thickThinLargeGap" w:sz="2" w:space="0" w:color="C0C0C0"/>
          <w:insideV w:val="thickThinLargeGap" w:sz="2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992"/>
        <w:gridCol w:w="1607"/>
        <w:gridCol w:w="3914"/>
      </w:tblGrid>
      <w:tr w:rsidR="00C9779A" w:rsidRPr="006C16D7" w:rsidTr="0034794E">
        <w:trPr>
          <w:trHeight w:val="796"/>
          <w:tblCellSpacing w:w="0" w:type="dxa"/>
        </w:trPr>
        <w:tc>
          <w:tcPr>
            <w:tcW w:w="9115" w:type="dxa"/>
            <w:gridSpan w:val="4"/>
            <w:vAlign w:val="center"/>
            <w:hideMark/>
          </w:tcPr>
          <w:p w:rsidR="00C9779A" w:rsidRPr="006C16D7" w:rsidRDefault="00C9779A" w:rsidP="0034794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b/>
                <w:bCs/>
                <w:sz w:val="26"/>
                <w:szCs w:val="26"/>
                <w:lang w:val="lv-LV"/>
              </w:rPr>
              <w:t> 2.tabula</w:t>
            </w:r>
          </w:p>
          <w:p w:rsidR="00C9779A" w:rsidRPr="006C16D7" w:rsidRDefault="00C9779A" w:rsidP="0034794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b/>
                <w:bCs/>
                <w:sz w:val="26"/>
                <w:szCs w:val="26"/>
                <w:lang w:val="lv-LV"/>
              </w:rPr>
              <w:t>Ar tiesību akta projektu uzņemtās saistības, kas izriet no starptautiskajiem tiesību aktiem vai starptautiskas institūcijas vai organizācijas dokumentiem</w:t>
            </w:r>
          </w:p>
          <w:p w:rsidR="00C9779A" w:rsidRPr="006C16D7" w:rsidRDefault="00C9779A" w:rsidP="0034794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b/>
                <w:bCs/>
                <w:sz w:val="26"/>
                <w:szCs w:val="26"/>
                <w:lang w:val="lv-LV"/>
              </w:rPr>
              <w:t>Pasākumi šo saistību izpildei</w:t>
            </w:r>
          </w:p>
        </w:tc>
      </w:tr>
      <w:tr w:rsidR="00C9779A" w:rsidRPr="006C16D7" w:rsidTr="0034794E">
        <w:trPr>
          <w:trHeight w:val="1845"/>
          <w:tblCellSpacing w:w="0" w:type="dxa"/>
        </w:trPr>
        <w:tc>
          <w:tcPr>
            <w:tcW w:w="3594" w:type="dxa"/>
            <w:gridSpan w:val="2"/>
            <w:vAlign w:val="center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 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5521" w:type="dxa"/>
            <w:gridSpan w:val="2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Aizpilda, ja ar projektu izpildītas vai tiek uzņemtas saistības, kas izriet no vairāk nekā viena starptautiskā dokumenta, – jānorāda tā pati informācija, kas prasīta instrukcijas 57.1.apakšpunktā un jau tikusi norādīta arī V sadaļas 2.punkta ietvaros</w:t>
            </w:r>
          </w:p>
          <w:p w:rsidR="00B84C4B" w:rsidRPr="006C16D7" w:rsidRDefault="00B84C4B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</w:p>
          <w:p w:rsidR="00B84C4B" w:rsidRPr="006C16D7" w:rsidRDefault="00B84C4B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</w:p>
        </w:tc>
      </w:tr>
      <w:tr w:rsidR="00C9779A" w:rsidRPr="006C16D7" w:rsidTr="0034794E">
        <w:trPr>
          <w:trHeight w:val="343"/>
          <w:tblCellSpacing w:w="0" w:type="dxa"/>
        </w:trPr>
        <w:tc>
          <w:tcPr>
            <w:tcW w:w="2602" w:type="dxa"/>
            <w:vAlign w:val="center"/>
            <w:hideMark/>
          </w:tcPr>
          <w:p w:rsidR="00C9779A" w:rsidRPr="006C16D7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 A</w:t>
            </w:r>
          </w:p>
        </w:tc>
        <w:tc>
          <w:tcPr>
            <w:tcW w:w="2599" w:type="dxa"/>
            <w:gridSpan w:val="2"/>
            <w:vAlign w:val="center"/>
            <w:hideMark/>
          </w:tcPr>
          <w:p w:rsidR="00C9779A" w:rsidRPr="006C16D7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 B</w:t>
            </w:r>
          </w:p>
        </w:tc>
        <w:tc>
          <w:tcPr>
            <w:tcW w:w="3914" w:type="dxa"/>
            <w:vAlign w:val="center"/>
            <w:hideMark/>
          </w:tcPr>
          <w:p w:rsidR="00C9779A" w:rsidRPr="006C16D7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 C</w:t>
            </w:r>
          </w:p>
        </w:tc>
      </w:tr>
      <w:tr w:rsidR="00C9779A" w:rsidRPr="006C16D7" w:rsidTr="0034794E">
        <w:trPr>
          <w:trHeight w:val="1512"/>
          <w:tblCellSpacing w:w="0" w:type="dxa"/>
        </w:trPr>
        <w:tc>
          <w:tcPr>
            <w:tcW w:w="2602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 Starptautiskās saistības (pēc būtības), kas izriet no norādītā starptautiskā dokumenta.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 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Konkrēti veicamie pasākumi vai uzdevumi, kas nepieciešami šo starptautisko saistību izpildei</w:t>
            </w:r>
          </w:p>
        </w:tc>
        <w:tc>
          <w:tcPr>
            <w:tcW w:w="2599" w:type="dxa"/>
            <w:gridSpan w:val="2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Ja pasākumi vai uzdevumi, ar ko tiks izpildītas starptautiskās saistības, tiek noteikti projektā, norāda attiecīgo projekta vienību.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 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Vai arī norāda dokumentu, kurā sniegts izvērsts skaidrojums, kādā veidā tiks nodrošināta starptautisko saistību izpilde</w:t>
            </w:r>
          </w:p>
        </w:tc>
        <w:tc>
          <w:tcPr>
            <w:tcW w:w="3914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Informācija par to, vai starptautiskās saistības, kas minētas šīs tabulas A ailē, tiek izpildītas pilnībā vai daļēji.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 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 </w:t>
            </w:r>
          </w:p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Norāda institūciju, kas ir atbildīga par šo saistību izpildi pilnībā</w:t>
            </w:r>
          </w:p>
        </w:tc>
      </w:tr>
      <w:tr w:rsidR="00C9779A" w:rsidRPr="006C16D7" w:rsidTr="0034794E">
        <w:trPr>
          <w:trHeight w:val="282"/>
          <w:tblCellSpacing w:w="0" w:type="dxa"/>
        </w:trPr>
        <w:tc>
          <w:tcPr>
            <w:tcW w:w="2602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 xml:space="preserve"> Projekts šo jomu neskar.</w:t>
            </w:r>
          </w:p>
        </w:tc>
        <w:tc>
          <w:tcPr>
            <w:tcW w:w="2599" w:type="dxa"/>
            <w:gridSpan w:val="2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Projekts šo jomu neskar.</w:t>
            </w:r>
          </w:p>
        </w:tc>
        <w:tc>
          <w:tcPr>
            <w:tcW w:w="3914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>Projekts šo jomu neskar.</w:t>
            </w:r>
          </w:p>
        </w:tc>
      </w:tr>
      <w:tr w:rsidR="00C9779A" w:rsidRPr="006C16D7" w:rsidTr="0034794E">
        <w:trPr>
          <w:trHeight w:val="1079"/>
          <w:tblCellSpacing w:w="0" w:type="dxa"/>
        </w:trPr>
        <w:tc>
          <w:tcPr>
            <w:tcW w:w="2602" w:type="dxa"/>
            <w:vAlign w:val="center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 xml:space="preserve"> Vai starptautiskajā dokumentā paredzētās saistības nav pretrunā ar jau esošajām </w:t>
            </w:r>
            <w:r w:rsidRPr="006C16D7">
              <w:rPr>
                <w:rFonts w:eastAsia="Times New Roman"/>
                <w:sz w:val="26"/>
                <w:szCs w:val="26"/>
                <w:lang w:val="lv-LV"/>
              </w:rPr>
              <w:lastRenderedPageBreak/>
              <w:t>Latvijas Republikas starptautiskajām saistībām</w:t>
            </w:r>
          </w:p>
        </w:tc>
        <w:tc>
          <w:tcPr>
            <w:tcW w:w="6513" w:type="dxa"/>
            <w:gridSpan w:val="3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lastRenderedPageBreak/>
              <w:t> Projekts šo jomu neskar.</w:t>
            </w:r>
          </w:p>
        </w:tc>
      </w:tr>
      <w:tr w:rsidR="00C9779A" w:rsidRPr="006C16D7" w:rsidTr="0034794E">
        <w:trPr>
          <w:trHeight w:val="337"/>
          <w:tblCellSpacing w:w="0" w:type="dxa"/>
        </w:trPr>
        <w:tc>
          <w:tcPr>
            <w:tcW w:w="2602" w:type="dxa"/>
            <w:hideMark/>
          </w:tcPr>
          <w:p w:rsidR="00C9779A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lastRenderedPageBreak/>
              <w:t> Cita informācija</w:t>
            </w:r>
          </w:p>
        </w:tc>
        <w:tc>
          <w:tcPr>
            <w:tcW w:w="6513" w:type="dxa"/>
            <w:gridSpan w:val="3"/>
            <w:hideMark/>
          </w:tcPr>
          <w:p w:rsidR="00B84C4B" w:rsidRPr="006C16D7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/>
              </w:rPr>
              <w:t xml:space="preserve"> Nav.</w:t>
            </w:r>
          </w:p>
        </w:tc>
      </w:tr>
    </w:tbl>
    <w:p w:rsidR="00C9779A" w:rsidRPr="006C16D7" w:rsidRDefault="00C9779A" w:rsidP="00C9779A">
      <w:pPr>
        <w:rPr>
          <w:sz w:val="26"/>
          <w:szCs w:val="26"/>
          <w:lang w:val="lv-LV"/>
        </w:rPr>
      </w:pPr>
    </w:p>
    <w:tbl>
      <w:tblPr>
        <w:tblW w:w="904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54"/>
        <w:gridCol w:w="5488"/>
      </w:tblGrid>
      <w:tr w:rsidR="003A7D89" w:rsidRPr="006C16D7" w:rsidTr="00F90307">
        <w:trPr>
          <w:trHeight w:val="304"/>
        </w:trPr>
        <w:tc>
          <w:tcPr>
            <w:tcW w:w="90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6C16D7" w:rsidRDefault="003A7D89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b/>
                <w:sz w:val="26"/>
                <w:szCs w:val="26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3A7D89" w:rsidRPr="006C16D7" w:rsidTr="006C15FA">
        <w:trPr>
          <w:trHeight w:val="347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Projekta izpildē iesaistītās institūcijas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6C16D7" w:rsidRDefault="00901246" w:rsidP="0023698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MK</w:t>
            </w:r>
            <w:r w:rsidR="003A7D89"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 </w:t>
            </w:r>
            <w:r w:rsidR="00A46462" w:rsidRPr="006C16D7">
              <w:rPr>
                <w:sz w:val="26"/>
                <w:szCs w:val="26"/>
                <w:lang w:val="lv-LV"/>
              </w:rPr>
              <w:t>noteikumu</w:t>
            </w:r>
            <w:r w:rsidR="003A7D89"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 projekta izpildi nodrošinās </w:t>
            </w:r>
            <w:r w:rsidR="00742BAF" w:rsidRPr="006C16D7">
              <w:rPr>
                <w:rFonts w:eastAsia="Times New Roman"/>
                <w:sz w:val="26"/>
                <w:szCs w:val="26"/>
                <w:lang w:val="lv-LV" w:eastAsia="lv-LV"/>
              </w:rPr>
              <w:t>LHZB</w:t>
            </w:r>
            <w:r w:rsidR="003A7D89" w:rsidRPr="006C16D7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6C16D7" w:rsidTr="00236989">
        <w:trPr>
          <w:trHeight w:val="544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funkcijām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6C16D7" w:rsidRDefault="00901246" w:rsidP="0023698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MK</w:t>
            </w:r>
            <w:r w:rsidR="003A7D89"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 </w:t>
            </w:r>
            <w:r w:rsidR="00A46462" w:rsidRPr="006C16D7">
              <w:rPr>
                <w:sz w:val="26"/>
                <w:szCs w:val="26"/>
                <w:lang w:val="lv-LV"/>
              </w:rPr>
              <w:t>noteikumu</w:t>
            </w:r>
            <w:r w:rsidR="003A7D89"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 projekta izpilde tiks nodrošināta </w:t>
            </w:r>
            <w:r w:rsidR="00D94B9B"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LHZB </w:t>
            </w:r>
            <w:r w:rsidR="003A7D89" w:rsidRPr="006C16D7">
              <w:rPr>
                <w:rFonts w:eastAsia="Times New Roman"/>
                <w:sz w:val="26"/>
                <w:szCs w:val="26"/>
                <w:lang w:val="lv-LV" w:eastAsia="lv-LV"/>
              </w:rPr>
              <w:t>esošo funkciju ietvaros.</w:t>
            </w:r>
          </w:p>
        </w:tc>
      </w:tr>
      <w:tr w:rsidR="003A7D89" w:rsidRPr="006C16D7" w:rsidTr="006C15FA">
        <w:trPr>
          <w:trHeight w:val="976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institucionālo struktūru. Jaunu institūciju izveide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6C16D7" w:rsidRDefault="00901246" w:rsidP="0023698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sz w:val="26"/>
                <w:szCs w:val="26"/>
                <w:lang w:val="lv-LV"/>
              </w:rPr>
              <w:t>MK</w:t>
            </w:r>
            <w:r w:rsidR="003A7D89" w:rsidRPr="006C16D7">
              <w:rPr>
                <w:sz w:val="26"/>
                <w:szCs w:val="26"/>
                <w:lang w:val="lv-LV"/>
              </w:rPr>
              <w:t xml:space="preserve"> </w:t>
            </w:r>
            <w:r w:rsidR="00A46462" w:rsidRPr="006C16D7">
              <w:rPr>
                <w:sz w:val="26"/>
                <w:szCs w:val="26"/>
                <w:lang w:val="lv-LV"/>
              </w:rPr>
              <w:t>noteikumu</w:t>
            </w:r>
            <w:r w:rsidR="003A7D89" w:rsidRPr="006C16D7">
              <w:rPr>
                <w:sz w:val="26"/>
                <w:szCs w:val="26"/>
                <w:lang w:val="lv-LV"/>
              </w:rPr>
              <w:t xml:space="preserve"> projekta izpildei nav nepieciešams izveidot jaunas institūcijas</w:t>
            </w:r>
            <w:r w:rsidR="003A7D89" w:rsidRPr="006C16D7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6C16D7" w:rsidTr="006C15FA">
        <w:trPr>
          <w:trHeight w:val="976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ietekmes uz pārvaldes institucionālo struktūru. Esošu institūciju likvidācija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6C16D7" w:rsidRDefault="00901246" w:rsidP="00236989">
            <w:pPr>
              <w:jc w:val="both"/>
              <w:rPr>
                <w:sz w:val="26"/>
                <w:szCs w:val="26"/>
                <w:lang w:val="lv-LV"/>
              </w:rPr>
            </w:pPr>
            <w:r w:rsidRPr="006C16D7">
              <w:rPr>
                <w:sz w:val="26"/>
                <w:szCs w:val="26"/>
                <w:lang w:val="lv-LV"/>
              </w:rPr>
              <w:t>MK</w:t>
            </w:r>
            <w:r w:rsidR="003A7D89" w:rsidRPr="006C16D7">
              <w:rPr>
                <w:sz w:val="26"/>
                <w:szCs w:val="26"/>
                <w:lang w:val="lv-LV"/>
              </w:rPr>
              <w:t xml:space="preserve"> </w:t>
            </w:r>
            <w:r w:rsidR="00A46462" w:rsidRPr="006C16D7">
              <w:rPr>
                <w:sz w:val="26"/>
                <w:szCs w:val="26"/>
                <w:lang w:val="lv-LV"/>
              </w:rPr>
              <w:t>noteikumu</w:t>
            </w:r>
            <w:r w:rsidR="003A7D89" w:rsidRPr="006C16D7">
              <w:rPr>
                <w:sz w:val="26"/>
                <w:szCs w:val="26"/>
                <w:lang w:val="lv-LV"/>
              </w:rPr>
              <w:t xml:space="preserve"> projekta izpildei nav nepieciešams likvidēt esošās institūcijas</w:t>
            </w:r>
            <w:r w:rsidR="003A7D89" w:rsidRPr="006C16D7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6C16D7" w:rsidTr="004522D7">
        <w:trPr>
          <w:trHeight w:val="508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ietekmes uz pārvaldes institucionālo struktūru. Esošu institūciju reorganizācija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6C16D7" w:rsidRDefault="00901246" w:rsidP="0023698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MK</w:t>
            </w:r>
            <w:r w:rsidR="003A7D89" w:rsidRPr="006C16D7">
              <w:rPr>
                <w:rFonts w:eastAsia="Times New Roman"/>
                <w:sz w:val="26"/>
                <w:szCs w:val="26"/>
                <w:lang w:val="lv-LV" w:eastAsia="lv-LV"/>
              </w:rPr>
              <w:t xml:space="preserve"> </w:t>
            </w:r>
            <w:r w:rsidR="00A46462" w:rsidRPr="006C16D7">
              <w:rPr>
                <w:sz w:val="26"/>
                <w:szCs w:val="26"/>
                <w:lang w:val="lv-LV"/>
              </w:rPr>
              <w:t>noteikumu</w:t>
            </w:r>
            <w:r w:rsidR="003A7D89" w:rsidRPr="006C16D7">
              <w:rPr>
                <w:sz w:val="26"/>
                <w:szCs w:val="26"/>
                <w:lang w:val="lv-LV"/>
              </w:rPr>
              <w:t xml:space="preserve"> projekta izpildei nav nepieciešams reorganizēt esošās institūcijas</w:t>
            </w:r>
            <w:r w:rsidR="003A7D89" w:rsidRPr="006C16D7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  <w:p w:rsidR="00B84C4B" w:rsidRPr="006C16D7" w:rsidRDefault="00B84C4B" w:rsidP="00742BAF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3A7D89" w:rsidRPr="006C16D7" w:rsidTr="004522D7">
        <w:trPr>
          <w:trHeight w:val="242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6C16D7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6C16D7" w:rsidRDefault="003A7D89" w:rsidP="0023698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C16D7">
              <w:rPr>
                <w:rFonts w:eastAsia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:rsidR="0088512F" w:rsidRPr="006C16D7" w:rsidRDefault="0088512F" w:rsidP="00F22471">
      <w:pPr>
        <w:tabs>
          <w:tab w:val="left" w:pos="7655"/>
        </w:tabs>
        <w:jc w:val="both"/>
        <w:rPr>
          <w:sz w:val="26"/>
          <w:szCs w:val="26"/>
          <w:lang w:val="lv-LV"/>
        </w:rPr>
      </w:pPr>
      <w:r w:rsidRPr="006C16D7">
        <w:rPr>
          <w:sz w:val="26"/>
          <w:szCs w:val="26"/>
          <w:lang w:val="lv-LV"/>
        </w:rPr>
        <w:t xml:space="preserve">Anotācijas  VI sadaļa – </w:t>
      </w:r>
      <w:r w:rsidRPr="006C16D7">
        <w:rPr>
          <w:iCs/>
          <w:sz w:val="26"/>
          <w:szCs w:val="26"/>
          <w:lang w:val="lv-LV"/>
        </w:rPr>
        <w:t>projekts šīs jomas neskar</w:t>
      </w:r>
      <w:r w:rsidRPr="006C16D7">
        <w:rPr>
          <w:sz w:val="26"/>
          <w:szCs w:val="26"/>
          <w:lang w:val="lv-LV"/>
        </w:rPr>
        <w:t>.</w:t>
      </w:r>
    </w:p>
    <w:p w:rsidR="000A3774" w:rsidRDefault="000A3774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4F5055" w:rsidRDefault="004F5055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4F5055" w:rsidRPr="006C16D7" w:rsidRDefault="004F5055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522B62" w:rsidRPr="006C16D7" w:rsidRDefault="00E73425" w:rsidP="00A43665">
      <w:pPr>
        <w:tabs>
          <w:tab w:val="right" w:pos="9072"/>
        </w:tabs>
        <w:rPr>
          <w:sz w:val="26"/>
          <w:szCs w:val="26"/>
          <w:lang w:val="lv-LV"/>
        </w:rPr>
      </w:pPr>
      <w:r w:rsidRPr="006C16D7">
        <w:rPr>
          <w:sz w:val="26"/>
          <w:szCs w:val="26"/>
          <w:lang w:val="lv-LV"/>
        </w:rPr>
        <w:t>Ekonomikas ministrs</w:t>
      </w:r>
      <w:r w:rsidR="00A43665" w:rsidRPr="006C16D7">
        <w:rPr>
          <w:sz w:val="26"/>
          <w:szCs w:val="26"/>
          <w:lang w:val="lv-LV"/>
        </w:rPr>
        <w:tab/>
      </w:r>
      <w:proofErr w:type="spellStart"/>
      <w:r w:rsidR="00F9294A" w:rsidRPr="006C16D7">
        <w:rPr>
          <w:sz w:val="26"/>
          <w:szCs w:val="26"/>
          <w:lang w:val="lv-LV"/>
        </w:rPr>
        <w:t>D.Pavļuts</w:t>
      </w:r>
      <w:proofErr w:type="spellEnd"/>
      <w:r w:rsidR="00A43665" w:rsidRPr="006C16D7">
        <w:rPr>
          <w:sz w:val="26"/>
          <w:szCs w:val="26"/>
          <w:lang w:val="lv-LV"/>
        </w:rPr>
        <w:tab/>
      </w:r>
      <w:r w:rsidR="00A43665" w:rsidRPr="006C16D7">
        <w:rPr>
          <w:sz w:val="26"/>
          <w:szCs w:val="26"/>
          <w:lang w:val="lv-LV"/>
        </w:rPr>
        <w:tab/>
      </w:r>
      <w:r w:rsidR="00A43665" w:rsidRPr="006C16D7">
        <w:rPr>
          <w:sz w:val="26"/>
          <w:szCs w:val="26"/>
          <w:lang w:val="lv-LV"/>
        </w:rPr>
        <w:tab/>
      </w:r>
      <w:r w:rsidR="00A43665" w:rsidRPr="006C16D7">
        <w:rPr>
          <w:sz w:val="26"/>
          <w:szCs w:val="26"/>
          <w:lang w:val="lv-LV"/>
        </w:rPr>
        <w:tab/>
      </w:r>
      <w:r w:rsidR="00A43665" w:rsidRPr="006C16D7">
        <w:rPr>
          <w:sz w:val="26"/>
          <w:szCs w:val="26"/>
          <w:lang w:val="lv-LV"/>
        </w:rPr>
        <w:tab/>
      </w:r>
      <w:r w:rsidR="00A43665" w:rsidRPr="006C16D7">
        <w:rPr>
          <w:sz w:val="26"/>
          <w:szCs w:val="26"/>
          <w:lang w:val="lv-LV"/>
        </w:rPr>
        <w:tab/>
      </w:r>
    </w:p>
    <w:p w:rsidR="00BE6E9C" w:rsidRDefault="00BE6E9C" w:rsidP="008E5F7D">
      <w:pPr>
        <w:tabs>
          <w:tab w:val="right" w:pos="9072"/>
        </w:tabs>
        <w:rPr>
          <w:sz w:val="26"/>
          <w:szCs w:val="26"/>
          <w:lang w:val="lv-LV"/>
        </w:rPr>
      </w:pPr>
    </w:p>
    <w:p w:rsidR="00ED1D3C" w:rsidRPr="006C16D7" w:rsidRDefault="00ED1D3C" w:rsidP="008E5F7D">
      <w:pPr>
        <w:tabs>
          <w:tab w:val="right" w:pos="9072"/>
        </w:tabs>
        <w:rPr>
          <w:sz w:val="26"/>
          <w:szCs w:val="26"/>
          <w:lang w:val="lv-LV"/>
        </w:rPr>
      </w:pPr>
    </w:p>
    <w:p w:rsidR="00D76FC8" w:rsidRDefault="00B74BCA" w:rsidP="008E5F7D">
      <w:pPr>
        <w:tabs>
          <w:tab w:val="right" w:pos="9072"/>
        </w:tabs>
        <w:rPr>
          <w:sz w:val="26"/>
          <w:szCs w:val="26"/>
          <w:lang w:val="lv-LV"/>
        </w:rPr>
      </w:pPr>
      <w:r w:rsidRPr="006C16D7">
        <w:rPr>
          <w:sz w:val="26"/>
          <w:szCs w:val="26"/>
          <w:lang w:val="lv-LV"/>
        </w:rPr>
        <w:t xml:space="preserve">Vīza: </w:t>
      </w:r>
      <w:bookmarkStart w:id="6" w:name="_GoBack"/>
      <w:r w:rsidRPr="006C16D7">
        <w:rPr>
          <w:sz w:val="26"/>
          <w:szCs w:val="26"/>
          <w:lang w:val="lv-LV"/>
        </w:rPr>
        <w:t>valsts sekretār</w:t>
      </w:r>
      <w:r w:rsidR="00D76FC8">
        <w:rPr>
          <w:sz w:val="26"/>
          <w:szCs w:val="26"/>
          <w:lang w:val="lv-LV"/>
        </w:rPr>
        <w:t>a pienākumu izpildītājs,</w:t>
      </w:r>
    </w:p>
    <w:p w:rsidR="007715A2" w:rsidRPr="006C16D7" w:rsidRDefault="00D76FC8" w:rsidP="008E5F7D">
      <w:pPr>
        <w:tabs>
          <w:tab w:val="right" w:pos="9072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valsts sekretāra vietnieks</w:t>
      </w:r>
      <w:r w:rsidR="000A3774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>A.Liepiņš</w:t>
      </w:r>
      <w:bookmarkEnd w:id="6"/>
    </w:p>
    <w:p w:rsidR="00BE6E9C" w:rsidRPr="006C16D7" w:rsidRDefault="00BE6E9C" w:rsidP="00F22471">
      <w:pPr>
        <w:jc w:val="both"/>
        <w:rPr>
          <w:color w:val="000000"/>
          <w:sz w:val="28"/>
          <w:szCs w:val="28"/>
          <w:lang w:val="lv-LV"/>
        </w:rPr>
      </w:pPr>
    </w:p>
    <w:p w:rsidR="009637AA" w:rsidRPr="006C16D7" w:rsidRDefault="009637AA" w:rsidP="00F22471">
      <w:pPr>
        <w:jc w:val="both"/>
        <w:rPr>
          <w:color w:val="000000"/>
          <w:sz w:val="28"/>
          <w:szCs w:val="28"/>
          <w:lang w:val="lv-LV"/>
        </w:rPr>
      </w:pPr>
    </w:p>
    <w:p w:rsidR="00BF2F17" w:rsidRPr="00D4557C" w:rsidRDefault="00883A80" w:rsidP="00F22471">
      <w:pPr>
        <w:jc w:val="both"/>
        <w:rPr>
          <w:sz w:val="24"/>
          <w:szCs w:val="24"/>
          <w:lang w:val="lv-LV"/>
        </w:rPr>
      </w:pPr>
      <w:r w:rsidRPr="00D4557C">
        <w:rPr>
          <w:sz w:val="24"/>
          <w:szCs w:val="24"/>
          <w:lang w:val="lv-LV"/>
        </w:rPr>
        <w:fldChar w:fldCharType="begin"/>
      </w:r>
      <w:r w:rsidR="00BF2F17" w:rsidRPr="006C16D7">
        <w:rPr>
          <w:sz w:val="24"/>
          <w:szCs w:val="24"/>
          <w:lang w:val="lv-LV"/>
        </w:rPr>
        <w:instrText xml:space="preserve"> TIME \@ "dd.MM.yyyy. H:mm" </w:instrText>
      </w:r>
      <w:r w:rsidRPr="00D4557C">
        <w:rPr>
          <w:sz w:val="24"/>
          <w:szCs w:val="24"/>
          <w:lang w:val="lv-LV"/>
        </w:rPr>
        <w:fldChar w:fldCharType="separate"/>
      </w:r>
      <w:r w:rsidR="00D76FC8">
        <w:rPr>
          <w:noProof/>
          <w:sz w:val="24"/>
          <w:szCs w:val="24"/>
          <w:lang w:val="lv-LV"/>
        </w:rPr>
        <w:t>28.11.2013. 10:54</w:t>
      </w:r>
      <w:r w:rsidRPr="00D4557C">
        <w:rPr>
          <w:sz w:val="24"/>
          <w:szCs w:val="24"/>
          <w:lang w:val="lv-LV"/>
        </w:rPr>
        <w:fldChar w:fldCharType="end"/>
      </w:r>
    </w:p>
    <w:p w:rsidR="00BF2F17" w:rsidRPr="00D4557C" w:rsidRDefault="00883A80" w:rsidP="00F22471">
      <w:pPr>
        <w:jc w:val="both"/>
        <w:rPr>
          <w:sz w:val="24"/>
          <w:szCs w:val="24"/>
          <w:lang w:val="lv-LV"/>
        </w:rPr>
      </w:pPr>
      <w:r w:rsidRPr="00D4557C">
        <w:rPr>
          <w:sz w:val="24"/>
          <w:szCs w:val="24"/>
          <w:lang w:val="lv-LV"/>
        </w:rPr>
        <w:fldChar w:fldCharType="begin"/>
      </w:r>
      <w:r w:rsidR="00307EC1" w:rsidRPr="00D4557C">
        <w:rPr>
          <w:sz w:val="24"/>
          <w:szCs w:val="24"/>
          <w:lang w:val="lv-LV"/>
        </w:rPr>
        <w:instrText xml:space="preserve"> NUMWORDS   \* MERGEFORMAT </w:instrText>
      </w:r>
      <w:r w:rsidRPr="00D4557C">
        <w:rPr>
          <w:sz w:val="24"/>
          <w:szCs w:val="24"/>
          <w:lang w:val="lv-LV"/>
        </w:rPr>
        <w:fldChar w:fldCharType="separate"/>
      </w:r>
      <w:r w:rsidR="00D76FC8">
        <w:rPr>
          <w:noProof/>
          <w:sz w:val="24"/>
          <w:szCs w:val="24"/>
          <w:lang w:val="lv-LV"/>
        </w:rPr>
        <w:t>2000</w:t>
      </w:r>
      <w:r w:rsidRPr="00D4557C">
        <w:rPr>
          <w:noProof/>
          <w:sz w:val="24"/>
          <w:szCs w:val="24"/>
          <w:lang w:val="lv-LV"/>
        </w:rPr>
        <w:fldChar w:fldCharType="end"/>
      </w:r>
    </w:p>
    <w:p w:rsidR="00643B54" w:rsidRPr="006C16D7" w:rsidRDefault="00634095" w:rsidP="00F22471">
      <w:pPr>
        <w:jc w:val="both"/>
        <w:rPr>
          <w:color w:val="000000"/>
          <w:sz w:val="24"/>
          <w:szCs w:val="24"/>
          <w:lang w:val="lv-LV"/>
        </w:rPr>
      </w:pPr>
      <w:r w:rsidRPr="006C16D7">
        <w:rPr>
          <w:color w:val="000000"/>
          <w:sz w:val="24"/>
          <w:szCs w:val="24"/>
          <w:lang w:val="lv-LV"/>
        </w:rPr>
        <w:t>E.Dlohi</w:t>
      </w:r>
    </w:p>
    <w:p w:rsidR="00097583" w:rsidRPr="006C16D7" w:rsidRDefault="00B74BCA" w:rsidP="00F22471">
      <w:pPr>
        <w:jc w:val="both"/>
        <w:rPr>
          <w:color w:val="000000"/>
          <w:sz w:val="24"/>
          <w:szCs w:val="24"/>
          <w:lang w:val="lv-LV"/>
        </w:rPr>
      </w:pPr>
      <w:r w:rsidRPr="006C16D7">
        <w:rPr>
          <w:sz w:val="24"/>
          <w:szCs w:val="24"/>
          <w:lang w:val="lv-LV"/>
        </w:rPr>
        <w:t>67013</w:t>
      </w:r>
      <w:r w:rsidR="00634095" w:rsidRPr="006C16D7">
        <w:rPr>
          <w:sz w:val="24"/>
          <w:szCs w:val="24"/>
          <w:lang w:val="lv-LV"/>
        </w:rPr>
        <w:t>082</w:t>
      </w:r>
      <w:r w:rsidR="00386053" w:rsidRPr="006C16D7">
        <w:rPr>
          <w:sz w:val="24"/>
          <w:szCs w:val="24"/>
          <w:lang w:val="lv-LV"/>
        </w:rPr>
        <w:t>,</w:t>
      </w:r>
      <w:r w:rsidRPr="006C16D7">
        <w:rPr>
          <w:sz w:val="24"/>
          <w:szCs w:val="24"/>
          <w:lang w:val="lv-LV"/>
        </w:rPr>
        <w:t xml:space="preserve"> </w:t>
      </w:r>
      <w:hyperlink r:id="rId12" w:history="1">
        <w:r w:rsidR="00634095" w:rsidRPr="006C16D7">
          <w:rPr>
            <w:rStyle w:val="Hyperlink"/>
            <w:sz w:val="24"/>
            <w:szCs w:val="24"/>
            <w:lang w:val="lv-LV"/>
          </w:rPr>
          <w:t>Elina.Dlohi@em.gov.lv</w:t>
        </w:r>
      </w:hyperlink>
    </w:p>
    <w:sectPr w:rsidR="00097583" w:rsidRPr="006C16D7" w:rsidSect="00C97F6E">
      <w:endnotePr>
        <w:numFmt w:val="decimal"/>
      </w:endnotePr>
      <w:type w:val="continuous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09" w:rsidRDefault="00817C09" w:rsidP="00B014C2">
      <w:r>
        <w:separator/>
      </w:r>
    </w:p>
  </w:endnote>
  <w:endnote w:type="continuationSeparator" w:id="0">
    <w:p w:rsidR="00817C09" w:rsidRDefault="00817C09" w:rsidP="00B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C7" w:rsidRPr="00C33F2C" w:rsidRDefault="000A3774" w:rsidP="00926CC7">
    <w:pPr>
      <w:pStyle w:val="BodyText"/>
      <w:rPr>
        <w:sz w:val="24"/>
        <w:szCs w:val="24"/>
      </w:rPr>
    </w:pPr>
    <w:r>
      <w:rPr>
        <w:sz w:val="24"/>
        <w:szCs w:val="24"/>
      </w:rPr>
      <w:t>EMAnot_</w:t>
    </w:r>
    <w:r w:rsidR="00966113">
      <w:rPr>
        <w:sz w:val="24"/>
        <w:szCs w:val="24"/>
      </w:rPr>
      <w:t>2</w:t>
    </w:r>
    <w:r w:rsidR="004F5055">
      <w:rPr>
        <w:sz w:val="24"/>
        <w:szCs w:val="24"/>
      </w:rPr>
      <w:t>8</w:t>
    </w:r>
    <w:r w:rsidR="00926CC7">
      <w:rPr>
        <w:sz w:val="24"/>
        <w:szCs w:val="24"/>
      </w:rPr>
      <w:t>1</w:t>
    </w:r>
    <w:r w:rsidR="008655D8">
      <w:rPr>
        <w:sz w:val="24"/>
        <w:szCs w:val="24"/>
      </w:rPr>
      <w:t>1</w:t>
    </w:r>
    <w:r w:rsidR="00926CC7">
      <w:rPr>
        <w:sz w:val="24"/>
        <w:szCs w:val="24"/>
      </w:rPr>
      <w:t>13_groz164</w:t>
    </w:r>
    <w:r w:rsidR="00926CC7" w:rsidRPr="00634095">
      <w:rPr>
        <w:sz w:val="24"/>
        <w:szCs w:val="24"/>
      </w:rPr>
      <w:t>; Ministru kabineta noteikumu projekta „</w:t>
    </w:r>
    <w:r w:rsidR="00926CC7" w:rsidRPr="00926CC7">
      <w:rPr>
        <w:sz w:val="24"/>
        <w:szCs w:val="24"/>
      </w:rPr>
      <w:t>Grozījumi Ministru kabineta 2009.gada 17.februāra noteikumos Nr.164 „Noteikumi par aizdevumiem komers</w:t>
    </w:r>
    <w:r w:rsidR="00926CC7">
      <w:rPr>
        <w:sz w:val="24"/>
        <w:szCs w:val="24"/>
      </w:rPr>
      <w:t xml:space="preserve">antu konkurētspējas uzlabošanai” </w:t>
    </w:r>
    <w:r w:rsidR="00926CC7" w:rsidRPr="00C33F2C">
      <w:rPr>
        <w:sz w:val="24"/>
        <w:szCs w:val="24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926CC7" w:rsidRPr="00C33F2C">
        <w:rPr>
          <w:sz w:val="24"/>
          <w:szCs w:val="24"/>
        </w:rPr>
        <w:t>ziņojums</w:t>
      </w:r>
    </w:smartTag>
    <w:r w:rsidR="00926CC7" w:rsidRPr="00C33F2C">
      <w:rPr>
        <w:sz w:val="24"/>
        <w:szCs w:val="24"/>
      </w:rPr>
      <w:t xml:space="preserve"> (anotācija)</w:t>
    </w:r>
  </w:p>
  <w:p w:rsidR="00511C7D" w:rsidRPr="00307EC1" w:rsidRDefault="00511C7D" w:rsidP="00307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7D" w:rsidRPr="00C33F2C" w:rsidRDefault="000A3774" w:rsidP="00D7256E">
    <w:pPr>
      <w:pStyle w:val="BodyText"/>
      <w:rPr>
        <w:sz w:val="24"/>
        <w:szCs w:val="24"/>
      </w:rPr>
    </w:pPr>
    <w:r>
      <w:rPr>
        <w:sz w:val="24"/>
        <w:szCs w:val="24"/>
      </w:rPr>
      <w:t>EMAnot_</w:t>
    </w:r>
    <w:r w:rsidR="00966113">
      <w:rPr>
        <w:sz w:val="24"/>
        <w:szCs w:val="24"/>
      </w:rPr>
      <w:t>2</w:t>
    </w:r>
    <w:r w:rsidR="004F5055">
      <w:rPr>
        <w:sz w:val="24"/>
        <w:szCs w:val="24"/>
      </w:rPr>
      <w:t>8</w:t>
    </w:r>
    <w:r w:rsidR="00926CC7">
      <w:rPr>
        <w:sz w:val="24"/>
        <w:szCs w:val="24"/>
      </w:rPr>
      <w:t>1</w:t>
    </w:r>
    <w:r w:rsidR="008655D8">
      <w:rPr>
        <w:sz w:val="24"/>
        <w:szCs w:val="24"/>
      </w:rPr>
      <w:t>1</w:t>
    </w:r>
    <w:r w:rsidR="00926CC7">
      <w:rPr>
        <w:sz w:val="24"/>
        <w:szCs w:val="24"/>
      </w:rPr>
      <w:t>13_groz164</w:t>
    </w:r>
    <w:r w:rsidR="00511C7D" w:rsidRPr="00634095">
      <w:rPr>
        <w:sz w:val="24"/>
        <w:szCs w:val="24"/>
      </w:rPr>
      <w:t xml:space="preserve">; </w:t>
    </w:r>
    <w:bookmarkStart w:id="3" w:name="OLE_LINK12"/>
    <w:bookmarkStart w:id="4" w:name="OLE_LINK13"/>
    <w:bookmarkStart w:id="5" w:name="_Hlk259447629"/>
    <w:r w:rsidR="00511C7D" w:rsidRPr="00634095">
      <w:rPr>
        <w:sz w:val="24"/>
        <w:szCs w:val="24"/>
      </w:rPr>
      <w:t>Ministru kabineta noteikumu projekta „</w:t>
    </w:r>
    <w:r w:rsidR="00926CC7" w:rsidRPr="00926CC7">
      <w:rPr>
        <w:sz w:val="24"/>
        <w:szCs w:val="24"/>
      </w:rPr>
      <w:t>Grozījumi Ministru kabineta 2009.gada 17.februāra noteikumos Nr.164 „Noteikumi par aizdevumiem komers</w:t>
    </w:r>
    <w:r w:rsidR="00926CC7">
      <w:rPr>
        <w:sz w:val="24"/>
        <w:szCs w:val="24"/>
      </w:rPr>
      <w:t>antu konkurētspējas uzlabošanai</w:t>
    </w:r>
    <w:r w:rsidR="00511C7D">
      <w:rPr>
        <w:sz w:val="24"/>
        <w:szCs w:val="24"/>
      </w:rPr>
      <w:t xml:space="preserve">” </w:t>
    </w:r>
    <w:r w:rsidR="00511C7D" w:rsidRPr="00C33F2C">
      <w:rPr>
        <w:sz w:val="24"/>
        <w:szCs w:val="24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511C7D" w:rsidRPr="00C33F2C">
        <w:rPr>
          <w:sz w:val="24"/>
          <w:szCs w:val="24"/>
        </w:rPr>
        <w:t>ziņojums</w:t>
      </w:r>
    </w:smartTag>
    <w:r w:rsidR="00511C7D" w:rsidRPr="00C33F2C">
      <w:rPr>
        <w:sz w:val="24"/>
        <w:szCs w:val="24"/>
      </w:rPr>
      <w:t xml:space="preserve"> (anotācija)</w:t>
    </w:r>
    <w:bookmarkEnd w:id="3"/>
    <w:bookmarkEnd w:id="4"/>
    <w:bookmarkEnd w:id="5"/>
  </w:p>
  <w:p w:rsidR="00307EC1" w:rsidRDefault="00307E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09" w:rsidRDefault="00817C09" w:rsidP="00B014C2">
      <w:r>
        <w:separator/>
      </w:r>
    </w:p>
  </w:footnote>
  <w:footnote w:type="continuationSeparator" w:id="0">
    <w:p w:rsidR="00817C09" w:rsidRDefault="00817C09" w:rsidP="00B0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0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11C7D" w:rsidRPr="00B014C2" w:rsidRDefault="00883A80">
        <w:pPr>
          <w:pStyle w:val="Header"/>
          <w:jc w:val="center"/>
          <w:rPr>
            <w:sz w:val="24"/>
            <w:szCs w:val="24"/>
          </w:rPr>
        </w:pPr>
        <w:r w:rsidRPr="00B014C2">
          <w:rPr>
            <w:sz w:val="24"/>
            <w:szCs w:val="24"/>
          </w:rPr>
          <w:fldChar w:fldCharType="begin"/>
        </w:r>
        <w:r w:rsidR="00511C7D"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D76FC8">
          <w:rPr>
            <w:noProof/>
            <w:sz w:val="24"/>
            <w:szCs w:val="24"/>
          </w:rPr>
          <w:t>10</w:t>
        </w:r>
        <w:r w:rsidRPr="00B014C2">
          <w:rPr>
            <w:sz w:val="24"/>
            <w:szCs w:val="24"/>
          </w:rPr>
          <w:fldChar w:fldCharType="end"/>
        </w:r>
      </w:p>
    </w:sdtContent>
  </w:sdt>
  <w:p w:rsidR="00511C7D" w:rsidRDefault="00511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22"/>
    <w:multiLevelType w:val="hybridMultilevel"/>
    <w:tmpl w:val="E7927C34"/>
    <w:lvl w:ilvl="0" w:tplc="658899F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A01F58"/>
    <w:multiLevelType w:val="hybridMultilevel"/>
    <w:tmpl w:val="A2482CEA"/>
    <w:lvl w:ilvl="0" w:tplc="33D271E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980861"/>
    <w:multiLevelType w:val="hybridMultilevel"/>
    <w:tmpl w:val="6C26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2446"/>
    <w:multiLevelType w:val="hybridMultilevel"/>
    <w:tmpl w:val="05CA9674"/>
    <w:lvl w:ilvl="0" w:tplc="D27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FD230B"/>
    <w:multiLevelType w:val="hybridMultilevel"/>
    <w:tmpl w:val="56AC93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2DDC"/>
    <w:multiLevelType w:val="hybridMultilevel"/>
    <w:tmpl w:val="5CB03484"/>
    <w:lvl w:ilvl="0" w:tplc="FB2C8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366A1"/>
    <w:multiLevelType w:val="hybridMultilevel"/>
    <w:tmpl w:val="5CF6E35E"/>
    <w:lvl w:ilvl="0" w:tplc="BBA2D6DC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EE26CF"/>
    <w:multiLevelType w:val="hybridMultilevel"/>
    <w:tmpl w:val="32B4AF9C"/>
    <w:lvl w:ilvl="0" w:tplc="E7B0E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BC6458"/>
    <w:multiLevelType w:val="hybridMultilevel"/>
    <w:tmpl w:val="4DA4F856"/>
    <w:lvl w:ilvl="0" w:tplc="D5EEA598">
      <w:start w:val="2009"/>
      <w:numFmt w:val="bullet"/>
      <w:lvlText w:val="-"/>
      <w:lvlJc w:val="left"/>
      <w:pPr>
        <w:ind w:left="9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">
    <w:nsid w:val="3D4B236C"/>
    <w:multiLevelType w:val="hybridMultilevel"/>
    <w:tmpl w:val="272065E8"/>
    <w:lvl w:ilvl="0" w:tplc="F22E74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43636"/>
    <w:multiLevelType w:val="hybridMultilevel"/>
    <w:tmpl w:val="BE8E03F0"/>
    <w:lvl w:ilvl="0" w:tplc="335A49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756102"/>
    <w:multiLevelType w:val="hybridMultilevel"/>
    <w:tmpl w:val="A686F9D2"/>
    <w:lvl w:ilvl="0" w:tplc="F3FCC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300641"/>
    <w:multiLevelType w:val="hybridMultilevel"/>
    <w:tmpl w:val="CBAAB1CE"/>
    <w:lvl w:ilvl="0" w:tplc="C492AE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795C0C91"/>
    <w:multiLevelType w:val="hybridMultilevel"/>
    <w:tmpl w:val="E91A353C"/>
    <w:lvl w:ilvl="0" w:tplc="833C27D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5">
    <w:nsid w:val="7F1645FE"/>
    <w:multiLevelType w:val="hybridMultilevel"/>
    <w:tmpl w:val="25243A60"/>
    <w:lvl w:ilvl="0" w:tplc="90C8AF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15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4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877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C5"/>
    <w:rsid w:val="00000465"/>
    <w:rsid w:val="000016AB"/>
    <w:rsid w:val="00004C45"/>
    <w:rsid w:val="0001186C"/>
    <w:rsid w:val="0001199D"/>
    <w:rsid w:val="000120A0"/>
    <w:rsid w:val="00014006"/>
    <w:rsid w:val="0001626D"/>
    <w:rsid w:val="0001764D"/>
    <w:rsid w:val="00020A02"/>
    <w:rsid w:val="000214DF"/>
    <w:rsid w:val="00026BA7"/>
    <w:rsid w:val="00026C03"/>
    <w:rsid w:val="000275AB"/>
    <w:rsid w:val="0002762A"/>
    <w:rsid w:val="00031099"/>
    <w:rsid w:val="000320DD"/>
    <w:rsid w:val="0003693D"/>
    <w:rsid w:val="00036E03"/>
    <w:rsid w:val="0004167C"/>
    <w:rsid w:val="000445F3"/>
    <w:rsid w:val="00047EF5"/>
    <w:rsid w:val="00050184"/>
    <w:rsid w:val="00050EA4"/>
    <w:rsid w:val="00052380"/>
    <w:rsid w:val="000564DA"/>
    <w:rsid w:val="00060D39"/>
    <w:rsid w:val="000643D5"/>
    <w:rsid w:val="00071114"/>
    <w:rsid w:val="000729ED"/>
    <w:rsid w:val="00072ECD"/>
    <w:rsid w:val="00081C1D"/>
    <w:rsid w:val="00081F44"/>
    <w:rsid w:val="00083704"/>
    <w:rsid w:val="000847AE"/>
    <w:rsid w:val="0008484B"/>
    <w:rsid w:val="0008486C"/>
    <w:rsid w:val="00086412"/>
    <w:rsid w:val="00087524"/>
    <w:rsid w:val="00091DBA"/>
    <w:rsid w:val="00092473"/>
    <w:rsid w:val="00097583"/>
    <w:rsid w:val="000A164A"/>
    <w:rsid w:val="000A25B3"/>
    <w:rsid w:val="000A3774"/>
    <w:rsid w:val="000A402E"/>
    <w:rsid w:val="000A4AED"/>
    <w:rsid w:val="000A5FB9"/>
    <w:rsid w:val="000B0719"/>
    <w:rsid w:val="000B08FC"/>
    <w:rsid w:val="000B10BD"/>
    <w:rsid w:val="000B2AE3"/>
    <w:rsid w:val="000D0388"/>
    <w:rsid w:val="000D19C8"/>
    <w:rsid w:val="000D2F05"/>
    <w:rsid w:val="000D4DC9"/>
    <w:rsid w:val="000D6DF2"/>
    <w:rsid w:val="000E2F17"/>
    <w:rsid w:val="000E409F"/>
    <w:rsid w:val="000E4277"/>
    <w:rsid w:val="000E76F0"/>
    <w:rsid w:val="000F0232"/>
    <w:rsid w:val="000F6C72"/>
    <w:rsid w:val="000F6E9E"/>
    <w:rsid w:val="001000B5"/>
    <w:rsid w:val="001002E4"/>
    <w:rsid w:val="0010079A"/>
    <w:rsid w:val="0010385C"/>
    <w:rsid w:val="00103FE1"/>
    <w:rsid w:val="0010410B"/>
    <w:rsid w:val="001047E8"/>
    <w:rsid w:val="00115E25"/>
    <w:rsid w:val="00120651"/>
    <w:rsid w:val="0012067B"/>
    <w:rsid w:val="00120C26"/>
    <w:rsid w:val="001232D1"/>
    <w:rsid w:val="001254CC"/>
    <w:rsid w:val="001267F1"/>
    <w:rsid w:val="001305B3"/>
    <w:rsid w:val="00130D33"/>
    <w:rsid w:val="00131980"/>
    <w:rsid w:val="00131C62"/>
    <w:rsid w:val="00134E0F"/>
    <w:rsid w:val="001428EB"/>
    <w:rsid w:val="00142A69"/>
    <w:rsid w:val="00142AC2"/>
    <w:rsid w:val="00142CBB"/>
    <w:rsid w:val="00144D39"/>
    <w:rsid w:val="00153C1A"/>
    <w:rsid w:val="00155953"/>
    <w:rsid w:val="001611D0"/>
    <w:rsid w:val="0017312C"/>
    <w:rsid w:val="001733BE"/>
    <w:rsid w:val="0017472D"/>
    <w:rsid w:val="001764E7"/>
    <w:rsid w:val="00182537"/>
    <w:rsid w:val="00182AB8"/>
    <w:rsid w:val="00182CC4"/>
    <w:rsid w:val="001831F7"/>
    <w:rsid w:val="00184308"/>
    <w:rsid w:val="00184C02"/>
    <w:rsid w:val="00184E37"/>
    <w:rsid w:val="00186895"/>
    <w:rsid w:val="001871BB"/>
    <w:rsid w:val="00190498"/>
    <w:rsid w:val="00191102"/>
    <w:rsid w:val="00191B2C"/>
    <w:rsid w:val="00194800"/>
    <w:rsid w:val="00196D43"/>
    <w:rsid w:val="001971A4"/>
    <w:rsid w:val="001973A7"/>
    <w:rsid w:val="001A082F"/>
    <w:rsid w:val="001A2ABA"/>
    <w:rsid w:val="001A3B25"/>
    <w:rsid w:val="001A3C19"/>
    <w:rsid w:val="001B0C97"/>
    <w:rsid w:val="001B262F"/>
    <w:rsid w:val="001B3236"/>
    <w:rsid w:val="001B4EB9"/>
    <w:rsid w:val="001B5566"/>
    <w:rsid w:val="001B5F59"/>
    <w:rsid w:val="001B6F62"/>
    <w:rsid w:val="001B7875"/>
    <w:rsid w:val="001C1BFF"/>
    <w:rsid w:val="001C1C5C"/>
    <w:rsid w:val="001C2D96"/>
    <w:rsid w:val="001C5831"/>
    <w:rsid w:val="001C6A1F"/>
    <w:rsid w:val="001D02A2"/>
    <w:rsid w:val="001D2EDB"/>
    <w:rsid w:val="001D39D9"/>
    <w:rsid w:val="001D416F"/>
    <w:rsid w:val="001D46D6"/>
    <w:rsid w:val="001D5E9C"/>
    <w:rsid w:val="001D76FC"/>
    <w:rsid w:val="001E3BD0"/>
    <w:rsid w:val="001E5031"/>
    <w:rsid w:val="001E6651"/>
    <w:rsid w:val="001E7BB7"/>
    <w:rsid w:val="001F02C1"/>
    <w:rsid w:val="001F6151"/>
    <w:rsid w:val="001F7527"/>
    <w:rsid w:val="00200612"/>
    <w:rsid w:val="00205FEE"/>
    <w:rsid w:val="0021241F"/>
    <w:rsid w:val="00213D6A"/>
    <w:rsid w:val="002149CB"/>
    <w:rsid w:val="00216B96"/>
    <w:rsid w:val="00221058"/>
    <w:rsid w:val="00221205"/>
    <w:rsid w:val="00221561"/>
    <w:rsid w:val="00221CAE"/>
    <w:rsid w:val="00222A92"/>
    <w:rsid w:val="00224C7C"/>
    <w:rsid w:val="0023085A"/>
    <w:rsid w:val="00230FB6"/>
    <w:rsid w:val="00231EB0"/>
    <w:rsid w:val="0023251B"/>
    <w:rsid w:val="00233657"/>
    <w:rsid w:val="00233F7A"/>
    <w:rsid w:val="0023462C"/>
    <w:rsid w:val="00234C58"/>
    <w:rsid w:val="00234DDC"/>
    <w:rsid w:val="00235168"/>
    <w:rsid w:val="00236989"/>
    <w:rsid w:val="00245D09"/>
    <w:rsid w:val="00247529"/>
    <w:rsid w:val="002507A0"/>
    <w:rsid w:val="002523D8"/>
    <w:rsid w:val="002543B5"/>
    <w:rsid w:val="0025484B"/>
    <w:rsid w:val="00257EAE"/>
    <w:rsid w:val="00261B9F"/>
    <w:rsid w:val="002639D9"/>
    <w:rsid w:val="0026446F"/>
    <w:rsid w:val="00265C1B"/>
    <w:rsid w:val="002701D0"/>
    <w:rsid w:val="002702EB"/>
    <w:rsid w:val="00271EC3"/>
    <w:rsid w:val="00280A6B"/>
    <w:rsid w:val="00284232"/>
    <w:rsid w:val="00285613"/>
    <w:rsid w:val="00285CAB"/>
    <w:rsid w:val="0028698C"/>
    <w:rsid w:val="00287254"/>
    <w:rsid w:val="00290331"/>
    <w:rsid w:val="0029306A"/>
    <w:rsid w:val="002954D4"/>
    <w:rsid w:val="00295C0F"/>
    <w:rsid w:val="00297E4A"/>
    <w:rsid w:val="002A0052"/>
    <w:rsid w:val="002A0CEE"/>
    <w:rsid w:val="002A72A6"/>
    <w:rsid w:val="002B30A6"/>
    <w:rsid w:val="002B34B0"/>
    <w:rsid w:val="002B4D01"/>
    <w:rsid w:val="002B667D"/>
    <w:rsid w:val="002B768A"/>
    <w:rsid w:val="002C0E0E"/>
    <w:rsid w:val="002C20C8"/>
    <w:rsid w:val="002C4039"/>
    <w:rsid w:val="002D259E"/>
    <w:rsid w:val="002D3E95"/>
    <w:rsid w:val="002D43D4"/>
    <w:rsid w:val="002D7C26"/>
    <w:rsid w:val="002E1D56"/>
    <w:rsid w:val="002E3CFA"/>
    <w:rsid w:val="002E6122"/>
    <w:rsid w:val="002E7059"/>
    <w:rsid w:val="002E7530"/>
    <w:rsid w:val="002E7962"/>
    <w:rsid w:val="002E7BEF"/>
    <w:rsid w:val="002F063C"/>
    <w:rsid w:val="002F423D"/>
    <w:rsid w:val="002F4553"/>
    <w:rsid w:val="002F6D2C"/>
    <w:rsid w:val="003000F0"/>
    <w:rsid w:val="00307EC1"/>
    <w:rsid w:val="003124BE"/>
    <w:rsid w:val="00314594"/>
    <w:rsid w:val="00314A13"/>
    <w:rsid w:val="00314E07"/>
    <w:rsid w:val="00315BB0"/>
    <w:rsid w:val="00320EB0"/>
    <w:rsid w:val="00321E80"/>
    <w:rsid w:val="00322A15"/>
    <w:rsid w:val="00324F11"/>
    <w:rsid w:val="00330AF0"/>
    <w:rsid w:val="003312F2"/>
    <w:rsid w:val="00335837"/>
    <w:rsid w:val="00335C2E"/>
    <w:rsid w:val="00335CC3"/>
    <w:rsid w:val="003365BB"/>
    <w:rsid w:val="003369C8"/>
    <w:rsid w:val="003372CD"/>
    <w:rsid w:val="00340E1F"/>
    <w:rsid w:val="00341D01"/>
    <w:rsid w:val="0034284E"/>
    <w:rsid w:val="00343171"/>
    <w:rsid w:val="00344B27"/>
    <w:rsid w:val="0034724B"/>
    <w:rsid w:val="0034794E"/>
    <w:rsid w:val="003479DF"/>
    <w:rsid w:val="00356364"/>
    <w:rsid w:val="0035647E"/>
    <w:rsid w:val="00356CDF"/>
    <w:rsid w:val="00357B86"/>
    <w:rsid w:val="00360437"/>
    <w:rsid w:val="00360962"/>
    <w:rsid w:val="003611ED"/>
    <w:rsid w:val="00361DA6"/>
    <w:rsid w:val="00362D30"/>
    <w:rsid w:val="003707C8"/>
    <w:rsid w:val="0037466C"/>
    <w:rsid w:val="00376A40"/>
    <w:rsid w:val="00382BA7"/>
    <w:rsid w:val="00383500"/>
    <w:rsid w:val="00384799"/>
    <w:rsid w:val="00385DB0"/>
    <w:rsid w:val="00386053"/>
    <w:rsid w:val="00391942"/>
    <w:rsid w:val="00396D2E"/>
    <w:rsid w:val="003A3394"/>
    <w:rsid w:val="003A5545"/>
    <w:rsid w:val="003A56E6"/>
    <w:rsid w:val="003A5F98"/>
    <w:rsid w:val="003A7D89"/>
    <w:rsid w:val="003B04FD"/>
    <w:rsid w:val="003B060D"/>
    <w:rsid w:val="003B2464"/>
    <w:rsid w:val="003B3003"/>
    <w:rsid w:val="003B3450"/>
    <w:rsid w:val="003B4994"/>
    <w:rsid w:val="003B5399"/>
    <w:rsid w:val="003B590B"/>
    <w:rsid w:val="003C1C94"/>
    <w:rsid w:val="003C406A"/>
    <w:rsid w:val="003C5329"/>
    <w:rsid w:val="003C6B65"/>
    <w:rsid w:val="003D342E"/>
    <w:rsid w:val="003D3A14"/>
    <w:rsid w:val="003D4D2F"/>
    <w:rsid w:val="003E0167"/>
    <w:rsid w:val="003E0BD3"/>
    <w:rsid w:val="003E284A"/>
    <w:rsid w:val="003E2968"/>
    <w:rsid w:val="003E3604"/>
    <w:rsid w:val="003E6CB3"/>
    <w:rsid w:val="003F0B61"/>
    <w:rsid w:val="003F0C4F"/>
    <w:rsid w:val="003F17ED"/>
    <w:rsid w:val="003F4E09"/>
    <w:rsid w:val="00401C5F"/>
    <w:rsid w:val="00402B2B"/>
    <w:rsid w:val="00404C10"/>
    <w:rsid w:val="00404D4B"/>
    <w:rsid w:val="00406C83"/>
    <w:rsid w:val="004074FD"/>
    <w:rsid w:val="00410EC7"/>
    <w:rsid w:val="00410FEE"/>
    <w:rsid w:val="00414CC7"/>
    <w:rsid w:val="00415C03"/>
    <w:rsid w:val="00416C3A"/>
    <w:rsid w:val="00420FC8"/>
    <w:rsid w:val="0042129F"/>
    <w:rsid w:val="004232D7"/>
    <w:rsid w:val="0042395B"/>
    <w:rsid w:val="0042472B"/>
    <w:rsid w:val="00431CB5"/>
    <w:rsid w:val="00434ACC"/>
    <w:rsid w:val="00435CDA"/>
    <w:rsid w:val="00436083"/>
    <w:rsid w:val="00436E46"/>
    <w:rsid w:val="00436E6A"/>
    <w:rsid w:val="004413C4"/>
    <w:rsid w:val="00441C3F"/>
    <w:rsid w:val="004426FC"/>
    <w:rsid w:val="00442884"/>
    <w:rsid w:val="00443B04"/>
    <w:rsid w:val="0044567A"/>
    <w:rsid w:val="004465FC"/>
    <w:rsid w:val="004522D7"/>
    <w:rsid w:val="004527EA"/>
    <w:rsid w:val="00457B62"/>
    <w:rsid w:val="00457CC8"/>
    <w:rsid w:val="00460A29"/>
    <w:rsid w:val="00472EF3"/>
    <w:rsid w:val="00475A76"/>
    <w:rsid w:val="004775F4"/>
    <w:rsid w:val="00484C10"/>
    <w:rsid w:val="00485E0B"/>
    <w:rsid w:val="00486BD6"/>
    <w:rsid w:val="00487753"/>
    <w:rsid w:val="0049013B"/>
    <w:rsid w:val="00491F0A"/>
    <w:rsid w:val="004960FB"/>
    <w:rsid w:val="00497086"/>
    <w:rsid w:val="004A22E5"/>
    <w:rsid w:val="004A3ED4"/>
    <w:rsid w:val="004A554F"/>
    <w:rsid w:val="004B18A4"/>
    <w:rsid w:val="004B1FE7"/>
    <w:rsid w:val="004B77C0"/>
    <w:rsid w:val="004C1463"/>
    <w:rsid w:val="004D4997"/>
    <w:rsid w:val="004D54CD"/>
    <w:rsid w:val="004D6EF0"/>
    <w:rsid w:val="004D790D"/>
    <w:rsid w:val="004E01F5"/>
    <w:rsid w:val="004E3075"/>
    <w:rsid w:val="004E7B96"/>
    <w:rsid w:val="004F0713"/>
    <w:rsid w:val="004F0E94"/>
    <w:rsid w:val="004F178A"/>
    <w:rsid w:val="004F2331"/>
    <w:rsid w:val="004F2B79"/>
    <w:rsid w:val="004F5055"/>
    <w:rsid w:val="00501F08"/>
    <w:rsid w:val="00502247"/>
    <w:rsid w:val="00503D5C"/>
    <w:rsid w:val="00505A0D"/>
    <w:rsid w:val="00505B7D"/>
    <w:rsid w:val="00506DDA"/>
    <w:rsid w:val="00510235"/>
    <w:rsid w:val="00511ADB"/>
    <w:rsid w:val="00511C7D"/>
    <w:rsid w:val="0051358D"/>
    <w:rsid w:val="00513AF6"/>
    <w:rsid w:val="00517C20"/>
    <w:rsid w:val="00522B62"/>
    <w:rsid w:val="00524D01"/>
    <w:rsid w:val="005254AB"/>
    <w:rsid w:val="00530C47"/>
    <w:rsid w:val="00531687"/>
    <w:rsid w:val="00532532"/>
    <w:rsid w:val="00532EE4"/>
    <w:rsid w:val="00532FEB"/>
    <w:rsid w:val="00537A29"/>
    <w:rsid w:val="005422C3"/>
    <w:rsid w:val="00542739"/>
    <w:rsid w:val="00542F49"/>
    <w:rsid w:val="00543052"/>
    <w:rsid w:val="00546599"/>
    <w:rsid w:val="00546E77"/>
    <w:rsid w:val="00547BA1"/>
    <w:rsid w:val="00554A7A"/>
    <w:rsid w:val="005631C8"/>
    <w:rsid w:val="0056506A"/>
    <w:rsid w:val="005663B6"/>
    <w:rsid w:val="0056795E"/>
    <w:rsid w:val="00570B3E"/>
    <w:rsid w:val="005747E7"/>
    <w:rsid w:val="0057501D"/>
    <w:rsid w:val="00576AEE"/>
    <w:rsid w:val="00576D8A"/>
    <w:rsid w:val="00580317"/>
    <w:rsid w:val="0058086F"/>
    <w:rsid w:val="0058249F"/>
    <w:rsid w:val="0058679B"/>
    <w:rsid w:val="005877DA"/>
    <w:rsid w:val="00593CA6"/>
    <w:rsid w:val="0059700D"/>
    <w:rsid w:val="00597137"/>
    <w:rsid w:val="00597231"/>
    <w:rsid w:val="005A1D6F"/>
    <w:rsid w:val="005A2A2D"/>
    <w:rsid w:val="005A37FF"/>
    <w:rsid w:val="005A6E2E"/>
    <w:rsid w:val="005B29DE"/>
    <w:rsid w:val="005B4307"/>
    <w:rsid w:val="005C251D"/>
    <w:rsid w:val="005C6DDB"/>
    <w:rsid w:val="005D1220"/>
    <w:rsid w:val="005D3658"/>
    <w:rsid w:val="005D4522"/>
    <w:rsid w:val="005D6171"/>
    <w:rsid w:val="005D7EB7"/>
    <w:rsid w:val="005E4730"/>
    <w:rsid w:val="005E713D"/>
    <w:rsid w:val="005F09EC"/>
    <w:rsid w:val="005F3202"/>
    <w:rsid w:val="005F6018"/>
    <w:rsid w:val="00607722"/>
    <w:rsid w:val="00610DDF"/>
    <w:rsid w:val="00614602"/>
    <w:rsid w:val="006218A6"/>
    <w:rsid w:val="00625D54"/>
    <w:rsid w:val="00626F78"/>
    <w:rsid w:val="00630367"/>
    <w:rsid w:val="006309F5"/>
    <w:rsid w:val="00630A14"/>
    <w:rsid w:val="00630BAA"/>
    <w:rsid w:val="00631039"/>
    <w:rsid w:val="00634095"/>
    <w:rsid w:val="00636440"/>
    <w:rsid w:val="00641379"/>
    <w:rsid w:val="00643B54"/>
    <w:rsid w:val="006456BB"/>
    <w:rsid w:val="00647402"/>
    <w:rsid w:val="00650716"/>
    <w:rsid w:val="006512F4"/>
    <w:rsid w:val="00651669"/>
    <w:rsid w:val="006543B3"/>
    <w:rsid w:val="00654C63"/>
    <w:rsid w:val="00663763"/>
    <w:rsid w:val="00664C33"/>
    <w:rsid w:val="00665020"/>
    <w:rsid w:val="00667BAB"/>
    <w:rsid w:val="006711E1"/>
    <w:rsid w:val="00672215"/>
    <w:rsid w:val="006722B5"/>
    <w:rsid w:val="00672A2F"/>
    <w:rsid w:val="00673175"/>
    <w:rsid w:val="00674BA7"/>
    <w:rsid w:val="00676770"/>
    <w:rsid w:val="0068051B"/>
    <w:rsid w:val="00681496"/>
    <w:rsid w:val="00682B64"/>
    <w:rsid w:val="0068409B"/>
    <w:rsid w:val="00684EA2"/>
    <w:rsid w:val="006910BE"/>
    <w:rsid w:val="006A170C"/>
    <w:rsid w:val="006A3A28"/>
    <w:rsid w:val="006A52B0"/>
    <w:rsid w:val="006A668E"/>
    <w:rsid w:val="006A6AD4"/>
    <w:rsid w:val="006A7488"/>
    <w:rsid w:val="006A7638"/>
    <w:rsid w:val="006B0947"/>
    <w:rsid w:val="006B0E03"/>
    <w:rsid w:val="006C114F"/>
    <w:rsid w:val="006C15FA"/>
    <w:rsid w:val="006C16D7"/>
    <w:rsid w:val="006D0B9B"/>
    <w:rsid w:val="006D1F62"/>
    <w:rsid w:val="006D23AE"/>
    <w:rsid w:val="006D30BF"/>
    <w:rsid w:val="006D662F"/>
    <w:rsid w:val="006D69A4"/>
    <w:rsid w:val="006E07AC"/>
    <w:rsid w:val="006E09B6"/>
    <w:rsid w:val="006E0ECB"/>
    <w:rsid w:val="006E1F97"/>
    <w:rsid w:val="006E3949"/>
    <w:rsid w:val="006F02CA"/>
    <w:rsid w:val="006F0C19"/>
    <w:rsid w:val="006F24A8"/>
    <w:rsid w:val="006F56C1"/>
    <w:rsid w:val="007049BD"/>
    <w:rsid w:val="007058E9"/>
    <w:rsid w:val="0070678E"/>
    <w:rsid w:val="00706EC2"/>
    <w:rsid w:val="00707D26"/>
    <w:rsid w:val="00716874"/>
    <w:rsid w:val="00720EE5"/>
    <w:rsid w:val="007217E4"/>
    <w:rsid w:val="00721D6C"/>
    <w:rsid w:val="00721E50"/>
    <w:rsid w:val="00725107"/>
    <w:rsid w:val="00725B16"/>
    <w:rsid w:val="007278CF"/>
    <w:rsid w:val="00732C19"/>
    <w:rsid w:val="00732F77"/>
    <w:rsid w:val="007363F2"/>
    <w:rsid w:val="00737AB8"/>
    <w:rsid w:val="00742BAF"/>
    <w:rsid w:val="00743E33"/>
    <w:rsid w:val="00744513"/>
    <w:rsid w:val="0075648C"/>
    <w:rsid w:val="00763941"/>
    <w:rsid w:val="00767185"/>
    <w:rsid w:val="00767E0F"/>
    <w:rsid w:val="007715A2"/>
    <w:rsid w:val="00771E40"/>
    <w:rsid w:val="0077435A"/>
    <w:rsid w:val="00781C31"/>
    <w:rsid w:val="00790E90"/>
    <w:rsid w:val="00791433"/>
    <w:rsid w:val="007918C0"/>
    <w:rsid w:val="00793496"/>
    <w:rsid w:val="00793A6B"/>
    <w:rsid w:val="00794B98"/>
    <w:rsid w:val="00797D6F"/>
    <w:rsid w:val="007A0D95"/>
    <w:rsid w:val="007A14D0"/>
    <w:rsid w:val="007A1564"/>
    <w:rsid w:val="007A2498"/>
    <w:rsid w:val="007B0767"/>
    <w:rsid w:val="007B461A"/>
    <w:rsid w:val="007C1582"/>
    <w:rsid w:val="007C2960"/>
    <w:rsid w:val="007C2992"/>
    <w:rsid w:val="007C62F5"/>
    <w:rsid w:val="007C7357"/>
    <w:rsid w:val="007C7B92"/>
    <w:rsid w:val="007D054D"/>
    <w:rsid w:val="007D14B7"/>
    <w:rsid w:val="007D45FD"/>
    <w:rsid w:val="007D6721"/>
    <w:rsid w:val="007D6900"/>
    <w:rsid w:val="007D7A8A"/>
    <w:rsid w:val="007E0403"/>
    <w:rsid w:val="007E0A01"/>
    <w:rsid w:val="007E1DC0"/>
    <w:rsid w:val="007E63F8"/>
    <w:rsid w:val="007E7623"/>
    <w:rsid w:val="007F0242"/>
    <w:rsid w:val="007F0C15"/>
    <w:rsid w:val="00810BB4"/>
    <w:rsid w:val="00812990"/>
    <w:rsid w:val="00814B24"/>
    <w:rsid w:val="0081539E"/>
    <w:rsid w:val="00815CC0"/>
    <w:rsid w:val="008173C3"/>
    <w:rsid w:val="00817839"/>
    <w:rsid w:val="00817C09"/>
    <w:rsid w:val="00823419"/>
    <w:rsid w:val="00823C4F"/>
    <w:rsid w:val="0082492B"/>
    <w:rsid w:val="008253A7"/>
    <w:rsid w:val="008265EF"/>
    <w:rsid w:val="00827407"/>
    <w:rsid w:val="00836318"/>
    <w:rsid w:val="00837E38"/>
    <w:rsid w:val="00840961"/>
    <w:rsid w:val="008444BD"/>
    <w:rsid w:val="00844DC6"/>
    <w:rsid w:val="00851D2A"/>
    <w:rsid w:val="008535B7"/>
    <w:rsid w:val="00855B83"/>
    <w:rsid w:val="00860387"/>
    <w:rsid w:val="00861F33"/>
    <w:rsid w:val="008620C5"/>
    <w:rsid w:val="00864EFE"/>
    <w:rsid w:val="008655D8"/>
    <w:rsid w:val="008657D2"/>
    <w:rsid w:val="00866076"/>
    <w:rsid w:val="00874C25"/>
    <w:rsid w:val="0087682B"/>
    <w:rsid w:val="00877F72"/>
    <w:rsid w:val="00877FED"/>
    <w:rsid w:val="00880F80"/>
    <w:rsid w:val="008822A5"/>
    <w:rsid w:val="008833AC"/>
    <w:rsid w:val="00883A80"/>
    <w:rsid w:val="0088512F"/>
    <w:rsid w:val="00885C85"/>
    <w:rsid w:val="00890CFA"/>
    <w:rsid w:val="00891DAA"/>
    <w:rsid w:val="00891EFC"/>
    <w:rsid w:val="0089622A"/>
    <w:rsid w:val="00897C16"/>
    <w:rsid w:val="008A4831"/>
    <w:rsid w:val="008A492C"/>
    <w:rsid w:val="008A4C41"/>
    <w:rsid w:val="008A515D"/>
    <w:rsid w:val="008A615D"/>
    <w:rsid w:val="008A6918"/>
    <w:rsid w:val="008A69DC"/>
    <w:rsid w:val="008B3A38"/>
    <w:rsid w:val="008B46BA"/>
    <w:rsid w:val="008B4856"/>
    <w:rsid w:val="008B7C3D"/>
    <w:rsid w:val="008C2886"/>
    <w:rsid w:val="008D1537"/>
    <w:rsid w:val="008D17E5"/>
    <w:rsid w:val="008D6725"/>
    <w:rsid w:val="008D78FF"/>
    <w:rsid w:val="008E476F"/>
    <w:rsid w:val="008E54FE"/>
    <w:rsid w:val="008E5F7D"/>
    <w:rsid w:val="008E6217"/>
    <w:rsid w:val="008F48C1"/>
    <w:rsid w:val="008F4C9D"/>
    <w:rsid w:val="008F5394"/>
    <w:rsid w:val="008F636C"/>
    <w:rsid w:val="008F6397"/>
    <w:rsid w:val="0090048A"/>
    <w:rsid w:val="00901246"/>
    <w:rsid w:val="009041C1"/>
    <w:rsid w:val="0090449A"/>
    <w:rsid w:val="00904A06"/>
    <w:rsid w:val="0090536A"/>
    <w:rsid w:val="00911D0C"/>
    <w:rsid w:val="00914CB3"/>
    <w:rsid w:val="00916328"/>
    <w:rsid w:val="00917324"/>
    <w:rsid w:val="00920CC5"/>
    <w:rsid w:val="009223CF"/>
    <w:rsid w:val="009223E3"/>
    <w:rsid w:val="0092468A"/>
    <w:rsid w:val="009260C5"/>
    <w:rsid w:val="00926CC7"/>
    <w:rsid w:val="00930CFF"/>
    <w:rsid w:val="00932B78"/>
    <w:rsid w:val="00933744"/>
    <w:rsid w:val="0094012A"/>
    <w:rsid w:val="00940388"/>
    <w:rsid w:val="009429B7"/>
    <w:rsid w:val="00944903"/>
    <w:rsid w:val="009450CF"/>
    <w:rsid w:val="00945AEE"/>
    <w:rsid w:val="0094634F"/>
    <w:rsid w:val="0094732D"/>
    <w:rsid w:val="00947CF8"/>
    <w:rsid w:val="009520C3"/>
    <w:rsid w:val="0095680E"/>
    <w:rsid w:val="0095696B"/>
    <w:rsid w:val="00962693"/>
    <w:rsid w:val="00962CEA"/>
    <w:rsid w:val="009637AA"/>
    <w:rsid w:val="00964B4F"/>
    <w:rsid w:val="00966113"/>
    <w:rsid w:val="00971B45"/>
    <w:rsid w:val="00972275"/>
    <w:rsid w:val="00977A1D"/>
    <w:rsid w:val="0098472B"/>
    <w:rsid w:val="009906DC"/>
    <w:rsid w:val="0099344A"/>
    <w:rsid w:val="00994A10"/>
    <w:rsid w:val="00995388"/>
    <w:rsid w:val="00996D7F"/>
    <w:rsid w:val="009A164D"/>
    <w:rsid w:val="009A19C7"/>
    <w:rsid w:val="009A38AD"/>
    <w:rsid w:val="009A4558"/>
    <w:rsid w:val="009A6C4D"/>
    <w:rsid w:val="009A712C"/>
    <w:rsid w:val="009B0DB2"/>
    <w:rsid w:val="009B2F66"/>
    <w:rsid w:val="009C1ADF"/>
    <w:rsid w:val="009C2CF9"/>
    <w:rsid w:val="009C5919"/>
    <w:rsid w:val="009C6996"/>
    <w:rsid w:val="009C7064"/>
    <w:rsid w:val="009C7B1F"/>
    <w:rsid w:val="009D10C0"/>
    <w:rsid w:val="009D3A3F"/>
    <w:rsid w:val="009D46D6"/>
    <w:rsid w:val="009D5C1D"/>
    <w:rsid w:val="009D6B85"/>
    <w:rsid w:val="009E116E"/>
    <w:rsid w:val="009E182A"/>
    <w:rsid w:val="009E1AEA"/>
    <w:rsid w:val="009E2B24"/>
    <w:rsid w:val="009E388E"/>
    <w:rsid w:val="009E4C1F"/>
    <w:rsid w:val="009E532D"/>
    <w:rsid w:val="009E5351"/>
    <w:rsid w:val="009E604D"/>
    <w:rsid w:val="009F1B35"/>
    <w:rsid w:val="009F37B4"/>
    <w:rsid w:val="009F3B93"/>
    <w:rsid w:val="009F4D79"/>
    <w:rsid w:val="00A01864"/>
    <w:rsid w:val="00A045ED"/>
    <w:rsid w:val="00A14437"/>
    <w:rsid w:val="00A14502"/>
    <w:rsid w:val="00A15971"/>
    <w:rsid w:val="00A246DC"/>
    <w:rsid w:val="00A271B4"/>
    <w:rsid w:val="00A27386"/>
    <w:rsid w:val="00A30576"/>
    <w:rsid w:val="00A30F97"/>
    <w:rsid w:val="00A31FDC"/>
    <w:rsid w:val="00A32343"/>
    <w:rsid w:val="00A326B1"/>
    <w:rsid w:val="00A3336D"/>
    <w:rsid w:val="00A34AC6"/>
    <w:rsid w:val="00A34F24"/>
    <w:rsid w:val="00A37DC3"/>
    <w:rsid w:val="00A425FC"/>
    <w:rsid w:val="00A43634"/>
    <w:rsid w:val="00A43665"/>
    <w:rsid w:val="00A441B5"/>
    <w:rsid w:val="00A454E0"/>
    <w:rsid w:val="00A46462"/>
    <w:rsid w:val="00A47339"/>
    <w:rsid w:val="00A47536"/>
    <w:rsid w:val="00A51399"/>
    <w:rsid w:val="00A520CC"/>
    <w:rsid w:val="00A52BA6"/>
    <w:rsid w:val="00A5445A"/>
    <w:rsid w:val="00A552DA"/>
    <w:rsid w:val="00A6113D"/>
    <w:rsid w:val="00A6164F"/>
    <w:rsid w:val="00A6235A"/>
    <w:rsid w:val="00A62805"/>
    <w:rsid w:val="00A6716E"/>
    <w:rsid w:val="00A700D6"/>
    <w:rsid w:val="00A805C2"/>
    <w:rsid w:val="00A806F1"/>
    <w:rsid w:val="00A87BE9"/>
    <w:rsid w:val="00A9241A"/>
    <w:rsid w:val="00A95893"/>
    <w:rsid w:val="00A963C3"/>
    <w:rsid w:val="00A96F94"/>
    <w:rsid w:val="00AA127F"/>
    <w:rsid w:val="00AA230A"/>
    <w:rsid w:val="00AA5C4F"/>
    <w:rsid w:val="00AA712A"/>
    <w:rsid w:val="00AA7E8A"/>
    <w:rsid w:val="00AB1A94"/>
    <w:rsid w:val="00AB248D"/>
    <w:rsid w:val="00AB2915"/>
    <w:rsid w:val="00AB2B24"/>
    <w:rsid w:val="00AB488D"/>
    <w:rsid w:val="00AB5B30"/>
    <w:rsid w:val="00AB5FC3"/>
    <w:rsid w:val="00AB6101"/>
    <w:rsid w:val="00AC0231"/>
    <w:rsid w:val="00AC07D2"/>
    <w:rsid w:val="00AC6009"/>
    <w:rsid w:val="00AD0DF6"/>
    <w:rsid w:val="00AD2826"/>
    <w:rsid w:val="00AD2F20"/>
    <w:rsid w:val="00AD4944"/>
    <w:rsid w:val="00AD5849"/>
    <w:rsid w:val="00AD7CF0"/>
    <w:rsid w:val="00AE05F1"/>
    <w:rsid w:val="00AE1659"/>
    <w:rsid w:val="00AE4EB6"/>
    <w:rsid w:val="00AE51EC"/>
    <w:rsid w:val="00AE6E0C"/>
    <w:rsid w:val="00AF1E99"/>
    <w:rsid w:val="00B014C2"/>
    <w:rsid w:val="00B033B8"/>
    <w:rsid w:val="00B0347F"/>
    <w:rsid w:val="00B04FAA"/>
    <w:rsid w:val="00B121E8"/>
    <w:rsid w:val="00B13499"/>
    <w:rsid w:val="00B1662F"/>
    <w:rsid w:val="00B20342"/>
    <w:rsid w:val="00B20D39"/>
    <w:rsid w:val="00B221CA"/>
    <w:rsid w:val="00B274BB"/>
    <w:rsid w:val="00B30133"/>
    <w:rsid w:val="00B37577"/>
    <w:rsid w:val="00B45711"/>
    <w:rsid w:val="00B46B34"/>
    <w:rsid w:val="00B5655C"/>
    <w:rsid w:val="00B56EB8"/>
    <w:rsid w:val="00B57637"/>
    <w:rsid w:val="00B57C79"/>
    <w:rsid w:val="00B60083"/>
    <w:rsid w:val="00B60EEC"/>
    <w:rsid w:val="00B6151B"/>
    <w:rsid w:val="00B6155C"/>
    <w:rsid w:val="00B6163A"/>
    <w:rsid w:val="00B62197"/>
    <w:rsid w:val="00B63BE0"/>
    <w:rsid w:val="00B6474E"/>
    <w:rsid w:val="00B65CFA"/>
    <w:rsid w:val="00B70F42"/>
    <w:rsid w:val="00B73B75"/>
    <w:rsid w:val="00B74BCA"/>
    <w:rsid w:val="00B756EA"/>
    <w:rsid w:val="00B75B65"/>
    <w:rsid w:val="00B77479"/>
    <w:rsid w:val="00B7774A"/>
    <w:rsid w:val="00B8141A"/>
    <w:rsid w:val="00B81E82"/>
    <w:rsid w:val="00B820E5"/>
    <w:rsid w:val="00B82499"/>
    <w:rsid w:val="00B84C4B"/>
    <w:rsid w:val="00B85C22"/>
    <w:rsid w:val="00B866E5"/>
    <w:rsid w:val="00B91EA5"/>
    <w:rsid w:val="00B931D1"/>
    <w:rsid w:val="00B943B1"/>
    <w:rsid w:val="00BA0A22"/>
    <w:rsid w:val="00BA14F4"/>
    <w:rsid w:val="00BA2E9B"/>
    <w:rsid w:val="00BA2F99"/>
    <w:rsid w:val="00BA7189"/>
    <w:rsid w:val="00BB09C5"/>
    <w:rsid w:val="00BB1C9B"/>
    <w:rsid w:val="00BB2330"/>
    <w:rsid w:val="00BB4180"/>
    <w:rsid w:val="00BB6E67"/>
    <w:rsid w:val="00BB7960"/>
    <w:rsid w:val="00BC06E8"/>
    <w:rsid w:val="00BC4144"/>
    <w:rsid w:val="00BC4472"/>
    <w:rsid w:val="00BC51A3"/>
    <w:rsid w:val="00BC66EB"/>
    <w:rsid w:val="00BD1934"/>
    <w:rsid w:val="00BD1A48"/>
    <w:rsid w:val="00BD4752"/>
    <w:rsid w:val="00BD63E9"/>
    <w:rsid w:val="00BE0EC8"/>
    <w:rsid w:val="00BE4892"/>
    <w:rsid w:val="00BE649D"/>
    <w:rsid w:val="00BE6E9C"/>
    <w:rsid w:val="00BF13E2"/>
    <w:rsid w:val="00BF249C"/>
    <w:rsid w:val="00BF2F17"/>
    <w:rsid w:val="00BF4361"/>
    <w:rsid w:val="00BF6568"/>
    <w:rsid w:val="00C02217"/>
    <w:rsid w:val="00C044F2"/>
    <w:rsid w:val="00C11C6A"/>
    <w:rsid w:val="00C16A63"/>
    <w:rsid w:val="00C16F7D"/>
    <w:rsid w:val="00C1739F"/>
    <w:rsid w:val="00C20A0F"/>
    <w:rsid w:val="00C20EF9"/>
    <w:rsid w:val="00C21A1E"/>
    <w:rsid w:val="00C24F0A"/>
    <w:rsid w:val="00C25337"/>
    <w:rsid w:val="00C307D2"/>
    <w:rsid w:val="00C31A26"/>
    <w:rsid w:val="00C327A5"/>
    <w:rsid w:val="00C32F05"/>
    <w:rsid w:val="00C33F2C"/>
    <w:rsid w:val="00C34377"/>
    <w:rsid w:val="00C34941"/>
    <w:rsid w:val="00C37B14"/>
    <w:rsid w:val="00C40FDA"/>
    <w:rsid w:val="00C44943"/>
    <w:rsid w:val="00C44C95"/>
    <w:rsid w:val="00C4549D"/>
    <w:rsid w:val="00C45AB4"/>
    <w:rsid w:val="00C5082A"/>
    <w:rsid w:val="00C52C5E"/>
    <w:rsid w:val="00C5549D"/>
    <w:rsid w:val="00C61BDC"/>
    <w:rsid w:val="00C61FF9"/>
    <w:rsid w:val="00C627A2"/>
    <w:rsid w:val="00C65525"/>
    <w:rsid w:val="00C6637E"/>
    <w:rsid w:val="00C7152A"/>
    <w:rsid w:val="00C728A7"/>
    <w:rsid w:val="00C7500F"/>
    <w:rsid w:val="00C751EA"/>
    <w:rsid w:val="00C75A4F"/>
    <w:rsid w:val="00C772EA"/>
    <w:rsid w:val="00C8212B"/>
    <w:rsid w:val="00C83342"/>
    <w:rsid w:val="00C83591"/>
    <w:rsid w:val="00C83878"/>
    <w:rsid w:val="00C84027"/>
    <w:rsid w:val="00C85068"/>
    <w:rsid w:val="00C86127"/>
    <w:rsid w:val="00C8799F"/>
    <w:rsid w:val="00C87B1B"/>
    <w:rsid w:val="00C906FA"/>
    <w:rsid w:val="00C93C55"/>
    <w:rsid w:val="00C95CFC"/>
    <w:rsid w:val="00C9779A"/>
    <w:rsid w:val="00C97C3E"/>
    <w:rsid w:val="00C97F6E"/>
    <w:rsid w:val="00CA0169"/>
    <w:rsid w:val="00CA0B16"/>
    <w:rsid w:val="00CA0E9F"/>
    <w:rsid w:val="00CA181C"/>
    <w:rsid w:val="00CA34C6"/>
    <w:rsid w:val="00CA4ADF"/>
    <w:rsid w:val="00CA6526"/>
    <w:rsid w:val="00CA7E59"/>
    <w:rsid w:val="00CB1829"/>
    <w:rsid w:val="00CB189E"/>
    <w:rsid w:val="00CB19CB"/>
    <w:rsid w:val="00CB204F"/>
    <w:rsid w:val="00CB45B6"/>
    <w:rsid w:val="00CB5D7B"/>
    <w:rsid w:val="00CB6882"/>
    <w:rsid w:val="00CB7A76"/>
    <w:rsid w:val="00CC1D5F"/>
    <w:rsid w:val="00CC2408"/>
    <w:rsid w:val="00CC4F60"/>
    <w:rsid w:val="00CC76C2"/>
    <w:rsid w:val="00CD40FD"/>
    <w:rsid w:val="00CD4E1C"/>
    <w:rsid w:val="00CE09F6"/>
    <w:rsid w:val="00CE128B"/>
    <w:rsid w:val="00CE46A5"/>
    <w:rsid w:val="00CF0131"/>
    <w:rsid w:val="00CF05DA"/>
    <w:rsid w:val="00CF370C"/>
    <w:rsid w:val="00CF4D9E"/>
    <w:rsid w:val="00CF50F6"/>
    <w:rsid w:val="00CF5C7C"/>
    <w:rsid w:val="00D0079F"/>
    <w:rsid w:val="00D03BE9"/>
    <w:rsid w:val="00D11E93"/>
    <w:rsid w:val="00D12D69"/>
    <w:rsid w:val="00D12F6E"/>
    <w:rsid w:val="00D215C9"/>
    <w:rsid w:val="00D23D51"/>
    <w:rsid w:val="00D23E53"/>
    <w:rsid w:val="00D24EDC"/>
    <w:rsid w:val="00D277E5"/>
    <w:rsid w:val="00D315BC"/>
    <w:rsid w:val="00D31657"/>
    <w:rsid w:val="00D31FAE"/>
    <w:rsid w:val="00D419F1"/>
    <w:rsid w:val="00D4557C"/>
    <w:rsid w:val="00D478F2"/>
    <w:rsid w:val="00D50452"/>
    <w:rsid w:val="00D56DA8"/>
    <w:rsid w:val="00D62CCB"/>
    <w:rsid w:val="00D71175"/>
    <w:rsid w:val="00D7155A"/>
    <w:rsid w:val="00D71706"/>
    <w:rsid w:val="00D7256E"/>
    <w:rsid w:val="00D72F3D"/>
    <w:rsid w:val="00D74282"/>
    <w:rsid w:val="00D76FC8"/>
    <w:rsid w:val="00D8286C"/>
    <w:rsid w:val="00D83021"/>
    <w:rsid w:val="00D94B9B"/>
    <w:rsid w:val="00D94F4A"/>
    <w:rsid w:val="00DA0A55"/>
    <w:rsid w:val="00DA33A5"/>
    <w:rsid w:val="00DA3D82"/>
    <w:rsid w:val="00DA4F89"/>
    <w:rsid w:val="00DA61A3"/>
    <w:rsid w:val="00DA6973"/>
    <w:rsid w:val="00DA775F"/>
    <w:rsid w:val="00DB0477"/>
    <w:rsid w:val="00DB1642"/>
    <w:rsid w:val="00DB28DC"/>
    <w:rsid w:val="00DB35ED"/>
    <w:rsid w:val="00DB7168"/>
    <w:rsid w:val="00DC0A98"/>
    <w:rsid w:val="00DC1068"/>
    <w:rsid w:val="00DC2009"/>
    <w:rsid w:val="00DC27BB"/>
    <w:rsid w:val="00DC2AFF"/>
    <w:rsid w:val="00DC614F"/>
    <w:rsid w:val="00DC7ACA"/>
    <w:rsid w:val="00DD0266"/>
    <w:rsid w:val="00DD21C0"/>
    <w:rsid w:val="00DD42C2"/>
    <w:rsid w:val="00DD5665"/>
    <w:rsid w:val="00DE01CE"/>
    <w:rsid w:val="00DE0762"/>
    <w:rsid w:val="00DE67FC"/>
    <w:rsid w:val="00DF00C1"/>
    <w:rsid w:val="00DF05BB"/>
    <w:rsid w:val="00DF0637"/>
    <w:rsid w:val="00DF0A7E"/>
    <w:rsid w:val="00DF4BCE"/>
    <w:rsid w:val="00DF675E"/>
    <w:rsid w:val="00E03A78"/>
    <w:rsid w:val="00E07DF2"/>
    <w:rsid w:val="00E147E0"/>
    <w:rsid w:val="00E22906"/>
    <w:rsid w:val="00E22D5A"/>
    <w:rsid w:val="00E22EBE"/>
    <w:rsid w:val="00E234CB"/>
    <w:rsid w:val="00E237AA"/>
    <w:rsid w:val="00E25884"/>
    <w:rsid w:val="00E26AAA"/>
    <w:rsid w:val="00E3385D"/>
    <w:rsid w:val="00E360B7"/>
    <w:rsid w:val="00E43842"/>
    <w:rsid w:val="00E44062"/>
    <w:rsid w:val="00E4416C"/>
    <w:rsid w:val="00E45FE7"/>
    <w:rsid w:val="00E51BA8"/>
    <w:rsid w:val="00E51BE9"/>
    <w:rsid w:val="00E52FCD"/>
    <w:rsid w:val="00E54741"/>
    <w:rsid w:val="00E56A1F"/>
    <w:rsid w:val="00E5743D"/>
    <w:rsid w:val="00E606B4"/>
    <w:rsid w:val="00E62150"/>
    <w:rsid w:val="00E6447F"/>
    <w:rsid w:val="00E65F36"/>
    <w:rsid w:val="00E65F64"/>
    <w:rsid w:val="00E671E2"/>
    <w:rsid w:val="00E70B81"/>
    <w:rsid w:val="00E73425"/>
    <w:rsid w:val="00E73C02"/>
    <w:rsid w:val="00E7628E"/>
    <w:rsid w:val="00E77577"/>
    <w:rsid w:val="00E8006C"/>
    <w:rsid w:val="00E90C7E"/>
    <w:rsid w:val="00E921F7"/>
    <w:rsid w:val="00E9274F"/>
    <w:rsid w:val="00EA2820"/>
    <w:rsid w:val="00EA6137"/>
    <w:rsid w:val="00EB03F5"/>
    <w:rsid w:val="00EB263C"/>
    <w:rsid w:val="00EB4862"/>
    <w:rsid w:val="00EB760E"/>
    <w:rsid w:val="00EC09FD"/>
    <w:rsid w:val="00EC1C10"/>
    <w:rsid w:val="00EC1CD1"/>
    <w:rsid w:val="00EC4103"/>
    <w:rsid w:val="00ED175B"/>
    <w:rsid w:val="00ED1D3C"/>
    <w:rsid w:val="00ED29AD"/>
    <w:rsid w:val="00ED377B"/>
    <w:rsid w:val="00ED49F3"/>
    <w:rsid w:val="00EE35DE"/>
    <w:rsid w:val="00EE4E64"/>
    <w:rsid w:val="00EE4FC3"/>
    <w:rsid w:val="00EF26A5"/>
    <w:rsid w:val="00EF335B"/>
    <w:rsid w:val="00EF4B50"/>
    <w:rsid w:val="00EF662A"/>
    <w:rsid w:val="00EF6CB9"/>
    <w:rsid w:val="00EF6E5B"/>
    <w:rsid w:val="00EF7435"/>
    <w:rsid w:val="00EF7A99"/>
    <w:rsid w:val="00F017F1"/>
    <w:rsid w:val="00F02F53"/>
    <w:rsid w:val="00F10EB1"/>
    <w:rsid w:val="00F12786"/>
    <w:rsid w:val="00F14553"/>
    <w:rsid w:val="00F154DF"/>
    <w:rsid w:val="00F15932"/>
    <w:rsid w:val="00F1704E"/>
    <w:rsid w:val="00F17FB6"/>
    <w:rsid w:val="00F20476"/>
    <w:rsid w:val="00F20A3B"/>
    <w:rsid w:val="00F210C4"/>
    <w:rsid w:val="00F213B5"/>
    <w:rsid w:val="00F2244C"/>
    <w:rsid w:val="00F22471"/>
    <w:rsid w:val="00F23AB0"/>
    <w:rsid w:val="00F24053"/>
    <w:rsid w:val="00F25271"/>
    <w:rsid w:val="00F25DD3"/>
    <w:rsid w:val="00F27161"/>
    <w:rsid w:val="00F33C48"/>
    <w:rsid w:val="00F33E2D"/>
    <w:rsid w:val="00F45FC6"/>
    <w:rsid w:val="00F52FB8"/>
    <w:rsid w:val="00F543D6"/>
    <w:rsid w:val="00F55D66"/>
    <w:rsid w:val="00F573E5"/>
    <w:rsid w:val="00F60C28"/>
    <w:rsid w:val="00F64547"/>
    <w:rsid w:val="00F65DC0"/>
    <w:rsid w:val="00F65EC5"/>
    <w:rsid w:val="00F67545"/>
    <w:rsid w:val="00F722C5"/>
    <w:rsid w:val="00F73E4D"/>
    <w:rsid w:val="00F73FBF"/>
    <w:rsid w:val="00F768B2"/>
    <w:rsid w:val="00F80221"/>
    <w:rsid w:val="00F81BA5"/>
    <w:rsid w:val="00F82D25"/>
    <w:rsid w:val="00F86F4B"/>
    <w:rsid w:val="00F90307"/>
    <w:rsid w:val="00F91217"/>
    <w:rsid w:val="00F9294A"/>
    <w:rsid w:val="00F92A3D"/>
    <w:rsid w:val="00F97A74"/>
    <w:rsid w:val="00FA2DB4"/>
    <w:rsid w:val="00FA371D"/>
    <w:rsid w:val="00FA6053"/>
    <w:rsid w:val="00FA6507"/>
    <w:rsid w:val="00FA6DB0"/>
    <w:rsid w:val="00FA7C2F"/>
    <w:rsid w:val="00FB0E25"/>
    <w:rsid w:val="00FB4555"/>
    <w:rsid w:val="00FB553F"/>
    <w:rsid w:val="00FC02DA"/>
    <w:rsid w:val="00FC4CC7"/>
    <w:rsid w:val="00FC5AC6"/>
    <w:rsid w:val="00FD3BBA"/>
    <w:rsid w:val="00FD4326"/>
    <w:rsid w:val="00FD7D7A"/>
    <w:rsid w:val="00FE2734"/>
    <w:rsid w:val="00FF1D9A"/>
    <w:rsid w:val="00FF3E15"/>
    <w:rsid w:val="00FF4A85"/>
    <w:rsid w:val="00FF5C79"/>
    <w:rsid w:val="00FF6971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82B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82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ina.Dlohi@em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BC6C-AA04-4A15-BBBC-41B27624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2046</Words>
  <Characters>13896</Characters>
  <Application>Microsoft Office Word</Application>
  <DocSecurity>0</DocSecurity>
  <Lines>772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17.februāra noteikumos Nr.164 „Noteikumi par aizdevumiem komersantu konkurētspējas uzlabošanai” sākotnējās ietekmes novērtējuma ziņojums (anotācija)</vt:lpstr>
    </vt:vector>
  </TitlesOfParts>
  <Company>LR Ekonomikas ministrija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17.februāra noteikumos Nr.164 „Noteikumi par aizdevumiem komersantu konkurētspējas uzlabošanai” sākotnējās ietekmes novērtējuma ziņojums (anotācija)</dc:title>
  <dc:subject>Ministru kabineta noteikumu projekta sākotnējās ietekmes novērtējuma ziņojums (anotācija)</dc:subject>
  <dc:creator>Elīna Dlohi</dc:creator>
  <dc:description>67013082, Elina.Dlohi@em.gov.lv</dc:description>
  <cp:lastModifiedBy>Elīna Dlohi</cp:lastModifiedBy>
  <cp:revision>12</cp:revision>
  <cp:lastPrinted>2013-06-27T09:11:00Z</cp:lastPrinted>
  <dcterms:created xsi:type="dcterms:W3CDTF">2013-10-28T11:16:00Z</dcterms:created>
  <dcterms:modified xsi:type="dcterms:W3CDTF">2013-11-28T08:55:00Z</dcterms:modified>
</cp:coreProperties>
</file>