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D4557C" w:rsidRDefault="00BB09C5" w:rsidP="007A1564">
      <w:pPr>
        <w:tabs>
          <w:tab w:val="left" w:pos="6237"/>
        </w:tabs>
        <w:jc w:val="center"/>
        <w:rPr>
          <w:b/>
          <w:sz w:val="26"/>
          <w:szCs w:val="26"/>
          <w:lang w:val="lv-LV"/>
        </w:rPr>
      </w:pPr>
      <w:bookmarkStart w:id="0" w:name="OLE_LINK3"/>
      <w:bookmarkStart w:id="1" w:name="OLE_LINK1"/>
      <w:bookmarkStart w:id="2" w:name="OLE_LINK2"/>
      <w:r w:rsidRPr="00D4557C">
        <w:rPr>
          <w:b/>
          <w:sz w:val="26"/>
          <w:szCs w:val="26"/>
          <w:lang w:val="lv-LV"/>
        </w:rPr>
        <w:t xml:space="preserve">Ministru kabineta </w:t>
      </w:r>
      <w:r w:rsidR="00C83591" w:rsidRPr="00D4557C">
        <w:rPr>
          <w:b/>
          <w:sz w:val="26"/>
          <w:szCs w:val="26"/>
          <w:lang w:val="lv-LV"/>
        </w:rPr>
        <w:t>noteikumu</w:t>
      </w:r>
      <w:r w:rsidR="001764E7" w:rsidRPr="00D4557C">
        <w:rPr>
          <w:b/>
          <w:sz w:val="26"/>
          <w:szCs w:val="26"/>
          <w:lang w:val="lv-LV"/>
        </w:rPr>
        <w:t xml:space="preserve"> </w:t>
      </w:r>
      <w:r w:rsidRPr="00D4557C">
        <w:rPr>
          <w:b/>
          <w:sz w:val="26"/>
          <w:szCs w:val="26"/>
          <w:lang w:val="lv-LV"/>
        </w:rPr>
        <w:t xml:space="preserve">projekta </w:t>
      </w:r>
      <w:r w:rsidR="000D09B0" w:rsidRPr="000D09B0">
        <w:rPr>
          <w:b/>
          <w:sz w:val="26"/>
          <w:szCs w:val="26"/>
          <w:lang w:val="lv-LV"/>
        </w:rPr>
        <w:t>„Grozījumi Ministru kabineta 2009.gada 10.marta noteikumos Nr.238 „Noteikumi par darbības programmas „Uzņēmējdarbība un inovācijas” papildinājuma 2.2.1.4.1.apakšaktivitāti „Atbalsts aizdevumu veidā komersantu konkurētspējas uzlabošanai” sākotnējās ietekmes novērtējuma ziņojums (anotācija)</w:t>
      </w:r>
      <w:r w:rsidR="00926CC7" w:rsidRPr="00D4557C">
        <w:rPr>
          <w:b/>
          <w:sz w:val="26"/>
          <w:szCs w:val="26"/>
          <w:lang w:val="lv-LV"/>
        </w:rPr>
        <w:t>”</w:t>
      </w:r>
      <w:r w:rsidR="00092473" w:rsidRPr="00D4557C">
        <w:rPr>
          <w:b/>
          <w:sz w:val="26"/>
          <w:szCs w:val="26"/>
          <w:lang w:val="lv-LV"/>
        </w:rPr>
        <w:t xml:space="preserve"> </w:t>
      </w:r>
      <w:r w:rsidR="003000F0" w:rsidRPr="00D4557C">
        <w:rPr>
          <w:b/>
          <w:sz w:val="26"/>
          <w:szCs w:val="26"/>
          <w:lang w:val="lv-LV"/>
        </w:rPr>
        <w:t xml:space="preserve">sākotnējās ietekmes novērtējuma </w:t>
      </w:r>
      <w:smartTag w:uri="schemas-tilde-lv/tildestengine" w:element="veidnes">
        <w:smartTagPr>
          <w:attr w:name="id" w:val="-1"/>
          <w:attr w:name="baseform" w:val="ziņojums"/>
          <w:attr w:name="text" w:val="ziņojums"/>
        </w:smartTagPr>
        <w:r w:rsidR="003000F0" w:rsidRPr="00D4557C">
          <w:rPr>
            <w:b/>
            <w:sz w:val="26"/>
            <w:szCs w:val="26"/>
            <w:lang w:val="lv-LV"/>
          </w:rPr>
          <w:t>ziņojums</w:t>
        </w:r>
      </w:smartTag>
      <w:r w:rsidR="00E73425" w:rsidRPr="00D4557C">
        <w:rPr>
          <w:b/>
          <w:sz w:val="26"/>
          <w:szCs w:val="26"/>
          <w:lang w:val="lv-LV"/>
        </w:rPr>
        <w:t xml:space="preserve"> </w:t>
      </w:r>
      <w:r w:rsidR="003000F0" w:rsidRPr="00D4557C">
        <w:rPr>
          <w:b/>
          <w:sz w:val="26"/>
          <w:szCs w:val="26"/>
          <w:lang w:val="lv-LV"/>
        </w:rPr>
        <w:t>(</w:t>
      </w:r>
      <w:r w:rsidR="00E73425" w:rsidRPr="00D4557C">
        <w:rPr>
          <w:b/>
          <w:sz w:val="26"/>
          <w:szCs w:val="26"/>
          <w:lang w:val="lv-LV"/>
        </w:rPr>
        <w:t>anotācija</w:t>
      </w:r>
      <w:r w:rsidR="003000F0" w:rsidRPr="00D4557C">
        <w:rPr>
          <w:b/>
          <w:sz w:val="26"/>
          <w:szCs w:val="26"/>
          <w:lang w:val="lv-LV"/>
        </w:rPr>
        <w:t>)</w:t>
      </w:r>
    </w:p>
    <w:p w:rsidR="00B84C4B" w:rsidRPr="006C16D7"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734289"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6C16D7" w:rsidRDefault="00A31FDC" w:rsidP="00F22471">
            <w:pPr>
              <w:ind w:firstLine="720"/>
              <w:jc w:val="both"/>
              <w:rPr>
                <w:rFonts w:eastAsia="Times New Roman"/>
                <w:b/>
                <w:sz w:val="26"/>
                <w:szCs w:val="26"/>
                <w:lang w:val="lv-LV" w:eastAsia="lv-LV"/>
              </w:rPr>
            </w:pPr>
            <w:r w:rsidRPr="006C16D7">
              <w:rPr>
                <w:rFonts w:eastAsia="Times New Roman"/>
                <w:b/>
                <w:sz w:val="26"/>
                <w:szCs w:val="26"/>
                <w:lang w:val="lv-LV" w:eastAsia="lv-LV"/>
              </w:rPr>
              <w:t>I.Tiesību akta projekta izstrādes nepieciešamība</w:t>
            </w:r>
          </w:p>
        </w:tc>
      </w:tr>
      <w:tr w:rsidR="00A31FDC" w:rsidRPr="00734289"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D09B0" w:rsidRDefault="00B108BB" w:rsidP="000D09B0">
            <w:pPr>
              <w:jc w:val="both"/>
              <w:rPr>
                <w:sz w:val="26"/>
                <w:szCs w:val="26"/>
                <w:lang w:val="lv-LV"/>
              </w:rPr>
            </w:pPr>
            <w:r w:rsidRPr="00B108BB">
              <w:rPr>
                <w:sz w:val="26"/>
                <w:szCs w:val="26"/>
                <w:lang w:val="lv-LV"/>
              </w:rPr>
              <w:t>Mini</w:t>
            </w:r>
            <w:r>
              <w:rPr>
                <w:sz w:val="26"/>
                <w:szCs w:val="26"/>
                <w:lang w:val="lv-LV"/>
              </w:rPr>
              <w:t>stru kabineta noteikumu projekts</w:t>
            </w:r>
            <w:r w:rsidRPr="00B108BB">
              <w:rPr>
                <w:sz w:val="26"/>
                <w:szCs w:val="26"/>
                <w:lang w:val="lv-LV"/>
              </w:rPr>
              <w:t xml:space="preserve"> „Grozījumi Ministru kabineta 2009.gada 10.marta noteikumos Nr.238 „Noteikumi par darbības programmas „Uzņēmējdarbība un inovācijas” papildinājuma 2.2.1.4.1.apakšaktivitāti „Atbalsts aizdevumu veidā komersantu konkurētspējas uzlabošanai” </w:t>
            </w:r>
            <w:r>
              <w:rPr>
                <w:sz w:val="26"/>
                <w:szCs w:val="26"/>
                <w:lang w:val="lv-LV"/>
              </w:rPr>
              <w:t xml:space="preserve">(turpmāk – MK noteikumi Nr.238) </w:t>
            </w:r>
            <w:r w:rsidR="000D09B0" w:rsidRPr="00235168">
              <w:rPr>
                <w:sz w:val="26"/>
                <w:szCs w:val="26"/>
                <w:lang w:val="lv-LV"/>
              </w:rPr>
              <w:t>sagatavots, pamatojoties uz</w:t>
            </w:r>
            <w:r w:rsidR="000D09B0">
              <w:rPr>
                <w:sz w:val="26"/>
                <w:szCs w:val="26"/>
                <w:lang w:val="lv-LV"/>
              </w:rPr>
              <w:t>:</w:t>
            </w:r>
          </w:p>
          <w:p w:rsidR="000D09B0" w:rsidRDefault="000D09B0" w:rsidP="000D09B0">
            <w:pPr>
              <w:pStyle w:val="ListParagraph"/>
              <w:numPr>
                <w:ilvl w:val="0"/>
                <w:numId w:val="14"/>
              </w:numPr>
              <w:ind w:left="283" w:hanging="283"/>
              <w:jc w:val="both"/>
              <w:rPr>
                <w:sz w:val="26"/>
                <w:szCs w:val="26"/>
                <w:lang w:val="lv-LV"/>
              </w:rPr>
            </w:pPr>
            <w:bookmarkStart w:id="3" w:name="_Ref370996314"/>
            <w:r w:rsidRPr="00340E1F">
              <w:rPr>
                <w:sz w:val="26"/>
                <w:szCs w:val="26"/>
                <w:lang w:val="lv-LV"/>
              </w:rPr>
              <w:t>Eiropas Savienības struktūrfondu un Kohēzijas fonda vadības likuma 18.panta 10.punktu;</w:t>
            </w:r>
            <w:bookmarkEnd w:id="3"/>
          </w:p>
          <w:p w:rsidR="000D09B0" w:rsidRPr="00492892" w:rsidRDefault="000D09B0" w:rsidP="00492892">
            <w:pPr>
              <w:pStyle w:val="ListParagraph"/>
              <w:numPr>
                <w:ilvl w:val="0"/>
                <w:numId w:val="14"/>
              </w:numPr>
              <w:ind w:left="283" w:hanging="283"/>
              <w:jc w:val="both"/>
              <w:rPr>
                <w:sz w:val="26"/>
                <w:szCs w:val="26"/>
                <w:lang w:val="lv-LV"/>
              </w:rPr>
            </w:pPr>
            <w:r w:rsidRPr="00492892">
              <w:rPr>
                <w:i/>
                <w:sz w:val="26"/>
                <w:szCs w:val="26"/>
              </w:rPr>
              <w:t>Euro</w:t>
            </w:r>
            <w:r w:rsidRPr="00492892">
              <w:rPr>
                <w:sz w:val="26"/>
                <w:szCs w:val="26"/>
              </w:rPr>
              <w:t xml:space="preserve"> ieviešanas kārtības likuma 30.panta pirmā daļu;</w:t>
            </w:r>
          </w:p>
          <w:p w:rsidR="000D09B0" w:rsidRPr="000D09B0" w:rsidRDefault="000D09B0" w:rsidP="000D09B0">
            <w:pPr>
              <w:pStyle w:val="ListParagraph"/>
              <w:numPr>
                <w:ilvl w:val="0"/>
                <w:numId w:val="14"/>
              </w:numPr>
              <w:ind w:left="283" w:hanging="283"/>
              <w:jc w:val="both"/>
              <w:rPr>
                <w:sz w:val="26"/>
                <w:szCs w:val="26"/>
                <w:lang w:val="lv-LV"/>
              </w:rPr>
            </w:pPr>
            <w:r w:rsidRPr="00340E1F">
              <w:rPr>
                <w:sz w:val="26"/>
                <w:szCs w:val="26"/>
              </w:rPr>
              <w:t xml:space="preserve"> Ministru kabineta 2012.gada 27.jūnija rīkojuma Nr.282 „Par „Koncepciju par normatīvo aktu sakārtošanu saistībā ar eiro ieviešanu Latvijā”” 7.1.apakšpunktu</w:t>
            </w:r>
            <w:r>
              <w:rPr>
                <w:sz w:val="26"/>
                <w:szCs w:val="26"/>
              </w:rPr>
              <w:t>;</w:t>
            </w:r>
          </w:p>
          <w:p w:rsidR="00B84C4B" w:rsidRPr="007D6D62" w:rsidRDefault="000D09B0" w:rsidP="007D6D62">
            <w:pPr>
              <w:pStyle w:val="ListParagraph"/>
              <w:numPr>
                <w:ilvl w:val="0"/>
                <w:numId w:val="14"/>
              </w:numPr>
              <w:ind w:left="283" w:hanging="283"/>
              <w:jc w:val="both"/>
              <w:rPr>
                <w:sz w:val="26"/>
                <w:szCs w:val="26"/>
                <w:lang w:val="lv-LV"/>
              </w:rPr>
            </w:pPr>
            <w:r w:rsidRPr="00D4557C">
              <w:rPr>
                <w:sz w:val="26"/>
                <w:szCs w:val="26"/>
                <w:lang w:val="lv-LV"/>
              </w:rPr>
              <w:t xml:space="preserve">Komisijas 2008.gada 6.augusta Regulas (EK) Nr.800/2008, kas atzīst noteiktas atbalsta kategorijas par saderīgām ar kopējo tirgu, piemērojot Līguma 87. un 88.pantu (vispārējā grupu atbrīvojuma regula) (Eiropas Savienības Oficiālais Vēstnesis, 2008.gada 9.augusts, Nr.L 214), (turpmāk – Regula </w:t>
            </w:r>
            <w:r>
              <w:rPr>
                <w:sz w:val="26"/>
                <w:szCs w:val="26"/>
                <w:lang w:val="lv-LV"/>
              </w:rPr>
              <w:t>Nr.800/2008)  44.panta 3.punktu</w:t>
            </w:r>
            <w:r w:rsidR="007D6D62">
              <w:rPr>
                <w:sz w:val="26"/>
                <w:szCs w:val="26"/>
                <w:lang w:val="lv-LV"/>
              </w:rPr>
              <w:t>.</w:t>
            </w:r>
          </w:p>
        </w:tc>
      </w:tr>
      <w:tr w:rsidR="00A31FDC" w:rsidRPr="00734289"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6BED" w:rsidRPr="00786BED" w:rsidRDefault="00786BED" w:rsidP="00786BED">
            <w:pPr>
              <w:jc w:val="both"/>
              <w:rPr>
                <w:rFonts w:eastAsia="Times New Roman"/>
                <w:bCs/>
                <w:sz w:val="26"/>
                <w:szCs w:val="26"/>
                <w:lang w:val="lv-LV"/>
              </w:rPr>
            </w:pPr>
            <w:r w:rsidRPr="00786BED">
              <w:rPr>
                <w:rFonts w:eastAsia="Times New Roman"/>
                <w:bCs/>
                <w:sz w:val="26"/>
                <w:szCs w:val="26"/>
                <w:lang w:val="lv-LV"/>
              </w:rPr>
              <w:t xml:space="preserve">Saskaņā ar MK noteikumu Nr.238 </w:t>
            </w:r>
            <w:r w:rsidR="006C76D2">
              <w:rPr>
                <w:rFonts w:eastAsia="Times New Roman"/>
                <w:bCs/>
                <w:sz w:val="26"/>
                <w:szCs w:val="26"/>
                <w:lang w:val="lv-LV"/>
              </w:rPr>
              <w:t>5.punktu atbildīgā iestāde ir Ekonomikas ministrija</w:t>
            </w:r>
            <w:r w:rsidR="006C76D2" w:rsidRPr="00B108BB">
              <w:rPr>
                <w:rFonts w:eastAsia="Times New Roman"/>
                <w:bCs/>
                <w:sz w:val="26"/>
                <w:szCs w:val="26"/>
                <w:lang w:val="lv-LV"/>
              </w:rPr>
              <w:t xml:space="preserve"> (turpmāk- EM)</w:t>
            </w:r>
            <w:r w:rsidR="006C76D2">
              <w:rPr>
                <w:rFonts w:eastAsia="Times New Roman"/>
                <w:bCs/>
                <w:sz w:val="26"/>
                <w:szCs w:val="26"/>
                <w:lang w:val="lv-LV"/>
              </w:rPr>
              <w:t xml:space="preserve"> un</w:t>
            </w:r>
            <w:r w:rsidR="006C76D2" w:rsidRPr="00B108BB">
              <w:rPr>
                <w:rFonts w:eastAsia="Times New Roman"/>
                <w:bCs/>
                <w:sz w:val="26"/>
                <w:szCs w:val="26"/>
                <w:lang w:val="lv-LV"/>
              </w:rPr>
              <w:t xml:space="preserve"> </w:t>
            </w:r>
            <w:r w:rsidRPr="00786BED">
              <w:rPr>
                <w:rFonts w:eastAsia="Times New Roman"/>
                <w:bCs/>
                <w:sz w:val="26"/>
                <w:szCs w:val="26"/>
                <w:lang w:val="lv-LV"/>
              </w:rPr>
              <w:t>9.punktu projekta iesniedzējs ir valsts akciju sabiedrība „Latvijas Hipotēku un zemes banka” (turpmāk – LHZB).</w:t>
            </w:r>
          </w:p>
          <w:p w:rsidR="007A4F15" w:rsidRDefault="00786BED" w:rsidP="00043211">
            <w:pPr>
              <w:jc w:val="both"/>
              <w:rPr>
                <w:rFonts w:eastAsia="Times New Roman"/>
                <w:bCs/>
                <w:sz w:val="26"/>
                <w:szCs w:val="26"/>
                <w:lang w:val="lv-LV"/>
              </w:rPr>
            </w:pPr>
            <w:r w:rsidRPr="00786BED">
              <w:rPr>
                <w:rFonts w:eastAsia="Times New Roman"/>
                <w:bCs/>
                <w:sz w:val="26"/>
                <w:szCs w:val="26"/>
                <w:lang w:val="lv-LV"/>
              </w:rPr>
              <w:t>2009.</w:t>
            </w:r>
            <w:r w:rsidRPr="00B108BB">
              <w:rPr>
                <w:rFonts w:eastAsia="Times New Roman"/>
                <w:bCs/>
                <w:sz w:val="26"/>
                <w:szCs w:val="26"/>
                <w:lang w:val="lv-LV"/>
              </w:rPr>
              <w:t xml:space="preserve">gada 21.aprīlī tika noslēgts līgums </w:t>
            </w:r>
            <w:r w:rsidR="003E5E3D" w:rsidRPr="00B108BB">
              <w:rPr>
                <w:rFonts w:eastAsia="Times New Roman"/>
                <w:bCs/>
                <w:sz w:val="26"/>
                <w:szCs w:val="26"/>
                <w:lang w:val="lv-LV"/>
              </w:rPr>
              <w:t>starp valsts akciju sabiedrību „</w:t>
            </w:r>
            <w:r w:rsidR="00B4119A" w:rsidRPr="00B108BB">
              <w:rPr>
                <w:rFonts w:eastAsia="Times New Roman"/>
                <w:bCs/>
                <w:sz w:val="26"/>
                <w:szCs w:val="26"/>
                <w:lang w:val="lv-LV"/>
              </w:rPr>
              <w:t>Latvijas Hipotēku un zemes banka</w:t>
            </w:r>
            <w:r w:rsidR="003E5E3D" w:rsidRPr="00B108BB">
              <w:rPr>
                <w:rFonts w:eastAsia="Times New Roman"/>
                <w:bCs/>
                <w:sz w:val="26"/>
                <w:szCs w:val="26"/>
                <w:lang w:val="lv-LV"/>
              </w:rPr>
              <w:t>”</w:t>
            </w:r>
            <w:r w:rsidR="00B4119A" w:rsidRPr="00B108BB">
              <w:rPr>
                <w:rFonts w:eastAsia="Times New Roman"/>
                <w:bCs/>
                <w:sz w:val="26"/>
                <w:szCs w:val="26"/>
                <w:lang w:val="lv-LV"/>
              </w:rPr>
              <w:t xml:space="preserve"> (turpmāk – LHZB) un </w:t>
            </w:r>
            <w:r w:rsidR="006C76D2">
              <w:rPr>
                <w:rFonts w:eastAsia="Times New Roman"/>
                <w:bCs/>
                <w:sz w:val="26"/>
                <w:szCs w:val="26"/>
                <w:lang w:val="lv-LV"/>
              </w:rPr>
              <w:t>EM</w:t>
            </w:r>
            <w:r w:rsidR="00B4119A" w:rsidRPr="00B108BB">
              <w:rPr>
                <w:rFonts w:eastAsia="Times New Roman"/>
                <w:bCs/>
                <w:sz w:val="26"/>
                <w:szCs w:val="26"/>
                <w:lang w:val="lv-LV"/>
              </w:rPr>
              <w:t xml:space="preserve"> </w:t>
            </w:r>
            <w:r w:rsidRPr="00B108BB">
              <w:rPr>
                <w:rFonts w:eastAsia="Times New Roman"/>
                <w:bCs/>
                <w:sz w:val="26"/>
                <w:szCs w:val="26"/>
                <w:lang w:val="lv-LV"/>
              </w:rPr>
              <w:t xml:space="preserve">par projekta </w:t>
            </w:r>
            <w:r w:rsidR="00B4119A" w:rsidRPr="00B108BB">
              <w:rPr>
                <w:rFonts w:eastAsia="Times New Roman"/>
                <w:bCs/>
                <w:sz w:val="26"/>
                <w:szCs w:val="26"/>
                <w:lang w:val="lv-LV"/>
              </w:rPr>
              <w:t xml:space="preserve">Nr.2DP/2.2.1.4.0/09/IPIA/EM/001 </w:t>
            </w:r>
            <w:r w:rsidRPr="00B108BB">
              <w:rPr>
                <w:rFonts w:eastAsia="Times New Roman"/>
                <w:bCs/>
                <w:sz w:val="26"/>
                <w:szCs w:val="26"/>
                <w:lang w:val="lv-LV"/>
              </w:rPr>
              <w:t xml:space="preserve">īstenošanu. </w:t>
            </w:r>
            <w:r w:rsidR="003E5E3D" w:rsidRPr="00B108BB">
              <w:rPr>
                <w:rFonts w:eastAsia="Times New Roman"/>
                <w:bCs/>
                <w:sz w:val="26"/>
                <w:szCs w:val="26"/>
                <w:lang w:val="lv-LV"/>
              </w:rPr>
              <w:t xml:space="preserve">Līgums </w:t>
            </w:r>
            <w:r w:rsidR="00B108BB">
              <w:rPr>
                <w:rFonts w:eastAsia="Times New Roman"/>
                <w:bCs/>
                <w:sz w:val="26"/>
                <w:szCs w:val="26"/>
                <w:lang w:val="lv-LV"/>
              </w:rPr>
              <w:t>nosaka</w:t>
            </w:r>
            <w:r w:rsidR="00B4119A" w:rsidRPr="00B108BB">
              <w:rPr>
                <w:rFonts w:eastAsia="Times New Roman"/>
                <w:bCs/>
                <w:sz w:val="26"/>
                <w:szCs w:val="26"/>
                <w:lang w:val="lv-LV"/>
              </w:rPr>
              <w:t xml:space="preserve"> komersantu konkurētspējas uzlabošanas ai</w:t>
            </w:r>
            <w:r w:rsidR="00B108BB">
              <w:rPr>
                <w:rFonts w:eastAsia="Times New Roman"/>
                <w:bCs/>
                <w:sz w:val="26"/>
                <w:szCs w:val="26"/>
                <w:lang w:val="lv-LV"/>
              </w:rPr>
              <w:t>zdevumu īstenošanas nosacījumus</w:t>
            </w:r>
            <w:r w:rsidR="00B4119A" w:rsidRPr="00B108BB">
              <w:rPr>
                <w:rFonts w:eastAsia="Times New Roman"/>
                <w:bCs/>
                <w:sz w:val="26"/>
                <w:szCs w:val="26"/>
                <w:lang w:val="lv-LV"/>
              </w:rPr>
              <w:t xml:space="preserve"> un kārtību, piesaistot Eiropas Reģionālās attīstības fonda (turpmāk – ERAF) līdzfinansējumu.</w:t>
            </w:r>
            <w:r w:rsidR="00B108BB">
              <w:rPr>
                <w:rFonts w:eastAsia="Times New Roman"/>
                <w:bCs/>
                <w:sz w:val="26"/>
                <w:szCs w:val="26"/>
                <w:lang w:val="lv-LV"/>
              </w:rPr>
              <w:t xml:space="preserve"> A</w:t>
            </w:r>
            <w:r w:rsidR="00B4119A" w:rsidRPr="00B108BB">
              <w:rPr>
                <w:rFonts w:eastAsia="Times New Roman"/>
                <w:bCs/>
                <w:sz w:val="26"/>
                <w:szCs w:val="26"/>
                <w:lang w:val="lv-LV"/>
              </w:rPr>
              <w:t xml:space="preserve">tbilstoši Eiropas Savienības prasībām, aizdevumu izsniegšanai no ERAF līdzekļiem tiek izveidots Aizdevumu fonds. </w:t>
            </w:r>
            <w:r w:rsidR="00043211">
              <w:rPr>
                <w:rFonts w:eastAsia="Times New Roman"/>
                <w:bCs/>
                <w:sz w:val="26"/>
                <w:szCs w:val="26"/>
                <w:lang w:val="lv-LV"/>
              </w:rPr>
              <w:t xml:space="preserve">Saskaņā ar spēkā esošo MK noteikumu Nr.238 redakciju, projekta </w:t>
            </w:r>
            <w:r w:rsidR="00B108BB">
              <w:rPr>
                <w:rFonts w:eastAsia="Times New Roman"/>
                <w:bCs/>
                <w:sz w:val="26"/>
                <w:szCs w:val="26"/>
                <w:lang w:val="lv-LV"/>
              </w:rPr>
              <w:t>īstenošanai ir pieejami līdzekļi 52 743 215 latu apmērā, t.sk. 35 068 770 latu ERAF finansējums, 4 466 472 latu valsts budžeta finansējums un 13 207 973 latu LHZB finansējums.</w:t>
            </w:r>
            <w:r w:rsidR="00622FB8">
              <w:rPr>
                <w:rFonts w:eastAsia="Times New Roman"/>
                <w:bCs/>
                <w:sz w:val="26"/>
                <w:szCs w:val="26"/>
                <w:lang w:val="lv-LV"/>
              </w:rPr>
              <w:t xml:space="preserve"> </w:t>
            </w:r>
            <w:r w:rsidR="00431E07">
              <w:rPr>
                <w:rFonts w:eastAsia="Times New Roman"/>
                <w:bCs/>
                <w:sz w:val="26"/>
                <w:szCs w:val="26"/>
                <w:lang w:val="lv-LV"/>
              </w:rPr>
              <w:t xml:space="preserve">Saskaņā ar noslēgto līgumu starp EM un LHZB, </w:t>
            </w:r>
            <w:r w:rsidR="00431E07">
              <w:rPr>
                <w:rFonts w:eastAsia="Times New Roman"/>
                <w:bCs/>
                <w:sz w:val="26"/>
                <w:szCs w:val="26"/>
                <w:lang w:val="lv-LV"/>
              </w:rPr>
              <w:lastRenderedPageBreak/>
              <w:t>a</w:t>
            </w:r>
            <w:r w:rsidR="00622FB8">
              <w:rPr>
                <w:rFonts w:eastAsia="Times New Roman"/>
                <w:bCs/>
                <w:sz w:val="26"/>
                <w:szCs w:val="26"/>
                <w:lang w:val="lv-LV"/>
              </w:rPr>
              <w:t xml:space="preserve">izdevumiem </w:t>
            </w:r>
            <w:r w:rsidR="007A4F15">
              <w:rPr>
                <w:rFonts w:eastAsia="Times New Roman"/>
                <w:bCs/>
                <w:sz w:val="26"/>
                <w:szCs w:val="26"/>
                <w:lang w:val="lv-LV"/>
              </w:rPr>
              <w:t xml:space="preserve">kopā </w:t>
            </w:r>
            <w:r w:rsidR="00622FB8">
              <w:rPr>
                <w:rFonts w:eastAsia="Times New Roman"/>
                <w:bCs/>
                <w:sz w:val="26"/>
                <w:szCs w:val="26"/>
                <w:lang w:val="lv-LV"/>
              </w:rPr>
              <w:t xml:space="preserve">ir pieejami </w:t>
            </w:r>
            <w:r w:rsidR="0038309B">
              <w:rPr>
                <w:rFonts w:eastAsia="Times New Roman"/>
                <w:bCs/>
                <w:sz w:val="26"/>
                <w:szCs w:val="26"/>
                <w:lang w:val="lv-LV"/>
              </w:rPr>
              <w:t>72 281 741,25 euro (</w:t>
            </w:r>
            <w:r w:rsidR="00622FB8">
              <w:rPr>
                <w:rFonts w:eastAsia="Times New Roman"/>
                <w:bCs/>
                <w:sz w:val="26"/>
                <w:szCs w:val="26"/>
                <w:lang w:val="lv-LV"/>
              </w:rPr>
              <w:t>50 799 897 latu</w:t>
            </w:r>
            <w:r w:rsidR="0038309B">
              <w:rPr>
                <w:rFonts w:eastAsia="Times New Roman"/>
                <w:bCs/>
                <w:sz w:val="26"/>
                <w:szCs w:val="26"/>
                <w:lang w:val="lv-LV"/>
              </w:rPr>
              <w:t>)</w:t>
            </w:r>
            <w:r w:rsidR="007A4F15">
              <w:rPr>
                <w:rFonts w:eastAsia="Times New Roman"/>
                <w:bCs/>
                <w:sz w:val="26"/>
                <w:szCs w:val="26"/>
                <w:lang w:val="lv-LV"/>
              </w:rPr>
              <w:t xml:space="preserve">, savukārt vadības izmaksu segšanai paredzētais finansējums ir </w:t>
            </w:r>
            <w:r w:rsidR="00431E07">
              <w:rPr>
                <w:rFonts w:eastAsia="Times New Roman"/>
                <w:bCs/>
                <w:sz w:val="26"/>
                <w:szCs w:val="26"/>
                <w:lang w:val="lv-LV"/>
              </w:rPr>
              <w:t xml:space="preserve">2 765 092,79 </w:t>
            </w:r>
            <w:r w:rsidR="00431E07" w:rsidRPr="00431E07">
              <w:rPr>
                <w:rFonts w:eastAsia="Times New Roman"/>
                <w:bCs/>
                <w:i/>
                <w:sz w:val="26"/>
                <w:szCs w:val="26"/>
                <w:lang w:val="lv-LV"/>
              </w:rPr>
              <w:t>euro</w:t>
            </w:r>
            <w:r w:rsidR="00F95280" w:rsidRPr="00431E07">
              <w:rPr>
                <w:rFonts w:eastAsia="Times New Roman"/>
                <w:bCs/>
                <w:i/>
                <w:sz w:val="26"/>
                <w:szCs w:val="26"/>
                <w:lang w:val="lv-LV"/>
              </w:rPr>
              <w:t xml:space="preserve"> </w:t>
            </w:r>
            <w:r w:rsidR="00431E07">
              <w:rPr>
                <w:rFonts w:eastAsia="Times New Roman"/>
                <w:bCs/>
                <w:sz w:val="26"/>
                <w:szCs w:val="26"/>
                <w:lang w:val="lv-LV"/>
              </w:rPr>
              <w:t>(</w:t>
            </w:r>
            <w:r w:rsidR="00622FB8">
              <w:rPr>
                <w:rFonts w:eastAsia="Times New Roman"/>
                <w:bCs/>
                <w:sz w:val="26"/>
                <w:szCs w:val="26"/>
                <w:lang w:val="lv-LV"/>
              </w:rPr>
              <w:t>1</w:t>
            </w:r>
            <w:r w:rsidR="00F95280">
              <w:rPr>
                <w:rFonts w:eastAsia="Times New Roman"/>
                <w:bCs/>
                <w:sz w:val="26"/>
                <w:szCs w:val="26"/>
                <w:lang w:val="lv-LV"/>
              </w:rPr>
              <w:t> </w:t>
            </w:r>
            <w:r w:rsidR="00622FB8">
              <w:rPr>
                <w:rFonts w:eastAsia="Times New Roman"/>
                <w:bCs/>
                <w:sz w:val="26"/>
                <w:szCs w:val="26"/>
                <w:lang w:val="lv-LV"/>
              </w:rPr>
              <w:t>943</w:t>
            </w:r>
            <w:r w:rsidR="00F95280">
              <w:rPr>
                <w:rFonts w:eastAsia="Times New Roman"/>
                <w:bCs/>
                <w:sz w:val="26"/>
                <w:szCs w:val="26"/>
                <w:lang w:val="lv-LV"/>
              </w:rPr>
              <w:t xml:space="preserve"> </w:t>
            </w:r>
            <w:r w:rsidR="0038309B">
              <w:rPr>
                <w:rFonts w:eastAsia="Times New Roman"/>
                <w:bCs/>
                <w:sz w:val="26"/>
                <w:szCs w:val="26"/>
                <w:lang w:val="lv-LV"/>
              </w:rPr>
              <w:t>318 latu</w:t>
            </w:r>
            <w:r w:rsidR="00431E07">
              <w:rPr>
                <w:rFonts w:eastAsia="Times New Roman"/>
                <w:bCs/>
                <w:sz w:val="26"/>
                <w:szCs w:val="26"/>
                <w:lang w:val="lv-LV"/>
              </w:rPr>
              <w:t>)</w:t>
            </w:r>
            <w:r w:rsidR="007A4F15">
              <w:rPr>
                <w:rFonts w:eastAsia="Times New Roman"/>
                <w:bCs/>
                <w:sz w:val="26"/>
                <w:szCs w:val="26"/>
                <w:lang w:val="lv-LV"/>
              </w:rPr>
              <w:t xml:space="preserve"> apmērā. </w:t>
            </w:r>
            <w:r w:rsidR="0038309B">
              <w:rPr>
                <w:rFonts w:eastAsia="Times New Roman"/>
                <w:bCs/>
                <w:sz w:val="26"/>
                <w:szCs w:val="26"/>
                <w:lang w:val="lv-LV"/>
              </w:rPr>
              <w:t>Līdzšinēji MK noteikumu Nr.238 8.punktā bija atrunāts kopējais</w:t>
            </w:r>
            <w:r w:rsidR="00431E07">
              <w:rPr>
                <w:rFonts w:eastAsia="Times New Roman"/>
                <w:bCs/>
                <w:sz w:val="26"/>
                <w:szCs w:val="26"/>
                <w:lang w:val="lv-LV"/>
              </w:rPr>
              <w:t xml:space="preserve"> aktivitātei pieejamais finansējums, nevis aizdevuma fonda apjoms</w:t>
            </w:r>
            <w:r w:rsidR="0038309B">
              <w:rPr>
                <w:rFonts w:eastAsia="Times New Roman"/>
                <w:bCs/>
                <w:sz w:val="26"/>
                <w:szCs w:val="26"/>
                <w:lang w:val="lv-LV"/>
              </w:rPr>
              <w:t xml:space="preserve">. </w:t>
            </w:r>
            <w:r w:rsidR="00F95280">
              <w:rPr>
                <w:rFonts w:eastAsia="Times New Roman"/>
                <w:bCs/>
                <w:sz w:val="26"/>
                <w:szCs w:val="26"/>
                <w:lang w:val="lv-LV"/>
              </w:rPr>
              <w:t xml:space="preserve">Lai konkrēti atrunātu finansējumu, kas paredzēts aizdevumu izsniegšanai un kas vadības izmaksu segšanai, EM ierosina noteikumu 8.punktu izteikt </w:t>
            </w:r>
            <w:r w:rsidR="0038309B">
              <w:rPr>
                <w:rFonts w:eastAsia="Times New Roman"/>
                <w:bCs/>
                <w:sz w:val="26"/>
                <w:szCs w:val="26"/>
                <w:lang w:val="lv-LV"/>
              </w:rPr>
              <w:t xml:space="preserve">jaunā redakcijā, pārrēķinot </w:t>
            </w:r>
            <w:r w:rsidR="0038309B" w:rsidRPr="0038309B">
              <w:rPr>
                <w:rFonts w:eastAsia="Times New Roman"/>
                <w:bCs/>
                <w:i/>
                <w:sz w:val="26"/>
                <w:szCs w:val="26"/>
                <w:lang w:val="lv-LV"/>
              </w:rPr>
              <w:t>euro</w:t>
            </w:r>
            <w:r w:rsidR="0038309B">
              <w:rPr>
                <w:rFonts w:eastAsia="Times New Roman"/>
                <w:bCs/>
                <w:sz w:val="26"/>
                <w:szCs w:val="26"/>
                <w:lang w:val="lv-LV"/>
              </w:rPr>
              <w:t xml:space="preserve"> valūtā. Papildus norādām, ka līgumā par projekta īstenošanu summas un to sadalījums ir norādīts pareizi.</w:t>
            </w:r>
          </w:p>
          <w:p w:rsidR="005C7BF3" w:rsidRDefault="00776EEE" w:rsidP="00043211">
            <w:pPr>
              <w:jc w:val="both"/>
              <w:rPr>
                <w:rFonts w:eastAsia="Times New Roman"/>
                <w:bCs/>
                <w:sz w:val="26"/>
                <w:szCs w:val="26"/>
                <w:lang w:val="lv-LV"/>
              </w:rPr>
            </w:pPr>
            <w:bookmarkStart w:id="4" w:name="_GoBack"/>
            <w:r>
              <w:rPr>
                <w:rFonts w:eastAsia="Times New Roman"/>
                <w:bCs/>
                <w:sz w:val="26"/>
                <w:szCs w:val="26"/>
                <w:lang w:val="lv-LV"/>
              </w:rPr>
              <w:t>Uz š.g. 31.okto</w:t>
            </w:r>
            <w:r w:rsidR="00B108BB">
              <w:rPr>
                <w:rFonts w:eastAsia="Times New Roman"/>
                <w:bCs/>
                <w:sz w:val="26"/>
                <w:szCs w:val="26"/>
                <w:lang w:val="lv-LV"/>
              </w:rPr>
              <w:t xml:space="preserve">bri </w:t>
            </w:r>
            <w:r w:rsidR="00807565">
              <w:rPr>
                <w:rFonts w:eastAsia="Times New Roman"/>
                <w:bCs/>
                <w:sz w:val="26"/>
                <w:szCs w:val="26"/>
                <w:lang w:val="lv-LV"/>
              </w:rPr>
              <w:t xml:space="preserve">LHZB </w:t>
            </w:r>
            <w:r w:rsidR="00B108BB">
              <w:rPr>
                <w:rFonts w:eastAsia="Times New Roman"/>
                <w:bCs/>
                <w:sz w:val="26"/>
                <w:szCs w:val="26"/>
                <w:lang w:val="lv-LV"/>
              </w:rPr>
              <w:t xml:space="preserve">ir noslēgti </w:t>
            </w:r>
            <w:r w:rsidR="00FA742A">
              <w:rPr>
                <w:rFonts w:eastAsia="Times New Roman"/>
                <w:bCs/>
                <w:sz w:val="26"/>
                <w:szCs w:val="26"/>
                <w:lang w:val="lv-LV"/>
              </w:rPr>
              <w:t>83</w:t>
            </w:r>
            <w:r w:rsidR="00B108BB">
              <w:rPr>
                <w:rFonts w:eastAsia="Times New Roman"/>
                <w:bCs/>
                <w:sz w:val="26"/>
                <w:szCs w:val="26"/>
                <w:lang w:val="lv-LV"/>
              </w:rPr>
              <w:t xml:space="preserve"> aizdevumu līgumi par kopējo finansējumu 5</w:t>
            </w:r>
            <w:r w:rsidR="00FA742A">
              <w:rPr>
                <w:rFonts w:eastAsia="Times New Roman"/>
                <w:bCs/>
                <w:sz w:val="26"/>
                <w:szCs w:val="26"/>
                <w:lang w:val="lv-LV"/>
              </w:rPr>
              <w:t>3</w:t>
            </w:r>
            <w:r w:rsidR="00B108BB">
              <w:rPr>
                <w:rFonts w:eastAsia="Times New Roman"/>
                <w:bCs/>
                <w:sz w:val="26"/>
                <w:szCs w:val="26"/>
                <w:lang w:val="lv-LV"/>
              </w:rPr>
              <w:t> </w:t>
            </w:r>
            <w:r w:rsidR="00FA742A">
              <w:rPr>
                <w:rFonts w:eastAsia="Times New Roman"/>
                <w:bCs/>
                <w:sz w:val="26"/>
                <w:szCs w:val="26"/>
                <w:lang w:val="lv-LV"/>
              </w:rPr>
              <w:t>781</w:t>
            </w:r>
            <w:r w:rsidR="00B108BB">
              <w:rPr>
                <w:rFonts w:eastAsia="Times New Roman"/>
                <w:bCs/>
                <w:sz w:val="26"/>
                <w:szCs w:val="26"/>
                <w:lang w:val="lv-LV"/>
              </w:rPr>
              <w:t> </w:t>
            </w:r>
            <w:r w:rsidR="00FA742A">
              <w:rPr>
                <w:rFonts w:eastAsia="Times New Roman"/>
                <w:bCs/>
                <w:sz w:val="26"/>
                <w:szCs w:val="26"/>
                <w:lang w:val="lv-LV"/>
              </w:rPr>
              <w:t xml:space="preserve">350 </w:t>
            </w:r>
            <w:r w:rsidR="00B108BB">
              <w:rPr>
                <w:rFonts w:eastAsia="Times New Roman"/>
                <w:bCs/>
                <w:sz w:val="26"/>
                <w:szCs w:val="26"/>
                <w:lang w:val="lv-LV"/>
              </w:rPr>
              <w:t xml:space="preserve">latiem, </w:t>
            </w:r>
            <w:proofErr w:type="spellStart"/>
            <w:r w:rsidR="00B108BB">
              <w:rPr>
                <w:rFonts w:eastAsia="Times New Roman"/>
                <w:bCs/>
                <w:sz w:val="26"/>
                <w:szCs w:val="26"/>
                <w:lang w:val="lv-LV"/>
              </w:rPr>
              <w:t>t.sk</w:t>
            </w:r>
            <w:proofErr w:type="spellEnd"/>
            <w:r w:rsidR="00B108BB">
              <w:rPr>
                <w:rFonts w:eastAsia="Times New Roman"/>
                <w:bCs/>
                <w:sz w:val="26"/>
                <w:szCs w:val="26"/>
                <w:lang w:val="lv-LV"/>
              </w:rPr>
              <w:t>. 3</w:t>
            </w:r>
            <w:r w:rsidR="00FA742A">
              <w:rPr>
                <w:rFonts w:eastAsia="Times New Roman"/>
                <w:bCs/>
                <w:sz w:val="26"/>
                <w:szCs w:val="26"/>
                <w:lang w:val="lv-LV"/>
              </w:rPr>
              <w:t>5</w:t>
            </w:r>
            <w:r w:rsidR="00B108BB">
              <w:rPr>
                <w:rFonts w:eastAsia="Times New Roman"/>
                <w:bCs/>
                <w:sz w:val="26"/>
                <w:szCs w:val="26"/>
                <w:lang w:val="lv-LV"/>
              </w:rPr>
              <w:t> </w:t>
            </w:r>
            <w:r w:rsidR="00FA742A">
              <w:rPr>
                <w:rFonts w:eastAsia="Times New Roman"/>
                <w:bCs/>
                <w:sz w:val="26"/>
                <w:szCs w:val="26"/>
                <w:lang w:val="lv-LV"/>
              </w:rPr>
              <w:t>302 078</w:t>
            </w:r>
            <w:r w:rsidR="00B108BB">
              <w:rPr>
                <w:rFonts w:eastAsia="Times New Roman"/>
                <w:bCs/>
                <w:sz w:val="26"/>
                <w:szCs w:val="26"/>
                <w:lang w:val="lv-LV"/>
              </w:rPr>
              <w:t xml:space="preserve"> ERAF finansējums, savukārt faktiski veiktie maksājumi </w:t>
            </w:r>
            <w:r w:rsidR="00B108BB" w:rsidRPr="00F1783B">
              <w:rPr>
                <w:rFonts w:eastAsia="Times New Roman"/>
                <w:bCs/>
                <w:sz w:val="26"/>
                <w:szCs w:val="26"/>
                <w:u w:val="single"/>
                <w:lang w:val="lv-LV"/>
              </w:rPr>
              <w:t>ir 77 projektiem par kopējo finansējumu 4</w:t>
            </w:r>
            <w:r w:rsidR="00FA742A">
              <w:rPr>
                <w:rFonts w:eastAsia="Times New Roman"/>
                <w:bCs/>
                <w:sz w:val="26"/>
                <w:szCs w:val="26"/>
                <w:u w:val="single"/>
                <w:lang w:val="lv-LV"/>
              </w:rPr>
              <w:t>8</w:t>
            </w:r>
            <w:r w:rsidR="00B108BB" w:rsidRPr="00F1783B">
              <w:rPr>
                <w:rFonts w:eastAsia="Times New Roman"/>
                <w:bCs/>
                <w:sz w:val="26"/>
                <w:szCs w:val="26"/>
                <w:u w:val="single"/>
                <w:lang w:val="lv-LV"/>
              </w:rPr>
              <w:t> </w:t>
            </w:r>
            <w:r w:rsidR="00FA742A">
              <w:rPr>
                <w:rFonts w:eastAsia="Times New Roman"/>
                <w:bCs/>
                <w:sz w:val="26"/>
                <w:szCs w:val="26"/>
                <w:u w:val="single"/>
                <w:lang w:val="lv-LV"/>
              </w:rPr>
              <w:t>411 991</w:t>
            </w:r>
            <w:r w:rsidR="00B108BB" w:rsidRPr="00F1783B">
              <w:rPr>
                <w:rFonts w:eastAsia="Times New Roman"/>
                <w:bCs/>
                <w:sz w:val="26"/>
                <w:szCs w:val="26"/>
                <w:u w:val="single"/>
                <w:lang w:val="lv-LV"/>
              </w:rPr>
              <w:t xml:space="preserve"> latiem, </w:t>
            </w:r>
            <w:proofErr w:type="spellStart"/>
            <w:r w:rsidR="00B108BB" w:rsidRPr="00F1783B">
              <w:rPr>
                <w:rFonts w:eastAsia="Times New Roman"/>
                <w:bCs/>
                <w:sz w:val="26"/>
                <w:szCs w:val="26"/>
                <w:u w:val="single"/>
                <w:lang w:val="lv-LV"/>
              </w:rPr>
              <w:t>t</w:t>
            </w:r>
            <w:r w:rsidR="00FE7A80" w:rsidRPr="00F1783B">
              <w:rPr>
                <w:rFonts w:eastAsia="Times New Roman"/>
                <w:bCs/>
                <w:sz w:val="26"/>
                <w:szCs w:val="26"/>
                <w:u w:val="single"/>
                <w:lang w:val="lv-LV"/>
              </w:rPr>
              <w:t>.</w:t>
            </w:r>
            <w:r w:rsidR="00B108BB" w:rsidRPr="00F1783B">
              <w:rPr>
                <w:rFonts w:eastAsia="Times New Roman"/>
                <w:bCs/>
                <w:sz w:val="26"/>
                <w:szCs w:val="26"/>
                <w:u w:val="single"/>
                <w:lang w:val="lv-LV"/>
              </w:rPr>
              <w:t>sk</w:t>
            </w:r>
            <w:proofErr w:type="spellEnd"/>
            <w:r w:rsidR="00B108BB" w:rsidRPr="00F1783B">
              <w:rPr>
                <w:rFonts w:eastAsia="Times New Roman"/>
                <w:bCs/>
                <w:sz w:val="26"/>
                <w:szCs w:val="26"/>
                <w:u w:val="single"/>
                <w:lang w:val="lv-LV"/>
              </w:rPr>
              <w:t>. 31 </w:t>
            </w:r>
            <w:r w:rsidR="00FA742A">
              <w:rPr>
                <w:rFonts w:eastAsia="Times New Roman"/>
                <w:bCs/>
                <w:sz w:val="26"/>
                <w:szCs w:val="26"/>
                <w:u w:val="single"/>
                <w:lang w:val="lv-LV"/>
              </w:rPr>
              <w:t>777 631</w:t>
            </w:r>
            <w:r w:rsidR="006D7553" w:rsidRPr="00F1783B">
              <w:rPr>
                <w:rFonts w:eastAsia="Times New Roman"/>
                <w:bCs/>
                <w:sz w:val="26"/>
                <w:szCs w:val="26"/>
                <w:u w:val="single"/>
                <w:lang w:val="lv-LV"/>
              </w:rPr>
              <w:t xml:space="preserve"> ERAF finansējums</w:t>
            </w:r>
            <w:r w:rsidR="006D7553">
              <w:rPr>
                <w:rFonts w:eastAsia="Times New Roman"/>
                <w:bCs/>
                <w:sz w:val="26"/>
                <w:szCs w:val="26"/>
                <w:lang w:val="lv-LV"/>
              </w:rPr>
              <w:t>.</w:t>
            </w:r>
            <w:r w:rsidR="006C76D2">
              <w:rPr>
                <w:rFonts w:eastAsia="Times New Roman"/>
                <w:bCs/>
                <w:sz w:val="26"/>
                <w:szCs w:val="26"/>
                <w:lang w:val="lv-LV"/>
              </w:rPr>
              <w:t xml:space="preserve"> Ņemot vērā, ka </w:t>
            </w:r>
            <w:r w:rsidR="005C7BF3">
              <w:rPr>
                <w:rFonts w:eastAsia="Times New Roman"/>
                <w:bCs/>
                <w:sz w:val="26"/>
                <w:szCs w:val="26"/>
                <w:lang w:val="lv-LV"/>
              </w:rPr>
              <w:t xml:space="preserve">ir noslēgti līgumi par visu pieejamo ERAF finansējumu, bet </w:t>
            </w:r>
            <w:r w:rsidR="006C76D2">
              <w:rPr>
                <w:rFonts w:eastAsia="Times New Roman"/>
                <w:bCs/>
                <w:sz w:val="26"/>
                <w:szCs w:val="26"/>
                <w:lang w:val="lv-LV"/>
              </w:rPr>
              <w:t>nereti komersanti tomēr atsakās no aizdevuma saņemšanas</w:t>
            </w:r>
            <w:r w:rsidR="005C7BF3">
              <w:rPr>
                <w:rFonts w:eastAsia="Times New Roman"/>
                <w:bCs/>
                <w:sz w:val="26"/>
                <w:szCs w:val="26"/>
                <w:lang w:val="lv-LV"/>
              </w:rPr>
              <w:t xml:space="preserve"> un pārtrauc aizdevumu līgumus</w:t>
            </w:r>
            <w:r w:rsidR="006C76D2">
              <w:rPr>
                <w:rFonts w:eastAsia="Times New Roman"/>
                <w:bCs/>
                <w:sz w:val="26"/>
                <w:szCs w:val="26"/>
                <w:lang w:val="lv-LV"/>
              </w:rPr>
              <w:t xml:space="preserve">, </w:t>
            </w:r>
            <w:r w:rsidR="005C7BF3">
              <w:rPr>
                <w:rFonts w:eastAsia="Times New Roman"/>
                <w:bCs/>
                <w:sz w:val="26"/>
                <w:szCs w:val="26"/>
                <w:lang w:val="lv-LV"/>
              </w:rPr>
              <w:t xml:space="preserve">EM ar LHZB ir paredzējusi līgumā 10% rezervi noslēgtajiem līgumiem. Tādējādi LHZB var izsniegt vairāk aizdevumus nekā aktivitātē ir pieejams finansējums un tas nodrošinās 100% ERAF izpildi. Šo rezervi, ja būs nepieciešamība, segs no aktivitātes atmaksu daļas. </w:t>
            </w:r>
          </w:p>
          <w:p w:rsidR="00F119F5" w:rsidRDefault="005C7BF3" w:rsidP="00FA742A">
            <w:pPr>
              <w:jc w:val="both"/>
              <w:rPr>
                <w:rFonts w:eastAsia="Times New Roman"/>
                <w:bCs/>
                <w:sz w:val="26"/>
                <w:szCs w:val="26"/>
                <w:lang w:val="lv-LV"/>
              </w:rPr>
            </w:pPr>
            <w:r>
              <w:rPr>
                <w:rFonts w:eastAsia="Times New Roman"/>
                <w:bCs/>
                <w:sz w:val="26"/>
                <w:szCs w:val="26"/>
                <w:lang w:val="lv-LV"/>
              </w:rPr>
              <w:t xml:space="preserve">Lai  rastu iespēju 100% apmērā izlietot </w:t>
            </w:r>
            <w:r w:rsidR="00807565">
              <w:rPr>
                <w:rFonts w:eastAsia="Times New Roman"/>
                <w:bCs/>
                <w:sz w:val="26"/>
                <w:szCs w:val="26"/>
                <w:lang w:val="lv-LV"/>
              </w:rPr>
              <w:t>visu ERAF finansējumu ir nepieciešams projekta termiņa pagarinājums.</w:t>
            </w:r>
            <w:r w:rsidR="00F1783B">
              <w:rPr>
                <w:rFonts w:eastAsia="Times New Roman"/>
                <w:bCs/>
                <w:sz w:val="26"/>
                <w:szCs w:val="26"/>
                <w:lang w:val="lv-LV"/>
              </w:rPr>
              <w:t xml:space="preserve"> </w:t>
            </w:r>
            <w:r w:rsidR="006D7553">
              <w:rPr>
                <w:rFonts w:eastAsia="Times New Roman"/>
                <w:bCs/>
                <w:sz w:val="26"/>
                <w:szCs w:val="26"/>
                <w:lang w:val="lv-LV"/>
              </w:rPr>
              <w:t xml:space="preserve">Saskaņā ar </w:t>
            </w:r>
            <w:r w:rsidR="006C76D2">
              <w:rPr>
                <w:rFonts w:eastAsia="Times New Roman"/>
                <w:bCs/>
                <w:sz w:val="26"/>
                <w:szCs w:val="26"/>
                <w:lang w:val="lv-LV"/>
              </w:rPr>
              <w:t>MK noteikumu Nr.238 40.punktu, projekta īstenošanas laiks ir līdz 2013.gada 31.decembrim</w:t>
            </w:r>
            <w:r w:rsidR="006C76D2" w:rsidRPr="006C76D2">
              <w:rPr>
                <w:rFonts w:eastAsia="Times New Roman"/>
                <w:bCs/>
                <w:sz w:val="26"/>
                <w:szCs w:val="26"/>
                <w:lang w:val="lv-LV"/>
              </w:rPr>
              <w:t xml:space="preserve">. </w:t>
            </w:r>
            <w:r w:rsidR="006A170C" w:rsidRPr="006C76D2">
              <w:rPr>
                <w:rFonts w:eastAsia="Times New Roman"/>
                <w:bCs/>
                <w:sz w:val="26"/>
                <w:szCs w:val="26"/>
                <w:lang w:val="lv-LV"/>
              </w:rPr>
              <w:t>A</w:t>
            </w:r>
            <w:r w:rsidR="004F0713" w:rsidRPr="006C76D2">
              <w:rPr>
                <w:rFonts w:eastAsia="Times New Roman"/>
                <w:bCs/>
                <w:sz w:val="26"/>
                <w:szCs w:val="26"/>
                <w:lang w:val="lv-LV"/>
              </w:rPr>
              <w:t xml:space="preserve">ttiecīgā prasība </w:t>
            </w:r>
            <w:r w:rsidR="00BA2F99" w:rsidRPr="006C76D2">
              <w:rPr>
                <w:rFonts w:eastAsia="Times New Roman"/>
                <w:bCs/>
                <w:sz w:val="26"/>
                <w:szCs w:val="26"/>
                <w:lang w:val="lv-LV"/>
              </w:rPr>
              <w:t xml:space="preserve">MK </w:t>
            </w:r>
            <w:r w:rsidR="004F0713" w:rsidRPr="006C76D2">
              <w:rPr>
                <w:rFonts w:eastAsia="Times New Roman"/>
                <w:bCs/>
                <w:sz w:val="26"/>
                <w:szCs w:val="26"/>
                <w:lang w:val="lv-LV"/>
              </w:rPr>
              <w:t>noteikumos</w:t>
            </w:r>
            <w:r w:rsidR="006C76D2">
              <w:rPr>
                <w:rFonts w:eastAsia="Times New Roman"/>
                <w:bCs/>
                <w:sz w:val="26"/>
                <w:szCs w:val="26"/>
                <w:lang w:val="lv-LV"/>
              </w:rPr>
              <w:t xml:space="preserve"> Nr.</w:t>
            </w:r>
            <w:r w:rsidR="006C76D2" w:rsidRPr="006C76D2">
              <w:rPr>
                <w:rFonts w:eastAsia="Times New Roman"/>
                <w:bCs/>
                <w:sz w:val="26"/>
                <w:szCs w:val="26"/>
                <w:lang w:val="lv-LV"/>
              </w:rPr>
              <w:t>238</w:t>
            </w:r>
            <w:r w:rsidR="004F0713" w:rsidRPr="006C76D2">
              <w:rPr>
                <w:rFonts w:eastAsia="Times New Roman"/>
                <w:bCs/>
                <w:sz w:val="26"/>
                <w:szCs w:val="26"/>
                <w:lang w:val="lv-LV"/>
              </w:rPr>
              <w:t xml:space="preserve"> </w:t>
            </w:r>
            <w:r w:rsidR="006C76D2">
              <w:rPr>
                <w:rFonts w:eastAsia="Times New Roman"/>
                <w:bCs/>
                <w:sz w:val="26"/>
                <w:szCs w:val="26"/>
                <w:lang w:val="lv-LV"/>
              </w:rPr>
              <w:t>tika</w:t>
            </w:r>
            <w:r w:rsidR="004F0713" w:rsidRPr="006C76D2">
              <w:rPr>
                <w:rFonts w:eastAsia="Times New Roman"/>
                <w:bCs/>
                <w:sz w:val="26"/>
                <w:szCs w:val="26"/>
                <w:lang w:val="lv-LV"/>
              </w:rPr>
              <w:t xml:space="preserve"> iekļauta, ņemot vē</w:t>
            </w:r>
            <w:r w:rsidR="006A170C" w:rsidRPr="006C76D2">
              <w:rPr>
                <w:rFonts w:eastAsia="Times New Roman"/>
                <w:bCs/>
                <w:sz w:val="26"/>
                <w:szCs w:val="26"/>
                <w:lang w:val="lv-LV"/>
              </w:rPr>
              <w:t xml:space="preserve">rā valsts atbalsta regulējumu. </w:t>
            </w:r>
            <w:r w:rsidR="00C2009A">
              <w:rPr>
                <w:rFonts w:eastAsia="Times New Roman"/>
                <w:bCs/>
                <w:sz w:val="26"/>
                <w:szCs w:val="26"/>
                <w:lang w:val="lv-LV"/>
              </w:rPr>
              <w:t>Ņemot vērā, ka Eiropas Komisija 2013.gada 30.oktobrī ir apstiprinājusi Latvijas Republikas Reģionālās atbalsta kartes 2007.-2013.pagarinājumu līdz 2014.gada 30.jūnijam, ir iespējam</w:t>
            </w:r>
            <w:r w:rsidR="00004AE6">
              <w:rPr>
                <w:rFonts w:eastAsia="Times New Roman"/>
                <w:bCs/>
                <w:sz w:val="26"/>
                <w:szCs w:val="26"/>
                <w:lang w:val="lv-LV"/>
              </w:rPr>
              <w:t>s pagarināt MK noteikumos Nr.238</w:t>
            </w:r>
            <w:r w:rsidR="00C2009A">
              <w:rPr>
                <w:rFonts w:eastAsia="Times New Roman"/>
                <w:bCs/>
                <w:sz w:val="26"/>
                <w:szCs w:val="26"/>
                <w:lang w:val="lv-LV"/>
              </w:rPr>
              <w:t xml:space="preserve"> noteikto </w:t>
            </w:r>
            <w:r w:rsidR="00004AE6">
              <w:rPr>
                <w:rFonts w:eastAsia="Times New Roman"/>
                <w:bCs/>
                <w:sz w:val="26"/>
                <w:szCs w:val="26"/>
                <w:lang w:val="lv-LV"/>
              </w:rPr>
              <w:t xml:space="preserve">projekta īstenošanas </w:t>
            </w:r>
            <w:r w:rsidR="00C2009A">
              <w:rPr>
                <w:rFonts w:eastAsia="Times New Roman"/>
                <w:bCs/>
                <w:sz w:val="26"/>
                <w:szCs w:val="26"/>
                <w:lang w:val="lv-LV"/>
              </w:rPr>
              <w:t xml:space="preserve">termiņu. Papildus informējam, ka Jaunās Vispārējās grupu atbrīvojuma regulas projekta otrajā apspriešanā tiek piedāvāts pašreizējās Regulas </w:t>
            </w:r>
            <w:proofErr w:type="spellStart"/>
            <w:r w:rsidR="00C2009A">
              <w:rPr>
                <w:rFonts w:eastAsia="Times New Roman"/>
                <w:bCs/>
                <w:sz w:val="26"/>
                <w:szCs w:val="26"/>
                <w:lang w:val="lv-LV"/>
              </w:rPr>
              <w:t>Nr</w:t>
            </w:r>
            <w:proofErr w:type="spellEnd"/>
            <w:r w:rsidR="00C2009A">
              <w:rPr>
                <w:rFonts w:eastAsia="Times New Roman"/>
                <w:bCs/>
                <w:sz w:val="26"/>
                <w:szCs w:val="26"/>
                <w:lang w:val="lv-LV"/>
              </w:rPr>
              <w:t xml:space="preserve">. 800/2008 pagarinājums līdz 2014. gada 30. jūnijam, kas nozīmēs, ka, ja tas tiks apstiprināts, Regula </w:t>
            </w:r>
            <w:proofErr w:type="spellStart"/>
            <w:r w:rsidR="00C2009A">
              <w:rPr>
                <w:rFonts w:eastAsia="Times New Roman"/>
                <w:bCs/>
                <w:sz w:val="26"/>
                <w:szCs w:val="26"/>
                <w:lang w:val="lv-LV"/>
              </w:rPr>
              <w:t>Nr</w:t>
            </w:r>
            <w:proofErr w:type="spellEnd"/>
            <w:r w:rsidR="00C2009A">
              <w:rPr>
                <w:rFonts w:eastAsia="Times New Roman"/>
                <w:bCs/>
                <w:sz w:val="26"/>
                <w:szCs w:val="26"/>
                <w:lang w:val="lv-LV"/>
              </w:rPr>
              <w:t xml:space="preserve">. 800/2008 darbosies </w:t>
            </w:r>
            <w:r w:rsidR="00C2009A" w:rsidRPr="005D17D1">
              <w:rPr>
                <w:rFonts w:eastAsia="Times New Roman"/>
                <w:bCs/>
                <w:sz w:val="26"/>
                <w:szCs w:val="26"/>
                <w:lang w:val="lv-LV"/>
              </w:rPr>
              <w:t xml:space="preserve">līdz 2014. gada 30. jūnijam. </w:t>
            </w:r>
          </w:p>
          <w:bookmarkEnd w:id="4"/>
          <w:p w:rsidR="009637AA" w:rsidRPr="006C16D7" w:rsidRDefault="00335CC3" w:rsidP="00FA742A">
            <w:pPr>
              <w:jc w:val="both"/>
              <w:rPr>
                <w:sz w:val="26"/>
                <w:szCs w:val="26"/>
                <w:highlight w:val="yellow"/>
                <w:lang w:val="lv-LV"/>
              </w:rPr>
            </w:pPr>
            <w:r w:rsidRPr="005D17D1">
              <w:rPr>
                <w:sz w:val="26"/>
                <w:szCs w:val="26"/>
                <w:lang w:val="lv-LV"/>
              </w:rPr>
              <w:t xml:space="preserve">Ņemot vērā, ka ar 2014.gada 1.janvāri Latvijā plānots ieviest </w:t>
            </w:r>
            <w:r w:rsidRPr="005D17D1">
              <w:rPr>
                <w:i/>
                <w:sz w:val="26"/>
                <w:szCs w:val="26"/>
                <w:lang w:val="lv-LV"/>
              </w:rPr>
              <w:t>euro</w:t>
            </w:r>
            <w:r w:rsidRPr="005D17D1">
              <w:rPr>
                <w:sz w:val="26"/>
                <w:szCs w:val="26"/>
                <w:lang w:val="lv-LV"/>
              </w:rPr>
              <w:t xml:space="preserve">, ir nepieciešams veikt </w:t>
            </w:r>
            <w:r w:rsidR="00786BED" w:rsidRPr="005D17D1">
              <w:rPr>
                <w:sz w:val="26"/>
                <w:szCs w:val="26"/>
                <w:lang w:val="lv-LV"/>
              </w:rPr>
              <w:t>grozījumus MK noteikumos Nr.238</w:t>
            </w:r>
            <w:r w:rsidRPr="005D17D1">
              <w:rPr>
                <w:sz w:val="26"/>
                <w:szCs w:val="26"/>
                <w:lang w:val="lv-LV"/>
              </w:rPr>
              <w:t xml:space="preserve">, aizstājot tajā latus ar </w:t>
            </w:r>
            <w:proofErr w:type="spellStart"/>
            <w:r w:rsidRPr="005D17D1">
              <w:rPr>
                <w:i/>
                <w:sz w:val="26"/>
                <w:szCs w:val="26"/>
                <w:lang w:val="lv-LV"/>
              </w:rPr>
              <w:t>euro</w:t>
            </w:r>
            <w:proofErr w:type="spellEnd"/>
            <w:r w:rsidR="002270A2" w:rsidRPr="005D17D1">
              <w:rPr>
                <w:i/>
                <w:sz w:val="26"/>
                <w:szCs w:val="26"/>
                <w:lang w:val="lv-LV"/>
              </w:rPr>
              <w:t>,</w:t>
            </w:r>
            <w:r w:rsidR="00DD1C8A" w:rsidRPr="005D17D1">
              <w:rPr>
                <w:sz w:val="26"/>
                <w:szCs w:val="26"/>
                <w:lang w:val="lv-LV"/>
              </w:rPr>
              <w:t xml:space="preserve"> ievērojot </w:t>
            </w:r>
            <w:proofErr w:type="spellStart"/>
            <w:r w:rsidR="002270A2" w:rsidRPr="005D17D1">
              <w:rPr>
                <w:i/>
                <w:sz w:val="26"/>
                <w:szCs w:val="26"/>
                <w:lang w:val="lv-LV"/>
              </w:rPr>
              <w:t>Euro</w:t>
            </w:r>
            <w:proofErr w:type="spellEnd"/>
            <w:r w:rsidR="002270A2" w:rsidRPr="005D17D1">
              <w:rPr>
                <w:i/>
                <w:sz w:val="26"/>
                <w:szCs w:val="26"/>
                <w:lang w:val="lv-LV"/>
              </w:rPr>
              <w:t xml:space="preserve"> </w:t>
            </w:r>
            <w:r w:rsidR="002270A2" w:rsidRPr="005D17D1">
              <w:rPr>
                <w:sz w:val="26"/>
                <w:szCs w:val="26"/>
                <w:lang w:val="lv-LV"/>
              </w:rPr>
              <w:t>ieviešanas kārtības likuma 32.panta principus, kā arī aktivitātē noteikto finansējumu apjomu</w:t>
            </w:r>
            <w:r w:rsidRPr="005D17D1">
              <w:rPr>
                <w:sz w:val="26"/>
                <w:szCs w:val="26"/>
                <w:lang w:val="lv-LV"/>
              </w:rPr>
              <w:t>. Grozītās tiesību normas</w:t>
            </w:r>
            <w:r w:rsidRPr="00786BED">
              <w:rPr>
                <w:sz w:val="26"/>
                <w:szCs w:val="26"/>
                <w:lang w:val="lv-LV"/>
              </w:rPr>
              <w:t xml:space="preserve"> </w:t>
            </w:r>
            <w:proofErr w:type="spellStart"/>
            <w:r w:rsidRPr="00786BED">
              <w:rPr>
                <w:i/>
                <w:sz w:val="26"/>
                <w:szCs w:val="26"/>
                <w:lang w:val="lv-LV"/>
              </w:rPr>
              <w:t>euro</w:t>
            </w:r>
            <w:proofErr w:type="spellEnd"/>
            <w:r w:rsidRPr="00786BED">
              <w:rPr>
                <w:sz w:val="26"/>
                <w:szCs w:val="26"/>
                <w:lang w:val="lv-LV"/>
              </w:rPr>
              <w:t xml:space="preserve"> nav personām nelabvēlīgākas par sākotnējo tiesību normu latos un nerada vērā ņemamu negatīvu ietekmi uz valsts budžetu.</w:t>
            </w:r>
            <w:r w:rsidRPr="006C16D7">
              <w:rPr>
                <w:sz w:val="26"/>
                <w:szCs w:val="26"/>
                <w:lang w:val="lv-LV"/>
              </w:rPr>
              <w:t xml:space="preserve"> </w:t>
            </w:r>
          </w:p>
        </w:tc>
      </w:tr>
      <w:tr w:rsidR="00A31FDC" w:rsidRPr="006C16D7"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 xml:space="preserve">Saistītie </w:t>
            </w:r>
            <w:r w:rsidRPr="006C16D7">
              <w:rPr>
                <w:rFonts w:eastAsia="Times New Roman"/>
                <w:sz w:val="26"/>
                <w:szCs w:val="26"/>
                <w:lang w:val="lv-LV" w:eastAsia="lv-LV"/>
              </w:rPr>
              <w:lastRenderedPageBreak/>
              <w:t>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D4557C">
            <w:pPr>
              <w:jc w:val="both"/>
              <w:rPr>
                <w:bCs/>
                <w:sz w:val="26"/>
                <w:szCs w:val="26"/>
                <w:highlight w:val="yellow"/>
                <w:lang w:val="lv-LV"/>
              </w:rPr>
            </w:pPr>
            <w:r w:rsidRPr="006C16D7">
              <w:rPr>
                <w:iCs/>
                <w:sz w:val="26"/>
                <w:szCs w:val="26"/>
                <w:lang w:val="lv-LV"/>
              </w:rPr>
              <w:lastRenderedPageBreak/>
              <w:t>Projekts šo jomu neskar</w:t>
            </w:r>
            <w:r w:rsidRPr="006C16D7">
              <w:rPr>
                <w:color w:val="000000"/>
                <w:sz w:val="26"/>
                <w:szCs w:val="26"/>
                <w:lang w:val="lv-LV"/>
              </w:rPr>
              <w:t xml:space="preserve">. </w:t>
            </w:r>
          </w:p>
        </w:tc>
      </w:tr>
    </w:tbl>
    <w:p w:rsidR="00C97F6E" w:rsidRPr="006C16D7" w:rsidRDefault="00C97F6E" w:rsidP="00F22471">
      <w:pPr>
        <w:jc w:val="both"/>
        <w:rPr>
          <w:rFonts w:eastAsia="Times New Roman"/>
          <w:sz w:val="26"/>
          <w:szCs w:val="26"/>
          <w:lang w:val="lv-LV" w:eastAsia="lv-LV"/>
        </w:rPr>
        <w:sectPr w:rsidR="00C97F6E" w:rsidRPr="006C16D7"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6C16D7" w:rsidRDefault="00C97F6E" w:rsidP="00F22471">
      <w:pPr>
        <w:jc w:val="both"/>
        <w:rPr>
          <w:rFonts w:eastAsia="Times New Roman"/>
          <w:sz w:val="26"/>
          <w:szCs w:val="26"/>
          <w:lang w:val="lv-LV" w:eastAsia="lv-LV"/>
        </w:rPr>
        <w:sectPr w:rsidR="00C97F6E" w:rsidRPr="006C16D7" w:rsidSect="00C97F6E">
          <w:type w:val="continuous"/>
          <w:pgSz w:w="11906" w:h="16838"/>
          <w:pgMar w:top="1418" w:right="1134" w:bottom="1134" w:left="1701" w:header="709" w:footer="709" w:gutter="0"/>
          <w:cols w:space="708"/>
          <w:titlePg/>
          <w:docGrid w:linePitch="360"/>
        </w:sectPr>
      </w:pPr>
    </w:p>
    <w:tbl>
      <w:tblPr>
        <w:tblW w:w="894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804"/>
      </w:tblGrid>
      <w:tr w:rsidR="00A31FDC" w:rsidRPr="00734289" w:rsidTr="001A2469">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Tiesiskā regulējuma mērķis un būtība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CC8" w:rsidRDefault="00457CC8" w:rsidP="00D4557C">
            <w:pPr>
              <w:jc w:val="both"/>
              <w:rPr>
                <w:bCs/>
                <w:sz w:val="26"/>
                <w:szCs w:val="26"/>
                <w:lang w:val="lv-LV"/>
              </w:rPr>
            </w:pPr>
            <w:r w:rsidRPr="006C16D7">
              <w:rPr>
                <w:bCs/>
                <w:sz w:val="26"/>
                <w:szCs w:val="26"/>
                <w:lang w:val="lv-LV"/>
              </w:rPr>
              <w:t>Noteikumu projekts paredz veikt grozījumus MK noteikumos Nr.</w:t>
            </w:r>
            <w:r w:rsidR="00D562B8">
              <w:rPr>
                <w:bCs/>
                <w:sz w:val="26"/>
                <w:szCs w:val="26"/>
                <w:lang w:val="lv-LV"/>
              </w:rPr>
              <w:t>238</w:t>
            </w:r>
            <w:r w:rsidRPr="006C16D7">
              <w:rPr>
                <w:bCs/>
                <w:sz w:val="26"/>
                <w:szCs w:val="26"/>
                <w:lang w:val="lv-LV"/>
              </w:rPr>
              <w:t>, izdarot šādas izmaiņas:</w:t>
            </w:r>
          </w:p>
          <w:p w:rsidR="00457CC8" w:rsidRPr="0038309B" w:rsidRDefault="00000465" w:rsidP="00786BED">
            <w:pPr>
              <w:pStyle w:val="ListParagraph"/>
              <w:numPr>
                <w:ilvl w:val="0"/>
                <w:numId w:val="17"/>
              </w:numPr>
              <w:jc w:val="both"/>
              <w:rPr>
                <w:bCs/>
                <w:sz w:val="26"/>
                <w:szCs w:val="26"/>
                <w:lang w:val="lv-LV"/>
              </w:rPr>
            </w:pPr>
            <w:r w:rsidRPr="00786BED">
              <w:rPr>
                <w:bCs/>
                <w:sz w:val="26"/>
                <w:szCs w:val="26"/>
                <w:lang w:val="lv-LV"/>
              </w:rPr>
              <w:t>p</w:t>
            </w:r>
            <w:r w:rsidR="00EB760E" w:rsidRPr="00786BED">
              <w:rPr>
                <w:bCs/>
                <w:sz w:val="26"/>
                <w:szCs w:val="26"/>
                <w:lang w:val="lv-LV"/>
              </w:rPr>
              <w:t xml:space="preserve">agarināt </w:t>
            </w:r>
            <w:r w:rsidR="00786BED" w:rsidRPr="00786BED">
              <w:rPr>
                <w:bCs/>
                <w:sz w:val="26"/>
                <w:szCs w:val="26"/>
                <w:lang w:val="lv-LV"/>
              </w:rPr>
              <w:t xml:space="preserve">projekta īstenošanu </w:t>
            </w:r>
            <w:r w:rsidR="00901246" w:rsidRPr="00786BED">
              <w:rPr>
                <w:sz w:val="26"/>
                <w:szCs w:val="26"/>
                <w:lang w:val="lv-LV"/>
              </w:rPr>
              <w:t xml:space="preserve">līdz 2014.gada </w:t>
            </w:r>
            <w:r w:rsidR="00457CC8" w:rsidRPr="00786BED">
              <w:rPr>
                <w:sz w:val="26"/>
                <w:szCs w:val="26"/>
                <w:lang w:val="lv-LV"/>
              </w:rPr>
              <w:t>30.</w:t>
            </w:r>
            <w:r w:rsidR="00376A40" w:rsidRPr="00786BED">
              <w:rPr>
                <w:sz w:val="26"/>
                <w:szCs w:val="26"/>
                <w:lang w:val="lv-LV"/>
              </w:rPr>
              <w:t>jūnijam</w:t>
            </w:r>
            <w:r w:rsidR="00786BED" w:rsidRPr="00786BED">
              <w:rPr>
                <w:sz w:val="26"/>
                <w:szCs w:val="26"/>
                <w:lang w:val="lv-LV"/>
              </w:rPr>
              <w:t xml:space="preserve"> saskaņā ar Regulas Nr.800/2008</w:t>
            </w:r>
            <w:r w:rsidR="00807565">
              <w:rPr>
                <w:sz w:val="26"/>
                <w:szCs w:val="26"/>
                <w:lang w:val="lv-LV"/>
              </w:rPr>
              <w:t xml:space="preserve"> </w:t>
            </w:r>
            <w:r w:rsidR="00786BED" w:rsidRPr="00786BED">
              <w:rPr>
                <w:sz w:val="26"/>
                <w:szCs w:val="26"/>
                <w:lang w:val="lv-LV"/>
              </w:rPr>
              <w:t>44.panta 3.punktu</w:t>
            </w:r>
            <w:r w:rsidR="001A2469">
              <w:rPr>
                <w:sz w:val="26"/>
                <w:szCs w:val="26"/>
                <w:lang w:val="lv-LV"/>
              </w:rPr>
              <w:t>;</w:t>
            </w:r>
          </w:p>
          <w:p w:rsidR="0038309B" w:rsidRPr="00786BED" w:rsidRDefault="0038309B" w:rsidP="00786BED">
            <w:pPr>
              <w:pStyle w:val="ListParagraph"/>
              <w:numPr>
                <w:ilvl w:val="0"/>
                <w:numId w:val="17"/>
              </w:numPr>
              <w:jc w:val="both"/>
              <w:rPr>
                <w:bCs/>
                <w:sz w:val="26"/>
                <w:szCs w:val="26"/>
                <w:lang w:val="lv-LV"/>
              </w:rPr>
            </w:pPr>
            <w:r>
              <w:rPr>
                <w:sz w:val="26"/>
                <w:szCs w:val="26"/>
                <w:lang w:val="lv-LV"/>
              </w:rPr>
              <w:t>noteikt precīzu finansējuma sadalījumu aizdevumu izsniegšanai un LHZB vadības izmaksām;</w:t>
            </w:r>
          </w:p>
          <w:p w:rsidR="00B84C4B" w:rsidRPr="00786BED" w:rsidRDefault="00457CC8" w:rsidP="00786BED">
            <w:pPr>
              <w:pStyle w:val="ListParagraph"/>
              <w:numPr>
                <w:ilvl w:val="0"/>
                <w:numId w:val="17"/>
              </w:numPr>
              <w:jc w:val="both"/>
              <w:rPr>
                <w:bCs/>
                <w:sz w:val="26"/>
                <w:szCs w:val="26"/>
                <w:lang w:val="lv-LV"/>
              </w:rPr>
            </w:pPr>
            <w:r w:rsidRPr="00786BED">
              <w:rPr>
                <w:sz w:val="26"/>
                <w:szCs w:val="26"/>
                <w:lang w:val="lv-LV"/>
              </w:rPr>
              <w:t xml:space="preserve">nodrošināt noteikumos lietotās valūtas pāreju uz </w:t>
            </w:r>
            <w:r w:rsidRPr="00786BED">
              <w:rPr>
                <w:i/>
                <w:sz w:val="26"/>
                <w:szCs w:val="26"/>
                <w:lang w:val="lv-LV"/>
              </w:rPr>
              <w:t>euro</w:t>
            </w:r>
            <w:r w:rsidR="006A52B0" w:rsidRPr="00786BED">
              <w:rPr>
                <w:bCs/>
                <w:sz w:val="26"/>
                <w:szCs w:val="26"/>
                <w:lang w:val="lv-LV"/>
              </w:rPr>
              <w:t>.</w:t>
            </w:r>
          </w:p>
        </w:tc>
      </w:tr>
      <w:tr w:rsidR="00A31FDC" w:rsidRPr="006C16D7" w:rsidTr="00A11355">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Projekta izstrādē iesaistītās institūcijas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D4557C">
            <w:pPr>
              <w:pStyle w:val="BodyText"/>
              <w:ind w:right="142"/>
              <w:rPr>
                <w:sz w:val="26"/>
                <w:szCs w:val="26"/>
              </w:rPr>
            </w:pPr>
            <w:r w:rsidRPr="006C16D7">
              <w:rPr>
                <w:iCs/>
                <w:sz w:val="26"/>
                <w:szCs w:val="26"/>
              </w:rPr>
              <w:t>Projekts šo jomu neskar</w:t>
            </w:r>
            <w:r w:rsidRPr="006C16D7">
              <w:rPr>
                <w:sz w:val="26"/>
                <w:szCs w:val="26"/>
              </w:rPr>
              <w:t>.</w:t>
            </w:r>
          </w:p>
        </w:tc>
      </w:tr>
      <w:tr w:rsidR="00A31FDC" w:rsidRPr="006C16D7" w:rsidTr="00A11355">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Iemesli, kādēļ netika nodrošināta sabiedrības līdzdalība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D4557C">
            <w:pPr>
              <w:pStyle w:val="BodyText"/>
              <w:ind w:right="142"/>
              <w:rPr>
                <w:sz w:val="26"/>
                <w:szCs w:val="26"/>
              </w:rPr>
            </w:pPr>
            <w:r w:rsidRPr="006C16D7">
              <w:rPr>
                <w:iCs/>
                <w:sz w:val="26"/>
                <w:szCs w:val="26"/>
              </w:rPr>
              <w:t>Projekts šo jomu neskar</w:t>
            </w:r>
            <w:r w:rsidRPr="006C16D7">
              <w:rPr>
                <w:sz w:val="26"/>
                <w:szCs w:val="26"/>
              </w:rPr>
              <w:t>.</w:t>
            </w:r>
          </w:p>
          <w:p w:rsidR="00A31FDC" w:rsidRPr="006C16D7" w:rsidRDefault="00A31FDC" w:rsidP="00F22471">
            <w:pPr>
              <w:pStyle w:val="BodyText"/>
              <w:ind w:right="142" w:firstLine="720"/>
              <w:rPr>
                <w:sz w:val="26"/>
                <w:szCs w:val="26"/>
              </w:rPr>
            </w:pPr>
          </w:p>
          <w:p w:rsidR="00B84C4B" w:rsidRPr="006C16D7" w:rsidRDefault="00B84C4B" w:rsidP="00F22471">
            <w:pPr>
              <w:pStyle w:val="BodyText"/>
              <w:ind w:right="142" w:firstLine="720"/>
              <w:rPr>
                <w:sz w:val="26"/>
                <w:szCs w:val="26"/>
              </w:rPr>
            </w:pPr>
          </w:p>
          <w:p w:rsidR="00B84C4B" w:rsidRPr="006C16D7" w:rsidRDefault="00B84C4B" w:rsidP="00F22471">
            <w:pPr>
              <w:pStyle w:val="BodyText"/>
              <w:ind w:right="142" w:firstLine="720"/>
              <w:rPr>
                <w:sz w:val="26"/>
                <w:szCs w:val="26"/>
              </w:rPr>
            </w:pPr>
          </w:p>
          <w:p w:rsidR="00B84C4B" w:rsidRPr="006C16D7" w:rsidRDefault="00B84C4B" w:rsidP="00F22471">
            <w:pPr>
              <w:pStyle w:val="BodyText"/>
              <w:ind w:right="142" w:firstLine="720"/>
              <w:rPr>
                <w:sz w:val="26"/>
                <w:szCs w:val="26"/>
              </w:rPr>
            </w:pPr>
          </w:p>
        </w:tc>
      </w:tr>
      <w:tr w:rsidR="00A31FDC" w:rsidRPr="006C16D7" w:rsidTr="00A11355">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C16D7" w:rsidRDefault="00A31FDC" w:rsidP="00F22471">
            <w:pPr>
              <w:jc w:val="both"/>
              <w:rPr>
                <w:rFonts w:eastAsia="Times New Roman"/>
                <w:sz w:val="26"/>
                <w:szCs w:val="26"/>
                <w:lang w:val="lv-LV" w:eastAsia="lv-LV"/>
              </w:rPr>
            </w:pPr>
            <w:r w:rsidRPr="006C16D7">
              <w:rPr>
                <w:rFonts w:eastAsia="Times New Roman"/>
                <w:sz w:val="26"/>
                <w:szCs w:val="26"/>
                <w:lang w:val="lv-LV" w:eastAsia="lv-LV"/>
              </w:rPr>
              <w:t>Cita informācija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6C16D7" w:rsidRDefault="00543052" w:rsidP="00D4557C">
            <w:pPr>
              <w:jc w:val="both"/>
              <w:rPr>
                <w:sz w:val="26"/>
                <w:szCs w:val="26"/>
                <w:lang w:val="lv-LV"/>
              </w:rPr>
            </w:pPr>
            <w:r w:rsidRPr="006C16D7">
              <w:rPr>
                <w:sz w:val="26"/>
                <w:szCs w:val="26"/>
                <w:lang w:val="lv-LV"/>
              </w:rPr>
              <w:t>Nav.</w:t>
            </w:r>
          </w:p>
        </w:tc>
      </w:tr>
    </w:tbl>
    <w:p w:rsidR="00E8006C" w:rsidRPr="006C16D7"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734289"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ind w:firstLine="720"/>
              <w:jc w:val="both"/>
              <w:rPr>
                <w:rFonts w:eastAsia="Times New Roman"/>
                <w:b/>
                <w:sz w:val="26"/>
                <w:szCs w:val="26"/>
                <w:lang w:val="lv-LV" w:eastAsia="lv-LV"/>
              </w:rPr>
            </w:pPr>
            <w:r w:rsidRPr="006C16D7">
              <w:rPr>
                <w:rFonts w:eastAsia="Times New Roman"/>
                <w:b/>
                <w:sz w:val="26"/>
                <w:szCs w:val="26"/>
                <w:lang w:val="lv-LV" w:eastAsia="lv-LV"/>
              </w:rPr>
              <w:t>II. Tiesību akta projekta ietekme uz sabiedrību</w:t>
            </w:r>
          </w:p>
        </w:tc>
      </w:tr>
      <w:tr w:rsidR="00F22471" w:rsidRPr="006C16D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86BED" w:rsidRDefault="007B3BE8" w:rsidP="00786BED">
            <w:pPr>
              <w:pStyle w:val="ListParagraph"/>
              <w:ind w:left="141"/>
              <w:jc w:val="both"/>
              <w:rPr>
                <w:sz w:val="26"/>
                <w:szCs w:val="26"/>
                <w:lang w:val="lv-LV"/>
              </w:rPr>
            </w:pPr>
            <w:r w:rsidRPr="00786BED">
              <w:rPr>
                <w:sz w:val="26"/>
                <w:szCs w:val="26"/>
                <w:lang w:val="lv-LV"/>
              </w:rPr>
              <w:t xml:space="preserve">LHZB </w:t>
            </w:r>
          </w:p>
        </w:tc>
      </w:tr>
      <w:tr w:rsidR="00F22471" w:rsidRPr="006C16D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786BED" w:rsidRDefault="00840961" w:rsidP="00236989">
            <w:pPr>
              <w:pStyle w:val="BodyText"/>
              <w:ind w:right="142"/>
              <w:rPr>
                <w:sz w:val="26"/>
                <w:szCs w:val="26"/>
              </w:rPr>
            </w:pPr>
            <w:r w:rsidRPr="00786BED">
              <w:rPr>
                <w:iCs/>
                <w:sz w:val="26"/>
                <w:szCs w:val="26"/>
              </w:rPr>
              <w:t>Projekts šo jomu neskar</w:t>
            </w:r>
            <w:r w:rsidRPr="00786BED">
              <w:rPr>
                <w:sz w:val="26"/>
                <w:szCs w:val="26"/>
              </w:rPr>
              <w:t>.</w:t>
            </w:r>
          </w:p>
          <w:p w:rsidR="00F22471" w:rsidRPr="00786BED" w:rsidRDefault="00F22471" w:rsidP="00F22471">
            <w:pPr>
              <w:ind w:firstLine="720"/>
              <w:jc w:val="both"/>
              <w:rPr>
                <w:rFonts w:eastAsia="Times New Roman"/>
                <w:sz w:val="26"/>
                <w:szCs w:val="26"/>
                <w:lang w:val="lv-LV" w:eastAsia="lv-LV"/>
              </w:rPr>
            </w:pPr>
          </w:p>
        </w:tc>
      </w:tr>
      <w:tr w:rsidR="00F22471" w:rsidRPr="00734289"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B3BE8" w:rsidRDefault="00F22471" w:rsidP="00F22471">
            <w:pPr>
              <w:jc w:val="both"/>
              <w:rPr>
                <w:rFonts w:eastAsia="Times New Roman"/>
                <w:sz w:val="26"/>
                <w:szCs w:val="26"/>
                <w:lang w:val="lv-LV" w:eastAsia="lv-LV"/>
              </w:rPr>
            </w:pPr>
            <w:r w:rsidRPr="007B3BE8">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B84C4B" w:rsidRPr="007B3BE8" w:rsidRDefault="007B3BE8" w:rsidP="00972275">
            <w:pPr>
              <w:pStyle w:val="BodyText"/>
              <w:ind w:right="142"/>
              <w:rPr>
                <w:sz w:val="26"/>
                <w:szCs w:val="26"/>
              </w:rPr>
            </w:pPr>
            <w:r w:rsidRPr="007B3BE8">
              <w:rPr>
                <w:sz w:val="26"/>
                <w:szCs w:val="26"/>
              </w:rPr>
              <w:t>MK noteikumu Nr.238</w:t>
            </w:r>
            <w:r w:rsidR="00457CC8" w:rsidRPr="007B3BE8">
              <w:rPr>
                <w:sz w:val="26"/>
                <w:szCs w:val="26"/>
              </w:rPr>
              <w:t xml:space="preserve"> pielāgošana pārejai uz </w:t>
            </w:r>
            <w:r w:rsidR="00457CC8" w:rsidRPr="007B3BE8">
              <w:rPr>
                <w:i/>
                <w:sz w:val="26"/>
                <w:szCs w:val="26"/>
              </w:rPr>
              <w:t>euro</w:t>
            </w:r>
            <w:r w:rsidR="00457CC8" w:rsidRPr="007B3BE8">
              <w:rPr>
                <w:sz w:val="26"/>
                <w:szCs w:val="26"/>
              </w:rPr>
              <w:t xml:space="preserve"> valūtu nerada ietekmi uz pieejamā finansējuma apmēru.</w:t>
            </w:r>
          </w:p>
        </w:tc>
      </w:tr>
      <w:tr w:rsidR="00F22471" w:rsidRPr="006C16D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6C16D7" w:rsidRDefault="00C1739F" w:rsidP="00236989">
            <w:pPr>
              <w:pStyle w:val="BodyText"/>
              <w:ind w:right="142"/>
              <w:rPr>
                <w:sz w:val="26"/>
                <w:szCs w:val="26"/>
              </w:rPr>
            </w:pPr>
            <w:r w:rsidRPr="006C16D7">
              <w:rPr>
                <w:iCs/>
                <w:sz w:val="26"/>
                <w:szCs w:val="26"/>
              </w:rPr>
              <w:t>Projekts šo jomu neskar</w:t>
            </w:r>
            <w:r w:rsidRPr="006C16D7">
              <w:rPr>
                <w:sz w:val="26"/>
                <w:szCs w:val="26"/>
              </w:rPr>
              <w:t>.</w:t>
            </w:r>
          </w:p>
          <w:p w:rsidR="00F22471" w:rsidRPr="006C16D7" w:rsidRDefault="00F22471" w:rsidP="00F22471">
            <w:pPr>
              <w:ind w:firstLine="720"/>
              <w:jc w:val="both"/>
              <w:rPr>
                <w:rFonts w:eastAsia="Times New Roman"/>
                <w:sz w:val="26"/>
                <w:szCs w:val="26"/>
                <w:lang w:val="lv-LV" w:eastAsia="lv-LV"/>
              </w:rPr>
            </w:pPr>
          </w:p>
        </w:tc>
      </w:tr>
      <w:tr w:rsidR="00F22471" w:rsidRPr="006C16D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236989">
            <w:pPr>
              <w:pStyle w:val="BodyText"/>
              <w:ind w:right="142"/>
              <w:rPr>
                <w:sz w:val="26"/>
                <w:szCs w:val="26"/>
              </w:rPr>
            </w:pPr>
            <w:r w:rsidRPr="006C16D7">
              <w:rPr>
                <w:iCs/>
                <w:sz w:val="26"/>
                <w:szCs w:val="26"/>
              </w:rPr>
              <w:t>Projekts šo jomu neskar</w:t>
            </w:r>
            <w:r w:rsidRPr="006C16D7">
              <w:rPr>
                <w:sz w:val="26"/>
                <w:szCs w:val="26"/>
              </w:rPr>
              <w:t>.</w:t>
            </w:r>
          </w:p>
          <w:p w:rsidR="00F22471" w:rsidRPr="006C16D7" w:rsidRDefault="00F22471" w:rsidP="00F22471">
            <w:pPr>
              <w:ind w:firstLine="720"/>
              <w:jc w:val="both"/>
              <w:rPr>
                <w:rFonts w:eastAsia="Times New Roman"/>
                <w:sz w:val="26"/>
                <w:szCs w:val="26"/>
                <w:lang w:val="lv-LV" w:eastAsia="lv-LV"/>
              </w:rPr>
            </w:pPr>
          </w:p>
        </w:tc>
      </w:tr>
      <w:tr w:rsidR="00F22471" w:rsidRPr="006C16D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236989">
            <w:pPr>
              <w:pStyle w:val="BodyText"/>
              <w:ind w:right="142"/>
              <w:rPr>
                <w:sz w:val="26"/>
                <w:szCs w:val="26"/>
              </w:rPr>
            </w:pPr>
            <w:r w:rsidRPr="006C16D7">
              <w:rPr>
                <w:iCs/>
                <w:sz w:val="26"/>
                <w:szCs w:val="26"/>
              </w:rPr>
              <w:t>Projekts šo jomu neskar</w:t>
            </w:r>
            <w:r w:rsidRPr="006C16D7">
              <w:rPr>
                <w:sz w:val="26"/>
                <w:szCs w:val="26"/>
              </w:rPr>
              <w:t>.</w:t>
            </w:r>
          </w:p>
          <w:p w:rsidR="00F22471" w:rsidRPr="006C16D7" w:rsidRDefault="00F22471" w:rsidP="00F22471">
            <w:pPr>
              <w:ind w:firstLine="720"/>
              <w:jc w:val="both"/>
              <w:rPr>
                <w:rFonts w:eastAsia="Times New Roman"/>
                <w:sz w:val="26"/>
                <w:szCs w:val="26"/>
                <w:lang w:val="lv-LV" w:eastAsia="lv-LV"/>
              </w:rPr>
            </w:pPr>
          </w:p>
        </w:tc>
      </w:tr>
      <w:tr w:rsidR="00F22471" w:rsidRPr="006C16D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6C16D7" w:rsidRDefault="00F22471" w:rsidP="00F22471">
            <w:pPr>
              <w:jc w:val="both"/>
              <w:rPr>
                <w:rFonts w:eastAsia="Times New Roman"/>
                <w:sz w:val="26"/>
                <w:szCs w:val="26"/>
                <w:lang w:val="lv-LV" w:eastAsia="lv-LV"/>
              </w:rPr>
            </w:pPr>
            <w:r w:rsidRPr="006C16D7">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B84C4B" w:rsidRPr="006C16D7" w:rsidRDefault="00F22471" w:rsidP="00AB3DCB">
            <w:pPr>
              <w:jc w:val="both"/>
              <w:rPr>
                <w:rFonts w:eastAsia="Times New Roman"/>
                <w:sz w:val="26"/>
                <w:szCs w:val="26"/>
                <w:lang w:val="lv-LV" w:eastAsia="lv-LV"/>
              </w:rPr>
            </w:pPr>
            <w:r w:rsidRPr="006C16D7">
              <w:rPr>
                <w:rFonts w:eastAsia="Times New Roman"/>
                <w:sz w:val="26"/>
                <w:szCs w:val="26"/>
                <w:lang w:val="lv-LV" w:eastAsia="lv-LV"/>
              </w:rPr>
              <w:t>Nav.</w:t>
            </w:r>
          </w:p>
        </w:tc>
      </w:tr>
    </w:tbl>
    <w:p w:rsidR="00E8006C" w:rsidRPr="006C16D7" w:rsidRDefault="00E8006C"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734289"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ind w:firstLine="720"/>
              <w:jc w:val="both"/>
              <w:rPr>
                <w:rFonts w:eastAsia="Times New Roman"/>
                <w:b/>
                <w:sz w:val="26"/>
                <w:szCs w:val="26"/>
                <w:lang w:val="lv-LV" w:eastAsia="lv-LV"/>
              </w:rPr>
            </w:pPr>
            <w:r w:rsidRPr="006C16D7">
              <w:rPr>
                <w:rFonts w:eastAsia="Times New Roman"/>
                <w:b/>
                <w:sz w:val="26"/>
                <w:szCs w:val="26"/>
                <w:lang w:val="lv-LV" w:eastAsia="lv-LV"/>
              </w:rPr>
              <w:lastRenderedPageBreak/>
              <w:t>IV. Tiesību akta projekta ietekme uz spēkā esošo tiesību normu sistēmu</w:t>
            </w:r>
          </w:p>
        </w:tc>
      </w:tr>
      <w:tr w:rsidR="003A7D89" w:rsidRPr="006C16D7"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6C16D7" w:rsidRDefault="00D94B9B" w:rsidP="00D4557C">
            <w:pPr>
              <w:spacing w:before="60" w:after="60"/>
              <w:jc w:val="both"/>
              <w:rPr>
                <w:sz w:val="26"/>
                <w:szCs w:val="26"/>
                <w:lang w:val="lv-LV"/>
              </w:rPr>
            </w:pPr>
            <w:r w:rsidRPr="006C16D7">
              <w:rPr>
                <w:sz w:val="26"/>
                <w:szCs w:val="26"/>
                <w:lang w:val="lv-LV"/>
              </w:rPr>
              <w:t>Nav</w:t>
            </w:r>
            <w:r w:rsidR="006B0947" w:rsidRPr="006C16D7">
              <w:rPr>
                <w:sz w:val="26"/>
                <w:szCs w:val="26"/>
                <w:lang w:val="lv-LV"/>
              </w:rPr>
              <w:t>.</w:t>
            </w:r>
            <w:r w:rsidR="00457CC8" w:rsidRPr="006C16D7">
              <w:rPr>
                <w:sz w:val="26"/>
                <w:szCs w:val="26"/>
                <w:lang w:val="lv-LV"/>
              </w:rPr>
              <w:t xml:space="preserve"> </w:t>
            </w:r>
          </w:p>
        </w:tc>
      </w:tr>
      <w:tr w:rsidR="003A7D89" w:rsidRPr="00734289"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42BAF" w:rsidRPr="006C16D7" w:rsidRDefault="00786BED" w:rsidP="00D4557C">
            <w:pPr>
              <w:jc w:val="both"/>
              <w:rPr>
                <w:sz w:val="26"/>
                <w:szCs w:val="26"/>
                <w:lang w:val="lv-LV"/>
              </w:rPr>
            </w:pPr>
            <w:r w:rsidRPr="00421833">
              <w:rPr>
                <w:sz w:val="26"/>
                <w:szCs w:val="26"/>
                <w:lang w:val="lv-LV"/>
              </w:rPr>
              <w:t>Pēc noteikumu projekta stāšan</w:t>
            </w:r>
            <w:r>
              <w:rPr>
                <w:sz w:val="26"/>
                <w:szCs w:val="26"/>
                <w:lang w:val="lv-LV"/>
              </w:rPr>
              <w:t>o</w:t>
            </w:r>
            <w:r w:rsidRPr="00421833">
              <w:rPr>
                <w:sz w:val="26"/>
                <w:szCs w:val="26"/>
                <w:lang w:val="lv-LV"/>
              </w:rPr>
              <w:t xml:space="preserve">s spēkā tiks veikti atbilstoši grozījumi </w:t>
            </w:r>
            <w:r>
              <w:rPr>
                <w:rFonts w:eastAsia="Times New Roman"/>
                <w:bCs/>
                <w:sz w:val="26"/>
                <w:szCs w:val="26"/>
                <w:lang w:val="lv-LV"/>
              </w:rPr>
              <w:t xml:space="preserve">2009.gada 21.aprīļa </w:t>
            </w:r>
            <w:r w:rsidRPr="00421833">
              <w:rPr>
                <w:sz w:val="26"/>
                <w:szCs w:val="26"/>
                <w:lang w:val="lv-LV"/>
              </w:rPr>
              <w:t xml:space="preserve">līgumā starp </w:t>
            </w:r>
            <w:r>
              <w:rPr>
                <w:sz w:val="26"/>
                <w:szCs w:val="26"/>
                <w:lang w:val="lv-LV"/>
              </w:rPr>
              <w:t>EM</w:t>
            </w:r>
            <w:r w:rsidRPr="00421833">
              <w:rPr>
                <w:sz w:val="26"/>
                <w:szCs w:val="26"/>
                <w:lang w:val="lv-LV"/>
              </w:rPr>
              <w:t xml:space="preserve"> un  </w:t>
            </w:r>
            <w:r w:rsidRPr="00421833">
              <w:rPr>
                <w:rFonts w:eastAsia="Times New Roman"/>
                <w:sz w:val="26"/>
                <w:szCs w:val="26"/>
                <w:lang w:val="lv-LV" w:eastAsia="lv-LV"/>
              </w:rPr>
              <w:t>LHZB</w:t>
            </w:r>
            <w:r w:rsidR="00C2009A">
              <w:rPr>
                <w:rFonts w:eastAsia="Times New Roman"/>
                <w:sz w:val="26"/>
                <w:szCs w:val="26"/>
                <w:lang w:val="lv-LV" w:eastAsia="lv-LV"/>
              </w:rPr>
              <w:t>.</w:t>
            </w:r>
          </w:p>
        </w:tc>
      </w:tr>
    </w:tbl>
    <w:p w:rsidR="00C9779A" w:rsidRPr="006C16D7" w:rsidRDefault="00C9779A" w:rsidP="00C9779A">
      <w:pPr>
        <w:rPr>
          <w:sz w:val="26"/>
          <w:szCs w:val="26"/>
          <w:lang w:val="lv-LV"/>
        </w:rPr>
      </w:pPr>
    </w:p>
    <w:tbl>
      <w:tblPr>
        <w:tblW w:w="5000"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Look w:val="04A0" w:firstRow="1" w:lastRow="0" w:firstColumn="1" w:lastColumn="0" w:noHBand="0" w:noVBand="1"/>
      </w:tblPr>
      <w:tblGrid>
        <w:gridCol w:w="2311"/>
        <w:gridCol w:w="1394"/>
        <w:gridCol w:w="1394"/>
        <w:gridCol w:w="1394"/>
        <w:gridCol w:w="1394"/>
        <w:gridCol w:w="1394"/>
      </w:tblGrid>
      <w:tr w:rsidR="00742BAF" w:rsidRPr="00734289" w:rsidTr="00511C7D">
        <w:trPr>
          <w:trHeight w:val="432"/>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6C16D7" w:rsidRDefault="00742BAF" w:rsidP="00511C7D">
            <w:pPr>
              <w:jc w:val="center"/>
              <w:rPr>
                <w:b/>
                <w:sz w:val="26"/>
                <w:szCs w:val="26"/>
                <w:lang w:val="lv-LV"/>
              </w:rPr>
            </w:pPr>
            <w:r w:rsidRPr="006C16D7">
              <w:rPr>
                <w:b/>
                <w:sz w:val="26"/>
                <w:szCs w:val="26"/>
                <w:lang w:val="lv-LV"/>
              </w:rPr>
              <w:br w:type="page"/>
              <w:t>III. Tiesību akta projekta ietekme uz valsts budžetu un pašvaldību budžetiem</w:t>
            </w:r>
          </w:p>
        </w:tc>
      </w:tr>
      <w:tr w:rsidR="00742BAF" w:rsidRPr="006C16D7" w:rsidTr="00511C7D">
        <w:tc>
          <w:tcPr>
            <w:tcW w:w="1440"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6C16D7" w:rsidRDefault="00742BAF" w:rsidP="00000465">
            <w:pPr>
              <w:pStyle w:val="naisf"/>
              <w:spacing w:before="0" w:after="0"/>
              <w:jc w:val="center"/>
              <w:rPr>
                <w:b/>
                <w:sz w:val="26"/>
                <w:szCs w:val="26"/>
              </w:rPr>
            </w:pPr>
            <w:r w:rsidRPr="006C16D7">
              <w:rPr>
                <w:b/>
                <w:sz w:val="26"/>
                <w:szCs w:val="26"/>
              </w:rPr>
              <w:t>Rādītāji</w:t>
            </w:r>
          </w:p>
        </w:tc>
        <w:tc>
          <w:tcPr>
            <w:tcW w:w="1459"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6C16D7" w:rsidRDefault="00742BAF" w:rsidP="00000465">
            <w:pPr>
              <w:pStyle w:val="naisf"/>
              <w:spacing w:before="0" w:after="0"/>
              <w:jc w:val="center"/>
              <w:rPr>
                <w:b/>
                <w:sz w:val="26"/>
                <w:szCs w:val="26"/>
              </w:rPr>
            </w:pPr>
            <w:r w:rsidRPr="006C16D7">
              <w:rPr>
                <w:b/>
                <w:sz w:val="26"/>
                <w:szCs w:val="26"/>
              </w:rPr>
              <w:t>2013.</w:t>
            </w:r>
          </w:p>
        </w:tc>
        <w:tc>
          <w:tcPr>
            <w:tcW w:w="2061"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6C16D7" w:rsidRDefault="00742BAF" w:rsidP="00000465">
            <w:pPr>
              <w:pStyle w:val="naisf"/>
              <w:spacing w:before="0" w:after="0"/>
              <w:jc w:val="center"/>
              <w:rPr>
                <w:b/>
                <w:i/>
                <w:sz w:val="26"/>
                <w:szCs w:val="26"/>
              </w:rPr>
            </w:pPr>
            <w:r w:rsidRPr="006C16D7">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6C16D7">
                <w:rPr>
                  <w:sz w:val="26"/>
                  <w:szCs w:val="26"/>
                </w:rPr>
                <w:t>. latu</w:t>
              </w:r>
            </w:smartTag>
            <w:r w:rsidRPr="006C16D7">
              <w:rPr>
                <w:sz w:val="26"/>
                <w:szCs w:val="26"/>
              </w:rPr>
              <w:t>)</w:t>
            </w:r>
          </w:p>
        </w:tc>
      </w:tr>
      <w:tr w:rsidR="00742BAF" w:rsidRPr="006C16D7" w:rsidTr="00511C7D">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6C16D7" w:rsidRDefault="00742BAF" w:rsidP="00000465">
            <w:pPr>
              <w:rPr>
                <w:rFonts w:eastAsia="Times New Roman"/>
                <w:b/>
                <w:sz w:val="26"/>
                <w:szCs w:val="26"/>
                <w:lang w:val="lv-LV" w:eastAsia="lv-LV"/>
              </w:rPr>
            </w:pPr>
          </w:p>
        </w:tc>
        <w:tc>
          <w:tcPr>
            <w:tcW w:w="0" w:type="auto"/>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6C16D7" w:rsidRDefault="00742BAF" w:rsidP="00000465">
            <w:pPr>
              <w:rPr>
                <w:rFonts w:eastAsia="Times New Roman"/>
                <w:b/>
                <w:sz w:val="26"/>
                <w:szCs w:val="26"/>
                <w:lang w:val="lv-LV" w:eastAsia="lv-LV"/>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
                <w:i/>
                <w:sz w:val="26"/>
                <w:szCs w:val="26"/>
              </w:rPr>
            </w:pPr>
            <w:r w:rsidRPr="006C16D7">
              <w:rPr>
                <w:b/>
                <w:bCs/>
                <w:sz w:val="26"/>
                <w:szCs w:val="26"/>
              </w:rPr>
              <w:t>2014.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rPr>
                <w:b/>
                <w:i/>
                <w:sz w:val="26"/>
                <w:szCs w:val="26"/>
              </w:rPr>
            </w:pPr>
            <w:r w:rsidRPr="006C16D7">
              <w:rPr>
                <w:b/>
                <w:bCs/>
                <w:sz w:val="26"/>
                <w:szCs w:val="26"/>
              </w:rPr>
              <w:t>2015.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
                <w:i/>
                <w:sz w:val="26"/>
                <w:szCs w:val="26"/>
              </w:rPr>
            </w:pPr>
            <w:r w:rsidRPr="006C16D7">
              <w:rPr>
                <w:b/>
                <w:bCs/>
                <w:sz w:val="26"/>
                <w:szCs w:val="26"/>
              </w:rPr>
              <w:t>2016.</w:t>
            </w:r>
          </w:p>
        </w:tc>
      </w:tr>
      <w:tr w:rsidR="00742BAF" w:rsidRPr="006C16D7" w:rsidTr="00511C7D">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6C16D7" w:rsidRDefault="00742BAF" w:rsidP="00000465">
            <w:pPr>
              <w:rPr>
                <w:rFonts w:eastAsia="Times New Roman"/>
                <w:b/>
                <w:sz w:val="26"/>
                <w:szCs w:val="26"/>
                <w:lang w:val="lv-LV" w:eastAsia="lv-LV"/>
              </w:rPr>
            </w:pP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D4557C">
            <w:pPr>
              <w:pStyle w:val="naisf"/>
              <w:spacing w:before="0" w:after="0"/>
              <w:ind w:firstLine="0"/>
              <w:jc w:val="center"/>
              <w:rPr>
                <w:b/>
                <w:i/>
                <w:sz w:val="26"/>
                <w:szCs w:val="26"/>
              </w:rPr>
            </w:pPr>
            <w:r w:rsidRPr="006C16D7">
              <w:rPr>
                <w:sz w:val="26"/>
                <w:szCs w:val="26"/>
              </w:rPr>
              <w:t>Saskaņā ar valsts budžetu kārtējam gadam</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D4557C">
            <w:pPr>
              <w:pStyle w:val="naisf"/>
              <w:spacing w:before="0" w:after="0"/>
              <w:ind w:firstLine="0"/>
              <w:jc w:val="center"/>
              <w:rPr>
                <w:b/>
                <w:i/>
                <w:sz w:val="26"/>
                <w:szCs w:val="26"/>
              </w:rPr>
            </w:pPr>
            <w:r w:rsidRPr="006C16D7">
              <w:rPr>
                <w:sz w:val="26"/>
                <w:szCs w:val="26"/>
              </w:rPr>
              <w:t>Izmaiņas kārtējā gadā, salīdzinot ar budžetu kārtējam gadam</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D4557C">
            <w:pPr>
              <w:pStyle w:val="naisf"/>
              <w:spacing w:before="0" w:after="0"/>
              <w:ind w:firstLine="0"/>
              <w:jc w:val="center"/>
              <w:rPr>
                <w:b/>
                <w:i/>
                <w:sz w:val="26"/>
                <w:szCs w:val="26"/>
              </w:rPr>
            </w:pPr>
            <w:r w:rsidRPr="006C16D7">
              <w:rPr>
                <w:sz w:val="26"/>
                <w:szCs w:val="26"/>
              </w:rPr>
              <w:t>Izmaiņas, salīdzinot ar kārtējo (n) gadu</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D4557C">
            <w:pPr>
              <w:pStyle w:val="naisf"/>
              <w:spacing w:before="0" w:after="0"/>
              <w:ind w:firstLine="0"/>
              <w:jc w:val="center"/>
              <w:rPr>
                <w:b/>
                <w:i/>
                <w:sz w:val="26"/>
                <w:szCs w:val="26"/>
              </w:rPr>
            </w:pPr>
            <w:r w:rsidRPr="006C16D7">
              <w:rPr>
                <w:sz w:val="26"/>
                <w:szCs w:val="26"/>
              </w:rPr>
              <w:t>Izmaiņas, salīdzinot ar kārtējo (n) gadu</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D4557C">
            <w:pPr>
              <w:pStyle w:val="naisf"/>
              <w:spacing w:before="0" w:after="0"/>
              <w:ind w:firstLine="0"/>
              <w:jc w:val="center"/>
              <w:rPr>
                <w:b/>
                <w:i/>
                <w:sz w:val="26"/>
                <w:szCs w:val="26"/>
              </w:rPr>
            </w:pPr>
            <w:r w:rsidRPr="006C16D7">
              <w:rPr>
                <w:sz w:val="26"/>
                <w:szCs w:val="26"/>
              </w:rPr>
              <w:t>Izmaiņas, salīdzinot ar kārtējo (n) gadu</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Cs/>
                <w:sz w:val="26"/>
                <w:szCs w:val="26"/>
              </w:rPr>
            </w:pPr>
            <w:r w:rsidRPr="006C16D7">
              <w:rPr>
                <w:bCs/>
                <w:sz w:val="26"/>
                <w:szCs w:val="26"/>
              </w:rPr>
              <w:t>1</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Cs/>
                <w:sz w:val="26"/>
                <w:szCs w:val="26"/>
              </w:rPr>
            </w:pPr>
            <w:r w:rsidRPr="006C16D7">
              <w:rPr>
                <w:bCs/>
                <w:sz w:val="26"/>
                <w:szCs w:val="26"/>
              </w:rPr>
              <w:t>2</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Cs/>
                <w:sz w:val="26"/>
                <w:szCs w:val="26"/>
              </w:rPr>
            </w:pPr>
            <w:r w:rsidRPr="006C16D7">
              <w:rPr>
                <w:bCs/>
                <w:sz w:val="26"/>
                <w:szCs w:val="26"/>
              </w:rPr>
              <w:t>3</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Cs/>
                <w:sz w:val="26"/>
                <w:szCs w:val="26"/>
              </w:rPr>
            </w:pPr>
            <w:r w:rsidRPr="006C16D7">
              <w:rPr>
                <w:bCs/>
                <w:sz w:val="26"/>
                <w:szCs w:val="26"/>
              </w:rPr>
              <w:t>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Cs/>
                <w:sz w:val="26"/>
                <w:szCs w:val="26"/>
              </w:rPr>
            </w:pPr>
            <w:r w:rsidRPr="006C16D7">
              <w:rPr>
                <w:bCs/>
                <w:sz w:val="26"/>
                <w:szCs w:val="26"/>
              </w:rPr>
              <w:t>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pStyle w:val="naisf"/>
              <w:spacing w:before="0" w:after="0"/>
              <w:jc w:val="center"/>
              <w:rPr>
                <w:bCs/>
                <w:sz w:val="26"/>
                <w:szCs w:val="26"/>
              </w:rPr>
            </w:pPr>
            <w:r w:rsidRPr="006C16D7">
              <w:rPr>
                <w:bCs/>
                <w:sz w:val="26"/>
                <w:szCs w:val="26"/>
              </w:rPr>
              <w:t>6</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i/>
                <w:sz w:val="26"/>
                <w:szCs w:val="26"/>
              </w:rPr>
            </w:pPr>
            <w:r w:rsidRPr="006C16D7">
              <w:rPr>
                <w:sz w:val="26"/>
                <w:szCs w:val="26"/>
              </w:rPr>
              <w:t>1. Budžeta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i/>
                <w:sz w:val="26"/>
                <w:szCs w:val="26"/>
              </w:rPr>
            </w:pPr>
            <w:r w:rsidRPr="006C16D7">
              <w:rPr>
                <w:sz w:val="26"/>
                <w:szCs w:val="26"/>
              </w:rPr>
              <w:t>1.1. valsts pamatbudžets, tai skaitā ieņēmumi no maksas pakalpojumiem un citi pašu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i/>
                <w:sz w:val="26"/>
                <w:szCs w:val="26"/>
              </w:rPr>
            </w:pPr>
            <w:r w:rsidRPr="006C16D7">
              <w:rPr>
                <w:sz w:val="26"/>
                <w:szCs w:val="26"/>
              </w:rPr>
              <w:t>1.2.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i/>
                <w:sz w:val="26"/>
                <w:szCs w:val="26"/>
              </w:rPr>
            </w:pPr>
            <w:r w:rsidRPr="006C16D7">
              <w:rPr>
                <w:sz w:val="26"/>
                <w:szCs w:val="26"/>
              </w:rPr>
              <w:t>1.3. pašvaldību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2. Budžeta izdevumi: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lastRenderedPageBreak/>
              <w:t>2.1.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2.2.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 xml:space="preserve">2.3.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3. Finansiālā ietekme:</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6C16D7" w:rsidRDefault="00742BAF" w:rsidP="00000465">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3.1.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i/>
                <w:sz w:val="26"/>
                <w:szCs w:val="26"/>
              </w:rPr>
            </w:pPr>
            <w:r w:rsidRPr="006C16D7">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D4557C" w:rsidRDefault="00742BAF" w:rsidP="00D4557C">
            <w:pPr>
              <w:jc w:val="center"/>
              <w:rPr>
                <w:sz w:val="26"/>
                <w:szCs w:val="26"/>
                <w:vertAlign w:val="subscript"/>
                <w:lang w:val="lv-LV"/>
              </w:rPr>
            </w:pPr>
            <w:r w:rsidRPr="00D4557C">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D4557C">
            <w:pPr>
              <w:pStyle w:val="naisf"/>
              <w:spacing w:before="0" w:after="0"/>
              <w:ind w:firstLine="0"/>
              <w:jc w:val="center"/>
              <w:rPr>
                <w:sz w:val="26"/>
                <w:szCs w:val="26"/>
              </w:rPr>
            </w:pPr>
            <w:r w:rsidRPr="006C16D7">
              <w:rPr>
                <w:sz w:val="26"/>
                <w:szCs w:val="26"/>
              </w:rPr>
              <w:t>Nav attiecināms</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3.2.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 xml:space="preserve">3.3.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i/>
                <w:sz w:val="26"/>
                <w:szCs w:val="26"/>
              </w:rPr>
            </w:pPr>
          </w:p>
        </w:tc>
      </w:tr>
      <w:tr w:rsidR="00742BAF" w:rsidRPr="006C16D7" w:rsidTr="00511C7D">
        <w:tc>
          <w:tcPr>
            <w:tcW w:w="1440"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4. Finanšu līdzekļi papildu izde</w:t>
            </w:r>
            <w:r w:rsidRPr="006C16D7">
              <w:rPr>
                <w:sz w:val="26"/>
                <w:szCs w:val="26"/>
                <w:lang w:val="lv-LV"/>
              </w:rPr>
              <w:softHyphen/>
              <w:t>vumu finansēšanai (kompensējošu izdevumu samazinājumu norāda ar "+" zīmi)</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6C16D7" w:rsidRDefault="00742BAF" w:rsidP="00000465">
            <w:pPr>
              <w:pStyle w:val="naisf"/>
              <w:spacing w:before="0" w:after="0"/>
              <w:jc w:val="left"/>
              <w:rPr>
                <w:sz w:val="26"/>
                <w:szCs w:val="26"/>
              </w:rPr>
            </w:pPr>
            <w:r w:rsidRPr="006C16D7">
              <w:rPr>
                <w:sz w:val="26"/>
                <w:szCs w:val="26"/>
              </w:rPr>
              <w:t>X</w:t>
            </w:r>
          </w:p>
          <w:p w:rsidR="00742BAF" w:rsidRPr="00D4557C" w:rsidRDefault="00742BAF" w:rsidP="00000465">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r>
      <w:tr w:rsidR="00742BAF" w:rsidRPr="006C16D7" w:rsidTr="00511C7D">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D4557C" w:rsidRDefault="00742BAF" w:rsidP="00000465">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r>
      <w:tr w:rsidR="00742BAF" w:rsidRPr="006C16D7" w:rsidTr="00511C7D">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D4557C" w:rsidRDefault="00742BAF" w:rsidP="00000465">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jc w:val="left"/>
              <w:rPr>
                <w:b/>
                <w:sz w:val="26"/>
                <w:szCs w:val="26"/>
              </w:rPr>
            </w:pPr>
            <w:r w:rsidRPr="006C16D7">
              <w:rPr>
                <w:sz w:val="26"/>
                <w:szCs w:val="26"/>
              </w:rPr>
              <w:t>Nav attiecināms</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5. Precizēta finansiālā ietekme:</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6C16D7" w:rsidRDefault="00742BAF" w:rsidP="00000465">
            <w:pPr>
              <w:pStyle w:val="naisf"/>
              <w:spacing w:before="0" w:after="0"/>
              <w:jc w:val="left"/>
              <w:rPr>
                <w:sz w:val="26"/>
                <w:szCs w:val="26"/>
              </w:rPr>
            </w:pPr>
            <w:r w:rsidRPr="006C16D7">
              <w:rPr>
                <w:sz w:val="26"/>
                <w:szCs w:val="26"/>
              </w:rPr>
              <w:t>X</w:t>
            </w:r>
          </w:p>
          <w:p w:rsidR="00742BAF" w:rsidRPr="006C16D7" w:rsidRDefault="00742BAF" w:rsidP="00000465">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5.1. valsts pamatbudžets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rPr>
                <w:sz w:val="26"/>
                <w:szCs w:val="26"/>
                <w:vertAlign w:val="subscript"/>
                <w:lang w:val="lv-LV"/>
              </w:rPr>
            </w:pPr>
            <w:r w:rsidRPr="006C16D7">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sz w:val="26"/>
                <w:szCs w:val="26"/>
              </w:rPr>
            </w:pPr>
            <w:r w:rsidRPr="006C16D7">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sz w:val="26"/>
                <w:szCs w:val="26"/>
              </w:rPr>
            </w:pPr>
            <w:r w:rsidRPr="006C16D7">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pStyle w:val="naisf"/>
              <w:spacing w:before="0" w:after="0"/>
              <w:rPr>
                <w:sz w:val="26"/>
                <w:szCs w:val="26"/>
              </w:rPr>
            </w:pPr>
            <w:r w:rsidRPr="006C16D7">
              <w:rPr>
                <w:sz w:val="26"/>
                <w:szCs w:val="26"/>
              </w:rPr>
              <w:t>Nav attiecināms</w:t>
            </w: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5.2. speciālais 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r>
      <w:tr w:rsidR="00742BAF" w:rsidRPr="006C16D7"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6C16D7" w:rsidRDefault="00742BAF" w:rsidP="00000465">
            <w:pPr>
              <w:jc w:val="both"/>
              <w:rPr>
                <w:sz w:val="26"/>
                <w:szCs w:val="26"/>
                <w:lang w:val="lv-LV"/>
              </w:rPr>
            </w:pPr>
            <w:r w:rsidRPr="006C16D7">
              <w:rPr>
                <w:sz w:val="26"/>
                <w:szCs w:val="26"/>
                <w:lang w:val="lv-LV"/>
              </w:rPr>
              <w:t xml:space="preserve">5.3. pašvaldību budžets </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6C16D7" w:rsidRDefault="00742BAF" w:rsidP="00000465">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6C16D7" w:rsidRDefault="00742BAF" w:rsidP="00000465">
            <w:pPr>
              <w:pStyle w:val="naisf"/>
              <w:spacing w:before="0" w:after="0"/>
              <w:rPr>
                <w:b/>
                <w:sz w:val="26"/>
                <w:szCs w:val="26"/>
              </w:rPr>
            </w:pPr>
          </w:p>
        </w:tc>
      </w:tr>
      <w:tr w:rsidR="00742BAF" w:rsidRPr="006C16D7"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6C16D7" w:rsidRDefault="00742BAF" w:rsidP="00000465">
            <w:pPr>
              <w:jc w:val="both"/>
              <w:rPr>
                <w:sz w:val="26"/>
                <w:szCs w:val="26"/>
                <w:lang w:val="lv-LV"/>
              </w:rPr>
            </w:pPr>
            <w:r w:rsidRPr="006C16D7">
              <w:rPr>
                <w:sz w:val="26"/>
                <w:szCs w:val="26"/>
                <w:lang w:val="lv-LV"/>
              </w:rPr>
              <w:t xml:space="preserve">6. Detalizēts ieņēmumu un </w:t>
            </w:r>
            <w:r w:rsidRPr="006C16D7">
              <w:rPr>
                <w:sz w:val="26"/>
                <w:szCs w:val="26"/>
                <w:lang w:val="lv-LV"/>
              </w:rPr>
              <w:lastRenderedPageBreak/>
              <w:t>izdevu</w:t>
            </w:r>
            <w:r w:rsidRPr="006C16D7">
              <w:rPr>
                <w:sz w:val="26"/>
                <w:szCs w:val="26"/>
                <w:lang w:val="lv-LV"/>
              </w:rPr>
              <w:softHyphen/>
              <w:t>mu aprēķins (ja nepieciešams, detalizētu ieņēmumu un izdevumu aprēķinu var pievienot anotācijas pielikumā):</w:t>
            </w:r>
          </w:p>
        </w:tc>
        <w:tc>
          <w:tcPr>
            <w:tcW w:w="3520"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742BAF" w:rsidRPr="006C16D7" w:rsidRDefault="00742BAF" w:rsidP="00000465">
            <w:pPr>
              <w:ind w:firstLine="451"/>
              <w:jc w:val="both"/>
              <w:rPr>
                <w:sz w:val="26"/>
                <w:szCs w:val="26"/>
                <w:lang w:val="lv-LV"/>
              </w:rPr>
            </w:pPr>
          </w:p>
        </w:tc>
      </w:tr>
      <w:tr w:rsidR="00742BAF" w:rsidRPr="006C16D7"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6C16D7" w:rsidRDefault="00742BAF" w:rsidP="00000465">
            <w:pPr>
              <w:jc w:val="both"/>
              <w:rPr>
                <w:sz w:val="26"/>
                <w:szCs w:val="26"/>
                <w:lang w:val="lv-LV"/>
              </w:rPr>
            </w:pPr>
            <w:r w:rsidRPr="006C16D7">
              <w:rPr>
                <w:sz w:val="26"/>
                <w:szCs w:val="26"/>
                <w:lang w:val="lv-LV"/>
              </w:rPr>
              <w:lastRenderedPageBreak/>
              <w:t>6.1. detalizēts ieņēmumu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6C16D7" w:rsidRDefault="00742BAF" w:rsidP="00000465">
            <w:pPr>
              <w:rPr>
                <w:sz w:val="26"/>
                <w:szCs w:val="26"/>
                <w:lang w:val="lv-LV"/>
              </w:rPr>
            </w:pPr>
          </w:p>
        </w:tc>
      </w:tr>
      <w:tr w:rsidR="00742BAF" w:rsidRPr="006C16D7" w:rsidTr="00742BAF">
        <w:trPr>
          <w:trHeight w:val="585"/>
        </w:trPr>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6C16D7" w:rsidRDefault="00742BAF" w:rsidP="00000465">
            <w:pPr>
              <w:jc w:val="both"/>
              <w:rPr>
                <w:sz w:val="26"/>
                <w:szCs w:val="26"/>
                <w:lang w:val="lv-LV"/>
              </w:rPr>
            </w:pPr>
            <w:r w:rsidRPr="006C16D7">
              <w:rPr>
                <w:sz w:val="26"/>
                <w:szCs w:val="26"/>
                <w:lang w:val="lv-LV"/>
              </w:rPr>
              <w:t>6.2. detalizēts izdevumu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6C16D7" w:rsidRDefault="00742BAF" w:rsidP="00000465">
            <w:pPr>
              <w:rPr>
                <w:sz w:val="26"/>
                <w:szCs w:val="26"/>
                <w:lang w:val="lv-LV"/>
              </w:rPr>
            </w:pPr>
          </w:p>
        </w:tc>
      </w:tr>
      <w:tr w:rsidR="00742BAF" w:rsidRPr="00734289"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6C16D7" w:rsidRDefault="00742BAF" w:rsidP="00000465">
            <w:pPr>
              <w:jc w:val="both"/>
              <w:rPr>
                <w:sz w:val="26"/>
                <w:szCs w:val="26"/>
                <w:lang w:val="lv-LV"/>
              </w:rPr>
            </w:pPr>
            <w:r w:rsidRPr="006C16D7">
              <w:rPr>
                <w:sz w:val="26"/>
                <w:szCs w:val="26"/>
                <w:lang w:val="lv-LV"/>
              </w:rPr>
              <w:t>7. Cita informācija</w:t>
            </w:r>
          </w:p>
        </w:tc>
        <w:tc>
          <w:tcPr>
            <w:tcW w:w="3520"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6C16D7" w:rsidRDefault="00742BAF" w:rsidP="00000465">
            <w:pPr>
              <w:jc w:val="both"/>
              <w:rPr>
                <w:bCs/>
                <w:color w:val="000000"/>
                <w:sz w:val="26"/>
                <w:szCs w:val="26"/>
                <w:lang w:val="lv-LV"/>
              </w:rPr>
            </w:pPr>
            <w:r w:rsidRPr="006C16D7">
              <w:rPr>
                <w:bCs/>
                <w:color w:val="000000"/>
                <w:sz w:val="26"/>
                <w:szCs w:val="26"/>
                <w:lang w:val="lv-LV"/>
              </w:rPr>
              <w:t xml:space="preserve">Grozījumu ietekmi saistībā ar pāreju uz </w:t>
            </w:r>
            <w:r w:rsidRPr="006C16D7">
              <w:rPr>
                <w:bCs/>
                <w:i/>
                <w:color w:val="000000"/>
                <w:sz w:val="26"/>
                <w:szCs w:val="26"/>
                <w:lang w:val="lv-LV"/>
              </w:rPr>
              <w:t>euro</w:t>
            </w:r>
            <w:r w:rsidRPr="006C16D7">
              <w:rPr>
                <w:bCs/>
                <w:color w:val="000000"/>
                <w:sz w:val="26"/>
                <w:szCs w:val="26"/>
                <w:lang w:val="lv-LV"/>
              </w:rPr>
              <w:t xml:space="preserve"> (iespējamo ieņēmumu samazinājumu vai izdevumu palielinājumu) iespējams segt, nemainot attiecīgajās budžeta programmās vai apakšprogrammās finansējuma sadalījumu pa ieņēmumu, izdevumu vai finansēšanas klasifikācijas kodiem. </w:t>
            </w:r>
          </w:p>
        </w:tc>
      </w:tr>
    </w:tbl>
    <w:p w:rsidR="00742BAF" w:rsidRPr="006C16D7" w:rsidRDefault="00742BAF" w:rsidP="00C9779A">
      <w:pPr>
        <w:rPr>
          <w:sz w:val="26"/>
          <w:szCs w:val="26"/>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C9779A" w:rsidRPr="006C16D7" w:rsidTr="0034794E">
        <w:trPr>
          <w:tblCellSpacing w:w="0" w:type="dxa"/>
        </w:trPr>
        <w:tc>
          <w:tcPr>
            <w:tcW w:w="9191" w:type="dxa"/>
            <w:gridSpan w:val="3"/>
            <w:hideMark/>
          </w:tcPr>
          <w:p w:rsidR="00C9779A" w:rsidRPr="006C16D7" w:rsidRDefault="00C9779A" w:rsidP="0034794E">
            <w:pPr>
              <w:ind w:firstLine="709"/>
              <w:jc w:val="both"/>
              <w:rPr>
                <w:rFonts w:eastAsia="Times New Roman"/>
                <w:b/>
                <w:bCs/>
                <w:sz w:val="26"/>
                <w:szCs w:val="26"/>
                <w:lang w:val="lv-LV" w:eastAsia="lv-LV"/>
              </w:rPr>
            </w:pPr>
            <w:r w:rsidRPr="006C16D7">
              <w:rPr>
                <w:rFonts w:eastAsia="Times New Roman"/>
                <w:b/>
                <w:bCs/>
                <w:sz w:val="26"/>
                <w:szCs w:val="26"/>
                <w:lang w:val="lv-LV" w:eastAsia="lv-LV"/>
              </w:rPr>
              <w:t> V. Tiesību akta projekta atbilstība Latvijas Republikas starptautiskajām saistībām</w:t>
            </w:r>
          </w:p>
        </w:tc>
      </w:tr>
      <w:tr w:rsidR="00C9779A" w:rsidRPr="00734289" w:rsidTr="005631C8">
        <w:trPr>
          <w:tblCellSpacing w:w="0" w:type="dxa"/>
        </w:trPr>
        <w:tc>
          <w:tcPr>
            <w:tcW w:w="400"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1.</w:t>
            </w:r>
          </w:p>
        </w:tc>
        <w:tc>
          <w:tcPr>
            <w:tcW w:w="1645"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Saistības pret Eiropas Savienību</w:t>
            </w:r>
          </w:p>
        </w:tc>
        <w:tc>
          <w:tcPr>
            <w:tcW w:w="7146" w:type="dxa"/>
            <w:hideMark/>
          </w:tcPr>
          <w:p w:rsidR="00B84C4B" w:rsidRPr="006C16D7" w:rsidRDefault="00C9779A" w:rsidP="00926CC7">
            <w:pPr>
              <w:jc w:val="both"/>
              <w:rPr>
                <w:rFonts w:eastAsia="Times New Roman"/>
                <w:sz w:val="26"/>
                <w:szCs w:val="26"/>
                <w:lang w:val="lv-LV" w:eastAsia="lv-LV"/>
              </w:rPr>
            </w:pPr>
            <w:r w:rsidRPr="006C16D7">
              <w:rPr>
                <w:rFonts w:eastAsia="Times New Roman"/>
                <w:sz w:val="26"/>
                <w:szCs w:val="26"/>
                <w:lang w:val="lv-LV" w:eastAsia="lv-LV"/>
              </w:rPr>
              <w:t>Ar tiesību</w:t>
            </w:r>
            <w:r w:rsidR="002954D4" w:rsidRPr="006C16D7">
              <w:rPr>
                <w:rFonts w:eastAsia="Times New Roman"/>
                <w:sz w:val="26"/>
                <w:szCs w:val="26"/>
                <w:lang w:val="lv-LV" w:eastAsia="lv-LV"/>
              </w:rPr>
              <w:t xml:space="preserve"> akta projektu </w:t>
            </w:r>
            <w:r w:rsidR="00742BAF" w:rsidRPr="006C16D7">
              <w:rPr>
                <w:rFonts w:eastAsia="Times New Roman"/>
                <w:sz w:val="26"/>
                <w:szCs w:val="26"/>
                <w:lang w:val="lv-LV" w:eastAsia="lv-LV"/>
              </w:rPr>
              <w:t>tiek ieviesta</w:t>
            </w:r>
            <w:r w:rsidR="00926CC7" w:rsidRPr="006C16D7">
              <w:rPr>
                <w:rFonts w:eastAsia="Times New Roman"/>
                <w:sz w:val="26"/>
                <w:szCs w:val="26"/>
                <w:lang w:val="lv-LV" w:eastAsia="lv-LV"/>
              </w:rPr>
              <w:t xml:space="preserve"> </w:t>
            </w:r>
            <w:r w:rsidR="00E234CB" w:rsidRPr="00D4557C">
              <w:rPr>
                <w:sz w:val="26"/>
                <w:szCs w:val="26"/>
                <w:lang w:val="lv-LV"/>
              </w:rPr>
              <w:t>Komisijas 2008.gada 6.augusta Regula (EK) Nr.800/2008, kas atzīst noteiktas atbalsta kategorijas par saderīgām ar kopējo tirgu, piemērojot Līguma 87. un 88.pantu (vispārējā grupu atbrīvojuma regula) (Eiropas Savienības Oficiālais Vēstnesis, 2008.gada 9.augusts, Nr.L 214).</w:t>
            </w:r>
          </w:p>
        </w:tc>
      </w:tr>
      <w:tr w:rsidR="00C9779A" w:rsidRPr="006C16D7" w:rsidTr="005631C8">
        <w:trPr>
          <w:tblCellSpacing w:w="0" w:type="dxa"/>
        </w:trPr>
        <w:tc>
          <w:tcPr>
            <w:tcW w:w="400"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2.</w:t>
            </w:r>
          </w:p>
        </w:tc>
        <w:tc>
          <w:tcPr>
            <w:tcW w:w="1645"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Citas starptautiskās saistības</w:t>
            </w:r>
          </w:p>
        </w:tc>
        <w:tc>
          <w:tcPr>
            <w:tcW w:w="7146" w:type="dxa"/>
            <w:hideMark/>
          </w:tcPr>
          <w:p w:rsidR="00C9779A" w:rsidRPr="006C16D7" w:rsidRDefault="00C9779A" w:rsidP="00742BAF">
            <w:pPr>
              <w:rPr>
                <w:rFonts w:eastAsia="Times New Roman"/>
                <w:sz w:val="26"/>
                <w:szCs w:val="26"/>
                <w:lang w:val="lv-LV" w:eastAsia="lv-LV"/>
              </w:rPr>
            </w:pPr>
            <w:r w:rsidRPr="006C16D7">
              <w:rPr>
                <w:sz w:val="26"/>
                <w:szCs w:val="26"/>
                <w:lang w:val="lv-LV"/>
              </w:rPr>
              <w:t>Projekts šo jomu neskar.</w:t>
            </w:r>
          </w:p>
        </w:tc>
      </w:tr>
      <w:tr w:rsidR="00C9779A" w:rsidRPr="006C16D7" w:rsidTr="005631C8">
        <w:trPr>
          <w:tblCellSpacing w:w="0" w:type="dxa"/>
        </w:trPr>
        <w:tc>
          <w:tcPr>
            <w:tcW w:w="400"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3.</w:t>
            </w:r>
          </w:p>
        </w:tc>
        <w:tc>
          <w:tcPr>
            <w:tcW w:w="1645" w:type="dxa"/>
            <w:hideMark/>
          </w:tcPr>
          <w:p w:rsidR="00C9779A" w:rsidRPr="006C16D7" w:rsidRDefault="00C9779A" w:rsidP="0034794E">
            <w:pPr>
              <w:rPr>
                <w:sz w:val="26"/>
                <w:szCs w:val="26"/>
                <w:lang w:val="lv-LV"/>
              </w:rPr>
            </w:pPr>
            <w:r w:rsidRPr="006C16D7">
              <w:rPr>
                <w:sz w:val="26"/>
                <w:szCs w:val="26"/>
                <w:lang w:val="lv-LV"/>
              </w:rPr>
              <w:t> Cita informācija</w:t>
            </w:r>
          </w:p>
        </w:tc>
        <w:tc>
          <w:tcPr>
            <w:tcW w:w="7146" w:type="dxa"/>
            <w:hideMark/>
          </w:tcPr>
          <w:p w:rsidR="00B84C4B" w:rsidRPr="006C16D7" w:rsidRDefault="00FC5AC6" w:rsidP="00F20476">
            <w:pPr>
              <w:jc w:val="both"/>
              <w:rPr>
                <w:rFonts w:eastAsia="Times New Roman"/>
                <w:sz w:val="26"/>
                <w:szCs w:val="26"/>
                <w:lang w:val="lv-LV" w:eastAsia="lv-LV"/>
              </w:rPr>
            </w:pPr>
            <w:r w:rsidRPr="006C16D7">
              <w:rPr>
                <w:sz w:val="26"/>
                <w:szCs w:val="26"/>
                <w:lang w:val="lv-LV"/>
              </w:rPr>
              <w:t>Projekts šo jomu neskar.</w:t>
            </w:r>
          </w:p>
        </w:tc>
      </w:tr>
    </w:tbl>
    <w:p w:rsidR="00C9779A" w:rsidRPr="006C16D7" w:rsidRDefault="00C9779A" w:rsidP="00C9779A">
      <w:pPr>
        <w:ind w:firstLine="468"/>
        <w:jc w:val="both"/>
        <w:rPr>
          <w:rFonts w:eastAsia="Times New Roman"/>
          <w:sz w:val="26"/>
          <w:szCs w:val="26"/>
          <w:lang w:val="lv-LV" w:eastAsia="lv-LV"/>
        </w:rPr>
      </w:pPr>
      <w:r w:rsidRPr="006C16D7">
        <w:rPr>
          <w:rFonts w:eastAsia="Times New Roman"/>
          <w:sz w:val="26"/>
          <w:szCs w:val="26"/>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C9779A" w:rsidRPr="00734289" w:rsidTr="0034794E">
        <w:trPr>
          <w:trHeight w:val="525"/>
          <w:tblCellSpacing w:w="0" w:type="dxa"/>
        </w:trPr>
        <w:tc>
          <w:tcPr>
            <w:tcW w:w="9191" w:type="dxa"/>
            <w:gridSpan w:val="4"/>
            <w:vAlign w:val="center"/>
            <w:hideMark/>
          </w:tcPr>
          <w:p w:rsidR="00C9779A" w:rsidRPr="006C16D7" w:rsidRDefault="00C9779A" w:rsidP="0034794E">
            <w:pPr>
              <w:jc w:val="center"/>
              <w:rPr>
                <w:rFonts w:eastAsia="Times New Roman"/>
                <w:b/>
                <w:bCs/>
                <w:sz w:val="26"/>
                <w:szCs w:val="26"/>
                <w:lang w:val="lv-LV" w:eastAsia="lv-LV"/>
              </w:rPr>
            </w:pPr>
            <w:r w:rsidRPr="006C16D7">
              <w:rPr>
                <w:rFonts w:eastAsia="Times New Roman"/>
                <w:b/>
                <w:bCs/>
                <w:sz w:val="26"/>
                <w:szCs w:val="26"/>
                <w:lang w:val="lv-LV" w:eastAsia="lv-LV"/>
              </w:rPr>
              <w:t> 1.tabula</w:t>
            </w:r>
          </w:p>
          <w:p w:rsidR="00C9779A" w:rsidRPr="006C16D7" w:rsidRDefault="00C9779A" w:rsidP="0034794E">
            <w:pPr>
              <w:jc w:val="center"/>
              <w:rPr>
                <w:rFonts w:eastAsia="Times New Roman"/>
                <w:b/>
                <w:bCs/>
                <w:sz w:val="26"/>
                <w:szCs w:val="26"/>
                <w:lang w:val="lv-LV" w:eastAsia="lv-LV"/>
              </w:rPr>
            </w:pPr>
            <w:r w:rsidRPr="006C16D7">
              <w:rPr>
                <w:rFonts w:eastAsia="Times New Roman"/>
                <w:b/>
                <w:bCs/>
                <w:sz w:val="26"/>
                <w:szCs w:val="26"/>
                <w:lang w:val="lv-LV" w:eastAsia="lv-LV"/>
              </w:rPr>
              <w:t>Tiesību akta projekta atbilstība ES tiesību aktiem</w:t>
            </w:r>
          </w:p>
        </w:tc>
      </w:tr>
      <w:tr w:rsidR="00C9779A" w:rsidRPr="00734289" w:rsidTr="0034794E">
        <w:trPr>
          <w:trHeight w:val="1256"/>
          <w:tblCellSpacing w:w="0" w:type="dxa"/>
        </w:trPr>
        <w:tc>
          <w:tcPr>
            <w:tcW w:w="2003" w:type="dxa"/>
            <w:vAlign w:val="center"/>
            <w:hideMark/>
          </w:tcPr>
          <w:p w:rsidR="00C9779A" w:rsidRPr="006C16D7" w:rsidRDefault="00C9779A" w:rsidP="0034794E">
            <w:pPr>
              <w:jc w:val="center"/>
              <w:rPr>
                <w:rFonts w:eastAsia="Times New Roman"/>
                <w:sz w:val="26"/>
                <w:szCs w:val="26"/>
                <w:lang w:val="lv-LV" w:eastAsia="lv-LV"/>
              </w:rPr>
            </w:pPr>
            <w:r w:rsidRPr="006C16D7">
              <w:rPr>
                <w:rFonts w:eastAsia="Times New Roman"/>
                <w:sz w:val="26"/>
                <w:szCs w:val="26"/>
                <w:lang w:val="lv-LV" w:eastAsia="lv-LV"/>
              </w:rPr>
              <w:t> Attiecīgā ES tiesību akta datums, numurs un nosaukums</w:t>
            </w:r>
          </w:p>
        </w:tc>
        <w:tc>
          <w:tcPr>
            <w:tcW w:w="7188" w:type="dxa"/>
            <w:gridSpan w:val="3"/>
            <w:vAlign w:val="center"/>
            <w:hideMark/>
          </w:tcPr>
          <w:p w:rsidR="00FC5AC6" w:rsidRPr="006C16D7" w:rsidRDefault="005631C8" w:rsidP="00926CC7">
            <w:pPr>
              <w:jc w:val="both"/>
              <w:rPr>
                <w:rFonts w:eastAsia="Times New Roman"/>
                <w:sz w:val="26"/>
                <w:szCs w:val="26"/>
                <w:lang w:val="lv-LV" w:eastAsia="lv-LV"/>
              </w:rPr>
            </w:pPr>
            <w:r w:rsidRPr="006C16D7">
              <w:rPr>
                <w:rFonts w:eastAsia="Times New Roman"/>
                <w:sz w:val="26"/>
                <w:szCs w:val="26"/>
                <w:lang w:val="lv-LV" w:eastAsia="lv-LV"/>
              </w:rPr>
              <w:t xml:space="preserve">Ar normatīvo aktu tiek ieviestas </w:t>
            </w:r>
            <w:r w:rsidR="00E234CB" w:rsidRPr="00D4557C">
              <w:rPr>
                <w:sz w:val="26"/>
                <w:szCs w:val="26"/>
                <w:lang w:val="lv-LV"/>
              </w:rPr>
              <w:t>Komisijas 2008.gada 6.augusta Regulas (EK) Nr.800/2008, kas atzīst noteiktas atbalsta kategorijas par saderīgām ar kopējo tirgu, piemērojot Līguma 87. un 88.pantu (vispārējā grupu atbrīvojuma regula) (Eiropas Savienības Oficiālais Vēstnesis, 2008.gada 9.augusts, Nr.L 214) prasības.</w:t>
            </w:r>
          </w:p>
        </w:tc>
      </w:tr>
      <w:tr w:rsidR="00C9779A" w:rsidRPr="006C16D7" w:rsidTr="0034794E">
        <w:trPr>
          <w:trHeight w:val="166"/>
          <w:tblCellSpacing w:w="0" w:type="dxa"/>
        </w:trPr>
        <w:tc>
          <w:tcPr>
            <w:tcW w:w="2003" w:type="dxa"/>
            <w:vAlign w:val="center"/>
            <w:hideMark/>
          </w:tcPr>
          <w:p w:rsidR="00C9779A" w:rsidRPr="006C16D7" w:rsidRDefault="00C9779A" w:rsidP="0034794E">
            <w:pPr>
              <w:jc w:val="center"/>
              <w:rPr>
                <w:rFonts w:eastAsia="Times New Roman"/>
                <w:sz w:val="26"/>
                <w:szCs w:val="26"/>
                <w:lang w:val="lv-LV" w:eastAsia="lv-LV"/>
              </w:rPr>
            </w:pPr>
            <w:r w:rsidRPr="006C16D7">
              <w:rPr>
                <w:rFonts w:eastAsia="Times New Roman"/>
                <w:sz w:val="26"/>
                <w:szCs w:val="26"/>
                <w:lang w:val="lv-LV" w:eastAsia="lv-LV"/>
              </w:rPr>
              <w:lastRenderedPageBreak/>
              <w:t> A</w:t>
            </w:r>
          </w:p>
        </w:tc>
        <w:tc>
          <w:tcPr>
            <w:tcW w:w="2452" w:type="dxa"/>
            <w:vAlign w:val="center"/>
            <w:hideMark/>
          </w:tcPr>
          <w:p w:rsidR="00C9779A" w:rsidRPr="006C16D7" w:rsidRDefault="00C9779A" w:rsidP="0034794E">
            <w:pPr>
              <w:jc w:val="center"/>
              <w:rPr>
                <w:rFonts w:eastAsia="Times New Roman"/>
                <w:sz w:val="26"/>
                <w:szCs w:val="26"/>
                <w:lang w:val="lv-LV" w:eastAsia="lv-LV"/>
              </w:rPr>
            </w:pPr>
            <w:r w:rsidRPr="006C16D7">
              <w:rPr>
                <w:rFonts w:eastAsia="Times New Roman"/>
                <w:sz w:val="26"/>
                <w:szCs w:val="26"/>
                <w:lang w:val="lv-LV" w:eastAsia="lv-LV"/>
              </w:rPr>
              <w:t> B</w:t>
            </w:r>
          </w:p>
        </w:tc>
        <w:tc>
          <w:tcPr>
            <w:tcW w:w="2703" w:type="dxa"/>
            <w:vAlign w:val="center"/>
            <w:hideMark/>
          </w:tcPr>
          <w:p w:rsidR="00C9779A" w:rsidRPr="006C16D7" w:rsidRDefault="00C9779A" w:rsidP="0034794E">
            <w:pPr>
              <w:jc w:val="center"/>
              <w:rPr>
                <w:rFonts w:eastAsia="Times New Roman"/>
                <w:sz w:val="26"/>
                <w:szCs w:val="26"/>
                <w:lang w:val="lv-LV" w:eastAsia="lv-LV"/>
              </w:rPr>
            </w:pPr>
            <w:r w:rsidRPr="006C16D7">
              <w:rPr>
                <w:rFonts w:eastAsia="Times New Roman"/>
                <w:sz w:val="26"/>
                <w:szCs w:val="26"/>
                <w:lang w:val="lv-LV" w:eastAsia="lv-LV"/>
              </w:rPr>
              <w:t> C</w:t>
            </w:r>
          </w:p>
        </w:tc>
        <w:tc>
          <w:tcPr>
            <w:tcW w:w="2033" w:type="dxa"/>
            <w:vAlign w:val="center"/>
            <w:hideMark/>
          </w:tcPr>
          <w:p w:rsidR="00C9779A" w:rsidRPr="006C16D7" w:rsidRDefault="00C9779A" w:rsidP="0034794E">
            <w:pPr>
              <w:jc w:val="center"/>
              <w:rPr>
                <w:rFonts w:eastAsia="Times New Roman"/>
                <w:sz w:val="26"/>
                <w:szCs w:val="26"/>
                <w:lang w:val="lv-LV" w:eastAsia="lv-LV"/>
              </w:rPr>
            </w:pPr>
            <w:r w:rsidRPr="006C16D7">
              <w:rPr>
                <w:rFonts w:eastAsia="Times New Roman"/>
                <w:sz w:val="26"/>
                <w:szCs w:val="26"/>
                <w:lang w:val="lv-LV" w:eastAsia="lv-LV"/>
              </w:rPr>
              <w:t> D</w:t>
            </w:r>
          </w:p>
        </w:tc>
      </w:tr>
      <w:tr w:rsidR="00C9779A" w:rsidRPr="00734289" w:rsidTr="0034794E">
        <w:trPr>
          <w:trHeight w:val="2917"/>
          <w:tblCellSpacing w:w="0" w:type="dxa"/>
        </w:trPr>
        <w:tc>
          <w:tcPr>
            <w:tcW w:w="2003"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Attiecīgā ES tiesību akta panta numurs (uzskaitot katru tiesību akta</w:t>
            </w:r>
            <w:r w:rsidRPr="006C16D7">
              <w:rPr>
                <w:rFonts w:eastAsia="Times New Roman"/>
                <w:sz w:val="26"/>
                <w:szCs w:val="26"/>
                <w:lang w:val="lv-LV" w:eastAsia="lv-LV"/>
              </w:rPr>
              <w:br/>
              <w:t>vienību – pantu, daļu, punktu, apakšpunktu)</w:t>
            </w:r>
          </w:p>
        </w:tc>
        <w:tc>
          <w:tcPr>
            <w:tcW w:w="2452"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Projekta vienība, kas pārņem vai ievieš katru šīs tabulas A ailē minēto ES tiesību akta vienību</w:t>
            </w:r>
          </w:p>
        </w:tc>
        <w:tc>
          <w:tcPr>
            <w:tcW w:w="2703"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Informācija par to, vai šīs tabulas A ailē minētās ES tiesību akta vienības tiek pārņemtas vai ieviestas pilnībā vai daļēji.</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Ja attiecīgā ES tiesību akta vienība tiek pārņemta vai ieviesta daļēji, – sniedz attiecīgu skaidrojumu, kā arī precīzi norāda, kad un kādā veidā ES tiesību akta vienība tiks pārņemta vai ieviesta pilnībā.</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Norāda institūciju, kas ir atbildīga par šo saistību izpildi pilnībā</w:t>
            </w:r>
          </w:p>
        </w:tc>
        <w:tc>
          <w:tcPr>
            <w:tcW w:w="2033" w:type="dxa"/>
            <w:hideMark/>
          </w:tcPr>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Informācija par to, vai šīs tabulas B ailē minētās projekta vienības paredz stingrākas prasības nekā šīs tabulas A ailē minētās ES tiesību akta vienības.</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Ja projekts satur stingrākas prasības nekā attiecīgais ES tiesību akts, – norāda pamatojumu un samērīgumu.</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 </w:t>
            </w:r>
          </w:p>
          <w:p w:rsidR="00C9779A" w:rsidRPr="006C16D7" w:rsidRDefault="00C9779A" w:rsidP="0034794E">
            <w:pPr>
              <w:rPr>
                <w:rFonts w:eastAsia="Times New Roman"/>
                <w:sz w:val="26"/>
                <w:szCs w:val="26"/>
                <w:lang w:val="lv-LV" w:eastAsia="lv-LV"/>
              </w:rPr>
            </w:pPr>
            <w:r w:rsidRPr="006C16D7">
              <w:rPr>
                <w:rFonts w:eastAsia="Times New Roman"/>
                <w:sz w:val="26"/>
                <w:szCs w:val="26"/>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96D43" w:rsidRPr="006C16D7" w:rsidTr="002954D4">
        <w:trPr>
          <w:trHeight w:val="590"/>
          <w:tblCellSpacing w:w="0" w:type="dxa"/>
        </w:trPr>
        <w:tc>
          <w:tcPr>
            <w:tcW w:w="2003" w:type="dxa"/>
            <w:hideMark/>
          </w:tcPr>
          <w:p w:rsidR="00196D43" w:rsidRPr="00C2009A" w:rsidRDefault="00196D43" w:rsidP="00926CC7">
            <w:pPr>
              <w:jc w:val="both"/>
              <w:rPr>
                <w:rFonts w:eastAsia="Times New Roman"/>
                <w:i/>
                <w:sz w:val="26"/>
                <w:szCs w:val="26"/>
                <w:lang w:val="lv-LV" w:eastAsia="lv-LV"/>
              </w:rPr>
            </w:pPr>
            <w:r w:rsidRPr="00C2009A">
              <w:rPr>
                <w:i/>
                <w:sz w:val="26"/>
                <w:szCs w:val="26"/>
                <w:lang w:val="lv-LV"/>
              </w:rPr>
              <w:t xml:space="preserve">Regulas Nr. </w:t>
            </w:r>
            <w:r w:rsidR="00926CC7" w:rsidRPr="00C2009A">
              <w:rPr>
                <w:i/>
                <w:sz w:val="26"/>
                <w:szCs w:val="26"/>
                <w:lang w:val="lv-LV"/>
              </w:rPr>
              <w:t>800/2008 44</w:t>
            </w:r>
            <w:r w:rsidR="00742BAF" w:rsidRPr="00C2009A">
              <w:rPr>
                <w:i/>
                <w:sz w:val="26"/>
                <w:szCs w:val="26"/>
                <w:lang w:val="lv-LV"/>
              </w:rPr>
              <w:t>.panta 3</w:t>
            </w:r>
            <w:r w:rsidRPr="00C2009A">
              <w:rPr>
                <w:i/>
                <w:sz w:val="26"/>
                <w:szCs w:val="26"/>
                <w:lang w:val="lv-LV"/>
              </w:rPr>
              <w:t xml:space="preserve"> punkts</w:t>
            </w:r>
            <w:r w:rsidR="00901246" w:rsidRPr="00C2009A">
              <w:rPr>
                <w:rFonts w:eastAsia="Times New Roman"/>
                <w:i/>
                <w:sz w:val="26"/>
                <w:szCs w:val="26"/>
                <w:lang w:val="lv-LV" w:eastAsia="lv-LV"/>
              </w:rPr>
              <w:t>.</w:t>
            </w:r>
          </w:p>
        </w:tc>
        <w:tc>
          <w:tcPr>
            <w:tcW w:w="2452" w:type="dxa"/>
            <w:hideMark/>
          </w:tcPr>
          <w:p w:rsidR="00196D43" w:rsidRPr="006C16D7" w:rsidRDefault="00FC5AC6" w:rsidP="00D94B9B">
            <w:pPr>
              <w:jc w:val="both"/>
              <w:rPr>
                <w:rFonts w:eastAsia="Times New Roman"/>
                <w:i/>
                <w:sz w:val="26"/>
                <w:szCs w:val="26"/>
                <w:lang w:val="lv-LV"/>
              </w:rPr>
            </w:pPr>
            <w:r w:rsidRPr="006C16D7">
              <w:rPr>
                <w:rFonts w:eastAsia="Times New Roman"/>
                <w:i/>
                <w:sz w:val="26"/>
                <w:szCs w:val="26"/>
                <w:lang w:val="lv-LV"/>
              </w:rPr>
              <w:t xml:space="preserve">Noteikumu projekta 2.punkts (ar ko groza MK </w:t>
            </w:r>
            <w:r w:rsidR="00D562B8">
              <w:rPr>
                <w:rFonts w:eastAsia="Times New Roman"/>
                <w:i/>
                <w:sz w:val="26"/>
                <w:szCs w:val="26"/>
                <w:lang w:val="lv-LV"/>
              </w:rPr>
              <w:t>noteikumu Nr.238</w:t>
            </w:r>
            <w:r w:rsidRPr="006C16D7">
              <w:rPr>
                <w:rFonts w:eastAsia="Times New Roman"/>
                <w:i/>
                <w:sz w:val="26"/>
                <w:szCs w:val="26"/>
                <w:lang w:val="lv-LV"/>
              </w:rPr>
              <w:t xml:space="preserve"> </w:t>
            </w:r>
            <w:r w:rsidR="00D562B8">
              <w:rPr>
                <w:i/>
                <w:sz w:val="26"/>
                <w:szCs w:val="26"/>
                <w:lang w:val="lv-LV"/>
              </w:rPr>
              <w:t>40</w:t>
            </w:r>
            <w:r w:rsidRPr="00D4557C">
              <w:rPr>
                <w:i/>
                <w:sz w:val="26"/>
                <w:szCs w:val="26"/>
                <w:lang w:val="lv-LV"/>
              </w:rPr>
              <w:t>.punktu</w:t>
            </w:r>
            <w:r w:rsidR="009637AA" w:rsidRPr="00D4557C">
              <w:rPr>
                <w:i/>
                <w:sz w:val="26"/>
                <w:szCs w:val="26"/>
                <w:lang w:val="lv-LV"/>
              </w:rPr>
              <w:t>)</w:t>
            </w:r>
            <w:r w:rsidRPr="006C16D7">
              <w:rPr>
                <w:rFonts w:eastAsia="Times New Roman"/>
                <w:i/>
                <w:sz w:val="26"/>
                <w:szCs w:val="26"/>
                <w:lang w:val="lv-LV"/>
              </w:rPr>
              <w:t>.</w:t>
            </w:r>
          </w:p>
        </w:tc>
        <w:tc>
          <w:tcPr>
            <w:tcW w:w="2703" w:type="dxa"/>
            <w:hideMark/>
          </w:tcPr>
          <w:p w:rsidR="00196D43" w:rsidRPr="006C16D7" w:rsidRDefault="00196D43" w:rsidP="00D4557C">
            <w:pPr>
              <w:pStyle w:val="naisf"/>
              <w:spacing w:before="0" w:after="0"/>
              <w:ind w:firstLine="0"/>
              <w:rPr>
                <w:i/>
                <w:sz w:val="26"/>
                <w:szCs w:val="26"/>
              </w:rPr>
            </w:pPr>
            <w:r w:rsidRPr="006C16D7">
              <w:rPr>
                <w:i/>
                <w:sz w:val="26"/>
                <w:szCs w:val="26"/>
              </w:rPr>
              <w:t>ieviesta pilnībā</w:t>
            </w:r>
          </w:p>
        </w:tc>
        <w:tc>
          <w:tcPr>
            <w:tcW w:w="2033" w:type="dxa"/>
            <w:hideMark/>
          </w:tcPr>
          <w:p w:rsidR="00196D43" w:rsidRPr="006C16D7" w:rsidRDefault="00196D43" w:rsidP="00236989">
            <w:pPr>
              <w:pStyle w:val="naisf"/>
              <w:spacing w:before="0" w:after="0"/>
              <w:ind w:firstLine="0"/>
              <w:rPr>
                <w:i/>
                <w:sz w:val="26"/>
                <w:szCs w:val="26"/>
              </w:rPr>
            </w:pPr>
            <w:r w:rsidRPr="006C16D7">
              <w:rPr>
                <w:i/>
                <w:sz w:val="26"/>
                <w:szCs w:val="26"/>
              </w:rPr>
              <w:t>neparedz stingrākas prasības</w:t>
            </w:r>
          </w:p>
        </w:tc>
      </w:tr>
      <w:tr w:rsidR="009637AA" w:rsidRPr="006C16D7" w:rsidTr="0034794E">
        <w:trPr>
          <w:trHeight w:val="282"/>
          <w:tblCellSpacing w:w="0" w:type="dxa"/>
        </w:trPr>
        <w:tc>
          <w:tcPr>
            <w:tcW w:w="2003" w:type="dxa"/>
            <w:vAlign w:val="center"/>
            <w:hideMark/>
          </w:tcPr>
          <w:p w:rsidR="009637AA" w:rsidRPr="006C16D7" w:rsidRDefault="009637AA" w:rsidP="0034794E">
            <w:pPr>
              <w:rPr>
                <w:rFonts w:eastAsia="Times New Roman"/>
                <w:sz w:val="26"/>
                <w:szCs w:val="26"/>
                <w:lang w:val="lv-LV" w:eastAsia="lv-LV"/>
              </w:rPr>
            </w:pPr>
            <w:r w:rsidRPr="006C16D7">
              <w:rPr>
                <w:rFonts w:eastAsia="Times New Roman"/>
                <w:sz w:val="26"/>
                <w:szCs w:val="26"/>
                <w:lang w:val="lv-LV" w:eastAsia="lv-LV"/>
              </w:rPr>
              <w:t xml:space="preserve"> Kā ir izmantota </w:t>
            </w:r>
            <w:r w:rsidRPr="006C16D7">
              <w:rPr>
                <w:rFonts w:eastAsia="Times New Roman"/>
                <w:sz w:val="26"/>
                <w:szCs w:val="26"/>
                <w:lang w:val="lv-LV" w:eastAsia="lv-LV"/>
              </w:rPr>
              <w:lastRenderedPageBreak/>
              <w:t>ES tiesību aktā paredzētā rīcības brīvība dalībvalstij pārņemt vai ieviest noteiktas ES tiesību akta normas.</w:t>
            </w:r>
          </w:p>
          <w:p w:rsidR="009637AA" w:rsidRPr="006C16D7" w:rsidRDefault="009637AA" w:rsidP="0034794E">
            <w:pPr>
              <w:rPr>
                <w:rFonts w:eastAsia="Times New Roman"/>
                <w:sz w:val="26"/>
                <w:szCs w:val="26"/>
                <w:lang w:val="lv-LV" w:eastAsia="lv-LV"/>
              </w:rPr>
            </w:pPr>
            <w:r w:rsidRPr="006C16D7">
              <w:rPr>
                <w:rFonts w:eastAsia="Times New Roman"/>
                <w:sz w:val="26"/>
                <w:szCs w:val="26"/>
                <w:lang w:val="lv-LV" w:eastAsia="lv-LV"/>
              </w:rPr>
              <w:t>Kādēļ?</w:t>
            </w:r>
          </w:p>
        </w:tc>
        <w:tc>
          <w:tcPr>
            <w:tcW w:w="7188" w:type="dxa"/>
            <w:gridSpan w:val="3"/>
            <w:hideMark/>
          </w:tcPr>
          <w:p w:rsidR="009637AA" w:rsidRPr="00AB3DCB" w:rsidRDefault="009637AA" w:rsidP="0034794E">
            <w:pPr>
              <w:rPr>
                <w:rFonts w:eastAsia="Times New Roman"/>
                <w:sz w:val="26"/>
                <w:szCs w:val="26"/>
                <w:lang w:val="lv-LV" w:eastAsia="lv-LV"/>
              </w:rPr>
            </w:pPr>
            <w:r w:rsidRPr="00AB3DCB">
              <w:rPr>
                <w:rFonts w:eastAsia="Times New Roman"/>
                <w:sz w:val="26"/>
                <w:szCs w:val="26"/>
                <w:lang w:val="lv-LV" w:eastAsia="lv-LV"/>
              </w:rPr>
              <w:lastRenderedPageBreak/>
              <w:t> Projekts šo jomu neskar.</w:t>
            </w:r>
          </w:p>
        </w:tc>
      </w:tr>
      <w:tr w:rsidR="009637AA" w:rsidRPr="006C16D7" w:rsidTr="0034794E">
        <w:trPr>
          <w:trHeight w:val="916"/>
          <w:tblCellSpacing w:w="0" w:type="dxa"/>
        </w:trPr>
        <w:tc>
          <w:tcPr>
            <w:tcW w:w="2003" w:type="dxa"/>
            <w:vAlign w:val="center"/>
            <w:hideMark/>
          </w:tcPr>
          <w:p w:rsidR="009637AA" w:rsidRPr="006C16D7" w:rsidRDefault="009637AA" w:rsidP="0034794E">
            <w:pPr>
              <w:rPr>
                <w:rFonts w:eastAsia="Times New Roman"/>
                <w:sz w:val="26"/>
                <w:szCs w:val="26"/>
                <w:lang w:val="lv-LV" w:eastAsia="lv-LV"/>
              </w:rPr>
            </w:pPr>
            <w:r w:rsidRPr="006C16D7">
              <w:rPr>
                <w:rFonts w:eastAsia="Times New Roman"/>
                <w:sz w:val="26"/>
                <w:szCs w:val="26"/>
                <w:lang w:val="lv-LV"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2270A2" w:rsidRPr="00AB3DCB" w:rsidRDefault="002270A2" w:rsidP="002270A2">
            <w:pPr>
              <w:pStyle w:val="naiskr"/>
              <w:spacing w:before="0" w:after="0"/>
              <w:jc w:val="both"/>
              <w:rPr>
                <w:sz w:val="26"/>
                <w:szCs w:val="26"/>
              </w:rPr>
            </w:pPr>
            <w:r w:rsidRPr="00AB3DCB">
              <w:rPr>
                <w:sz w:val="26"/>
                <w:szCs w:val="26"/>
              </w:rPr>
              <w:t>MK noteikumu projekts saskaņā ar Regulas Nr.800/2008 3.pantu ir atbrīvots no iepriekšējas paziņošanas Eiropas Komisijā.</w:t>
            </w:r>
          </w:p>
          <w:p w:rsidR="002270A2" w:rsidRPr="00AB3DCB" w:rsidRDefault="002270A2" w:rsidP="002270A2">
            <w:pPr>
              <w:jc w:val="both"/>
              <w:rPr>
                <w:rFonts w:eastAsia="Times New Roman"/>
                <w:sz w:val="26"/>
                <w:szCs w:val="26"/>
                <w:lang w:val="lv-LV" w:eastAsia="lv-LV"/>
              </w:rPr>
            </w:pPr>
            <w:r w:rsidRPr="00AB3DCB">
              <w:rPr>
                <w:rFonts w:eastAsia="Times New Roman"/>
                <w:sz w:val="26"/>
                <w:szCs w:val="26"/>
                <w:lang w:val="lv-LV" w:eastAsia="lv-LV"/>
              </w:rPr>
              <w:t xml:space="preserve">Bet, ņemot vērā, Regulas 800/2008 9.pantu, atbildīgā iestāde 20 darba dienu laikā pēc šī MK noteikumu projekta apstiprināšanas, izmantojot  izveidoto Komisijas IT lietojumprogrammu SANI, sniegs Eiropas Komisijai informācijas kopsavilkumu par termiņa pagarinājumu. </w:t>
            </w:r>
          </w:p>
          <w:p w:rsidR="009637AA" w:rsidRPr="00AB3DCB" w:rsidRDefault="009637AA" w:rsidP="00EF132E">
            <w:pPr>
              <w:jc w:val="both"/>
              <w:rPr>
                <w:rFonts w:eastAsia="Times New Roman"/>
                <w:sz w:val="26"/>
                <w:szCs w:val="26"/>
                <w:lang w:val="lv-LV" w:eastAsia="lv-LV"/>
              </w:rPr>
            </w:pPr>
          </w:p>
        </w:tc>
      </w:tr>
      <w:tr w:rsidR="009637AA" w:rsidRPr="006C16D7" w:rsidTr="00742BAF">
        <w:trPr>
          <w:trHeight w:val="447"/>
          <w:tblCellSpacing w:w="0" w:type="dxa"/>
        </w:trPr>
        <w:tc>
          <w:tcPr>
            <w:tcW w:w="2003" w:type="dxa"/>
            <w:hideMark/>
          </w:tcPr>
          <w:p w:rsidR="009637AA" w:rsidRPr="006C16D7" w:rsidRDefault="009637AA" w:rsidP="0034794E">
            <w:pPr>
              <w:rPr>
                <w:rFonts w:eastAsia="Times New Roman"/>
                <w:sz w:val="26"/>
                <w:szCs w:val="26"/>
                <w:lang w:val="lv-LV" w:eastAsia="lv-LV"/>
              </w:rPr>
            </w:pPr>
            <w:r w:rsidRPr="006C16D7">
              <w:rPr>
                <w:rFonts w:eastAsia="Times New Roman"/>
                <w:sz w:val="26"/>
                <w:szCs w:val="26"/>
                <w:lang w:val="lv-LV" w:eastAsia="lv-LV"/>
              </w:rPr>
              <w:t> Cita informācija</w:t>
            </w:r>
          </w:p>
        </w:tc>
        <w:tc>
          <w:tcPr>
            <w:tcW w:w="7188" w:type="dxa"/>
            <w:gridSpan w:val="3"/>
            <w:hideMark/>
          </w:tcPr>
          <w:p w:rsidR="009637AA" w:rsidRPr="006C16D7" w:rsidRDefault="009637AA" w:rsidP="0034794E">
            <w:pPr>
              <w:rPr>
                <w:rFonts w:eastAsia="Times New Roman"/>
                <w:sz w:val="26"/>
                <w:szCs w:val="26"/>
                <w:lang w:val="lv-LV" w:eastAsia="lv-LV"/>
              </w:rPr>
            </w:pPr>
            <w:r w:rsidRPr="006C16D7">
              <w:rPr>
                <w:rFonts w:eastAsia="Times New Roman"/>
                <w:sz w:val="26"/>
                <w:szCs w:val="26"/>
                <w:lang w:val="lv-LV" w:eastAsia="lv-LV"/>
              </w:rPr>
              <w:t> </w:t>
            </w:r>
            <w:r w:rsidRPr="006C16D7">
              <w:rPr>
                <w:sz w:val="26"/>
                <w:szCs w:val="26"/>
                <w:lang w:val="lv-LV"/>
              </w:rPr>
              <w:t>Nav.</w:t>
            </w:r>
          </w:p>
        </w:tc>
      </w:tr>
    </w:tbl>
    <w:p w:rsidR="00C9779A" w:rsidRPr="006C16D7" w:rsidRDefault="00C9779A" w:rsidP="00C9779A">
      <w:pPr>
        <w:ind w:firstLine="468"/>
        <w:jc w:val="both"/>
        <w:rPr>
          <w:rFonts w:eastAsia="Times New Roman"/>
          <w:sz w:val="26"/>
          <w:szCs w:val="26"/>
          <w:lang w:val="lv-LV" w:eastAsia="lv-LV"/>
        </w:rPr>
      </w:pPr>
      <w:r w:rsidRPr="006C16D7">
        <w:rPr>
          <w:rFonts w:eastAsia="Times New Roman"/>
          <w:sz w:val="26"/>
          <w:szCs w:val="26"/>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C9779A" w:rsidRPr="006C16D7" w:rsidTr="0034794E">
        <w:trPr>
          <w:trHeight w:val="796"/>
          <w:tblCellSpacing w:w="0" w:type="dxa"/>
        </w:trPr>
        <w:tc>
          <w:tcPr>
            <w:tcW w:w="9115" w:type="dxa"/>
            <w:gridSpan w:val="4"/>
            <w:vAlign w:val="center"/>
            <w:hideMark/>
          </w:tcPr>
          <w:p w:rsidR="00C9779A" w:rsidRPr="006C16D7" w:rsidRDefault="00C9779A" w:rsidP="0034794E">
            <w:pPr>
              <w:jc w:val="center"/>
              <w:rPr>
                <w:rFonts w:eastAsia="Times New Roman"/>
                <w:b/>
                <w:bCs/>
                <w:sz w:val="26"/>
                <w:szCs w:val="26"/>
                <w:lang w:val="lv-LV"/>
              </w:rPr>
            </w:pPr>
            <w:r w:rsidRPr="006C16D7">
              <w:rPr>
                <w:rFonts w:eastAsia="Times New Roman"/>
                <w:b/>
                <w:bCs/>
                <w:sz w:val="26"/>
                <w:szCs w:val="26"/>
                <w:lang w:val="lv-LV"/>
              </w:rPr>
              <w:t> 2.tabula</w:t>
            </w:r>
          </w:p>
          <w:p w:rsidR="00C9779A" w:rsidRPr="006C16D7" w:rsidRDefault="00C9779A" w:rsidP="0034794E">
            <w:pPr>
              <w:jc w:val="center"/>
              <w:rPr>
                <w:rFonts w:eastAsia="Times New Roman"/>
                <w:b/>
                <w:bCs/>
                <w:sz w:val="26"/>
                <w:szCs w:val="26"/>
                <w:lang w:val="lv-LV"/>
              </w:rPr>
            </w:pPr>
            <w:r w:rsidRPr="006C16D7">
              <w:rPr>
                <w:rFonts w:eastAsia="Times New Roman"/>
                <w:b/>
                <w:bCs/>
                <w:sz w:val="26"/>
                <w:szCs w:val="26"/>
                <w:lang w:val="lv-LV"/>
              </w:rPr>
              <w:t>Ar tiesību akta projektu uzņemtās saistības, kas izriet no starptautiskajiem tiesību aktiem vai starptautiskas institūcijas vai organizācijas dokumentiem</w:t>
            </w:r>
          </w:p>
          <w:p w:rsidR="00C9779A" w:rsidRPr="006C16D7" w:rsidRDefault="00C9779A" w:rsidP="0034794E">
            <w:pPr>
              <w:jc w:val="center"/>
              <w:rPr>
                <w:rFonts w:eastAsia="Times New Roman"/>
                <w:b/>
                <w:bCs/>
                <w:sz w:val="26"/>
                <w:szCs w:val="26"/>
                <w:lang w:val="lv-LV"/>
              </w:rPr>
            </w:pPr>
            <w:r w:rsidRPr="006C16D7">
              <w:rPr>
                <w:rFonts w:eastAsia="Times New Roman"/>
                <w:b/>
                <w:bCs/>
                <w:sz w:val="26"/>
                <w:szCs w:val="26"/>
                <w:lang w:val="lv-LV"/>
              </w:rPr>
              <w:t>Pasākumi šo saistību izpildei</w:t>
            </w:r>
          </w:p>
        </w:tc>
      </w:tr>
      <w:tr w:rsidR="00C9779A" w:rsidRPr="00734289" w:rsidTr="0034794E">
        <w:trPr>
          <w:trHeight w:val="1845"/>
          <w:tblCellSpacing w:w="0" w:type="dxa"/>
        </w:trPr>
        <w:tc>
          <w:tcPr>
            <w:tcW w:w="3594" w:type="dxa"/>
            <w:gridSpan w:val="2"/>
            <w:vAlign w:val="center"/>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lastRenderedPageBreak/>
              <w:t> Attiecīgā starptautiskā tiesību akta vai starptautiskas institūcijas vai organizācijas dokumenta (turpmāk – starptautiskais dokuments) datums, numurs un nosaukums</w:t>
            </w:r>
          </w:p>
        </w:tc>
        <w:tc>
          <w:tcPr>
            <w:tcW w:w="5521" w:type="dxa"/>
            <w:gridSpan w:val="2"/>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p w:rsidR="00B84C4B" w:rsidRPr="006C16D7" w:rsidRDefault="00B84C4B" w:rsidP="0034794E">
            <w:pPr>
              <w:rPr>
                <w:rFonts w:eastAsia="Times New Roman"/>
                <w:sz w:val="26"/>
                <w:szCs w:val="26"/>
                <w:lang w:val="lv-LV"/>
              </w:rPr>
            </w:pPr>
          </w:p>
          <w:p w:rsidR="00B84C4B" w:rsidRPr="006C16D7" w:rsidRDefault="00B84C4B" w:rsidP="0034794E">
            <w:pPr>
              <w:rPr>
                <w:rFonts w:eastAsia="Times New Roman"/>
                <w:sz w:val="26"/>
                <w:szCs w:val="26"/>
                <w:lang w:val="lv-LV"/>
              </w:rPr>
            </w:pPr>
          </w:p>
        </w:tc>
      </w:tr>
      <w:tr w:rsidR="00C9779A" w:rsidRPr="006C16D7" w:rsidTr="0034794E">
        <w:trPr>
          <w:trHeight w:val="343"/>
          <w:tblCellSpacing w:w="0" w:type="dxa"/>
        </w:trPr>
        <w:tc>
          <w:tcPr>
            <w:tcW w:w="2602" w:type="dxa"/>
            <w:vAlign w:val="center"/>
            <w:hideMark/>
          </w:tcPr>
          <w:p w:rsidR="00C9779A" w:rsidRPr="006C16D7" w:rsidRDefault="00C9779A" w:rsidP="0034794E">
            <w:pPr>
              <w:jc w:val="center"/>
              <w:rPr>
                <w:rFonts w:eastAsia="Times New Roman"/>
                <w:sz w:val="26"/>
                <w:szCs w:val="26"/>
                <w:lang w:val="lv-LV"/>
              </w:rPr>
            </w:pPr>
            <w:r w:rsidRPr="006C16D7">
              <w:rPr>
                <w:rFonts w:eastAsia="Times New Roman"/>
                <w:sz w:val="26"/>
                <w:szCs w:val="26"/>
                <w:lang w:val="lv-LV"/>
              </w:rPr>
              <w:t> A</w:t>
            </w:r>
          </w:p>
        </w:tc>
        <w:tc>
          <w:tcPr>
            <w:tcW w:w="2599" w:type="dxa"/>
            <w:gridSpan w:val="2"/>
            <w:vAlign w:val="center"/>
            <w:hideMark/>
          </w:tcPr>
          <w:p w:rsidR="00C9779A" w:rsidRPr="006C16D7" w:rsidRDefault="00C9779A" w:rsidP="0034794E">
            <w:pPr>
              <w:jc w:val="center"/>
              <w:rPr>
                <w:rFonts w:eastAsia="Times New Roman"/>
                <w:sz w:val="26"/>
                <w:szCs w:val="26"/>
                <w:lang w:val="lv-LV"/>
              </w:rPr>
            </w:pPr>
            <w:r w:rsidRPr="006C16D7">
              <w:rPr>
                <w:rFonts w:eastAsia="Times New Roman"/>
                <w:sz w:val="26"/>
                <w:szCs w:val="26"/>
                <w:lang w:val="lv-LV"/>
              </w:rPr>
              <w:t> B</w:t>
            </w:r>
          </w:p>
        </w:tc>
        <w:tc>
          <w:tcPr>
            <w:tcW w:w="3914" w:type="dxa"/>
            <w:vAlign w:val="center"/>
            <w:hideMark/>
          </w:tcPr>
          <w:p w:rsidR="00C9779A" w:rsidRPr="006C16D7" w:rsidRDefault="00C9779A" w:rsidP="0034794E">
            <w:pPr>
              <w:jc w:val="center"/>
              <w:rPr>
                <w:rFonts w:eastAsia="Times New Roman"/>
                <w:sz w:val="26"/>
                <w:szCs w:val="26"/>
                <w:lang w:val="lv-LV"/>
              </w:rPr>
            </w:pPr>
            <w:r w:rsidRPr="006C16D7">
              <w:rPr>
                <w:rFonts w:eastAsia="Times New Roman"/>
                <w:sz w:val="26"/>
                <w:szCs w:val="26"/>
                <w:lang w:val="lv-LV"/>
              </w:rPr>
              <w:t> C</w:t>
            </w:r>
          </w:p>
        </w:tc>
      </w:tr>
      <w:tr w:rsidR="00C9779A" w:rsidRPr="00734289" w:rsidTr="0034794E">
        <w:trPr>
          <w:trHeight w:val="1512"/>
          <w:tblCellSpacing w:w="0" w:type="dxa"/>
        </w:trPr>
        <w:tc>
          <w:tcPr>
            <w:tcW w:w="2602" w:type="dxa"/>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 Starptautiskās saistības (pēc būtības), kas izriet no norādītā starptautiskā dokumenta.</w:t>
            </w:r>
          </w:p>
          <w:p w:rsidR="00C9779A" w:rsidRPr="006C16D7" w:rsidRDefault="00C9779A" w:rsidP="0034794E">
            <w:pPr>
              <w:rPr>
                <w:rFonts w:eastAsia="Times New Roman"/>
                <w:sz w:val="26"/>
                <w:szCs w:val="26"/>
                <w:lang w:val="lv-LV"/>
              </w:rPr>
            </w:pPr>
            <w:r w:rsidRPr="006C16D7">
              <w:rPr>
                <w:rFonts w:eastAsia="Times New Roman"/>
                <w:sz w:val="26"/>
                <w:szCs w:val="26"/>
                <w:lang w:val="lv-LV"/>
              </w:rPr>
              <w:t> </w:t>
            </w:r>
          </w:p>
          <w:p w:rsidR="00C9779A" w:rsidRPr="006C16D7" w:rsidRDefault="00C9779A" w:rsidP="0034794E">
            <w:pPr>
              <w:rPr>
                <w:rFonts w:eastAsia="Times New Roman"/>
                <w:sz w:val="26"/>
                <w:szCs w:val="26"/>
                <w:lang w:val="lv-LV"/>
              </w:rPr>
            </w:pPr>
            <w:r w:rsidRPr="006C16D7">
              <w:rPr>
                <w:rFonts w:eastAsia="Times New Roman"/>
                <w:sz w:val="26"/>
                <w:szCs w:val="26"/>
                <w:lang w:val="lv-LV"/>
              </w:rPr>
              <w:t>Konkrēti veicamie pasākumi vai uzdevumi, kas nepieciešami šo starptautisko saistību izpildei</w:t>
            </w:r>
          </w:p>
        </w:tc>
        <w:tc>
          <w:tcPr>
            <w:tcW w:w="2599" w:type="dxa"/>
            <w:gridSpan w:val="2"/>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Ja pasākumi vai uzdevumi, ar ko tiks izpildītas starptautiskās saistības, tiek noteikti projektā, norāda attiecīgo projekta vienību.</w:t>
            </w:r>
          </w:p>
          <w:p w:rsidR="00C9779A" w:rsidRPr="006C16D7" w:rsidRDefault="00C9779A" w:rsidP="0034794E">
            <w:pPr>
              <w:rPr>
                <w:rFonts w:eastAsia="Times New Roman"/>
                <w:sz w:val="26"/>
                <w:szCs w:val="26"/>
                <w:lang w:val="lv-LV"/>
              </w:rPr>
            </w:pPr>
            <w:r w:rsidRPr="006C16D7">
              <w:rPr>
                <w:rFonts w:eastAsia="Times New Roman"/>
                <w:sz w:val="26"/>
                <w:szCs w:val="26"/>
                <w:lang w:val="lv-LV"/>
              </w:rPr>
              <w:t> </w:t>
            </w:r>
          </w:p>
          <w:p w:rsidR="00C9779A" w:rsidRPr="006C16D7" w:rsidRDefault="00C9779A" w:rsidP="0034794E">
            <w:pPr>
              <w:rPr>
                <w:rFonts w:eastAsia="Times New Roman"/>
                <w:sz w:val="26"/>
                <w:szCs w:val="26"/>
                <w:lang w:val="lv-LV"/>
              </w:rPr>
            </w:pPr>
            <w:r w:rsidRPr="006C16D7">
              <w:rPr>
                <w:rFonts w:eastAsia="Times New Roman"/>
                <w:sz w:val="26"/>
                <w:szCs w:val="26"/>
                <w:lang w:val="lv-LV"/>
              </w:rPr>
              <w:t>Vai arī norāda dokumentu, kurā sniegts izvērsts skaidrojums, kādā veidā tiks nodrošināta starptautisko saistību izpilde</w:t>
            </w:r>
          </w:p>
        </w:tc>
        <w:tc>
          <w:tcPr>
            <w:tcW w:w="3914" w:type="dxa"/>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Informācija par to, vai starptautiskās saistības, kas minētas šīs tabulas A ailē, tiek izpildītas pilnībā vai daļēji.</w:t>
            </w:r>
          </w:p>
          <w:p w:rsidR="00C9779A" w:rsidRPr="006C16D7" w:rsidRDefault="00C9779A" w:rsidP="0034794E">
            <w:pPr>
              <w:rPr>
                <w:rFonts w:eastAsia="Times New Roman"/>
                <w:sz w:val="26"/>
                <w:szCs w:val="26"/>
                <w:lang w:val="lv-LV"/>
              </w:rPr>
            </w:pPr>
            <w:r w:rsidRPr="006C16D7">
              <w:rPr>
                <w:rFonts w:eastAsia="Times New Roman"/>
                <w:sz w:val="26"/>
                <w:szCs w:val="26"/>
                <w:lang w:val="lv-LV"/>
              </w:rPr>
              <w:t> </w:t>
            </w:r>
          </w:p>
          <w:p w:rsidR="00C9779A" w:rsidRPr="006C16D7" w:rsidRDefault="00C9779A" w:rsidP="0034794E">
            <w:pPr>
              <w:rPr>
                <w:rFonts w:eastAsia="Times New Roman"/>
                <w:sz w:val="26"/>
                <w:szCs w:val="26"/>
                <w:lang w:val="lv-LV"/>
              </w:rPr>
            </w:pPr>
            <w:r w:rsidRPr="006C16D7">
              <w:rPr>
                <w:rFonts w:eastAsia="Times New Roman"/>
                <w:sz w:val="26"/>
                <w:szCs w:val="26"/>
                <w:lang w:val="lv-LV"/>
              </w:rPr>
              <w:t>Ja attiecīgās starptautiskās saistības tiek izpildītas daļēji, sniedz attiecīgu skaidrojumu, kā arī precīzi norāda, kad un kādā veidā starptautiskās saistības tiks izpildītas pilnībā.</w:t>
            </w:r>
          </w:p>
          <w:p w:rsidR="00C9779A" w:rsidRPr="006C16D7" w:rsidRDefault="00C9779A" w:rsidP="0034794E">
            <w:pPr>
              <w:rPr>
                <w:rFonts w:eastAsia="Times New Roman"/>
                <w:sz w:val="26"/>
                <w:szCs w:val="26"/>
                <w:lang w:val="lv-LV"/>
              </w:rPr>
            </w:pPr>
            <w:r w:rsidRPr="006C16D7">
              <w:rPr>
                <w:rFonts w:eastAsia="Times New Roman"/>
                <w:sz w:val="26"/>
                <w:szCs w:val="26"/>
                <w:lang w:val="lv-LV"/>
              </w:rPr>
              <w:t> </w:t>
            </w:r>
          </w:p>
          <w:p w:rsidR="00C9779A" w:rsidRPr="006C16D7" w:rsidRDefault="00C9779A" w:rsidP="0034794E">
            <w:pPr>
              <w:rPr>
                <w:rFonts w:eastAsia="Times New Roman"/>
                <w:sz w:val="26"/>
                <w:szCs w:val="26"/>
                <w:lang w:val="lv-LV"/>
              </w:rPr>
            </w:pPr>
            <w:r w:rsidRPr="006C16D7">
              <w:rPr>
                <w:rFonts w:eastAsia="Times New Roman"/>
                <w:sz w:val="26"/>
                <w:szCs w:val="26"/>
                <w:lang w:val="lv-LV"/>
              </w:rPr>
              <w:t>Norāda institūciju, kas ir atbildīga par šo saistību izpildi pilnībā</w:t>
            </w:r>
          </w:p>
        </w:tc>
      </w:tr>
      <w:tr w:rsidR="00C9779A" w:rsidRPr="006C16D7" w:rsidTr="0034794E">
        <w:trPr>
          <w:trHeight w:val="282"/>
          <w:tblCellSpacing w:w="0" w:type="dxa"/>
        </w:trPr>
        <w:tc>
          <w:tcPr>
            <w:tcW w:w="2602" w:type="dxa"/>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 xml:space="preserve"> Projekts šo jomu neskar.</w:t>
            </w:r>
          </w:p>
        </w:tc>
        <w:tc>
          <w:tcPr>
            <w:tcW w:w="2599" w:type="dxa"/>
            <w:gridSpan w:val="2"/>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Projekts šo jomu neskar.</w:t>
            </w:r>
          </w:p>
        </w:tc>
        <w:tc>
          <w:tcPr>
            <w:tcW w:w="3914" w:type="dxa"/>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Projekts šo jomu neskar.</w:t>
            </w:r>
          </w:p>
        </w:tc>
      </w:tr>
      <w:tr w:rsidR="00C9779A" w:rsidRPr="006C16D7" w:rsidTr="0034794E">
        <w:trPr>
          <w:trHeight w:val="1079"/>
          <w:tblCellSpacing w:w="0" w:type="dxa"/>
        </w:trPr>
        <w:tc>
          <w:tcPr>
            <w:tcW w:w="2602" w:type="dxa"/>
            <w:vAlign w:val="center"/>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 Vai starptautiskajā dokumentā paredzētās saistības nav pretrunā ar jau esošajām Latvijas Republikas starptautiskajām saistībām</w:t>
            </w:r>
          </w:p>
        </w:tc>
        <w:tc>
          <w:tcPr>
            <w:tcW w:w="6513" w:type="dxa"/>
            <w:gridSpan w:val="3"/>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 Projekts šo jomu neskar.</w:t>
            </w:r>
          </w:p>
        </w:tc>
      </w:tr>
      <w:tr w:rsidR="00C9779A" w:rsidRPr="006C16D7" w:rsidTr="0034794E">
        <w:trPr>
          <w:trHeight w:val="337"/>
          <w:tblCellSpacing w:w="0" w:type="dxa"/>
        </w:trPr>
        <w:tc>
          <w:tcPr>
            <w:tcW w:w="2602" w:type="dxa"/>
            <w:hideMark/>
          </w:tcPr>
          <w:p w:rsidR="00C9779A" w:rsidRPr="006C16D7" w:rsidRDefault="00C9779A" w:rsidP="0034794E">
            <w:pPr>
              <w:rPr>
                <w:rFonts w:eastAsia="Times New Roman"/>
                <w:sz w:val="26"/>
                <w:szCs w:val="26"/>
                <w:lang w:val="lv-LV"/>
              </w:rPr>
            </w:pPr>
            <w:r w:rsidRPr="006C16D7">
              <w:rPr>
                <w:rFonts w:eastAsia="Times New Roman"/>
                <w:sz w:val="26"/>
                <w:szCs w:val="26"/>
                <w:lang w:val="lv-LV"/>
              </w:rPr>
              <w:t> Cita informācija</w:t>
            </w:r>
          </w:p>
        </w:tc>
        <w:tc>
          <w:tcPr>
            <w:tcW w:w="6513" w:type="dxa"/>
            <w:gridSpan w:val="3"/>
            <w:hideMark/>
          </w:tcPr>
          <w:p w:rsidR="00B84C4B" w:rsidRPr="006C16D7" w:rsidRDefault="00C9779A" w:rsidP="0034794E">
            <w:pPr>
              <w:rPr>
                <w:rFonts w:eastAsia="Times New Roman"/>
                <w:sz w:val="26"/>
                <w:szCs w:val="26"/>
                <w:lang w:val="lv-LV"/>
              </w:rPr>
            </w:pPr>
            <w:r w:rsidRPr="006C16D7">
              <w:rPr>
                <w:rFonts w:eastAsia="Times New Roman"/>
                <w:sz w:val="26"/>
                <w:szCs w:val="26"/>
                <w:lang w:val="lv-LV"/>
              </w:rPr>
              <w:t xml:space="preserve"> Nav.</w:t>
            </w:r>
          </w:p>
        </w:tc>
      </w:tr>
    </w:tbl>
    <w:p w:rsidR="00C9779A" w:rsidRPr="006C16D7" w:rsidRDefault="00C9779A"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734289"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ind w:firstLine="720"/>
              <w:jc w:val="both"/>
              <w:rPr>
                <w:rFonts w:eastAsia="Times New Roman"/>
                <w:b/>
                <w:sz w:val="26"/>
                <w:szCs w:val="26"/>
                <w:lang w:val="lv-LV" w:eastAsia="lv-LV"/>
              </w:rPr>
            </w:pPr>
            <w:r w:rsidRPr="006C16D7">
              <w:rPr>
                <w:rFonts w:eastAsia="Times New Roman"/>
                <w:b/>
                <w:sz w:val="26"/>
                <w:szCs w:val="26"/>
                <w:lang w:val="lv-LV" w:eastAsia="lv-LV"/>
              </w:rPr>
              <w:t>VII. Tiesību akta projekta izpildes nodrošināšana un tās ietekme uz institūcijām</w:t>
            </w:r>
          </w:p>
        </w:tc>
      </w:tr>
      <w:tr w:rsidR="003A7D89" w:rsidRPr="006C16D7"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B3BE8" w:rsidRDefault="007B3BE8" w:rsidP="00236989">
            <w:pPr>
              <w:jc w:val="both"/>
              <w:rPr>
                <w:rFonts w:eastAsia="Times New Roman"/>
                <w:sz w:val="26"/>
                <w:szCs w:val="26"/>
                <w:lang w:val="lv-LV" w:eastAsia="lv-LV"/>
              </w:rPr>
            </w:pPr>
            <w:r w:rsidRPr="007B3BE8">
              <w:rPr>
                <w:rFonts w:eastAsia="Times New Roman"/>
                <w:sz w:val="26"/>
                <w:szCs w:val="26"/>
                <w:lang w:val="lv-LV" w:eastAsia="lv-LV"/>
              </w:rPr>
              <w:t>Ministru kabineta noteikumu projekta izpildi nodrošinās EM un LHZB.</w:t>
            </w:r>
          </w:p>
        </w:tc>
      </w:tr>
      <w:tr w:rsidR="003A7D89" w:rsidRPr="00734289"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lastRenderedPageBreak/>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B3BE8" w:rsidRDefault="00901246" w:rsidP="00236989">
            <w:pPr>
              <w:jc w:val="both"/>
              <w:rPr>
                <w:rFonts w:eastAsia="Times New Roman"/>
                <w:sz w:val="26"/>
                <w:szCs w:val="26"/>
                <w:lang w:val="lv-LV" w:eastAsia="lv-LV"/>
              </w:rPr>
            </w:pPr>
            <w:r w:rsidRPr="007B3BE8">
              <w:rPr>
                <w:rFonts w:eastAsia="Times New Roman"/>
                <w:sz w:val="26"/>
                <w:szCs w:val="26"/>
                <w:lang w:val="lv-LV" w:eastAsia="lv-LV"/>
              </w:rPr>
              <w:t>MK</w:t>
            </w:r>
            <w:r w:rsidR="003A7D89" w:rsidRPr="007B3BE8">
              <w:rPr>
                <w:rFonts w:eastAsia="Times New Roman"/>
                <w:sz w:val="26"/>
                <w:szCs w:val="26"/>
                <w:lang w:val="lv-LV" w:eastAsia="lv-LV"/>
              </w:rPr>
              <w:t xml:space="preserve"> </w:t>
            </w:r>
            <w:r w:rsidR="00A46462" w:rsidRPr="007B3BE8">
              <w:rPr>
                <w:sz w:val="26"/>
                <w:szCs w:val="26"/>
                <w:lang w:val="lv-LV"/>
              </w:rPr>
              <w:t>noteikumu</w:t>
            </w:r>
            <w:r w:rsidR="003A7D89" w:rsidRPr="007B3BE8">
              <w:rPr>
                <w:rFonts w:eastAsia="Times New Roman"/>
                <w:sz w:val="26"/>
                <w:szCs w:val="26"/>
                <w:lang w:val="lv-LV" w:eastAsia="lv-LV"/>
              </w:rPr>
              <w:t xml:space="preserve"> projekta izpilde tiks nodrošināta </w:t>
            </w:r>
            <w:r w:rsidR="007B3BE8" w:rsidRPr="007B3BE8">
              <w:rPr>
                <w:rFonts w:eastAsia="Times New Roman"/>
                <w:sz w:val="26"/>
                <w:szCs w:val="26"/>
                <w:lang w:val="lv-LV" w:eastAsia="lv-LV"/>
              </w:rPr>
              <w:t xml:space="preserve">EM un </w:t>
            </w:r>
            <w:r w:rsidR="00D94B9B" w:rsidRPr="007B3BE8">
              <w:rPr>
                <w:rFonts w:eastAsia="Times New Roman"/>
                <w:sz w:val="26"/>
                <w:szCs w:val="26"/>
                <w:lang w:val="lv-LV" w:eastAsia="lv-LV"/>
              </w:rPr>
              <w:t xml:space="preserve">LHZB </w:t>
            </w:r>
            <w:r w:rsidR="003A7D89" w:rsidRPr="007B3BE8">
              <w:rPr>
                <w:rFonts w:eastAsia="Times New Roman"/>
                <w:sz w:val="26"/>
                <w:szCs w:val="26"/>
                <w:lang w:val="lv-LV" w:eastAsia="lv-LV"/>
              </w:rPr>
              <w:t>esošo funkciju ietvaros.</w:t>
            </w:r>
          </w:p>
        </w:tc>
      </w:tr>
      <w:tr w:rsidR="003A7D89" w:rsidRPr="006C16D7"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3BE8" w:rsidRDefault="00901246" w:rsidP="00236989">
            <w:pPr>
              <w:jc w:val="both"/>
              <w:rPr>
                <w:rFonts w:eastAsia="Times New Roman"/>
                <w:sz w:val="26"/>
                <w:szCs w:val="26"/>
                <w:lang w:val="lv-LV" w:eastAsia="lv-LV"/>
              </w:rPr>
            </w:pPr>
            <w:r w:rsidRPr="007B3BE8">
              <w:rPr>
                <w:sz w:val="26"/>
                <w:szCs w:val="26"/>
                <w:lang w:val="lv-LV"/>
              </w:rPr>
              <w:t>MK</w:t>
            </w:r>
            <w:r w:rsidR="003A7D89" w:rsidRPr="007B3BE8">
              <w:rPr>
                <w:sz w:val="26"/>
                <w:szCs w:val="26"/>
                <w:lang w:val="lv-LV"/>
              </w:rPr>
              <w:t xml:space="preserve"> </w:t>
            </w:r>
            <w:r w:rsidR="00A46462" w:rsidRPr="007B3BE8">
              <w:rPr>
                <w:sz w:val="26"/>
                <w:szCs w:val="26"/>
                <w:lang w:val="lv-LV"/>
              </w:rPr>
              <w:t>noteikumu</w:t>
            </w:r>
            <w:r w:rsidR="003A7D89" w:rsidRPr="007B3BE8">
              <w:rPr>
                <w:sz w:val="26"/>
                <w:szCs w:val="26"/>
                <w:lang w:val="lv-LV"/>
              </w:rPr>
              <w:t xml:space="preserve"> projekta izpildei nav nepieciešams izveidot jaunas institūcijas</w:t>
            </w:r>
            <w:r w:rsidR="003A7D89" w:rsidRPr="007B3BE8">
              <w:rPr>
                <w:rFonts w:eastAsia="Times New Roman"/>
                <w:sz w:val="26"/>
                <w:szCs w:val="26"/>
                <w:lang w:val="lv-LV" w:eastAsia="lv-LV"/>
              </w:rPr>
              <w:t>.</w:t>
            </w:r>
          </w:p>
        </w:tc>
      </w:tr>
      <w:tr w:rsidR="003A7D89" w:rsidRPr="00734289"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3BE8" w:rsidRDefault="00901246" w:rsidP="00236989">
            <w:pPr>
              <w:jc w:val="both"/>
              <w:rPr>
                <w:sz w:val="26"/>
                <w:szCs w:val="26"/>
                <w:lang w:val="lv-LV"/>
              </w:rPr>
            </w:pPr>
            <w:r w:rsidRPr="007B3BE8">
              <w:rPr>
                <w:sz w:val="26"/>
                <w:szCs w:val="26"/>
                <w:lang w:val="lv-LV"/>
              </w:rPr>
              <w:t>MK</w:t>
            </w:r>
            <w:r w:rsidR="003A7D89" w:rsidRPr="007B3BE8">
              <w:rPr>
                <w:sz w:val="26"/>
                <w:szCs w:val="26"/>
                <w:lang w:val="lv-LV"/>
              </w:rPr>
              <w:t xml:space="preserve"> </w:t>
            </w:r>
            <w:r w:rsidR="00A46462" w:rsidRPr="007B3BE8">
              <w:rPr>
                <w:sz w:val="26"/>
                <w:szCs w:val="26"/>
                <w:lang w:val="lv-LV"/>
              </w:rPr>
              <w:t>noteikumu</w:t>
            </w:r>
            <w:r w:rsidR="003A7D89" w:rsidRPr="007B3BE8">
              <w:rPr>
                <w:sz w:val="26"/>
                <w:szCs w:val="26"/>
                <w:lang w:val="lv-LV"/>
              </w:rPr>
              <w:t xml:space="preserve"> projekta izpildei nav nepieciešams likvidēt esošās institūcijas</w:t>
            </w:r>
            <w:r w:rsidR="003A7D89" w:rsidRPr="007B3BE8">
              <w:rPr>
                <w:rFonts w:eastAsia="Times New Roman"/>
                <w:sz w:val="26"/>
                <w:szCs w:val="26"/>
                <w:lang w:val="lv-LV" w:eastAsia="lv-LV"/>
              </w:rPr>
              <w:t>.</w:t>
            </w:r>
          </w:p>
        </w:tc>
      </w:tr>
      <w:tr w:rsidR="003A7D89" w:rsidRPr="00734289"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3BE8" w:rsidRDefault="00901246" w:rsidP="00236989">
            <w:pPr>
              <w:jc w:val="both"/>
              <w:rPr>
                <w:rFonts w:eastAsia="Times New Roman"/>
                <w:sz w:val="26"/>
                <w:szCs w:val="26"/>
                <w:lang w:val="lv-LV" w:eastAsia="lv-LV"/>
              </w:rPr>
            </w:pPr>
            <w:r w:rsidRPr="007B3BE8">
              <w:rPr>
                <w:rFonts w:eastAsia="Times New Roman"/>
                <w:sz w:val="26"/>
                <w:szCs w:val="26"/>
                <w:lang w:val="lv-LV" w:eastAsia="lv-LV"/>
              </w:rPr>
              <w:t>MK</w:t>
            </w:r>
            <w:r w:rsidR="003A7D89" w:rsidRPr="007B3BE8">
              <w:rPr>
                <w:rFonts w:eastAsia="Times New Roman"/>
                <w:sz w:val="26"/>
                <w:szCs w:val="26"/>
                <w:lang w:val="lv-LV" w:eastAsia="lv-LV"/>
              </w:rPr>
              <w:t xml:space="preserve"> </w:t>
            </w:r>
            <w:r w:rsidR="00A46462" w:rsidRPr="007B3BE8">
              <w:rPr>
                <w:sz w:val="26"/>
                <w:szCs w:val="26"/>
                <w:lang w:val="lv-LV"/>
              </w:rPr>
              <w:t>noteikumu</w:t>
            </w:r>
            <w:r w:rsidR="003A7D89" w:rsidRPr="007B3BE8">
              <w:rPr>
                <w:sz w:val="26"/>
                <w:szCs w:val="26"/>
                <w:lang w:val="lv-LV"/>
              </w:rPr>
              <w:t xml:space="preserve"> projekta izpildei nav nepieciešams reorganizēt esošās institūcijas</w:t>
            </w:r>
            <w:r w:rsidR="003A7D89" w:rsidRPr="007B3BE8">
              <w:rPr>
                <w:rFonts w:eastAsia="Times New Roman"/>
                <w:sz w:val="26"/>
                <w:szCs w:val="26"/>
                <w:lang w:val="lv-LV" w:eastAsia="lv-LV"/>
              </w:rPr>
              <w:t>.</w:t>
            </w:r>
          </w:p>
          <w:p w:rsidR="00B84C4B" w:rsidRPr="007B3BE8" w:rsidRDefault="00B84C4B" w:rsidP="00742BAF">
            <w:pPr>
              <w:jc w:val="both"/>
              <w:rPr>
                <w:rFonts w:eastAsia="Times New Roman"/>
                <w:sz w:val="26"/>
                <w:szCs w:val="26"/>
                <w:lang w:val="lv-LV" w:eastAsia="lv-LV"/>
              </w:rPr>
            </w:pPr>
          </w:p>
        </w:tc>
      </w:tr>
      <w:tr w:rsidR="003A7D89" w:rsidRPr="006C16D7"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F22471">
            <w:pPr>
              <w:jc w:val="both"/>
              <w:rPr>
                <w:rFonts w:eastAsia="Times New Roman"/>
                <w:sz w:val="26"/>
                <w:szCs w:val="26"/>
                <w:lang w:val="lv-LV" w:eastAsia="lv-LV"/>
              </w:rPr>
            </w:pPr>
            <w:r w:rsidRPr="006C16D7">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C16D7" w:rsidRDefault="003A7D89" w:rsidP="00236989">
            <w:pPr>
              <w:jc w:val="both"/>
              <w:rPr>
                <w:rFonts w:eastAsia="Times New Roman"/>
                <w:sz w:val="26"/>
                <w:szCs w:val="26"/>
                <w:lang w:val="lv-LV" w:eastAsia="lv-LV"/>
              </w:rPr>
            </w:pPr>
            <w:r w:rsidRPr="006C16D7">
              <w:rPr>
                <w:rFonts w:eastAsia="Times New Roman"/>
                <w:sz w:val="26"/>
                <w:szCs w:val="26"/>
                <w:lang w:val="lv-LV" w:eastAsia="lv-LV"/>
              </w:rPr>
              <w:t>Nav.</w:t>
            </w:r>
          </w:p>
        </w:tc>
      </w:tr>
    </w:tbl>
    <w:p w:rsidR="0088512F" w:rsidRPr="006C16D7" w:rsidRDefault="0088512F" w:rsidP="00F22471">
      <w:pPr>
        <w:tabs>
          <w:tab w:val="left" w:pos="7655"/>
        </w:tabs>
        <w:jc w:val="both"/>
        <w:rPr>
          <w:sz w:val="26"/>
          <w:szCs w:val="26"/>
          <w:lang w:val="lv-LV"/>
        </w:rPr>
      </w:pPr>
      <w:r w:rsidRPr="006C16D7">
        <w:rPr>
          <w:sz w:val="26"/>
          <w:szCs w:val="26"/>
          <w:lang w:val="lv-LV"/>
        </w:rPr>
        <w:t xml:space="preserve">Anotācijas  VI sadaļa – </w:t>
      </w:r>
      <w:r w:rsidRPr="006C16D7">
        <w:rPr>
          <w:iCs/>
          <w:sz w:val="26"/>
          <w:szCs w:val="26"/>
          <w:lang w:val="lv-LV"/>
        </w:rPr>
        <w:t>projekts šīs jomas neskar</w:t>
      </w:r>
      <w:r w:rsidRPr="006C16D7">
        <w:rPr>
          <w:sz w:val="26"/>
          <w:szCs w:val="26"/>
          <w:lang w:val="lv-LV"/>
        </w:rPr>
        <w:t>.</w:t>
      </w:r>
    </w:p>
    <w:p w:rsidR="00BE6E9C" w:rsidRDefault="00BE6E9C" w:rsidP="00A43665">
      <w:pPr>
        <w:tabs>
          <w:tab w:val="right" w:pos="9072"/>
        </w:tabs>
        <w:rPr>
          <w:sz w:val="26"/>
          <w:szCs w:val="26"/>
          <w:lang w:val="lv-LV"/>
        </w:rPr>
      </w:pPr>
    </w:p>
    <w:p w:rsidR="00AB3DCB" w:rsidRDefault="00AB3DCB" w:rsidP="00A43665">
      <w:pPr>
        <w:tabs>
          <w:tab w:val="right" w:pos="9072"/>
        </w:tabs>
        <w:rPr>
          <w:sz w:val="26"/>
          <w:szCs w:val="26"/>
          <w:lang w:val="lv-LV"/>
        </w:rPr>
      </w:pPr>
    </w:p>
    <w:p w:rsidR="00F119F5" w:rsidRDefault="00F119F5" w:rsidP="00A43665">
      <w:pPr>
        <w:tabs>
          <w:tab w:val="right" w:pos="9072"/>
        </w:tabs>
        <w:rPr>
          <w:sz w:val="26"/>
          <w:szCs w:val="26"/>
          <w:lang w:val="lv-LV"/>
        </w:rPr>
      </w:pPr>
    </w:p>
    <w:p w:rsidR="00492892" w:rsidRPr="006C16D7" w:rsidRDefault="00492892" w:rsidP="00A43665">
      <w:pPr>
        <w:tabs>
          <w:tab w:val="right" w:pos="9072"/>
        </w:tabs>
        <w:rPr>
          <w:sz w:val="26"/>
          <w:szCs w:val="26"/>
          <w:lang w:val="lv-LV"/>
        </w:rPr>
      </w:pPr>
    </w:p>
    <w:p w:rsidR="00522B62" w:rsidRPr="006C16D7" w:rsidRDefault="00E73425" w:rsidP="00A43665">
      <w:pPr>
        <w:tabs>
          <w:tab w:val="right" w:pos="9072"/>
        </w:tabs>
        <w:rPr>
          <w:sz w:val="26"/>
          <w:szCs w:val="26"/>
          <w:lang w:val="lv-LV"/>
        </w:rPr>
      </w:pPr>
      <w:r w:rsidRPr="006C16D7">
        <w:rPr>
          <w:sz w:val="26"/>
          <w:szCs w:val="26"/>
          <w:lang w:val="lv-LV"/>
        </w:rPr>
        <w:t>Ekonomikas ministrs</w:t>
      </w:r>
      <w:r w:rsidR="00A43665" w:rsidRPr="006C16D7">
        <w:rPr>
          <w:sz w:val="26"/>
          <w:szCs w:val="26"/>
          <w:lang w:val="lv-LV"/>
        </w:rPr>
        <w:tab/>
      </w:r>
      <w:r w:rsidR="00F9294A" w:rsidRPr="006C16D7">
        <w:rPr>
          <w:sz w:val="26"/>
          <w:szCs w:val="26"/>
          <w:lang w:val="lv-LV"/>
        </w:rPr>
        <w:t>D.Pavļuts</w:t>
      </w:r>
      <w:r w:rsidR="00A43665" w:rsidRPr="006C16D7">
        <w:rPr>
          <w:sz w:val="26"/>
          <w:szCs w:val="26"/>
          <w:lang w:val="lv-LV"/>
        </w:rPr>
        <w:tab/>
      </w:r>
      <w:r w:rsidR="00A43665" w:rsidRPr="006C16D7">
        <w:rPr>
          <w:sz w:val="26"/>
          <w:szCs w:val="26"/>
          <w:lang w:val="lv-LV"/>
        </w:rPr>
        <w:tab/>
      </w:r>
      <w:r w:rsidR="00A43665" w:rsidRPr="006C16D7">
        <w:rPr>
          <w:sz w:val="26"/>
          <w:szCs w:val="26"/>
          <w:lang w:val="lv-LV"/>
        </w:rPr>
        <w:tab/>
      </w:r>
      <w:r w:rsidR="00A43665" w:rsidRPr="006C16D7">
        <w:rPr>
          <w:sz w:val="26"/>
          <w:szCs w:val="26"/>
          <w:lang w:val="lv-LV"/>
        </w:rPr>
        <w:tab/>
      </w:r>
      <w:r w:rsidR="00A43665" w:rsidRPr="006C16D7">
        <w:rPr>
          <w:sz w:val="26"/>
          <w:szCs w:val="26"/>
          <w:lang w:val="lv-LV"/>
        </w:rPr>
        <w:tab/>
      </w:r>
      <w:r w:rsidR="00A43665" w:rsidRPr="006C16D7">
        <w:rPr>
          <w:sz w:val="26"/>
          <w:szCs w:val="26"/>
          <w:lang w:val="lv-LV"/>
        </w:rPr>
        <w:tab/>
      </w:r>
    </w:p>
    <w:p w:rsidR="00ED1D3C" w:rsidRDefault="00ED1D3C" w:rsidP="008E5F7D">
      <w:pPr>
        <w:tabs>
          <w:tab w:val="right" w:pos="9072"/>
        </w:tabs>
        <w:rPr>
          <w:sz w:val="26"/>
          <w:szCs w:val="26"/>
          <w:lang w:val="lv-LV"/>
        </w:rPr>
      </w:pPr>
    </w:p>
    <w:p w:rsidR="00AB3DCB" w:rsidRPr="006C16D7" w:rsidRDefault="00AB3DCB" w:rsidP="008E5F7D">
      <w:pPr>
        <w:tabs>
          <w:tab w:val="right" w:pos="9072"/>
        </w:tabs>
        <w:rPr>
          <w:sz w:val="26"/>
          <w:szCs w:val="26"/>
          <w:lang w:val="lv-LV"/>
        </w:rPr>
      </w:pPr>
    </w:p>
    <w:p w:rsidR="00F119F5" w:rsidRDefault="00B74BCA" w:rsidP="00431E07">
      <w:pPr>
        <w:tabs>
          <w:tab w:val="right" w:pos="9072"/>
        </w:tabs>
        <w:rPr>
          <w:sz w:val="26"/>
          <w:szCs w:val="26"/>
          <w:lang w:val="lv-LV"/>
        </w:rPr>
      </w:pPr>
      <w:r w:rsidRPr="006C16D7">
        <w:rPr>
          <w:sz w:val="26"/>
          <w:szCs w:val="26"/>
          <w:lang w:val="lv-LV"/>
        </w:rPr>
        <w:t>Vīza: valsts sekretā</w:t>
      </w:r>
      <w:r w:rsidR="00F119F5">
        <w:rPr>
          <w:sz w:val="26"/>
          <w:szCs w:val="26"/>
          <w:lang w:val="lv-LV"/>
        </w:rPr>
        <w:t>ra pienākumu izpildītājs,</w:t>
      </w:r>
    </w:p>
    <w:p w:rsidR="0038309B" w:rsidRPr="00431E07" w:rsidRDefault="00F119F5" w:rsidP="00431E07">
      <w:pPr>
        <w:tabs>
          <w:tab w:val="right" w:pos="9072"/>
        </w:tabs>
        <w:rPr>
          <w:sz w:val="26"/>
          <w:szCs w:val="26"/>
          <w:lang w:val="lv-LV"/>
        </w:rPr>
      </w:pPr>
      <w:r>
        <w:rPr>
          <w:sz w:val="26"/>
          <w:szCs w:val="26"/>
          <w:lang w:val="lv-LV"/>
        </w:rPr>
        <w:t>valsts sekretāra vietnieks</w:t>
      </w:r>
      <w:r w:rsidR="00D562B8">
        <w:rPr>
          <w:sz w:val="26"/>
          <w:szCs w:val="26"/>
          <w:lang w:val="lv-LV"/>
        </w:rPr>
        <w:tab/>
      </w:r>
      <w:r>
        <w:rPr>
          <w:sz w:val="26"/>
          <w:szCs w:val="26"/>
          <w:lang w:val="lv-LV"/>
        </w:rPr>
        <w:t>A.Liepiņš</w:t>
      </w:r>
    </w:p>
    <w:p w:rsidR="00431E07" w:rsidRDefault="00431E07" w:rsidP="00F22471">
      <w:pPr>
        <w:jc w:val="both"/>
        <w:rPr>
          <w:sz w:val="22"/>
          <w:szCs w:val="22"/>
          <w:lang w:val="lv-LV"/>
        </w:rPr>
      </w:pPr>
    </w:p>
    <w:p w:rsidR="00AB3DCB" w:rsidRDefault="00AB3DCB" w:rsidP="00F22471">
      <w:pPr>
        <w:jc w:val="both"/>
        <w:rPr>
          <w:sz w:val="22"/>
          <w:szCs w:val="22"/>
          <w:lang w:val="lv-LV"/>
        </w:rPr>
      </w:pPr>
    </w:p>
    <w:p w:rsidR="00F119F5" w:rsidRDefault="00F119F5" w:rsidP="00F22471">
      <w:pPr>
        <w:jc w:val="both"/>
        <w:rPr>
          <w:sz w:val="22"/>
          <w:szCs w:val="22"/>
          <w:lang w:val="lv-LV"/>
        </w:rPr>
      </w:pPr>
    </w:p>
    <w:p w:rsidR="00AB3DCB" w:rsidRDefault="00AB3DCB" w:rsidP="00F22471">
      <w:pPr>
        <w:jc w:val="both"/>
        <w:rPr>
          <w:sz w:val="22"/>
          <w:szCs w:val="22"/>
          <w:lang w:val="lv-LV"/>
        </w:rPr>
      </w:pPr>
    </w:p>
    <w:p w:rsidR="00BF2F17" w:rsidRPr="00431E07" w:rsidRDefault="00D870B5" w:rsidP="00F22471">
      <w:pPr>
        <w:jc w:val="both"/>
        <w:rPr>
          <w:sz w:val="22"/>
          <w:szCs w:val="22"/>
          <w:lang w:val="lv-LV"/>
        </w:rPr>
      </w:pPr>
      <w:r w:rsidRPr="00431E07">
        <w:rPr>
          <w:sz w:val="22"/>
          <w:szCs w:val="22"/>
          <w:lang w:val="lv-LV"/>
        </w:rPr>
        <w:fldChar w:fldCharType="begin"/>
      </w:r>
      <w:r w:rsidR="00BF2F17" w:rsidRPr="00431E07">
        <w:rPr>
          <w:sz w:val="22"/>
          <w:szCs w:val="22"/>
          <w:lang w:val="lv-LV"/>
        </w:rPr>
        <w:instrText xml:space="preserve"> TIME \@ "dd.MM.yyyy. H:mm" </w:instrText>
      </w:r>
      <w:r w:rsidRPr="00431E07">
        <w:rPr>
          <w:sz w:val="22"/>
          <w:szCs w:val="22"/>
          <w:lang w:val="lv-LV"/>
        </w:rPr>
        <w:fldChar w:fldCharType="separate"/>
      </w:r>
      <w:r w:rsidR="00776EEE">
        <w:rPr>
          <w:noProof/>
          <w:sz w:val="22"/>
          <w:szCs w:val="22"/>
          <w:lang w:val="lv-LV"/>
        </w:rPr>
        <w:t>28.11.2013. 10:28</w:t>
      </w:r>
      <w:r w:rsidRPr="00431E07">
        <w:rPr>
          <w:sz w:val="22"/>
          <w:szCs w:val="22"/>
          <w:lang w:val="lv-LV"/>
        </w:rPr>
        <w:fldChar w:fldCharType="end"/>
      </w:r>
    </w:p>
    <w:p w:rsidR="00BF2F17" w:rsidRPr="00431E07" w:rsidRDefault="00776EEE" w:rsidP="00F22471">
      <w:pPr>
        <w:jc w:val="both"/>
        <w:rPr>
          <w:sz w:val="22"/>
          <w:szCs w:val="22"/>
          <w:lang w:val="lv-LV"/>
        </w:rPr>
      </w:pPr>
      <w:r>
        <w:fldChar w:fldCharType="begin"/>
      </w:r>
      <w:r>
        <w:instrText xml:space="preserve"> NUMWORDS   \* MERGEFORMAT </w:instrText>
      </w:r>
      <w:r>
        <w:fldChar w:fldCharType="separate"/>
      </w:r>
      <w:r w:rsidR="00F119F5" w:rsidRPr="00F119F5">
        <w:rPr>
          <w:noProof/>
          <w:sz w:val="22"/>
          <w:szCs w:val="22"/>
          <w:lang w:val="lv-LV"/>
        </w:rPr>
        <w:t>1835</w:t>
      </w:r>
      <w:r>
        <w:rPr>
          <w:noProof/>
          <w:sz w:val="22"/>
          <w:szCs w:val="22"/>
          <w:lang w:val="lv-LV"/>
        </w:rPr>
        <w:fldChar w:fldCharType="end"/>
      </w:r>
    </w:p>
    <w:p w:rsidR="00643B54" w:rsidRPr="00431E07" w:rsidRDefault="00634095" w:rsidP="00F22471">
      <w:pPr>
        <w:jc w:val="both"/>
        <w:rPr>
          <w:color w:val="000000"/>
          <w:sz w:val="22"/>
          <w:szCs w:val="22"/>
          <w:lang w:val="lv-LV"/>
        </w:rPr>
      </w:pPr>
      <w:r w:rsidRPr="00431E07">
        <w:rPr>
          <w:color w:val="000000"/>
          <w:sz w:val="22"/>
          <w:szCs w:val="22"/>
          <w:lang w:val="lv-LV"/>
        </w:rPr>
        <w:t>E.Dlohi</w:t>
      </w:r>
    </w:p>
    <w:p w:rsidR="00097583" w:rsidRPr="00431E07" w:rsidRDefault="00B74BCA" w:rsidP="00F22471">
      <w:pPr>
        <w:jc w:val="both"/>
        <w:rPr>
          <w:color w:val="000000"/>
          <w:sz w:val="22"/>
          <w:szCs w:val="22"/>
          <w:lang w:val="lv-LV"/>
        </w:rPr>
      </w:pPr>
      <w:r w:rsidRPr="00431E07">
        <w:rPr>
          <w:sz w:val="22"/>
          <w:szCs w:val="22"/>
          <w:lang w:val="lv-LV"/>
        </w:rPr>
        <w:t>67013</w:t>
      </w:r>
      <w:r w:rsidR="00634095" w:rsidRPr="00431E07">
        <w:rPr>
          <w:sz w:val="22"/>
          <w:szCs w:val="22"/>
          <w:lang w:val="lv-LV"/>
        </w:rPr>
        <w:t>082</w:t>
      </w:r>
      <w:r w:rsidR="00386053" w:rsidRPr="00431E07">
        <w:rPr>
          <w:sz w:val="22"/>
          <w:szCs w:val="22"/>
          <w:lang w:val="lv-LV"/>
        </w:rPr>
        <w:t>,</w:t>
      </w:r>
      <w:r w:rsidRPr="00431E07">
        <w:rPr>
          <w:sz w:val="22"/>
          <w:szCs w:val="22"/>
          <w:lang w:val="lv-LV"/>
        </w:rPr>
        <w:t xml:space="preserve"> </w:t>
      </w:r>
      <w:hyperlink r:id="rId12" w:history="1">
        <w:r w:rsidR="00634095" w:rsidRPr="00431E07">
          <w:rPr>
            <w:rStyle w:val="Hyperlink"/>
            <w:sz w:val="22"/>
            <w:szCs w:val="22"/>
            <w:lang w:val="lv-LV"/>
          </w:rPr>
          <w:t>Elina.Dlohi@em.gov.lv</w:t>
        </w:r>
      </w:hyperlink>
    </w:p>
    <w:sectPr w:rsidR="00097583" w:rsidRPr="00431E07"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39" w:rsidRDefault="00AD5E39" w:rsidP="00B014C2">
      <w:r>
        <w:separator/>
      </w:r>
    </w:p>
  </w:endnote>
  <w:endnote w:type="continuationSeparator" w:id="0">
    <w:p w:rsidR="00AD5E39" w:rsidRDefault="00AD5E39"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B0" w:rsidRPr="00C33F2C" w:rsidRDefault="00C2009A" w:rsidP="000D09B0">
    <w:pPr>
      <w:pStyle w:val="BodyText"/>
      <w:rPr>
        <w:sz w:val="24"/>
        <w:szCs w:val="24"/>
      </w:rPr>
    </w:pPr>
    <w:r>
      <w:rPr>
        <w:sz w:val="24"/>
        <w:szCs w:val="24"/>
      </w:rPr>
      <w:t>EMAnot_</w:t>
    </w:r>
    <w:r w:rsidR="002270A2">
      <w:rPr>
        <w:sz w:val="24"/>
        <w:szCs w:val="24"/>
      </w:rPr>
      <w:t>2</w:t>
    </w:r>
    <w:r w:rsidR="005D17D1">
      <w:rPr>
        <w:sz w:val="24"/>
        <w:szCs w:val="24"/>
      </w:rPr>
      <w:t>8</w:t>
    </w:r>
    <w:r>
      <w:rPr>
        <w:sz w:val="24"/>
        <w:szCs w:val="24"/>
      </w:rPr>
      <w:t>11</w:t>
    </w:r>
    <w:r w:rsidR="000D09B0">
      <w:rPr>
        <w:sz w:val="24"/>
        <w:szCs w:val="24"/>
      </w:rPr>
      <w:t>13_groz238</w:t>
    </w:r>
    <w:r w:rsidR="000D09B0" w:rsidRPr="00634095">
      <w:rPr>
        <w:sz w:val="24"/>
        <w:szCs w:val="24"/>
      </w:rPr>
      <w:t>; Ministru kabineta noteikumu projekta „</w:t>
    </w:r>
    <w:r w:rsidR="000D09B0" w:rsidRPr="000D09B0">
      <w:rPr>
        <w:sz w:val="24"/>
        <w:szCs w:val="24"/>
      </w:rPr>
      <w:t>Grozījumi Ministru kabineta 2009.gada 10.marta noteikumos Nr.238 „Noteikumi par darbības programmas „Uzņēmējdarbība un inovācijas” papildinājuma 2.2.1.4.1.apakšaktivitāti „Atbalsts aizdevumu veidā komersantu konkurētspējas uzlabošanai</w:t>
    </w:r>
    <w:r w:rsidR="000D09B0">
      <w:rPr>
        <w:sz w:val="24"/>
        <w:szCs w:val="24"/>
      </w:rPr>
      <w:t xml:space="preserve">” </w:t>
    </w:r>
    <w:r w:rsidR="000D09B0"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0D09B0" w:rsidRPr="00C33F2C">
        <w:rPr>
          <w:sz w:val="24"/>
          <w:szCs w:val="24"/>
        </w:rPr>
        <w:t>ziņojums</w:t>
      </w:r>
    </w:smartTag>
    <w:r w:rsidR="000D09B0" w:rsidRPr="00C33F2C">
      <w:rPr>
        <w:sz w:val="24"/>
        <w:szCs w:val="24"/>
      </w:rPr>
      <w:t xml:space="preserve"> (anotācija)</w:t>
    </w:r>
  </w:p>
  <w:p w:rsidR="00511C7D" w:rsidRPr="00307EC1" w:rsidRDefault="00511C7D" w:rsidP="0030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C33F2C" w:rsidRDefault="00C2009A" w:rsidP="00D7256E">
    <w:pPr>
      <w:pStyle w:val="BodyText"/>
      <w:rPr>
        <w:sz w:val="24"/>
        <w:szCs w:val="24"/>
      </w:rPr>
    </w:pPr>
    <w:r>
      <w:rPr>
        <w:sz w:val="24"/>
        <w:szCs w:val="24"/>
      </w:rPr>
      <w:t>EMAnot_</w:t>
    </w:r>
    <w:r w:rsidR="002270A2">
      <w:rPr>
        <w:sz w:val="24"/>
        <w:szCs w:val="24"/>
      </w:rPr>
      <w:t>2</w:t>
    </w:r>
    <w:r w:rsidR="005D17D1">
      <w:rPr>
        <w:sz w:val="24"/>
        <w:szCs w:val="24"/>
      </w:rPr>
      <w:t>8</w:t>
    </w:r>
    <w:r>
      <w:rPr>
        <w:sz w:val="24"/>
        <w:szCs w:val="24"/>
      </w:rPr>
      <w:t>11</w:t>
    </w:r>
    <w:r w:rsidR="000D09B0">
      <w:rPr>
        <w:sz w:val="24"/>
        <w:szCs w:val="24"/>
      </w:rPr>
      <w:t>13_groz238</w:t>
    </w:r>
    <w:r w:rsidR="00511C7D" w:rsidRPr="00634095">
      <w:rPr>
        <w:sz w:val="24"/>
        <w:szCs w:val="24"/>
      </w:rPr>
      <w:t xml:space="preserve">; </w:t>
    </w:r>
    <w:bookmarkStart w:id="5" w:name="OLE_LINK12"/>
    <w:bookmarkStart w:id="6" w:name="OLE_LINK13"/>
    <w:bookmarkStart w:id="7" w:name="_Hlk259447629"/>
    <w:r w:rsidR="00511C7D" w:rsidRPr="00634095">
      <w:rPr>
        <w:sz w:val="24"/>
        <w:szCs w:val="24"/>
      </w:rPr>
      <w:t>Ministru kabineta noteikumu projekta „</w:t>
    </w:r>
    <w:r w:rsidR="000D09B0" w:rsidRPr="000D09B0">
      <w:rPr>
        <w:sz w:val="24"/>
        <w:szCs w:val="24"/>
      </w:rPr>
      <w:t>Grozījumi Ministru kabineta 2009.gada 10.marta noteikumos Nr.238 „Noteikumi par darbības programmas „Uzņēmējdarbība un inovācijas” papildinājuma 2.2.1.4.1.apakšaktivitāti „Atbalsts aizdevumu veidā komersantu konkurētspējas uzlabošanai</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bookmarkEnd w:id="5"/>
    <w:bookmarkEnd w:id="6"/>
    <w:bookmarkEnd w:id="7"/>
  </w:p>
  <w:p w:rsidR="00307EC1" w:rsidRDefault="00307E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39" w:rsidRDefault="00AD5E39" w:rsidP="00B014C2">
      <w:r>
        <w:separator/>
      </w:r>
    </w:p>
  </w:footnote>
  <w:footnote w:type="continuationSeparator" w:id="0">
    <w:p w:rsidR="00AD5E39" w:rsidRDefault="00AD5E39"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D870B5">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776EEE">
          <w:rPr>
            <w:noProof/>
            <w:sz w:val="24"/>
            <w:szCs w:val="24"/>
          </w:rPr>
          <w:t>2</w:t>
        </w:r>
        <w:r w:rsidRPr="00B014C2">
          <w:rPr>
            <w:sz w:val="24"/>
            <w:szCs w:val="24"/>
          </w:rPr>
          <w:fldChar w:fldCharType="end"/>
        </w:r>
      </w:p>
    </w:sdtContent>
  </w:sdt>
  <w:p w:rsidR="00511C7D" w:rsidRDefault="0051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C6458"/>
    <w:multiLevelType w:val="hybridMultilevel"/>
    <w:tmpl w:val="4DA4F856"/>
    <w:lvl w:ilvl="0" w:tplc="D5EEA598">
      <w:start w:val="2009"/>
      <w:numFmt w:val="bullet"/>
      <w:lvlText w:val="-"/>
      <w:lvlJc w:val="left"/>
      <w:pPr>
        <w:ind w:left="997" w:hanging="360"/>
      </w:pPr>
      <w:rPr>
        <w:rFonts w:ascii="Times New Roman" w:eastAsia="Calibri" w:hAnsi="Times New Roman"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E460DC5"/>
    <w:multiLevelType w:val="hybridMultilevel"/>
    <w:tmpl w:val="DA26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5">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6">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6"/>
  </w:num>
  <w:num w:numId="3">
    <w:abstractNumId w:val="12"/>
  </w:num>
  <w:num w:numId="4">
    <w:abstractNumId w:val="1"/>
  </w:num>
  <w:num w:numId="5">
    <w:abstractNumId w:val="0"/>
  </w:num>
  <w:num w:numId="6">
    <w:abstractNumId w:val="9"/>
  </w:num>
  <w:num w:numId="7">
    <w:abstractNumId w:val="16"/>
  </w:num>
  <w:num w:numId="8">
    <w:abstractNumId w:val="5"/>
  </w:num>
  <w:num w:numId="9">
    <w:abstractNumId w:val="11"/>
  </w:num>
  <w:num w:numId="10">
    <w:abstractNumId w:val="13"/>
  </w:num>
  <w:num w:numId="11">
    <w:abstractNumId w:val="3"/>
  </w:num>
  <w:num w:numId="12">
    <w:abstractNumId w:val="7"/>
  </w:num>
  <w:num w:numId="13">
    <w:abstractNumId w:val="15"/>
  </w:num>
  <w:num w:numId="14">
    <w:abstractNumId w:val="2"/>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0465"/>
    <w:rsid w:val="000016AB"/>
    <w:rsid w:val="00004AE6"/>
    <w:rsid w:val="00004C45"/>
    <w:rsid w:val="0001186C"/>
    <w:rsid w:val="0001199D"/>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3211"/>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25B3"/>
    <w:rsid w:val="000A402E"/>
    <w:rsid w:val="000A4AED"/>
    <w:rsid w:val="000A5FB9"/>
    <w:rsid w:val="000B0719"/>
    <w:rsid w:val="000B08FC"/>
    <w:rsid w:val="000B10BD"/>
    <w:rsid w:val="000B2AE3"/>
    <w:rsid w:val="000D0388"/>
    <w:rsid w:val="000D09B0"/>
    <w:rsid w:val="000D19C8"/>
    <w:rsid w:val="000D2F05"/>
    <w:rsid w:val="000D4AE3"/>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54CC"/>
    <w:rsid w:val="001267F1"/>
    <w:rsid w:val="001305B3"/>
    <w:rsid w:val="001309DA"/>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469"/>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270A2"/>
    <w:rsid w:val="0023085A"/>
    <w:rsid w:val="00230FB6"/>
    <w:rsid w:val="00231EB0"/>
    <w:rsid w:val="0023251B"/>
    <w:rsid w:val="00233657"/>
    <w:rsid w:val="00233F7A"/>
    <w:rsid w:val="0023462C"/>
    <w:rsid w:val="00234C58"/>
    <w:rsid w:val="00234DDC"/>
    <w:rsid w:val="00235168"/>
    <w:rsid w:val="00236989"/>
    <w:rsid w:val="00245D09"/>
    <w:rsid w:val="00247529"/>
    <w:rsid w:val="002507A0"/>
    <w:rsid w:val="002523D8"/>
    <w:rsid w:val="002543B5"/>
    <w:rsid w:val="0025484B"/>
    <w:rsid w:val="00257EAE"/>
    <w:rsid w:val="00261B9F"/>
    <w:rsid w:val="002639D9"/>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7EC1"/>
    <w:rsid w:val="003124BE"/>
    <w:rsid w:val="00314594"/>
    <w:rsid w:val="00314A13"/>
    <w:rsid w:val="00314E07"/>
    <w:rsid w:val="00315BB0"/>
    <w:rsid w:val="00320EB0"/>
    <w:rsid w:val="00321E80"/>
    <w:rsid w:val="00322A15"/>
    <w:rsid w:val="00324F11"/>
    <w:rsid w:val="00330AF0"/>
    <w:rsid w:val="003312F2"/>
    <w:rsid w:val="00335837"/>
    <w:rsid w:val="00335C2E"/>
    <w:rsid w:val="00335CC3"/>
    <w:rsid w:val="003365BB"/>
    <w:rsid w:val="003369C8"/>
    <w:rsid w:val="003372CD"/>
    <w:rsid w:val="00340E1F"/>
    <w:rsid w:val="00341D01"/>
    <w:rsid w:val="0034284E"/>
    <w:rsid w:val="00343171"/>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09B"/>
    <w:rsid w:val="00383500"/>
    <w:rsid w:val="00384799"/>
    <w:rsid w:val="00385DB0"/>
    <w:rsid w:val="00386053"/>
    <w:rsid w:val="00391942"/>
    <w:rsid w:val="00396D2E"/>
    <w:rsid w:val="003A3394"/>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D4D2F"/>
    <w:rsid w:val="003E0167"/>
    <w:rsid w:val="003E0BD3"/>
    <w:rsid w:val="003E284A"/>
    <w:rsid w:val="003E2968"/>
    <w:rsid w:val="003E3604"/>
    <w:rsid w:val="003E5E3D"/>
    <w:rsid w:val="003E6CB3"/>
    <w:rsid w:val="003F0B61"/>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1E07"/>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2892"/>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713"/>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47BA1"/>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C7BF3"/>
    <w:rsid w:val="005D1220"/>
    <w:rsid w:val="005D17D1"/>
    <w:rsid w:val="005D3658"/>
    <w:rsid w:val="005D4522"/>
    <w:rsid w:val="005D6171"/>
    <w:rsid w:val="005E4730"/>
    <w:rsid w:val="005E713D"/>
    <w:rsid w:val="005F09EC"/>
    <w:rsid w:val="005F3202"/>
    <w:rsid w:val="005F6018"/>
    <w:rsid w:val="00607722"/>
    <w:rsid w:val="00610DDF"/>
    <w:rsid w:val="00614602"/>
    <w:rsid w:val="006218A6"/>
    <w:rsid w:val="00622FB8"/>
    <w:rsid w:val="00625D54"/>
    <w:rsid w:val="00626F78"/>
    <w:rsid w:val="00630367"/>
    <w:rsid w:val="006309F5"/>
    <w:rsid w:val="00630A14"/>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15"/>
    <w:rsid w:val="006722B5"/>
    <w:rsid w:val="00672A2F"/>
    <w:rsid w:val="00673175"/>
    <w:rsid w:val="00674BA7"/>
    <w:rsid w:val="00676770"/>
    <w:rsid w:val="0068051B"/>
    <w:rsid w:val="00681496"/>
    <w:rsid w:val="00682B64"/>
    <w:rsid w:val="0068409B"/>
    <w:rsid w:val="00684EA2"/>
    <w:rsid w:val="006910BE"/>
    <w:rsid w:val="006A170C"/>
    <w:rsid w:val="006A3A28"/>
    <w:rsid w:val="006A52B0"/>
    <w:rsid w:val="006A668E"/>
    <w:rsid w:val="006A6AD4"/>
    <w:rsid w:val="006A7488"/>
    <w:rsid w:val="006A7638"/>
    <w:rsid w:val="006B0947"/>
    <w:rsid w:val="006B0E03"/>
    <w:rsid w:val="006C114F"/>
    <w:rsid w:val="006C15FA"/>
    <w:rsid w:val="006C16D7"/>
    <w:rsid w:val="006C76D2"/>
    <w:rsid w:val="006D0B9B"/>
    <w:rsid w:val="006D1F62"/>
    <w:rsid w:val="006D23AE"/>
    <w:rsid w:val="006D30BF"/>
    <w:rsid w:val="006D662F"/>
    <w:rsid w:val="006D69A4"/>
    <w:rsid w:val="006D7553"/>
    <w:rsid w:val="006E07AC"/>
    <w:rsid w:val="006E09B6"/>
    <w:rsid w:val="006E0ECB"/>
    <w:rsid w:val="006E1F97"/>
    <w:rsid w:val="006E3949"/>
    <w:rsid w:val="006F02CA"/>
    <w:rsid w:val="006F0C19"/>
    <w:rsid w:val="006F24A8"/>
    <w:rsid w:val="006F56C1"/>
    <w:rsid w:val="007049BD"/>
    <w:rsid w:val="007058E9"/>
    <w:rsid w:val="0070678E"/>
    <w:rsid w:val="00706EC2"/>
    <w:rsid w:val="00707D26"/>
    <w:rsid w:val="00716874"/>
    <w:rsid w:val="00720EE5"/>
    <w:rsid w:val="007217E4"/>
    <w:rsid w:val="00721D6C"/>
    <w:rsid w:val="00721E50"/>
    <w:rsid w:val="00725107"/>
    <w:rsid w:val="00725B16"/>
    <w:rsid w:val="007278CF"/>
    <w:rsid w:val="00732C19"/>
    <w:rsid w:val="00732F77"/>
    <w:rsid w:val="00734289"/>
    <w:rsid w:val="007363F2"/>
    <w:rsid w:val="00737AB8"/>
    <w:rsid w:val="00742BAF"/>
    <w:rsid w:val="00743E33"/>
    <w:rsid w:val="00744513"/>
    <w:rsid w:val="0075648C"/>
    <w:rsid w:val="00763941"/>
    <w:rsid w:val="00767185"/>
    <w:rsid w:val="00767E0F"/>
    <w:rsid w:val="007715A2"/>
    <w:rsid w:val="00771E40"/>
    <w:rsid w:val="0077435A"/>
    <w:rsid w:val="00776EEE"/>
    <w:rsid w:val="00781C31"/>
    <w:rsid w:val="00786BED"/>
    <w:rsid w:val="00790E90"/>
    <w:rsid w:val="00791433"/>
    <w:rsid w:val="007918C0"/>
    <w:rsid w:val="00793496"/>
    <w:rsid w:val="00793A6B"/>
    <w:rsid w:val="00794B98"/>
    <w:rsid w:val="00797D6F"/>
    <w:rsid w:val="007A0D95"/>
    <w:rsid w:val="007A14D0"/>
    <w:rsid w:val="007A1564"/>
    <w:rsid w:val="007A2498"/>
    <w:rsid w:val="007A4F15"/>
    <w:rsid w:val="007B0767"/>
    <w:rsid w:val="007B3BE8"/>
    <w:rsid w:val="007B461A"/>
    <w:rsid w:val="007C1582"/>
    <w:rsid w:val="007C2960"/>
    <w:rsid w:val="007C2992"/>
    <w:rsid w:val="007C62F5"/>
    <w:rsid w:val="007C7357"/>
    <w:rsid w:val="007C7B92"/>
    <w:rsid w:val="007D054D"/>
    <w:rsid w:val="007D14B7"/>
    <w:rsid w:val="007D45FD"/>
    <w:rsid w:val="007D6721"/>
    <w:rsid w:val="007D6900"/>
    <w:rsid w:val="007D6D62"/>
    <w:rsid w:val="007D7A8A"/>
    <w:rsid w:val="007E0403"/>
    <w:rsid w:val="007E0A01"/>
    <w:rsid w:val="007E1DC0"/>
    <w:rsid w:val="007E63F8"/>
    <w:rsid w:val="007E7623"/>
    <w:rsid w:val="007F0242"/>
    <w:rsid w:val="007F0C15"/>
    <w:rsid w:val="00807565"/>
    <w:rsid w:val="00810BB4"/>
    <w:rsid w:val="00812990"/>
    <w:rsid w:val="00814B24"/>
    <w:rsid w:val="0081539E"/>
    <w:rsid w:val="00815CC0"/>
    <w:rsid w:val="008173C3"/>
    <w:rsid w:val="00817839"/>
    <w:rsid w:val="00817C0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B34"/>
    <w:rsid w:val="00880F80"/>
    <w:rsid w:val="008822A5"/>
    <w:rsid w:val="008833AC"/>
    <w:rsid w:val="00883A80"/>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26CC7"/>
    <w:rsid w:val="00930CFF"/>
    <w:rsid w:val="00932B78"/>
    <w:rsid w:val="00933744"/>
    <w:rsid w:val="0094012A"/>
    <w:rsid w:val="00940388"/>
    <w:rsid w:val="009429B7"/>
    <w:rsid w:val="00944903"/>
    <w:rsid w:val="009450CF"/>
    <w:rsid w:val="00945AEE"/>
    <w:rsid w:val="0094634F"/>
    <w:rsid w:val="0094732D"/>
    <w:rsid w:val="00947CF8"/>
    <w:rsid w:val="009520C3"/>
    <w:rsid w:val="0095680E"/>
    <w:rsid w:val="0095696B"/>
    <w:rsid w:val="00962693"/>
    <w:rsid w:val="00962CEA"/>
    <w:rsid w:val="009637AA"/>
    <w:rsid w:val="00964B4F"/>
    <w:rsid w:val="00971B45"/>
    <w:rsid w:val="00972275"/>
    <w:rsid w:val="00977A1D"/>
    <w:rsid w:val="0098472B"/>
    <w:rsid w:val="009906DC"/>
    <w:rsid w:val="0099344A"/>
    <w:rsid w:val="00994A10"/>
    <w:rsid w:val="00995388"/>
    <w:rsid w:val="00996D7F"/>
    <w:rsid w:val="009A164D"/>
    <w:rsid w:val="009A19C7"/>
    <w:rsid w:val="009A38AD"/>
    <w:rsid w:val="009A4558"/>
    <w:rsid w:val="009A6C4D"/>
    <w:rsid w:val="009A712C"/>
    <w:rsid w:val="009B0DB2"/>
    <w:rsid w:val="009B1A70"/>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1355"/>
    <w:rsid w:val="00A14437"/>
    <w:rsid w:val="00A14502"/>
    <w:rsid w:val="00A15971"/>
    <w:rsid w:val="00A246DC"/>
    <w:rsid w:val="00A271B4"/>
    <w:rsid w:val="00A27386"/>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3DCB"/>
    <w:rsid w:val="00AB488D"/>
    <w:rsid w:val="00AB5B30"/>
    <w:rsid w:val="00AB5FC3"/>
    <w:rsid w:val="00AB6101"/>
    <w:rsid w:val="00AC0231"/>
    <w:rsid w:val="00AC07D2"/>
    <w:rsid w:val="00AC6009"/>
    <w:rsid w:val="00AD0DF6"/>
    <w:rsid w:val="00AD2826"/>
    <w:rsid w:val="00AD2F20"/>
    <w:rsid w:val="00AD4944"/>
    <w:rsid w:val="00AD5849"/>
    <w:rsid w:val="00AD5E39"/>
    <w:rsid w:val="00AD7CF0"/>
    <w:rsid w:val="00AE05F1"/>
    <w:rsid w:val="00AE1659"/>
    <w:rsid w:val="00AE4EB6"/>
    <w:rsid w:val="00AE51EC"/>
    <w:rsid w:val="00AE6E0C"/>
    <w:rsid w:val="00AF1E99"/>
    <w:rsid w:val="00B014C2"/>
    <w:rsid w:val="00B033B8"/>
    <w:rsid w:val="00B0347F"/>
    <w:rsid w:val="00B04FAA"/>
    <w:rsid w:val="00B108BB"/>
    <w:rsid w:val="00B121E8"/>
    <w:rsid w:val="00B13499"/>
    <w:rsid w:val="00B15A6C"/>
    <w:rsid w:val="00B1662F"/>
    <w:rsid w:val="00B20342"/>
    <w:rsid w:val="00B20D39"/>
    <w:rsid w:val="00B221CA"/>
    <w:rsid w:val="00B274BB"/>
    <w:rsid w:val="00B30133"/>
    <w:rsid w:val="00B37577"/>
    <w:rsid w:val="00B4119A"/>
    <w:rsid w:val="00B45711"/>
    <w:rsid w:val="00B46B34"/>
    <w:rsid w:val="00B5655C"/>
    <w:rsid w:val="00B56EB8"/>
    <w:rsid w:val="00B57637"/>
    <w:rsid w:val="00B57C79"/>
    <w:rsid w:val="00B60083"/>
    <w:rsid w:val="00B60EEC"/>
    <w:rsid w:val="00B6151B"/>
    <w:rsid w:val="00B6155C"/>
    <w:rsid w:val="00B6163A"/>
    <w:rsid w:val="00B62197"/>
    <w:rsid w:val="00B63BE0"/>
    <w:rsid w:val="00B6474E"/>
    <w:rsid w:val="00B65CFA"/>
    <w:rsid w:val="00B70F42"/>
    <w:rsid w:val="00B73B75"/>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E9B"/>
    <w:rsid w:val="00BA2F99"/>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09A"/>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342"/>
    <w:rsid w:val="00C83591"/>
    <w:rsid w:val="00C83878"/>
    <w:rsid w:val="00C84027"/>
    <w:rsid w:val="00C85068"/>
    <w:rsid w:val="00C86127"/>
    <w:rsid w:val="00C8799F"/>
    <w:rsid w:val="00C87B1B"/>
    <w:rsid w:val="00C906FA"/>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1D5F"/>
    <w:rsid w:val="00CC2408"/>
    <w:rsid w:val="00CC4F60"/>
    <w:rsid w:val="00CC76C2"/>
    <w:rsid w:val="00CD40FD"/>
    <w:rsid w:val="00CD4E1C"/>
    <w:rsid w:val="00CE09F6"/>
    <w:rsid w:val="00CE128B"/>
    <w:rsid w:val="00CE46A5"/>
    <w:rsid w:val="00CF0131"/>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557C"/>
    <w:rsid w:val="00D478F2"/>
    <w:rsid w:val="00D50452"/>
    <w:rsid w:val="00D562B8"/>
    <w:rsid w:val="00D56DA8"/>
    <w:rsid w:val="00D62CCB"/>
    <w:rsid w:val="00D71175"/>
    <w:rsid w:val="00D7155A"/>
    <w:rsid w:val="00D71706"/>
    <w:rsid w:val="00D7256E"/>
    <w:rsid w:val="00D72F3D"/>
    <w:rsid w:val="00D74282"/>
    <w:rsid w:val="00D8286C"/>
    <w:rsid w:val="00D83021"/>
    <w:rsid w:val="00D870B5"/>
    <w:rsid w:val="00D94B9B"/>
    <w:rsid w:val="00D94F4A"/>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1C8A"/>
    <w:rsid w:val="00DD21C0"/>
    <w:rsid w:val="00DD42C2"/>
    <w:rsid w:val="00DD5665"/>
    <w:rsid w:val="00DE01CE"/>
    <w:rsid w:val="00DE0762"/>
    <w:rsid w:val="00DE67FC"/>
    <w:rsid w:val="00DF00C1"/>
    <w:rsid w:val="00DF05BB"/>
    <w:rsid w:val="00DF0637"/>
    <w:rsid w:val="00DF0A7E"/>
    <w:rsid w:val="00DF4BCE"/>
    <w:rsid w:val="00E03A78"/>
    <w:rsid w:val="00E07DF2"/>
    <w:rsid w:val="00E147E0"/>
    <w:rsid w:val="00E22906"/>
    <w:rsid w:val="00E22D5A"/>
    <w:rsid w:val="00E22EBE"/>
    <w:rsid w:val="00E234CB"/>
    <w:rsid w:val="00E237AA"/>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06B4"/>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B03F5"/>
    <w:rsid w:val="00EB263C"/>
    <w:rsid w:val="00EB4862"/>
    <w:rsid w:val="00EB760E"/>
    <w:rsid w:val="00EC09FD"/>
    <w:rsid w:val="00EC1C10"/>
    <w:rsid w:val="00EC1CD1"/>
    <w:rsid w:val="00EC4103"/>
    <w:rsid w:val="00ED175B"/>
    <w:rsid w:val="00ED1D3C"/>
    <w:rsid w:val="00ED29AD"/>
    <w:rsid w:val="00ED377B"/>
    <w:rsid w:val="00ED49F3"/>
    <w:rsid w:val="00EE35DE"/>
    <w:rsid w:val="00EE4E64"/>
    <w:rsid w:val="00EE4FC3"/>
    <w:rsid w:val="00EF132E"/>
    <w:rsid w:val="00EF26A5"/>
    <w:rsid w:val="00EF335B"/>
    <w:rsid w:val="00EF4B50"/>
    <w:rsid w:val="00EF662A"/>
    <w:rsid w:val="00EF6CB9"/>
    <w:rsid w:val="00EF6E5B"/>
    <w:rsid w:val="00EF7435"/>
    <w:rsid w:val="00EF7A99"/>
    <w:rsid w:val="00F017F1"/>
    <w:rsid w:val="00F02F53"/>
    <w:rsid w:val="00F10EB1"/>
    <w:rsid w:val="00F119F5"/>
    <w:rsid w:val="00F12786"/>
    <w:rsid w:val="00F14553"/>
    <w:rsid w:val="00F154DF"/>
    <w:rsid w:val="00F15932"/>
    <w:rsid w:val="00F1704E"/>
    <w:rsid w:val="00F1783B"/>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5D66"/>
    <w:rsid w:val="00F573E5"/>
    <w:rsid w:val="00F60C28"/>
    <w:rsid w:val="00F64547"/>
    <w:rsid w:val="00F65DC0"/>
    <w:rsid w:val="00F65EC5"/>
    <w:rsid w:val="00F67545"/>
    <w:rsid w:val="00F722C5"/>
    <w:rsid w:val="00F73E4D"/>
    <w:rsid w:val="00F73FBF"/>
    <w:rsid w:val="00F768B2"/>
    <w:rsid w:val="00F80221"/>
    <w:rsid w:val="00F81BA5"/>
    <w:rsid w:val="00F82D25"/>
    <w:rsid w:val="00F86F4B"/>
    <w:rsid w:val="00F90307"/>
    <w:rsid w:val="00F91217"/>
    <w:rsid w:val="00F9294A"/>
    <w:rsid w:val="00F92A3D"/>
    <w:rsid w:val="00F95280"/>
    <w:rsid w:val="00F97A74"/>
    <w:rsid w:val="00FA2DB4"/>
    <w:rsid w:val="00FA371D"/>
    <w:rsid w:val="00FA6053"/>
    <w:rsid w:val="00FA6507"/>
    <w:rsid w:val="00FA6DB0"/>
    <w:rsid w:val="00FA742A"/>
    <w:rsid w:val="00FA7C2F"/>
    <w:rsid w:val="00FB0E25"/>
    <w:rsid w:val="00FB1CCB"/>
    <w:rsid w:val="00FB4555"/>
    <w:rsid w:val="00FB553F"/>
    <w:rsid w:val="00FC02DA"/>
    <w:rsid w:val="00FC4CC7"/>
    <w:rsid w:val="00FC5AC6"/>
    <w:rsid w:val="00FD3BBA"/>
    <w:rsid w:val="00FD4326"/>
    <w:rsid w:val="00FD7D7A"/>
    <w:rsid w:val="00FE2734"/>
    <w:rsid w:val="00FE7A80"/>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customStyle="1" w:styleId="FootnoteTextChar">
    <w:name w:val="Footnote Text Char"/>
    <w:link w:val="FootnoteText"/>
    <w:uiPriority w:val="99"/>
    <w:locked/>
    <w:rsid w:val="006D7553"/>
  </w:style>
  <w:style w:type="paragraph" w:styleId="FootnoteText">
    <w:name w:val="footnote text"/>
    <w:basedOn w:val="Normal"/>
    <w:link w:val="FootnoteTextChar"/>
    <w:uiPriority w:val="99"/>
    <w:rsid w:val="006D7553"/>
    <w:rPr>
      <w:rFonts w:eastAsiaTheme="minorHAnsi" w:cstheme="minorBidi"/>
      <w:sz w:val="24"/>
      <w:szCs w:val="22"/>
      <w:lang w:val="lv-LV"/>
    </w:rPr>
  </w:style>
  <w:style w:type="character" w:customStyle="1" w:styleId="FootnoteTextChar1">
    <w:name w:val="Footnote Text Char1"/>
    <w:basedOn w:val="DefaultParagraphFont"/>
    <w:uiPriority w:val="99"/>
    <w:semiHidden/>
    <w:rsid w:val="006D7553"/>
    <w:rPr>
      <w:rFonts w:eastAsia="Calibri" w:cs="Times New Roman"/>
      <w:sz w:val="20"/>
      <w:szCs w:val="20"/>
      <w:lang w:val="en-AU"/>
    </w:rPr>
  </w:style>
  <w:style w:type="character" w:styleId="FootnoteReference">
    <w:name w:val="footnote reference"/>
    <w:uiPriority w:val="99"/>
    <w:rsid w:val="006D7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customStyle="1" w:styleId="FootnoteTextChar">
    <w:name w:val="Footnote Text Char"/>
    <w:link w:val="FootnoteText"/>
    <w:uiPriority w:val="99"/>
    <w:locked/>
    <w:rsid w:val="006D7553"/>
  </w:style>
  <w:style w:type="paragraph" w:styleId="FootnoteText">
    <w:name w:val="footnote text"/>
    <w:basedOn w:val="Normal"/>
    <w:link w:val="FootnoteTextChar"/>
    <w:uiPriority w:val="99"/>
    <w:rsid w:val="006D7553"/>
    <w:rPr>
      <w:rFonts w:eastAsiaTheme="minorHAnsi" w:cstheme="minorBidi"/>
      <w:sz w:val="24"/>
      <w:szCs w:val="22"/>
      <w:lang w:val="lv-LV"/>
    </w:rPr>
  </w:style>
  <w:style w:type="character" w:customStyle="1" w:styleId="FootnoteTextChar1">
    <w:name w:val="Footnote Text Char1"/>
    <w:basedOn w:val="DefaultParagraphFont"/>
    <w:uiPriority w:val="99"/>
    <w:semiHidden/>
    <w:rsid w:val="006D7553"/>
    <w:rPr>
      <w:rFonts w:eastAsia="Calibri" w:cs="Times New Roman"/>
      <w:sz w:val="20"/>
      <w:szCs w:val="20"/>
      <w:lang w:val="en-AU"/>
    </w:rPr>
  </w:style>
  <w:style w:type="character" w:styleId="FootnoteReference">
    <w:name w:val="footnote reference"/>
    <w:uiPriority w:val="99"/>
    <w:rsid w:val="006D7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470">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69911183">
      <w:bodyDiv w:val="1"/>
      <w:marLeft w:val="0"/>
      <w:marRight w:val="0"/>
      <w:marTop w:val="0"/>
      <w:marBottom w:val="0"/>
      <w:divBdr>
        <w:top w:val="none" w:sz="0" w:space="0" w:color="auto"/>
        <w:left w:val="none" w:sz="0" w:space="0" w:color="auto"/>
        <w:bottom w:val="none" w:sz="0" w:space="0" w:color="auto"/>
        <w:right w:val="none" w:sz="0" w:space="0" w:color="auto"/>
      </w:divBdr>
    </w:div>
    <w:div w:id="1075007036">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EE2F-4336-4E41-AB5D-06C6CEAC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9261</Words>
  <Characters>5279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Nr.238 „Noteikumi par darbības programmas „Uzņēmējdarbība un inovācijas” papildinājuma 2.2.1.4.1.apakšaktivitāti „Atbalsts aizdevumu veidā komersantu konkurēts</vt:lpstr>
    </vt:vector>
  </TitlesOfParts>
  <Company>LR Ekonomikas ministrija</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7</cp:revision>
  <cp:lastPrinted>2013-06-27T09:11:00Z</cp:lastPrinted>
  <dcterms:created xsi:type="dcterms:W3CDTF">2013-11-01T13:00:00Z</dcterms:created>
  <dcterms:modified xsi:type="dcterms:W3CDTF">2013-11-28T08:28:00Z</dcterms:modified>
</cp:coreProperties>
</file>