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D8" w:rsidRPr="009459C5" w:rsidRDefault="00202A38" w:rsidP="009459C5">
      <w:pPr>
        <w:jc w:val="center"/>
        <w:rPr>
          <w:szCs w:val="28"/>
          <w:lang w:val="lv-LV"/>
        </w:rPr>
      </w:pPr>
      <w:r w:rsidRPr="009459C5">
        <w:rPr>
          <w:szCs w:val="28"/>
          <w:lang w:val="lv-LV"/>
        </w:rPr>
        <w:t>Ministru kabineta noteikumu projekta</w:t>
      </w:r>
    </w:p>
    <w:p w:rsidR="009459C5" w:rsidRPr="009459C5" w:rsidRDefault="009459C5" w:rsidP="000A7D0E">
      <w:pPr>
        <w:ind w:left="2160" w:firstLine="720"/>
        <w:rPr>
          <w:szCs w:val="28"/>
          <w:lang w:val="lv-LV"/>
        </w:rPr>
      </w:pPr>
    </w:p>
    <w:p w:rsidR="009459C5" w:rsidRPr="009459C5" w:rsidRDefault="004851DF" w:rsidP="000A7D0E">
      <w:pPr>
        <w:jc w:val="center"/>
        <w:rPr>
          <w:szCs w:val="28"/>
          <w:lang w:val="lv-LV" w:eastAsia="lv-LV"/>
        </w:rPr>
      </w:pPr>
      <w:r w:rsidRPr="009459C5">
        <w:rPr>
          <w:b/>
          <w:szCs w:val="28"/>
          <w:lang w:val="lv-LV"/>
        </w:rPr>
        <w:t>„</w:t>
      </w:r>
      <w:r w:rsidR="00854270" w:rsidRPr="009459C5">
        <w:rPr>
          <w:b/>
          <w:bCs/>
          <w:szCs w:val="28"/>
          <w:lang w:val="lv-LV" w:eastAsia="lv-LV"/>
        </w:rPr>
        <w:t>Grozījums</w:t>
      </w:r>
      <w:r w:rsidR="0014667D" w:rsidRPr="009459C5">
        <w:rPr>
          <w:b/>
          <w:bCs/>
          <w:szCs w:val="28"/>
          <w:lang w:val="lv-LV" w:eastAsia="lv-LV"/>
        </w:rPr>
        <w:t xml:space="preserve"> </w:t>
      </w:r>
      <w:r w:rsidR="0014667D" w:rsidRPr="009459C5">
        <w:rPr>
          <w:rFonts w:eastAsia="Arial Unicode MS"/>
          <w:b/>
          <w:szCs w:val="28"/>
          <w:lang w:val="lv-LV"/>
        </w:rPr>
        <w:t xml:space="preserve">Ministru kabineta 2006.gada </w:t>
      </w:r>
      <w:r w:rsidR="007E2FA1" w:rsidRPr="009459C5">
        <w:rPr>
          <w:rFonts w:eastAsia="Arial Unicode MS"/>
          <w:b/>
          <w:szCs w:val="28"/>
          <w:lang w:val="lv-LV"/>
        </w:rPr>
        <w:t>19</w:t>
      </w:r>
      <w:r w:rsidR="0014667D" w:rsidRPr="009459C5">
        <w:rPr>
          <w:rFonts w:eastAsia="Arial Unicode MS"/>
          <w:b/>
          <w:szCs w:val="28"/>
          <w:lang w:val="lv-LV"/>
        </w:rPr>
        <w:t>.decembra noteikumos Nr.</w:t>
      </w:r>
      <w:r w:rsidR="007E2FA1" w:rsidRPr="009459C5">
        <w:rPr>
          <w:rFonts w:eastAsia="Arial Unicode MS"/>
          <w:b/>
          <w:szCs w:val="28"/>
          <w:lang w:val="lv-LV"/>
        </w:rPr>
        <w:t>1016</w:t>
      </w:r>
      <w:r w:rsidR="0014667D" w:rsidRPr="009459C5">
        <w:rPr>
          <w:rFonts w:eastAsia="Arial Unicode MS"/>
          <w:b/>
          <w:szCs w:val="28"/>
          <w:lang w:val="lv-LV"/>
        </w:rPr>
        <w:t xml:space="preserve"> „</w:t>
      </w:r>
      <w:r w:rsidR="007E2FA1" w:rsidRPr="009459C5">
        <w:rPr>
          <w:b/>
          <w:bCs/>
          <w:szCs w:val="28"/>
          <w:lang w:val="lv-LV" w:eastAsia="lv-LV"/>
        </w:rPr>
        <w:t>Noteikumi par nacionālo mērvienību etalonu sarakstu””</w:t>
      </w:r>
      <w:r w:rsidR="007E2FA1" w:rsidRPr="009459C5">
        <w:rPr>
          <w:szCs w:val="28"/>
          <w:lang w:val="lv-LV" w:eastAsia="lv-LV"/>
        </w:rPr>
        <w:t xml:space="preserve"> </w:t>
      </w:r>
    </w:p>
    <w:p w:rsidR="009459C5" w:rsidRPr="009459C5" w:rsidRDefault="009459C5" w:rsidP="000A7D0E">
      <w:pPr>
        <w:jc w:val="center"/>
        <w:rPr>
          <w:szCs w:val="28"/>
          <w:lang w:val="lv-LV" w:eastAsia="lv-LV"/>
        </w:rPr>
      </w:pPr>
    </w:p>
    <w:p w:rsidR="0087063B" w:rsidRPr="009459C5" w:rsidRDefault="007E2FA1" w:rsidP="000A7D0E">
      <w:pPr>
        <w:jc w:val="center"/>
        <w:rPr>
          <w:szCs w:val="28"/>
          <w:lang w:val="lv-LV" w:eastAsia="lv-LV"/>
        </w:rPr>
      </w:pPr>
      <w:r w:rsidRPr="009459C5">
        <w:rPr>
          <w:bCs/>
          <w:szCs w:val="28"/>
          <w:lang w:val="lv-LV" w:eastAsia="lv-LV"/>
        </w:rPr>
        <w:t xml:space="preserve">sākotnējās ietekmes novērtējuma </w:t>
      </w:r>
      <w:r w:rsidR="000B2AFB" w:rsidRPr="009459C5">
        <w:rPr>
          <w:bCs/>
          <w:szCs w:val="28"/>
          <w:lang w:val="lv-LV" w:eastAsia="lv-LV"/>
        </w:rPr>
        <w:t>ziņojums</w:t>
      </w:r>
      <w:r w:rsidR="004851DF" w:rsidRPr="009459C5">
        <w:rPr>
          <w:bCs/>
          <w:szCs w:val="28"/>
          <w:lang w:val="lv-LV" w:eastAsia="lv-LV"/>
        </w:rPr>
        <w:t xml:space="preserve"> </w:t>
      </w:r>
    </w:p>
    <w:p w:rsidR="0087063B" w:rsidRPr="009459C5" w:rsidRDefault="000B2AFB" w:rsidP="000A7D0E">
      <w:pPr>
        <w:jc w:val="center"/>
        <w:rPr>
          <w:szCs w:val="28"/>
          <w:lang w:val="lv-LV"/>
        </w:rPr>
      </w:pPr>
      <w:r w:rsidRPr="009459C5">
        <w:rPr>
          <w:szCs w:val="28"/>
          <w:lang w:val="lv-LV"/>
        </w:rPr>
        <w:t>(</w:t>
      </w:r>
      <w:r w:rsidR="00501760" w:rsidRPr="009459C5">
        <w:rPr>
          <w:szCs w:val="28"/>
          <w:lang w:val="lv-LV"/>
        </w:rPr>
        <w:t>a</w:t>
      </w:r>
      <w:r w:rsidR="00D927D8" w:rsidRPr="009459C5">
        <w:rPr>
          <w:szCs w:val="28"/>
          <w:lang w:val="lv-LV"/>
        </w:rPr>
        <w:t>notācija</w:t>
      </w:r>
      <w:r w:rsidRPr="009459C5">
        <w:rPr>
          <w:szCs w:val="28"/>
          <w:lang w:val="lv-LV"/>
        </w:rPr>
        <w:t>)</w:t>
      </w:r>
    </w:p>
    <w:p w:rsidR="009459C5" w:rsidRPr="00862A04" w:rsidRDefault="009459C5" w:rsidP="000A7D0E">
      <w:pPr>
        <w:jc w:val="center"/>
        <w:rPr>
          <w:b/>
          <w:sz w:val="24"/>
          <w:szCs w:val="24"/>
          <w:lang w:val="lv-LV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6912"/>
      </w:tblGrid>
      <w:tr w:rsidR="004A2589" w:rsidRPr="008A5DC5">
        <w:tc>
          <w:tcPr>
            <w:tcW w:w="9288" w:type="dxa"/>
            <w:gridSpan w:val="2"/>
          </w:tcPr>
          <w:p w:rsidR="004A2589" w:rsidRPr="00D9673B" w:rsidRDefault="00D9673B" w:rsidP="001C5C8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410002">
              <w:rPr>
                <w:b/>
                <w:bCs/>
                <w:sz w:val="24"/>
                <w:szCs w:val="24"/>
                <w:lang w:val="lv-LV" w:eastAsia="lv-LV"/>
              </w:rPr>
              <w:t> I. Tiesību akta projekta izstrādes nepieciešamība</w:t>
            </w:r>
          </w:p>
        </w:tc>
      </w:tr>
      <w:tr w:rsidR="00A00FFF" w:rsidRPr="008A5DC5" w:rsidTr="007A5B41">
        <w:trPr>
          <w:trHeight w:val="3277"/>
        </w:trPr>
        <w:tc>
          <w:tcPr>
            <w:tcW w:w="2376" w:type="dxa"/>
          </w:tcPr>
          <w:p w:rsidR="00A00FFF" w:rsidRPr="00B8503A" w:rsidRDefault="00A00FFF" w:rsidP="005B5F7D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03A">
              <w:rPr>
                <w:rFonts w:ascii="Times New Roman" w:hAnsi="Times New Roman"/>
                <w:sz w:val="24"/>
                <w:szCs w:val="24"/>
              </w:rPr>
              <w:t>1. </w:t>
            </w:r>
            <w:r w:rsidR="00D9673B" w:rsidRPr="00410002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912" w:type="dxa"/>
          </w:tcPr>
          <w:p w:rsidR="007A5B41" w:rsidRPr="00862A04" w:rsidRDefault="009F2D54" w:rsidP="004624D8">
            <w:pPr>
              <w:spacing w:after="120"/>
              <w:ind w:firstLine="459"/>
              <w:jc w:val="both"/>
              <w:rPr>
                <w:noProof/>
                <w:sz w:val="24"/>
                <w:szCs w:val="24"/>
                <w:lang w:val="lv-LV"/>
              </w:rPr>
            </w:pPr>
            <w:r w:rsidRPr="00D10756">
              <w:rPr>
                <w:noProof/>
                <w:sz w:val="24"/>
                <w:szCs w:val="24"/>
                <w:lang w:val="lv-LV"/>
              </w:rPr>
              <w:t xml:space="preserve">Ministru kabineta noteikumu projekts </w:t>
            </w:r>
            <w:r w:rsidR="00D10756" w:rsidRPr="00D10756">
              <w:rPr>
                <w:noProof/>
                <w:sz w:val="24"/>
                <w:szCs w:val="24"/>
                <w:lang w:val="lv-LV"/>
              </w:rPr>
              <w:t>„</w:t>
            </w:r>
            <w:r w:rsidR="00854270">
              <w:rPr>
                <w:noProof/>
                <w:sz w:val="24"/>
                <w:szCs w:val="24"/>
                <w:lang w:val="lv-LV"/>
              </w:rPr>
              <w:t>Grozījums</w:t>
            </w:r>
            <w:r w:rsidR="007E2FA1" w:rsidRPr="007E2FA1">
              <w:rPr>
                <w:noProof/>
                <w:sz w:val="24"/>
                <w:szCs w:val="24"/>
                <w:lang w:val="lv-LV"/>
              </w:rPr>
              <w:t xml:space="preserve"> Ministru kabineta 2006.gada 19.decembra noteikumos Nr.1016 „Noteikumi par nacionālo mērvienību etalonu sarakstu</w:t>
            </w:r>
            <w:r w:rsidR="00D10756" w:rsidRPr="00D10756">
              <w:rPr>
                <w:noProof/>
                <w:sz w:val="24"/>
                <w:szCs w:val="24"/>
                <w:lang w:val="lv-LV"/>
              </w:rPr>
              <w:t>””</w:t>
            </w:r>
            <w:r w:rsidR="00D10756">
              <w:rPr>
                <w:noProof/>
                <w:sz w:val="24"/>
                <w:szCs w:val="24"/>
                <w:lang w:val="lv-LV"/>
              </w:rPr>
              <w:t xml:space="preserve"> izstrādāts, </w:t>
            </w:r>
            <w:r w:rsidR="00D10756" w:rsidRPr="00D10756">
              <w:rPr>
                <w:noProof/>
                <w:sz w:val="24"/>
                <w:szCs w:val="24"/>
                <w:lang w:val="lv-LV"/>
              </w:rPr>
              <w:t>lai saskaņotu noteikumu prasības ar likum</w:t>
            </w:r>
            <w:r w:rsidR="00237360">
              <w:rPr>
                <w:noProof/>
                <w:sz w:val="24"/>
                <w:szCs w:val="24"/>
                <w:lang w:val="lv-LV"/>
              </w:rPr>
              <w:t>u</w:t>
            </w:r>
            <w:r w:rsidR="00D10756" w:rsidRPr="00D10756">
              <w:rPr>
                <w:noProof/>
                <w:sz w:val="24"/>
                <w:szCs w:val="24"/>
                <w:lang w:val="lv-LV"/>
              </w:rPr>
              <w:t xml:space="preserve"> „Grozījumi</w:t>
            </w:r>
            <w:r w:rsidR="00D10756" w:rsidRPr="00D10756">
              <w:rPr>
                <w:sz w:val="24"/>
                <w:szCs w:val="24"/>
                <w:lang w:val="lv-LV"/>
              </w:rPr>
              <w:t xml:space="preserve"> likumā „</w:t>
            </w:r>
            <w:r w:rsidR="00D10756">
              <w:rPr>
                <w:sz w:val="24"/>
                <w:szCs w:val="24"/>
                <w:lang w:val="lv-LV"/>
              </w:rPr>
              <w:t>Par mērījumu vienotību</w:t>
            </w:r>
            <w:r w:rsidR="00D10756" w:rsidRPr="00D10756">
              <w:rPr>
                <w:sz w:val="24"/>
                <w:szCs w:val="24"/>
                <w:lang w:val="lv-LV"/>
              </w:rPr>
              <w:t xml:space="preserve">”” (12.06.2009. likums (L.V., </w:t>
            </w:r>
            <w:r w:rsidR="00DD6BA3">
              <w:rPr>
                <w:sz w:val="24"/>
                <w:szCs w:val="24"/>
                <w:lang w:val="lv-LV"/>
              </w:rPr>
              <w:t>2009</w:t>
            </w:r>
            <w:r w:rsidR="0034257F">
              <w:rPr>
                <w:sz w:val="24"/>
                <w:szCs w:val="24"/>
                <w:lang w:val="lv-LV"/>
              </w:rPr>
              <w:t>., nr.97</w:t>
            </w:r>
            <w:r w:rsidR="00D10756" w:rsidRPr="00D10756">
              <w:rPr>
                <w:sz w:val="24"/>
                <w:szCs w:val="24"/>
                <w:lang w:val="lv-LV"/>
              </w:rPr>
              <w:t>))</w:t>
            </w:r>
            <w:r w:rsidR="00237360">
              <w:rPr>
                <w:sz w:val="24"/>
                <w:szCs w:val="24"/>
                <w:lang w:val="lv-LV"/>
              </w:rPr>
              <w:t xml:space="preserve">, kā arī </w:t>
            </w:r>
            <w:r w:rsidR="00D10756" w:rsidRPr="00D10756">
              <w:rPr>
                <w:sz w:val="24"/>
                <w:szCs w:val="24"/>
                <w:lang w:val="lv-LV"/>
              </w:rPr>
              <w:t xml:space="preserve">ņemot vērā </w:t>
            </w:r>
            <w:r w:rsidR="00237360">
              <w:rPr>
                <w:sz w:val="24"/>
                <w:szCs w:val="24"/>
                <w:lang w:val="lv-LV"/>
              </w:rPr>
              <w:t xml:space="preserve">Ministru kabineta </w:t>
            </w:r>
            <w:r w:rsidR="00D10756" w:rsidRPr="00D10756">
              <w:rPr>
                <w:sz w:val="24"/>
                <w:szCs w:val="24"/>
                <w:lang w:val="lv-LV"/>
              </w:rPr>
              <w:t>2009</w:t>
            </w:r>
            <w:r w:rsidR="00332672">
              <w:rPr>
                <w:sz w:val="24"/>
                <w:szCs w:val="24"/>
                <w:lang w:val="lv-LV"/>
              </w:rPr>
              <w:t xml:space="preserve">.gada 29.maija rīkojumu Nr.351 </w:t>
            </w:r>
            <w:r w:rsidR="00D10756" w:rsidRPr="00D10756">
              <w:rPr>
                <w:sz w:val="24"/>
                <w:szCs w:val="24"/>
                <w:lang w:val="lv-LV"/>
              </w:rPr>
              <w:t>„Par metroloģijas un akreditācijas valsts aģentūras likvidāciju un tās funkciju nodošanu SIA „</w:t>
            </w:r>
            <w:r w:rsidR="00D10756" w:rsidRPr="00D10756">
              <w:rPr>
                <w:noProof/>
                <w:sz w:val="24"/>
                <w:szCs w:val="24"/>
                <w:lang w:val="lv-LV"/>
              </w:rPr>
              <w:t>Latvijas standarts””</w:t>
            </w:r>
            <w:r w:rsidR="00237360">
              <w:rPr>
                <w:noProof/>
                <w:sz w:val="24"/>
                <w:szCs w:val="24"/>
                <w:lang w:val="lv-LV"/>
              </w:rPr>
              <w:t>,</w:t>
            </w:r>
            <w:r w:rsidR="00510653">
              <w:rPr>
                <w:noProof/>
                <w:sz w:val="24"/>
                <w:szCs w:val="24"/>
                <w:lang w:val="lv-LV"/>
              </w:rPr>
              <w:t xml:space="preserve"> kurā noteikts, ka </w:t>
            </w:r>
            <w:r w:rsidR="00237360">
              <w:rPr>
                <w:noProof/>
                <w:sz w:val="24"/>
                <w:szCs w:val="24"/>
                <w:lang w:val="lv-LV"/>
              </w:rPr>
              <w:t>k</w:t>
            </w:r>
            <w:r w:rsidR="00453BC8" w:rsidRPr="00237360">
              <w:rPr>
                <w:noProof/>
                <w:sz w:val="24"/>
                <w:szCs w:val="24"/>
                <w:lang w:val="lv-LV"/>
              </w:rPr>
              <w:t>opš 2009.gada 1.jūlij</w:t>
            </w:r>
            <w:r w:rsidR="003A2A89">
              <w:rPr>
                <w:noProof/>
                <w:sz w:val="24"/>
                <w:szCs w:val="24"/>
                <w:lang w:val="lv-LV"/>
              </w:rPr>
              <w:t>a sabiedrība</w:t>
            </w:r>
            <w:r w:rsidR="003A2A89" w:rsidRPr="00237360">
              <w:rPr>
                <w:noProof/>
                <w:sz w:val="24"/>
                <w:szCs w:val="24"/>
                <w:lang w:val="lv-LV"/>
              </w:rPr>
              <w:t xml:space="preserve"> ar ierobežotu atbildību „Standartizācijas, akreditācijas un metroloģijas centrs”</w:t>
            </w:r>
            <w:r w:rsidR="00453BC8" w:rsidRPr="00237360">
              <w:rPr>
                <w:noProof/>
                <w:sz w:val="24"/>
                <w:szCs w:val="24"/>
                <w:lang w:val="lv-LV"/>
              </w:rPr>
              <w:t xml:space="preserve"> </w:t>
            </w:r>
            <w:r w:rsidR="003A2A89">
              <w:rPr>
                <w:noProof/>
                <w:sz w:val="24"/>
                <w:szCs w:val="24"/>
                <w:lang w:val="lv-LV"/>
              </w:rPr>
              <w:t>ir aģentūras uzdevumu pārņēmējs.</w:t>
            </w:r>
            <w:r w:rsidR="002A2436">
              <w:rPr>
                <w:noProof/>
                <w:sz w:val="24"/>
                <w:szCs w:val="24"/>
                <w:lang w:val="lv-LV"/>
              </w:rPr>
              <w:t xml:space="preserve"> </w:t>
            </w:r>
          </w:p>
        </w:tc>
      </w:tr>
      <w:tr w:rsidR="00A00FFF" w:rsidRPr="008A5DC5" w:rsidTr="000B2AFB">
        <w:tc>
          <w:tcPr>
            <w:tcW w:w="2376" w:type="dxa"/>
          </w:tcPr>
          <w:p w:rsidR="00A00FFF" w:rsidRPr="00B8503A" w:rsidRDefault="00EA12C7" w:rsidP="005B5F7D">
            <w:pPr>
              <w:pStyle w:val="BodyText"/>
              <w:rPr>
                <w:sz w:val="24"/>
                <w:szCs w:val="24"/>
                <w:lang w:val="lv-LV"/>
              </w:rPr>
            </w:pPr>
            <w:r w:rsidRPr="00B8503A">
              <w:rPr>
                <w:sz w:val="24"/>
                <w:szCs w:val="24"/>
                <w:lang w:val="lv-LV"/>
              </w:rPr>
              <w:t>2.</w:t>
            </w:r>
            <w:r w:rsidR="00D9673B" w:rsidRPr="00DD6BA3">
              <w:rPr>
                <w:sz w:val="24"/>
                <w:szCs w:val="24"/>
                <w:lang w:val="lv-LV" w:eastAsia="lv-LV"/>
              </w:rPr>
              <w:t>Pašreizējā situācija un problēmas</w:t>
            </w:r>
          </w:p>
        </w:tc>
        <w:tc>
          <w:tcPr>
            <w:tcW w:w="6912" w:type="dxa"/>
          </w:tcPr>
          <w:p w:rsidR="0034257F" w:rsidRPr="007A5B41" w:rsidRDefault="00972ACF" w:rsidP="00B821FD">
            <w:pPr>
              <w:spacing w:after="120"/>
              <w:ind w:firstLine="459"/>
              <w:jc w:val="both"/>
              <w:rPr>
                <w:noProof/>
                <w:sz w:val="24"/>
                <w:szCs w:val="24"/>
                <w:lang w:val="lv-LV"/>
              </w:rPr>
            </w:pPr>
            <w:r w:rsidRPr="00972ACF">
              <w:rPr>
                <w:sz w:val="24"/>
                <w:szCs w:val="24"/>
                <w:lang w:val="lv-LV"/>
              </w:rPr>
              <w:t>Saskaņā ar Ministru kabineta 2009.gada 29.maija rīkojumu Nr.351 „Par metroloģijas un akreditācijas valsts aģentūras likvidāciju un tās funkciju nodošanu SIA „</w:t>
            </w:r>
            <w:r w:rsidRPr="00972ACF">
              <w:rPr>
                <w:noProof/>
                <w:sz w:val="24"/>
                <w:szCs w:val="24"/>
                <w:lang w:val="lv-LV"/>
              </w:rPr>
              <w:t>Latvijas standarts””</w:t>
            </w:r>
            <w:r w:rsidRPr="00972ACF">
              <w:rPr>
                <w:sz w:val="24"/>
                <w:szCs w:val="24"/>
                <w:lang w:val="lv-LV"/>
              </w:rPr>
              <w:t xml:space="preserve">, no </w:t>
            </w:r>
            <w:r w:rsidRPr="00972ACF">
              <w:rPr>
                <w:noProof/>
                <w:sz w:val="24"/>
                <w:szCs w:val="24"/>
                <w:lang w:val="lv-LV"/>
              </w:rPr>
              <w:t xml:space="preserve">2009.gada 1.jūlija sabiedrība ar ierobežotu atbildību „Standartizācijas, akreditācijas un metroloģijas centrs” (turpmāk - SIA SAMC) pārņēma aģentūras uzdevumus.  </w:t>
            </w:r>
            <w:r w:rsidRPr="00972ACF">
              <w:rPr>
                <w:sz w:val="24"/>
                <w:szCs w:val="24"/>
                <w:lang w:val="lv-LV"/>
              </w:rPr>
              <w:t xml:space="preserve">Viena no trim </w:t>
            </w:r>
            <w:r w:rsidRPr="00972ACF">
              <w:rPr>
                <w:noProof/>
                <w:sz w:val="24"/>
                <w:szCs w:val="24"/>
                <w:lang w:val="lv-LV"/>
              </w:rPr>
              <w:t>SIA SAMC</w:t>
            </w:r>
            <w:r w:rsidRPr="00972ACF">
              <w:rPr>
                <w:sz w:val="24"/>
                <w:szCs w:val="24"/>
                <w:lang w:val="lv-LV"/>
              </w:rPr>
              <w:t xml:space="preserve"> struktūrvienībām ir Metroloģijas birojs </w:t>
            </w:r>
            <w:r w:rsidRPr="00972ACF">
              <w:rPr>
                <w:noProof/>
                <w:sz w:val="24"/>
                <w:szCs w:val="24"/>
                <w:lang w:val="lv-LV"/>
              </w:rPr>
              <w:t>(turpmāk - Metroloģijas birojs), kas</w:t>
            </w:r>
            <w:r w:rsidRPr="00972ACF">
              <w:rPr>
                <w:sz w:val="24"/>
                <w:szCs w:val="24"/>
                <w:lang w:val="lv-LV"/>
              </w:rPr>
              <w:t xml:space="preserve"> Eiropas Savienības tiesību aktu izpratnē ir nacionālā metroloģijas institūcija. </w:t>
            </w:r>
            <w:r w:rsidRPr="00972ACF">
              <w:rPr>
                <w:noProof/>
                <w:sz w:val="24"/>
                <w:szCs w:val="24"/>
                <w:lang w:val="lv-LV"/>
              </w:rPr>
              <w:t>Jaunizveidotajam Metroloģijas birojam tika sašaurināta darbības sfēra, kura šobrīd vairs neietver radiācijas metroloģijas mērījumus, kā rezultātā Metroloģijas birojs vairs nevar nodrošināt atbilstošo mērvienību un to reproducējošo nacionālo etalonu uzturēšanu</w:t>
            </w:r>
            <w:r w:rsidRPr="00972ACF">
              <w:rPr>
                <w:sz w:val="24"/>
                <w:szCs w:val="24"/>
                <w:lang w:val="lv-LV"/>
              </w:rPr>
              <w:t>.</w:t>
            </w:r>
          </w:p>
        </w:tc>
      </w:tr>
      <w:tr w:rsidR="00D9673B" w:rsidRPr="00942148" w:rsidTr="000B2AFB">
        <w:tc>
          <w:tcPr>
            <w:tcW w:w="2376" w:type="dxa"/>
          </w:tcPr>
          <w:p w:rsidR="00D9673B" w:rsidRPr="00D9673B" w:rsidRDefault="00BB4BA5" w:rsidP="005B5F7D">
            <w:pPr>
              <w:pStyle w:val="BodyTex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t>3.S</w:t>
            </w:r>
            <w:r w:rsidR="000B2AFB">
              <w:rPr>
                <w:sz w:val="24"/>
                <w:szCs w:val="24"/>
                <w:lang w:val="lv-LV" w:eastAsia="lv-LV"/>
              </w:rPr>
              <w:t xml:space="preserve">aistītie politikas ietekmes </w:t>
            </w:r>
            <w:r w:rsidR="00D9673B" w:rsidRPr="00410002">
              <w:rPr>
                <w:sz w:val="24"/>
                <w:szCs w:val="24"/>
                <w:lang w:val="lv-LV" w:eastAsia="lv-LV"/>
              </w:rPr>
              <w:t>novērtējumi un pētījumi</w:t>
            </w:r>
          </w:p>
        </w:tc>
        <w:tc>
          <w:tcPr>
            <w:tcW w:w="6912" w:type="dxa"/>
          </w:tcPr>
          <w:p w:rsidR="00D9673B" w:rsidRPr="003937FC" w:rsidRDefault="00D9673B" w:rsidP="00D9673B">
            <w:pPr>
              <w:pStyle w:val="naisf"/>
              <w:spacing w:before="0" w:after="0"/>
              <w:ind w:firstLine="0"/>
            </w:pPr>
            <w:r>
              <w:t>Nav</w:t>
            </w:r>
            <w:r w:rsidR="00EB0105">
              <w:t xml:space="preserve"> attiecināms.</w:t>
            </w:r>
          </w:p>
        </w:tc>
      </w:tr>
      <w:tr w:rsidR="00A00FFF" w:rsidRPr="008A5DC5" w:rsidTr="000B2AFB">
        <w:tc>
          <w:tcPr>
            <w:tcW w:w="2376" w:type="dxa"/>
          </w:tcPr>
          <w:p w:rsidR="00A00FFF" w:rsidRPr="00B8503A" w:rsidRDefault="00D9673B" w:rsidP="00AA284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BA5">
              <w:rPr>
                <w:rFonts w:ascii="Times New Roman" w:hAnsi="Times New Roman"/>
                <w:sz w:val="24"/>
                <w:szCs w:val="24"/>
              </w:rPr>
              <w:t>.</w:t>
            </w:r>
            <w:r w:rsidRPr="00410002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6912" w:type="dxa"/>
          </w:tcPr>
          <w:p w:rsidR="00584826" w:rsidRPr="004624D8" w:rsidRDefault="004624D8" w:rsidP="00B821FD">
            <w:pPr>
              <w:ind w:firstLine="459"/>
              <w:jc w:val="both"/>
              <w:rPr>
                <w:sz w:val="24"/>
                <w:szCs w:val="24"/>
                <w:lang w:val="lv-LV"/>
              </w:rPr>
            </w:pPr>
            <w:r w:rsidRPr="004624D8">
              <w:rPr>
                <w:sz w:val="24"/>
                <w:szCs w:val="24"/>
                <w:lang w:val="lv-LV"/>
              </w:rPr>
              <w:t>Noteikumu projekts aktualizē nacionālo mērvienību etalonu sarakstu</w:t>
            </w:r>
            <w:r w:rsidR="00B821FD">
              <w:rPr>
                <w:sz w:val="24"/>
                <w:szCs w:val="24"/>
                <w:lang w:val="lv-LV"/>
              </w:rPr>
              <w:t>.</w:t>
            </w:r>
          </w:p>
        </w:tc>
      </w:tr>
      <w:tr w:rsidR="00D9673B" w:rsidRPr="008A5DC5" w:rsidTr="000B2AFB">
        <w:tc>
          <w:tcPr>
            <w:tcW w:w="2376" w:type="dxa"/>
          </w:tcPr>
          <w:p w:rsidR="00D9673B" w:rsidRDefault="00D9673B" w:rsidP="00AA284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10002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912" w:type="dxa"/>
          </w:tcPr>
          <w:p w:rsidR="00D9673B" w:rsidRPr="00C16D95" w:rsidRDefault="00EB0105" w:rsidP="004624D8">
            <w:pPr>
              <w:pStyle w:val="naisf"/>
              <w:spacing w:before="0" w:after="0"/>
              <w:ind w:firstLine="459"/>
              <w:rPr>
                <w:lang w:eastAsia="en-US"/>
              </w:rPr>
            </w:pPr>
            <w:r w:rsidRPr="00EC425C">
              <w:t>Noteikumu projekts izstrādāts</w:t>
            </w:r>
            <w:r w:rsidR="00B821FD">
              <w:t>,</w:t>
            </w:r>
            <w:r w:rsidRPr="00EC425C">
              <w:t xml:space="preserve"> konsultējoties ar </w:t>
            </w:r>
            <w:r w:rsidR="00291323">
              <w:rPr>
                <w:noProof/>
              </w:rPr>
              <w:t>M</w:t>
            </w:r>
            <w:r>
              <w:rPr>
                <w:noProof/>
              </w:rPr>
              <w:t>etroloģijas biroja speciālistiem.</w:t>
            </w:r>
          </w:p>
        </w:tc>
      </w:tr>
      <w:tr w:rsidR="00D9673B" w:rsidRPr="00B8503A" w:rsidTr="000B2AFB">
        <w:tc>
          <w:tcPr>
            <w:tcW w:w="2376" w:type="dxa"/>
          </w:tcPr>
          <w:p w:rsidR="00D9673B" w:rsidRDefault="00D9673B" w:rsidP="00AA284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7. </w:t>
            </w:r>
            <w:r w:rsidRPr="00410002">
              <w:rPr>
                <w:rFonts w:ascii="Times New Roman" w:hAnsi="Times New Roman"/>
                <w:sz w:val="24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6912" w:type="dxa"/>
          </w:tcPr>
          <w:p w:rsidR="00D9673B" w:rsidRPr="00C16D95" w:rsidRDefault="00D9673B" w:rsidP="00D9673B">
            <w:pPr>
              <w:spacing w:before="75" w:after="75"/>
              <w:ind w:firstLine="34"/>
              <w:jc w:val="both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Nav</w:t>
            </w:r>
            <w:r w:rsidR="004D0479">
              <w:rPr>
                <w:sz w:val="24"/>
                <w:szCs w:val="24"/>
                <w:lang w:val="lv-LV" w:eastAsia="lv-LV"/>
              </w:rPr>
              <w:t xml:space="preserve"> attiecināms.</w:t>
            </w:r>
          </w:p>
        </w:tc>
      </w:tr>
      <w:tr w:rsidR="00A00FFF" w:rsidRPr="00B8503A" w:rsidTr="000B2AFB">
        <w:tc>
          <w:tcPr>
            <w:tcW w:w="2376" w:type="dxa"/>
          </w:tcPr>
          <w:p w:rsidR="00A00FFF" w:rsidRPr="00B8503A" w:rsidRDefault="005C078A" w:rsidP="002360B4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03A">
              <w:rPr>
                <w:rFonts w:ascii="Times New Roman" w:hAnsi="Times New Roman"/>
                <w:sz w:val="24"/>
                <w:szCs w:val="24"/>
              </w:rPr>
              <w:t>4</w:t>
            </w:r>
            <w:r w:rsidR="00A00FFF" w:rsidRPr="00B8503A">
              <w:rPr>
                <w:rFonts w:ascii="Times New Roman" w:hAnsi="Times New Roman"/>
                <w:sz w:val="24"/>
                <w:szCs w:val="24"/>
              </w:rPr>
              <w:t>. Cita informācija</w:t>
            </w:r>
          </w:p>
        </w:tc>
        <w:tc>
          <w:tcPr>
            <w:tcW w:w="6912" w:type="dxa"/>
          </w:tcPr>
          <w:p w:rsidR="00A00FFF" w:rsidRPr="00B8503A" w:rsidRDefault="002360B4" w:rsidP="00236C29">
            <w:pPr>
              <w:jc w:val="both"/>
              <w:rPr>
                <w:sz w:val="24"/>
                <w:szCs w:val="24"/>
                <w:lang w:val="lv-LV"/>
              </w:rPr>
            </w:pPr>
            <w:r w:rsidRPr="00B8503A">
              <w:rPr>
                <w:sz w:val="24"/>
                <w:szCs w:val="24"/>
                <w:lang w:val="lv-LV"/>
              </w:rPr>
              <w:t>Nav.</w:t>
            </w:r>
            <w:r w:rsidR="005C2CC1" w:rsidRPr="00B8503A">
              <w:rPr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5D4E1B" w:rsidRDefault="005D4E1B" w:rsidP="00A80FE4">
      <w:pPr>
        <w:pStyle w:val="Footer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napToGrid/>
          <w:sz w:val="24"/>
          <w:szCs w:val="24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3"/>
        <w:gridCol w:w="3969"/>
      </w:tblGrid>
      <w:tr w:rsidR="008F652C" w:rsidRPr="008A5DC5" w:rsidTr="004D0479">
        <w:trPr>
          <w:trHeight w:val="37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2C" w:rsidRPr="00D9673B" w:rsidRDefault="00D9673B" w:rsidP="00D721F0">
            <w:pPr>
              <w:jc w:val="center"/>
              <w:rPr>
                <w:sz w:val="24"/>
                <w:szCs w:val="24"/>
                <w:lang w:val="lv-LV"/>
              </w:rPr>
            </w:pPr>
            <w:r w:rsidRPr="00410002">
              <w:rPr>
                <w:b/>
                <w:bCs/>
                <w:sz w:val="24"/>
                <w:szCs w:val="24"/>
                <w:lang w:val="lv-LV" w:eastAsia="lv-LV"/>
              </w:rPr>
              <w:t>II. Tiesību akta projekta ietekme uz sabiedrību</w:t>
            </w:r>
          </w:p>
        </w:tc>
      </w:tr>
      <w:tr w:rsidR="008F652C" w:rsidRPr="008A5DC5" w:rsidTr="00EB0105">
        <w:tc>
          <w:tcPr>
            <w:tcW w:w="5353" w:type="dxa"/>
            <w:tcBorders>
              <w:top w:val="single" w:sz="4" w:space="0" w:color="auto"/>
            </w:tcBorders>
          </w:tcPr>
          <w:p w:rsidR="008F652C" w:rsidRPr="00EF5061" w:rsidRDefault="008F652C" w:rsidP="007602FA">
            <w:pPr>
              <w:pStyle w:val="naiskr"/>
              <w:spacing w:before="0" w:after="0"/>
              <w:jc w:val="both"/>
            </w:pPr>
            <w:r>
              <w:lastRenderedPageBreak/>
              <w:t>1. </w:t>
            </w:r>
            <w:r w:rsidR="00D9673B" w:rsidRPr="00410002">
              <w:t xml:space="preserve">Sabiedrības </w:t>
            </w:r>
            <w:proofErr w:type="spellStart"/>
            <w:r w:rsidR="00D9673B" w:rsidRPr="00410002">
              <w:t>mērķgrupa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F652C" w:rsidRPr="004D0479" w:rsidRDefault="00C070B1" w:rsidP="00C070B1">
            <w:pPr>
              <w:ind w:left="34"/>
              <w:jc w:val="both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Valsts metroloģiskai kontrolei </w:t>
            </w:r>
            <w:r w:rsidR="00752071">
              <w:rPr>
                <w:bCs/>
                <w:sz w:val="24"/>
                <w:szCs w:val="24"/>
                <w:lang w:val="lv-LV"/>
              </w:rPr>
              <w:t>pakļauto m</w:t>
            </w:r>
            <w:r w:rsidR="004D0479" w:rsidRPr="004D0479">
              <w:rPr>
                <w:bCs/>
                <w:sz w:val="24"/>
                <w:szCs w:val="24"/>
                <w:lang w:val="lv-LV"/>
              </w:rPr>
              <w:t xml:space="preserve">ērīšanas līdzekļu </w:t>
            </w:r>
            <w:r w:rsidR="00752071">
              <w:rPr>
                <w:bCs/>
                <w:sz w:val="24"/>
                <w:szCs w:val="24"/>
                <w:lang w:val="lv-LV"/>
              </w:rPr>
              <w:t>lietotāji</w:t>
            </w:r>
            <w:r w:rsidR="004D0479">
              <w:rPr>
                <w:bCs/>
                <w:sz w:val="24"/>
                <w:szCs w:val="24"/>
                <w:lang w:val="lv-LV"/>
              </w:rPr>
              <w:t>.</w:t>
            </w:r>
          </w:p>
        </w:tc>
      </w:tr>
      <w:tr w:rsidR="00D9673B" w:rsidRPr="00742CF2" w:rsidTr="00EB0105">
        <w:tc>
          <w:tcPr>
            <w:tcW w:w="5353" w:type="dxa"/>
            <w:tcBorders>
              <w:top w:val="single" w:sz="4" w:space="0" w:color="auto"/>
            </w:tcBorders>
          </w:tcPr>
          <w:p w:rsidR="00D9673B" w:rsidRDefault="00D9673B" w:rsidP="007602FA">
            <w:pPr>
              <w:pStyle w:val="naiskr"/>
              <w:spacing w:before="0" w:after="0"/>
              <w:jc w:val="both"/>
            </w:pPr>
            <w:r>
              <w:t xml:space="preserve">2. </w:t>
            </w:r>
            <w:r w:rsidRPr="00410002">
              <w:t xml:space="preserve">Citas sabiedrības grupas (bez </w:t>
            </w:r>
            <w:proofErr w:type="spellStart"/>
            <w:r w:rsidRPr="00410002">
              <w:t>mērķgrupas</w:t>
            </w:r>
            <w:proofErr w:type="spellEnd"/>
            <w:r w:rsidRPr="00410002">
              <w:t>), kuras tiesiskais regulējums arī ietekmē vai varētu ietekmēt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9673B" w:rsidRPr="00941392" w:rsidRDefault="00941392" w:rsidP="00D721F0">
            <w:pPr>
              <w:jc w:val="both"/>
              <w:rPr>
                <w:bCs/>
                <w:sz w:val="24"/>
                <w:szCs w:val="24"/>
                <w:lang w:val="lv-LV"/>
              </w:rPr>
            </w:pPr>
            <w:r w:rsidRPr="00941392">
              <w:rPr>
                <w:bCs/>
                <w:sz w:val="24"/>
                <w:szCs w:val="24"/>
                <w:lang w:val="lv-LV"/>
              </w:rPr>
              <w:t>Nav</w:t>
            </w:r>
            <w:r>
              <w:rPr>
                <w:bCs/>
                <w:sz w:val="24"/>
                <w:szCs w:val="24"/>
                <w:lang w:val="lv-LV"/>
              </w:rPr>
              <w:t>.</w:t>
            </w:r>
          </w:p>
        </w:tc>
      </w:tr>
      <w:tr w:rsidR="00D9673B" w:rsidRPr="00742CF2" w:rsidTr="00EB0105">
        <w:tc>
          <w:tcPr>
            <w:tcW w:w="5353" w:type="dxa"/>
            <w:tcBorders>
              <w:top w:val="single" w:sz="4" w:space="0" w:color="auto"/>
            </w:tcBorders>
          </w:tcPr>
          <w:p w:rsidR="00D9673B" w:rsidRDefault="00D9673B" w:rsidP="007602FA">
            <w:pPr>
              <w:pStyle w:val="naiskr"/>
              <w:spacing w:before="0" w:after="0"/>
              <w:jc w:val="both"/>
            </w:pPr>
            <w:r>
              <w:t>3.</w:t>
            </w:r>
            <w:r w:rsidRPr="00410002">
              <w:t xml:space="preserve"> Tiesiskā regulējuma finansiālā ietekme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9673B" w:rsidRPr="00941392" w:rsidRDefault="00941392" w:rsidP="00D721F0">
            <w:pPr>
              <w:jc w:val="both"/>
              <w:rPr>
                <w:bCs/>
                <w:sz w:val="24"/>
                <w:szCs w:val="24"/>
                <w:lang w:val="lv-LV"/>
              </w:rPr>
            </w:pPr>
            <w:r w:rsidRPr="00941392">
              <w:rPr>
                <w:bCs/>
                <w:sz w:val="24"/>
                <w:szCs w:val="24"/>
                <w:lang w:val="lv-LV"/>
              </w:rPr>
              <w:t>Nav.</w:t>
            </w:r>
          </w:p>
        </w:tc>
      </w:tr>
      <w:tr w:rsidR="00D9673B" w:rsidRPr="00742CF2" w:rsidTr="00EB0105">
        <w:tc>
          <w:tcPr>
            <w:tcW w:w="5353" w:type="dxa"/>
            <w:tcBorders>
              <w:top w:val="single" w:sz="4" w:space="0" w:color="auto"/>
            </w:tcBorders>
          </w:tcPr>
          <w:p w:rsidR="00D9673B" w:rsidRDefault="00D9673B" w:rsidP="007602FA">
            <w:pPr>
              <w:pStyle w:val="naiskr"/>
              <w:spacing w:before="0" w:after="0"/>
              <w:jc w:val="both"/>
            </w:pPr>
            <w:r>
              <w:t>4.</w:t>
            </w:r>
            <w:r w:rsidRPr="00410002">
              <w:t xml:space="preserve"> Tiesiskā regulējuma nefinansiālā ietekme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9673B" w:rsidRPr="00D64656" w:rsidRDefault="00941392" w:rsidP="00D721F0">
            <w:pPr>
              <w:jc w:val="both"/>
              <w:rPr>
                <w:bCs/>
                <w:sz w:val="24"/>
                <w:szCs w:val="24"/>
                <w:u w:val="single"/>
                <w:lang w:val="lv-LV"/>
              </w:rPr>
            </w:pPr>
            <w:r w:rsidRPr="00941392">
              <w:rPr>
                <w:bCs/>
                <w:sz w:val="24"/>
                <w:szCs w:val="24"/>
                <w:lang w:val="lv-LV"/>
              </w:rPr>
              <w:t>Nav.</w:t>
            </w:r>
          </w:p>
        </w:tc>
      </w:tr>
      <w:tr w:rsidR="00D9673B" w:rsidRPr="00742CF2" w:rsidTr="00EB0105">
        <w:tc>
          <w:tcPr>
            <w:tcW w:w="5353" w:type="dxa"/>
            <w:tcBorders>
              <w:top w:val="single" w:sz="4" w:space="0" w:color="auto"/>
            </w:tcBorders>
          </w:tcPr>
          <w:p w:rsidR="00025B33" w:rsidRPr="00410002" w:rsidRDefault="00D9673B" w:rsidP="00025B33">
            <w:pPr>
              <w:spacing w:before="63" w:after="63"/>
              <w:rPr>
                <w:sz w:val="24"/>
                <w:szCs w:val="24"/>
                <w:lang w:val="lv-LV" w:eastAsia="lv-LV"/>
              </w:rPr>
            </w:pPr>
            <w:r w:rsidRPr="00410002">
              <w:rPr>
                <w:sz w:val="24"/>
                <w:szCs w:val="24"/>
                <w:lang w:val="lv-LV" w:eastAsia="lv-LV"/>
              </w:rPr>
              <w:t> </w:t>
            </w:r>
            <w:r w:rsidRPr="00D9673B">
              <w:rPr>
                <w:sz w:val="24"/>
                <w:szCs w:val="24"/>
                <w:lang w:val="lv-LV" w:eastAsia="lv-LV"/>
              </w:rPr>
              <w:t xml:space="preserve">5. </w:t>
            </w:r>
            <w:r w:rsidRPr="00410002">
              <w:rPr>
                <w:sz w:val="24"/>
                <w:szCs w:val="24"/>
                <w:lang w:val="lv-LV" w:eastAsia="lv-LV"/>
              </w:rPr>
              <w:t>Administratīvās procedūras raksturojums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9673B" w:rsidRPr="00D64656" w:rsidRDefault="00941392" w:rsidP="00D721F0">
            <w:pPr>
              <w:jc w:val="both"/>
              <w:rPr>
                <w:bCs/>
                <w:sz w:val="24"/>
                <w:szCs w:val="24"/>
                <w:u w:val="single"/>
                <w:lang w:val="lv-LV"/>
              </w:rPr>
            </w:pPr>
            <w:r w:rsidRPr="00941392">
              <w:rPr>
                <w:bCs/>
                <w:sz w:val="24"/>
                <w:szCs w:val="24"/>
                <w:lang w:val="lv-LV"/>
              </w:rPr>
              <w:t>Nav.</w:t>
            </w:r>
          </w:p>
        </w:tc>
      </w:tr>
      <w:tr w:rsidR="00D9673B" w:rsidRPr="00742CF2" w:rsidTr="00EB0105">
        <w:tc>
          <w:tcPr>
            <w:tcW w:w="5353" w:type="dxa"/>
            <w:tcBorders>
              <w:top w:val="single" w:sz="4" w:space="0" w:color="auto"/>
            </w:tcBorders>
          </w:tcPr>
          <w:p w:rsidR="00025B33" w:rsidRPr="00410002" w:rsidRDefault="00D9673B" w:rsidP="00025B33">
            <w:pPr>
              <w:spacing w:before="63" w:after="63"/>
              <w:rPr>
                <w:sz w:val="24"/>
                <w:szCs w:val="24"/>
                <w:lang w:val="lv-LV" w:eastAsia="lv-LV"/>
              </w:rPr>
            </w:pPr>
            <w:r w:rsidRPr="00410002">
              <w:rPr>
                <w:sz w:val="24"/>
                <w:szCs w:val="24"/>
                <w:lang w:val="lv-LV" w:eastAsia="lv-LV"/>
              </w:rPr>
              <w:t> </w:t>
            </w:r>
            <w:r>
              <w:rPr>
                <w:sz w:val="24"/>
                <w:szCs w:val="24"/>
                <w:lang w:val="lv-LV" w:eastAsia="lv-LV"/>
              </w:rPr>
              <w:t xml:space="preserve">6. </w:t>
            </w:r>
            <w:r w:rsidRPr="00410002">
              <w:rPr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9673B" w:rsidRPr="00D64656" w:rsidRDefault="00941392" w:rsidP="00D721F0">
            <w:pPr>
              <w:jc w:val="both"/>
              <w:rPr>
                <w:bCs/>
                <w:sz w:val="24"/>
                <w:szCs w:val="24"/>
                <w:u w:val="single"/>
                <w:lang w:val="lv-LV"/>
              </w:rPr>
            </w:pPr>
            <w:r w:rsidRPr="00941392">
              <w:rPr>
                <w:bCs/>
                <w:sz w:val="24"/>
                <w:szCs w:val="24"/>
                <w:lang w:val="lv-LV"/>
              </w:rPr>
              <w:t>Nav.</w:t>
            </w:r>
          </w:p>
        </w:tc>
      </w:tr>
      <w:tr w:rsidR="00D9673B" w:rsidRPr="00742CF2" w:rsidTr="00EB0105">
        <w:tc>
          <w:tcPr>
            <w:tcW w:w="5353" w:type="dxa"/>
            <w:tcBorders>
              <w:top w:val="single" w:sz="4" w:space="0" w:color="auto"/>
            </w:tcBorders>
          </w:tcPr>
          <w:p w:rsidR="00025B33" w:rsidRPr="00410002" w:rsidRDefault="00D9673B" w:rsidP="00025B33">
            <w:pPr>
              <w:spacing w:before="63" w:after="63"/>
              <w:rPr>
                <w:sz w:val="24"/>
                <w:szCs w:val="24"/>
                <w:lang w:val="lv-LV" w:eastAsia="lv-LV"/>
              </w:rPr>
            </w:pPr>
            <w:r w:rsidRPr="00410002">
              <w:rPr>
                <w:sz w:val="24"/>
                <w:szCs w:val="24"/>
                <w:lang w:val="lv-LV" w:eastAsia="lv-LV"/>
              </w:rPr>
              <w:t> </w:t>
            </w:r>
            <w:r>
              <w:rPr>
                <w:sz w:val="24"/>
                <w:szCs w:val="24"/>
                <w:lang w:val="lv-LV" w:eastAsia="lv-LV"/>
              </w:rPr>
              <w:t xml:space="preserve">7. </w:t>
            </w:r>
            <w:r w:rsidRPr="00410002">
              <w:rPr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9673B" w:rsidRPr="00D64656" w:rsidRDefault="00941392" w:rsidP="00D721F0">
            <w:pPr>
              <w:jc w:val="both"/>
              <w:rPr>
                <w:bCs/>
                <w:sz w:val="24"/>
                <w:szCs w:val="24"/>
                <w:u w:val="single"/>
                <w:lang w:val="lv-LV"/>
              </w:rPr>
            </w:pPr>
            <w:r w:rsidRPr="00941392">
              <w:rPr>
                <w:bCs/>
                <w:sz w:val="24"/>
                <w:szCs w:val="24"/>
                <w:lang w:val="lv-LV"/>
              </w:rPr>
              <w:t>Nav.</w:t>
            </w:r>
          </w:p>
        </w:tc>
      </w:tr>
    </w:tbl>
    <w:p w:rsidR="008F652C" w:rsidRDefault="008F652C" w:rsidP="00A80FE4">
      <w:pPr>
        <w:pStyle w:val="Footer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napToGrid/>
          <w:sz w:val="24"/>
          <w:szCs w:val="24"/>
        </w:rPr>
      </w:pPr>
    </w:p>
    <w:p w:rsidR="009D3367" w:rsidRPr="009D3367" w:rsidRDefault="009D3367" w:rsidP="009D3367">
      <w:pPr>
        <w:jc w:val="both"/>
        <w:rPr>
          <w:b/>
          <w:bCs/>
          <w:sz w:val="24"/>
          <w:szCs w:val="24"/>
        </w:rPr>
      </w:pPr>
      <w:proofErr w:type="spellStart"/>
      <w:r w:rsidRPr="009D3367">
        <w:rPr>
          <w:b/>
          <w:sz w:val="24"/>
          <w:szCs w:val="24"/>
        </w:rPr>
        <w:t>Anotācijas</w:t>
      </w:r>
      <w:proofErr w:type="spellEnd"/>
      <w:r w:rsidRPr="009D3367">
        <w:rPr>
          <w:b/>
          <w:sz w:val="24"/>
          <w:szCs w:val="24"/>
        </w:rPr>
        <w:t xml:space="preserve"> III </w:t>
      </w:r>
      <w:proofErr w:type="spellStart"/>
      <w:r w:rsidRPr="009D3367">
        <w:rPr>
          <w:b/>
          <w:sz w:val="24"/>
          <w:szCs w:val="24"/>
        </w:rPr>
        <w:t>sadaļa</w:t>
      </w:r>
      <w:proofErr w:type="spellEnd"/>
      <w:r w:rsidRPr="009D3367">
        <w:rPr>
          <w:b/>
          <w:bCs/>
          <w:sz w:val="24"/>
          <w:szCs w:val="24"/>
        </w:rPr>
        <w:t xml:space="preserve"> - </w:t>
      </w:r>
      <w:proofErr w:type="spellStart"/>
      <w:r w:rsidRPr="009D3367">
        <w:rPr>
          <w:b/>
          <w:bCs/>
          <w:sz w:val="24"/>
          <w:szCs w:val="24"/>
        </w:rPr>
        <w:t>nav</w:t>
      </w:r>
      <w:proofErr w:type="spellEnd"/>
      <w:r w:rsidRPr="009D3367">
        <w:rPr>
          <w:b/>
          <w:bCs/>
          <w:sz w:val="24"/>
          <w:szCs w:val="24"/>
        </w:rPr>
        <w:t xml:space="preserve"> </w:t>
      </w:r>
      <w:proofErr w:type="spellStart"/>
      <w:r w:rsidRPr="009D3367">
        <w:rPr>
          <w:b/>
          <w:bCs/>
          <w:sz w:val="24"/>
          <w:szCs w:val="24"/>
        </w:rPr>
        <w:t>attiecināms</w:t>
      </w:r>
      <w:proofErr w:type="spellEnd"/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3"/>
        <w:gridCol w:w="3969"/>
      </w:tblGrid>
      <w:tr w:rsidR="009D3367" w:rsidRPr="00B5699F" w:rsidTr="00D9022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67" w:rsidRPr="00D9673B" w:rsidRDefault="009D3367" w:rsidP="00D90225">
            <w:pPr>
              <w:jc w:val="center"/>
              <w:rPr>
                <w:sz w:val="24"/>
                <w:szCs w:val="24"/>
                <w:lang w:val="lv-LV"/>
              </w:rPr>
            </w:pPr>
            <w:r w:rsidRPr="00410002">
              <w:rPr>
                <w:b/>
                <w:bCs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</w:tc>
      </w:tr>
      <w:tr w:rsidR="009D3367" w:rsidRPr="00B8503A" w:rsidTr="009D3367">
        <w:tc>
          <w:tcPr>
            <w:tcW w:w="5353" w:type="dxa"/>
            <w:tcBorders>
              <w:top w:val="single" w:sz="4" w:space="0" w:color="auto"/>
            </w:tcBorders>
          </w:tcPr>
          <w:p w:rsidR="009D3367" w:rsidRPr="00B8503A" w:rsidRDefault="009D3367" w:rsidP="00D90225">
            <w:pPr>
              <w:pStyle w:val="BlockText"/>
              <w:ind w:left="0"/>
              <w:jc w:val="both"/>
              <w:rPr>
                <w:sz w:val="24"/>
                <w:szCs w:val="24"/>
              </w:rPr>
            </w:pPr>
            <w:r w:rsidRPr="00B8503A">
              <w:rPr>
                <w:sz w:val="24"/>
                <w:szCs w:val="24"/>
              </w:rPr>
              <w:t xml:space="preserve"> 1. </w:t>
            </w:r>
            <w:r w:rsidRPr="00410002">
              <w:rPr>
                <w:sz w:val="24"/>
                <w:szCs w:val="24"/>
                <w:lang w:eastAsia="lv-LV"/>
              </w:rPr>
              <w:t> Nepieciešamie saistītie tiesību aktu projekti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D3367" w:rsidRPr="00B8503A" w:rsidRDefault="009D3367" w:rsidP="00D90225">
            <w:pPr>
              <w:jc w:val="both"/>
              <w:rPr>
                <w:sz w:val="24"/>
                <w:szCs w:val="24"/>
                <w:lang w:val="lv-LV"/>
              </w:rPr>
            </w:pPr>
            <w:r w:rsidRPr="00B8503A">
              <w:rPr>
                <w:sz w:val="24"/>
                <w:szCs w:val="24"/>
                <w:lang w:val="lv-LV"/>
              </w:rPr>
              <w:t xml:space="preserve">Papildus normatīvie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"/>
              </w:smartTagPr>
              <w:r w:rsidRPr="00B8503A">
                <w:rPr>
                  <w:sz w:val="24"/>
                  <w:szCs w:val="24"/>
                  <w:lang w:val="lv-LV"/>
                </w:rPr>
                <w:t>akti</w:t>
              </w:r>
            </w:smartTag>
            <w:r w:rsidRPr="00B8503A">
              <w:rPr>
                <w:sz w:val="24"/>
                <w:szCs w:val="24"/>
                <w:lang w:val="lv-LV"/>
              </w:rPr>
              <w:t xml:space="preserve">  nav jāizdod.</w:t>
            </w:r>
          </w:p>
        </w:tc>
      </w:tr>
      <w:tr w:rsidR="009D3367" w:rsidRPr="00B8503A" w:rsidTr="009D3367">
        <w:tc>
          <w:tcPr>
            <w:tcW w:w="5353" w:type="dxa"/>
          </w:tcPr>
          <w:p w:rsidR="009D3367" w:rsidRPr="00B8503A" w:rsidRDefault="009D3367" w:rsidP="00D90225">
            <w:pPr>
              <w:pStyle w:val="BodyText2"/>
              <w:ind w:left="284" w:right="-57" w:hanging="284"/>
              <w:jc w:val="left"/>
              <w:rPr>
                <w:sz w:val="24"/>
                <w:szCs w:val="24"/>
              </w:rPr>
            </w:pPr>
            <w:r w:rsidRPr="00B8503A">
              <w:rPr>
                <w:sz w:val="24"/>
                <w:szCs w:val="24"/>
              </w:rPr>
              <w:t>2. Cita informācija</w:t>
            </w:r>
          </w:p>
        </w:tc>
        <w:tc>
          <w:tcPr>
            <w:tcW w:w="3969" w:type="dxa"/>
          </w:tcPr>
          <w:p w:rsidR="009D3367" w:rsidRPr="00B8503A" w:rsidRDefault="00EB0105" w:rsidP="00D90225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9D3367" w:rsidRDefault="009D3367" w:rsidP="009D3367">
      <w:pPr>
        <w:pStyle w:val="Footer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napToGrid/>
          <w:sz w:val="24"/>
          <w:szCs w:val="24"/>
        </w:rPr>
      </w:pPr>
    </w:p>
    <w:p w:rsidR="00070BA2" w:rsidRPr="009D3367" w:rsidRDefault="009D3367" w:rsidP="009D3367">
      <w:pPr>
        <w:jc w:val="both"/>
        <w:rPr>
          <w:b/>
          <w:bCs/>
          <w:sz w:val="24"/>
          <w:szCs w:val="24"/>
          <w:lang w:val="fr-FR"/>
        </w:rPr>
      </w:pPr>
      <w:proofErr w:type="spellStart"/>
      <w:r w:rsidRPr="009D3367">
        <w:rPr>
          <w:b/>
          <w:sz w:val="24"/>
          <w:szCs w:val="24"/>
          <w:lang w:val="fr-FR"/>
        </w:rPr>
        <w:t>Anotācijas</w:t>
      </w:r>
      <w:proofErr w:type="spellEnd"/>
      <w:r w:rsidRPr="009D3367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V un VI </w:t>
      </w:r>
      <w:proofErr w:type="spellStart"/>
      <w:r>
        <w:rPr>
          <w:b/>
          <w:sz w:val="24"/>
          <w:szCs w:val="24"/>
          <w:lang w:val="fr-FR"/>
        </w:rPr>
        <w:t>sadaļa</w:t>
      </w:r>
      <w:proofErr w:type="spellEnd"/>
      <w:r w:rsidRPr="009D3367">
        <w:rPr>
          <w:b/>
          <w:bCs/>
          <w:sz w:val="24"/>
          <w:szCs w:val="24"/>
          <w:lang w:val="fr-FR"/>
        </w:rPr>
        <w:t xml:space="preserve"> - </w:t>
      </w:r>
      <w:proofErr w:type="spellStart"/>
      <w:r w:rsidRPr="009D3367">
        <w:rPr>
          <w:b/>
          <w:bCs/>
          <w:sz w:val="24"/>
          <w:szCs w:val="24"/>
          <w:lang w:val="fr-FR"/>
        </w:rPr>
        <w:t>nav</w:t>
      </w:r>
      <w:proofErr w:type="spellEnd"/>
      <w:r w:rsidRPr="009D3367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9D3367">
        <w:rPr>
          <w:b/>
          <w:bCs/>
          <w:sz w:val="24"/>
          <w:szCs w:val="24"/>
          <w:lang w:val="fr-FR"/>
        </w:rPr>
        <w:t>attiecināms</w:t>
      </w:r>
      <w:proofErr w:type="spellEnd"/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3"/>
        <w:gridCol w:w="3935"/>
      </w:tblGrid>
      <w:tr w:rsidR="004A2589" w:rsidRPr="008A5DC5">
        <w:tc>
          <w:tcPr>
            <w:tcW w:w="9288" w:type="dxa"/>
            <w:gridSpan w:val="2"/>
          </w:tcPr>
          <w:p w:rsidR="004A2589" w:rsidRPr="00983379" w:rsidRDefault="004A2589" w:rsidP="001C5C8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8503A">
              <w:rPr>
                <w:sz w:val="24"/>
                <w:szCs w:val="24"/>
                <w:lang w:val="lv-LV"/>
              </w:rPr>
              <w:br w:type="page"/>
            </w:r>
            <w:r w:rsidR="00983379" w:rsidRPr="00983379">
              <w:rPr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983379" w:rsidRPr="00B8503A" w:rsidTr="00F17242">
        <w:trPr>
          <w:trHeight w:val="607"/>
        </w:trPr>
        <w:tc>
          <w:tcPr>
            <w:tcW w:w="5353" w:type="dxa"/>
          </w:tcPr>
          <w:p w:rsidR="00983379" w:rsidRPr="00410002" w:rsidRDefault="00983379" w:rsidP="00025B33">
            <w:pPr>
              <w:spacing w:before="63" w:after="63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1. </w:t>
            </w:r>
            <w:r w:rsidRPr="00410002">
              <w:rPr>
                <w:sz w:val="24"/>
                <w:szCs w:val="24"/>
                <w:lang w:eastAsia="lv-LV"/>
              </w:rPr>
              <w:t> </w:t>
            </w:r>
            <w:proofErr w:type="spellStart"/>
            <w:r w:rsidRPr="00410002">
              <w:rPr>
                <w:sz w:val="24"/>
                <w:szCs w:val="24"/>
                <w:lang w:eastAsia="lv-LV"/>
              </w:rPr>
              <w:t>Projekta</w:t>
            </w:r>
            <w:proofErr w:type="spellEnd"/>
            <w:r w:rsidRPr="00410002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0002">
              <w:rPr>
                <w:sz w:val="24"/>
                <w:szCs w:val="24"/>
                <w:lang w:eastAsia="lv-LV"/>
              </w:rPr>
              <w:t>izpildē</w:t>
            </w:r>
            <w:proofErr w:type="spellEnd"/>
            <w:r w:rsidRPr="00410002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0002">
              <w:rPr>
                <w:sz w:val="24"/>
                <w:szCs w:val="24"/>
                <w:lang w:eastAsia="lv-LV"/>
              </w:rPr>
              <w:t>iesaistītās</w:t>
            </w:r>
            <w:proofErr w:type="spellEnd"/>
            <w:r w:rsidRPr="00410002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0002">
              <w:rPr>
                <w:sz w:val="24"/>
                <w:szCs w:val="24"/>
                <w:lang w:eastAsia="lv-LV"/>
              </w:rPr>
              <w:t>institūcijas</w:t>
            </w:r>
            <w:proofErr w:type="spellEnd"/>
          </w:p>
        </w:tc>
        <w:tc>
          <w:tcPr>
            <w:tcW w:w="3935" w:type="dxa"/>
          </w:tcPr>
          <w:p w:rsidR="00070BA2" w:rsidRPr="00222058" w:rsidRDefault="00B821FD" w:rsidP="00933909">
            <w:pPr>
              <w:pStyle w:val="Footer"/>
              <w:tabs>
                <w:tab w:val="clear" w:pos="4153"/>
                <w:tab w:val="clear" w:pos="8306"/>
              </w:tabs>
              <w:ind w:firstLine="34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SAMC</w:t>
            </w:r>
          </w:p>
        </w:tc>
      </w:tr>
      <w:tr w:rsidR="00983379" w:rsidRPr="008A5DC5" w:rsidTr="00F17242">
        <w:tc>
          <w:tcPr>
            <w:tcW w:w="5353" w:type="dxa"/>
          </w:tcPr>
          <w:p w:rsidR="00983379" w:rsidRPr="00983379" w:rsidRDefault="00983379" w:rsidP="00025B33">
            <w:pPr>
              <w:spacing w:before="63" w:after="63"/>
              <w:rPr>
                <w:sz w:val="24"/>
                <w:szCs w:val="24"/>
                <w:lang w:val="lv-LV" w:eastAsia="lv-LV"/>
              </w:rPr>
            </w:pPr>
            <w:r w:rsidRPr="00983379">
              <w:rPr>
                <w:sz w:val="24"/>
                <w:szCs w:val="24"/>
                <w:lang w:val="lv-LV" w:eastAsia="lv-LV"/>
              </w:rPr>
              <w:t> 2. Projekta izpildes ietekme uz pārvaldes funkcijām</w:t>
            </w:r>
          </w:p>
        </w:tc>
        <w:tc>
          <w:tcPr>
            <w:tcW w:w="3935" w:type="dxa"/>
          </w:tcPr>
          <w:p w:rsidR="00983379" w:rsidRPr="00376901" w:rsidRDefault="00070BA2" w:rsidP="00376901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343165">
              <w:rPr>
                <w:b w:val="0"/>
              </w:rPr>
              <w:t xml:space="preserve">Noteikumu projekts neparedz </w:t>
            </w:r>
            <w:r>
              <w:rPr>
                <w:b w:val="0"/>
              </w:rPr>
              <w:t xml:space="preserve">pārvaldes </w:t>
            </w:r>
            <w:r w:rsidRPr="00343165">
              <w:rPr>
                <w:b w:val="0"/>
              </w:rPr>
              <w:t>funkciju paplašināšanu.</w:t>
            </w:r>
          </w:p>
        </w:tc>
      </w:tr>
      <w:tr w:rsidR="00983379" w:rsidRPr="008A5DC5" w:rsidTr="00F17242">
        <w:tc>
          <w:tcPr>
            <w:tcW w:w="5353" w:type="dxa"/>
          </w:tcPr>
          <w:p w:rsidR="00983379" w:rsidRPr="00070BA2" w:rsidRDefault="00983379" w:rsidP="005E4878">
            <w:pPr>
              <w:rPr>
                <w:sz w:val="24"/>
                <w:szCs w:val="24"/>
                <w:lang w:val="lv-LV" w:eastAsia="lv-LV"/>
              </w:rPr>
            </w:pPr>
            <w:r w:rsidRPr="00983379">
              <w:rPr>
                <w:sz w:val="24"/>
                <w:szCs w:val="24"/>
                <w:lang w:val="lv-LV" w:eastAsia="lv-LV"/>
              </w:rPr>
              <w:t> 3. Projekta izpildes ietekme uz pārvaldes institucionālo struktūru.</w:t>
            </w:r>
            <w:r w:rsidR="00070BA2">
              <w:rPr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410002">
              <w:rPr>
                <w:sz w:val="24"/>
                <w:szCs w:val="24"/>
                <w:lang w:eastAsia="lv-LV"/>
              </w:rPr>
              <w:t>Jaunu</w:t>
            </w:r>
            <w:proofErr w:type="spellEnd"/>
            <w:r w:rsidRPr="00410002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0002">
              <w:rPr>
                <w:sz w:val="24"/>
                <w:szCs w:val="24"/>
                <w:lang w:eastAsia="lv-LV"/>
              </w:rPr>
              <w:t>institūciju</w:t>
            </w:r>
            <w:proofErr w:type="spellEnd"/>
            <w:r w:rsidRPr="00410002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0002">
              <w:rPr>
                <w:sz w:val="24"/>
                <w:szCs w:val="24"/>
                <w:lang w:eastAsia="lv-LV"/>
              </w:rPr>
              <w:t>izveide</w:t>
            </w:r>
            <w:proofErr w:type="spellEnd"/>
          </w:p>
        </w:tc>
        <w:tc>
          <w:tcPr>
            <w:tcW w:w="3935" w:type="dxa"/>
          </w:tcPr>
          <w:p w:rsidR="00983379" w:rsidRPr="00070BA2" w:rsidRDefault="00070BA2" w:rsidP="00D57B3F">
            <w:pPr>
              <w:pStyle w:val="naisnod"/>
              <w:spacing w:before="0" w:after="0"/>
              <w:ind w:right="57"/>
              <w:jc w:val="left"/>
            </w:pPr>
            <w:r w:rsidRPr="00D57B3F">
              <w:rPr>
                <w:b w:val="0"/>
              </w:rPr>
              <w:t xml:space="preserve">Noteikumu projekta normu izpildei </w:t>
            </w:r>
            <w:r w:rsidR="00D57B3F" w:rsidRPr="00D57B3F">
              <w:rPr>
                <w:b w:val="0"/>
              </w:rPr>
              <w:t xml:space="preserve">   </w:t>
            </w:r>
            <w:r w:rsidRPr="00D57B3F">
              <w:rPr>
                <w:b w:val="0"/>
              </w:rPr>
              <w:t xml:space="preserve">netiek </w:t>
            </w:r>
            <w:r w:rsidR="00376901" w:rsidRPr="00D57B3F">
              <w:rPr>
                <w:b w:val="0"/>
              </w:rPr>
              <w:t>izveidotas</w:t>
            </w:r>
            <w:r w:rsidRPr="00D57B3F">
              <w:rPr>
                <w:b w:val="0"/>
              </w:rPr>
              <w:t xml:space="preserve"> jaunas institūcijas.</w:t>
            </w:r>
            <w:r w:rsidRPr="00B8503A">
              <w:t xml:space="preserve"> </w:t>
            </w:r>
          </w:p>
        </w:tc>
      </w:tr>
      <w:tr w:rsidR="00983379" w:rsidRPr="00B8503A" w:rsidTr="00F17242">
        <w:tc>
          <w:tcPr>
            <w:tcW w:w="5353" w:type="dxa"/>
          </w:tcPr>
          <w:p w:rsidR="00983379" w:rsidRPr="00070BA2" w:rsidRDefault="00983379" w:rsidP="005E4878">
            <w:pPr>
              <w:rPr>
                <w:sz w:val="24"/>
                <w:szCs w:val="24"/>
                <w:lang w:val="lv-LV" w:eastAsia="lv-LV"/>
              </w:rPr>
            </w:pPr>
            <w:r w:rsidRPr="00983379">
              <w:rPr>
                <w:sz w:val="24"/>
                <w:szCs w:val="24"/>
                <w:lang w:val="lv-LV" w:eastAsia="lv-LV"/>
              </w:rPr>
              <w:t> 4. Projekta izpildes ietekme uz pār</w:t>
            </w:r>
            <w:r w:rsidR="00070BA2">
              <w:rPr>
                <w:sz w:val="24"/>
                <w:szCs w:val="24"/>
                <w:lang w:val="lv-LV" w:eastAsia="lv-LV"/>
              </w:rPr>
              <w:t xml:space="preserve">valdes institucionālo struktūru. </w:t>
            </w:r>
            <w:proofErr w:type="spellStart"/>
            <w:r w:rsidRPr="00410002">
              <w:rPr>
                <w:sz w:val="24"/>
                <w:szCs w:val="24"/>
                <w:lang w:eastAsia="lv-LV"/>
              </w:rPr>
              <w:t>Esošu</w:t>
            </w:r>
            <w:proofErr w:type="spellEnd"/>
            <w:r w:rsidRPr="00410002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0002">
              <w:rPr>
                <w:sz w:val="24"/>
                <w:szCs w:val="24"/>
                <w:lang w:eastAsia="lv-LV"/>
              </w:rPr>
              <w:t>institūciju</w:t>
            </w:r>
            <w:proofErr w:type="spellEnd"/>
            <w:r w:rsidRPr="00410002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0002">
              <w:rPr>
                <w:sz w:val="24"/>
                <w:szCs w:val="24"/>
                <w:lang w:eastAsia="lv-LV"/>
              </w:rPr>
              <w:t>likvidācija</w:t>
            </w:r>
            <w:proofErr w:type="spellEnd"/>
          </w:p>
        </w:tc>
        <w:tc>
          <w:tcPr>
            <w:tcW w:w="3935" w:type="dxa"/>
          </w:tcPr>
          <w:p w:rsidR="00983379" w:rsidRPr="00B8503A" w:rsidRDefault="00144239" w:rsidP="001C5C8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983379" w:rsidRPr="00B8503A" w:rsidTr="00F17242">
        <w:tc>
          <w:tcPr>
            <w:tcW w:w="5353" w:type="dxa"/>
          </w:tcPr>
          <w:p w:rsidR="00983379" w:rsidRPr="00983379" w:rsidRDefault="00983379" w:rsidP="005E4878">
            <w:pPr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5. </w:t>
            </w:r>
            <w:r w:rsidRPr="00983379">
              <w:rPr>
                <w:sz w:val="24"/>
                <w:szCs w:val="24"/>
                <w:lang w:val="lv-LV" w:eastAsia="lv-LV"/>
              </w:rPr>
              <w:t> Projekt</w:t>
            </w:r>
            <w:r w:rsidR="00376901">
              <w:rPr>
                <w:sz w:val="24"/>
                <w:szCs w:val="24"/>
                <w:lang w:val="lv-LV" w:eastAsia="lv-LV"/>
              </w:rPr>
              <w:t xml:space="preserve">a izpildes ietekme uz pārvaldes </w:t>
            </w:r>
            <w:r w:rsidRPr="00983379">
              <w:rPr>
                <w:sz w:val="24"/>
                <w:szCs w:val="24"/>
                <w:lang w:val="lv-LV" w:eastAsia="lv-LV"/>
              </w:rPr>
              <w:t>institucionālo struktūru.</w:t>
            </w:r>
            <w:r w:rsidR="00070BA2">
              <w:rPr>
                <w:sz w:val="24"/>
                <w:szCs w:val="24"/>
                <w:lang w:val="lv-LV" w:eastAsia="lv-LV"/>
              </w:rPr>
              <w:t xml:space="preserve"> </w:t>
            </w:r>
            <w:r w:rsidRPr="00983379">
              <w:rPr>
                <w:sz w:val="24"/>
                <w:szCs w:val="24"/>
                <w:lang w:val="lv-LV" w:eastAsia="lv-LV"/>
              </w:rPr>
              <w:t>Esošu institūc</w:t>
            </w:r>
            <w:r w:rsidR="00070BA2">
              <w:rPr>
                <w:sz w:val="24"/>
                <w:szCs w:val="24"/>
                <w:lang w:val="lv-LV" w:eastAsia="lv-LV"/>
              </w:rPr>
              <w:t xml:space="preserve">iju </w:t>
            </w:r>
            <w:r w:rsidRPr="00983379">
              <w:rPr>
                <w:sz w:val="24"/>
                <w:szCs w:val="24"/>
                <w:lang w:val="lv-LV" w:eastAsia="lv-LV"/>
              </w:rPr>
              <w:t>reorganizācija</w:t>
            </w:r>
          </w:p>
        </w:tc>
        <w:tc>
          <w:tcPr>
            <w:tcW w:w="3935" w:type="dxa"/>
          </w:tcPr>
          <w:p w:rsidR="00983379" w:rsidRPr="00B8503A" w:rsidRDefault="00144239" w:rsidP="001C5C8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983379" w:rsidRPr="00B8503A" w:rsidTr="00F17242">
        <w:tc>
          <w:tcPr>
            <w:tcW w:w="5353" w:type="dxa"/>
          </w:tcPr>
          <w:p w:rsidR="00983379" w:rsidRPr="00983379" w:rsidRDefault="00983379" w:rsidP="00025B33">
            <w:pPr>
              <w:spacing w:before="63" w:after="63"/>
              <w:rPr>
                <w:sz w:val="24"/>
                <w:szCs w:val="24"/>
                <w:lang w:val="lv-LV" w:eastAsia="lv-LV"/>
              </w:rPr>
            </w:pPr>
            <w:r w:rsidRPr="00983379">
              <w:rPr>
                <w:sz w:val="24"/>
                <w:szCs w:val="24"/>
                <w:lang w:val="lv-LV" w:eastAsia="lv-LV"/>
              </w:rPr>
              <w:t> </w:t>
            </w:r>
            <w:r>
              <w:rPr>
                <w:sz w:val="24"/>
                <w:szCs w:val="24"/>
                <w:lang w:val="lv-LV" w:eastAsia="lv-LV"/>
              </w:rPr>
              <w:t xml:space="preserve">6. </w:t>
            </w:r>
            <w:r w:rsidRPr="00983379">
              <w:rPr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935" w:type="dxa"/>
          </w:tcPr>
          <w:p w:rsidR="00983379" w:rsidRPr="00B8503A" w:rsidRDefault="009D3367" w:rsidP="001C5C8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</w:tbl>
    <w:p w:rsidR="0069686D" w:rsidRDefault="0069686D" w:rsidP="00B159C3">
      <w:pPr>
        <w:pStyle w:val="Header"/>
        <w:rPr>
          <w:sz w:val="24"/>
          <w:szCs w:val="24"/>
        </w:rPr>
      </w:pPr>
    </w:p>
    <w:p w:rsidR="005C078A" w:rsidRPr="00B8503A" w:rsidRDefault="005C078A" w:rsidP="00B159C3">
      <w:pPr>
        <w:pStyle w:val="Header"/>
        <w:rPr>
          <w:sz w:val="24"/>
          <w:szCs w:val="24"/>
        </w:rPr>
      </w:pPr>
    </w:p>
    <w:p w:rsidR="00167C6B" w:rsidRPr="009459C5" w:rsidRDefault="00167C6B" w:rsidP="009459C5">
      <w:pPr>
        <w:tabs>
          <w:tab w:val="right" w:pos="0"/>
        </w:tabs>
        <w:rPr>
          <w:szCs w:val="28"/>
          <w:lang w:val="lv-LV"/>
        </w:rPr>
      </w:pPr>
      <w:r w:rsidRPr="009459C5">
        <w:rPr>
          <w:szCs w:val="28"/>
          <w:lang w:val="lv-LV"/>
        </w:rPr>
        <w:t>Ekonomikas minist</w:t>
      </w:r>
      <w:r w:rsidR="004C1B6E" w:rsidRPr="009459C5">
        <w:rPr>
          <w:szCs w:val="28"/>
          <w:lang w:val="lv-LV"/>
        </w:rPr>
        <w:t>rs</w:t>
      </w:r>
      <w:r w:rsidR="009459C5" w:rsidRPr="009459C5">
        <w:rPr>
          <w:szCs w:val="28"/>
          <w:lang w:val="lv-LV"/>
        </w:rPr>
        <w:tab/>
      </w:r>
      <w:r w:rsidR="009459C5">
        <w:rPr>
          <w:szCs w:val="28"/>
          <w:lang w:val="lv-LV"/>
        </w:rPr>
        <w:tab/>
      </w:r>
      <w:r w:rsidR="009459C5">
        <w:rPr>
          <w:szCs w:val="28"/>
          <w:lang w:val="lv-LV"/>
        </w:rPr>
        <w:tab/>
      </w:r>
      <w:r w:rsidR="009459C5">
        <w:rPr>
          <w:szCs w:val="28"/>
          <w:lang w:val="lv-LV"/>
        </w:rPr>
        <w:tab/>
      </w:r>
      <w:r w:rsidR="009459C5">
        <w:rPr>
          <w:szCs w:val="28"/>
          <w:lang w:val="lv-LV"/>
        </w:rPr>
        <w:tab/>
      </w:r>
      <w:r w:rsidR="009459C5">
        <w:rPr>
          <w:szCs w:val="28"/>
          <w:lang w:val="lv-LV"/>
        </w:rPr>
        <w:tab/>
      </w:r>
      <w:r w:rsidR="009459C5">
        <w:rPr>
          <w:szCs w:val="28"/>
          <w:lang w:val="lv-LV"/>
        </w:rPr>
        <w:tab/>
      </w:r>
      <w:r w:rsidR="004C1B6E" w:rsidRPr="009459C5">
        <w:rPr>
          <w:szCs w:val="28"/>
          <w:lang w:val="lv-LV"/>
        </w:rPr>
        <w:t>A.Kampars</w:t>
      </w:r>
    </w:p>
    <w:p w:rsidR="00B159C3" w:rsidRPr="009459C5" w:rsidRDefault="00B159C3" w:rsidP="001C5C8C">
      <w:pPr>
        <w:rPr>
          <w:bCs/>
          <w:szCs w:val="28"/>
          <w:lang w:val="lv-LV"/>
        </w:rPr>
      </w:pPr>
    </w:p>
    <w:p w:rsidR="0069686D" w:rsidRPr="009459C5" w:rsidRDefault="0069686D" w:rsidP="001C5C8C">
      <w:pPr>
        <w:rPr>
          <w:bCs/>
          <w:szCs w:val="28"/>
          <w:lang w:val="lv-LV"/>
        </w:rPr>
      </w:pPr>
    </w:p>
    <w:p w:rsidR="009E6ACD" w:rsidRDefault="009E6ACD" w:rsidP="00983379">
      <w:pPr>
        <w:rPr>
          <w:bCs/>
          <w:szCs w:val="28"/>
          <w:lang w:val="lv-LV"/>
        </w:rPr>
      </w:pPr>
    </w:p>
    <w:p w:rsidR="00983379" w:rsidRPr="009459C5" w:rsidRDefault="003613A9" w:rsidP="00983379">
      <w:pPr>
        <w:rPr>
          <w:bCs/>
          <w:szCs w:val="28"/>
          <w:lang w:val="lv-LV"/>
        </w:rPr>
      </w:pPr>
      <w:r w:rsidRPr="009459C5">
        <w:rPr>
          <w:bCs/>
          <w:szCs w:val="28"/>
          <w:lang w:val="lv-LV"/>
        </w:rPr>
        <w:t>Vīza: Valsts sekretār</w:t>
      </w:r>
      <w:r w:rsidR="00983379" w:rsidRPr="009459C5">
        <w:rPr>
          <w:bCs/>
          <w:szCs w:val="28"/>
          <w:lang w:val="lv-LV"/>
        </w:rPr>
        <w:t>s</w:t>
      </w:r>
      <w:r w:rsidR="009459C5">
        <w:rPr>
          <w:bCs/>
          <w:szCs w:val="28"/>
          <w:lang w:val="lv-LV"/>
        </w:rPr>
        <w:tab/>
      </w:r>
      <w:r w:rsidR="009459C5">
        <w:rPr>
          <w:bCs/>
          <w:szCs w:val="28"/>
          <w:lang w:val="lv-LV"/>
        </w:rPr>
        <w:tab/>
      </w:r>
      <w:r w:rsidR="009459C5">
        <w:rPr>
          <w:bCs/>
          <w:szCs w:val="28"/>
          <w:lang w:val="lv-LV"/>
        </w:rPr>
        <w:tab/>
      </w:r>
      <w:r w:rsidR="009459C5">
        <w:rPr>
          <w:bCs/>
          <w:szCs w:val="28"/>
          <w:lang w:val="lv-LV"/>
        </w:rPr>
        <w:tab/>
      </w:r>
      <w:r w:rsidR="009459C5">
        <w:rPr>
          <w:bCs/>
          <w:szCs w:val="28"/>
          <w:lang w:val="lv-LV"/>
        </w:rPr>
        <w:tab/>
      </w:r>
      <w:r w:rsidR="009459C5">
        <w:rPr>
          <w:bCs/>
          <w:szCs w:val="28"/>
          <w:lang w:val="lv-LV"/>
        </w:rPr>
        <w:tab/>
      </w:r>
      <w:r w:rsidR="009459C5">
        <w:rPr>
          <w:bCs/>
          <w:szCs w:val="28"/>
          <w:lang w:val="lv-LV"/>
        </w:rPr>
        <w:tab/>
      </w:r>
      <w:r w:rsidR="00933909" w:rsidRPr="009459C5">
        <w:rPr>
          <w:bCs/>
          <w:szCs w:val="28"/>
          <w:lang w:val="lv-LV"/>
        </w:rPr>
        <w:t>J</w:t>
      </w:r>
      <w:r w:rsidR="00983379" w:rsidRPr="009459C5">
        <w:rPr>
          <w:bCs/>
          <w:szCs w:val="28"/>
          <w:lang w:val="lv-LV"/>
        </w:rPr>
        <w:t>.Pūce</w:t>
      </w:r>
    </w:p>
    <w:p w:rsidR="000376A0" w:rsidRPr="00862A04" w:rsidRDefault="000376A0" w:rsidP="00862A04">
      <w:pPr>
        <w:rPr>
          <w:bCs/>
          <w:sz w:val="24"/>
          <w:szCs w:val="24"/>
          <w:lang w:val="lv-LV"/>
        </w:rPr>
      </w:pPr>
    </w:p>
    <w:p w:rsidR="005C078A" w:rsidRPr="002803BF" w:rsidRDefault="005C078A" w:rsidP="001C5C8C">
      <w:pPr>
        <w:pStyle w:val="Header"/>
        <w:rPr>
          <w:bCs/>
          <w:sz w:val="24"/>
          <w:szCs w:val="24"/>
        </w:rPr>
      </w:pPr>
    </w:p>
    <w:p w:rsidR="009459C5" w:rsidRDefault="009459C5" w:rsidP="008F18BA">
      <w:pPr>
        <w:rPr>
          <w:sz w:val="20"/>
          <w:lang w:val="lv-LV"/>
        </w:rPr>
      </w:pPr>
    </w:p>
    <w:p w:rsidR="009459C5" w:rsidRDefault="009459C5" w:rsidP="008F18BA">
      <w:pPr>
        <w:rPr>
          <w:sz w:val="20"/>
          <w:lang w:val="lv-LV"/>
        </w:rPr>
      </w:pPr>
    </w:p>
    <w:p w:rsidR="009459C5" w:rsidRDefault="009459C5" w:rsidP="008F18BA">
      <w:pPr>
        <w:rPr>
          <w:sz w:val="20"/>
          <w:lang w:val="lv-LV"/>
        </w:rPr>
      </w:pPr>
    </w:p>
    <w:p w:rsidR="009E6ACD" w:rsidRDefault="009E6ACD" w:rsidP="008F18BA">
      <w:pPr>
        <w:rPr>
          <w:sz w:val="20"/>
          <w:lang w:val="lv-LV"/>
        </w:rPr>
      </w:pPr>
    </w:p>
    <w:p w:rsidR="00926A4A" w:rsidRPr="000376A0" w:rsidRDefault="009459C5" w:rsidP="008F18BA">
      <w:pPr>
        <w:rPr>
          <w:sz w:val="20"/>
          <w:lang w:val="lv-LV"/>
        </w:rPr>
      </w:pPr>
      <w:r>
        <w:rPr>
          <w:sz w:val="20"/>
          <w:lang w:val="lv-LV"/>
        </w:rPr>
        <w:t>29.11</w:t>
      </w:r>
      <w:r w:rsidR="009578E2" w:rsidRPr="000376A0">
        <w:rPr>
          <w:sz w:val="20"/>
          <w:lang w:val="lv-LV"/>
        </w:rPr>
        <w:t>.</w:t>
      </w:r>
      <w:r w:rsidR="0097347B" w:rsidRPr="000376A0">
        <w:rPr>
          <w:sz w:val="20"/>
          <w:lang w:val="lv-LV"/>
        </w:rPr>
        <w:t>20</w:t>
      </w:r>
      <w:r w:rsidR="009578E2" w:rsidRPr="000376A0">
        <w:rPr>
          <w:sz w:val="20"/>
          <w:lang w:val="lv-LV"/>
        </w:rPr>
        <w:t>10</w:t>
      </w:r>
      <w:r w:rsidR="0097347B" w:rsidRPr="000376A0">
        <w:rPr>
          <w:sz w:val="20"/>
          <w:lang w:val="lv-LV"/>
        </w:rPr>
        <w:t xml:space="preserve"> </w:t>
      </w:r>
      <w:r w:rsidR="009E6ACD">
        <w:rPr>
          <w:sz w:val="20"/>
          <w:lang w:val="lv-LV"/>
        </w:rPr>
        <w:t>09</w:t>
      </w:r>
      <w:r w:rsidR="003D5301">
        <w:rPr>
          <w:sz w:val="20"/>
          <w:lang w:val="lv-LV"/>
        </w:rPr>
        <w:t>:</w:t>
      </w:r>
      <w:r w:rsidR="009E6ACD">
        <w:rPr>
          <w:sz w:val="20"/>
          <w:lang w:val="lv-LV"/>
        </w:rPr>
        <w:t>39</w:t>
      </w:r>
    </w:p>
    <w:p w:rsidR="009578E2" w:rsidRPr="000376A0" w:rsidRDefault="008A0C12" w:rsidP="008F18BA">
      <w:pPr>
        <w:rPr>
          <w:sz w:val="20"/>
          <w:lang w:val="lv-LV"/>
        </w:rPr>
      </w:pPr>
      <w:r w:rsidRPr="000376A0">
        <w:rPr>
          <w:sz w:val="20"/>
          <w:lang w:val="lv-LV"/>
        </w:rPr>
        <w:fldChar w:fldCharType="begin"/>
      </w:r>
      <w:r w:rsidR="009578E2" w:rsidRPr="000376A0">
        <w:rPr>
          <w:sz w:val="20"/>
          <w:lang w:val="lv-LV"/>
        </w:rPr>
        <w:instrText xml:space="preserve"> NUMWORDS  \# "0"  \* MERGEFORMAT </w:instrText>
      </w:r>
      <w:r w:rsidRPr="000376A0">
        <w:rPr>
          <w:sz w:val="20"/>
          <w:lang w:val="lv-LV"/>
        </w:rPr>
        <w:fldChar w:fldCharType="separate"/>
      </w:r>
      <w:r w:rsidR="007D335C">
        <w:rPr>
          <w:noProof/>
          <w:sz w:val="20"/>
          <w:lang w:val="lv-LV"/>
        </w:rPr>
        <w:t>439</w:t>
      </w:r>
      <w:r w:rsidRPr="000376A0">
        <w:rPr>
          <w:sz w:val="20"/>
          <w:lang w:val="lv-LV"/>
        </w:rPr>
        <w:fldChar w:fldCharType="end"/>
      </w:r>
    </w:p>
    <w:p w:rsidR="0052269C" w:rsidRPr="000376A0" w:rsidRDefault="009459C5" w:rsidP="008F18BA">
      <w:pPr>
        <w:rPr>
          <w:sz w:val="20"/>
          <w:lang w:val="lv-LV"/>
        </w:rPr>
      </w:pPr>
      <w:r>
        <w:rPr>
          <w:sz w:val="20"/>
          <w:lang w:val="lv-LV"/>
        </w:rPr>
        <w:t>D.Matulis</w:t>
      </w:r>
      <w:r w:rsidR="00926A4A" w:rsidRPr="000376A0">
        <w:rPr>
          <w:sz w:val="20"/>
          <w:lang w:val="lv-LV"/>
        </w:rPr>
        <w:br/>
      </w:r>
      <w:r>
        <w:rPr>
          <w:sz w:val="20"/>
          <w:lang w:val="lv-LV"/>
        </w:rPr>
        <w:t>67013143</w:t>
      </w:r>
      <w:r w:rsidR="00926A4A" w:rsidRPr="000376A0">
        <w:rPr>
          <w:sz w:val="20"/>
          <w:lang w:val="lv-LV"/>
        </w:rPr>
        <w:t>;</w:t>
      </w:r>
      <w:r>
        <w:rPr>
          <w:sz w:val="20"/>
          <w:lang w:val="lv-LV"/>
        </w:rPr>
        <w:t>dainis.matulis@em.gov.lv</w:t>
      </w:r>
      <w:r w:rsidR="00926A4A" w:rsidRPr="000376A0">
        <w:rPr>
          <w:sz w:val="20"/>
          <w:lang w:val="lv-LV"/>
        </w:rPr>
        <w:t xml:space="preserve">         </w:t>
      </w:r>
    </w:p>
    <w:sectPr w:rsidR="0052269C" w:rsidRPr="000376A0" w:rsidSect="002251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EE" w:rsidRDefault="00482FEE">
      <w:r>
        <w:separator/>
      </w:r>
    </w:p>
  </w:endnote>
  <w:endnote w:type="continuationSeparator" w:id="0">
    <w:p w:rsidR="00482FEE" w:rsidRDefault="0048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Times">
    <w:altName w:val="Dutch TL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F0" w:rsidRDefault="008A0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6F0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6F0" w:rsidRDefault="000426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FD" w:rsidRPr="00B821FD" w:rsidRDefault="00B821FD" w:rsidP="00693C05">
    <w:pPr>
      <w:jc w:val="both"/>
      <w:rPr>
        <w:sz w:val="20"/>
        <w:lang w:val="lv-LV"/>
      </w:rPr>
    </w:pPr>
    <w:r w:rsidRPr="00B821FD">
      <w:rPr>
        <w:sz w:val="20"/>
        <w:lang w:val="de-DE"/>
      </w:rPr>
      <w:t>EMAnot_240810_</w:t>
    </w:r>
    <w:r w:rsidR="009459C5">
      <w:rPr>
        <w:sz w:val="20"/>
        <w:lang w:val="de-DE"/>
      </w:rPr>
      <w:t>etaloni</w:t>
    </w:r>
    <w:r w:rsidRPr="00B821FD">
      <w:rPr>
        <w:sz w:val="20"/>
        <w:lang w:val="de-DE"/>
      </w:rPr>
      <w:t xml:space="preserve">; </w:t>
    </w:r>
    <w:r w:rsidRPr="00B821FD">
      <w:rPr>
        <w:sz w:val="20"/>
        <w:lang w:val="lv-LV"/>
      </w:rPr>
      <w:t xml:space="preserve">Ministru kabineta noteikumu </w:t>
    </w:r>
    <w:r w:rsidRPr="00C070B1">
      <w:rPr>
        <w:sz w:val="20"/>
        <w:lang w:val="lv-LV"/>
      </w:rPr>
      <w:t>„</w:t>
    </w:r>
    <w:r w:rsidRPr="00C070B1">
      <w:rPr>
        <w:sz w:val="20"/>
        <w:lang w:val="de-DE"/>
      </w:rPr>
      <w:t xml:space="preserve">Grozījums </w:t>
    </w:r>
    <w:r w:rsidR="00693C05" w:rsidRPr="00C070B1">
      <w:rPr>
        <w:sz w:val="20"/>
        <w:lang w:val="de-DE"/>
      </w:rPr>
      <w:t xml:space="preserve">Ministru kabineta 2006.gada </w:t>
    </w:r>
    <w:r w:rsidRPr="00C070B1">
      <w:rPr>
        <w:sz w:val="20"/>
        <w:lang w:val="de-DE"/>
      </w:rPr>
      <w:t>19.decembra noteikumos Nr.1016 „Noteikumi par nacionālo mērvienību</w:t>
    </w:r>
    <w:r w:rsidRPr="00B821FD">
      <w:rPr>
        <w:sz w:val="20"/>
        <w:lang w:val="de-DE"/>
      </w:rPr>
      <w:t xml:space="preserve"> etalonu sarakstu”” </w:t>
    </w:r>
    <w:r w:rsidR="009459C5">
      <w:rPr>
        <w:sz w:val="20"/>
        <w:lang w:val="de-DE"/>
      </w:rPr>
      <w:t xml:space="preserve">projekta </w:t>
    </w:r>
    <w:r w:rsidRPr="00B821FD">
      <w:rPr>
        <w:sz w:val="20"/>
        <w:lang w:val="de-DE"/>
      </w:rPr>
      <w:t>sākotnējās ietekmes novērtējuma ziņojums (anotācija)</w:t>
    </w:r>
  </w:p>
  <w:p w:rsidR="000426F0" w:rsidRPr="00BF30F4" w:rsidRDefault="000426F0" w:rsidP="00BF30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FD" w:rsidRPr="00B821FD" w:rsidRDefault="00614356" w:rsidP="00693C05">
    <w:pPr>
      <w:jc w:val="both"/>
      <w:rPr>
        <w:sz w:val="20"/>
        <w:lang w:val="lv-LV"/>
      </w:rPr>
    </w:pPr>
    <w:r w:rsidRPr="00B821FD">
      <w:rPr>
        <w:sz w:val="20"/>
        <w:lang w:val="de-DE"/>
      </w:rPr>
      <w:t>EMAnot_</w:t>
    </w:r>
    <w:r w:rsidR="009459C5">
      <w:rPr>
        <w:sz w:val="20"/>
        <w:lang w:val="de-DE"/>
      </w:rPr>
      <w:t>2911</w:t>
    </w:r>
    <w:r w:rsidRPr="00B821FD">
      <w:rPr>
        <w:sz w:val="20"/>
        <w:lang w:val="de-DE"/>
      </w:rPr>
      <w:t>10_</w:t>
    </w:r>
    <w:r w:rsidR="009459C5">
      <w:rPr>
        <w:sz w:val="20"/>
        <w:lang w:val="de-DE"/>
      </w:rPr>
      <w:t>etaloni</w:t>
    </w:r>
    <w:r w:rsidRPr="00B821FD">
      <w:rPr>
        <w:sz w:val="20"/>
        <w:lang w:val="de-DE"/>
      </w:rPr>
      <w:t xml:space="preserve">; </w:t>
    </w:r>
    <w:r w:rsidR="00B821FD" w:rsidRPr="00B821FD">
      <w:rPr>
        <w:sz w:val="20"/>
        <w:lang w:val="lv-LV"/>
      </w:rPr>
      <w:t xml:space="preserve">Ministru kabineta noteikumu </w:t>
    </w:r>
    <w:r w:rsidR="00B821FD" w:rsidRPr="00C070B1">
      <w:rPr>
        <w:sz w:val="20"/>
        <w:lang w:val="lv-LV"/>
      </w:rPr>
      <w:t>„</w:t>
    </w:r>
    <w:r w:rsidR="00B821FD" w:rsidRPr="00B821FD">
      <w:rPr>
        <w:sz w:val="20"/>
        <w:lang w:val="de-DE"/>
      </w:rPr>
      <w:t xml:space="preserve">Grozījums </w:t>
    </w:r>
    <w:r w:rsidR="00B821FD">
      <w:rPr>
        <w:sz w:val="20"/>
        <w:lang w:val="de-DE"/>
      </w:rPr>
      <w:t xml:space="preserve">Ministru kabineta 2006.gada </w:t>
    </w:r>
    <w:r w:rsidR="00B821FD" w:rsidRPr="00B821FD">
      <w:rPr>
        <w:sz w:val="20"/>
        <w:lang w:val="de-DE"/>
      </w:rPr>
      <w:t xml:space="preserve">19.decembra noteikumos Nr.1016 „Noteikumi par nacionālo mērvienību etalonu sarakstu”” </w:t>
    </w:r>
    <w:r w:rsidR="009459C5">
      <w:rPr>
        <w:sz w:val="20"/>
        <w:lang w:val="de-DE"/>
      </w:rPr>
      <w:t xml:space="preserve">projekta </w:t>
    </w:r>
    <w:r w:rsidR="00B821FD" w:rsidRPr="00B821FD">
      <w:rPr>
        <w:sz w:val="20"/>
        <w:lang w:val="de-DE"/>
      </w:rPr>
      <w:t>sākotnējās ietekmes novērtējuma ziņojums (anotācija)</w:t>
    </w:r>
  </w:p>
  <w:p w:rsidR="000426F0" w:rsidRPr="00FA4454" w:rsidRDefault="000426F0" w:rsidP="004624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EE" w:rsidRDefault="00482FEE">
      <w:r>
        <w:separator/>
      </w:r>
    </w:p>
  </w:footnote>
  <w:footnote w:type="continuationSeparator" w:id="0">
    <w:p w:rsidR="00482FEE" w:rsidRDefault="0048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F0" w:rsidRDefault="008A0C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6F0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6F0" w:rsidRDefault="000426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F0" w:rsidRDefault="008A0C12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426F0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E6AC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426F0" w:rsidRDefault="000426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91"/>
    <w:multiLevelType w:val="singleLevel"/>
    <w:tmpl w:val="82E04A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7FA1A0C"/>
    <w:multiLevelType w:val="singleLevel"/>
    <w:tmpl w:val="08DC5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093A0F"/>
    <w:multiLevelType w:val="hybridMultilevel"/>
    <w:tmpl w:val="4EA69B10"/>
    <w:lvl w:ilvl="0" w:tplc="18143F00">
      <w:start w:val="1"/>
      <w:numFmt w:val="decimal"/>
      <w:lvlText w:val="%1)"/>
      <w:lvlJc w:val="left"/>
      <w:pPr>
        <w:ind w:left="1158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6356D66"/>
    <w:multiLevelType w:val="hybridMultilevel"/>
    <w:tmpl w:val="DBAAC4E8"/>
    <w:lvl w:ilvl="0" w:tplc="358EF2EC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4458E"/>
    <w:multiLevelType w:val="singleLevel"/>
    <w:tmpl w:val="08DC5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6811E4"/>
    <w:multiLevelType w:val="multilevel"/>
    <w:tmpl w:val="F13625D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F123A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6603FC"/>
    <w:multiLevelType w:val="singleLevel"/>
    <w:tmpl w:val="2D0EB81E"/>
    <w:lvl w:ilvl="0">
      <w:start w:val="1"/>
      <w:numFmt w:val="decimal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abstractNum w:abstractNumId="8">
    <w:nsid w:val="713A7FE6"/>
    <w:multiLevelType w:val="singleLevel"/>
    <w:tmpl w:val="EC32C702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9">
    <w:nsid w:val="7EFE18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FDB360A"/>
    <w:multiLevelType w:val="singleLevel"/>
    <w:tmpl w:val="08DC5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B6073E"/>
    <w:rsid w:val="00001E4F"/>
    <w:rsid w:val="00002E7C"/>
    <w:rsid w:val="00005B3B"/>
    <w:rsid w:val="0001582B"/>
    <w:rsid w:val="00017828"/>
    <w:rsid w:val="00021B5B"/>
    <w:rsid w:val="00025B33"/>
    <w:rsid w:val="00025C69"/>
    <w:rsid w:val="00031247"/>
    <w:rsid w:val="0003560D"/>
    <w:rsid w:val="000376A0"/>
    <w:rsid w:val="0004101A"/>
    <w:rsid w:val="000426F0"/>
    <w:rsid w:val="000536D7"/>
    <w:rsid w:val="00070BA2"/>
    <w:rsid w:val="00071BED"/>
    <w:rsid w:val="0007246C"/>
    <w:rsid w:val="0007520E"/>
    <w:rsid w:val="00080998"/>
    <w:rsid w:val="00091C17"/>
    <w:rsid w:val="000926EA"/>
    <w:rsid w:val="00096368"/>
    <w:rsid w:val="00096F7E"/>
    <w:rsid w:val="000A7D0E"/>
    <w:rsid w:val="000B2AFB"/>
    <w:rsid w:val="000B465B"/>
    <w:rsid w:val="000B6E2B"/>
    <w:rsid w:val="000C4991"/>
    <w:rsid w:val="000C55E7"/>
    <w:rsid w:val="000D1A1E"/>
    <w:rsid w:val="000D1ECF"/>
    <w:rsid w:val="000D1F2E"/>
    <w:rsid w:val="000D3E06"/>
    <w:rsid w:val="000D4163"/>
    <w:rsid w:val="000F1CB7"/>
    <w:rsid w:val="000F3AA2"/>
    <w:rsid w:val="00101512"/>
    <w:rsid w:val="001028C0"/>
    <w:rsid w:val="0010317C"/>
    <w:rsid w:val="001047BD"/>
    <w:rsid w:val="00105FBB"/>
    <w:rsid w:val="001063BB"/>
    <w:rsid w:val="00121EDC"/>
    <w:rsid w:val="001226B2"/>
    <w:rsid w:val="00122C62"/>
    <w:rsid w:val="0013013C"/>
    <w:rsid w:val="0013044F"/>
    <w:rsid w:val="00131BC5"/>
    <w:rsid w:val="00133829"/>
    <w:rsid w:val="001377CB"/>
    <w:rsid w:val="0014375A"/>
    <w:rsid w:val="00144239"/>
    <w:rsid w:val="0014474F"/>
    <w:rsid w:val="00145F28"/>
    <w:rsid w:val="0014667D"/>
    <w:rsid w:val="001474A7"/>
    <w:rsid w:val="00153448"/>
    <w:rsid w:val="0015565F"/>
    <w:rsid w:val="00163388"/>
    <w:rsid w:val="001662C2"/>
    <w:rsid w:val="00167310"/>
    <w:rsid w:val="00167C6B"/>
    <w:rsid w:val="001760F8"/>
    <w:rsid w:val="0017639F"/>
    <w:rsid w:val="00180B82"/>
    <w:rsid w:val="001821D3"/>
    <w:rsid w:val="0019192E"/>
    <w:rsid w:val="00194080"/>
    <w:rsid w:val="00194CAB"/>
    <w:rsid w:val="001A6213"/>
    <w:rsid w:val="001A742F"/>
    <w:rsid w:val="001A7A79"/>
    <w:rsid w:val="001B09E4"/>
    <w:rsid w:val="001B514D"/>
    <w:rsid w:val="001B6C79"/>
    <w:rsid w:val="001C0D7F"/>
    <w:rsid w:val="001C131E"/>
    <w:rsid w:val="001C279A"/>
    <w:rsid w:val="001C5C8C"/>
    <w:rsid w:val="001C763F"/>
    <w:rsid w:val="001C783F"/>
    <w:rsid w:val="001C7E16"/>
    <w:rsid w:val="001D17EA"/>
    <w:rsid w:val="001D5930"/>
    <w:rsid w:val="001E710B"/>
    <w:rsid w:val="001F004D"/>
    <w:rsid w:val="00200DBB"/>
    <w:rsid w:val="00202A38"/>
    <w:rsid w:val="00203795"/>
    <w:rsid w:val="00207A8D"/>
    <w:rsid w:val="00207E59"/>
    <w:rsid w:val="00222058"/>
    <w:rsid w:val="002234A1"/>
    <w:rsid w:val="00223FDF"/>
    <w:rsid w:val="00224002"/>
    <w:rsid w:val="00225166"/>
    <w:rsid w:val="00226838"/>
    <w:rsid w:val="0023236B"/>
    <w:rsid w:val="0023301A"/>
    <w:rsid w:val="002360B4"/>
    <w:rsid w:val="00236877"/>
    <w:rsid w:val="00236C29"/>
    <w:rsid w:val="00237360"/>
    <w:rsid w:val="00237F96"/>
    <w:rsid w:val="00242878"/>
    <w:rsid w:val="00242FD5"/>
    <w:rsid w:val="002442A6"/>
    <w:rsid w:val="00245321"/>
    <w:rsid w:val="002470C2"/>
    <w:rsid w:val="00250EA7"/>
    <w:rsid w:val="002524C0"/>
    <w:rsid w:val="002567A5"/>
    <w:rsid w:val="00256B43"/>
    <w:rsid w:val="002666E3"/>
    <w:rsid w:val="0027350C"/>
    <w:rsid w:val="00277EDA"/>
    <w:rsid w:val="002803BF"/>
    <w:rsid w:val="002854C5"/>
    <w:rsid w:val="00291323"/>
    <w:rsid w:val="002917A3"/>
    <w:rsid w:val="002963FF"/>
    <w:rsid w:val="002A2436"/>
    <w:rsid w:val="002A3F84"/>
    <w:rsid w:val="002A4E0B"/>
    <w:rsid w:val="002A65D8"/>
    <w:rsid w:val="002A7211"/>
    <w:rsid w:val="002C24C6"/>
    <w:rsid w:val="002C428E"/>
    <w:rsid w:val="002C6150"/>
    <w:rsid w:val="002D0308"/>
    <w:rsid w:val="002D2DB3"/>
    <w:rsid w:val="002E1685"/>
    <w:rsid w:val="002E2423"/>
    <w:rsid w:val="002E2A57"/>
    <w:rsid w:val="002E3376"/>
    <w:rsid w:val="002E60EA"/>
    <w:rsid w:val="002E7383"/>
    <w:rsid w:val="002E7F2F"/>
    <w:rsid w:val="002F28DF"/>
    <w:rsid w:val="002F6D2F"/>
    <w:rsid w:val="003017DC"/>
    <w:rsid w:val="00304CCC"/>
    <w:rsid w:val="00304E1A"/>
    <w:rsid w:val="00310DF7"/>
    <w:rsid w:val="0032612D"/>
    <w:rsid w:val="003262A6"/>
    <w:rsid w:val="0033057A"/>
    <w:rsid w:val="00330B80"/>
    <w:rsid w:val="003321D9"/>
    <w:rsid w:val="00332672"/>
    <w:rsid w:val="00335130"/>
    <w:rsid w:val="00335728"/>
    <w:rsid w:val="00335799"/>
    <w:rsid w:val="0034004C"/>
    <w:rsid w:val="00341BD1"/>
    <w:rsid w:val="0034257F"/>
    <w:rsid w:val="003472AD"/>
    <w:rsid w:val="00355371"/>
    <w:rsid w:val="003564F2"/>
    <w:rsid w:val="00356D14"/>
    <w:rsid w:val="003613A9"/>
    <w:rsid w:val="00364BC4"/>
    <w:rsid w:val="00366831"/>
    <w:rsid w:val="003714F7"/>
    <w:rsid w:val="003743EB"/>
    <w:rsid w:val="00376901"/>
    <w:rsid w:val="00385262"/>
    <w:rsid w:val="00386248"/>
    <w:rsid w:val="0038625D"/>
    <w:rsid w:val="00386264"/>
    <w:rsid w:val="003865A8"/>
    <w:rsid w:val="0039163C"/>
    <w:rsid w:val="00393718"/>
    <w:rsid w:val="003937FC"/>
    <w:rsid w:val="0039725B"/>
    <w:rsid w:val="003A0038"/>
    <w:rsid w:val="003A1D20"/>
    <w:rsid w:val="003A2942"/>
    <w:rsid w:val="003A2A89"/>
    <w:rsid w:val="003A35C2"/>
    <w:rsid w:val="003A5C16"/>
    <w:rsid w:val="003A60FD"/>
    <w:rsid w:val="003A7CC9"/>
    <w:rsid w:val="003B1C4B"/>
    <w:rsid w:val="003B5FF8"/>
    <w:rsid w:val="003B7FFC"/>
    <w:rsid w:val="003C16E2"/>
    <w:rsid w:val="003C7256"/>
    <w:rsid w:val="003C7D5B"/>
    <w:rsid w:val="003D122A"/>
    <w:rsid w:val="003D45B7"/>
    <w:rsid w:val="003D4903"/>
    <w:rsid w:val="003D5301"/>
    <w:rsid w:val="003D6655"/>
    <w:rsid w:val="003E072C"/>
    <w:rsid w:val="003E1521"/>
    <w:rsid w:val="003E1D0B"/>
    <w:rsid w:val="003E2596"/>
    <w:rsid w:val="003F7AFC"/>
    <w:rsid w:val="00406F25"/>
    <w:rsid w:val="004117F2"/>
    <w:rsid w:val="00417F17"/>
    <w:rsid w:val="00421C9D"/>
    <w:rsid w:val="0042324C"/>
    <w:rsid w:val="004238A0"/>
    <w:rsid w:val="00423D0D"/>
    <w:rsid w:val="004351C7"/>
    <w:rsid w:val="00441C9C"/>
    <w:rsid w:val="00442167"/>
    <w:rsid w:val="00443E2C"/>
    <w:rsid w:val="00444D3D"/>
    <w:rsid w:val="00453511"/>
    <w:rsid w:val="00453BC8"/>
    <w:rsid w:val="004567D6"/>
    <w:rsid w:val="004579D2"/>
    <w:rsid w:val="004624D8"/>
    <w:rsid w:val="00467BB1"/>
    <w:rsid w:val="00470E8C"/>
    <w:rsid w:val="004720B2"/>
    <w:rsid w:val="00473D34"/>
    <w:rsid w:val="004744E3"/>
    <w:rsid w:val="004821DA"/>
    <w:rsid w:val="00482FEE"/>
    <w:rsid w:val="004851DF"/>
    <w:rsid w:val="00485740"/>
    <w:rsid w:val="00491238"/>
    <w:rsid w:val="00491AC4"/>
    <w:rsid w:val="00491EE1"/>
    <w:rsid w:val="004961BC"/>
    <w:rsid w:val="004A0C4B"/>
    <w:rsid w:val="004A2589"/>
    <w:rsid w:val="004B049B"/>
    <w:rsid w:val="004B2AA2"/>
    <w:rsid w:val="004B59AC"/>
    <w:rsid w:val="004C0D76"/>
    <w:rsid w:val="004C1B6E"/>
    <w:rsid w:val="004C23A1"/>
    <w:rsid w:val="004C5135"/>
    <w:rsid w:val="004D0220"/>
    <w:rsid w:val="004D0479"/>
    <w:rsid w:val="004D0570"/>
    <w:rsid w:val="004D06CD"/>
    <w:rsid w:val="004D6AE2"/>
    <w:rsid w:val="004E57B4"/>
    <w:rsid w:val="004E5B3F"/>
    <w:rsid w:val="004F2489"/>
    <w:rsid w:val="004F5523"/>
    <w:rsid w:val="004F7D21"/>
    <w:rsid w:val="00501760"/>
    <w:rsid w:val="00502FFF"/>
    <w:rsid w:val="00505A0D"/>
    <w:rsid w:val="00510653"/>
    <w:rsid w:val="005152F2"/>
    <w:rsid w:val="00521858"/>
    <w:rsid w:val="00521DE1"/>
    <w:rsid w:val="0052269C"/>
    <w:rsid w:val="00525202"/>
    <w:rsid w:val="00535B4A"/>
    <w:rsid w:val="00537BAD"/>
    <w:rsid w:val="005405D6"/>
    <w:rsid w:val="00542B60"/>
    <w:rsid w:val="00546AD5"/>
    <w:rsid w:val="00550829"/>
    <w:rsid w:val="00552EA3"/>
    <w:rsid w:val="00553677"/>
    <w:rsid w:val="00553BF9"/>
    <w:rsid w:val="00554BB0"/>
    <w:rsid w:val="00555971"/>
    <w:rsid w:val="00556A52"/>
    <w:rsid w:val="00563C56"/>
    <w:rsid w:val="00572A3C"/>
    <w:rsid w:val="005738F0"/>
    <w:rsid w:val="00577AD3"/>
    <w:rsid w:val="0058088F"/>
    <w:rsid w:val="00582FA1"/>
    <w:rsid w:val="00584826"/>
    <w:rsid w:val="00586098"/>
    <w:rsid w:val="00586404"/>
    <w:rsid w:val="00587188"/>
    <w:rsid w:val="005906E9"/>
    <w:rsid w:val="0059327B"/>
    <w:rsid w:val="0059442A"/>
    <w:rsid w:val="00594D13"/>
    <w:rsid w:val="005A385F"/>
    <w:rsid w:val="005A68E7"/>
    <w:rsid w:val="005A7504"/>
    <w:rsid w:val="005B4EB1"/>
    <w:rsid w:val="005B5F7D"/>
    <w:rsid w:val="005C078A"/>
    <w:rsid w:val="005C2B3F"/>
    <w:rsid w:val="005C2CC1"/>
    <w:rsid w:val="005C4A62"/>
    <w:rsid w:val="005D4E1B"/>
    <w:rsid w:val="005D5C2E"/>
    <w:rsid w:val="005D6190"/>
    <w:rsid w:val="005D638D"/>
    <w:rsid w:val="005E0AEE"/>
    <w:rsid w:val="005E10CA"/>
    <w:rsid w:val="005E4878"/>
    <w:rsid w:val="005E4D19"/>
    <w:rsid w:val="005E5C78"/>
    <w:rsid w:val="005F02D4"/>
    <w:rsid w:val="005F17DF"/>
    <w:rsid w:val="005F4138"/>
    <w:rsid w:val="005F46A3"/>
    <w:rsid w:val="00604E44"/>
    <w:rsid w:val="00607D6B"/>
    <w:rsid w:val="00611744"/>
    <w:rsid w:val="0061268B"/>
    <w:rsid w:val="006131A6"/>
    <w:rsid w:val="0061348E"/>
    <w:rsid w:val="00614356"/>
    <w:rsid w:val="00615AE9"/>
    <w:rsid w:val="0061634A"/>
    <w:rsid w:val="00624326"/>
    <w:rsid w:val="00626B7B"/>
    <w:rsid w:val="00635706"/>
    <w:rsid w:val="00644861"/>
    <w:rsid w:val="0064689A"/>
    <w:rsid w:val="00651AAE"/>
    <w:rsid w:val="00657C48"/>
    <w:rsid w:val="00664517"/>
    <w:rsid w:val="00670C82"/>
    <w:rsid w:val="00671404"/>
    <w:rsid w:val="00681340"/>
    <w:rsid w:val="006825A2"/>
    <w:rsid w:val="006862A5"/>
    <w:rsid w:val="00690104"/>
    <w:rsid w:val="00692C1A"/>
    <w:rsid w:val="0069307E"/>
    <w:rsid w:val="00693C05"/>
    <w:rsid w:val="0069686D"/>
    <w:rsid w:val="00697B02"/>
    <w:rsid w:val="006A2E2D"/>
    <w:rsid w:val="006A31D9"/>
    <w:rsid w:val="006A4571"/>
    <w:rsid w:val="006A49EF"/>
    <w:rsid w:val="006A6B9D"/>
    <w:rsid w:val="006B0E4A"/>
    <w:rsid w:val="006B11E5"/>
    <w:rsid w:val="006B1B54"/>
    <w:rsid w:val="006B6C78"/>
    <w:rsid w:val="006B72AB"/>
    <w:rsid w:val="006C2946"/>
    <w:rsid w:val="006C462D"/>
    <w:rsid w:val="006C4C0B"/>
    <w:rsid w:val="006D1BA8"/>
    <w:rsid w:val="006D2447"/>
    <w:rsid w:val="006D5160"/>
    <w:rsid w:val="006D649C"/>
    <w:rsid w:val="006D7219"/>
    <w:rsid w:val="006E18D9"/>
    <w:rsid w:val="006E198C"/>
    <w:rsid w:val="006E4FCB"/>
    <w:rsid w:val="006E7949"/>
    <w:rsid w:val="007019D5"/>
    <w:rsid w:val="0070346B"/>
    <w:rsid w:val="0070418C"/>
    <w:rsid w:val="00707A73"/>
    <w:rsid w:val="007109B9"/>
    <w:rsid w:val="0071243D"/>
    <w:rsid w:val="0071673F"/>
    <w:rsid w:val="007167D1"/>
    <w:rsid w:val="00720116"/>
    <w:rsid w:val="00727060"/>
    <w:rsid w:val="00737C35"/>
    <w:rsid w:val="007505A7"/>
    <w:rsid w:val="00752071"/>
    <w:rsid w:val="007542F4"/>
    <w:rsid w:val="007560C0"/>
    <w:rsid w:val="007602FA"/>
    <w:rsid w:val="00760500"/>
    <w:rsid w:val="007615D1"/>
    <w:rsid w:val="0076452B"/>
    <w:rsid w:val="00770119"/>
    <w:rsid w:val="007710A0"/>
    <w:rsid w:val="007722E0"/>
    <w:rsid w:val="00773590"/>
    <w:rsid w:val="00784101"/>
    <w:rsid w:val="00785487"/>
    <w:rsid w:val="00786E07"/>
    <w:rsid w:val="00787495"/>
    <w:rsid w:val="00796CB3"/>
    <w:rsid w:val="00797C1B"/>
    <w:rsid w:val="007A0530"/>
    <w:rsid w:val="007A39E0"/>
    <w:rsid w:val="007A5B41"/>
    <w:rsid w:val="007A63D7"/>
    <w:rsid w:val="007A6EDC"/>
    <w:rsid w:val="007B48F9"/>
    <w:rsid w:val="007B73AC"/>
    <w:rsid w:val="007C7458"/>
    <w:rsid w:val="007D0DC4"/>
    <w:rsid w:val="007D335C"/>
    <w:rsid w:val="007D3480"/>
    <w:rsid w:val="007D4483"/>
    <w:rsid w:val="007E02FD"/>
    <w:rsid w:val="007E06F5"/>
    <w:rsid w:val="007E2680"/>
    <w:rsid w:val="007E2FA1"/>
    <w:rsid w:val="007E4563"/>
    <w:rsid w:val="007F0E51"/>
    <w:rsid w:val="007F2186"/>
    <w:rsid w:val="007F6594"/>
    <w:rsid w:val="007F69E6"/>
    <w:rsid w:val="007F7DD6"/>
    <w:rsid w:val="00800760"/>
    <w:rsid w:val="00800C4C"/>
    <w:rsid w:val="00801AD8"/>
    <w:rsid w:val="0080477A"/>
    <w:rsid w:val="00805D61"/>
    <w:rsid w:val="00807925"/>
    <w:rsid w:val="00811B5D"/>
    <w:rsid w:val="00813189"/>
    <w:rsid w:val="008164D4"/>
    <w:rsid w:val="00817225"/>
    <w:rsid w:val="00821393"/>
    <w:rsid w:val="008229DF"/>
    <w:rsid w:val="00824128"/>
    <w:rsid w:val="00832AE3"/>
    <w:rsid w:val="00841D21"/>
    <w:rsid w:val="00844334"/>
    <w:rsid w:val="008449B9"/>
    <w:rsid w:val="00844C41"/>
    <w:rsid w:val="008509CE"/>
    <w:rsid w:val="00852381"/>
    <w:rsid w:val="00854270"/>
    <w:rsid w:val="008559C3"/>
    <w:rsid w:val="00862A04"/>
    <w:rsid w:val="0086510D"/>
    <w:rsid w:val="008705D1"/>
    <w:rsid w:val="0087063B"/>
    <w:rsid w:val="00874FEE"/>
    <w:rsid w:val="00884EFC"/>
    <w:rsid w:val="008859B8"/>
    <w:rsid w:val="008A0C12"/>
    <w:rsid w:val="008A2E69"/>
    <w:rsid w:val="008A3E7A"/>
    <w:rsid w:val="008A5DC5"/>
    <w:rsid w:val="008B3049"/>
    <w:rsid w:val="008B4F76"/>
    <w:rsid w:val="008C2642"/>
    <w:rsid w:val="008C2709"/>
    <w:rsid w:val="008C4671"/>
    <w:rsid w:val="008C71BB"/>
    <w:rsid w:val="008C7A15"/>
    <w:rsid w:val="008D3F3C"/>
    <w:rsid w:val="008D419C"/>
    <w:rsid w:val="008D4EEE"/>
    <w:rsid w:val="008E1B79"/>
    <w:rsid w:val="008E5CC2"/>
    <w:rsid w:val="008F1464"/>
    <w:rsid w:val="008F18BA"/>
    <w:rsid w:val="008F498D"/>
    <w:rsid w:val="008F51EB"/>
    <w:rsid w:val="008F5BD6"/>
    <w:rsid w:val="008F652C"/>
    <w:rsid w:val="00900B72"/>
    <w:rsid w:val="0091065A"/>
    <w:rsid w:val="00910B19"/>
    <w:rsid w:val="009113C7"/>
    <w:rsid w:val="0091499C"/>
    <w:rsid w:val="00916EAF"/>
    <w:rsid w:val="00917918"/>
    <w:rsid w:val="00917AF3"/>
    <w:rsid w:val="00922947"/>
    <w:rsid w:val="00926A4A"/>
    <w:rsid w:val="00932D1F"/>
    <w:rsid w:val="00933909"/>
    <w:rsid w:val="00935271"/>
    <w:rsid w:val="00935B8F"/>
    <w:rsid w:val="00941392"/>
    <w:rsid w:val="00942148"/>
    <w:rsid w:val="009459C5"/>
    <w:rsid w:val="00953C86"/>
    <w:rsid w:val="0095611D"/>
    <w:rsid w:val="009578E2"/>
    <w:rsid w:val="00957C26"/>
    <w:rsid w:val="009610E1"/>
    <w:rsid w:val="00963AAE"/>
    <w:rsid w:val="00965F7A"/>
    <w:rsid w:val="009710A3"/>
    <w:rsid w:val="00972897"/>
    <w:rsid w:val="00972ACF"/>
    <w:rsid w:val="0097347B"/>
    <w:rsid w:val="009737D3"/>
    <w:rsid w:val="00983379"/>
    <w:rsid w:val="00985CE1"/>
    <w:rsid w:val="00986909"/>
    <w:rsid w:val="00993CF0"/>
    <w:rsid w:val="00997169"/>
    <w:rsid w:val="00997598"/>
    <w:rsid w:val="00997AD6"/>
    <w:rsid w:val="009A294C"/>
    <w:rsid w:val="009A31C1"/>
    <w:rsid w:val="009A7794"/>
    <w:rsid w:val="009B1AEE"/>
    <w:rsid w:val="009B4B76"/>
    <w:rsid w:val="009B4D78"/>
    <w:rsid w:val="009C1E84"/>
    <w:rsid w:val="009C476C"/>
    <w:rsid w:val="009D12E2"/>
    <w:rsid w:val="009D22D0"/>
    <w:rsid w:val="009D3367"/>
    <w:rsid w:val="009D34AD"/>
    <w:rsid w:val="009D5C5D"/>
    <w:rsid w:val="009D610B"/>
    <w:rsid w:val="009D624A"/>
    <w:rsid w:val="009E2DAA"/>
    <w:rsid w:val="009E57C4"/>
    <w:rsid w:val="009E6AB1"/>
    <w:rsid w:val="009E6ACD"/>
    <w:rsid w:val="009F143B"/>
    <w:rsid w:val="009F2D54"/>
    <w:rsid w:val="009F33AF"/>
    <w:rsid w:val="00A00FFF"/>
    <w:rsid w:val="00A029BB"/>
    <w:rsid w:val="00A11198"/>
    <w:rsid w:val="00A11F40"/>
    <w:rsid w:val="00A17FB8"/>
    <w:rsid w:val="00A21289"/>
    <w:rsid w:val="00A257A4"/>
    <w:rsid w:val="00A25BC6"/>
    <w:rsid w:val="00A42D8F"/>
    <w:rsid w:val="00A43802"/>
    <w:rsid w:val="00A44B1B"/>
    <w:rsid w:val="00A469E7"/>
    <w:rsid w:val="00A474D2"/>
    <w:rsid w:val="00A47CCC"/>
    <w:rsid w:val="00A54C5E"/>
    <w:rsid w:val="00A5518B"/>
    <w:rsid w:val="00A56B77"/>
    <w:rsid w:val="00A651B1"/>
    <w:rsid w:val="00A73579"/>
    <w:rsid w:val="00A7762E"/>
    <w:rsid w:val="00A80225"/>
    <w:rsid w:val="00A8077D"/>
    <w:rsid w:val="00A80FE4"/>
    <w:rsid w:val="00A82424"/>
    <w:rsid w:val="00A829BE"/>
    <w:rsid w:val="00A85F3F"/>
    <w:rsid w:val="00A92919"/>
    <w:rsid w:val="00A9343B"/>
    <w:rsid w:val="00A939A8"/>
    <w:rsid w:val="00A9400C"/>
    <w:rsid w:val="00A95417"/>
    <w:rsid w:val="00AA284C"/>
    <w:rsid w:val="00AA2B90"/>
    <w:rsid w:val="00AA40E0"/>
    <w:rsid w:val="00AB330A"/>
    <w:rsid w:val="00AB5FE8"/>
    <w:rsid w:val="00AC6EBC"/>
    <w:rsid w:val="00AD16FB"/>
    <w:rsid w:val="00AD31EA"/>
    <w:rsid w:val="00AD3FFB"/>
    <w:rsid w:val="00AD4DA5"/>
    <w:rsid w:val="00AE1E85"/>
    <w:rsid w:val="00AE548F"/>
    <w:rsid w:val="00AF25EA"/>
    <w:rsid w:val="00AF7EAE"/>
    <w:rsid w:val="00B123B3"/>
    <w:rsid w:val="00B12DD8"/>
    <w:rsid w:val="00B159C3"/>
    <w:rsid w:val="00B17ED1"/>
    <w:rsid w:val="00B23840"/>
    <w:rsid w:val="00B367CF"/>
    <w:rsid w:val="00B40759"/>
    <w:rsid w:val="00B447DF"/>
    <w:rsid w:val="00B4690C"/>
    <w:rsid w:val="00B5250D"/>
    <w:rsid w:val="00B5471A"/>
    <w:rsid w:val="00B5710D"/>
    <w:rsid w:val="00B57202"/>
    <w:rsid w:val="00B57C09"/>
    <w:rsid w:val="00B6073E"/>
    <w:rsid w:val="00B620BB"/>
    <w:rsid w:val="00B721C3"/>
    <w:rsid w:val="00B72E76"/>
    <w:rsid w:val="00B747DF"/>
    <w:rsid w:val="00B820AC"/>
    <w:rsid w:val="00B821FD"/>
    <w:rsid w:val="00B8503A"/>
    <w:rsid w:val="00B8667F"/>
    <w:rsid w:val="00B92C25"/>
    <w:rsid w:val="00B948E9"/>
    <w:rsid w:val="00B964A4"/>
    <w:rsid w:val="00BA47F6"/>
    <w:rsid w:val="00BA53C2"/>
    <w:rsid w:val="00BA5A15"/>
    <w:rsid w:val="00BA76E7"/>
    <w:rsid w:val="00BB39E6"/>
    <w:rsid w:val="00BB4BA5"/>
    <w:rsid w:val="00BB4D6F"/>
    <w:rsid w:val="00BB5268"/>
    <w:rsid w:val="00BC2532"/>
    <w:rsid w:val="00BE427A"/>
    <w:rsid w:val="00BF2256"/>
    <w:rsid w:val="00BF25BC"/>
    <w:rsid w:val="00BF30F4"/>
    <w:rsid w:val="00C01185"/>
    <w:rsid w:val="00C051FA"/>
    <w:rsid w:val="00C070B1"/>
    <w:rsid w:val="00C07E17"/>
    <w:rsid w:val="00C10529"/>
    <w:rsid w:val="00C1089A"/>
    <w:rsid w:val="00C11B12"/>
    <w:rsid w:val="00C16D95"/>
    <w:rsid w:val="00C16F9E"/>
    <w:rsid w:val="00C20853"/>
    <w:rsid w:val="00C211C8"/>
    <w:rsid w:val="00C26FF7"/>
    <w:rsid w:val="00C27F22"/>
    <w:rsid w:val="00C30B7D"/>
    <w:rsid w:val="00C32E9B"/>
    <w:rsid w:val="00C407D8"/>
    <w:rsid w:val="00C437C2"/>
    <w:rsid w:val="00C43960"/>
    <w:rsid w:val="00C466DE"/>
    <w:rsid w:val="00C50D6A"/>
    <w:rsid w:val="00C53884"/>
    <w:rsid w:val="00C54F96"/>
    <w:rsid w:val="00C55B5C"/>
    <w:rsid w:val="00C577A9"/>
    <w:rsid w:val="00C6628B"/>
    <w:rsid w:val="00C727F4"/>
    <w:rsid w:val="00C815F9"/>
    <w:rsid w:val="00C81B9F"/>
    <w:rsid w:val="00C81FF9"/>
    <w:rsid w:val="00C822ED"/>
    <w:rsid w:val="00C831B3"/>
    <w:rsid w:val="00C864A3"/>
    <w:rsid w:val="00C92507"/>
    <w:rsid w:val="00C96A58"/>
    <w:rsid w:val="00C96B58"/>
    <w:rsid w:val="00C9754B"/>
    <w:rsid w:val="00CA12D9"/>
    <w:rsid w:val="00CA1419"/>
    <w:rsid w:val="00CA162A"/>
    <w:rsid w:val="00CA3A32"/>
    <w:rsid w:val="00CB5C75"/>
    <w:rsid w:val="00CB7420"/>
    <w:rsid w:val="00CC3861"/>
    <w:rsid w:val="00CC7C76"/>
    <w:rsid w:val="00CD0C78"/>
    <w:rsid w:val="00CD744A"/>
    <w:rsid w:val="00CE0109"/>
    <w:rsid w:val="00CE0BE3"/>
    <w:rsid w:val="00CE2E29"/>
    <w:rsid w:val="00CE2F49"/>
    <w:rsid w:val="00CE50F2"/>
    <w:rsid w:val="00CE67EA"/>
    <w:rsid w:val="00CF0B39"/>
    <w:rsid w:val="00CF0F57"/>
    <w:rsid w:val="00CF4961"/>
    <w:rsid w:val="00D02899"/>
    <w:rsid w:val="00D07448"/>
    <w:rsid w:val="00D07DC0"/>
    <w:rsid w:val="00D10756"/>
    <w:rsid w:val="00D1229F"/>
    <w:rsid w:val="00D14F4C"/>
    <w:rsid w:val="00D26FA4"/>
    <w:rsid w:val="00D32C30"/>
    <w:rsid w:val="00D42234"/>
    <w:rsid w:val="00D44B8E"/>
    <w:rsid w:val="00D47905"/>
    <w:rsid w:val="00D529D7"/>
    <w:rsid w:val="00D54A54"/>
    <w:rsid w:val="00D57B3F"/>
    <w:rsid w:val="00D65725"/>
    <w:rsid w:val="00D6656C"/>
    <w:rsid w:val="00D721F0"/>
    <w:rsid w:val="00D722DC"/>
    <w:rsid w:val="00D72C04"/>
    <w:rsid w:val="00D75028"/>
    <w:rsid w:val="00D7524A"/>
    <w:rsid w:val="00D81015"/>
    <w:rsid w:val="00D84534"/>
    <w:rsid w:val="00D8688A"/>
    <w:rsid w:val="00D91F13"/>
    <w:rsid w:val="00D921CC"/>
    <w:rsid w:val="00D927D8"/>
    <w:rsid w:val="00D938EF"/>
    <w:rsid w:val="00D9673B"/>
    <w:rsid w:val="00D97DF2"/>
    <w:rsid w:val="00DA1CB6"/>
    <w:rsid w:val="00DB439F"/>
    <w:rsid w:val="00DC1BAA"/>
    <w:rsid w:val="00DC1F4F"/>
    <w:rsid w:val="00DC68F1"/>
    <w:rsid w:val="00DD00A3"/>
    <w:rsid w:val="00DD08A1"/>
    <w:rsid w:val="00DD3A31"/>
    <w:rsid w:val="00DD5A94"/>
    <w:rsid w:val="00DD6BA3"/>
    <w:rsid w:val="00DE2870"/>
    <w:rsid w:val="00DE4B4C"/>
    <w:rsid w:val="00DF1786"/>
    <w:rsid w:val="00DF1994"/>
    <w:rsid w:val="00DF3055"/>
    <w:rsid w:val="00E03BF9"/>
    <w:rsid w:val="00E0415F"/>
    <w:rsid w:val="00E10787"/>
    <w:rsid w:val="00E20341"/>
    <w:rsid w:val="00E25DBE"/>
    <w:rsid w:val="00E30467"/>
    <w:rsid w:val="00E42EA4"/>
    <w:rsid w:val="00E433A2"/>
    <w:rsid w:val="00E512E9"/>
    <w:rsid w:val="00E56DD9"/>
    <w:rsid w:val="00E7165F"/>
    <w:rsid w:val="00E71D8D"/>
    <w:rsid w:val="00E811F6"/>
    <w:rsid w:val="00E85242"/>
    <w:rsid w:val="00E85974"/>
    <w:rsid w:val="00E9059C"/>
    <w:rsid w:val="00E9076B"/>
    <w:rsid w:val="00E93A65"/>
    <w:rsid w:val="00E973BA"/>
    <w:rsid w:val="00EA12C7"/>
    <w:rsid w:val="00EA633B"/>
    <w:rsid w:val="00EA7088"/>
    <w:rsid w:val="00EA7783"/>
    <w:rsid w:val="00EB0105"/>
    <w:rsid w:val="00EB0F20"/>
    <w:rsid w:val="00EB11DC"/>
    <w:rsid w:val="00EB19DF"/>
    <w:rsid w:val="00EB20B7"/>
    <w:rsid w:val="00EB26E8"/>
    <w:rsid w:val="00EB591A"/>
    <w:rsid w:val="00EB7624"/>
    <w:rsid w:val="00EC398E"/>
    <w:rsid w:val="00EC7A1D"/>
    <w:rsid w:val="00ED504A"/>
    <w:rsid w:val="00F004AD"/>
    <w:rsid w:val="00F02705"/>
    <w:rsid w:val="00F0289B"/>
    <w:rsid w:val="00F07E3B"/>
    <w:rsid w:val="00F16E70"/>
    <w:rsid w:val="00F17242"/>
    <w:rsid w:val="00F178A2"/>
    <w:rsid w:val="00F17AF2"/>
    <w:rsid w:val="00F20638"/>
    <w:rsid w:val="00F24183"/>
    <w:rsid w:val="00F24F26"/>
    <w:rsid w:val="00F25468"/>
    <w:rsid w:val="00F263C1"/>
    <w:rsid w:val="00F26B55"/>
    <w:rsid w:val="00F35C97"/>
    <w:rsid w:val="00F4192B"/>
    <w:rsid w:val="00F468D7"/>
    <w:rsid w:val="00F47563"/>
    <w:rsid w:val="00F4791D"/>
    <w:rsid w:val="00F5286B"/>
    <w:rsid w:val="00F60F0B"/>
    <w:rsid w:val="00F62E9D"/>
    <w:rsid w:val="00F64D21"/>
    <w:rsid w:val="00F65547"/>
    <w:rsid w:val="00F70340"/>
    <w:rsid w:val="00F71035"/>
    <w:rsid w:val="00F7333E"/>
    <w:rsid w:val="00F74EDA"/>
    <w:rsid w:val="00F75AFA"/>
    <w:rsid w:val="00F7791D"/>
    <w:rsid w:val="00F80FD5"/>
    <w:rsid w:val="00F81E67"/>
    <w:rsid w:val="00F82DCD"/>
    <w:rsid w:val="00F83CDD"/>
    <w:rsid w:val="00F86D78"/>
    <w:rsid w:val="00F905A8"/>
    <w:rsid w:val="00F921EA"/>
    <w:rsid w:val="00F92539"/>
    <w:rsid w:val="00F9448E"/>
    <w:rsid w:val="00F9792D"/>
    <w:rsid w:val="00FA05D6"/>
    <w:rsid w:val="00FA16D7"/>
    <w:rsid w:val="00FA18A2"/>
    <w:rsid w:val="00FA4454"/>
    <w:rsid w:val="00FA5298"/>
    <w:rsid w:val="00FB47CF"/>
    <w:rsid w:val="00FC21E3"/>
    <w:rsid w:val="00FC742F"/>
    <w:rsid w:val="00FD0A8B"/>
    <w:rsid w:val="00FD110C"/>
    <w:rsid w:val="00FD1827"/>
    <w:rsid w:val="00FD4109"/>
    <w:rsid w:val="00FD4179"/>
    <w:rsid w:val="00FD7A03"/>
    <w:rsid w:val="00FE0BF1"/>
    <w:rsid w:val="00FE205C"/>
    <w:rsid w:val="00FE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AA2"/>
    <w:rPr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4B2AA2"/>
    <w:pPr>
      <w:keepNext/>
      <w:jc w:val="both"/>
      <w:outlineLvl w:val="0"/>
    </w:pPr>
    <w:rPr>
      <w:u w:val="single"/>
      <w:lang w:val="lv-LV"/>
    </w:rPr>
  </w:style>
  <w:style w:type="paragraph" w:styleId="Heading4">
    <w:name w:val="heading 4"/>
    <w:basedOn w:val="Normal"/>
    <w:next w:val="Normal"/>
    <w:qFormat/>
    <w:rsid w:val="004B2AA2"/>
    <w:pPr>
      <w:keepNext/>
      <w:outlineLvl w:val="3"/>
    </w:pPr>
    <w:rPr>
      <w:lang w:val="lv-LV"/>
    </w:rPr>
  </w:style>
  <w:style w:type="paragraph" w:styleId="Heading5">
    <w:name w:val="heading 5"/>
    <w:basedOn w:val="Normal"/>
    <w:next w:val="Normal"/>
    <w:link w:val="Heading5Char"/>
    <w:qFormat/>
    <w:rsid w:val="00D927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2AA2"/>
    <w:pPr>
      <w:jc w:val="both"/>
    </w:pPr>
    <w:rPr>
      <w:lang w:val="en-AU"/>
    </w:rPr>
  </w:style>
  <w:style w:type="paragraph" w:styleId="Footer">
    <w:name w:val="footer"/>
    <w:basedOn w:val="Normal"/>
    <w:link w:val="FooterChar"/>
    <w:rsid w:val="004B2AA2"/>
    <w:pPr>
      <w:tabs>
        <w:tab w:val="center" w:pos="4153"/>
        <w:tab w:val="right" w:pos="8306"/>
      </w:tabs>
    </w:pPr>
    <w:rPr>
      <w:rFonts w:ascii="RimTimes" w:hAnsi="RimTimes"/>
      <w:snapToGrid w:val="0"/>
      <w:lang w:val="lv-LV"/>
    </w:rPr>
  </w:style>
  <w:style w:type="paragraph" w:styleId="BodyText2">
    <w:name w:val="Body Text 2"/>
    <w:basedOn w:val="Normal"/>
    <w:link w:val="BodyText2Char"/>
    <w:rsid w:val="004B2AA2"/>
    <w:pPr>
      <w:jc w:val="both"/>
    </w:pPr>
    <w:rPr>
      <w:lang w:val="lv-LV"/>
    </w:rPr>
  </w:style>
  <w:style w:type="paragraph" w:styleId="BlockText">
    <w:name w:val="Block Text"/>
    <w:basedOn w:val="Normal"/>
    <w:rsid w:val="004B2AA2"/>
    <w:pPr>
      <w:ind w:left="-57" w:right="-57"/>
    </w:pPr>
    <w:rPr>
      <w:lang w:val="lv-LV"/>
    </w:rPr>
  </w:style>
  <w:style w:type="paragraph" w:styleId="BodyTextIndent">
    <w:name w:val="Body Text Indent"/>
    <w:basedOn w:val="Normal"/>
    <w:rsid w:val="004B2AA2"/>
    <w:pPr>
      <w:spacing w:before="240"/>
      <w:ind w:firstLine="720"/>
    </w:pPr>
    <w:rPr>
      <w:lang w:val="lv-LV"/>
    </w:rPr>
  </w:style>
  <w:style w:type="character" w:styleId="PageNumber">
    <w:name w:val="page number"/>
    <w:basedOn w:val="DefaultParagraphFont"/>
    <w:rsid w:val="004B2AA2"/>
  </w:style>
  <w:style w:type="paragraph" w:styleId="Header">
    <w:name w:val="header"/>
    <w:basedOn w:val="Normal"/>
    <w:rsid w:val="004B2AA2"/>
    <w:pPr>
      <w:tabs>
        <w:tab w:val="center" w:pos="4153"/>
        <w:tab w:val="right" w:pos="8306"/>
      </w:tabs>
    </w:pPr>
    <w:rPr>
      <w:lang w:val="lv-LV"/>
    </w:rPr>
  </w:style>
  <w:style w:type="paragraph" w:styleId="BalloonText">
    <w:name w:val="Balloon Text"/>
    <w:basedOn w:val="Normal"/>
    <w:semiHidden/>
    <w:rsid w:val="004B2AA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B2AA2"/>
    <w:pPr>
      <w:jc w:val="both"/>
    </w:pPr>
    <w:rPr>
      <w:i/>
    </w:rPr>
  </w:style>
  <w:style w:type="character" w:styleId="Hyperlink">
    <w:name w:val="Hyperlink"/>
    <w:basedOn w:val="DefaultParagraphFont"/>
    <w:rsid w:val="00236877"/>
    <w:rPr>
      <w:rFonts w:ascii="Times New Roman" w:hAnsi="Times New Roman"/>
      <w:noProof w:val="0"/>
      <w:color w:val="0000FF"/>
      <w:u w:val="single"/>
      <w:lang w:val="lv-LV"/>
    </w:rPr>
  </w:style>
  <w:style w:type="paragraph" w:styleId="BodyTextIndent3">
    <w:name w:val="Body Text Indent 3"/>
    <w:basedOn w:val="Normal"/>
    <w:rsid w:val="008D3F3C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6D1BA8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6D1BA8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customStyle="1" w:styleId="RakstzRakstzCharCharCharCharCharCharChar">
    <w:name w:val="Rakstz. Rakstz. Char Char Char Char Char Char Char"/>
    <w:basedOn w:val="Normal"/>
    <w:next w:val="BlockText"/>
    <w:rsid w:val="001B09E4"/>
    <w:pPr>
      <w:spacing w:before="120" w:after="160" w:line="240" w:lineRule="exact"/>
      <w:ind w:firstLine="720"/>
      <w:jc w:val="both"/>
    </w:pPr>
    <w:rPr>
      <w:rFonts w:ascii="Verdana" w:hAnsi="Verdana"/>
      <w:sz w:val="20"/>
    </w:rPr>
  </w:style>
  <w:style w:type="paragraph" w:customStyle="1" w:styleId="naiskr">
    <w:name w:val="naiskr"/>
    <w:basedOn w:val="Normal"/>
    <w:rsid w:val="006E7949"/>
    <w:pPr>
      <w:spacing w:before="75" w:after="75"/>
    </w:pPr>
    <w:rPr>
      <w:sz w:val="24"/>
      <w:szCs w:val="24"/>
      <w:lang w:val="lv-LV" w:eastAsia="lv-LV"/>
    </w:rPr>
  </w:style>
  <w:style w:type="character" w:customStyle="1" w:styleId="Heading5Char">
    <w:name w:val="Heading 5 Char"/>
    <w:basedOn w:val="DefaultParagraphFont"/>
    <w:link w:val="Heading5"/>
    <w:semiHidden/>
    <w:rsid w:val="00D927D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821D3"/>
    <w:rPr>
      <w:rFonts w:ascii="RimTimes" w:hAnsi="RimTimes"/>
      <w:snapToGrid w:val="0"/>
      <w:sz w:val="28"/>
      <w:lang w:eastAsia="en-US"/>
    </w:rPr>
  </w:style>
  <w:style w:type="paragraph" w:customStyle="1" w:styleId="naisc">
    <w:name w:val="naisc"/>
    <w:basedOn w:val="Normal"/>
    <w:rsid w:val="00202A38"/>
    <w:pPr>
      <w:spacing w:before="100" w:beforeAutospacing="1" w:after="100" w:afterAutospacing="1"/>
      <w:jc w:val="center"/>
    </w:pPr>
    <w:rPr>
      <w:rFonts w:eastAsia="Arial Unicode MS"/>
      <w:sz w:val="26"/>
      <w:szCs w:val="26"/>
      <w:lang w:val="lv-LV" w:eastAsia="lv-LV"/>
    </w:rPr>
  </w:style>
  <w:style w:type="character" w:styleId="CommentReference">
    <w:name w:val="annotation reference"/>
    <w:basedOn w:val="DefaultParagraphFont"/>
    <w:rsid w:val="00807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9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792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792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762E"/>
    <w:rPr>
      <w:rFonts w:ascii="Courier New" w:hAnsi="Courier New" w:cs="Courier New"/>
    </w:rPr>
  </w:style>
  <w:style w:type="table" w:styleId="TableGrid">
    <w:name w:val="Table Grid"/>
    <w:basedOn w:val="TableNormal"/>
    <w:rsid w:val="00B747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1AC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91AC4"/>
    <w:rPr>
      <w:rFonts w:cs="Times New Roman"/>
      <w:color w:val="auto"/>
    </w:rPr>
  </w:style>
  <w:style w:type="paragraph" w:customStyle="1" w:styleId="naisnod">
    <w:name w:val="naisnod"/>
    <w:basedOn w:val="Normal"/>
    <w:rsid w:val="00070BA2"/>
    <w:pPr>
      <w:spacing w:before="150" w:after="150"/>
      <w:jc w:val="center"/>
    </w:pPr>
    <w:rPr>
      <w:b/>
      <w:bCs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9D3367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529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2C46-759C-4235-B3DC-54807CC6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19.decembra noteikumos Nr.1016 „Noteikumi par nacionālo mērvienību etalonu sarakstu”” </vt:lpstr>
      <vt:lpstr>Ministru kabineta noteikumu projekts</vt:lpstr>
    </vt:vector>
  </TitlesOfParts>
  <Company>Ekonomikas ministrija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19.decembra noteikumos Nr.1016 „Noteikumi par nacionālo mērvienību etalonu sarakstu”” </dc:title>
  <dc:subject>anotācija</dc:subject>
  <dc:creator>D.Matulis</dc:creator>
  <cp:keywords/>
  <dc:description>67013145, Gunta.Repele@em.gov.lv; 67013143, dainis.matulis@em.gov.lv         </dc:description>
  <cp:lastModifiedBy>Dainis Matulis</cp:lastModifiedBy>
  <cp:revision>5</cp:revision>
  <cp:lastPrinted>2010-08-24T09:33:00Z</cp:lastPrinted>
  <dcterms:created xsi:type="dcterms:W3CDTF">2010-11-29T07:29:00Z</dcterms:created>
  <dcterms:modified xsi:type="dcterms:W3CDTF">2010-11-29T07:39:00Z</dcterms:modified>
</cp:coreProperties>
</file>