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9D8" w:rsidRDefault="00FD730C" w:rsidP="00CF0BD1">
      <w:pPr>
        <w:pStyle w:val="naisc"/>
        <w:spacing w:before="0" w:after="0"/>
        <w:rPr>
          <w:b/>
          <w:bCs/>
          <w:sz w:val="28"/>
          <w:szCs w:val="24"/>
        </w:rPr>
      </w:pPr>
      <w:bookmarkStart w:id="0" w:name="OLE_LINK5"/>
      <w:bookmarkStart w:id="1" w:name="OLE_LINK6"/>
      <w:bookmarkStart w:id="2" w:name="OLE_LINK1"/>
      <w:bookmarkStart w:id="3" w:name="OLE_LINK2"/>
      <w:bookmarkStart w:id="4" w:name="OLE_LINK3"/>
      <w:r w:rsidRPr="00887386">
        <w:rPr>
          <w:b/>
          <w:bCs/>
          <w:sz w:val="28"/>
          <w:szCs w:val="28"/>
        </w:rPr>
        <w:t>Noteikumu projekta „Grozījumi Ministru kabineta 2009.</w:t>
      </w:r>
      <w:r w:rsidR="006A123F">
        <w:rPr>
          <w:b/>
          <w:bCs/>
          <w:sz w:val="28"/>
          <w:szCs w:val="28"/>
        </w:rPr>
        <w:t> </w:t>
      </w:r>
      <w:r w:rsidRPr="00887386">
        <w:rPr>
          <w:b/>
          <w:bCs/>
          <w:sz w:val="28"/>
          <w:szCs w:val="28"/>
        </w:rPr>
        <w:t>gada 13.</w:t>
      </w:r>
      <w:r w:rsidR="006A123F">
        <w:rPr>
          <w:b/>
          <w:bCs/>
          <w:sz w:val="28"/>
          <w:szCs w:val="28"/>
        </w:rPr>
        <w:t> </w:t>
      </w:r>
      <w:r w:rsidR="00A74AA1">
        <w:rPr>
          <w:b/>
          <w:bCs/>
          <w:sz w:val="28"/>
          <w:szCs w:val="28"/>
        </w:rPr>
        <w:t>janvāra</w:t>
      </w:r>
      <w:r w:rsidRPr="00887386">
        <w:rPr>
          <w:b/>
          <w:bCs/>
          <w:sz w:val="28"/>
          <w:szCs w:val="28"/>
        </w:rPr>
        <w:t xml:space="preserve"> noteikumos Nr.</w:t>
      </w:r>
      <w:r w:rsidR="006A123F">
        <w:rPr>
          <w:b/>
          <w:bCs/>
          <w:sz w:val="28"/>
          <w:szCs w:val="28"/>
        </w:rPr>
        <w:t> </w:t>
      </w:r>
      <w:r>
        <w:rPr>
          <w:b/>
          <w:bCs/>
          <w:sz w:val="28"/>
          <w:szCs w:val="28"/>
        </w:rPr>
        <w:t>39</w:t>
      </w:r>
      <w:r w:rsidRPr="00887386">
        <w:rPr>
          <w:b/>
          <w:bCs/>
          <w:sz w:val="28"/>
          <w:szCs w:val="28"/>
        </w:rPr>
        <w:t xml:space="preserve"> „</w:t>
      </w:r>
      <w:r>
        <w:rPr>
          <w:b/>
          <w:bCs/>
          <w:sz w:val="28"/>
          <w:szCs w:val="28"/>
        </w:rPr>
        <w:t>Ēkas energoefektivitātes aprēķina metode</w:t>
      </w:r>
      <w:r w:rsidRPr="00887386">
        <w:rPr>
          <w:b/>
          <w:bCs/>
          <w:sz w:val="28"/>
          <w:szCs w:val="28"/>
        </w:rPr>
        <w:t xml:space="preserve">”” </w:t>
      </w:r>
      <w:r w:rsidR="00CF0BD1" w:rsidRPr="00B278FE">
        <w:rPr>
          <w:b/>
          <w:bCs/>
          <w:sz w:val="28"/>
          <w:szCs w:val="28"/>
        </w:rPr>
        <w:t xml:space="preserve"> </w:t>
      </w:r>
      <w:bookmarkEnd w:id="0"/>
      <w:bookmarkEnd w:id="1"/>
      <w:r w:rsidR="00CF0BD1" w:rsidRPr="002067D3">
        <w:rPr>
          <w:b/>
          <w:bCs/>
          <w:sz w:val="28"/>
          <w:szCs w:val="24"/>
        </w:rPr>
        <w:t>sākotnējās ietekmes novērtējuma ziņojums (anotācija)</w:t>
      </w:r>
    </w:p>
    <w:bookmarkEnd w:id="2"/>
    <w:bookmarkEnd w:id="3"/>
    <w:bookmarkEnd w:id="4"/>
    <w:p w:rsidR="005062F3" w:rsidRDefault="005062F3" w:rsidP="00CF0BD1">
      <w:pPr>
        <w:pStyle w:val="naisc"/>
        <w:spacing w:before="0" w:after="0"/>
        <w:rPr>
          <w:sz w:val="2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3"/>
        <w:gridCol w:w="2269"/>
        <w:gridCol w:w="6485"/>
      </w:tblGrid>
      <w:tr w:rsidR="00CF0BD1" w:rsidRPr="00410D6A" w:rsidTr="00410D6A">
        <w:tc>
          <w:tcPr>
            <w:tcW w:w="9287" w:type="dxa"/>
            <w:gridSpan w:val="3"/>
          </w:tcPr>
          <w:p w:rsidR="00CF0BD1" w:rsidRPr="002067D3" w:rsidRDefault="00CF0BD1" w:rsidP="00410D6A">
            <w:pPr>
              <w:autoSpaceDE w:val="0"/>
              <w:autoSpaceDN w:val="0"/>
              <w:adjustRightInd w:val="0"/>
              <w:spacing w:before="100" w:after="100"/>
              <w:rPr>
                <w:b/>
                <w:bCs/>
              </w:rPr>
            </w:pPr>
            <w:r w:rsidRPr="002067D3">
              <w:rPr>
                <w:b/>
                <w:bCs/>
              </w:rPr>
              <w:t>I. Tiesību akta projekta izstrādes nepieciešamība</w:t>
            </w:r>
          </w:p>
        </w:tc>
      </w:tr>
      <w:tr w:rsidR="00817846" w:rsidRPr="002067D3" w:rsidTr="00A96A5E">
        <w:tc>
          <w:tcPr>
            <w:tcW w:w="533" w:type="dxa"/>
          </w:tcPr>
          <w:p w:rsidR="00CF0BD1" w:rsidRPr="002067D3" w:rsidRDefault="00CF0BD1" w:rsidP="00410D6A">
            <w:pPr>
              <w:autoSpaceDE w:val="0"/>
              <w:autoSpaceDN w:val="0"/>
              <w:adjustRightInd w:val="0"/>
            </w:pPr>
            <w:r w:rsidRPr="002067D3">
              <w:t>1.</w:t>
            </w:r>
          </w:p>
        </w:tc>
        <w:tc>
          <w:tcPr>
            <w:tcW w:w="2269" w:type="dxa"/>
          </w:tcPr>
          <w:p w:rsidR="00CF0BD1" w:rsidRPr="002067D3" w:rsidRDefault="00CF0BD1" w:rsidP="00410D6A">
            <w:pPr>
              <w:autoSpaceDE w:val="0"/>
              <w:autoSpaceDN w:val="0"/>
              <w:adjustRightInd w:val="0"/>
            </w:pPr>
            <w:r w:rsidRPr="002067D3">
              <w:t>Pamatojums</w:t>
            </w:r>
          </w:p>
        </w:tc>
        <w:tc>
          <w:tcPr>
            <w:tcW w:w="6485" w:type="dxa"/>
          </w:tcPr>
          <w:p w:rsidR="00C74009" w:rsidRDefault="00985083" w:rsidP="00991DE9">
            <w:r>
              <w:t>Ēku energoefektivitātes likuma 9. panta otrā daļa</w:t>
            </w:r>
            <w:r w:rsidR="007925B6">
              <w:t>.</w:t>
            </w:r>
          </w:p>
          <w:p w:rsidR="007925B6" w:rsidRPr="00985083" w:rsidRDefault="007925B6" w:rsidP="00991DE9">
            <w:pPr>
              <w:rPr>
                <w:rFonts w:ascii="Verdana" w:hAnsi="Verdana"/>
                <w:color w:val="000000"/>
                <w:sz w:val="18"/>
                <w:szCs w:val="18"/>
              </w:rPr>
            </w:pPr>
          </w:p>
        </w:tc>
      </w:tr>
      <w:tr w:rsidR="00817846" w:rsidRPr="002067D3" w:rsidTr="00A96A5E">
        <w:tc>
          <w:tcPr>
            <w:tcW w:w="533" w:type="dxa"/>
          </w:tcPr>
          <w:p w:rsidR="00CF0BD1" w:rsidRPr="002067D3" w:rsidRDefault="00CF0BD1" w:rsidP="00410D6A">
            <w:pPr>
              <w:autoSpaceDE w:val="0"/>
              <w:autoSpaceDN w:val="0"/>
              <w:adjustRightInd w:val="0"/>
            </w:pPr>
            <w:r w:rsidRPr="002067D3">
              <w:t>2.</w:t>
            </w:r>
          </w:p>
        </w:tc>
        <w:tc>
          <w:tcPr>
            <w:tcW w:w="2269" w:type="dxa"/>
          </w:tcPr>
          <w:p w:rsidR="00CF0BD1" w:rsidRPr="002067D3" w:rsidRDefault="00CF0BD1" w:rsidP="00410D6A">
            <w:pPr>
              <w:autoSpaceDE w:val="0"/>
              <w:autoSpaceDN w:val="0"/>
              <w:adjustRightInd w:val="0"/>
            </w:pPr>
            <w:r w:rsidRPr="002067D3">
              <w:t>Pašreizējā situācija un problēmas</w:t>
            </w:r>
          </w:p>
        </w:tc>
        <w:tc>
          <w:tcPr>
            <w:tcW w:w="6485" w:type="dxa"/>
          </w:tcPr>
          <w:p w:rsidR="00F64AEE" w:rsidRDefault="00F64AEE" w:rsidP="00F64AEE">
            <w:pPr>
              <w:autoSpaceDE w:val="0"/>
              <w:autoSpaceDN w:val="0"/>
              <w:adjustRightInd w:val="0"/>
              <w:jc w:val="both"/>
              <w:rPr>
                <w:szCs w:val="28"/>
              </w:rPr>
            </w:pPr>
            <w:r w:rsidRPr="00A57D8D">
              <w:t xml:space="preserve">Ministru kabineta 2009. gada 13. </w:t>
            </w:r>
            <w:r>
              <w:t>janvāra</w:t>
            </w:r>
            <w:r w:rsidRPr="00A57D8D">
              <w:t xml:space="preserve"> noteikumi Nr. 39 „Ēkas energoefektivitātes aprēķina metode”” </w:t>
            </w:r>
            <w:r w:rsidRPr="00A57D8D">
              <w:rPr>
                <w:szCs w:val="28"/>
              </w:rPr>
              <w:t xml:space="preserve">nosaka aprēķina metodi ēkas energoefektivitātes novērtēšanai (turpmāk </w:t>
            </w:r>
            <w:r w:rsidR="003D0ECC">
              <w:rPr>
                <w:szCs w:val="28"/>
              </w:rPr>
              <w:t xml:space="preserve">– </w:t>
            </w:r>
            <w:r w:rsidRPr="00A57D8D">
              <w:rPr>
                <w:szCs w:val="28"/>
              </w:rPr>
              <w:t xml:space="preserve">  </w:t>
            </w:r>
            <w:r w:rsidR="003D0ECC">
              <w:rPr>
                <w:szCs w:val="28"/>
              </w:rPr>
              <w:t xml:space="preserve"> </w:t>
            </w:r>
            <w:r w:rsidRPr="00A57D8D">
              <w:rPr>
                <w:szCs w:val="28"/>
              </w:rPr>
              <w:t xml:space="preserve">metode). </w:t>
            </w:r>
          </w:p>
          <w:p w:rsidR="00F64AEE" w:rsidRPr="00A57D8D" w:rsidRDefault="00F64AEE" w:rsidP="00F64AEE">
            <w:pPr>
              <w:autoSpaceDE w:val="0"/>
              <w:autoSpaceDN w:val="0"/>
              <w:adjustRightInd w:val="0"/>
              <w:jc w:val="both"/>
            </w:pPr>
            <w:r w:rsidRPr="00A57D8D">
              <w:t>Metode sagatavota saskaņā ar standartiem ēku energoefektivitātes jomā, kurus izstrādājusi vai pārstrādājusi agrākas standartu versijas Eiropas Standartizācijas Organizācija (</w:t>
            </w:r>
            <w:proofErr w:type="spellStart"/>
            <w:r w:rsidRPr="00A57D8D">
              <w:t>the</w:t>
            </w:r>
            <w:proofErr w:type="spellEnd"/>
            <w:r w:rsidRPr="00A57D8D">
              <w:t xml:space="preserve"> </w:t>
            </w:r>
            <w:proofErr w:type="spellStart"/>
            <w:r w:rsidRPr="00A57D8D">
              <w:t>European</w:t>
            </w:r>
            <w:proofErr w:type="spellEnd"/>
            <w:r w:rsidRPr="00A57D8D">
              <w:t xml:space="preserve"> </w:t>
            </w:r>
            <w:proofErr w:type="spellStart"/>
            <w:r w:rsidRPr="00A57D8D">
              <w:t>Committee</w:t>
            </w:r>
            <w:proofErr w:type="spellEnd"/>
            <w:r w:rsidRPr="00A57D8D">
              <w:t xml:space="preserve"> </w:t>
            </w:r>
            <w:proofErr w:type="spellStart"/>
            <w:r w:rsidRPr="00A57D8D">
              <w:t>for</w:t>
            </w:r>
            <w:proofErr w:type="spellEnd"/>
            <w:r w:rsidRPr="00A57D8D">
              <w:t xml:space="preserve"> </w:t>
            </w:r>
            <w:proofErr w:type="spellStart"/>
            <w:r w:rsidRPr="00A57D8D">
              <w:t>Standardization</w:t>
            </w:r>
            <w:proofErr w:type="spellEnd"/>
            <w:r w:rsidRPr="00A57D8D">
              <w:t xml:space="preserve"> – CEN). </w:t>
            </w:r>
          </w:p>
          <w:p w:rsidR="00F64AEE" w:rsidRDefault="00F64AEE" w:rsidP="00F64AEE">
            <w:pPr>
              <w:autoSpaceDE w:val="0"/>
              <w:autoSpaceDN w:val="0"/>
              <w:adjustRightInd w:val="0"/>
              <w:jc w:val="both"/>
            </w:pPr>
            <w:r>
              <w:t xml:space="preserve">Metode pēc Ekonomikas ministrijas pasūtījuma tika izstrādāta 2007. gada beigās, kad </w:t>
            </w:r>
            <w:r w:rsidRPr="00A57D8D">
              <w:t xml:space="preserve"> vairumam standartu bija pieejamas tikai to projektu</w:t>
            </w:r>
            <w:r>
              <w:t xml:space="preserve"> </w:t>
            </w:r>
            <w:r w:rsidRPr="00A57D8D">
              <w:t xml:space="preserve">versijas. </w:t>
            </w:r>
          </w:p>
          <w:p w:rsidR="00F64AEE" w:rsidRDefault="00F64AEE" w:rsidP="00F64AEE">
            <w:pPr>
              <w:autoSpaceDE w:val="0"/>
              <w:autoSpaceDN w:val="0"/>
              <w:adjustRightInd w:val="0"/>
              <w:jc w:val="both"/>
            </w:pPr>
            <w:r>
              <w:t xml:space="preserve">Metodes aprēķina modelis pamatā atbilst CEN tehniskā ziņojuma </w:t>
            </w:r>
            <w:proofErr w:type="spellStart"/>
            <w:r w:rsidRPr="00A57D8D">
              <w:t>prCEN</w:t>
            </w:r>
            <w:proofErr w:type="spellEnd"/>
            <w:r w:rsidRPr="00A57D8D">
              <w:t>/TR 15615</w:t>
            </w:r>
            <w:r>
              <w:t xml:space="preserve"> (</w:t>
            </w:r>
            <w:proofErr w:type="spellStart"/>
            <w:r w:rsidRPr="007F40B8">
              <w:rPr>
                <w:i/>
              </w:rPr>
              <w:t>Explanation</w:t>
            </w:r>
            <w:proofErr w:type="spellEnd"/>
            <w:r w:rsidRPr="007F40B8">
              <w:rPr>
                <w:i/>
              </w:rPr>
              <w:t xml:space="preserve"> </w:t>
            </w:r>
            <w:proofErr w:type="spellStart"/>
            <w:r w:rsidRPr="007F40B8">
              <w:rPr>
                <w:i/>
              </w:rPr>
              <w:t>of</w:t>
            </w:r>
            <w:proofErr w:type="spellEnd"/>
            <w:r w:rsidRPr="007F40B8">
              <w:rPr>
                <w:i/>
              </w:rPr>
              <w:t xml:space="preserve"> </w:t>
            </w:r>
            <w:proofErr w:type="spellStart"/>
            <w:r w:rsidRPr="007F40B8">
              <w:rPr>
                <w:i/>
              </w:rPr>
              <w:t>the</w:t>
            </w:r>
            <w:proofErr w:type="spellEnd"/>
            <w:r w:rsidRPr="007F40B8">
              <w:rPr>
                <w:i/>
              </w:rPr>
              <w:t xml:space="preserve"> </w:t>
            </w:r>
            <w:proofErr w:type="spellStart"/>
            <w:r w:rsidRPr="007F40B8">
              <w:rPr>
                <w:i/>
              </w:rPr>
              <w:t>general</w:t>
            </w:r>
            <w:proofErr w:type="spellEnd"/>
            <w:r w:rsidRPr="007F40B8">
              <w:rPr>
                <w:i/>
              </w:rPr>
              <w:t xml:space="preserve"> </w:t>
            </w:r>
            <w:proofErr w:type="spellStart"/>
            <w:r w:rsidRPr="007F40B8">
              <w:rPr>
                <w:i/>
              </w:rPr>
              <w:t>relationship</w:t>
            </w:r>
            <w:proofErr w:type="spellEnd"/>
            <w:r w:rsidRPr="007F40B8">
              <w:rPr>
                <w:i/>
              </w:rPr>
              <w:t xml:space="preserve"> </w:t>
            </w:r>
            <w:proofErr w:type="spellStart"/>
            <w:r w:rsidRPr="007F40B8">
              <w:rPr>
                <w:i/>
              </w:rPr>
              <w:t>between</w:t>
            </w:r>
            <w:proofErr w:type="spellEnd"/>
            <w:r w:rsidRPr="007F40B8">
              <w:rPr>
                <w:i/>
              </w:rPr>
              <w:t xml:space="preserve"> </w:t>
            </w:r>
            <w:proofErr w:type="spellStart"/>
            <w:r w:rsidRPr="007F40B8">
              <w:rPr>
                <w:i/>
              </w:rPr>
              <w:t>various</w:t>
            </w:r>
            <w:proofErr w:type="spellEnd"/>
            <w:r w:rsidRPr="007F40B8">
              <w:rPr>
                <w:i/>
              </w:rPr>
              <w:t xml:space="preserve"> </w:t>
            </w:r>
            <w:proofErr w:type="spellStart"/>
            <w:r w:rsidRPr="007F40B8">
              <w:rPr>
                <w:i/>
              </w:rPr>
              <w:t>European</w:t>
            </w:r>
            <w:proofErr w:type="spellEnd"/>
            <w:r w:rsidRPr="007F40B8">
              <w:rPr>
                <w:i/>
              </w:rPr>
              <w:t xml:space="preserve"> </w:t>
            </w:r>
            <w:proofErr w:type="spellStart"/>
            <w:r w:rsidRPr="007F40B8">
              <w:rPr>
                <w:i/>
              </w:rPr>
              <w:t>standards</w:t>
            </w:r>
            <w:proofErr w:type="spellEnd"/>
            <w:r w:rsidRPr="007F40B8">
              <w:rPr>
                <w:i/>
              </w:rPr>
              <w:t xml:space="preserve"> </w:t>
            </w:r>
            <w:proofErr w:type="spellStart"/>
            <w:r w:rsidRPr="007F40B8">
              <w:rPr>
                <w:i/>
              </w:rPr>
              <w:t>and</w:t>
            </w:r>
            <w:proofErr w:type="spellEnd"/>
            <w:r w:rsidRPr="007F40B8">
              <w:rPr>
                <w:i/>
              </w:rPr>
              <w:t xml:space="preserve"> </w:t>
            </w:r>
            <w:proofErr w:type="spellStart"/>
            <w:r w:rsidRPr="007F40B8">
              <w:rPr>
                <w:i/>
              </w:rPr>
              <w:t>the</w:t>
            </w:r>
            <w:proofErr w:type="spellEnd"/>
            <w:r w:rsidRPr="007F40B8">
              <w:rPr>
                <w:i/>
              </w:rPr>
              <w:t xml:space="preserve"> </w:t>
            </w:r>
            <w:proofErr w:type="spellStart"/>
            <w:r w:rsidRPr="007F40B8">
              <w:rPr>
                <w:i/>
              </w:rPr>
              <w:t>Energy</w:t>
            </w:r>
            <w:proofErr w:type="spellEnd"/>
            <w:r w:rsidRPr="007F40B8">
              <w:rPr>
                <w:i/>
              </w:rPr>
              <w:t xml:space="preserve"> </w:t>
            </w:r>
            <w:proofErr w:type="spellStart"/>
            <w:r w:rsidRPr="007F40B8">
              <w:rPr>
                <w:i/>
              </w:rPr>
              <w:t>Performance</w:t>
            </w:r>
            <w:proofErr w:type="spellEnd"/>
            <w:r w:rsidRPr="007F40B8">
              <w:rPr>
                <w:i/>
              </w:rPr>
              <w:t xml:space="preserve"> </w:t>
            </w:r>
            <w:proofErr w:type="spellStart"/>
            <w:r w:rsidRPr="007F40B8">
              <w:rPr>
                <w:i/>
              </w:rPr>
              <w:t>of</w:t>
            </w:r>
            <w:proofErr w:type="spellEnd"/>
            <w:r w:rsidRPr="007F40B8">
              <w:rPr>
                <w:i/>
              </w:rPr>
              <w:t xml:space="preserve"> </w:t>
            </w:r>
            <w:proofErr w:type="spellStart"/>
            <w:r w:rsidRPr="007F40B8">
              <w:rPr>
                <w:i/>
              </w:rPr>
              <w:t>Buildings</w:t>
            </w:r>
            <w:proofErr w:type="spellEnd"/>
            <w:r w:rsidRPr="007F40B8">
              <w:rPr>
                <w:i/>
              </w:rPr>
              <w:t xml:space="preserve"> </w:t>
            </w:r>
            <w:proofErr w:type="spellStart"/>
            <w:r w:rsidRPr="007F40B8">
              <w:rPr>
                <w:i/>
              </w:rPr>
              <w:t>Directive</w:t>
            </w:r>
            <w:proofErr w:type="spellEnd"/>
            <w:r w:rsidRPr="007F40B8">
              <w:rPr>
                <w:i/>
              </w:rPr>
              <w:t xml:space="preserve"> (EPBD) - </w:t>
            </w:r>
            <w:proofErr w:type="spellStart"/>
            <w:r w:rsidRPr="007F40B8">
              <w:rPr>
                <w:i/>
              </w:rPr>
              <w:t>Umbrella</w:t>
            </w:r>
            <w:proofErr w:type="spellEnd"/>
            <w:r w:rsidRPr="007F40B8">
              <w:rPr>
                <w:i/>
              </w:rPr>
              <w:t xml:space="preserve"> </w:t>
            </w:r>
            <w:proofErr w:type="spellStart"/>
            <w:r w:rsidRPr="007F40B8">
              <w:rPr>
                <w:i/>
              </w:rPr>
              <w:t>Document</w:t>
            </w:r>
            <w:proofErr w:type="spellEnd"/>
            <w:r>
              <w:t xml:space="preserve">) un standarta </w:t>
            </w:r>
            <w:r w:rsidRPr="00A57D8D">
              <w:t xml:space="preserve">ISO/FDIS 13790:2006 </w:t>
            </w:r>
            <w:r>
              <w:t>(</w:t>
            </w:r>
            <w:proofErr w:type="spellStart"/>
            <w:r w:rsidRPr="007F40B8">
              <w:rPr>
                <w:i/>
              </w:rPr>
              <w:t>Energy</w:t>
            </w:r>
            <w:proofErr w:type="spellEnd"/>
            <w:r w:rsidRPr="007F40B8">
              <w:rPr>
                <w:i/>
              </w:rPr>
              <w:t xml:space="preserve"> </w:t>
            </w:r>
            <w:proofErr w:type="spellStart"/>
            <w:r w:rsidRPr="007F40B8">
              <w:rPr>
                <w:i/>
              </w:rPr>
              <w:t>performance</w:t>
            </w:r>
            <w:proofErr w:type="spellEnd"/>
            <w:r w:rsidRPr="007F40B8">
              <w:rPr>
                <w:i/>
              </w:rPr>
              <w:t xml:space="preserve"> </w:t>
            </w:r>
            <w:proofErr w:type="spellStart"/>
            <w:r w:rsidRPr="007F40B8">
              <w:rPr>
                <w:i/>
              </w:rPr>
              <w:t>of</w:t>
            </w:r>
            <w:proofErr w:type="spellEnd"/>
            <w:r w:rsidRPr="007F40B8">
              <w:rPr>
                <w:i/>
              </w:rPr>
              <w:t xml:space="preserve"> </w:t>
            </w:r>
            <w:proofErr w:type="spellStart"/>
            <w:r w:rsidRPr="007F40B8">
              <w:rPr>
                <w:i/>
              </w:rPr>
              <w:t>buildings</w:t>
            </w:r>
            <w:proofErr w:type="spellEnd"/>
            <w:r w:rsidRPr="007F40B8">
              <w:rPr>
                <w:i/>
              </w:rPr>
              <w:t xml:space="preserve"> – </w:t>
            </w:r>
            <w:proofErr w:type="spellStart"/>
            <w:r w:rsidRPr="007F40B8">
              <w:rPr>
                <w:i/>
              </w:rPr>
              <w:t>Calculation</w:t>
            </w:r>
            <w:proofErr w:type="spellEnd"/>
            <w:r w:rsidRPr="007F40B8">
              <w:rPr>
                <w:i/>
              </w:rPr>
              <w:t xml:space="preserve"> </w:t>
            </w:r>
            <w:proofErr w:type="spellStart"/>
            <w:r w:rsidRPr="007F40B8">
              <w:rPr>
                <w:i/>
              </w:rPr>
              <w:t>of</w:t>
            </w:r>
            <w:proofErr w:type="spellEnd"/>
            <w:r w:rsidRPr="007F40B8">
              <w:rPr>
                <w:i/>
              </w:rPr>
              <w:t xml:space="preserve"> </w:t>
            </w:r>
            <w:proofErr w:type="spellStart"/>
            <w:r w:rsidRPr="007F40B8">
              <w:rPr>
                <w:i/>
              </w:rPr>
              <w:t>energy</w:t>
            </w:r>
            <w:proofErr w:type="spellEnd"/>
            <w:r w:rsidRPr="007F40B8">
              <w:rPr>
                <w:i/>
              </w:rPr>
              <w:t xml:space="preserve"> </w:t>
            </w:r>
            <w:proofErr w:type="spellStart"/>
            <w:r w:rsidRPr="007F40B8">
              <w:rPr>
                <w:i/>
              </w:rPr>
              <w:t>use</w:t>
            </w:r>
            <w:proofErr w:type="spellEnd"/>
            <w:r w:rsidRPr="007F40B8">
              <w:rPr>
                <w:i/>
              </w:rPr>
              <w:t xml:space="preserve"> </w:t>
            </w:r>
            <w:proofErr w:type="spellStart"/>
            <w:r w:rsidRPr="007F40B8">
              <w:rPr>
                <w:i/>
              </w:rPr>
              <w:t>for</w:t>
            </w:r>
            <w:proofErr w:type="spellEnd"/>
            <w:r w:rsidRPr="007F40B8">
              <w:rPr>
                <w:i/>
              </w:rPr>
              <w:t xml:space="preserve"> </w:t>
            </w:r>
            <w:proofErr w:type="spellStart"/>
            <w:r w:rsidRPr="007F40B8">
              <w:rPr>
                <w:i/>
              </w:rPr>
              <w:t>space</w:t>
            </w:r>
            <w:proofErr w:type="spellEnd"/>
            <w:r w:rsidRPr="007F40B8">
              <w:rPr>
                <w:i/>
              </w:rPr>
              <w:t xml:space="preserve"> </w:t>
            </w:r>
            <w:proofErr w:type="spellStart"/>
            <w:r w:rsidRPr="007F40B8">
              <w:rPr>
                <w:i/>
              </w:rPr>
              <w:t>heating</w:t>
            </w:r>
            <w:proofErr w:type="spellEnd"/>
            <w:r w:rsidRPr="007F40B8">
              <w:rPr>
                <w:i/>
              </w:rPr>
              <w:t xml:space="preserve"> </w:t>
            </w:r>
            <w:proofErr w:type="spellStart"/>
            <w:r w:rsidRPr="007F40B8">
              <w:rPr>
                <w:i/>
              </w:rPr>
              <w:t>and</w:t>
            </w:r>
            <w:proofErr w:type="spellEnd"/>
            <w:r w:rsidRPr="007F40B8">
              <w:rPr>
                <w:i/>
              </w:rPr>
              <w:t xml:space="preserve"> </w:t>
            </w:r>
            <w:proofErr w:type="spellStart"/>
            <w:r w:rsidRPr="007F40B8">
              <w:rPr>
                <w:i/>
              </w:rPr>
              <w:t>cooling</w:t>
            </w:r>
            <w:proofErr w:type="spellEnd"/>
            <w:r>
              <w:t>)</w:t>
            </w:r>
            <w:r w:rsidRPr="007F40B8">
              <w:t xml:space="preserve"> </w:t>
            </w:r>
            <w:r>
              <w:t>projekta nosacījumiem un ietver atsauces uz 15 citiem standartiem. Minēto dokumentu</w:t>
            </w:r>
            <w:r w:rsidRPr="00A57D8D">
              <w:t xml:space="preserve"> gala versijas pieņemtas 2008. gada beigās un </w:t>
            </w:r>
            <w:r>
              <w:t>to</w:t>
            </w:r>
            <w:r w:rsidRPr="00A57D8D">
              <w:t xml:space="preserve"> gala versijas atšķiras no metodes izstrādes laikā pieejamajiem standartu projektiem</w:t>
            </w:r>
            <w:r>
              <w:t>.</w:t>
            </w:r>
          </w:p>
          <w:p w:rsidR="00F64AEE" w:rsidRDefault="00F64AEE" w:rsidP="00F64AEE">
            <w:pPr>
              <w:autoSpaceDE w:val="0"/>
              <w:autoSpaceDN w:val="0"/>
              <w:adjustRightInd w:val="0"/>
              <w:jc w:val="both"/>
            </w:pPr>
            <w:r>
              <w:t>M</w:t>
            </w:r>
            <w:r w:rsidRPr="007925B6">
              <w:t>etodē iekļaut</w:t>
            </w:r>
            <w:r>
              <w:t>ie standarti</w:t>
            </w:r>
            <w:r w:rsidRPr="007925B6">
              <w:t xml:space="preserve"> pārtulko</w:t>
            </w:r>
            <w:r>
              <w:t>ti</w:t>
            </w:r>
            <w:r w:rsidRPr="007925B6">
              <w:t xml:space="preserve"> latviešu valodā</w:t>
            </w:r>
            <w:r>
              <w:t xml:space="preserve"> 2009. gadā.</w:t>
            </w:r>
          </w:p>
          <w:p w:rsidR="00C74009" w:rsidRPr="002067D3" w:rsidRDefault="00C74009" w:rsidP="0004456E">
            <w:pPr>
              <w:autoSpaceDE w:val="0"/>
              <w:autoSpaceDN w:val="0"/>
              <w:adjustRightInd w:val="0"/>
              <w:jc w:val="both"/>
            </w:pPr>
          </w:p>
        </w:tc>
      </w:tr>
      <w:tr w:rsidR="00817846" w:rsidRPr="002067D3" w:rsidTr="00A96A5E">
        <w:tc>
          <w:tcPr>
            <w:tcW w:w="533" w:type="dxa"/>
          </w:tcPr>
          <w:p w:rsidR="00CF0BD1" w:rsidRPr="002067D3" w:rsidRDefault="00CF0BD1" w:rsidP="00410D6A">
            <w:pPr>
              <w:autoSpaceDE w:val="0"/>
              <w:autoSpaceDN w:val="0"/>
              <w:adjustRightInd w:val="0"/>
            </w:pPr>
            <w:r w:rsidRPr="002067D3">
              <w:t>3.</w:t>
            </w:r>
          </w:p>
        </w:tc>
        <w:tc>
          <w:tcPr>
            <w:tcW w:w="2269" w:type="dxa"/>
          </w:tcPr>
          <w:p w:rsidR="00CF0BD1" w:rsidRPr="002067D3" w:rsidRDefault="00CF0BD1" w:rsidP="00410D6A">
            <w:pPr>
              <w:autoSpaceDE w:val="0"/>
              <w:autoSpaceDN w:val="0"/>
              <w:adjustRightInd w:val="0"/>
            </w:pPr>
            <w:r w:rsidRPr="002067D3">
              <w:t>Saistītie politikas ietekmes novērtējumi un pētījumi</w:t>
            </w:r>
          </w:p>
        </w:tc>
        <w:tc>
          <w:tcPr>
            <w:tcW w:w="6485" w:type="dxa"/>
          </w:tcPr>
          <w:p w:rsidR="00C74009" w:rsidRDefault="00C74009" w:rsidP="00410D6A">
            <w:pPr>
              <w:autoSpaceDE w:val="0"/>
              <w:autoSpaceDN w:val="0"/>
              <w:adjustRightInd w:val="0"/>
            </w:pPr>
          </w:p>
          <w:p w:rsidR="00CF0BD1" w:rsidRPr="002067D3" w:rsidRDefault="00CF0BD1" w:rsidP="00410D6A">
            <w:pPr>
              <w:autoSpaceDE w:val="0"/>
              <w:autoSpaceDN w:val="0"/>
              <w:adjustRightInd w:val="0"/>
            </w:pPr>
            <w:bookmarkStart w:id="5" w:name="OLE_LINK7"/>
            <w:bookmarkStart w:id="6" w:name="OLE_LINK8"/>
            <w:r>
              <w:t>Nav attiecināms</w:t>
            </w:r>
            <w:bookmarkEnd w:id="5"/>
            <w:bookmarkEnd w:id="6"/>
          </w:p>
        </w:tc>
      </w:tr>
      <w:tr w:rsidR="00817846" w:rsidRPr="002067D3" w:rsidTr="00A96A5E">
        <w:tc>
          <w:tcPr>
            <w:tcW w:w="533" w:type="dxa"/>
          </w:tcPr>
          <w:p w:rsidR="00CF0BD1" w:rsidRPr="002067D3" w:rsidRDefault="00CF0BD1" w:rsidP="00410D6A">
            <w:pPr>
              <w:autoSpaceDE w:val="0"/>
              <w:autoSpaceDN w:val="0"/>
              <w:adjustRightInd w:val="0"/>
            </w:pPr>
            <w:r w:rsidRPr="002067D3">
              <w:t>4.</w:t>
            </w:r>
          </w:p>
        </w:tc>
        <w:tc>
          <w:tcPr>
            <w:tcW w:w="2269" w:type="dxa"/>
          </w:tcPr>
          <w:p w:rsidR="00CF0BD1" w:rsidRPr="002067D3" w:rsidRDefault="00CF0BD1" w:rsidP="00410D6A">
            <w:pPr>
              <w:autoSpaceDE w:val="0"/>
              <w:autoSpaceDN w:val="0"/>
              <w:adjustRightInd w:val="0"/>
            </w:pPr>
            <w:r w:rsidRPr="002067D3">
              <w:t>Tiesiskā regulējuma mērķis un būtība</w:t>
            </w:r>
          </w:p>
        </w:tc>
        <w:tc>
          <w:tcPr>
            <w:tcW w:w="6485" w:type="dxa"/>
          </w:tcPr>
          <w:p w:rsidR="0004456E" w:rsidRPr="00A57D8D" w:rsidRDefault="0004456E" w:rsidP="0004456E">
            <w:pPr>
              <w:pStyle w:val="BodyText"/>
              <w:jc w:val="both"/>
              <w:outlineLvl w:val="0"/>
              <w:rPr>
                <w:sz w:val="24"/>
                <w:szCs w:val="24"/>
              </w:rPr>
            </w:pPr>
            <w:r w:rsidRPr="00A57D8D">
              <w:rPr>
                <w:sz w:val="24"/>
                <w:szCs w:val="24"/>
              </w:rPr>
              <w:t>Noteikumu projekts sagatavots, lai novērstu pretrunas un nepilnības, kas radušās izstrādājot metodi, izmantojot izstrādes laikā pieejamos standartu projektus.</w:t>
            </w:r>
          </w:p>
          <w:p w:rsidR="0004456E" w:rsidRDefault="0004456E" w:rsidP="0004456E">
            <w:pPr>
              <w:autoSpaceDE w:val="0"/>
              <w:autoSpaceDN w:val="0"/>
              <w:adjustRightInd w:val="0"/>
              <w:jc w:val="both"/>
            </w:pPr>
            <w:r>
              <w:t>Papildus noteikumu projektā ietverti punkti, kuri precizē vai papildina punktus, kuriem ir nepietiekami skaidri nosacījumi vai dažādas interpretācijas iespējas.</w:t>
            </w:r>
          </w:p>
          <w:p w:rsidR="00C53961" w:rsidRPr="0004456E" w:rsidRDefault="0004456E" w:rsidP="0004456E">
            <w:pPr>
              <w:pStyle w:val="BodyText"/>
              <w:jc w:val="both"/>
              <w:outlineLvl w:val="0"/>
              <w:rPr>
                <w:sz w:val="24"/>
              </w:rPr>
            </w:pPr>
            <w:r w:rsidRPr="0004456E">
              <w:rPr>
                <w:sz w:val="24"/>
                <w:szCs w:val="24"/>
              </w:rPr>
              <w:t xml:space="preserve">Noteikumu projektā ņemti vērā nosacījumi, kas izriet no CEN tehniskā ziņojuma </w:t>
            </w:r>
            <w:r w:rsidRPr="0004456E">
              <w:rPr>
                <w:sz w:val="24"/>
              </w:rPr>
              <w:t>LVS CEN/TR 15615:2009 „Skaidrojums par dažādu Eiropas standartu vispārējo saistību ar EK direktīvu „Par ēku energoefektivitāti (EPBD)”. Visaptverošs dokuments”</w:t>
            </w:r>
            <w:r w:rsidRPr="0004456E">
              <w:rPr>
                <w:sz w:val="24"/>
                <w:szCs w:val="24"/>
              </w:rPr>
              <w:t xml:space="preserve"> un standarta </w:t>
            </w:r>
            <w:r w:rsidRPr="0004456E">
              <w:rPr>
                <w:sz w:val="24"/>
                <w:lang w:val="de-DE"/>
              </w:rPr>
              <w:t xml:space="preserve">LVS EN ISO 13790:2009 L „Ēku energoefektivitāte. </w:t>
            </w:r>
            <w:r w:rsidRPr="0004456E">
              <w:rPr>
                <w:sz w:val="24"/>
              </w:rPr>
              <w:t xml:space="preserve">Telpu apsildīšanas un dzesēšanas </w:t>
            </w:r>
            <w:proofErr w:type="spellStart"/>
            <w:r w:rsidRPr="0004456E">
              <w:rPr>
                <w:sz w:val="24"/>
              </w:rPr>
              <w:t>energopatēriņa</w:t>
            </w:r>
            <w:proofErr w:type="spellEnd"/>
            <w:r w:rsidRPr="0004456E">
              <w:rPr>
                <w:sz w:val="24"/>
              </w:rPr>
              <w:t xml:space="preserve"> rēķināšana”.</w:t>
            </w:r>
          </w:p>
          <w:p w:rsidR="002875D5" w:rsidRPr="00C53961" w:rsidRDefault="002875D5" w:rsidP="00C53961">
            <w:pPr>
              <w:autoSpaceDE w:val="0"/>
              <w:autoSpaceDN w:val="0"/>
              <w:adjustRightInd w:val="0"/>
            </w:pPr>
          </w:p>
        </w:tc>
      </w:tr>
      <w:tr w:rsidR="00817846" w:rsidRPr="002067D3" w:rsidTr="00A96A5E">
        <w:tc>
          <w:tcPr>
            <w:tcW w:w="533" w:type="dxa"/>
          </w:tcPr>
          <w:p w:rsidR="00CF0BD1" w:rsidRPr="002067D3" w:rsidRDefault="00CF0BD1" w:rsidP="00410D6A">
            <w:pPr>
              <w:autoSpaceDE w:val="0"/>
              <w:autoSpaceDN w:val="0"/>
              <w:adjustRightInd w:val="0"/>
            </w:pPr>
            <w:r w:rsidRPr="002067D3">
              <w:lastRenderedPageBreak/>
              <w:t>5.</w:t>
            </w:r>
          </w:p>
        </w:tc>
        <w:tc>
          <w:tcPr>
            <w:tcW w:w="2269" w:type="dxa"/>
          </w:tcPr>
          <w:p w:rsidR="00CF0BD1" w:rsidRPr="002067D3" w:rsidRDefault="00CF0BD1" w:rsidP="00410D6A">
            <w:pPr>
              <w:autoSpaceDE w:val="0"/>
              <w:autoSpaceDN w:val="0"/>
              <w:adjustRightInd w:val="0"/>
            </w:pPr>
            <w:r w:rsidRPr="002067D3">
              <w:t>Projekta izstrādē iesaistītās institūcijas</w:t>
            </w:r>
          </w:p>
        </w:tc>
        <w:tc>
          <w:tcPr>
            <w:tcW w:w="6485" w:type="dxa"/>
          </w:tcPr>
          <w:p w:rsidR="00C53961" w:rsidRDefault="00C53961" w:rsidP="00410D6A">
            <w:pPr>
              <w:autoSpaceDE w:val="0"/>
              <w:autoSpaceDN w:val="0"/>
              <w:adjustRightInd w:val="0"/>
            </w:pPr>
            <w:r>
              <w:t>Noteikumu projekta izstrādē piedalījās eksperti</w:t>
            </w:r>
            <w:r w:rsidR="00916188">
              <w:t>, kuri pārstāv sabiedriskās organizācijas Latvijas Siltuma, gāzes un ūdens tehnoloģiju inženieru savienība (LSGŪTIS) un Latvijas Energoauditoru asociācija (LEAA). Minēto asociāciju eksperti vienlaikus pārstāv augstskolas Rīgas Tehnisko universitāti (RTU) un Latvijas universitāti (LU).</w:t>
            </w:r>
          </w:p>
          <w:p w:rsidR="002875D5" w:rsidRPr="002067D3" w:rsidRDefault="00916188" w:rsidP="002644A0">
            <w:pPr>
              <w:autoSpaceDE w:val="0"/>
              <w:autoSpaceDN w:val="0"/>
              <w:adjustRightInd w:val="0"/>
            </w:pPr>
            <w:r>
              <w:t>Eksperti piedalījās noteikumu projekta sagatavošanā neformālā darba grupā</w:t>
            </w:r>
            <w:r w:rsidR="002644A0">
              <w:t>. N</w:t>
            </w:r>
            <w:r>
              <w:t>oteikumu projekta gala redakcija</w:t>
            </w:r>
            <w:r w:rsidR="002644A0">
              <w:t xml:space="preserve"> atbalstīta darba grupā</w:t>
            </w:r>
            <w:r>
              <w:t>.</w:t>
            </w:r>
          </w:p>
        </w:tc>
      </w:tr>
      <w:tr w:rsidR="00817846" w:rsidRPr="002067D3" w:rsidTr="00A96A5E">
        <w:tc>
          <w:tcPr>
            <w:tcW w:w="533" w:type="dxa"/>
          </w:tcPr>
          <w:p w:rsidR="00CF0BD1" w:rsidRPr="002067D3" w:rsidRDefault="00CF0BD1" w:rsidP="00410D6A">
            <w:pPr>
              <w:autoSpaceDE w:val="0"/>
              <w:autoSpaceDN w:val="0"/>
              <w:adjustRightInd w:val="0"/>
            </w:pPr>
            <w:r w:rsidRPr="002067D3">
              <w:t>6.</w:t>
            </w:r>
          </w:p>
        </w:tc>
        <w:tc>
          <w:tcPr>
            <w:tcW w:w="2269" w:type="dxa"/>
          </w:tcPr>
          <w:p w:rsidR="00CF0BD1" w:rsidRPr="002067D3" w:rsidRDefault="00CF0BD1" w:rsidP="00410D6A">
            <w:pPr>
              <w:autoSpaceDE w:val="0"/>
              <w:autoSpaceDN w:val="0"/>
              <w:adjustRightInd w:val="0"/>
            </w:pPr>
            <w:r w:rsidRPr="002067D3">
              <w:t>Iemesli, kādēļ netika nodrošināta sabiedrības līdzdalība</w:t>
            </w:r>
          </w:p>
        </w:tc>
        <w:tc>
          <w:tcPr>
            <w:tcW w:w="6485" w:type="dxa"/>
          </w:tcPr>
          <w:p w:rsidR="00186F5A" w:rsidRDefault="00186F5A" w:rsidP="002875D5">
            <w:pPr>
              <w:autoSpaceDE w:val="0"/>
              <w:autoSpaceDN w:val="0"/>
              <w:adjustRightInd w:val="0"/>
            </w:pPr>
          </w:p>
          <w:p w:rsidR="002875D5" w:rsidRPr="002067D3" w:rsidRDefault="00CF0BD1" w:rsidP="002875D5">
            <w:pPr>
              <w:autoSpaceDE w:val="0"/>
              <w:autoSpaceDN w:val="0"/>
              <w:adjustRightInd w:val="0"/>
            </w:pPr>
            <w:r>
              <w:t>Nav attiecināms</w:t>
            </w:r>
          </w:p>
        </w:tc>
      </w:tr>
      <w:tr w:rsidR="00817846" w:rsidRPr="002067D3" w:rsidTr="00A96A5E">
        <w:tc>
          <w:tcPr>
            <w:tcW w:w="533" w:type="dxa"/>
          </w:tcPr>
          <w:p w:rsidR="00CF0BD1" w:rsidRPr="002067D3" w:rsidRDefault="00CF0BD1" w:rsidP="00410D6A">
            <w:pPr>
              <w:autoSpaceDE w:val="0"/>
              <w:autoSpaceDN w:val="0"/>
              <w:adjustRightInd w:val="0"/>
            </w:pPr>
            <w:r w:rsidRPr="002067D3">
              <w:t>7.</w:t>
            </w:r>
          </w:p>
        </w:tc>
        <w:tc>
          <w:tcPr>
            <w:tcW w:w="2269" w:type="dxa"/>
          </w:tcPr>
          <w:p w:rsidR="00CF0BD1" w:rsidRPr="002067D3" w:rsidRDefault="00CF0BD1" w:rsidP="00410D6A">
            <w:pPr>
              <w:autoSpaceDE w:val="0"/>
              <w:autoSpaceDN w:val="0"/>
              <w:adjustRightInd w:val="0"/>
            </w:pPr>
            <w:r w:rsidRPr="002067D3">
              <w:t>Cita informācija</w:t>
            </w:r>
          </w:p>
        </w:tc>
        <w:tc>
          <w:tcPr>
            <w:tcW w:w="6485" w:type="dxa"/>
          </w:tcPr>
          <w:p w:rsidR="00CF0BD1" w:rsidRPr="002067D3" w:rsidRDefault="00CF0BD1" w:rsidP="005B4444">
            <w:pPr>
              <w:autoSpaceDE w:val="0"/>
              <w:autoSpaceDN w:val="0"/>
              <w:adjustRightInd w:val="0"/>
            </w:pPr>
            <w:r>
              <w:t xml:space="preserve">Nav </w:t>
            </w:r>
          </w:p>
        </w:tc>
      </w:tr>
    </w:tbl>
    <w:p w:rsidR="00CF0BD1" w:rsidRPr="002067D3" w:rsidRDefault="00CF0BD1" w:rsidP="00817846">
      <w:pPr>
        <w:autoSpaceDE w:val="0"/>
        <w:autoSpaceDN w:val="0"/>
        <w:adjustRightInd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3127"/>
        <w:gridCol w:w="5635"/>
      </w:tblGrid>
      <w:tr w:rsidR="00CF0BD1" w:rsidRPr="00410D6A" w:rsidTr="00410D6A">
        <w:tc>
          <w:tcPr>
            <w:tcW w:w="9287" w:type="dxa"/>
            <w:gridSpan w:val="3"/>
          </w:tcPr>
          <w:p w:rsidR="000844AC" w:rsidRPr="002067D3" w:rsidRDefault="00CF0BD1" w:rsidP="008D57D3">
            <w:pPr>
              <w:autoSpaceDE w:val="0"/>
              <w:autoSpaceDN w:val="0"/>
              <w:adjustRightInd w:val="0"/>
              <w:spacing w:before="100" w:after="100"/>
              <w:rPr>
                <w:b/>
                <w:bCs/>
              </w:rPr>
            </w:pPr>
            <w:r w:rsidRPr="002067D3">
              <w:rPr>
                <w:b/>
                <w:bCs/>
              </w:rPr>
              <w:t>II. Tiesību akta projekta ietekme uz sabiedrību</w:t>
            </w:r>
          </w:p>
        </w:tc>
      </w:tr>
      <w:tr w:rsidR="004D1BC7" w:rsidRPr="002067D3" w:rsidTr="002B12C5">
        <w:tc>
          <w:tcPr>
            <w:tcW w:w="525" w:type="dxa"/>
          </w:tcPr>
          <w:p w:rsidR="00CF0BD1" w:rsidRPr="002067D3" w:rsidRDefault="00CF0BD1" w:rsidP="00410D6A">
            <w:pPr>
              <w:autoSpaceDE w:val="0"/>
              <w:autoSpaceDN w:val="0"/>
              <w:adjustRightInd w:val="0"/>
            </w:pPr>
            <w:r w:rsidRPr="002067D3">
              <w:t>1.</w:t>
            </w:r>
          </w:p>
        </w:tc>
        <w:tc>
          <w:tcPr>
            <w:tcW w:w="3127" w:type="dxa"/>
          </w:tcPr>
          <w:p w:rsidR="00CF0BD1" w:rsidRPr="002067D3" w:rsidRDefault="00CF0BD1" w:rsidP="00410D6A">
            <w:pPr>
              <w:autoSpaceDE w:val="0"/>
              <w:autoSpaceDN w:val="0"/>
              <w:adjustRightInd w:val="0"/>
            </w:pPr>
            <w:r w:rsidRPr="002067D3">
              <w:t xml:space="preserve">Sabiedrības </w:t>
            </w:r>
            <w:proofErr w:type="spellStart"/>
            <w:r w:rsidRPr="002067D3">
              <w:t>mērķgrupa</w:t>
            </w:r>
            <w:proofErr w:type="spellEnd"/>
          </w:p>
        </w:tc>
        <w:tc>
          <w:tcPr>
            <w:tcW w:w="5635" w:type="dxa"/>
          </w:tcPr>
          <w:p w:rsidR="00CF0BD1" w:rsidRPr="002067D3" w:rsidRDefault="00FD730C" w:rsidP="008D57D3">
            <w:pPr>
              <w:autoSpaceDE w:val="0"/>
              <w:autoSpaceDN w:val="0"/>
              <w:adjustRightInd w:val="0"/>
            </w:pPr>
            <w:r>
              <w:t xml:space="preserve">Noteikumu </w:t>
            </w:r>
            <w:r w:rsidR="00CF0BD1">
              <w:t xml:space="preserve">projekts attiecas </w:t>
            </w:r>
            <w:r w:rsidR="00CF0BD1" w:rsidRPr="00495E17">
              <w:t xml:space="preserve">uz </w:t>
            </w:r>
            <w:r w:rsidR="000B5E24">
              <w:t xml:space="preserve">sertificētiem </w:t>
            </w:r>
            <w:r>
              <w:t>energoauditoriem</w:t>
            </w:r>
            <w:r w:rsidR="00186F5A">
              <w:t xml:space="preserve"> </w:t>
            </w:r>
            <w:r w:rsidR="00C74009">
              <w:t xml:space="preserve">un </w:t>
            </w:r>
            <w:r>
              <w:t>ēku projektētājiem</w:t>
            </w:r>
            <w:r w:rsidR="000B5E24">
              <w:t>, kuri veic ēku energoefektivitātes aprēķinus ēkas energoefektivitātes novērtēšanai un ēkas energoefektivitātes sertifikāta (vai pagaidu sertifikāta) izdošanai.</w:t>
            </w:r>
            <w:r w:rsidR="007E5745">
              <w:t xml:space="preserve"> Latvijā ir 70 sertificēti energoauditori, kas tiesīgi izdot ēku energoefektivitātes sertifikātus (esošām ēkām) un</w:t>
            </w:r>
            <w:r w:rsidR="008D57D3">
              <w:t xml:space="preserve"> nedaudz</w:t>
            </w:r>
            <w:r w:rsidR="007E5745">
              <w:t xml:space="preserve"> </w:t>
            </w:r>
            <w:r w:rsidR="008D57D3">
              <w:t>vairāk kā</w:t>
            </w:r>
            <w:r w:rsidR="007E5745">
              <w:t xml:space="preserve"> 4</w:t>
            </w:r>
            <w:r w:rsidR="008D57D3">
              <w:t>0</w:t>
            </w:r>
            <w:r w:rsidR="007E5745">
              <w:t>0 sertificēti būvju konstrukciju projektētāji, kas tiesīgi izdot ēku energoefektivitātes pagaidu sertifikātus (projektējamām ēkām).</w:t>
            </w:r>
          </w:p>
        </w:tc>
      </w:tr>
      <w:tr w:rsidR="004D1BC7" w:rsidRPr="002067D3" w:rsidTr="002B12C5">
        <w:tc>
          <w:tcPr>
            <w:tcW w:w="525" w:type="dxa"/>
          </w:tcPr>
          <w:p w:rsidR="00CF0BD1" w:rsidRPr="002067D3" w:rsidRDefault="00CF0BD1" w:rsidP="00410D6A">
            <w:pPr>
              <w:autoSpaceDE w:val="0"/>
              <w:autoSpaceDN w:val="0"/>
              <w:adjustRightInd w:val="0"/>
            </w:pPr>
            <w:r w:rsidRPr="002067D3">
              <w:t>2.</w:t>
            </w:r>
          </w:p>
        </w:tc>
        <w:tc>
          <w:tcPr>
            <w:tcW w:w="3127" w:type="dxa"/>
          </w:tcPr>
          <w:p w:rsidR="00CF0BD1" w:rsidRPr="002067D3" w:rsidRDefault="00CF0BD1" w:rsidP="00410D6A">
            <w:pPr>
              <w:autoSpaceDE w:val="0"/>
              <w:autoSpaceDN w:val="0"/>
              <w:adjustRightInd w:val="0"/>
            </w:pPr>
            <w:r w:rsidRPr="002067D3">
              <w:t xml:space="preserve">Citas sabiedrības grupas (bez </w:t>
            </w:r>
            <w:proofErr w:type="spellStart"/>
            <w:r w:rsidRPr="002067D3">
              <w:t>mērķgrupas</w:t>
            </w:r>
            <w:proofErr w:type="spellEnd"/>
            <w:r w:rsidRPr="002067D3">
              <w:t>), kuras tiesiskais regulējums arī ietekmē vai varētu ietekmēt</w:t>
            </w:r>
          </w:p>
        </w:tc>
        <w:tc>
          <w:tcPr>
            <w:tcW w:w="5635" w:type="dxa"/>
          </w:tcPr>
          <w:p w:rsidR="00CF0BD1" w:rsidRPr="002067D3" w:rsidRDefault="000B5E24" w:rsidP="00186F5A">
            <w:pPr>
              <w:autoSpaceDE w:val="0"/>
              <w:autoSpaceDN w:val="0"/>
              <w:adjustRightInd w:val="0"/>
            </w:pPr>
            <w:r>
              <w:t>Saskaņā ar ēku energoefektivitātes likumu, ēku energosertificēšana skar ēku būvniecībā, izīrēšanā un pārdošanā iesaistītās personas: īpašniekus (pārdevējus, izīrētājus) un potenciālos lietotājus (pircējus, īrniekus).</w:t>
            </w:r>
          </w:p>
        </w:tc>
      </w:tr>
      <w:tr w:rsidR="004D1BC7" w:rsidRPr="002067D3" w:rsidTr="002B12C5">
        <w:tc>
          <w:tcPr>
            <w:tcW w:w="525" w:type="dxa"/>
          </w:tcPr>
          <w:p w:rsidR="00CF0BD1" w:rsidRPr="002067D3" w:rsidRDefault="00CF0BD1" w:rsidP="00410D6A">
            <w:pPr>
              <w:autoSpaceDE w:val="0"/>
              <w:autoSpaceDN w:val="0"/>
              <w:adjustRightInd w:val="0"/>
            </w:pPr>
            <w:r w:rsidRPr="002067D3">
              <w:t>3.</w:t>
            </w:r>
          </w:p>
        </w:tc>
        <w:tc>
          <w:tcPr>
            <w:tcW w:w="3127" w:type="dxa"/>
          </w:tcPr>
          <w:p w:rsidR="00CF0BD1" w:rsidRPr="002067D3" w:rsidRDefault="00CF0BD1" w:rsidP="00410D6A">
            <w:pPr>
              <w:autoSpaceDE w:val="0"/>
              <w:autoSpaceDN w:val="0"/>
              <w:adjustRightInd w:val="0"/>
            </w:pPr>
            <w:r w:rsidRPr="002067D3">
              <w:t>Tiesiskā regulējuma finansiālā ietekme</w:t>
            </w:r>
          </w:p>
        </w:tc>
        <w:tc>
          <w:tcPr>
            <w:tcW w:w="5635" w:type="dxa"/>
          </w:tcPr>
          <w:p w:rsidR="00CF0BD1" w:rsidRPr="002067D3" w:rsidRDefault="00CF0BD1" w:rsidP="00410D6A">
            <w:pPr>
              <w:autoSpaceDE w:val="0"/>
              <w:autoSpaceDN w:val="0"/>
              <w:adjustRightInd w:val="0"/>
            </w:pPr>
            <w:r>
              <w:t>Nav attiecināms</w:t>
            </w:r>
          </w:p>
        </w:tc>
      </w:tr>
      <w:tr w:rsidR="004D1BC7" w:rsidRPr="002067D3" w:rsidTr="002B12C5">
        <w:tc>
          <w:tcPr>
            <w:tcW w:w="525" w:type="dxa"/>
          </w:tcPr>
          <w:p w:rsidR="00CF0BD1" w:rsidRPr="002067D3" w:rsidRDefault="00CF0BD1" w:rsidP="00410D6A">
            <w:pPr>
              <w:autoSpaceDE w:val="0"/>
              <w:autoSpaceDN w:val="0"/>
              <w:adjustRightInd w:val="0"/>
            </w:pPr>
            <w:r w:rsidRPr="002067D3">
              <w:t>4.</w:t>
            </w:r>
          </w:p>
        </w:tc>
        <w:tc>
          <w:tcPr>
            <w:tcW w:w="3127" w:type="dxa"/>
          </w:tcPr>
          <w:p w:rsidR="00CF0BD1" w:rsidRPr="002067D3" w:rsidRDefault="00CF0BD1" w:rsidP="00410D6A">
            <w:pPr>
              <w:autoSpaceDE w:val="0"/>
              <w:autoSpaceDN w:val="0"/>
              <w:adjustRightInd w:val="0"/>
            </w:pPr>
            <w:r w:rsidRPr="002067D3">
              <w:t>Tiesiskā regulējuma nefinansiālā ietekme</w:t>
            </w:r>
          </w:p>
        </w:tc>
        <w:tc>
          <w:tcPr>
            <w:tcW w:w="5635" w:type="dxa"/>
          </w:tcPr>
          <w:p w:rsidR="00CF0BD1" w:rsidRPr="008274D2" w:rsidRDefault="008D57D3" w:rsidP="008274D2">
            <w:pPr>
              <w:pStyle w:val="naiskr"/>
              <w:spacing w:before="0" w:beforeAutospacing="0" w:after="0" w:afterAutospacing="0"/>
              <w:rPr>
                <w:lang w:val="lv-LV"/>
              </w:rPr>
            </w:pPr>
            <w:r>
              <w:rPr>
                <w:lang w:val="lv-LV"/>
              </w:rPr>
              <w:t>N</w:t>
            </w:r>
            <w:r w:rsidRPr="008D57D3">
              <w:rPr>
                <w:lang w:val="lv-LV"/>
              </w:rPr>
              <w:t>oteikumu projekt</w:t>
            </w:r>
            <w:r w:rsidR="007307FB">
              <w:rPr>
                <w:lang w:val="lv-LV"/>
              </w:rPr>
              <w:t>a</w:t>
            </w:r>
            <w:r w:rsidRPr="008D57D3">
              <w:rPr>
                <w:lang w:val="lv-LV"/>
              </w:rPr>
              <w:t xml:space="preserve"> punkti, kuri precizē vai papildina punktus, kuriem ir nepietiekami skaidri nosacījumi vai dažādas interpretācijas iespējas</w:t>
            </w:r>
            <w:r>
              <w:rPr>
                <w:lang w:val="lv-LV"/>
              </w:rPr>
              <w:t xml:space="preserve">, </w:t>
            </w:r>
            <w:r w:rsidRPr="00E21CA1">
              <w:rPr>
                <w:szCs w:val="28"/>
                <w:lang w:val="lv-LV"/>
              </w:rPr>
              <w:t>nozares speciālist</w:t>
            </w:r>
            <w:r w:rsidR="007307FB">
              <w:rPr>
                <w:szCs w:val="28"/>
                <w:lang w:val="lv-LV"/>
              </w:rPr>
              <w:t xml:space="preserve">iem </w:t>
            </w:r>
            <w:r w:rsidR="00411BF3" w:rsidRPr="00E21CA1">
              <w:rPr>
                <w:szCs w:val="28"/>
                <w:lang w:val="lv-LV"/>
              </w:rPr>
              <w:t>atvieglos</w:t>
            </w:r>
            <w:r w:rsidR="00411BF3">
              <w:rPr>
                <w:szCs w:val="28"/>
                <w:lang w:val="lv-LV"/>
              </w:rPr>
              <w:t xml:space="preserve"> </w:t>
            </w:r>
            <w:r w:rsidRPr="00E21CA1">
              <w:rPr>
                <w:szCs w:val="28"/>
                <w:lang w:val="lv-LV"/>
              </w:rPr>
              <w:t>veikt Ministru kabineta noteikumos noteiktās darbības.</w:t>
            </w:r>
            <w:r w:rsidR="008274D2">
              <w:rPr>
                <w:szCs w:val="28"/>
                <w:lang w:val="lv-LV"/>
              </w:rPr>
              <w:t xml:space="preserve"> </w:t>
            </w:r>
          </w:p>
        </w:tc>
      </w:tr>
      <w:tr w:rsidR="004D1BC7" w:rsidRPr="002067D3" w:rsidTr="002B12C5">
        <w:tc>
          <w:tcPr>
            <w:tcW w:w="525" w:type="dxa"/>
          </w:tcPr>
          <w:p w:rsidR="00CF0BD1" w:rsidRPr="002067D3" w:rsidRDefault="00CF0BD1" w:rsidP="00410D6A">
            <w:pPr>
              <w:autoSpaceDE w:val="0"/>
              <w:autoSpaceDN w:val="0"/>
              <w:adjustRightInd w:val="0"/>
            </w:pPr>
            <w:r w:rsidRPr="002067D3">
              <w:t>5.</w:t>
            </w:r>
          </w:p>
        </w:tc>
        <w:tc>
          <w:tcPr>
            <w:tcW w:w="3127" w:type="dxa"/>
          </w:tcPr>
          <w:p w:rsidR="00CF0BD1" w:rsidRPr="002067D3" w:rsidRDefault="00CF0BD1" w:rsidP="00410D6A">
            <w:pPr>
              <w:autoSpaceDE w:val="0"/>
              <w:autoSpaceDN w:val="0"/>
              <w:adjustRightInd w:val="0"/>
            </w:pPr>
            <w:r w:rsidRPr="002067D3">
              <w:t>Administratīvās procedūras raksturojums</w:t>
            </w:r>
          </w:p>
        </w:tc>
        <w:tc>
          <w:tcPr>
            <w:tcW w:w="5635" w:type="dxa"/>
          </w:tcPr>
          <w:p w:rsidR="00CF0BD1" w:rsidRPr="002067D3" w:rsidRDefault="007307FB" w:rsidP="008274D2">
            <w:pPr>
              <w:autoSpaceDE w:val="0"/>
              <w:autoSpaceDN w:val="0"/>
              <w:adjustRightInd w:val="0"/>
            </w:pPr>
            <w:r>
              <w:t>Ēkas energoefektivitātes sertifikāti vai ēkas energoefektivitātes pagaidu sertifikāti, kas izdoti pamatojoties uz aprēķiniem, kas veikti līdz grozījumu spēkā stāšanas dienai būs derīgi līdz attiecīgajā sertifikātā norādītā termiņa beigām.</w:t>
            </w:r>
            <w:r w:rsidR="008274D2">
              <w:t xml:space="preserve"> </w:t>
            </w:r>
          </w:p>
        </w:tc>
      </w:tr>
      <w:tr w:rsidR="004D1BC7" w:rsidRPr="002067D3" w:rsidTr="002B12C5">
        <w:tc>
          <w:tcPr>
            <w:tcW w:w="525" w:type="dxa"/>
          </w:tcPr>
          <w:p w:rsidR="00CF0BD1" w:rsidRPr="002067D3" w:rsidRDefault="00CF0BD1" w:rsidP="00410D6A">
            <w:pPr>
              <w:autoSpaceDE w:val="0"/>
              <w:autoSpaceDN w:val="0"/>
              <w:adjustRightInd w:val="0"/>
            </w:pPr>
            <w:r w:rsidRPr="002067D3">
              <w:t>6.</w:t>
            </w:r>
          </w:p>
        </w:tc>
        <w:tc>
          <w:tcPr>
            <w:tcW w:w="3127" w:type="dxa"/>
          </w:tcPr>
          <w:p w:rsidR="00CF0BD1" w:rsidRPr="002067D3" w:rsidRDefault="00CF0BD1" w:rsidP="00410D6A">
            <w:pPr>
              <w:autoSpaceDE w:val="0"/>
              <w:autoSpaceDN w:val="0"/>
              <w:adjustRightInd w:val="0"/>
            </w:pPr>
            <w:r w:rsidRPr="002067D3">
              <w:t>Administratīvo izmaksu monetārs novērtējums</w:t>
            </w:r>
          </w:p>
        </w:tc>
        <w:tc>
          <w:tcPr>
            <w:tcW w:w="5635" w:type="dxa"/>
          </w:tcPr>
          <w:p w:rsidR="00CF0BD1" w:rsidRPr="002067D3" w:rsidRDefault="00CF0BD1" w:rsidP="00410D6A">
            <w:pPr>
              <w:autoSpaceDE w:val="0"/>
              <w:autoSpaceDN w:val="0"/>
              <w:adjustRightInd w:val="0"/>
            </w:pPr>
            <w:r>
              <w:t>Nav attiecināms</w:t>
            </w:r>
          </w:p>
        </w:tc>
      </w:tr>
      <w:tr w:rsidR="004D1BC7" w:rsidRPr="002067D3" w:rsidTr="002B12C5">
        <w:tc>
          <w:tcPr>
            <w:tcW w:w="525" w:type="dxa"/>
          </w:tcPr>
          <w:p w:rsidR="00CF0BD1" w:rsidRPr="002067D3" w:rsidRDefault="00CF0BD1" w:rsidP="00410D6A">
            <w:pPr>
              <w:autoSpaceDE w:val="0"/>
              <w:autoSpaceDN w:val="0"/>
              <w:adjustRightInd w:val="0"/>
            </w:pPr>
            <w:r w:rsidRPr="002067D3">
              <w:t>7.</w:t>
            </w:r>
          </w:p>
        </w:tc>
        <w:tc>
          <w:tcPr>
            <w:tcW w:w="3127" w:type="dxa"/>
          </w:tcPr>
          <w:p w:rsidR="00CF0BD1" w:rsidRPr="002067D3" w:rsidRDefault="00CF0BD1" w:rsidP="00410D6A">
            <w:pPr>
              <w:autoSpaceDE w:val="0"/>
              <w:autoSpaceDN w:val="0"/>
              <w:adjustRightInd w:val="0"/>
            </w:pPr>
            <w:r w:rsidRPr="002067D3">
              <w:t>Cita informācija</w:t>
            </w:r>
          </w:p>
        </w:tc>
        <w:tc>
          <w:tcPr>
            <w:tcW w:w="5635" w:type="dxa"/>
          </w:tcPr>
          <w:p w:rsidR="00CF0BD1" w:rsidRPr="002067D3" w:rsidRDefault="00CF0BD1" w:rsidP="00410D6A">
            <w:pPr>
              <w:autoSpaceDE w:val="0"/>
              <w:autoSpaceDN w:val="0"/>
              <w:adjustRightInd w:val="0"/>
            </w:pPr>
            <w:r>
              <w:t>Nav</w:t>
            </w:r>
          </w:p>
        </w:tc>
      </w:tr>
    </w:tbl>
    <w:p w:rsidR="00817846" w:rsidRPr="008274D2" w:rsidRDefault="00817846"/>
    <w:p w:rsidR="000A532F" w:rsidRDefault="000A532F">
      <w:pPr>
        <w:rPr>
          <w:sz w:val="28"/>
        </w:rPr>
      </w:pPr>
      <w:r w:rsidRPr="000A532F">
        <w:rPr>
          <w:sz w:val="28"/>
        </w:rPr>
        <w:t>Anotācijas III, IV, V sadaļa – nav attiecināms.</w:t>
      </w:r>
    </w:p>
    <w:p w:rsidR="000A532F" w:rsidRDefault="000A532F">
      <w:pPr>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3127"/>
        <w:gridCol w:w="5635"/>
      </w:tblGrid>
      <w:tr w:rsidR="00CF0BD1" w:rsidRPr="00DB4EA6" w:rsidTr="00410D6A">
        <w:tc>
          <w:tcPr>
            <w:tcW w:w="9287" w:type="dxa"/>
            <w:gridSpan w:val="3"/>
          </w:tcPr>
          <w:p w:rsidR="00CF0BD1" w:rsidRPr="002067D3" w:rsidRDefault="003F5ADB" w:rsidP="00410D6A">
            <w:pPr>
              <w:autoSpaceDE w:val="0"/>
              <w:autoSpaceDN w:val="0"/>
              <w:adjustRightInd w:val="0"/>
              <w:spacing w:before="100" w:after="100"/>
            </w:pPr>
            <w:r>
              <w:br w:type="page"/>
            </w:r>
            <w:r w:rsidR="00CF0BD1" w:rsidRPr="002067D3">
              <w:rPr>
                <w:b/>
                <w:bCs/>
              </w:rPr>
              <w:t>VI. Sabiedrības līdzdalība un šīs līdzdalības rezultāti</w:t>
            </w:r>
          </w:p>
        </w:tc>
      </w:tr>
      <w:tr w:rsidR="000A532F" w:rsidRPr="002067D3" w:rsidTr="002644A0">
        <w:tc>
          <w:tcPr>
            <w:tcW w:w="525" w:type="dxa"/>
          </w:tcPr>
          <w:p w:rsidR="000A532F" w:rsidRPr="002067D3" w:rsidRDefault="000A532F" w:rsidP="00B21139">
            <w:pPr>
              <w:autoSpaceDE w:val="0"/>
              <w:autoSpaceDN w:val="0"/>
              <w:adjustRightInd w:val="0"/>
            </w:pPr>
            <w:r>
              <w:t>1</w:t>
            </w:r>
            <w:r w:rsidRPr="002067D3">
              <w:t>.</w:t>
            </w:r>
          </w:p>
        </w:tc>
        <w:tc>
          <w:tcPr>
            <w:tcW w:w="3127" w:type="dxa"/>
          </w:tcPr>
          <w:p w:rsidR="009F3C53" w:rsidRPr="009F3C53" w:rsidRDefault="000A532F" w:rsidP="00B21139">
            <w:pPr>
              <w:spacing w:before="100" w:beforeAutospacing="1" w:after="100" w:afterAutospacing="1"/>
              <w:rPr>
                <w:szCs w:val="18"/>
              </w:rPr>
            </w:pPr>
            <w:r w:rsidRPr="009F3C53">
              <w:rPr>
                <w:szCs w:val="18"/>
              </w:rPr>
              <w:t>Sabiedrības informēšana par projekta izstrādes uzsākšanu</w:t>
            </w:r>
          </w:p>
        </w:tc>
        <w:tc>
          <w:tcPr>
            <w:tcW w:w="5635" w:type="dxa"/>
          </w:tcPr>
          <w:p w:rsidR="009F3C53" w:rsidRPr="009F3C53" w:rsidRDefault="00D871F1" w:rsidP="00D871F1">
            <w:pPr>
              <w:spacing w:before="100" w:beforeAutospacing="1" w:after="100" w:afterAutospacing="1"/>
              <w:rPr>
                <w:szCs w:val="18"/>
              </w:rPr>
            </w:pPr>
            <w:r>
              <w:rPr>
                <w:szCs w:val="18"/>
              </w:rPr>
              <w:t>Par projekta izstrādes uzsākšanu informēti sabiedrisko organizāciju (LSGŪTIS un LEAA) pārstāvji elektroniski 2010. gada 17. septembrī.</w:t>
            </w:r>
          </w:p>
        </w:tc>
      </w:tr>
      <w:tr w:rsidR="000A532F" w:rsidRPr="002067D3" w:rsidTr="002644A0">
        <w:tc>
          <w:tcPr>
            <w:tcW w:w="525" w:type="dxa"/>
          </w:tcPr>
          <w:p w:rsidR="000A532F" w:rsidRDefault="000A532F" w:rsidP="00B21139">
            <w:pPr>
              <w:autoSpaceDE w:val="0"/>
              <w:autoSpaceDN w:val="0"/>
              <w:adjustRightInd w:val="0"/>
            </w:pPr>
            <w:r>
              <w:t>2.</w:t>
            </w:r>
          </w:p>
        </w:tc>
        <w:tc>
          <w:tcPr>
            <w:tcW w:w="3127" w:type="dxa"/>
          </w:tcPr>
          <w:p w:rsidR="009F3C53" w:rsidRPr="009F3C53" w:rsidRDefault="000A532F" w:rsidP="00B21139">
            <w:pPr>
              <w:spacing w:before="100" w:beforeAutospacing="1" w:after="100" w:afterAutospacing="1"/>
              <w:rPr>
                <w:szCs w:val="18"/>
              </w:rPr>
            </w:pPr>
            <w:r w:rsidRPr="009F3C53">
              <w:rPr>
                <w:szCs w:val="18"/>
              </w:rPr>
              <w:t>Sabiedrības līdzdalība projekta izstrādē</w:t>
            </w:r>
          </w:p>
        </w:tc>
        <w:tc>
          <w:tcPr>
            <w:tcW w:w="5635" w:type="dxa"/>
          </w:tcPr>
          <w:p w:rsidR="006A123F" w:rsidRDefault="002644A0" w:rsidP="0001429F">
            <w:pPr>
              <w:autoSpaceDE w:val="0"/>
              <w:autoSpaceDN w:val="0"/>
              <w:adjustRightInd w:val="0"/>
            </w:pPr>
            <w:r>
              <w:t>Noteikumu projekta izstrādē piedalījās eksperti</w:t>
            </w:r>
            <w:r w:rsidR="008274D2">
              <w:t>:</w:t>
            </w:r>
            <w:r>
              <w:t xml:space="preserve"> </w:t>
            </w:r>
            <w:r w:rsidR="006A123F">
              <w:t xml:space="preserve">Rīgas Tehnisko universitātes (RTU) </w:t>
            </w:r>
            <w:r>
              <w:t xml:space="preserve">prof. </w:t>
            </w:r>
            <w:proofErr w:type="spellStart"/>
            <w:r>
              <w:t>A.Greķis</w:t>
            </w:r>
            <w:proofErr w:type="spellEnd"/>
            <w:r>
              <w:t xml:space="preserve">, </w:t>
            </w:r>
            <w:r w:rsidR="006A123F">
              <w:t xml:space="preserve">Latvijas universitātes </w:t>
            </w:r>
            <w:r>
              <w:t xml:space="preserve">prof. </w:t>
            </w:r>
            <w:proofErr w:type="spellStart"/>
            <w:r>
              <w:t>A.Jakovičs</w:t>
            </w:r>
            <w:proofErr w:type="spellEnd"/>
            <w:r>
              <w:t xml:space="preserve">, </w:t>
            </w:r>
            <w:r w:rsidR="006A123F">
              <w:t xml:space="preserve">RTU pētnieks </w:t>
            </w:r>
            <w:proofErr w:type="spellStart"/>
            <w:r>
              <w:t>G.Žogla</w:t>
            </w:r>
            <w:proofErr w:type="spellEnd"/>
            <w:r w:rsidR="006A123F">
              <w:t>.</w:t>
            </w:r>
          </w:p>
          <w:p w:rsidR="006A123F" w:rsidRDefault="006A123F" w:rsidP="006A123F">
            <w:pPr>
              <w:autoSpaceDE w:val="0"/>
              <w:autoSpaceDN w:val="0"/>
              <w:adjustRightInd w:val="0"/>
            </w:pPr>
            <w:r>
              <w:t>Eksperti iesaistīti noteikumu projekta izstrādē ņemot vērā to kompetenci un pieredzi ēku energoefektivitātes aprēķinu un metožu izstrādes jomā.</w:t>
            </w:r>
          </w:p>
          <w:p w:rsidR="009F3C53" w:rsidRPr="009F3C53" w:rsidRDefault="006A123F" w:rsidP="006A123F">
            <w:pPr>
              <w:autoSpaceDE w:val="0"/>
              <w:autoSpaceDN w:val="0"/>
              <w:adjustRightInd w:val="0"/>
              <w:rPr>
                <w:szCs w:val="18"/>
              </w:rPr>
            </w:pPr>
            <w:r>
              <w:t xml:space="preserve">Minētie eksperti vienlaikus pārstāv </w:t>
            </w:r>
            <w:r w:rsidR="002644A0">
              <w:t xml:space="preserve">sabiedriskās organizācijas Latvijas Siltuma, gāzes un ūdens tehnoloģiju inženieru savienība (LSGŪTIS) un Latvijas Energoauditoru asociācija (LEAA). </w:t>
            </w:r>
          </w:p>
        </w:tc>
      </w:tr>
      <w:tr w:rsidR="000A532F" w:rsidRPr="002067D3" w:rsidTr="002644A0">
        <w:tc>
          <w:tcPr>
            <w:tcW w:w="525" w:type="dxa"/>
          </w:tcPr>
          <w:p w:rsidR="000A532F" w:rsidRDefault="000A532F" w:rsidP="00B21139">
            <w:pPr>
              <w:autoSpaceDE w:val="0"/>
              <w:autoSpaceDN w:val="0"/>
              <w:adjustRightInd w:val="0"/>
            </w:pPr>
            <w:r>
              <w:t>3.</w:t>
            </w:r>
          </w:p>
        </w:tc>
        <w:tc>
          <w:tcPr>
            <w:tcW w:w="3127" w:type="dxa"/>
          </w:tcPr>
          <w:p w:rsidR="009F3C53" w:rsidRPr="009F3C53" w:rsidRDefault="000A532F" w:rsidP="00B21139">
            <w:pPr>
              <w:spacing w:before="100" w:beforeAutospacing="1" w:after="100" w:afterAutospacing="1"/>
              <w:rPr>
                <w:szCs w:val="18"/>
              </w:rPr>
            </w:pPr>
            <w:r w:rsidRPr="009F3C53">
              <w:rPr>
                <w:szCs w:val="18"/>
              </w:rPr>
              <w:t>Sabiedrības līdzdalības rezultāti</w:t>
            </w:r>
          </w:p>
        </w:tc>
        <w:tc>
          <w:tcPr>
            <w:tcW w:w="5635" w:type="dxa"/>
          </w:tcPr>
          <w:p w:rsidR="009F3C53" w:rsidRPr="009F3C53" w:rsidRDefault="0001429F" w:rsidP="0001429F">
            <w:pPr>
              <w:spacing w:before="100" w:beforeAutospacing="1" w:after="100" w:afterAutospacing="1"/>
              <w:rPr>
                <w:szCs w:val="18"/>
              </w:rPr>
            </w:pPr>
            <w:r>
              <w:rPr>
                <w:szCs w:val="18"/>
              </w:rPr>
              <w:t>Noteikumu projekta izstrādes uzsākta pamatojoties uz sabiedrības pārstāvju priekšlikumiem un ierosinājumiem, kas apspriesti ekspertu vidū un atbalstīti savstarpēji vienojoties par labākajiem risinājumiem.</w:t>
            </w:r>
          </w:p>
        </w:tc>
      </w:tr>
      <w:tr w:rsidR="000A532F" w:rsidRPr="002067D3" w:rsidTr="002644A0">
        <w:tc>
          <w:tcPr>
            <w:tcW w:w="525" w:type="dxa"/>
          </w:tcPr>
          <w:p w:rsidR="000A532F" w:rsidRDefault="000A532F" w:rsidP="00B21139">
            <w:pPr>
              <w:autoSpaceDE w:val="0"/>
              <w:autoSpaceDN w:val="0"/>
              <w:adjustRightInd w:val="0"/>
            </w:pPr>
            <w:r>
              <w:t>4.</w:t>
            </w:r>
          </w:p>
        </w:tc>
        <w:tc>
          <w:tcPr>
            <w:tcW w:w="3127" w:type="dxa"/>
          </w:tcPr>
          <w:p w:rsidR="009F3C53" w:rsidRPr="009F3C53" w:rsidRDefault="000A532F" w:rsidP="00B21139">
            <w:pPr>
              <w:spacing w:before="100" w:beforeAutospacing="1" w:after="100" w:afterAutospacing="1"/>
              <w:rPr>
                <w:szCs w:val="18"/>
              </w:rPr>
            </w:pPr>
            <w:r w:rsidRPr="009F3C53">
              <w:rPr>
                <w:szCs w:val="18"/>
              </w:rPr>
              <w:t>Saeimas un ekspertu līdzdalība</w:t>
            </w:r>
          </w:p>
        </w:tc>
        <w:tc>
          <w:tcPr>
            <w:tcW w:w="5635" w:type="dxa"/>
          </w:tcPr>
          <w:p w:rsidR="009F3C53" w:rsidRPr="009F3C53" w:rsidRDefault="0001429F" w:rsidP="00B21139">
            <w:pPr>
              <w:spacing w:before="100" w:beforeAutospacing="1" w:after="100" w:afterAutospacing="1"/>
              <w:rPr>
                <w:szCs w:val="18"/>
              </w:rPr>
            </w:pPr>
            <w:r>
              <w:rPr>
                <w:szCs w:val="18"/>
              </w:rPr>
              <w:t>Nav attiecināms</w:t>
            </w:r>
          </w:p>
        </w:tc>
      </w:tr>
      <w:tr w:rsidR="000A532F" w:rsidRPr="002067D3" w:rsidTr="002644A0">
        <w:tc>
          <w:tcPr>
            <w:tcW w:w="525" w:type="dxa"/>
          </w:tcPr>
          <w:p w:rsidR="000A532F" w:rsidRDefault="000A532F" w:rsidP="00B21139">
            <w:pPr>
              <w:autoSpaceDE w:val="0"/>
              <w:autoSpaceDN w:val="0"/>
              <w:adjustRightInd w:val="0"/>
            </w:pPr>
            <w:r>
              <w:t>5.</w:t>
            </w:r>
          </w:p>
        </w:tc>
        <w:tc>
          <w:tcPr>
            <w:tcW w:w="3127" w:type="dxa"/>
          </w:tcPr>
          <w:p w:rsidR="009F3C53" w:rsidRPr="009F3C53" w:rsidRDefault="000A532F" w:rsidP="00B21139">
            <w:pPr>
              <w:spacing w:before="100" w:beforeAutospacing="1" w:after="100" w:afterAutospacing="1"/>
              <w:rPr>
                <w:szCs w:val="18"/>
              </w:rPr>
            </w:pPr>
            <w:r w:rsidRPr="009F3C53">
              <w:rPr>
                <w:szCs w:val="18"/>
              </w:rPr>
              <w:t>Cita informācija</w:t>
            </w:r>
          </w:p>
        </w:tc>
        <w:tc>
          <w:tcPr>
            <w:tcW w:w="5635" w:type="dxa"/>
          </w:tcPr>
          <w:p w:rsidR="009F3C53" w:rsidRPr="009F3C53" w:rsidRDefault="000A532F" w:rsidP="0001429F">
            <w:pPr>
              <w:spacing w:before="100" w:beforeAutospacing="1" w:after="100" w:afterAutospacing="1"/>
              <w:rPr>
                <w:szCs w:val="18"/>
              </w:rPr>
            </w:pPr>
            <w:r w:rsidRPr="009F3C53">
              <w:rPr>
                <w:szCs w:val="18"/>
              </w:rPr>
              <w:t>Nav</w:t>
            </w:r>
          </w:p>
        </w:tc>
      </w:tr>
    </w:tbl>
    <w:p w:rsidR="000A532F" w:rsidRDefault="000A532F" w:rsidP="009F3C53">
      <w:pPr>
        <w:spacing w:line="270" w:lineRule="atLeast"/>
        <w:rPr>
          <w:rFonts w:ascii="Verdana" w:hAnsi="Verdana"/>
          <w:color w:val="000000"/>
          <w:sz w:val="18"/>
          <w:szCs w:val="18"/>
        </w:rPr>
      </w:pPr>
    </w:p>
    <w:p w:rsidR="000A532F" w:rsidRDefault="000A532F" w:rsidP="009F3C53">
      <w:pPr>
        <w:spacing w:line="270" w:lineRule="atLeast"/>
        <w:rPr>
          <w:rFonts w:ascii="Verdana" w:hAnsi="Verdana"/>
          <w:color w:val="000000"/>
          <w:sz w:val="18"/>
          <w:szCs w:val="18"/>
        </w:rPr>
      </w:pPr>
    </w:p>
    <w:p w:rsidR="000A532F" w:rsidRPr="009F3C53" w:rsidRDefault="000A532F" w:rsidP="009F3C53">
      <w:pPr>
        <w:spacing w:line="270" w:lineRule="atLeast"/>
        <w:rPr>
          <w:rFonts w:ascii="Verdana" w:hAnsi="Verdana"/>
          <w:color w:val="000000"/>
          <w:sz w:val="18"/>
          <w:szCs w:val="18"/>
        </w:rPr>
      </w:pPr>
      <w:r w:rsidRPr="000A532F">
        <w:rPr>
          <w:sz w:val="28"/>
        </w:rPr>
        <w:t>Anotācijas V</w:t>
      </w:r>
      <w:r>
        <w:rPr>
          <w:sz w:val="28"/>
        </w:rPr>
        <w:t>II</w:t>
      </w:r>
      <w:r w:rsidRPr="000A532F">
        <w:rPr>
          <w:sz w:val="28"/>
        </w:rPr>
        <w:t xml:space="preserve"> sadaļa – nav attiecināms.</w:t>
      </w:r>
    </w:p>
    <w:p w:rsidR="005428D7" w:rsidRPr="00B278FE" w:rsidRDefault="009F3C53" w:rsidP="0001429F">
      <w:pPr>
        <w:spacing w:before="100" w:beforeAutospacing="1" w:after="100" w:afterAutospacing="1"/>
      </w:pPr>
      <w:r w:rsidRPr="009F3C53">
        <w:rPr>
          <w:rFonts w:ascii="Verdana" w:hAnsi="Verdana"/>
          <w:color w:val="000000"/>
          <w:sz w:val="18"/>
          <w:szCs w:val="18"/>
        </w:rPr>
        <w:t> </w:t>
      </w:r>
      <w:r w:rsidR="007655B9" w:rsidRPr="00B278FE">
        <w:t> </w:t>
      </w:r>
    </w:p>
    <w:tbl>
      <w:tblPr>
        <w:tblW w:w="0" w:type="auto"/>
        <w:tblLook w:val="04A0"/>
      </w:tblPr>
      <w:tblGrid>
        <w:gridCol w:w="4643"/>
        <w:gridCol w:w="4644"/>
      </w:tblGrid>
      <w:tr w:rsidR="00BC0887" w:rsidRPr="00811822" w:rsidTr="002B2889">
        <w:tc>
          <w:tcPr>
            <w:tcW w:w="4643" w:type="dxa"/>
          </w:tcPr>
          <w:p w:rsidR="00BC0887" w:rsidRPr="00811822" w:rsidRDefault="00BC0887" w:rsidP="002B2889">
            <w:pPr>
              <w:jc w:val="both"/>
              <w:rPr>
                <w:sz w:val="28"/>
                <w:szCs w:val="28"/>
              </w:rPr>
            </w:pPr>
            <w:r w:rsidRPr="00811822">
              <w:rPr>
                <w:sz w:val="28"/>
                <w:szCs w:val="28"/>
              </w:rPr>
              <w:t>Ekonomikas ministrs</w:t>
            </w:r>
          </w:p>
        </w:tc>
        <w:tc>
          <w:tcPr>
            <w:tcW w:w="4644" w:type="dxa"/>
          </w:tcPr>
          <w:p w:rsidR="00BC0887" w:rsidRPr="00811822" w:rsidRDefault="00BC0887" w:rsidP="002B2889">
            <w:pPr>
              <w:jc w:val="right"/>
              <w:rPr>
                <w:sz w:val="28"/>
                <w:szCs w:val="28"/>
              </w:rPr>
            </w:pPr>
            <w:r w:rsidRPr="00811822">
              <w:rPr>
                <w:sz w:val="28"/>
                <w:szCs w:val="28"/>
              </w:rPr>
              <w:t>A.</w:t>
            </w:r>
            <w:r>
              <w:rPr>
                <w:sz w:val="28"/>
                <w:szCs w:val="28"/>
              </w:rPr>
              <w:t> </w:t>
            </w:r>
            <w:r w:rsidRPr="00811822">
              <w:rPr>
                <w:sz w:val="28"/>
                <w:szCs w:val="28"/>
              </w:rPr>
              <w:t>Kampars</w:t>
            </w:r>
          </w:p>
        </w:tc>
      </w:tr>
      <w:tr w:rsidR="00BC0887" w:rsidRPr="00811822" w:rsidTr="002B2889">
        <w:tc>
          <w:tcPr>
            <w:tcW w:w="4643" w:type="dxa"/>
            <w:vAlign w:val="bottom"/>
          </w:tcPr>
          <w:p w:rsidR="00BC0887" w:rsidRPr="00811822" w:rsidRDefault="00BC0887" w:rsidP="002B2889">
            <w:pPr>
              <w:rPr>
                <w:sz w:val="28"/>
                <w:szCs w:val="28"/>
              </w:rPr>
            </w:pPr>
          </w:p>
          <w:p w:rsidR="00BC0887" w:rsidRPr="00811822" w:rsidRDefault="00BC0887" w:rsidP="002B2889">
            <w:pPr>
              <w:rPr>
                <w:sz w:val="28"/>
                <w:szCs w:val="28"/>
              </w:rPr>
            </w:pPr>
          </w:p>
          <w:p w:rsidR="00BC0887" w:rsidRDefault="00BC0887" w:rsidP="002B2889">
            <w:pPr>
              <w:rPr>
                <w:sz w:val="28"/>
                <w:szCs w:val="28"/>
              </w:rPr>
            </w:pPr>
            <w:r w:rsidRPr="00811822">
              <w:rPr>
                <w:sz w:val="28"/>
                <w:szCs w:val="28"/>
              </w:rPr>
              <w:t xml:space="preserve">Vīza: </w:t>
            </w:r>
          </w:p>
          <w:p w:rsidR="00BC0887" w:rsidRDefault="00BC0887" w:rsidP="002B2889">
            <w:pPr>
              <w:rPr>
                <w:sz w:val="28"/>
                <w:szCs w:val="28"/>
              </w:rPr>
            </w:pPr>
            <w:r w:rsidRPr="00811822">
              <w:rPr>
                <w:sz w:val="28"/>
                <w:szCs w:val="28"/>
              </w:rPr>
              <w:t>Valsts sekretār</w:t>
            </w:r>
            <w:r>
              <w:rPr>
                <w:sz w:val="28"/>
                <w:szCs w:val="28"/>
              </w:rPr>
              <w:t xml:space="preserve">a vietā – </w:t>
            </w:r>
          </w:p>
          <w:p w:rsidR="00BC0887" w:rsidRPr="00811822" w:rsidRDefault="00BC0887" w:rsidP="002B2889">
            <w:pPr>
              <w:rPr>
                <w:sz w:val="28"/>
                <w:szCs w:val="28"/>
              </w:rPr>
            </w:pPr>
            <w:r>
              <w:rPr>
                <w:sz w:val="28"/>
                <w:szCs w:val="28"/>
              </w:rPr>
              <w:t>v</w:t>
            </w:r>
            <w:r w:rsidRPr="00811822">
              <w:rPr>
                <w:sz w:val="28"/>
                <w:szCs w:val="28"/>
              </w:rPr>
              <w:t>alsts sekretār</w:t>
            </w:r>
            <w:r>
              <w:rPr>
                <w:sz w:val="28"/>
                <w:szCs w:val="28"/>
              </w:rPr>
              <w:t>a vietnieks</w:t>
            </w:r>
          </w:p>
        </w:tc>
        <w:tc>
          <w:tcPr>
            <w:tcW w:w="4644" w:type="dxa"/>
            <w:vAlign w:val="bottom"/>
          </w:tcPr>
          <w:p w:rsidR="00BC0887" w:rsidRPr="00811822" w:rsidRDefault="00BC0887" w:rsidP="002B2889">
            <w:pPr>
              <w:jc w:val="right"/>
              <w:rPr>
                <w:sz w:val="28"/>
                <w:szCs w:val="28"/>
              </w:rPr>
            </w:pPr>
            <w:r>
              <w:rPr>
                <w:sz w:val="28"/>
                <w:szCs w:val="28"/>
              </w:rPr>
              <w:t>G</w:t>
            </w:r>
            <w:r w:rsidRPr="00811822">
              <w:rPr>
                <w:sz w:val="28"/>
                <w:szCs w:val="28"/>
              </w:rPr>
              <w:t>.</w:t>
            </w:r>
            <w:r>
              <w:rPr>
                <w:sz w:val="28"/>
                <w:szCs w:val="28"/>
              </w:rPr>
              <w:t> Ābele</w:t>
            </w:r>
          </w:p>
        </w:tc>
      </w:tr>
    </w:tbl>
    <w:p w:rsidR="004D1BC7" w:rsidRDefault="004D1BC7" w:rsidP="009A589D">
      <w:pPr>
        <w:pStyle w:val="naisf"/>
        <w:spacing w:before="0" w:after="0"/>
        <w:ind w:firstLine="0"/>
        <w:rPr>
          <w:sz w:val="18"/>
          <w:szCs w:val="18"/>
        </w:rPr>
      </w:pPr>
    </w:p>
    <w:p w:rsidR="00A96A5E" w:rsidRDefault="00A96A5E" w:rsidP="009A589D">
      <w:pPr>
        <w:jc w:val="both"/>
        <w:rPr>
          <w:szCs w:val="18"/>
        </w:rPr>
      </w:pPr>
    </w:p>
    <w:p w:rsidR="000228C4" w:rsidRPr="00A96A5E" w:rsidRDefault="005B4444" w:rsidP="009A589D">
      <w:pPr>
        <w:jc w:val="both"/>
        <w:rPr>
          <w:szCs w:val="18"/>
        </w:rPr>
      </w:pPr>
      <w:r>
        <w:rPr>
          <w:szCs w:val="18"/>
        </w:rPr>
        <w:t>2</w:t>
      </w:r>
      <w:r w:rsidR="00360D81">
        <w:rPr>
          <w:szCs w:val="18"/>
        </w:rPr>
        <w:t>9</w:t>
      </w:r>
      <w:r w:rsidR="00965E4E" w:rsidRPr="00A96A5E">
        <w:rPr>
          <w:szCs w:val="18"/>
        </w:rPr>
        <w:t>.</w:t>
      </w:r>
      <w:r w:rsidR="008D57D3">
        <w:rPr>
          <w:szCs w:val="18"/>
        </w:rPr>
        <w:t>12</w:t>
      </w:r>
      <w:r w:rsidR="00965E4E" w:rsidRPr="00A96A5E">
        <w:rPr>
          <w:szCs w:val="18"/>
        </w:rPr>
        <w:t>.20</w:t>
      </w:r>
      <w:r w:rsidR="008D0D6B" w:rsidRPr="00A96A5E">
        <w:rPr>
          <w:szCs w:val="18"/>
        </w:rPr>
        <w:t>10</w:t>
      </w:r>
      <w:r w:rsidR="00965E4E" w:rsidRPr="00A96A5E">
        <w:rPr>
          <w:szCs w:val="18"/>
        </w:rPr>
        <w:t xml:space="preserve">. </w:t>
      </w:r>
      <w:r w:rsidR="00BC0887">
        <w:rPr>
          <w:szCs w:val="18"/>
          <w:lang w:val="ru-RU"/>
        </w:rPr>
        <w:t>9</w:t>
      </w:r>
      <w:r w:rsidR="00965E4E" w:rsidRPr="00A96A5E">
        <w:rPr>
          <w:szCs w:val="18"/>
        </w:rPr>
        <w:t>:</w:t>
      </w:r>
      <w:r w:rsidR="00BC0887">
        <w:rPr>
          <w:szCs w:val="18"/>
          <w:lang w:val="ru-RU"/>
        </w:rPr>
        <w:t>5</w:t>
      </w:r>
      <w:r w:rsidR="0004456E">
        <w:rPr>
          <w:szCs w:val="18"/>
        </w:rPr>
        <w:t>0</w:t>
      </w:r>
    </w:p>
    <w:p w:rsidR="00D835B7" w:rsidRPr="00A96A5E" w:rsidRDefault="006C0295" w:rsidP="009A589D">
      <w:pPr>
        <w:jc w:val="both"/>
        <w:rPr>
          <w:szCs w:val="18"/>
        </w:rPr>
      </w:pPr>
      <w:fldSimple w:instr=" NUMWORDS   \* MERGEFORMAT ">
        <w:r w:rsidR="00360D81" w:rsidRPr="00360D81">
          <w:rPr>
            <w:noProof/>
            <w:szCs w:val="18"/>
          </w:rPr>
          <w:t>699</w:t>
        </w:r>
      </w:fldSimple>
    </w:p>
    <w:p w:rsidR="00A41B12" w:rsidRPr="00A96A5E" w:rsidRDefault="000228C4" w:rsidP="009A589D">
      <w:pPr>
        <w:jc w:val="both"/>
        <w:rPr>
          <w:szCs w:val="18"/>
        </w:rPr>
      </w:pPr>
      <w:r w:rsidRPr="00A96A5E">
        <w:rPr>
          <w:szCs w:val="18"/>
        </w:rPr>
        <w:t>Dz.Grasmanis</w:t>
      </w:r>
    </w:p>
    <w:p w:rsidR="00A41B12" w:rsidRPr="00A96A5E" w:rsidRDefault="00EC33D7" w:rsidP="009A589D">
      <w:pPr>
        <w:jc w:val="both"/>
        <w:rPr>
          <w:szCs w:val="18"/>
        </w:rPr>
      </w:pPr>
      <w:r w:rsidRPr="00A96A5E">
        <w:rPr>
          <w:szCs w:val="18"/>
        </w:rPr>
        <w:t>6</w:t>
      </w:r>
      <w:r w:rsidR="00A41B12" w:rsidRPr="00A96A5E">
        <w:rPr>
          <w:szCs w:val="18"/>
        </w:rPr>
        <w:t>70130</w:t>
      </w:r>
      <w:r w:rsidR="000228C4" w:rsidRPr="00A96A5E">
        <w:rPr>
          <w:szCs w:val="18"/>
        </w:rPr>
        <w:t>40</w:t>
      </w:r>
      <w:r w:rsidR="00A41B12" w:rsidRPr="00A96A5E">
        <w:rPr>
          <w:szCs w:val="18"/>
        </w:rPr>
        <w:t xml:space="preserve">, </w:t>
      </w:r>
      <w:r w:rsidR="000228C4" w:rsidRPr="00A96A5E">
        <w:rPr>
          <w:szCs w:val="18"/>
        </w:rPr>
        <w:t>dzintars</w:t>
      </w:r>
      <w:r w:rsidR="00A41B12" w:rsidRPr="00A96A5E">
        <w:rPr>
          <w:szCs w:val="18"/>
        </w:rPr>
        <w:t>.</w:t>
      </w:r>
      <w:r w:rsidR="000228C4" w:rsidRPr="00A96A5E">
        <w:rPr>
          <w:szCs w:val="18"/>
        </w:rPr>
        <w:t>grasmanis</w:t>
      </w:r>
      <w:r w:rsidR="00A41B12" w:rsidRPr="00A96A5E">
        <w:rPr>
          <w:szCs w:val="18"/>
        </w:rPr>
        <w:t>@em.gov.lv</w:t>
      </w:r>
    </w:p>
    <w:sectPr w:rsidR="00A41B12" w:rsidRPr="00A96A5E" w:rsidSect="00522746">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34B" w:rsidRDefault="0068134B">
      <w:r>
        <w:separator/>
      </w:r>
    </w:p>
  </w:endnote>
  <w:endnote w:type="continuationSeparator" w:id="0">
    <w:p w:rsidR="0068134B" w:rsidRDefault="0068134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A7" w:rsidRPr="003F5ADB" w:rsidRDefault="006C0295" w:rsidP="0096313F">
    <w:pPr>
      <w:pStyle w:val="Footer"/>
      <w:tabs>
        <w:tab w:val="clear" w:pos="4153"/>
        <w:tab w:val="clear" w:pos="8306"/>
        <w:tab w:val="center" w:pos="2835"/>
        <w:tab w:val="center" w:pos="4536"/>
        <w:tab w:val="right" w:pos="8789"/>
      </w:tabs>
      <w:spacing w:before="240"/>
    </w:pPr>
    <w:r>
      <w:fldChar w:fldCharType="begin"/>
    </w:r>
    <w:r w:rsidR="001F1F40">
      <w:instrText xml:space="preserve"> FILENAME  \* MERGEFORMAT </w:instrText>
    </w:r>
    <w:r>
      <w:fldChar w:fldCharType="separate"/>
    </w:r>
    <w:r w:rsidR="00360D81">
      <w:rPr>
        <w:noProof/>
      </w:rPr>
      <w:t>EMAnot_291210_grozEAMetode.docx</w:t>
    </w:r>
    <w:r>
      <w:fldChar w:fldCharType="end"/>
    </w:r>
    <w:r w:rsidR="004104A7" w:rsidRPr="003F5ADB">
      <w:t xml:space="preserve">; </w:t>
    </w:r>
    <w:fldSimple w:instr=" TITLE  \* MERGEFORMAT ">
      <w:r w:rsidR="00360D81">
        <w:t>Noteikumu projekta „Grozījumi Ministru kabineta 2009. gada 13. februāra noteikumos Nr.39 „Ēkas energoefektivitātes aprēķina metode””  sākotnējās ietekmes novērtējuma ziņojums (anotācija)</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A7" w:rsidRPr="003F5ADB" w:rsidRDefault="006C0295" w:rsidP="0096313F">
    <w:pPr>
      <w:pStyle w:val="Footer"/>
      <w:tabs>
        <w:tab w:val="clear" w:pos="4153"/>
        <w:tab w:val="clear" w:pos="8306"/>
        <w:tab w:val="center" w:pos="2835"/>
        <w:tab w:val="center" w:pos="4536"/>
        <w:tab w:val="right" w:pos="8789"/>
      </w:tabs>
      <w:spacing w:before="240"/>
    </w:pPr>
    <w:r>
      <w:fldChar w:fldCharType="begin"/>
    </w:r>
    <w:r w:rsidR="001F1F40">
      <w:instrText xml:space="preserve"> FILENAME  \* MERGEFORMAT </w:instrText>
    </w:r>
    <w:r>
      <w:fldChar w:fldCharType="separate"/>
    </w:r>
    <w:r w:rsidR="00360D81">
      <w:rPr>
        <w:noProof/>
      </w:rPr>
      <w:t>EMAnot_291210_grozEAMetode.docx</w:t>
    </w:r>
    <w:r>
      <w:fldChar w:fldCharType="end"/>
    </w:r>
    <w:r w:rsidR="004104A7" w:rsidRPr="003F5ADB">
      <w:t xml:space="preserve">; </w:t>
    </w:r>
    <w:fldSimple w:instr=" TITLE  \* MERGEFORMAT ">
      <w:r w:rsidR="00360D81">
        <w:t>Noteikumu projekta „Grozījumi Ministru kabineta 2009. gada 13. februāra noteikumos Nr.39 „Ēkas energoefektivitātes aprēķina metode””  sākotnējās ietekmes novērtējuma ziņojums (anotācija)</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34B" w:rsidRDefault="0068134B">
      <w:r>
        <w:separator/>
      </w:r>
    </w:p>
  </w:footnote>
  <w:footnote w:type="continuationSeparator" w:id="0">
    <w:p w:rsidR="0068134B" w:rsidRDefault="006813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4A7" w:rsidRPr="00EC33D7" w:rsidRDefault="006C0295" w:rsidP="00EC33D7">
    <w:pPr>
      <w:pStyle w:val="Header"/>
      <w:jc w:val="center"/>
    </w:pPr>
    <w:r w:rsidRPr="00EC33D7">
      <w:rPr>
        <w:rStyle w:val="PageNumber"/>
      </w:rPr>
      <w:fldChar w:fldCharType="begin"/>
    </w:r>
    <w:r w:rsidR="004104A7" w:rsidRPr="00EC33D7">
      <w:rPr>
        <w:rStyle w:val="PageNumber"/>
      </w:rPr>
      <w:instrText xml:space="preserve"> PAGE </w:instrText>
    </w:r>
    <w:r w:rsidRPr="00EC33D7">
      <w:rPr>
        <w:rStyle w:val="PageNumber"/>
      </w:rPr>
      <w:fldChar w:fldCharType="separate"/>
    </w:r>
    <w:r w:rsidR="00360D81">
      <w:rPr>
        <w:rStyle w:val="PageNumber"/>
        <w:noProof/>
      </w:rPr>
      <w:t>3</w:t>
    </w:r>
    <w:r w:rsidRPr="00EC33D7">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E5D60"/>
    <w:multiLevelType w:val="hybridMultilevel"/>
    <w:tmpl w:val="5360FEE0"/>
    <w:lvl w:ilvl="0" w:tplc="433001F6">
      <w:start w:val="1"/>
      <w:numFmt w:val="bullet"/>
      <w:lvlText w:val=""/>
      <w:lvlJc w:val="left"/>
      <w:pPr>
        <w:tabs>
          <w:tab w:val="num" w:pos="720"/>
        </w:tabs>
        <w:ind w:left="720" w:hanging="360"/>
      </w:pPr>
      <w:rPr>
        <w:rFonts w:ascii="Wingdings" w:hAnsi="Wingdings" w:hint="default"/>
        <w:b/>
        <w:sz w:val="16"/>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20424193"/>
    <w:multiLevelType w:val="hybridMultilevel"/>
    <w:tmpl w:val="7188FEE4"/>
    <w:lvl w:ilvl="0" w:tplc="364EA2F8">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nsid w:val="26C6284C"/>
    <w:multiLevelType w:val="hybridMultilevel"/>
    <w:tmpl w:val="31224C32"/>
    <w:lvl w:ilvl="0" w:tplc="78B05C4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5F0F19C5"/>
    <w:multiLevelType w:val="hybridMultilevel"/>
    <w:tmpl w:val="1C36A26A"/>
    <w:lvl w:ilvl="0" w:tplc="11F42F7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characterSpacingControl w:val="doNotCompress"/>
  <w:footnotePr>
    <w:footnote w:id="-1"/>
    <w:footnote w:id="0"/>
  </w:footnotePr>
  <w:endnotePr>
    <w:endnote w:id="-1"/>
    <w:endnote w:id="0"/>
  </w:endnotePr>
  <w:compat/>
  <w:rsids>
    <w:rsidRoot w:val="002950E7"/>
    <w:rsid w:val="000035D0"/>
    <w:rsid w:val="00006EB8"/>
    <w:rsid w:val="0001071C"/>
    <w:rsid w:val="000115CE"/>
    <w:rsid w:val="0001429F"/>
    <w:rsid w:val="00017F43"/>
    <w:rsid w:val="000225FC"/>
    <w:rsid w:val="000228C4"/>
    <w:rsid w:val="0004456E"/>
    <w:rsid w:val="00052943"/>
    <w:rsid w:val="0005309D"/>
    <w:rsid w:val="00054120"/>
    <w:rsid w:val="00060896"/>
    <w:rsid w:val="00080AFD"/>
    <w:rsid w:val="000817D4"/>
    <w:rsid w:val="000844AC"/>
    <w:rsid w:val="00084A5C"/>
    <w:rsid w:val="00093763"/>
    <w:rsid w:val="000A4D3F"/>
    <w:rsid w:val="000A532F"/>
    <w:rsid w:val="000A7E89"/>
    <w:rsid w:val="000B530A"/>
    <w:rsid w:val="000B5E24"/>
    <w:rsid w:val="000C3D87"/>
    <w:rsid w:val="000C4238"/>
    <w:rsid w:val="000C48BD"/>
    <w:rsid w:val="000D137E"/>
    <w:rsid w:val="000D1D1E"/>
    <w:rsid w:val="000D764B"/>
    <w:rsid w:val="000E5C01"/>
    <w:rsid w:val="000E71E9"/>
    <w:rsid w:val="000F4E63"/>
    <w:rsid w:val="00112476"/>
    <w:rsid w:val="00114A4F"/>
    <w:rsid w:val="0013080B"/>
    <w:rsid w:val="001412CB"/>
    <w:rsid w:val="001417F0"/>
    <w:rsid w:val="001435B7"/>
    <w:rsid w:val="00143F90"/>
    <w:rsid w:val="00153F10"/>
    <w:rsid w:val="0018069F"/>
    <w:rsid w:val="001850B1"/>
    <w:rsid w:val="001866A1"/>
    <w:rsid w:val="00186F5A"/>
    <w:rsid w:val="00187B2F"/>
    <w:rsid w:val="00194D57"/>
    <w:rsid w:val="001A4085"/>
    <w:rsid w:val="001C05A7"/>
    <w:rsid w:val="001C18E1"/>
    <w:rsid w:val="001C2619"/>
    <w:rsid w:val="001C47FF"/>
    <w:rsid w:val="001C7B05"/>
    <w:rsid w:val="001E190E"/>
    <w:rsid w:val="001E3109"/>
    <w:rsid w:val="001E6956"/>
    <w:rsid w:val="001E6CBF"/>
    <w:rsid w:val="001F0C8F"/>
    <w:rsid w:val="001F0C93"/>
    <w:rsid w:val="001F1F40"/>
    <w:rsid w:val="001F4553"/>
    <w:rsid w:val="002135B2"/>
    <w:rsid w:val="00213B90"/>
    <w:rsid w:val="002159DE"/>
    <w:rsid w:val="00221E90"/>
    <w:rsid w:val="0022475D"/>
    <w:rsid w:val="00232ED7"/>
    <w:rsid w:val="00235B98"/>
    <w:rsid w:val="00240F36"/>
    <w:rsid w:val="0026231B"/>
    <w:rsid w:val="002644A0"/>
    <w:rsid w:val="0027180D"/>
    <w:rsid w:val="00282EB8"/>
    <w:rsid w:val="0028594D"/>
    <w:rsid w:val="002875D5"/>
    <w:rsid w:val="002936EA"/>
    <w:rsid w:val="00293908"/>
    <w:rsid w:val="002950E7"/>
    <w:rsid w:val="002A0580"/>
    <w:rsid w:val="002B00AE"/>
    <w:rsid w:val="002B12C5"/>
    <w:rsid w:val="002C0618"/>
    <w:rsid w:val="002C26E9"/>
    <w:rsid w:val="002C44A2"/>
    <w:rsid w:val="002C49A6"/>
    <w:rsid w:val="002C74E4"/>
    <w:rsid w:val="00302C0F"/>
    <w:rsid w:val="00303923"/>
    <w:rsid w:val="0032119A"/>
    <w:rsid w:val="00321B14"/>
    <w:rsid w:val="00321BD5"/>
    <w:rsid w:val="00324476"/>
    <w:rsid w:val="00330BD6"/>
    <w:rsid w:val="0033317F"/>
    <w:rsid w:val="00336FD7"/>
    <w:rsid w:val="00340294"/>
    <w:rsid w:val="003448AC"/>
    <w:rsid w:val="00350C1B"/>
    <w:rsid w:val="003528ED"/>
    <w:rsid w:val="0036015B"/>
    <w:rsid w:val="00360D81"/>
    <w:rsid w:val="00365AD3"/>
    <w:rsid w:val="00371933"/>
    <w:rsid w:val="00374521"/>
    <w:rsid w:val="0037457F"/>
    <w:rsid w:val="003754D4"/>
    <w:rsid w:val="003910A8"/>
    <w:rsid w:val="00392754"/>
    <w:rsid w:val="003938DE"/>
    <w:rsid w:val="003978F9"/>
    <w:rsid w:val="003A1714"/>
    <w:rsid w:val="003A51CF"/>
    <w:rsid w:val="003A53C6"/>
    <w:rsid w:val="003B2068"/>
    <w:rsid w:val="003B7CF3"/>
    <w:rsid w:val="003C046C"/>
    <w:rsid w:val="003C3446"/>
    <w:rsid w:val="003C7466"/>
    <w:rsid w:val="003C7CF8"/>
    <w:rsid w:val="003D0ECC"/>
    <w:rsid w:val="003D3D7D"/>
    <w:rsid w:val="003D673E"/>
    <w:rsid w:val="003E0CA7"/>
    <w:rsid w:val="003E6DBE"/>
    <w:rsid w:val="003F5ADB"/>
    <w:rsid w:val="00401F61"/>
    <w:rsid w:val="0040678B"/>
    <w:rsid w:val="00407CA1"/>
    <w:rsid w:val="004104A7"/>
    <w:rsid w:val="00410D6A"/>
    <w:rsid w:val="00411BF3"/>
    <w:rsid w:val="004207DA"/>
    <w:rsid w:val="00432E58"/>
    <w:rsid w:val="00436411"/>
    <w:rsid w:val="004435DE"/>
    <w:rsid w:val="0046109A"/>
    <w:rsid w:val="0046219D"/>
    <w:rsid w:val="00471B14"/>
    <w:rsid w:val="00477104"/>
    <w:rsid w:val="0048076D"/>
    <w:rsid w:val="00483EF5"/>
    <w:rsid w:val="00485BCC"/>
    <w:rsid w:val="00495DD7"/>
    <w:rsid w:val="0049666B"/>
    <w:rsid w:val="004A0F20"/>
    <w:rsid w:val="004A3B1A"/>
    <w:rsid w:val="004B0D32"/>
    <w:rsid w:val="004B7DCB"/>
    <w:rsid w:val="004C31E7"/>
    <w:rsid w:val="004D0798"/>
    <w:rsid w:val="004D1BC7"/>
    <w:rsid w:val="004D2DB5"/>
    <w:rsid w:val="004D6476"/>
    <w:rsid w:val="00500DA3"/>
    <w:rsid w:val="005046F6"/>
    <w:rsid w:val="005062F3"/>
    <w:rsid w:val="00507906"/>
    <w:rsid w:val="005079F9"/>
    <w:rsid w:val="005114EE"/>
    <w:rsid w:val="005155F2"/>
    <w:rsid w:val="00522746"/>
    <w:rsid w:val="00523AE1"/>
    <w:rsid w:val="005363B1"/>
    <w:rsid w:val="005428D7"/>
    <w:rsid w:val="00544941"/>
    <w:rsid w:val="005473D6"/>
    <w:rsid w:val="00552C19"/>
    <w:rsid w:val="00555443"/>
    <w:rsid w:val="00557612"/>
    <w:rsid w:val="005635AE"/>
    <w:rsid w:val="005839FB"/>
    <w:rsid w:val="00593D80"/>
    <w:rsid w:val="005A01E3"/>
    <w:rsid w:val="005A6942"/>
    <w:rsid w:val="005A746D"/>
    <w:rsid w:val="005B4444"/>
    <w:rsid w:val="005C6603"/>
    <w:rsid w:val="005D233E"/>
    <w:rsid w:val="005D5215"/>
    <w:rsid w:val="005F67C2"/>
    <w:rsid w:val="00603182"/>
    <w:rsid w:val="00604DC0"/>
    <w:rsid w:val="00606E77"/>
    <w:rsid w:val="006212CD"/>
    <w:rsid w:val="00635F6C"/>
    <w:rsid w:val="0064225E"/>
    <w:rsid w:val="006439F5"/>
    <w:rsid w:val="0064409B"/>
    <w:rsid w:val="00653414"/>
    <w:rsid w:val="006717E0"/>
    <w:rsid w:val="00674CCC"/>
    <w:rsid w:val="0068134B"/>
    <w:rsid w:val="006A123F"/>
    <w:rsid w:val="006A2CB9"/>
    <w:rsid w:val="006A6653"/>
    <w:rsid w:val="006B09A4"/>
    <w:rsid w:val="006B18E6"/>
    <w:rsid w:val="006B50B2"/>
    <w:rsid w:val="006B5837"/>
    <w:rsid w:val="006B5E4D"/>
    <w:rsid w:val="006C0295"/>
    <w:rsid w:val="006D2CA5"/>
    <w:rsid w:val="006E47FC"/>
    <w:rsid w:val="006E73BF"/>
    <w:rsid w:val="006F259F"/>
    <w:rsid w:val="006F3F5B"/>
    <w:rsid w:val="006F6E79"/>
    <w:rsid w:val="0070041E"/>
    <w:rsid w:val="007005C8"/>
    <w:rsid w:val="00707A9E"/>
    <w:rsid w:val="00714E5C"/>
    <w:rsid w:val="00722894"/>
    <w:rsid w:val="00722FBE"/>
    <w:rsid w:val="007307FB"/>
    <w:rsid w:val="00751A09"/>
    <w:rsid w:val="00760D82"/>
    <w:rsid w:val="0076530E"/>
    <w:rsid w:val="007655B9"/>
    <w:rsid w:val="00772F28"/>
    <w:rsid w:val="007731DA"/>
    <w:rsid w:val="00776C16"/>
    <w:rsid w:val="007806B8"/>
    <w:rsid w:val="007807EE"/>
    <w:rsid w:val="00781B03"/>
    <w:rsid w:val="007912E9"/>
    <w:rsid w:val="007925B6"/>
    <w:rsid w:val="007936FC"/>
    <w:rsid w:val="007B37D8"/>
    <w:rsid w:val="007B5394"/>
    <w:rsid w:val="007B7329"/>
    <w:rsid w:val="007C048D"/>
    <w:rsid w:val="007C319E"/>
    <w:rsid w:val="007C79BA"/>
    <w:rsid w:val="007D0655"/>
    <w:rsid w:val="007D3D97"/>
    <w:rsid w:val="007D5E94"/>
    <w:rsid w:val="007E5745"/>
    <w:rsid w:val="007F0CF9"/>
    <w:rsid w:val="00800E9E"/>
    <w:rsid w:val="00807421"/>
    <w:rsid w:val="00807ECC"/>
    <w:rsid w:val="00817768"/>
    <w:rsid w:val="00817846"/>
    <w:rsid w:val="00821A4C"/>
    <w:rsid w:val="00821B36"/>
    <w:rsid w:val="0082272A"/>
    <w:rsid w:val="00822AC9"/>
    <w:rsid w:val="00825529"/>
    <w:rsid w:val="0082700C"/>
    <w:rsid w:val="008274D2"/>
    <w:rsid w:val="0083075D"/>
    <w:rsid w:val="00835FF4"/>
    <w:rsid w:val="008461B8"/>
    <w:rsid w:val="00846247"/>
    <w:rsid w:val="008479F6"/>
    <w:rsid w:val="00850577"/>
    <w:rsid w:val="008518AA"/>
    <w:rsid w:val="00863E2B"/>
    <w:rsid w:val="00866120"/>
    <w:rsid w:val="00870367"/>
    <w:rsid w:val="00873629"/>
    <w:rsid w:val="008820B2"/>
    <w:rsid w:val="00882F4A"/>
    <w:rsid w:val="00886493"/>
    <w:rsid w:val="008B0074"/>
    <w:rsid w:val="008B375E"/>
    <w:rsid w:val="008B4EA7"/>
    <w:rsid w:val="008B7858"/>
    <w:rsid w:val="008C31A0"/>
    <w:rsid w:val="008C3F0C"/>
    <w:rsid w:val="008C43B1"/>
    <w:rsid w:val="008C67F0"/>
    <w:rsid w:val="008C6A9C"/>
    <w:rsid w:val="008C6C8A"/>
    <w:rsid w:val="008D0D6B"/>
    <w:rsid w:val="008D57D3"/>
    <w:rsid w:val="008E2AF6"/>
    <w:rsid w:val="008E2D2F"/>
    <w:rsid w:val="008F1DAA"/>
    <w:rsid w:val="008F7D16"/>
    <w:rsid w:val="00907191"/>
    <w:rsid w:val="009076C4"/>
    <w:rsid w:val="00910182"/>
    <w:rsid w:val="00912120"/>
    <w:rsid w:val="009157BA"/>
    <w:rsid w:val="00916188"/>
    <w:rsid w:val="009366D3"/>
    <w:rsid w:val="009454EF"/>
    <w:rsid w:val="00951BA6"/>
    <w:rsid w:val="009531B5"/>
    <w:rsid w:val="0096313F"/>
    <w:rsid w:val="00964BFB"/>
    <w:rsid w:val="00965E4E"/>
    <w:rsid w:val="00966A82"/>
    <w:rsid w:val="00966F4D"/>
    <w:rsid w:val="00970201"/>
    <w:rsid w:val="0097224A"/>
    <w:rsid w:val="00985083"/>
    <w:rsid w:val="009877BB"/>
    <w:rsid w:val="00991DE9"/>
    <w:rsid w:val="00994BA3"/>
    <w:rsid w:val="009970EE"/>
    <w:rsid w:val="009974EC"/>
    <w:rsid w:val="009A393C"/>
    <w:rsid w:val="009A4BAB"/>
    <w:rsid w:val="009A589D"/>
    <w:rsid w:val="009A64C0"/>
    <w:rsid w:val="009C32A3"/>
    <w:rsid w:val="009C4C64"/>
    <w:rsid w:val="009C7B2D"/>
    <w:rsid w:val="009D40D7"/>
    <w:rsid w:val="009E00FD"/>
    <w:rsid w:val="009E4A75"/>
    <w:rsid w:val="009E6073"/>
    <w:rsid w:val="009F0858"/>
    <w:rsid w:val="009F3C53"/>
    <w:rsid w:val="009F7169"/>
    <w:rsid w:val="00A02731"/>
    <w:rsid w:val="00A02BF9"/>
    <w:rsid w:val="00A04B39"/>
    <w:rsid w:val="00A052F4"/>
    <w:rsid w:val="00A079BC"/>
    <w:rsid w:val="00A12779"/>
    <w:rsid w:val="00A16F34"/>
    <w:rsid w:val="00A2061B"/>
    <w:rsid w:val="00A207CC"/>
    <w:rsid w:val="00A24F1F"/>
    <w:rsid w:val="00A30F4F"/>
    <w:rsid w:val="00A31E41"/>
    <w:rsid w:val="00A34C77"/>
    <w:rsid w:val="00A35DF0"/>
    <w:rsid w:val="00A41B12"/>
    <w:rsid w:val="00A47BA8"/>
    <w:rsid w:val="00A51801"/>
    <w:rsid w:val="00A55BEB"/>
    <w:rsid w:val="00A57FB1"/>
    <w:rsid w:val="00A6366B"/>
    <w:rsid w:val="00A74AA1"/>
    <w:rsid w:val="00A82A34"/>
    <w:rsid w:val="00A82BE5"/>
    <w:rsid w:val="00A86F98"/>
    <w:rsid w:val="00A8756E"/>
    <w:rsid w:val="00A92CA3"/>
    <w:rsid w:val="00A935CF"/>
    <w:rsid w:val="00A96A5E"/>
    <w:rsid w:val="00AB1922"/>
    <w:rsid w:val="00AD222C"/>
    <w:rsid w:val="00AD3CD0"/>
    <w:rsid w:val="00AD7486"/>
    <w:rsid w:val="00AF75F4"/>
    <w:rsid w:val="00B02AAB"/>
    <w:rsid w:val="00B06EE9"/>
    <w:rsid w:val="00B115AB"/>
    <w:rsid w:val="00B21139"/>
    <w:rsid w:val="00B23254"/>
    <w:rsid w:val="00B26EF2"/>
    <w:rsid w:val="00B278FE"/>
    <w:rsid w:val="00B32D9D"/>
    <w:rsid w:val="00B351A9"/>
    <w:rsid w:val="00B36277"/>
    <w:rsid w:val="00B408AB"/>
    <w:rsid w:val="00B51C89"/>
    <w:rsid w:val="00B55D52"/>
    <w:rsid w:val="00B5657E"/>
    <w:rsid w:val="00B617EE"/>
    <w:rsid w:val="00B63C97"/>
    <w:rsid w:val="00B769D8"/>
    <w:rsid w:val="00B81682"/>
    <w:rsid w:val="00B83E45"/>
    <w:rsid w:val="00B84684"/>
    <w:rsid w:val="00BA4BC0"/>
    <w:rsid w:val="00BA6CDB"/>
    <w:rsid w:val="00BB4404"/>
    <w:rsid w:val="00BC0887"/>
    <w:rsid w:val="00BC1C14"/>
    <w:rsid w:val="00BC3939"/>
    <w:rsid w:val="00BC5682"/>
    <w:rsid w:val="00BC6CDE"/>
    <w:rsid w:val="00BD6637"/>
    <w:rsid w:val="00BE73B9"/>
    <w:rsid w:val="00BF7B4A"/>
    <w:rsid w:val="00C178E5"/>
    <w:rsid w:val="00C22661"/>
    <w:rsid w:val="00C32BEE"/>
    <w:rsid w:val="00C350EA"/>
    <w:rsid w:val="00C415B3"/>
    <w:rsid w:val="00C41A46"/>
    <w:rsid w:val="00C45306"/>
    <w:rsid w:val="00C45CA8"/>
    <w:rsid w:val="00C47704"/>
    <w:rsid w:val="00C53080"/>
    <w:rsid w:val="00C53961"/>
    <w:rsid w:val="00C60AC2"/>
    <w:rsid w:val="00C63709"/>
    <w:rsid w:val="00C66D36"/>
    <w:rsid w:val="00C714B6"/>
    <w:rsid w:val="00C72965"/>
    <w:rsid w:val="00C73C48"/>
    <w:rsid w:val="00C74009"/>
    <w:rsid w:val="00C77A47"/>
    <w:rsid w:val="00C82BE0"/>
    <w:rsid w:val="00C87C7E"/>
    <w:rsid w:val="00C91400"/>
    <w:rsid w:val="00C942C1"/>
    <w:rsid w:val="00CA0675"/>
    <w:rsid w:val="00CA2737"/>
    <w:rsid w:val="00CA2B3A"/>
    <w:rsid w:val="00CA7973"/>
    <w:rsid w:val="00CB206D"/>
    <w:rsid w:val="00CB4A2C"/>
    <w:rsid w:val="00CC717F"/>
    <w:rsid w:val="00CC78BF"/>
    <w:rsid w:val="00CF0BD1"/>
    <w:rsid w:val="00D031CC"/>
    <w:rsid w:val="00D101F2"/>
    <w:rsid w:val="00D32593"/>
    <w:rsid w:val="00D3579C"/>
    <w:rsid w:val="00D4042B"/>
    <w:rsid w:val="00D57128"/>
    <w:rsid w:val="00D611C2"/>
    <w:rsid w:val="00D65115"/>
    <w:rsid w:val="00D66851"/>
    <w:rsid w:val="00D70531"/>
    <w:rsid w:val="00D71129"/>
    <w:rsid w:val="00D75B1C"/>
    <w:rsid w:val="00D772EA"/>
    <w:rsid w:val="00D8080C"/>
    <w:rsid w:val="00D835B7"/>
    <w:rsid w:val="00D84228"/>
    <w:rsid w:val="00D871F1"/>
    <w:rsid w:val="00D90814"/>
    <w:rsid w:val="00D90E05"/>
    <w:rsid w:val="00D92317"/>
    <w:rsid w:val="00D95A21"/>
    <w:rsid w:val="00DB1388"/>
    <w:rsid w:val="00DB2B9F"/>
    <w:rsid w:val="00DB4EA6"/>
    <w:rsid w:val="00DC4C31"/>
    <w:rsid w:val="00DC6562"/>
    <w:rsid w:val="00DD186B"/>
    <w:rsid w:val="00DD694A"/>
    <w:rsid w:val="00DE7093"/>
    <w:rsid w:val="00DF47B6"/>
    <w:rsid w:val="00E04882"/>
    <w:rsid w:val="00E23172"/>
    <w:rsid w:val="00E302A3"/>
    <w:rsid w:val="00E30A3B"/>
    <w:rsid w:val="00E30D8D"/>
    <w:rsid w:val="00E43E13"/>
    <w:rsid w:val="00E4417F"/>
    <w:rsid w:val="00E553E2"/>
    <w:rsid w:val="00E56B05"/>
    <w:rsid w:val="00E62C88"/>
    <w:rsid w:val="00E71F50"/>
    <w:rsid w:val="00E7588D"/>
    <w:rsid w:val="00E76747"/>
    <w:rsid w:val="00E81870"/>
    <w:rsid w:val="00E83CE3"/>
    <w:rsid w:val="00E84938"/>
    <w:rsid w:val="00E84D30"/>
    <w:rsid w:val="00E923D8"/>
    <w:rsid w:val="00E93F6D"/>
    <w:rsid w:val="00EB5304"/>
    <w:rsid w:val="00EB647A"/>
    <w:rsid w:val="00EB7D9D"/>
    <w:rsid w:val="00EC33D7"/>
    <w:rsid w:val="00ED253E"/>
    <w:rsid w:val="00EF0862"/>
    <w:rsid w:val="00F017EC"/>
    <w:rsid w:val="00F135F8"/>
    <w:rsid w:val="00F279DD"/>
    <w:rsid w:val="00F34F3A"/>
    <w:rsid w:val="00F64AEE"/>
    <w:rsid w:val="00F702AD"/>
    <w:rsid w:val="00F7214C"/>
    <w:rsid w:val="00F73CA0"/>
    <w:rsid w:val="00F821E6"/>
    <w:rsid w:val="00F83B14"/>
    <w:rsid w:val="00F86A48"/>
    <w:rsid w:val="00F91D07"/>
    <w:rsid w:val="00F94439"/>
    <w:rsid w:val="00F94F46"/>
    <w:rsid w:val="00FB0B5C"/>
    <w:rsid w:val="00FB431C"/>
    <w:rsid w:val="00FB5840"/>
    <w:rsid w:val="00FC0A8E"/>
    <w:rsid w:val="00FC0AFA"/>
    <w:rsid w:val="00FC1FB5"/>
    <w:rsid w:val="00FD22AB"/>
    <w:rsid w:val="00FD5033"/>
    <w:rsid w:val="00FD52AC"/>
    <w:rsid w:val="00FD730C"/>
    <w:rsid w:val="00FE32CE"/>
    <w:rsid w:val="00FE35EE"/>
    <w:rsid w:val="00FE47E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3F6D"/>
    <w:rPr>
      <w:sz w:val="24"/>
      <w:szCs w:val="24"/>
    </w:rPr>
  </w:style>
  <w:style w:type="paragraph" w:styleId="Heading1">
    <w:name w:val="heading 1"/>
    <w:basedOn w:val="Normal"/>
    <w:next w:val="Normal"/>
    <w:qFormat/>
    <w:rsid w:val="00F135F8"/>
    <w:pPr>
      <w:keepNext/>
      <w:tabs>
        <w:tab w:val="right" w:pos="9072"/>
      </w:tabs>
      <w:spacing w:before="120"/>
      <w:jc w:val="center"/>
      <w:outlineLvl w:val="0"/>
    </w:pPr>
    <w:rPr>
      <w:szCs w:val="20"/>
      <w:lang w:eastAsia="en-US"/>
    </w:rPr>
  </w:style>
  <w:style w:type="paragraph" w:styleId="Heading2">
    <w:name w:val="heading 2"/>
    <w:basedOn w:val="Normal"/>
    <w:next w:val="Normal"/>
    <w:qFormat/>
    <w:rsid w:val="00EC33D7"/>
    <w:pPr>
      <w:keepNext/>
      <w:spacing w:before="240" w:after="60"/>
      <w:outlineLvl w:val="1"/>
    </w:pPr>
    <w:rPr>
      <w:rFonts w:ascii="Arial" w:hAnsi="Arial" w:cs="Arial"/>
      <w:b/>
      <w:bCs/>
      <w:i/>
      <w:iCs/>
      <w:sz w:val="28"/>
      <w:szCs w:val="28"/>
      <w:lang w:eastAsia="en-US"/>
    </w:rPr>
  </w:style>
  <w:style w:type="paragraph" w:styleId="Heading4">
    <w:name w:val="heading 4"/>
    <w:basedOn w:val="Normal"/>
    <w:next w:val="Normal"/>
    <w:link w:val="Heading4Char"/>
    <w:semiHidden/>
    <w:unhideWhenUsed/>
    <w:qFormat/>
    <w:rsid w:val="00991DE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950E7"/>
    <w:pPr>
      <w:spacing w:before="100" w:beforeAutospacing="1" w:after="100" w:afterAutospacing="1"/>
    </w:pPr>
  </w:style>
  <w:style w:type="paragraph" w:customStyle="1" w:styleId="naisf">
    <w:name w:val="naisf"/>
    <w:basedOn w:val="Normal"/>
    <w:rsid w:val="002950E7"/>
    <w:pPr>
      <w:spacing w:before="75" w:after="75"/>
      <w:ind w:firstLine="375"/>
      <w:jc w:val="both"/>
    </w:pPr>
  </w:style>
  <w:style w:type="paragraph" w:customStyle="1" w:styleId="naislab">
    <w:name w:val="naislab"/>
    <w:basedOn w:val="Normal"/>
    <w:rsid w:val="002950E7"/>
    <w:pPr>
      <w:spacing w:before="75" w:after="75"/>
      <w:jc w:val="right"/>
    </w:pPr>
  </w:style>
  <w:style w:type="paragraph" w:customStyle="1" w:styleId="naisc">
    <w:name w:val="naisc"/>
    <w:basedOn w:val="Normal"/>
    <w:rsid w:val="002950E7"/>
    <w:pPr>
      <w:spacing w:before="450" w:after="300"/>
      <w:jc w:val="center"/>
    </w:pPr>
    <w:rPr>
      <w:sz w:val="26"/>
      <w:szCs w:val="26"/>
    </w:rPr>
  </w:style>
  <w:style w:type="paragraph" w:styleId="Header">
    <w:name w:val="header"/>
    <w:basedOn w:val="Normal"/>
    <w:rsid w:val="00407CA1"/>
    <w:pPr>
      <w:tabs>
        <w:tab w:val="center" w:pos="4153"/>
        <w:tab w:val="right" w:pos="8306"/>
      </w:tabs>
    </w:pPr>
  </w:style>
  <w:style w:type="paragraph" w:styleId="Footer">
    <w:name w:val="footer"/>
    <w:basedOn w:val="Normal"/>
    <w:rsid w:val="00407CA1"/>
    <w:pPr>
      <w:tabs>
        <w:tab w:val="center" w:pos="4153"/>
        <w:tab w:val="right" w:pos="8306"/>
      </w:tabs>
    </w:pPr>
  </w:style>
  <w:style w:type="paragraph" w:styleId="BodyText">
    <w:name w:val="Body Text"/>
    <w:basedOn w:val="Normal"/>
    <w:link w:val="BodyTextChar"/>
    <w:rsid w:val="00407CA1"/>
    <w:rPr>
      <w:sz w:val="28"/>
      <w:szCs w:val="20"/>
      <w:lang w:eastAsia="en-US"/>
    </w:rPr>
  </w:style>
  <w:style w:type="paragraph" w:styleId="BalloonText">
    <w:name w:val="Balloon Text"/>
    <w:basedOn w:val="Normal"/>
    <w:semiHidden/>
    <w:rsid w:val="005A746D"/>
    <w:rPr>
      <w:rFonts w:ascii="Tahoma" w:hAnsi="Tahoma" w:cs="Tahoma"/>
      <w:sz w:val="16"/>
      <w:szCs w:val="16"/>
    </w:rPr>
  </w:style>
  <w:style w:type="character" w:styleId="Hyperlink">
    <w:name w:val="Hyperlink"/>
    <w:basedOn w:val="DefaultParagraphFont"/>
    <w:rsid w:val="008479F6"/>
    <w:rPr>
      <w:color w:val="AA1317"/>
      <w:u w:val="single"/>
    </w:rPr>
  </w:style>
  <w:style w:type="character" w:styleId="FollowedHyperlink">
    <w:name w:val="FollowedHyperlink"/>
    <w:basedOn w:val="DefaultParagraphFont"/>
    <w:rsid w:val="00371933"/>
    <w:rPr>
      <w:color w:val="800080"/>
      <w:u w:val="single"/>
    </w:rPr>
  </w:style>
  <w:style w:type="table" w:styleId="TableGrid">
    <w:name w:val="Table Grid"/>
    <w:basedOn w:val="TableNormal"/>
    <w:rsid w:val="00DC4C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EC33D7"/>
  </w:style>
  <w:style w:type="paragraph" w:customStyle="1" w:styleId="naiskr">
    <w:name w:val="naiskr"/>
    <w:basedOn w:val="Normal"/>
    <w:rsid w:val="00B408AB"/>
    <w:pPr>
      <w:spacing w:before="100" w:beforeAutospacing="1" w:after="100" w:afterAutospacing="1"/>
    </w:pPr>
    <w:rPr>
      <w:lang w:val="en-GB" w:eastAsia="en-US"/>
    </w:rPr>
  </w:style>
  <w:style w:type="character" w:styleId="Strong">
    <w:name w:val="Strong"/>
    <w:basedOn w:val="DefaultParagraphFont"/>
    <w:qFormat/>
    <w:rsid w:val="00D101F2"/>
    <w:rPr>
      <w:b/>
      <w:bCs/>
    </w:rPr>
  </w:style>
  <w:style w:type="paragraph" w:customStyle="1" w:styleId="naisnod">
    <w:name w:val="naisnod"/>
    <w:basedOn w:val="Normal"/>
    <w:rsid w:val="007655B9"/>
    <w:pPr>
      <w:spacing w:before="131" w:after="131"/>
      <w:jc w:val="center"/>
    </w:pPr>
    <w:rPr>
      <w:b/>
      <w:bCs/>
    </w:rPr>
  </w:style>
  <w:style w:type="paragraph" w:customStyle="1" w:styleId="nais2">
    <w:name w:val="nais2"/>
    <w:basedOn w:val="Normal"/>
    <w:rsid w:val="005F67C2"/>
    <w:pPr>
      <w:spacing w:before="65" w:after="65"/>
      <w:ind w:left="785" w:firstLine="327"/>
      <w:jc w:val="both"/>
    </w:pPr>
  </w:style>
  <w:style w:type="character" w:customStyle="1" w:styleId="apple-style-span">
    <w:name w:val="apple-style-span"/>
    <w:basedOn w:val="DefaultParagraphFont"/>
    <w:rsid w:val="00991DE9"/>
  </w:style>
  <w:style w:type="character" w:customStyle="1" w:styleId="Heading4Char">
    <w:name w:val="Heading 4 Char"/>
    <w:basedOn w:val="DefaultParagraphFont"/>
    <w:link w:val="Heading4"/>
    <w:semiHidden/>
    <w:rsid w:val="00991DE9"/>
    <w:rPr>
      <w:rFonts w:ascii="Calibri" w:eastAsia="Times New Roman" w:hAnsi="Calibri" w:cs="Times New Roman"/>
      <w:b/>
      <w:bCs/>
      <w:sz w:val="28"/>
      <w:szCs w:val="28"/>
    </w:rPr>
  </w:style>
  <w:style w:type="character" w:customStyle="1" w:styleId="BodyTextChar">
    <w:name w:val="Body Text Char"/>
    <w:basedOn w:val="DefaultParagraphFont"/>
    <w:link w:val="BodyText"/>
    <w:rsid w:val="00F64AEE"/>
    <w:rPr>
      <w:sz w:val="28"/>
      <w:lang w:eastAsia="en-US"/>
    </w:rPr>
  </w:style>
</w:styles>
</file>

<file path=word/webSettings.xml><?xml version="1.0" encoding="utf-8"?>
<w:webSettings xmlns:r="http://schemas.openxmlformats.org/officeDocument/2006/relationships" xmlns:w="http://schemas.openxmlformats.org/wordprocessingml/2006/main">
  <w:divs>
    <w:div w:id="147284333">
      <w:bodyDiv w:val="1"/>
      <w:marLeft w:val="0"/>
      <w:marRight w:val="0"/>
      <w:marTop w:val="0"/>
      <w:marBottom w:val="0"/>
      <w:divBdr>
        <w:top w:val="none" w:sz="0" w:space="0" w:color="auto"/>
        <w:left w:val="none" w:sz="0" w:space="0" w:color="auto"/>
        <w:bottom w:val="none" w:sz="0" w:space="0" w:color="auto"/>
        <w:right w:val="none" w:sz="0" w:space="0" w:color="auto"/>
      </w:divBdr>
    </w:div>
    <w:div w:id="575936674">
      <w:bodyDiv w:val="1"/>
      <w:marLeft w:val="0"/>
      <w:marRight w:val="0"/>
      <w:marTop w:val="0"/>
      <w:marBottom w:val="0"/>
      <w:divBdr>
        <w:top w:val="none" w:sz="0" w:space="0" w:color="auto"/>
        <w:left w:val="none" w:sz="0" w:space="0" w:color="auto"/>
        <w:bottom w:val="none" w:sz="0" w:space="0" w:color="auto"/>
        <w:right w:val="none" w:sz="0" w:space="0" w:color="auto"/>
      </w:divBdr>
    </w:div>
    <w:div w:id="750660049">
      <w:bodyDiv w:val="1"/>
      <w:marLeft w:val="0"/>
      <w:marRight w:val="0"/>
      <w:marTop w:val="0"/>
      <w:marBottom w:val="0"/>
      <w:divBdr>
        <w:top w:val="none" w:sz="0" w:space="0" w:color="auto"/>
        <w:left w:val="none" w:sz="0" w:space="0" w:color="auto"/>
        <w:bottom w:val="none" w:sz="0" w:space="0" w:color="auto"/>
        <w:right w:val="none" w:sz="0" w:space="0" w:color="auto"/>
      </w:divBdr>
    </w:div>
    <w:div w:id="964508553">
      <w:bodyDiv w:val="1"/>
      <w:marLeft w:val="0"/>
      <w:marRight w:val="0"/>
      <w:marTop w:val="0"/>
      <w:marBottom w:val="0"/>
      <w:divBdr>
        <w:top w:val="none" w:sz="0" w:space="0" w:color="auto"/>
        <w:left w:val="none" w:sz="0" w:space="0" w:color="auto"/>
        <w:bottom w:val="none" w:sz="0" w:space="0" w:color="auto"/>
        <w:right w:val="none" w:sz="0" w:space="0" w:color="auto"/>
      </w:divBdr>
    </w:div>
    <w:div w:id="1179346070">
      <w:bodyDiv w:val="1"/>
      <w:marLeft w:val="0"/>
      <w:marRight w:val="0"/>
      <w:marTop w:val="0"/>
      <w:marBottom w:val="0"/>
      <w:divBdr>
        <w:top w:val="none" w:sz="0" w:space="0" w:color="auto"/>
        <w:left w:val="none" w:sz="0" w:space="0" w:color="auto"/>
        <w:bottom w:val="none" w:sz="0" w:space="0" w:color="auto"/>
        <w:right w:val="none" w:sz="0" w:space="0" w:color="auto"/>
      </w:divBdr>
    </w:div>
    <w:div w:id="1226800909">
      <w:bodyDiv w:val="1"/>
      <w:marLeft w:val="0"/>
      <w:marRight w:val="0"/>
      <w:marTop w:val="0"/>
      <w:marBottom w:val="0"/>
      <w:divBdr>
        <w:top w:val="none" w:sz="0" w:space="0" w:color="auto"/>
        <w:left w:val="none" w:sz="0" w:space="0" w:color="auto"/>
        <w:bottom w:val="none" w:sz="0" w:space="0" w:color="auto"/>
        <w:right w:val="none" w:sz="0" w:space="0" w:color="auto"/>
      </w:divBdr>
    </w:div>
    <w:div w:id="14418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710</Words>
  <Characters>5282</Characters>
  <Application>Microsoft Office Word</Application>
  <DocSecurity>0</DocSecurity>
  <Lines>195</Lines>
  <Paragraphs>93</Paragraphs>
  <ScaleCrop>false</ScaleCrop>
  <HeadingPairs>
    <vt:vector size="2" baseType="variant">
      <vt:variant>
        <vt:lpstr>Title</vt:lpstr>
      </vt:variant>
      <vt:variant>
        <vt:i4>1</vt:i4>
      </vt:variant>
    </vt:vector>
  </HeadingPairs>
  <TitlesOfParts>
    <vt:vector size="1" baseType="lpstr">
      <vt:lpstr>Noteikumu projekta „Grozījumi Ministru kabineta 2009. gada 13. februāra noteikumos Nr.39 „Ēkas energoefektivitātes aprēķina metode””  sākotnējās ietekmes novērtējuma ziņojums (anotācija)</vt:lpstr>
    </vt:vector>
  </TitlesOfParts>
  <Company>LR Ekonomikas ministrija</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projekta „Grozījumi Ministru kabineta 2009. gada 13. februāra noteikumos Nr.39 „Ēkas energoefektivitātes aprēķina metode””  sākotnējās ietekmes novērtējuma ziņojums (anotācija)</dc:title>
  <dc:subject>anotācija</dc:subject>
  <dc:creator>Dzintars Grasmanis</dc:creator>
  <cp:keywords/>
  <dc:description>dzintars.grasmanis@em.gov.lv
67013040</dc:description>
  <cp:lastModifiedBy>Dzintars Grasmanis</cp:lastModifiedBy>
  <cp:revision>15</cp:revision>
  <cp:lastPrinted>2010-12-29T12:11:00Z</cp:lastPrinted>
  <dcterms:created xsi:type="dcterms:W3CDTF">2010-12-10T13:36:00Z</dcterms:created>
  <dcterms:modified xsi:type="dcterms:W3CDTF">2010-12-29T12:13:00Z</dcterms:modified>
  <cp:contentStatus>draft</cp:contentStatus>
</cp:coreProperties>
</file>