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F8" w:rsidRPr="002C534D" w:rsidRDefault="002C534D" w:rsidP="002851B4">
      <w:pPr>
        <w:spacing w:after="600"/>
        <w:jc w:val="center"/>
        <w:rPr>
          <w:b/>
          <w:sz w:val="28"/>
          <w:szCs w:val="28"/>
        </w:rPr>
      </w:pPr>
      <w:r w:rsidRPr="002C534D">
        <w:rPr>
          <w:b/>
          <w:sz w:val="28"/>
          <w:szCs w:val="28"/>
        </w:rPr>
        <w:t xml:space="preserve">Informatīvais ziņojums </w:t>
      </w:r>
      <w:r w:rsidR="00A4393D">
        <w:rPr>
          <w:b/>
          <w:sz w:val="28"/>
          <w:szCs w:val="28"/>
        </w:rPr>
        <w:t>„P</w:t>
      </w:r>
      <w:r w:rsidRPr="002C534D">
        <w:rPr>
          <w:b/>
          <w:sz w:val="28"/>
          <w:szCs w:val="28"/>
        </w:rPr>
        <w:t>ar</w:t>
      </w:r>
      <w:r w:rsidR="0064234A">
        <w:rPr>
          <w:b/>
          <w:sz w:val="28"/>
          <w:szCs w:val="28"/>
        </w:rPr>
        <w:t xml:space="preserve"> </w:t>
      </w:r>
      <w:r w:rsidR="00D47E9F">
        <w:rPr>
          <w:b/>
          <w:sz w:val="28"/>
          <w:szCs w:val="28"/>
        </w:rPr>
        <w:t>privatizācijas sertifikātu turpmākās administrēšanas jautājumiem</w:t>
      </w:r>
      <w:r w:rsidR="00A4393D">
        <w:rPr>
          <w:b/>
          <w:sz w:val="28"/>
          <w:szCs w:val="28"/>
        </w:rPr>
        <w:t>”</w:t>
      </w:r>
    </w:p>
    <w:p w:rsidR="0098312E" w:rsidRPr="0098312E" w:rsidRDefault="0098312E" w:rsidP="000A2371">
      <w:pPr>
        <w:pStyle w:val="EnvelopeReturn"/>
        <w:spacing w:after="120"/>
        <w:ind w:firstLine="720"/>
        <w:jc w:val="both"/>
        <w:rPr>
          <w:rFonts w:ascii="Times New Roman" w:hAnsi="Times New Roman" w:cs="Times New Roman"/>
          <w:b/>
          <w:sz w:val="28"/>
          <w:szCs w:val="28"/>
        </w:rPr>
      </w:pPr>
      <w:r>
        <w:rPr>
          <w:rFonts w:ascii="Times New Roman" w:hAnsi="Times New Roman" w:cs="Times New Roman"/>
          <w:b/>
          <w:sz w:val="28"/>
          <w:szCs w:val="28"/>
        </w:rPr>
        <w:t>1. </w:t>
      </w:r>
      <w:r w:rsidR="00FF1094">
        <w:rPr>
          <w:rFonts w:ascii="Times New Roman" w:hAnsi="Times New Roman" w:cs="Times New Roman"/>
          <w:b/>
          <w:sz w:val="28"/>
          <w:szCs w:val="28"/>
        </w:rPr>
        <w:t>Vispārēja informācija par p</w:t>
      </w:r>
      <w:r>
        <w:rPr>
          <w:rFonts w:ascii="Times New Roman" w:hAnsi="Times New Roman" w:cs="Times New Roman"/>
          <w:b/>
          <w:sz w:val="28"/>
          <w:szCs w:val="28"/>
        </w:rPr>
        <w:t>rivatizācijas sertifikāt</w:t>
      </w:r>
      <w:r w:rsidR="00FF1094">
        <w:rPr>
          <w:rFonts w:ascii="Times New Roman" w:hAnsi="Times New Roman" w:cs="Times New Roman"/>
          <w:b/>
          <w:sz w:val="28"/>
          <w:szCs w:val="28"/>
        </w:rPr>
        <w:t>iem</w:t>
      </w:r>
      <w:r w:rsidR="000F1D61">
        <w:rPr>
          <w:rFonts w:ascii="Times New Roman" w:hAnsi="Times New Roman" w:cs="Times New Roman"/>
          <w:b/>
          <w:sz w:val="28"/>
          <w:szCs w:val="28"/>
        </w:rPr>
        <w:t>.</w:t>
      </w:r>
    </w:p>
    <w:p w:rsidR="00620C31" w:rsidRPr="005938C4" w:rsidRDefault="00EB6FC3" w:rsidP="000A2371">
      <w:pPr>
        <w:pStyle w:val="EnvelopeReturn"/>
        <w:spacing w:after="120"/>
        <w:ind w:firstLine="720"/>
        <w:jc w:val="both"/>
        <w:rPr>
          <w:rFonts w:ascii="Times New Roman" w:hAnsi="Times New Roman" w:cs="Times New Roman"/>
          <w:spacing w:val="-2"/>
          <w:sz w:val="28"/>
          <w:szCs w:val="28"/>
        </w:rPr>
      </w:pPr>
      <w:r w:rsidRPr="00620C31">
        <w:rPr>
          <w:rFonts w:ascii="Times New Roman" w:hAnsi="Times New Roman" w:cs="Times New Roman"/>
          <w:sz w:val="28"/>
          <w:szCs w:val="28"/>
        </w:rPr>
        <w:t xml:space="preserve">Saskaņā ar likuma „Par privatizācijas sertifikātiem” 1.panta 1.punktu </w:t>
      </w:r>
      <w:r w:rsidRPr="005938C4">
        <w:rPr>
          <w:rFonts w:ascii="Times New Roman" w:hAnsi="Times New Roman" w:cs="Times New Roman"/>
          <w:sz w:val="28"/>
          <w:szCs w:val="28"/>
        </w:rPr>
        <w:t xml:space="preserve">privatizācijas sertifikāts ir valsts piešķirts dematerializēts vērtspapīrs, kuru var tikai vienreiz izlietot kā maksāšanas </w:t>
      </w:r>
      <w:r w:rsidR="000B7BCF" w:rsidRPr="005938C4">
        <w:rPr>
          <w:rFonts w:ascii="Times New Roman" w:hAnsi="Times New Roman" w:cs="Times New Roman"/>
          <w:sz w:val="28"/>
          <w:szCs w:val="28"/>
        </w:rPr>
        <w:t>līdzekli par privatizējamo valsts vai pašvaldību īpašumu.</w:t>
      </w:r>
      <w:r w:rsidR="0064234A">
        <w:rPr>
          <w:rFonts w:ascii="Times New Roman" w:hAnsi="Times New Roman" w:cs="Times New Roman"/>
          <w:sz w:val="28"/>
          <w:szCs w:val="28"/>
        </w:rPr>
        <w:t xml:space="preserve"> </w:t>
      </w:r>
      <w:r w:rsidR="00620C31" w:rsidRPr="005938C4">
        <w:rPr>
          <w:rFonts w:ascii="Times New Roman" w:hAnsi="Times New Roman" w:cs="Times New Roman"/>
          <w:spacing w:val="-2"/>
          <w:sz w:val="28"/>
          <w:szCs w:val="28"/>
        </w:rPr>
        <w:t>Privatizācijas sertifikātu piešķiršana un izmantošana notiek saskaņā ar likumu „Par privatizācijas sertifikātiem”.</w:t>
      </w:r>
    </w:p>
    <w:p w:rsidR="00620C31" w:rsidRDefault="00A4393D" w:rsidP="000A2371">
      <w:pPr>
        <w:pStyle w:val="EnvelopeReturn"/>
        <w:spacing w:after="120"/>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Līdz 2012.</w:t>
      </w:r>
      <w:r w:rsidR="00620C31" w:rsidRPr="005938C4">
        <w:rPr>
          <w:rFonts w:ascii="Times New Roman" w:hAnsi="Times New Roman" w:cs="Times New Roman"/>
          <w:spacing w:val="-2"/>
          <w:sz w:val="28"/>
          <w:szCs w:val="28"/>
        </w:rPr>
        <w:t>gada 1.</w:t>
      </w:r>
      <w:r w:rsidR="00A63142">
        <w:rPr>
          <w:rFonts w:ascii="Times New Roman" w:hAnsi="Times New Roman" w:cs="Times New Roman"/>
          <w:spacing w:val="-2"/>
          <w:sz w:val="28"/>
          <w:szCs w:val="28"/>
        </w:rPr>
        <w:t>decembrim</w:t>
      </w:r>
      <w:r w:rsidR="00620C31" w:rsidRPr="005938C4">
        <w:rPr>
          <w:rFonts w:ascii="Times New Roman" w:hAnsi="Times New Roman" w:cs="Times New Roman"/>
          <w:spacing w:val="-2"/>
          <w:sz w:val="28"/>
          <w:szCs w:val="28"/>
        </w:rPr>
        <w:t>2,4 miljoniem</w:t>
      </w:r>
      <w:r w:rsidR="006A655E" w:rsidRPr="005938C4">
        <w:rPr>
          <w:rFonts w:ascii="Times New Roman" w:hAnsi="Times New Roman" w:cs="Times New Roman"/>
          <w:spacing w:val="-2"/>
          <w:sz w:val="28"/>
          <w:szCs w:val="28"/>
        </w:rPr>
        <w:t xml:space="preserve"> iedzīvotāju ir piešķirti </w:t>
      </w:r>
      <w:r w:rsidR="00A63B2B" w:rsidRPr="005938C4">
        <w:rPr>
          <w:rFonts w:ascii="Times New Roman" w:hAnsi="Times New Roman" w:cs="Times New Roman"/>
          <w:spacing w:val="-2"/>
          <w:sz w:val="28"/>
          <w:szCs w:val="28"/>
        </w:rPr>
        <w:t xml:space="preserve">kopā 112,38 miljoni privatizācijas sertifikāti. No tiem </w:t>
      </w:r>
      <w:r w:rsidR="006A655E" w:rsidRPr="005938C4">
        <w:rPr>
          <w:rFonts w:ascii="Times New Roman" w:hAnsi="Times New Roman" w:cs="Times New Roman"/>
          <w:spacing w:val="-2"/>
          <w:sz w:val="28"/>
          <w:szCs w:val="28"/>
        </w:rPr>
        <w:t>104,</w:t>
      </w:r>
      <w:r w:rsidR="00575CDE">
        <w:rPr>
          <w:rFonts w:ascii="Times New Roman" w:hAnsi="Times New Roman" w:cs="Times New Roman"/>
          <w:spacing w:val="-2"/>
          <w:sz w:val="28"/>
          <w:szCs w:val="28"/>
        </w:rPr>
        <w:t>37</w:t>
      </w:r>
      <w:r w:rsidR="006A655E" w:rsidRPr="005938C4">
        <w:rPr>
          <w:rFonts w:ascii="Times New Roman" w:hAnsi="Times New Roman" w:cs="Times New Roman"/>
          <w:spacing w:val="-2"/>
          <w:sz w:val="28"/>
          <w:szCs w:val="28"/>
        </w:rPr>
        <w:t> </w:t>
      </w:r>
      <w:r w:rsidR="00620C31" w:rsidRPr="005938C4">
        <w:rPr>
          <w:rFonts w:ascii="Times New Roman" w:hAnsi="Times New Roman" w:cs="Times New Roman"/>
          <w:spacing w:val="-2"/>
          <w:sz w:val="28"/>
          <w:szCs w:val="28"/>
        </w:rPr>
        <w:t>miljoni privatizācijas sertifikāti</w:t>
      </w:r>
      <w:r w:rsidR="00235E63" w:rsidRPr="005938C4">
        <w:rPr>
          <w:rFonts w:ascii="Times New Roman" w:hAnsi="Times New Roman" w:cs="Times New Roman"/>
          <w:spacing w:val="-2"/>
          <w:sz w:val="28"/>
          <w:szCs w:val="28"/>
        </w:rPr>
        <w:t xml:space="preserve"> piešķirti</w:t>
      </w:r>
      <w:r w:rsidR="00620C31" w:rsidRPr="005938C4">
        <w:rPr>
          <w:rFonts w:ascii="Times New Roman" w:hAnsi="Times New Roman" w:cs="Times New Roman"/>
          <w:spacing w:val="-2"/>
          <w:sz w:val="28"/>
          <w:szCs w:val="28"/>
        </w:rPr>
        <w:t xml:space="preserve"> par Latvijā nodzīvoto laiku</w:t>
      </w:r>
      <w:r w:rsidR="003D3AAD">
        <w:rPr>
          <w:rFonts w:ascii="Times New Roman" w:hAnsi="Times New Roman" w:cs="Times New Roman"/>
          <w:spacing w:val="-2"/>
          <w:sz w:val="28"/>
          <w:szCs w:val="28"/>
        </w:rPr>
        <w:t xml:space="preserve"> un par politiskām represijām</w:t>
      </w:r>
      <w:r w:rsidR="00620C31" w:rsidRPr="005938C4">
        <w:rPr>
          <w:rFonts w:ascii="Times New Roman" w:hAnsi="Times New Roman" w:cs="Times New Roman"/>
          <w:spacing w:val="-2"/>
          <w:sz w:val="28"/>
          <w:szCs w:val="28"/>
        </w:rPr>
        <w:t xml:space="preserve">, tai skaitā </w:t>
      </w:r>
      <w:r w:rsidR="003D3AAD">
        <w:rPr>
          <w:rFonts w:ascii="Times New Roman" w:hAnsi="Times New Roman" w:cs="Times New Roman"/>
          <w:spacing w:val="-2"/>
          <w:sz w:val="28"/>
          <w:szCs w:val="28"/>
        </w:rPr>
        <w:t xml:space="preserve">par politiskām represijām piešķirti </w:t>
      </w:r>
      <w:r w:rsidR="00620C31" w:rsidRPr="005938C4">
        <w:rPr>
          <w:rFonts w:ascii="Times New Roman" w:hAnsi="Times New Roman" w:cs="Times New Roman"/>
          <w:spacing w:val="-2"/>
          <w:sz w:val="28"/>
          <w:szCs w:val="28"/>
        </w:rPr>
        <w:t>79</w:t>
      </w:r>
      <w:r w:rsidR="006A655E" w:rsidRPr="005938C4">
        <w:rPr>
          <w:rFonts w:ascii="Times New Roman" w:hAnsi="Times New Roman" w:cs="Times New Roman"/>
          <w:spacing w:val="-2"/>
          <w:sz w:val="28"/>
          <w:szCs w:val="28"/>
        </w:rPr>
        <w:t>4,7 </w:t>
      </w:r>
      <w:r w:rsidR="00620C31" w:rsidRPr="005938C4">
        <w:rPr>
          <w:rFonts w:ascii="Times New Roman" w:hAnsi="Times New Roman" w:cs="Times New Roman"/>
          <w:spacing w:val="-2"/>
          <w:sz w:val="28"/>
          <w:szCs w:val="28"/>
        </w:rPr>
        <w:t xml:space="preserve">tūkstoši privatizācijas sertifikāti 41,4 tūkstošiem personām. </w:t>
      </w:r>
      <w:r w:rsidR="00235E63" w:rsidRPr="005938C4">
        <w:rPr>
          <w:rFonts w:ascii="Times New Roman" w:hAnsi="Times New Roman" w:cs="Times New Roman"/>
          <w:spacing w:val="-2"/>
          <w:sz w:val="28"/>
          <w:szCs w:val="28"/>
        </w:rPr>
        <w:t xml:space="preserve">No visiem piešķirtajiem privatizācijas sertifikātiem </w:t>
      </w:r>
      <w:r w:rsidR="00620C31" w:rsidRPr="005938C4">
        <w:rPr>
          <w:rFonts w:ascii="Times New Roman" w:hAnsi="Times New Roman" w:cs="Times New Roman"/>
          <w:spacing w:val="-2"/>
          <w:sz w:val="28"/>
          <w:szCs w:val="28"/>
        </w:rPr>
        <w:t>117,2 tūkstošiem bijušajiem īpašniekiem vai viņu mantiniekiem ir piešķirti 8,01 miljons īpašuma kompensācijas sertifikāti, t.sk. 691,7 tūkstoši par valsts vajadzībām paturēto mantu privatizētajos specializētajos valsts lauksaimniecī</w:t>
      </w:r>
      <w:r w:rsidR="006A655E" w:rsidRPr="005938C4">
        <w:rPr>
          <w:rFonts w:ascii="Times New Roman" w:hAnsi="Times New Roman" w:cs="Times New Roman"/>
          <w:spacing w:val="-2"/>
          <w:sz w:val="28"/>
          <w:szCs w:val="28"/>
        </w:rPr>
        <w:t>bas uzņēmumos, 4 896,4 tūkstoši </w:t>
      </w:r>
      <w:r w:rsidR="00620C31" w:rsidRPr="005938C4">
        <w:rPr>
          <w:rFonts w:ascii="Times New Roman" w:hAnsi="Times New Roman" w:cs="Times New Roman"/>
          <w:spacing w:val="-2"/>
          <w:sz w:val="28"/>
          <w:szCs w:val="28"/>
        </w:rPr>
        <w:t>– par zemi lauku apvidos, 970,0 tūkstoši</w:t>
      </w:r>
      <w:r w:rsidR="006A655E" w:rsidRPr="005938C4">
        <w:rPr>
          <w:rFonts w:ascii="Times New Roman" w:hAnsi="Times New Roman" w:cs="Times New Roman"/>
          <w:spacing w:val="-2"/>
          <w:sz w:val="28"/>
          <w:szCs w:val="28"/>
        </w:rPr>
        <w:t> </w:t>
      </w:r>
      <w:r w:rsidR="00620C31" w:rsidRPr="005938C4">
        <w:rPr>
          <w:rFonts w:ascii="Times New Roman" w:hAnsi="Times New Roman" w:cs="Times New Roman"/>
          <w:spacing w:val="-2"/>
          <w:sz w:val="28"/>
          <w:szCs w:val="28"/>
        </w:rPr>
        <w:t>– p</w:t>
      </w:r>
      <w:r w:rsidR="006A655E" w:rsidRPr="005938C4">
        <w:rPr>
          <w:rFonts w:ascii="Times New Roman" w:hAnsi="Times New Roman" w:cs="Times New Roman"/>
          <w:spacing w:val="-2"/>
          <w:sz w:val="28"/>
          <w:szCs w:val="28"/>
        </w:rPr>
        <w:t>ar namīpašumiem, 814,7 tūkstoši </w:t>
      </w:r>
      <w:r w:rsidR="00620C31" w:rsidRPr="005938C4">
        <w:rPr>
          <w:rFonts w:ascii="Times New Roman" w:hAnsi="Times New Roman" w:cs="Times New Roman"/>
          <w:spacing w:val="-2"/>
          <w:sz w:val="28"/>
          <w:szCs w:val="28"/>
        </w:rPr>
        <w:t>– pa</w:t>
      </w:r>
      <w:r w:rsidR="006A655E" w:rsidRPr="005938C4">
        <w:rPr>
          <w:rFonts w:ascii="Times New Roman" w:hAnsi="Times New Roman" w:cs="Times New Roman"/>
          <w:spacing w:val="-2"/>
          <w:sz w:val="28"/>
          <w:szCs w:val="28"/>
        </w:rPr>
        <w:t>r pilsētu zemi, 461,0 tūkstotis </w:t>
      </w:r>
      <w:r w:rsidR="00620C31" w:rsidRPr="005938C4">
        <w:rPr>
          <w:rFonts w:ascii="Times New Roman" w:hAnsi="Times New Roman" w:cs="Times New Roman"/>
          <w:spacing w:val="-2"/>
          <w:sz w:val="28"/>
          <w:szCs w:val="28"/>
        </w:rPr>
        <w:t>– par uzņēmumiem un citiem īpašuma o</w:t>
      </w:r>
      <w:r w:rsidR="006A655E" w:rsidRPr="005938C4">
        <w:rPr>
          <w:rFonts w:ascii="Times New Roman" w:hAnsi="Times New Roman" w:cs="Times New Roman"/>
          <w:spacing w:val="-2"/>
          <w:sz w:val="28"/>
          <w:szCs w:val="28"/>
        </w:rPr>
        <w:t>bjektiem, 89,8 tūkstoši </w:t>
      </w:r>
      <w:r w:rsidR="00620C31" w:rsidRPr="005938C4">
        <w:rPr>
          <w:rFonts w:ascii="Times New Roman" w:hAnsi="Times New Roman" w:cs="Times New Roman"/>
          <w:spacing w:val="-2"/>
          <w:sz w:val="28"/>
          <w:szCs w:val="28"/>
        </w:rPr>
        <w:t>– par politiski represētām personām</w:t>
      </w:r>
      <w:r w:rsidR="006A655E" w:rsidRPr="005938C4">
        <w:rPr>
          <w:rFonts w:ascii="Times New Roman" w:hAnsi="Times New Roman" w:cs="Times New Roman"/>
          <w:spacing w:val="-2"/>
          <w:sz w:val="28"/>
          <w:szCs w:val="28"/>
        </w:rPr>
        <w:t xml:space="preserve"> atņemto mantu un 85,6 tūkstoši </w:t>
      </w:r>
      <w:r w:rsidR="00620C31" w:rsidRPr="005938C4">
        <w:rPr>
          <w:rFonts w:ascii="Times New Roman" w:hAnsi="Times New Roman" w:cs="Times New Roman"/>
          <w:spacing w:val="-2"/>
          <w:sz w:val="28"/>
          <w:szCs w:val="28"/>
        </w:rPr>
        <w:t>– par pretlikumīgi atsavināto mantu.</w:t>
      </w:r>
    </w:p>
    <w:p w:rsidR="00385CC2" w:rsidRPr="005938C4" w:rsidRDefault="00D96F28" w:rsidP="000A2371">
      <w:pPr>
        <w:pStyle w:val="EnvelopeReturn"/>
        <w:spacing w:after="120"/>
        <w:ind w:firstLine="720"/>
        <w:jc w:val="both"/>
        <w:rPr>
          <w:rFonts w:ascii="Times New Roman" w:hAnsi="Times New Roman" w:cs="Times New Roman"/>
          <w:spacing w:val="-2"/>
          <w:sz w:val="28"/>
          <w:szCs w:val="28"/>
        </w:rPr>
      </w:pPr>
      <w:r w:rsidRPr="00D96F28">
        <w:rPr>
          <w:rFonts w:ascii="Times New Roman" w:hAnsi="Times New Roman" w:cs="Times New Roman"/>
          <w:spacing w:val="-2"/>
          <w:sz w:val="28"/>
          <w:szCs w:val="28"/>
        </w:rPr>
        <w:t xml:space="preserve">Atbilstoši likuma „Par privatizācijas sertifikātiem” 4.panta otrajai daļai </w:t>
      </w:r>
      <w:r w:rsidRPr="00D96F28">
        <w:rPr>
          <w:rFonts w:ascii="Times New Roman" w:hAnsi="Times New Roman" w:cs="Times New Roman"/>
          <w:sz w:val="28"/>
          <w:szCs w:val="28"/>
        </w:rPr>
        <w:t>Latvijas iedzīvotājam piešķirtie privatizācijas sertifikāti tiek ieskaitīti privatizācijas sertifikātu kontā. Savukārt privatizācijas sertifikātu konts, saskaņā ar likuma „Par privatizācijas sertifikātiem” 1.panta 2.punktu ir normatīvajos aktos noteiktajās kredītiestādēs atvērts konts, kurā tiek fiksēti sertifikātu īpašniekam piederošie sertifikāti un operācijas ar tiem.</w:t>
      </w:r>
      <w:r w:rsidR="0064234A">
        <w:rPr>
          <w:rFonts w:ascii="Times New Roman" w:hAnsi="Times New Roman" w:cs="Times New Roman"/>
          <w:sz w:val="28"/>
          <w:szCs w:val="28"/>
        </w:rPr>
        <w:t xml:space="preserve"> </w:t>
      </w:r>
      <w:r w:rsidR="007534EC" w:rsidRPr="005938C4">
        <w:rPr>
          <w:rFonts w:ascii="Times New Roman" w:hAnsi="Times New Roman" w:cs="Times New Roman"/>
          <w:spacing w:val="-2"/>
          <w:sz w:val="28"/>
          <w:szCs w:val="28"/>
        </w:rPr>
        <w:t xml:space="preserve">Līdz 2012.gada </w:t>
      </w:r>
      <w:r w:rsidR="006A1451" w:rsidRPr="005938C4">
        <w:rPr>
          <w:rFonts w:ascii="Times New Roman" w:hAnsi="Times New Roman" w:cs="Times New Roman"/>
          <w:spacing w:val="-2"/>
          <w:sz w:val="28"/>
          <w:szCs w:val="28"/>
        </w:rPr>
        <w:t>1.</w:t>
      </w:r>
      <w:r w:rsidR="00A63142">
        <w:rPr>
          <w:rFonts w:ascii="Times New Roman" w:hAnsi="Times New Roman" w:cs="Times New Roman"/>
          <w:spacing w:val="-2"/>
          <w:sz w:val="28"/>
          <w:szCs w:val="28"/>
        </w:rPr>
        <w:t>decembrim</w:t>
      </w:r>
      <w:r w:rsidR="006A1451" w:rsidRPr="005938C4">
        <w:rPr>
          <w:rFonts w:ascii="Times New Roman" w:hAnsi="Times New Roman" w:cs="Times New Roman"/>
          <w:spacing w:val="-2"/>
          <w:sz w:val="28"/>
          <w:szCs w:val="28"/>
        </w:rPr>
        <w:t>privatizācijas sertifikātu kontos ir ieskaitīti 110,74 miljoni privatizācijas sertifikāti, tas ir 98,5</w:t>
      </w:r>
      <w:r w:rsidR="00645978" w:rsidRPr="005938C4">
        <w:rPr>
          <w:rFonts w:ascii="Times New Roman" w:hAnsi="Times New Roman" w:cs="Times New Roman"/>
          <w:spacing w:val="-2"/>
          <w:sz w:val="28"/>
          <w:szCs w:val="28"/>
        </w:rPr>
        <w:t> </w:t>
      </w:r>
      <w:r w:rsidR="006A1451" w:rsidRPr="005938C4">
        <w:rPr>
          <w:rFonts w:ascii="Times New Roman" w:hAnsi="Times New Roman" w:cs="Times New Roman"/>
          <w:spacing w:val="-2"/>
          <w:sz w:val="28"/>
          <w:szCs w:val="28"/>
        </w:rPr>
        <w:t>% no visu piešķirto privatizācijas sertifikātu skaita, tai skaitā 7,61 miljon</w:t>
      </w:r>
      <w:r w:rsidR="00645978" w:rsidRPr="005938C4">
        <w:rPr>
          <w:rFonts w:ascii="Times New Roman" w:hAnsi="Times New Roman" w:cs="Times New Roman"/>
          <w:spacing w:val="-2"/>
          <w:sz w:val="28"/>
          <w:szCs w:val="28"/>
        </w:rPr>
        <w:t>s</w:t>
      </w:r>
      <w:r w:rsidR="006A1451" w:rsidRPr="005938C4">
        <w:rPr>
          <w:rFonts w:ascii="Times New Roman" w:hAnsi="Times New Roman" w:cs="Times New Roman"/>
          <w:spacing w:val="-2"/>
          <w:sz w:val="28"/>
          <w:szCs w:val="28"/>
        </w:rPr>
        <w:t xml:space="preserve"> īpašuma kompen</w:t>
      </w:r>
      <w:r w:rsidR="00645978" w:rsidRPr="005938C4">
        <w:rPr>
          <w:rFonts w:ascii="Times New Roman" w:hAnsi="Times New Roman" w:cs="Times New Roman"/>
          <w:spacing w:val="-2"/>
          <w:sz w:val="28"/>
          <w:szCs w:val="28"/>
        </w:rPr>
        <w:t>sā</w:t>
      </w:r>
      <w:r w:rsidR="006A1451" w:rsidRPr="005938C4">
        <w:rPr>
          <w:rFonts w:ascii="Times New Roman" w:hAnsi="Times New Roman" w:cs="Times New Roman"/>
          <w:spacing w:val="-2"/>
          <w:sz w:val="28"/>
          <w:szCs w:val="28"/>
        </w:rPr>
        <w:t>cijas sertifikāti.</w:t>
      </w:r>
    </w:p>
    <w:p w:rsidR="006A3234" w:rsidRPr="005938C4" w:rsidRDefault="003D3AAD"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Valsts un </w:t>
      </w:r>
      <w:r w:rsidRPr="005938C4">
        <w:rPr>
          <w:rFonts w:ascii="Times New Roman" w:hAnsi="Times New Roman" w:cs="Times New Roman"/>
          <w:sz w:val="28"/>
          <w:szCs w:val="28"/>
        </w:rPr>
        <w:t>pašvaldību īpašuma privatizācijas un privatizācijas sertifikātu izmantošanas pabeigšanas likum</w:t>
      </w:r>
      <w:r>
        <w:rPr>
          <w:rFonts w:ascii="Times New Roman" w:hAnsi="Times New Roman" w:cs="Times New Roman"/>
          <w:sz w:val="28"/>
          <w:szCs w:val="28"/>
        </w:rPr>
        <w:t>s</w:t>
      </w:r>
      <w:r w:rsidRPr="005938C4">
        <w:rPr>
          <w:rFonts w:ascii="Times New Roman" w:hAnsi="Times New Roman" w:cs="Times New Roman"/>
          <w:sz w:val="28"/>
          <w:szCs w:val="28"/>
        </w:rPr>
        <w:t>(turpmāk – Privatizācijas pabeigšanas likums)</w:t>
      </w:r>
      <w:r>
        <w:rPr>
          <w:rFonts w:ascii="Times New Roman" w:hAnsi="Times New Roman" w:cs="Times New Roman"/>
          <w:sz w:val="28"/>
          <w:szCs w:val="28"/>
        </w:rPr>
        <w:t xml:space="preserve"> stājās spēkā 2005.gada 1.septembrī.</w:t>
      </w:r>
      <w:r w:rsidR="006A3234" w:rsidRPr="005938C4">
        <w:rPr>
          <w:rFonts w:ascii="Times New Roman" w:hAnsi="Times New Roman" w:cs="Times New Roman"/>
          <w:sz w:val="28"/>
          <w:szCs w:val="28"/>
        </w:rPr>
        <w:t>No 2005.gada 1.septembra līdz 2007.gada 31.jūlijam Privatizācijas pabeigšanas likum</w:t>
      </w:r>
      <w:r>
        <w:rPr>
          <w:rFonts w:ascii="Times New Roman" w:hAnsi="Times New Roman" w:cs="Times New Roman"/>
          <w:sz w:val="28"/>
          <w:szCs w:val="28"/>
        </w:rPr>
        <w:t>a</w:t>
      </w:r>
      <w:r w:rsidR="006A3234" w:rsidRPr="005938C4">
        <w:rPr>
          <w:rFonts w:ascii="Times New Roman" w:hAnsi="Times New Roman" w:cs="Times New Roman"/>
          <w:sz w:val="28"/>
          <w:szCs w:val="28"/>
        </w:rPr>
        <w:t xml:space="preserve"> 27.panta piektā daļa noteica, ka līdz 2005.gada 30.septembrim piešķirtos privatizācijas sertifikātus likumā „Par privatizācijas sertifikātiem” noteiktajā kārtībā ieskaita </w:t>
      </w:r>
      <w:r w:rsidR="009F4B62">
        <w:rPr>
          <w:rFonts w:ascii="Times New Roman" w:hAnsi="Times New Roman" w:cs="Times New Roman"/>
          <w:sz w:val="28"/>
          <w:szCs w:val="28"/>
        </w:rPr>
        <w:t xml:space="preserve">privatizācijas sertifikātu </w:t>
      </w:r>
      <w:r w:rsidR="006A3234" w:rsidRPr="005938C4">
        <w:rPr>
          <w:rFonts w:ascii="Times New Roman" w:hAnsi="Times New Roman" w:cs="Times New Roman"/>
          <w:sz w:val="28"/>
          <w:szCs w:val="28"/>
        </w:rPr>
        <w:t xml:space="preserve">kontā, ja konta atvēršanai vai papildus piešķirto privatizācijas sertifikātu ieskaitīšanai nepieciešamie dokumenti iesniegti attiecīgajai kredītiestādei līdz 2006.gada 31.martam. Pēc 2005.gada 30.septembra piešķirtos privatizācijas sertifikātus ieskaita privatizācijas sertifikātu kontā, ja šo sertifikātu saņēmējs </w:t>
      </w:r>
      <w:r w:rsidR="006A3234" w:rsidRPr="005938C4">
        <w:rPr>
          <w:rFonts w:ascii="Times New Roman" w:hAnsi="Times New Roman" w:cs="Times New Roman"/>
          <w:sz w:val="28"/>
          <w:szCs w:val="28"/>
        </w:rPr>
        <w:lastRenderedPageBreak/>
        <w:t>sešu mēnešu laikā pēc lēmuma par privatizācijas sertifikātu piešķiršanu ir iesniedzis attiecīgajai kredītiestādei konta atvēršanai vai papildus piešķirto privatizācijas sertifikātu ieskaitīšanai nepieciešamos dokumentus.</w:t>
      </w:r>
    </w:p>
    <w:p w:rsidR="006A3234" w:rsidRPr="005938C4" w:rsidRDefault="006A3234" w:rsidP="000301E0">
      <w:pPr>
        <w:spacing w:after="120"/>
        <w:ind w:firstLine="720"/>
        <w:jc w:val="both"/>
        <w:rPr>
          <w:spacing w:val="-2"/>
          <w:sz w:val="28"/>
          <w:szCs w:val="28"/>
        </w:rPr>
      </w:pPr>
      <w:r w:rsidRPr="005938C4">
        <w:rPr>
          <w:sz w:val="28"/>
          <w:szCs w:val="28"/>
        </w:rPr>
        <w:t>Ar likumu „Grozījumi Valsts un pašvaldību īpašuma privatizācijas un privatizācijas sertifikātu izmantošanas pabeigšanas likumā”, kas stājās spēkā 2007.gada 1.augustā, Privatizācijas pabeigšanas likuma pārejas noteikumi tika papildināti ar 23.punktu, kas nosaka, ka personas, kuras no 2006.gada 1.aprīļa līdz 2007.gada 1.augustam bija zaudējušas tiesības tām piešķirtos privatizācijas sertifikātus ieskaitīt kontā, var privatizācijas sertifikātus ieskaitīt šajā kontā saskaņā ar šā likuma 27.panta piektās daļas noteikumiem.</w:t>
      </w:r>
      <w:r w:rsidR="0064234A">
        <w:rPr>
          <w:sz w:val="28"/>
          <w:szCs w:val="28"/>
        </w:rPr>
        <w:t xml:space="preserve"> </w:t>
      </w:r>
      <w:r w:rsidRPr="005938C4">
        <w:rPr>
          <w:sz w:val="28"/>
          <w:szCs w:val="28"/>
        </w:rPr>
        <w:t>No 2007.gada 1.augusta Privatizācijas pabeigšanas likuma 27.panta piektā daļa</w:t>
      </w:r>
      <w:r w:rsidR="000301E0" w:rsidRPr="005938C4">
        <w:rPr>
          <w:sz w:val="28"/>
          <w:szCs w:val="28"/>
        </w:rPr>
        <w:t xml:space="preserve"> paredz, ka piešķirtos privatizācijas sertifikātus likumā „Par privatizācijas sertifikātiem” noteiktajā kārtībā ieskaita</w:t>
      </w:r>
      <w:r w:rsidR="009F4B62">
        <w:rPr>
          <w:sz w:val="28"/>
          <w:szCs w:val="28"/>
        </w:rPr>
        <w:t xml:space="preserve"> privatizācijas sertifikātu</w:t>
      </w:r>
      <w:r w:rsidR="000301E0" w:rsidRPr="005938C4">
        <w:rPr>
          <w:sz w:val="28"/>
          <w:szCs w:val="28"/>
        </w:rPr>
        <w:t xml:space="preserve"> kontā, ja: 1) sertifikātu saņēmējs divu mēnešu laikā no lēmuma par privatizācijas sertifikātu piešķiršanu saņemšanas dienas ir iesniedzis pašvaldībai informāciju par kredītiestādi, kurā ir atvērts vai tiks atvērts viņa</w:t>
      </w:r>
      <w:r w:rsidR="009F4B62">
        <w:rPr>
          <w:sz w:val="28"/>
          <w:szCs w:val="28"/>
        </w:rPr>
        <w:t xml:space="preserve"> privatizācijas </w:t>
      </w:r>
      <w:r w:rsidR="000301E0" w:rsidRPr="005938C4">
        <w:rPr>
          <w:sz w:val="28"/>
          <w:szCs w:val="28"/>
        </w:rPr>
        <w:t xml:space="preserve">sertifikātu konts; </w:t>
      </w:r>
      <w:r w:rsidRPr="005938C4">
        <w:rPr>
          <w:sz w:val="28"/>
          <w:szCs w:val="28"/>
        </w:rPr>
        <w:t>2</w:t>
      </w:r>
      <w:r w:rsidR="000301E0" w:rsidRPr="005938C4">
        <w:rPr>
          <w:sz w:val="28"/>
          <w:szCs w:val="28"/>
        </w:rPr>
        <w:t>) </w:t>
      </w:r>
      <w:r w:rsidR="009F4B62">
        <w:rPr>
          <w:sz w:val="28"/>
          <w:szCs w:val="28"/>
        </w:rPr>
        <w:t xml:space="preserve">privatizācijas </w:t>
      </w:r>
      <w:r w:rsidR="009F4B62" w:rsidRPr="005938C4">
        <w:rPr>
          <w:sz w:val="28"/>
          <w:szCs w:val="28"/>
        </w:rPr>
        <w:t>sertifikātu</w:t>
      </w:r>
      <w:r w:rsidR="0064234A">
        <w:rPr>
          <w:sz w:val="28"/>
          <w:szCs w:val="28"/>
        </w:rPr>
        <w:t xml:space="preserve"> </w:t>
      </w:r>
      <w:r w:rsidRPr="005938C4">
        <w:rPr>
          <w:sz w:val="28"/>
          <w:szCs w:val="28"/>
        </w:rPr>
        <w:t xml:space="preserve">konta atvēršanai vai papildus piešķirto privatizācijas sertifikātu ieskaitīšanai nepieciešamos dokumentus privatizācijas sertifikātu saņēmējs iesniedzis attiecīgajai kredītiestādei četru mēnešu laikā pēc nepieciešamo pašvaldības dokumentu un apstiprinošo </w:t>
      </w:r>
      <w:r w:rsidR="000301E0" w:rsidRPr="005938C4">
        <w:rPr>
          <w:sz w:val="28"/>
          <w:szCs w:val="28"/>
        </w:rPr>
        <w:t>valsts akciju sabiedrības „</w:t>
      </w:r>
      <w:r w:rsidRPr="005938C4">
        <w:rPr>
          <w:sz w:val="28"/>
          <w:szCs w:val="28"/>
        </w:rPr>
        <w:t>Privatizācijas aģentūra</w:t>
      </w:r>
      <w:r w:rsidR="000301E0" w:rsidRPr="005938C4">
        <w:rPr>
          <w:sz w:val="28"/>
          <w:szCs w:val="28"/>
        </w:rPr>
        <w:t>”</w:t>
      </w:r>
      <w:r w:rsidR="00CF460F">
        <w:rPr>
          <w:sz w:val="28"/>
          <w:szCs w:val="28"/>
        </w:rPr>
        <w:t xml:space="preserve"> (turpmāk – Privatizācijas aģentūra)</w:t>
      </w:r>
      <w:r w:rsidRPr="005938C4">
        <w:rPr>
          <w:sz w:val="28"/>
          <w:szCs w:val="28"/>
        </w:rPr>
        <w:t xml:space="preserve"> ziņu iesniegšanas attiecīgajai kredītiestādei.</w:t>
      </w:r>
    </w:p>
    <w:p w:rsidR="006A3234" w:rsidRPr="005938C4" w:rsidRDefault="000301E0" w:rsidP="000A2371">
      <w:pPr>
        <w:pStyle w:val="EnvelopeReturn"/>
        <w:spacing w:after="120"/>
        <w:ind w:firstLine="720"/>
        <w:jc w:val="both"/>
        <w:rPr>
          <w:rFonts w:ascii="Times New Roman" w:hAnsi="Times New Roman" w:cs="Times New Roman"/>
          <w:sz w:val="28"/>
          <w:szCs w:val="28"/>
        </w:rPr>
      </w:pPr>
      <w:r w:rsidRPr="005938C4">
        <w:rPr>
          <w:rFonts w:ascii="Times New Roman" w:hAnsi="Times New Roman" w:cs="Times New Roman"/>
          <w:sz w:val="28"/>
          <w:szCs w:val="28"/>
        </w:rPr>
        <w:t>Saskaņā ar Privatizācijas pabeigšanas likuma 27.pantā noteikto no 2007.gada 1.decembra 58,2 tūkstoši personu ir zaudējušas tiesības ieskaitīt privatizācijas sertifikātu kontā 1,64 miljonus privatizācijas sertifikātu</w:t>
      </w:r>
      <w:r w:rsidR="00D96F28">
        <w:rPr>
          <w:rFonts w:ascii="Times New Roman" w:hAnsi="Times New Roman" w:cs="Times New Roman"/>
          <w:sz w:val="28"/>
          <w:szCs w:val="28"/>
        </w:rPr>
        <w:t>s</w:t>
      </w:r>
      <w:r w:rsidRPr="005938C4">
        <w:rPr>
          <w:rFonts w:ascii="Times New Roman" w:hAnsi="Times New Roman" w:cs="Times New Roman"/>
          <w:sz w:val="28"/>
          <w:szCs w:val="28"/>
        </w:rPr>
        <w:t>, tas ir 1,5 % no piešķirto privatizācijas sertifikātu skaita, tai skaitā 0,4 miljonus īpašuma kompensācijas sertifikātu</w:t>
      </w:r>
      <w:r w:rsidR="00D96F28">
        <w:rPr>
          <w:rFonts w:ascii="Times New Roman" w:hAnsi="Times New Roman" w:cs="Times New Roman"/>
          <w:sz w:val="28"/>
          <w:szCs w:val="28"/>
        </w:rPr>
        <w:t>s</w:t>
      </w:r>
      <w:r w:rsidRPr="005938C4">
        <w:rPr>
          <w:rFonts w:ascii="Times New Roman" w:hAnsi="Times New Roman" w:cs="Times New Roman"/>
          <w:sz w:val="28"/>
          <w:szCs w:val="28"/>
        </w:rPr>
        <w:t> – 5 % no piešķirto īpašuma kompensācijas sertifikātu skaita.</w:t>
      </w:r>
    </w:p>
    <w:p w:rsidR="00A55158" w:rsidRPr="005938C4" w:rsidRDefault="00636696" w:rsidP="000A2371">
      <w:pPr>
        <w:pStyle w:val="EnvelopeReturn"/>
        <w:spacing w:after="120"/>
        <w:ind w:firstLine="720"/>
        <w:jc w:val="both"/>
        <w:rPr>
          <w:rFonts w:ascii="Times New Roman" w:hAnsi="Times New Roman" w:cs="Times New Roman"/>
          <w:sz w:val="28"/>
          <w:szCs w:val="28"/>
        </w:rPr>
      </w:pPr>
      <w:r w:rsidRPr="005938C4">
        <w:rPr>
          <w:rFonts w:ascii="Times New Roman" w:hAnsi="Times New Roman" w:cs="Times New Roman"/>
          <w:sz w:val="28"/>
          <w:szCs w:val="28"/>
        </w:rPr>
        <w:t>Kopā, izmaksājot naudu, dzēsti 0,83 miljoni privatizācijas sertifikāti – 0,7 % no piešķirto privatizācijas sertifikātu skaita.</w:t>
      </w:r>
      <w:r w:rsidR="00A55158" w:rsidRPr="005938C4">
        <w:rPr>
          <w:rFonts w:ascii="Times New Roman" w:hAnsi="Times New Roman" w:cs="Times New Roman"/>
          <w:sz w:val="28"/>
          <w:szCs w:val="28"/>
        </w:rPr>
        <w:t xml:space="preserve"> Atbilstoši likumam „Par zemes privatizāciju lauku apvidos” līdz 2012.gada 1.</w:t>
      </w:r>
      <w:r w:rsidR="00A63142">
        <w:rPr>
          <w:rFonts w:ascii="Times New Roman" w:hAnsi="Times New Roman" w:cs="Times New Roman"/>
          <w:sz w:val="28"/>
          <w:szCs w:val="28"/>
        </w:rPr>
        <w:t>decembrim</w:t>
      </w:r>
      <w:r w:rsidR="00A55158" w:rsidRPr="005938C4">
        <w:rPr>
          <w:rFonts w:ascii="Times New Roman" w:hAnsi="Times New Roman" w:cs="Times New Roman"/>
          <w:sz w:val="28"/>
          <w:szCs w:val="28"/>
        </w:rPr>
        <w:t xml:space="preserve">pieņemti </w:t>
      </w:r>
      <w:r w:rsidR="00A55158" w:rsidRPr="00575CDE">
        <w:rPr>
          <w:rFonts w:ascii="Times New Roman" w:hAnsi="Times New Roman" w:cs="Times New Roman"/>
          <w:sz w:val="28"/>
          <w:szCs w:val="28"/>
        </w:rPr>
        <w:t>11 076 lēmumi</w:t>
      </w:r>
      <w:r w:rsidR="00A55158" w:rsidRPr="005938C4">
        <w:rPr>
          <w:rFonts w:ascii="Times New Roman" w:hAnsi="Times New Roman" w:cs="Times New Roman"/>
          <w:sz w:val="28"/>
          <w:szCs w:val="28"/>
        </w:rPr>
        <w:t xml:space="preserve"> par kompensāciju izmaksu </w:t>
      </w:r>
      <w:r w:rsidR="00A55158" w:rsidRPr="005938C4">
        <w:rPr>
          <w:rFonts w:ascii="Times New Roman" w:hAnsi="Times New Roman" w:cs="Times New Roman"/>
          <w:color w:val="000000"/>
          <w:sz w:val="28"/>
          <w:szCs w:val="28"/>
        </w:rPr>
        <w:t xml:space="preserve">naudā par bijušiem zemes īpašumiem lauku apvidū. Kompensācija izmaksāta </w:t>
      </w:r>
      <w:r w:rsidR="00A55158" w:rsidRPr="00575CDE">
        <w:rPr>
          <w:rFonts w:ascii="Times New Roman" w:hAnsi="Times New Roman" w:cs="Times New Roman"/>
          <w:color w:val="000000"/>
          <w:sz w:val="28"/>
          <w:szCs w:val="28"/>
        </w:rPr>
        <w:t>8 411 personām</w:t>
      </w:r>
      <w:r w:rsidR="00A55158" w:rsidRPr="005938C4">
        <w:rPr>
          <w:rFonts w:ascii="Times New Roman" w:hAnsi="Times New Roman" w:cs="Times New Roman"/>
          <w:color w:val="000000"/>
          <w:sz w:val="28"/>
          <w:szCs w:val="28"/>
        </w:rPr>
        <w:t xml:space="preserve"> par kopējo summu </w:t>
      </w:r>
      <w:r w:rsidR="00A55158" w:rsidRPr="00575CDE">
        <w:rPr>
          <w:rFonts w:ascii="Times New Roman" w:hAnsi="Times New Roman" w:cs="Times New Roman"/>
          <w:color w:val="000000"/>
          <w:sz w:val="28"/>
          <w:szCs w:val="28"/>
        </w:rPr>
        <w:t>17,4</w:t>
      </w:r>
      <w:r w:rsidR="00575CDE" w:rsidRPr="00575CDE">
        <w:rPr>
          <w:rFonts w:ascii="Times New Roman" w:hAnsi="Times New Roman" w:cs="Times New Roman"/>
          <w:color w:val="000000"/>
          <w:sz w:val="28"/>
          <w:szCs w:val="28"/>
        </w:rPr>
        <w:t>5</w:t>
      </w:r>
      <w:r w:rsidR="00A55158" w:rsidRPr="00575CDE">
        <w:rPr>
          <w:rFonts w:ascii="Times New Roman" w:hAnsi="Times New Roman" w:cs="Times New Roman"/>
          <w:color w:val="000000"/>
          <w:sz w:val="28"/>
          <w:szCs w:val="28"/>
        </w:rPr>
        <w:t xml:space="preserve"> miljoni latu, dzēšot 0,6</w:t>
      </w:r>
      <w:r w:rsidR="00575CDE">
        <w:rPr>
          <w:rFonts w:ascii="Times New Roman" w:hAnsi="Times New Roman" w:cs="Times New Roman"/>
          <w:color w:val="000000"/>
          <w:sz w:val="28"/>
          <w:szCs w:val="28"/>
        </w:rPr>
        <w:t>2</w:t>
      </w:r>
      <w:r w:rsidR="00A55158" w:rsidRPr="00575CDE">
        <w:rPr>
          <w:rFonts w:ascii="Times New Roman" w:hAnsi="Times New Roman" w:cs="Times New Roman"/>
          <w:color w:val="000000"/>
          <w:sz w:val="28"/>
          <w:szCs w:val="28"/>
        </w:rPr>
        <w:t xml:space="preserve"> miljonus īpašuma kompensācijas sertifikātu.</w:t>
      </w:r>
      <w:r w:rsidR="0064234A">
        <w:rPr>
          <w:rFonts w:ascii="Times New Roman" w:hAnsi="Times New Roman" w:cs="Times New Roman"/>
          <w:color w:val="000000"/>
          <w:sz w:val="28"/>
          <w:szCs w:val="28"/>
        </w:rPr>
        <w:t xml:space="preserve"> </w:t>
      </w:r>
      <w:r w:rsidR="00A55158" w:rsidRPr="00575CDE">
        <w:rPr>
          <w:rFonts w:ascii="Times New Roman" w:hAnsi="Times New Roman" w:cs="Times New Roman"/>
          <w:sz w:val="28"/>
          <w:szCs w:val="28"/>
        </w:rPr>
        <w:t xml:space="preserve">Dzēšot </w:t>
      </w:r>
      <w:r w:rsidR="00575CDE">
        <w:rPr>
          <w:rFonts w:ascii="Times New Roman" w:hAnsi="Times New Roman" w:cs="Times New Roman"/>
          <w:sz w:val="28"/>
          <w:szCs w:val="28"/>
        </w:rPr>
        <w:t xml:space="preserve">par politiskajām represijām piešķirtos 0,16 miljonus </w:t>
      </w:r>
      <w:r w:rsidR="00A55158" w:rsidRPr="00575CDE">
        <w:rPr>
          <w:rFonts w:ascii="Times New Roman" w:hAnsi="Times New Roman" w:cs="Times New Roman"/>
          <w:sz w:val="28"/>
          <w:szCs w:val="28"/>
        </w:rPr>
        <w:t>privatizācijas sertifikātus, 26,2 tūkstošiem personām</w:t>
      </w:r>
      <w:r w:rsidR="00A55158" w:rsidRPr="005938C4">
        <w:rPr>
          <w:rFonts w:ascii="Times New Roman" w:hAnsi="Times New Roman" w:cs="Times New Roman"/>
          <w:sz w:val="28"/>
          <w:szCs w:val="28"/>
        </w:rPr>
        <w:t xml:space="preserve"> līdz 2012.gada 1.</w:t>
      </w:r>
      <w:r w:rsidR="00AE3688">
        <w:rPr>
          <w:rFonts w:ascii="Times New Roman" w:hAnsi="Times New Roman" w:cs="Times New Roman"/>
          <w:sz w:val="28"/>
          <w:szCs w:val="28"/>
        </w:rPr>
        <w:t>decembrim</w:t>
      </w:r>
      <w:r w:rsidR="00A55158" w:rsidRPr="005938C4">
        <w:rPr>
          <w:rFonts w:ascii="Times New Roman" w:hAnsi="Times New Roman" w:cs="Times New Roman"/>
          <w:sz w:val="28"/>
          <w:szCs w:val="28"/>
        </w:rPr>
        <w:t xml:space="preserve">izmaksāta </w:t>
      </w:r>
      <w:r w:rsidR="00A55158" w:rsidRPr="00575CDE">
        <w:rPr>
          <w:rFonts w:ascii="Times New Roman" w:hAnsi="Times New Roman" w:cs="Times New Roman"/>
          <w:sz w:val="28"/>
          <w:szCs w:val="28"/>
        </w:rPr>
        <w:t xml:space="preserve">kompensācija naudā 4,64 miljonu latu apjomā. </w:t>
      </w:r>
      <w:r w:rsidR="00784E98" w:rsidRPr="00575CDE">
        <w:rPr>
          <w:rFonts w:ascii="Times New Roman" w:hAnsi="Times New Roman" w:cs="Times New Roman"/>
          <w:sz w:val="28"/>
          <w:szCs w:val="28"/>
        </w:rPr>
        <w:t>Izmaksājot naudā 1,5 miljonus</w:t>
      </w:r>
      <w:r w:rsidR="00784E98" w:rsidRPr="005938C4">
        <w:rPr>
          <w:rFonts w:ascii="Times New Roman" w:hAnsi="Times New Roman" w:cs="Times New Roman"/>
          <w:sz w:val="28"/>
          <w:szCs w:val="28"/>
        </w:rPr>
        <w:t xml:space="preserve"> latu par administratīvi nepamatoti izsūtītām personām atņemto mantu, līdz </w:t>
      </w:r>
      <w:r w:rsidR="00784E98" w:rsidRPr="00575CDE">
        <w:rPr>
          <w:rFonts w:ascii="Times New Roman" w:hAnsi="Times New Roman" w:cs="Times New Roman"/>
          <w:sz w:val="28"/>
          <w:szCs w:val="28"/>
        </w:rPr>
        <w:t>2012.gada 1.</w:t>
      </w:r>
      <w:r w:rsidR="00AE3688">
        <w:rPr>
          <w:rFonts w:ascii="Times New Roman" w:hAnsi="Times New Roman" w:cs="Times New Roman"/>
          <w:sz w:val="28"/>
          <w:szCs w:val="28"/>
        </w:rPr>
        <w:t xml:space="preserve">decembrim </w:t>
      </w:r>
      <w:r w:rsidR="00575CDE" w:rsidRPr="00575CDE">
        <w:rPr>
          <w:rFonts w:ascii="Times New Roman" w:hAnsi="Times New Roman" w:cs="Times New Roman"/>
          <w:sz w:val="28"/>
          <w:szCs w:val="28"/>
        </w:rPr>
        <w:t xml:space="preserve">334 personām </w:t>
      </w:r>
      <w:r w:rsidR="00784E98" w:rsidRPr="00575CDE">
        <w:rPr>
          <w:rFonts w:ascii="Times New Roman" w:hAnsi="Times New Roman" w:cs="Times New Roman"/>
          <w:sz w:val="28"/>
          <w:szCs w:val="28"/>
        </w:rPr>
        <w:t xml:space="preserve">dzēsti </w:t>
      </w:r>
      <w:r w:rsidR="00AE3688">
        <w:rPr>
          <w:rFonts w:ascii="Times New Roman" w:hAnsi="Times New Roman" w:cs="Times New Roman"/>
          <w:sz w:val="28"/>
          <w:szCs w:val="28"/>
        </w:rPr>
        <w:t>53,9 tūkstoši</w:t>
      </w:r>
      <w:r w:rsidR="00784E98" w:rsidRPr="00575CDE">
        <w:rPr>
          <w:rFonts w:ascii="Times New Roman" w:hAnsi="Times New Roman" w:cs="Times New Roman"/>
          <w:sz w:val="28"/>
          <w:szCs w:val="28"/>
        </w:rPr>
        <w:t xml:space="preserve"> īpašuma kompensācijas</w:t>
      </w:r>
      <w:r w:rsidR="00784E98" w:rsidRPr="005938C4">
        <w:rPr>
          <w:rFonts w:ascii="Times New Roman" w:hAnsi="Times New Roman" w:cs="Times New Roman"/>
          <w:sz w:val="28"/>
          <w:szCs w:val="28"/>
        </w:rPr>
        <w:t xml:space="preserve"> sertifikāti.</w:t>
      </w:r>
    </w:p>
    <w:p w:rsidR="000301E0" w:rsidRPr="005938C4" w:rsidRDefault="00A55158" w:rsidP="000A2371">
      <w:pPr>
        <w:pStyle w:val="EnvelopeReturn"/>
        <w:spacing w:after="120"/>
        <w:ind w:firstLine="720"/>
        <w:jc w:val="both"/>
        <w:rPr>
          <w:rFonts w:ascii="Times New Roman" w:hAnsi="Times New Roman" w:cs="Times New Roman"/>
          <w:sz w:val="28"/>
          <w:szCs w:val="28"/>
        </w:rPr>
      </w:pPr>
      <w:r w:rsidRPr="005938C4">
        <w:rPr>
          <w:rFonts w:ascii="Times New Roman" w:hAnsi="Times New Roman" w:cs="Times New Roman"/>
          <w:sz w:val="28"/>
          <w:szCs w:val="28"/>
        </w:rPr>
        <w:lastRenderedPageBreak/>
        <w:t>Saskaņā ar Privatizācijas pabeigšanas likuma 2</w:t>
      </w:r>
      <w:r w:rsidR="00FF1094">
        <w:rPr>
          <w:rFonts w:ascii="Times New Roman" w:hAnsi="Times New Roman" w:cs="Times New Roman"/>
          <w:sz w:val="28"/>
          <w:szCs w:val="28"/>
        </w:rPr>
        <w:t>8</w:t>
      </w:r>
      <w:r w:rsidRPr="005938C4">
        <w:rPr>
          <w:rFonts w:ascii="Times New Roman" w:hAnsi="Times New Roman" w:cs="Times New Roman"/>
          <w:sz w:val="28"/>
          <w:szCs w:val="28"/>
        </w:rPr>
        <w:t xml:space="preserve">.pantā noteikto, </w:t>
      </w:r>
      <w:r w:rsidRPr="00194BE0">
        <w:rPr>
          <w:rFonts w:ascii="Times New Roman" w:hAnsi="Times New Roman" w:cs="Times New Roman"/>
          <w:sz w:val="28"/>
          <w:szCs w:val="28"/>
        </w:rPr>
        <w:t>3,4 tūkst</w:t>
      </w:r>
      <w:r w:rsidR="00801325" w:rsidRPr="00194BE0">
        <w:rPr>
          <w:rFonts w:ascii="Times New Roman" w:hAnsi="Times New Roman" w:cs="Times New Roman"/>
          <w:sz w:val="28"/>
          <w:szCs w:val="28"/>
        </w:rPr>
        <w:t>o</w:t>
      </w:r>
      <w:r w:rsidRPr="00194BE0">
        <w:rPr>
          <w:rFonts w:ascii="Times New Roman" w:hAnsi="Times New Roman" w:cs="Times New Roman"/>
          <w:sz w:val="28"/>
          <w:szCs w:val="28"/>
        </w:rPr>
        <w:t xml:space="preserve">ši </w:t>
      </w:r>
      <w:r w:rsidR="00FD5624" w:rsidRPr="00194BE0">
        <w:rPr>
          <w:rFonts w:ascii="Times New Roman" w:hAnsi="Times New Roman" w:cs="Times New Roman"/>
          <w:sz w:val="28"/>
          <w:szCs w:val="28"/>
        </w:rPr>
        <w:t xml:space="preserve">politiski represētās </w:t>
      </w:r>
      <w:r w:rsidRPr="00194BE0">
        <w:rPr>
          <w:rFonts w:ascii="Times New Roman" w:hAnsi="Times New Roman" w:cs="Times New Roman"/>
          <w:sz w:val="28"/>
          <w:szCs w:val="28"/>
        </w:rPr>
        <w:t xml:space="preserve">personas zaudējušas tiesības dzēst </w:t>
      </w:r>
      <w:r w:rsidR="00FD5624" w:rsidRPr="00194BE0">
        <w:rPr>
          <w:rFonts w:ascii="Times New Roman" w:hAnsi="Times New Roman" w:cs="Times New Roman"/>
          <w:sz w:val="28"/>
          <w:szCs w:val="28"/>
        </w:rPr>
        <w:t>16,0</w:t>
      </w:r>
      <w:r w:rsidRPr="00194BE0">
        <w:rPr>
          <w:rFonts w:ascii="Times New Roman" w:hAnsi="Times New Roman" w:cs="Times New Roman"/>
          <w:sz w:val="28"/>
          <w:szCs w:val="28"/>
        </w:rPr>
        <w:t xml:space="preserve"> tūkstošus</w:t>
      </w:r>
      <w:r w:rsidRPr="005938C4">
        <w:rPr>
          <w:rFonts w:ascii="Times New Roman" w:hAnsi="Times New Roman" w:cs="Times New Roman"/>
          <w:sz w:val="28"/>
          <w:szCs w:val="28"/>
        </w:rPr>
        <w:t xml:space="preserve"> privatizācijas sertifikātu</w:t>
      </w:r>
      <w:r w:rsidR="005938C4" w:rsidRPr="005938C4">
        <w:rPr>
          <w:rFonts w:ascii="Times New Roman" w:hAnsi="Times New Roman" w:cs="Times New Roman"/>
          <w:sz w:val="28"/>
          <w:szCs w:val="28"/>
        </w:rPr>
        <w:t>s</w:t>
      </w:r>
      <w:r w:rsidRPr="005938C4">
        <w:rPr>
          <w:rFonts w:ascii="Times New Roman" w:hAnsi="Times New Roman" w:cs="Times New Roman"/>
          <w:sz w:val="28"/>
          <w:szCs w:val="28"/>
        </w:rPr>
        <w:t>.</w:t>
      </w:r>
    </w:p>
    <w:p w:rsidR="002438FD" w:rsidRDefault="00197BC5" w:rsidP="000A2371">
      <w:pPr>
        <w:pStyle w:val="EnvelopeReturn"/>
        <w:spacing w:after="120"/>
        <w:ind w:firstLine="720"/>
        <w:jc w:val="both"/>
        <w:rPr>
          <w:rFonts w:ascii="Times New Roman" w:hAnsi="Times New Roman" w:cs="Times New Roman"/>
          <w:sz w:val="28"/>
          <w:szCs w:val="28"/>
        </w:rPr>
      </w:pPr>
      <w:r w:rsidRPr="001402B3">
        <w:rPr>
          <w:rFonts w:ascii="Times New Roman" w:hAnsi="Times New Roman" w:cs="Times New Roman"/>
          <w:sz w:val="28"/>
          <w:szCs w:val="28"/>
        </w:rPr>
        <w:t>Līdz 2012.gada 1.</w:t>
      </w:r>
      <w:r w:rsidR="00AE3688">
        <w:rPr>
          <w:rFonts w:ascii="Times New Roman" w:hAnsi="Times New Roman" w:cs="Times New Roman"/>
          <w:sz w:val="28"/>
          <w:szCs w:val="28"/>
        </w:rPr>
        <w:t>decembrim</w:t>
      </w:r>
      <w:r w:rsidRPr="001402B3">
        <w:rPr>
          <w:rFonts w:ascii="Times New Roman" w:hAnsi="Times New Roman" w:cs="Times New Roman"/>
          <w:sz w:val="28"/>
          <w:szCs w:val="28"/>
        </w:rPr>
        <w:t>valsts un pašvaldību īpašuma privatizācijā izmantoti 107,0</w:t>
      </w:r>
      <w:r w:rsidR="00AE3688">
        <w:rPr>
          <w:rFonts w:ascii="Times New Roman" w:hAnsi="Times New Roman" w:cs="Times New Roman"/>
          <w:sz w:val="28"/>
          <w:szCs w:val="28"/>
        </w:rPr>
        <w:t>9</w:t>
      </w:r>
      <w:r w:rsidRPr="001402B3">
        <w:rPr>
          <w:rFonts w:ascii="Times New Roman" w:hAnsi="Times New Roman" w:cs="Times New Roman"/>
          <w:sz w:val="28"/>
          <w:szCs w:val="28"/>
        </w:rPr>
        <w:t xml:space="preserve"> miljoni privatizācijas sertifikāti jeb 95,3 % no kopējā piešķirto sertifikātu skaita</w:t>
      </w:r>
      <w:r w:rsidR="002438FD">
        <w:rPr>
          <w:rFonts w:ascii="Times New Roman" w:hAnsi="Times New Roman" w:cs="Times New Roman"/>
          <w:sz w:val="28"/>
          <w:szCs w:val="28"/>
        </w:rPr>
        <w:t>, no tiem 6 815,</w:t>
      </w:r>
      <w:r w:rsidR="00AE3688">
        <w:rPr>
          <w:rFonts w:ascii="Times New Roman" w:hAnsi="Times New Roman" w:cs="Times New Roman"/>
          <w:sz w:val="28"/>
          <w:szCs w:val="28"/>
        </w:rPr>
        <w:t>9</w:t>
      </w:r>
      <w:r w:rsidR="002438FD">
        <w:rPr>
          <w:rFonts w:ascii="Times New Roman" w:hAnsi="Times New Roman" w:cs="Times New Roman"/>
          <w:sz w:val="28"/>
          <w:szCs w:val="28"/>
        </w:rPr>
        <w:t xml:space="preserve"> īpašuma kompensācijas sertifikāti – 85</w:t>
      </w:r>
      <w:r w:rsidR="00AE3688">
        <w:rPr>
          <w:rFonts w:ascii="Times New Roman" w:hAnsi="Times New Roman" w:cs="Times New Roman"/>
          <w:sz w:val="28"/>
          <w:szCs w:val="28"/>
        </w:rPr>
        <w:t>,1</w:t>
      </w:r>
      <w:r w:rsidR="002438FD">
        <w:rPr>
          <w:rFonts w:ascii="Times New Roman" w:hAnsi="Times New Roman" w:cs="Times New Roman"/>
          <w:sz w:val="28"/>
          <w:szCs w:val="28"/>
        </w:rPr>
        <w:t> % no piešķirto īpašumu kompensācijas sertifikātu skaita.</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56"/>
        <w:gridCol w:w="1707"/>
        <w:gridCol w:w="2409"/>
      </w:tblGrid>
      <w:tr w:rsidR="002438FD" w:rsidTr="007051C8">
        <w:trPr>
          <w:trHeight w:val="727"/>
        </w:trPr>
        <w:tc>
          <w:tcPr>
            <w:tcW w:w="495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2438FD" w:rsidRDefault="002438FD">
            <w:pPr>
              <w:pStyle w:val="BodyText"/>
              <w:jc w:val="center"/>
              <w:rPr>
                <w:sz w:val="21"/>
              </w:rPr>
            </w:pPr>
            <w:r>
              <w:rPr>
                <w:sz w:val="21"/>
              </w:rPr>
              <w:t>Objekti</w:t>
            </w:r>
          </w:p>
        </w:tc>
        <w:tc>
          <w:tcPr>
            <w:tcW w:w="1707" w:type="dxa"/>
            <w:tcBorders>
              <w:top w:val="single" w:sz="6" w:space="0" w:color="auto"/>
              <w:left w:val="single" w:sz="6" w:space="0" w:color="auto"/>
              <w:bottom w:val="single" w:sz="6" w:space="0" w:color="auto"/>
              <w:right w:val="single" w:sz="6" w:space="0" w:color="auto"/>
            </w:tcBorders>
            <w:shd w:val="pct5" w:color="auto" w:fill="auto"/>
            <w:hideMark/>
          </w:tcPr>
          <w:p w:rsidR="002438FD" w:rsidRDefault="002438FD">
            <w:pPr>
              <w:pStyle w:val="BodyText"/>
              <w:spacing w:after="0"/>
              <w:jc w:val="center"/>
              <w:rPr>
                <w:sz w:val="21"/>
              </w:rPr>
            </w:pPr>
            <w:r>
              <w:rPr>
                <w:sz w:val="21"/>
              </w:rPr>
              <w:t>Privatizācijas sertifikātu skaits (milj</w:t>
            </w:r>
            <w:r w:rsidR="00181B47">
              <w:rPr>
                <w:sz w:val="21"/>
              </w:rPr>
              <w:t>oni</w:t>
            </w:r>
            <w:r>
              <w:rPr>
                <w:sz w:val="21"/>
              </w:rPr>
              <w:t>)</w:t>
            </w:r>
          </w:p>
        </w:tc>
        <w:tc>
          <w:tcPr>
            <w:tcW w:w="2409" w:type="dxa"/>
            <w:tcBorders>
              <w:top w:val="single" w:sz="6" w:space="0" w:color="auto"/>
              <w:left w:val="single" w:sz="6" w:space="0" w:color="auto"/>
              <w:bottom w:val="single" w:sz="6" w:space="0" w:color="auto"/>
              <w:right w:val="single" w:sz="6" w:space="0" w:color="auto"/>
            </w:tcBorders>
            <w:shd w:val="pct5" w:color="auto" w:fill="auto"/>
            <w:hideMark/>
          </w:tcPr>
          <w:p w:rsidR="002438FD" w:rsidRDefault="002438FD">
            <w:pPr>
              <w:pStyle w:val="BodyText"/>
              <w:spacing w:after="0"/>
              <w:jc w:val="center"/>
              <w:rPr>
                <w:sz w:val="21"/>
              </w:rPr>
            </w:pPr>
            <w:r>
              <w:rPr>
                <w:sz w:val="21"/>
              </w:rPr>
              <w:t>T.sk. īpašuma kompensācijas sertifikātu skaits (tūkst</w:t>
            </w:r>
            <w:r w:rsidR="00181B47">
              <w:rPr>
                <w:sz w:val="21"/>
              </w:rPr>
              <w:t>oši</w:t>
            </w:r>
            <w:r>
              <w:rPr>
                <w:sz w:val="21"/>
              </w:rPr>
              <w:t>)</w:t>
            </w:r>
          </w:p>
        </w:tc>
      </w:tr>
      <w:tr w:rsidR="002438FD" w:rsidTr="007051C8">
        <w:trPr>
          <w:trHeight w:val="363"/>
        </w:trPr>
        <w:tc>
          <w:tcPr>
            <w:tcW w:w="4956" w:type="dxa"/>
            <w:tcBorders>
              <w:top w:val="single" w:sz="6" w:space="0" w:color="auto"/>
              <w:left w:val="single" w:sz="6" w:space="0" w:color="auto"/>
              <w:bottom w:val="single" w:sz="6" w:space="0" w:color="auto"/>
              <w:right w:val="single" w:sz="6" w:space="0" w:color="auto"/>
            </w:tcBorders>
            <w:hideMark/>
          </w:tcPr>
          <w:p w:rsidR="002438FD" w:rsidRDefault="002438FD" w:rsidP="002438FD">
            <w:pPr>
              <w:pStyle w:val="BodyText"/>
              <w:spacing w:before="60" w:after="60"/>
              <w:jc w:val="both"/>
              <w:rPr>
                <w:sz w:val="21"/>
              </w:rPr>
            </w:pPr>
            <w:r>
              <w:rPr>
                <w:sz w:val="21"/>
              </w:rPr>
              <w:t>Namīpašumu un dzīvokļu iegāde</w:t>
            </w:r>
            <w:r w:rsidR="00C8600B">
              <w:rPr>
                <w:sz w:val="21"/>
              </w:rPr>
              <w:t>i</w:t>
            </w:r>
          </w:p>
        </w:tc>
        <w:tc>
          <w:tcPr>
            <w:tcW w:w="1707"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37,97</w:t>
            </w:r>
          </w:p>
        </w:tc>
        <w:tc>
          <w:tcPr>
            <w:tcW w:w="2409"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589,8</w:t>
            </w:r>
          </w:p>
        </w:tc>
      </w:tr>
      <w:tr w:rsidR="002438FD" w:rsidTr="007051C8">
        <w:trPr>
          <w:trHeight w:val="363"/>
        </w:trPr>
        <w:tc>
          <w:tcPr>
            <w:tcW w:w="4956"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both"/>
              <w:rPr>
                <w:sz w:val="21"/>
              </w:rPr>
            </w:pPr>
            <w:r>
              <w:rPr>
                <w:sz w:val="21"/>
              </w:rPr>
              <w:t>Uzņēmumu u.c. īpašumu iegādei</w:t>
            </w:r>
          </w:p>
        </w:tc>
        <w:tc>
          <w:tcPr>
            <w:tcW w:w="1707"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7,32</w:t>
            </w:r>
          </w:p>
        </w:tc>
        <w:tc>
          <w:tcPr>
            <w:tcW w:w="2409"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109,6</w:t>
            </w:r>
          </w:p>
        </w:tc>
      </w:tr>
      <w:tr w:rsidR="002438FD" w:rsidTr="007051C8">
        <w:trPr>
          <w:trHeight w:val="681"/>
        </w:trPr>
        <w:tc>
          <w:tcPr>
            <w:tcW w:w="4956" w:type="dxa"/>
            <w:tcBorders>
              <w:top w:val="single" w:sz="6" w:space="0" w:color="auto"/>
              <w:left w:val="single" w:sz="6" w:space="0" w:color="auto"/>
              <w:bottom w:val="single" w:sz="6" w:space="0" w:color="auto"/>
              <w:right w:val="single" w:sz="6" w:space="0" w:color="auto"/>
            </w:tcBorders>
            <w:hideMark/>
          </w:tcPr>
          <w:p w:rsidR="00C8600B" w:rsidRDefault="00C8600B">
            <w:pPr>
              <w:pStyle w:val="BodyText"/>
              <w:spacing w:before="60" w:after="60"/>
              <w:jc w:val="both"/>
              <w:rPr>
                <w:sz w:val="21"/>
              </w:rPr>
            </w:pPr>
            <w:r>
              <w:rPr>
                <w:sz w:val="21"/>
              </w:rPr>
              <w:t>Kapitāla daļu (akciju) iegādei,</w:t>
            </w:r>
          </w:p>
          <w:p w:rsidR="002438FD" w:rsidRDefault="002438FD">
            <w:pPr>
              <w:pStyle w:val="BodyText"/>
              <w:spacing w:before="60" w:after="60"/>
              <w:jc w:val="both"/>
              <w:rPr>
                <w:sz w:val="21"/>
              </w:rPr>
            </w:pPr>
            <w:r>
              <w:rPr>
                <w:sz w:val="21"/>
              </w:rPr>
              <w:t>t.sk. publiskajā piedāvājumā</w:t>
            </w:r>
          </w:p>
        </w:tc>
        <w:tc>
          <w:tcPr>
            <w:tcW w:w="1707"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44,46</w:t>
            </w:r>
          </w:p>
          <w:p w:rsidR="002438FD" w:rsidRDefault="002438FD">
            <w:pPr>
              <w:pStyle w:val="BodyText"/>
              <w:spacing w:before="60" w:after="60"/>
              <w:jc w:val="center"/>
              <w:rPr>
                <w:sz w:val="21"/>
              </w:rPr>
            </w:pPr>
            <w:r>
              <w:rPr>
                <w:sz w:val="21"/>
              </w:rPr>
              <w:t>37,14</w:t>
            </w:r>
          </w:p>
        </w:tc>
        <w:tc>
          <w:tcPr>
            <w:tcW w:w="2409"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954,0</w:t>
            </w:r>
          </w:p>
          <w:p w:rsidR="002438FD" w:rsidRDefault="002438FD">
            <w:pPr>
              <w:pStyle w:val="BodyText"/>
              <w:spacing w:before="60" w:after="60"/>
              <w:jc w:val="center"/>
              <w:rPr>
                <w:sz w:val="21"/>
              </w:rPr>
            </w:pPr>
            <w:r>
              <w:rPr>
                <w:sz w:val="21"/>
              </w:rPr>
              <w:t>858,0</w:t>
            </w:r>
          </w:p>
        </w:tc>
      </w:tr>
      <w:tr w:rsidR="002438FD" w:rsidTr="007051C8">
        <w:trPr>
          <w:trHeight w:val="363"/>
        </w:trPr>
        <w:tc>
          <w:tcPr>
            <w:tcW w:w="4956" w:type="dxa"/>
            <w:tcBorders>
              <w:top w:val="single" w:sz="6" w:space="0" w:color="auto"/>
              <w:left w:val="single" w:sz="6" w:space="0" w:color="auto"/>
              <w:bottom w:val="nil"/>
              <w:right w:val="single" w:sz="6" w:space="0" w:color="auto"/>
            </w:tcBorders>
            <w:hideMark/>
          </w:tcPr>
          <w:p w:rsidR="002438FD" w:rsidRDefault="002438FD">
            <w:pPr>
              <w:pStyle w:val="BodyText"/>
              <w:spacing w:before="60" w:after="60"/>
              <w:jc w:val="both"/>
              <w:rPr>
                <w:sz w:val="21"/>
              </w:rPr>
            </w:pPr>
            <w:r>
              <w:rPr>
                <w:sz w:val="21"/>
              </w:rPr>
              <w:t xml:space="preserve">Zemes </w:t>
            </w:r>
            <w:r w:rsidR="00C8600B">
              <w:rPr>
                <w:sz w:val="21"/>
              </w:rPr>
              <w:t xml:space="preserve">izpirkšanai un </w:t>
            </w:r>
            <w:r>
              <w:rPr>
                <w:sz w:val="21"/>
              </w:rPr>
              <w:t>privatizācijai</w:t>
            </w:r>
          </w:p>
        </w:tc>
        <w:tc>
          <w:tcPr>
            <w:tcW w:w="1707" w:type="dxa"/>
            <w:tcBorders>
              <w:top w:val="single" w:sz="6" w:space="0" w:color="auto"/>
              <w:left w:val="single" w:sz="6" w:space="0" w:color="auto"/>
              <w:bottom w:val="nil"/>
              <w:right w:val="single" w:sz="6" w:space="0" w:color="auto"/>
            </w:tcBorders>
            <w:hideMark/>
          </w:tcPr>
          <w:p w:rsidR="002438FD" w:rsidRDefault="002438FD">
            <w:pPr>
              <w:pStyle w:val="BodyText"/>
              <w:spacing w:before="60" w:after="60"/>
              <w:jc w:val="center"/>
              <w:rPr>
                <w:sz w:val="21"/>
              </w:rPr>
            </w:pPr>
            <w:r>
              <w:rPr>
                <w:sz w:val="21"/>
              </w:rPr>
              <w:t>17,3</w:t>
            </w:r>
            <w:r w:rsidR="00AE3688">
              <w:rPr>
                <w:sz w:val="21"/>
              </w:rPr>
              <w:t>4</w:t>
            </w:r>
          </w:p>
        </w:tc>
        <w:tc>
          <w:tcPr>
            <w:tcW w:w="2409" w:type="dxa"/>
            <w:tcBorders>
              <w:top w:val="single" w:sz="6" w:space="0" w:color="auto"/>
              <w:left w:val="single" w:sz="6" w:space="0" w:color="auto"/>
              <w:bottom w:val="nil"/>
              <w:right w:val="single" w:sz="6" w:space="0" w:color="auto"/>
            </w:tcBorders>
            <w:hideMark/>
          </w:tcPr>
          <w:p w:rsidR="002438FD" w:rsidRDefault="002438FD">
            <w:pPr>
              <w:pStyle w:val="BodyText"/>
              <w:spacing w:before="60" w:after="60"/>
              <w:jc w:val="center"/>
              <w:rPr>
                <w:sz w:val="21"/>
              </w:rPr>
            </w:pPr>
            <w:r>
              <w:rPr>
                <w:sz w:val="21"/>
              </w:rPr>
              <w:t>5162,</w:t>
            </w:r>
            <w:r w:rsidR="00AE3688">
              <w:rPr>
                <w:sz w:val="21"/>
              </w:rPr>
              <w:t>5</w:t>
            </w:r>
          </w:p>
        </w:tc>
      </w:tr>
      <w:tr w:rsidR="002438FD" w:rsidTr="007051C8">
        <w:trPr>
          <w:trHeight w:val="363"/>
        </w:trPr>
        <w:tc>
          <w:tcPr>
            <w:tcW w:w="4956" w:type="dxa"/>
            <w:tcBorders>
              <w:top w:val="single" w:sz="6" w:space="0" w:color="auto"/>
              <w:left w:val="single" w:sz="6" w:space="0" w:color="auto"/>
              <w:bottom w:val="nil"/>
              <w:right w:val="single" w:sz="6" w:space="0" w:color="auto"/>
            </w:tcBorders>
            <w:shd w:val="pct5" w:color="auto" w:fill="auto"/>
            <w:hideMark/>
          </w:tcPr>
          <w:p w:rsidR="002438FD" w:rsidRDefault="002438FD">
            <w:pPr>
              <w:pStyle w:val="BodyText"/>
              <w:spacing w:before="60" w:after="60"/>
              <w:rPr>
                <w:sz w:val="21"/>
              </w:rPr>
            </w:pPr>
            <w:r>
              <w:rPr>
                <w:sz w:val="21"/>
              </w:rPr>
              <w:t>KOPĀ</w:t>
            </w:r>
          </w:p>
        </w:tc>
        <w:tc>
          <w:tcPr>
            <w:tcW w:w="1707" w:type="dxa"/>
            <w:tcBorders>
              <w:top w:val="single" w:sz="6" w:space="0" w:color="auto"/>
              <w:left w:val="single" w:sz="6" w:space="0" w:color="auto"/>
              <w:bottom w:val="nil"/>
              <w:right w:val="single" w:sz="6" w:space="0" w:color="auto"/>
            </w:tcBorders>
            <w:shd w:val="pct5" w:color="auto" w:fill="auto"/>
            <w:hideMark/>
          </w:tcPr>
          <w:p w:rsidR="002438FD" w:rsidRDefault="002438FD">
            <w:pPr>
              <w:pStyle w:val="BodyText"/>
              <w:spacing w:before="60" w:after="60"/>
              <w:jc w:val="center"/>
              <w:rPr>
                <w:b/>
                <w:sz w:val="21"/>
              </w:rPr>
            </w:pPr>
            <w:r>
              <w:rPr>
                <w:b/>
                <w:sz w:val="21"/>
              </w:rPr>
              <w:t>107,0</w:t>
            </w:r>
            <w:r w:rsidR="00AE3688">
              <w:rPr>
                <w:b/>
                <w:sz w:val="21"/>
              </w:rPr>
              <w:t>9</w:t>
            </w:r>
          </w:p>
        </w:tc>
        <w:tc>
          <w:tcPr>
            <w:tcW w:w="2409" w:type="dxa"/>
            <w:tcBorders>
              <w:top w:val="single" w:sz="6" w:space="0" w:color="auto"/>
              <w:left w:val="single" w:sz="6" w:space="0" w:color="auto"/>
              <w:bottom w:val="nil"/>
              <w:right w:val="single" w:sz="6" w:space="0" w:color="auto"/>
            </w:tcBorders>
            <w:shd w:val="pct5" w:color="auto" w:fill="auto"/>
            <w:hideMark/>
          </w:tcPr>
          <w:p w:rsidR="002438FD" w:rsidRDefault="002438FD">
            <w:pPr>
              <w:pStyle w:val="BodyText"/>
              <w:spacing w:before="60" w:after="60"/>
              <w:jc w:val="center"/>
              <w:rPr>
                <w:b/>
                <w:sz w:val="21"/>
              </w:rPr>
            </w:pPr>
            <w:bookmarkStart w:id="0" w:name="OLE_LINK1"/>
            <w:r>
              <w:rPr>
                <w:b/>
                <w:sz w:val="21"/>
              </w:rPr>
              <w:t>6815,</w:t>
            </w:r>
            <w:bookmarkEnd w:id="0"/>
            <w:r w:rsidR="00AE3688">
              <w:rPr>
                <w:b/>
                <w:sz w:val="21"/>
              </w:rPr>
              <w:t>9</w:t>
            </w:r>
          </w:p>
        </w:tc>
      </w:tr>
      <w:tr w:rsidR="002438FD" w:rsidTr="00181B47">
        <w:trPr>
          <w:trHeight w:val="363"/>
        </w:trPr>
        <w:tc>
          <w:tcPr>
            <w:tcW w:w="4956" w:type="dxa"/>
            <w:tcBorders>
              <w:top w:val="single" w:sz="6" w:space="0" w:color="auto"/>
              <w:left w:val="single" w:sz="6" w:space="0" w:color="auto"/>
              <w:bottom w:val="single" w:sz="6" w:space="0" w:color="auto"/>
              <w:right w:val="single" w:sz="6" w:space="0" w:color="auto"/>
            </w:tcBorders>
            <w:shd w:val="pct25" w:color="auto" w:fill="auto"/>
            <w:hideMark/>
          </w:tcPr>
          <w:p w:rsidR="002438FD" w:rsidRDefault="002438FD">
            <w:pPr>
              <w:pStyle w:val="BodyText"/>
              <w:spacing w:before="60" w:after="60"/>
              <w:rPr>
                <w:sz w:val="21"/>
              </w:rPr>
            </w:pPr>
            <w:r>
              <w:rPr>
                <w:sz w:val="21"/>
              </w:rPr>
              <w:t>% no piešķirtajiem priv</w:t>
            </w:r>
            <w:r w:rsidR="00181B47">
              <w:rPr>
                <w:sz w:val="21"/>
              </w:rPr>
              <w:t>atizācijas</w:t>
            </w:r>
            <w:r>
              <w:rPr>
                <w:sz w:val="21"/>
              </w:rPr>
              <w:t>/</w:t>
            </w:r>
            <w:r w:rsidR="00181B47">
              <w:rPr>
                <w:sz w:val="21"/>
              </w:rPr>
              <w:t xml:space="preserve"> īpašuma </w:t>
            </w:r>
            <w:r>
              <w:rPr>
                <w:sz w:val="21"/>
              </w:rPr>
              <w:t>komp</w:t>
            </w:r>
            <w:r w:rsidR="00181B47">
              <w:rPr>
                <w:sz w:val="21"/>
              </w:rPr>
              <w:t>ensācijas</w:t>
            </w:r>
            <w:r>
              <w:rPr>
                <w:sz w:val="21"/>
              </w:rPr>
              <w:t xml:space="preserve"> sertifikātiem</w:t>
            </w:r>
          </w:p>
        </w:tc>
        <w:tc>
          <w:tcPr>
            <w:tcW w:w="1707" w:type="dxa"/>
            <w:tcBorders>
              <w:top w:val="single" w:sz="6" w:space="0" w:color="auto"/>
              <w:left w:val="single" w:sz="6" w:space="0" w:color="auto"/>
              <w:bottom w:val="single" w:sz="6" w:space="0" w:color="auto"/>
              <w:right w:val="single" w:sz="6" w:space="0" w:color="auto"/>
            </w:tcBorders>
            <w:shd w:val="pct25" w:color="auto" w:fill="auto"/>
            <w:vAlign w:val="center"/>
            <w:hideMark/>
          </w:tcPr>
          <w:p w:rsidR="002438FD" w:rsidRDefault="002438FD" w:rsidP="00181B47">
            <w:pPr>
              <w:pStyle w:val="BodyText"/>
              <w:spacing w:before="60" w:after="60"/>
              <w:jc w:val="center"/>
              <w:rPr>
                <w:sz w:val="21"/>
              </w:rPr>
            </w:pPr>
            <w:r>
              <w:rPr>
                <w:sz w:val="21"/>
              </w:rPr>
              <w:t>95,3 %</w:t>
            </w:r>
          </w:p>
        </w:tc>
        <w:tc>
          <w:tcPr>
            <w:tcW w:w="2409" w:type="dxa"/>
            <w:tcBorders>
              <w:top w:val="single" w:sz="6" w:space="0" w:color="auto"/>
              <w:left w:val="single" w:sz="6" w:space="0" w:color="auto"/>
              <w:bottom w:val="single" w:sz="6" w:space="0" w:color="auto"/>
              <w:right w:val="single" w:sz="6" w:space="0" w:color="auto"/>
            </w:tcBorders>
            <w:shd w:val="pct25" w:color="auto" w:fill="auto"/>
            <w:vAlign w:val="center"/>
            <w:hideMark/>
          </w:tcPr>
          <w:p w:rsidR="002438FD" w:rsidRDefault="002438FD" w:rsidP="00181B47">
            <w:pPr>
              <w:pStyle w:val="BodyText"/>
              <w:spacing w:before="60" w:after="60"/>
              <w:jc w:val="center"/>
              <w:rPr>
                <w:sz w:val="21"/>
              </w:rPr>
            </w:pPr>
            <w:r>
              <w:rPr>
                <w:sz w:val="21"/>
              </w:rPr>
              <w:t>85,0 %</w:t>
            </w:r>
          </w:p>
        </w:tc>
      </w:tr>
    </w:tbl>
    <w:p w:rsidR="005938C4" w:rsidRDefault="00A11A1B" w:rsidP="007051C8">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No 2008.gada 1.</w:t>
      </w:r>
      <w:r w:rsidR="00197BC5" w:rsidRPr="001402B3">
        <w:rPr>
          <w:rFonts w:ascii="Times New Roman" w:hAnsi="Times New Roman" w:cs="Times New Roman"/>
          <w:sz w:val="28"/>
          <w:szCs w:val="28"/>
        </w:rPr>
        <w:t>aprīļa līdz 2012.</w:t>
      </w:r>
      <w:r>
        <w:rPr>
          <w:rFonts w:ascii="Times New Roman" w:hAnsi="Times New Roman" w:cs="Times New Roman"/>
          <w:sz w:val="28"/>
          <w:szCs w:val="28"/>
        </w:rPr>
        <w:t>gada 1.</w:t>
      </w:r>
      <w:r w:rsidR="00AE3688">
        <w:rPr>
          <w:rFonts w:ascii="Times New Roman" w:hAnsi="Times New Roman" w:cs="Times New Roman"/>
          <w:sz w:val="28"/>
          <w:szCs w:val="28"/>
        </w:rPr>
        <w:t>decembrim</w:t>
      </w:r>
      <w:r w:rsidR="00197BC5" w:rsidRPr="001402B3">
        <w:rPr>
          <w:rFonts w:ascii="Times New Roman" w:hAnsi="Times New Roman" w:cs="Times New Roman"/>
          <w:sz w:val="28"/>
          <w:szCs w:val="28"/>
        </w:rPr>
        <w:t>4</w:t>
      </w:r>
      <w:r w:rsidR="00186DEE">
        <w:rPr>
          <w:rFonts w:ascii="Times New Roman" w:hAnsi="Times New Roman" w:cs="Times New Roman"/>
          <w:sz w:val="28"/>
          <w:szCs w:val="28"/>
        </w:rPr>
        <w:t>70</w:t>
      </w:r>
      <w:r w:rsidR="00197BC5" w:rsidRPr="001402B3">
        <w:rPr>
          <w:rFonts w:ascii="Times New Roman" w:hAnsi="Times New Roman" w:cs="Times New Roman"/>
          <w:sz w:val="28"/>
          <w:szCs w:val="28"/>
        </w:rPr>
        <w:t>,</w:t>
      </w:r>
      <w:r w:rsidR="00186DEE">
        <w:rPr>
          <w:rFonts w:ascii="Times New Roman" w:hAnsi="Times New Roman" w:cs="Times New Roman"/>
          <w:sz w:val="28"/>
          <w:szCs w:val="28"/>
        </w:rPr>
        <w:t>74</w:t>
      </w:r>
      <w:r w:rsidR="00197BC5" w:rsidRPr="001402B3">
        <w:rPr>
          <w:rFonts w:ascii="Times New Roman" w:hAnsi="Times New Roman" w:cs="Times New Roman"/>
          <w:sz w:val="28"/>
          <w:szCs w:val="28"/>
        </w:rPr>
        <w:t xml:space="preserve"> tūkst</w:t>
      </w:r>
      <w:r w:rsidR="00307DEC">
        <w:rPr>
          <w:rFonts w:ascii="Times New Roman" w:hAnsi="Times New Roman" w:cs="Times New Roman"/>
          <w:sz w:val="28"/>
          <w:szCs w:val="28"/>
        </w:rPr>
        <w:t>ošu</w:t>
      </w:r>
      <w:r w:rsidR="00197BC5" w:rsidRPr="001402B3">
        <w:rPr>
          <w:rFonts w:ascii="Times New Roman" w:hAnsi="Times New Roman" w:cs="Times New Roman"/>
          <w:sz w:val="28"/>
          <w:szCs w:val="28"/>
        </w:rPr>
        <w:t xml:space="preserve"> īpašuma kompensācijas sertifikātu vietā ir izmantoti 5</w:t>
      </w:r>
      <w:r w:rsidR="00C8600B">
        <w:rPr>
          <w:rFonts w:ascii="Times New Roman" w:hAnsi="Times New Roman" w:cs="Times New Roman"/>
          <w:sz w:val="28"/>
          <w:szCs w:val="28"/>
        </w:rPr>
        <w:t>9</w:t>
      </w:r>
      <w:r w:rsidR="00186DEE">
        <w:rPr>
          <w:rFonts w:ascii="Times New Roman" w:hAnsi="Times New Roman" w:cs="Times New Roman"/>
          <w:sz w:val="28"/>
          <w:szCs w:val="28"/>
        </w:rPr>
        <w:t>8</w:t>
      </w:r>
      <w:r w:rsidR="00197BC5" w:rsidRPr="001402B3">
        <w:rPr>
          <w:rFonts w:ascii="Times New Roman" w:hAnsi="Times New Roman" w:cs="Times New Roman"/>
          <w:sz w:val="28"/>
          <w:szCs w:val="28"/>
        </w:rPr>
        <w:t>,</w:t>
      </w:r>
      <w:r w:rsidR="00186DEE">
        <w:rPr>
          <w:rFonts w:ascii="Times New Roman" w:hAnsi="Times New Roman" w:cs="Times New Roman"/>
          <w:sz w:val="28"/>
          <w:szCs w:val="28"/>
        </w:rPr>
        <w:t>10</w:t>
      </w:r>
      <w:r w:rsidR="00197BC5" w:rsidRPr="001402B3">
        <w:rPr>
          <w:rFonts w:ascii="Times New Roman" w:hAnsi="Times New Roman" w:cs="Times New Roman"/>
          <w:sz w:val="28"/>
          <w:szCs w:val="28"/>
        </w:rPr>
        <w:t xml:space="preserve"> tūkstoši privatizācijas sertifikāti.</w:t>
      </w:r>
    </w:p>
    <w:p w:rsidR="00A76DFF" w:rsidRDefault="00902A0A" w:rsidP="008A01D6">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Ministru kabineta 2007.gada 16.oktobra noteikumu Nr.712 „Privatizācijas sertifikātu izmantošanas noteikumi”</w:t>
      </w:r>
      <w:r w:rsidR="00CF460F">
        <w:rPr>
          <w:rFonts w:ascii="Times New Roman" w:hAnsi="Times New Roman" w:cs="Times New Roman"/>
          <w:sz w:val="28"/>
          <w:szCs w:val="28"/>
        </w:rPr>
        <w:t xml:space="preserve"> (turpmāk – noteikumi Nr.712)</w:t>
      </w:r>
      <w:r>
        <w:rPr>
          <w:rFonts w:ascii="Times New Roman" w:hAnsi="Times New Roman" w:cs="Times New Roman"/>
          <w:sz w:val="28"/>
          <w:szCs w:val="28"/>
        </w:rPr>
        <w:t xml:space="preserve"> 2.punkts nosaka, ka privatizācijas </w:t>
      </w:r>
      <w:r w:rsidRPr="00902A0A">
        <w:rPr>
          <w:rFonts w:ascii="Times New Roman" w:hAnsi="Times New Roman" w:cs="Times New Roman"/>
          <w:sz w:val="28"/>
          <w:szCs w:val="28"/>
        </w:rPr>
        <w:t>sertifikātu kontus atve</w:t>
      </w:r>
      <w:r>
        <w:rPr>
          <w:rFonts w:ascii="Times New Roman" w:hAnsi="Times New Roman" w:cs="Times New Roman"/>
          <w:sz w:val="28"/>
          <w:szCs w:val="28"/>
        </w:rPr>
        <w:t>r un apkalpo akciju sabiedrība „</w:t>
      </w:r>
      <w:r w:rsidRPr="00902A0A">
        <w:rPr>
          <w:rFonts w:ascii="Times New Roman" w:hAnsi="Times New Roman" w:cs="Times New Roman"/>
          <w:sz w:val="28"/>
          <w:szCs w:val="28"/>
        </w:rPr>
        <w:t>Latvijas Krājbanka</w:t>
      </w:r>
      <w:r>
        <w:rPr>
          <w:rFonts w:ascii="Times New Roman" w:hAnsi="Times New Roman" w:cs="Times New Roman"/>
          <w:sz w:val="28"/>
          <w:szCs w:val="28"/>
        </w:rPr>
        <w:t>” un valsts akciju sabiedrība „</w:t>
      </w:r>
      <w:r w:rsidRPr="00902A0A">
        <w:rPr>
          <w:rFonts w:ascii="Times New Roman" w:hAnsi="Times New Roman" w:cs="Times New Roman"/>
          <w:sz w:val="28"/>
          <w:szCs w:val="28"/>
        </w:rPr>
        <w:t>Latvijas Hipotēku un zemes banka</w:t>
      </w:r>
      <w:r>
        <w:rPr>
          <w:rFonts w:ascii="Times New Roman" w:hAnsi="Times New Roman" w:cs="Times New Roman"/>
          <w:sz w:val="28"/>
          <w:szCs w:val="28"/>
        </w:rPr>
        <w:t>”</w:t>
      </w:r>
      <w:r w:rsidR="00CA699E">
        <w:rPr>
          <w:rFonts w:ascii="Times New Roman" w:hAnsi="Times New Roman" w:cs="Times New Roman"/>
          <w:sz w:val="28"/>
          <w:szCs w:val="28"/>
        </w:rPr>
        <w:t xml:space="preserve"> (turpmāk – Hipotēku banka)</w:t>
      </w:r>
      <w:r w:rsidRPr="00902A0A">
        <w:rPr>
          <w:rFonts w:ascii="Times New Roman" w:hAnsi="Times New Roman" w:cs="Times New Roman"/>
          <w:sz w:val="28"/>
          <w:szCs w:val="28"/>
        </w:rPr>
        <w:t xml:space="preserve">, kā arī citas kredītiestādes, kurām ir tiesības pieņemt fizisko personu naudas noguldījumus (šo noteikumu 31.9.apakšpunkts) un kuras savus iekšējos noteikumus (šo noteikumu 3.punkts) ir saskaņojušas ar </w:t>
      </w:r>
      <w:r w:rsidR="009F4B62">
        <w:rPr>
          <w:rFonts w:ascii="Times New Roman" w:hAnsi="Times New Roman" w:cs="Times New Roman"/>
          <w:sz w:val="28"/>
          <w:szCs w:val="28"/>
        </w:rPr>
        <w:t xml:space="preserve">privatizācijas </w:t>
      </w:r>
      <w:r w:rsidRPr="00902A0A">
        <w:rPr>
          <w:rFonts w:ascii="Times New Roman" w:hAnsi="Times New Roman" w:cs="Times New Roman"/>
          <w:sz w:val="28"/>
          <w:szCs w:val="28"/>
        </w:rPr>
        <w:t xml:space="preserve">sertifikātu tirgus starpniecības </w:t>
      </w:r>
      <w:r w:rsidRPr="008A01D6">
        <w:rPr>
          <w:rFonts w:ascii="Times New Roman" w:hAnsi="Times New Roman" w:cs="Times New Roman"/>
          <w:sz w:val="28"/>
          <w:szCs w:val="28"/>
        </w:rPr>
        <w:t>kapitālsabiedrību licencēšanas komisiju.</w:t>
      </w:r>
      <w:r w:rsidR="0064234A">
        <w:rPr>
          <w:rFonts w:ascii="Times New Roman" w:hAnsi="Times New Roman" w:cs="Times New Roman"/>
          <w:sz w:val="28"/>
          <w:szCs w:val="28"/>
        </w:rPr>
        <w:t xml:space="preserve"> </w:t>
      </w:r>
      <w:r w:rsidR="005437A4" w:rsidRPr="008A01D6">
        <w:rPr>
          <w:rFonts w:ascii="Times New Roman" w:hAnsi="Times New Roman" w:cs="Times New Roman"/>
          <w:sz w:val="28"/>
          <w:szCs w:val="28"/>
        </w:rPr>
        <w:t>Uz 2012.gada 1.</w:t>
      </w:r>
      <w:r w:rsidR="002844D7">
        <w:rPr>
          <w:rFonts w:ascii="Times New Roman" w:hAnsi="Times New Roman" w:cs="Times New Roman"/>
          <w:sz w:val="28"/>
          <w:szCs w:val="28"/>
        </w:rPr>
        <w:t xml:space="preserve">decembri </w:t>
      </w:r>
      <w:r w:rsidR="00A76DFF" w:rsidRPr="008A01D6">
        <w:rPr>
          <w:rFonts w:ascii="Times New Roman" w:hAnsi="Times New Roman" w:cs="Times New Roman"/>
          <w:sz w:val="28"/>
          <w:szCs w:val="28"/>
        </w:rPr>
        <w:t xml:space="preserve">fizisko personu </w:t>
      </w:r>
      <w:r w:rsidR="005437A4" w:rsidRPr="008A01D6">
        <w:rPr>
          <w:rFonts w:ascii="Times New Roman" w:hAnsi="Times New Roman" w:cs="Times New Roman"/>
          <w:sz w:val="28"/>
          <w:szCs w:val="28"/>
        </w:rPr>
        <w:t xml:space="preserve">privatizācijas sertifikātu </w:t>
      </w:r>
      <w:r w:rsidR="00A76DFF" w:rsidRPr="008A01D6">
        <w:rPr>
          <w:rFonts w:ascii="Times New Roman" w:hAnsi="Times New Roman" w:cs="Times New Roman"/>
          <w:sz w:val="28"/>
          <w:szCs w:val="28"/>
        </w:rPr>
        <w:t xml:space="preserve">kontos </w:t>
      </w:r>
      <w:r w:rsidR="0075242D">
        <w:rPr>
          <w:rFonts w:ascii="Times New Roman" w:hAnsi="Times New Roman" w:cs="Times New Roman"/>
          <w:sz w:val="28"/>
          <w:szCs w:val="28"/>
        </w:rPr>
        <w:t>ir saglabājušies 2,</w:t>
      </w:r>
      <w:r w:rsidR="00CF6ED5">
        <w:rPr>
          <w:rFonts w:ascii="Times New Roman" w:hAnsi="Times New Roman" w:cs="Times New Roman"/>
          <w:sz w:val="28"/>
          <w:szCs w:val="28"/>
        </w:rPr>
        <w:t>099</w:t>
      </w:r>
      <w:r w:rsidR="00A76DFF" w:rsidRPr="008A01D6">
        <w:rPr>
          <w:rFonts w:ascii="Times New Roman" w:hAnsi="Times New Roman" w:cs="Times New Roman"/>
          <w:sz w:val="28"/>
          <w:szCs w:val="28"/>
        </w:rPr>
        <w:t xml:space="preserve"> miljoni privatizācijas sertifikāti jeb 1,9</w:t>
      </w:r>
      <w:r w:rsidR="005437A4" w:rsidRPr="008A01D6">
        <w:rPr>
          <w:rFonts w:ascii="Times New Roman" w:hAnsi="Times New Roman" w:cs="Times New Roman"/>
          <w:sz w:val="28"/>
          <w:szCs w:val="28"/>
        </w:rPr>
        <w:t> </w:t>
      </w:r>
      <w:r w:rsidR="00A76DFF" w:rsidRPr="008A01D6">
        <w:rPr>
          <w:rFonts w:ascii="Times New Roman" w:hAnsi="Times New Roman" w:cs="Times New Roman"/>
          <w:sz w:val="28"/>
          <w:szCs w:val="28"/>
        </w:rPr>
        <w:t xml:space="preserve">% no kopējā piešķirto </w:t>
      </w:r>
      <w:r w:rsidR="005437A4" w:rsidRPr="008A01D6">
        <w:rPr>
          <w:rFonts w:ascii="Times New Roman" w:hAnsi="Times New Roman" w:cs="Times New Roman"/>
          <w:sz w:val="28"/>
          <w:szCs w:val="28"/>
        </w:rPr>
        <w:t xml:space="preserve">privatizācijas </w:t>
      </w:r>
      <w:r w:rsidR="00A76DFF" w:rsidRPr="008A01D6">
        <w:rPr>
          <w:rFonts w:ascii="Times New Roman" w:hAnsi="Times New Roman" w:cs="Times New Roman"/>
          <w:sz w:val="28"/>
          <w:szCs w:val="28"/>
        </w:rPr>
        <w:t>sertifikātu skaita, tajā skaitā 0,1</w:t>
      </w:r>
      <w:r w:rsidR="0075242D">
        <w:rPr>
          <w:rFonts w:ascii="Times New Roman" w:hAnsi="Times New Roman" w:cs="Times New Roman"/>
          <w:sz w:val="28"/>
          <w:szCs w:val="28"/>
        </w:rPr>
        <w:t>1</w:t>
      </w:r>
      <w:r w:rsidR="00CF6ED5">
        <w:rPr>
          <w:rFonts w:ascii="Times New Roman" w:hAnsi="Times New Roman" w:cs="Times New Roman"/>
          <w:sz w:val="28"/>
          <w:szCs w:val="28"/>
        </w:rPr>
        <w:t>1</w:t>
      </w:r>
      <w:r w:rsidR="00A76DFF" w:rsidRPr="008A01D6">
        <w:rPr>
          <w:rFonts w:ascii="Times New Roman" w:hAnsi="Times New Roman" w:cs="Times New Roman"/>
          <w:sz w:val="28"/>
          <w:szCs w:val="28"/>
        </w:rPr>
        <w:t xml:space="preserve">miljoni </w:t>
      </w:r>
      <w:r w:rsidR="005437A4" w:rsidRPr="008A01D6">
        <w:rPr>
          <w:rFonts w:ascii="Times New Roman" w:hAnsi="Times New Roman" w:cs="Times New Roman"/>
          <w:sz w:val="28"/>
          <w:szCs w:val="28"/>
        </w:rPr>
        <w:t xml:space="preserve">īpašuma </w:t>
      </w:r>
      <w:r w:rsidR="00A76DFF" w:rsidRPr="008A01D6">
        <w:rPr>
          <w:rFonts w:ascii="Times New Roman" w:hAnsi="Times New Roman" w:cs="Times New Roman"/>
          <w:sz w:val="28"/>
          <w:szCs w:val="28"/>
        </w:rPr>
        <w:t>kompensācijas sertifikāti.</w:t>
      </w:r>
      <w:r w:rsidR="005437A4" w:rsidRPr="008A01D6">
        <w:rPr>
          <w:rFonts w:ascii="Times New Roman" w:hAnsi="Times New Roman" w:cs="Times New Roman"/>
          <w:sz w:val="28"/>
          <w:szCs w:val="28"/>
        </w:rPr>
        <w:t xml:space="preserve"> Juridisko personu privatizācijas sertifikātu kontos uz 2012.gada 1.</w:t>
      </w:r>
      <w:r w:rsidR="002844D7">
        <w:rPr>
          <w:rFonts w:ascii="Times New Roman" w:hAnsi="Times New Roman" w:cs="Times New Roman"/>
          <w:sz w:val="28"/>
          <w:szCs w:val="28"/>
        </w:rPr>
        <w:t>decembri</w:t>
      </w:r>
      <w:r w:rsidR="005437A4" w:rsidRPr="008A01D6">
        <w:rPr>
          <w:rFonts w:ascii="Times New Roman" w:hAnsi="Times New Roman" w:cs="Times New Roman"/>
          <w:sz w:val="28"/>
          <w:szCs w:val="28"/>
        </w:rPr>
        <w:t xml:space="preserve">bija </w:t>
      </w:r>
      <w:r w:rsidR="002844D7">
        <w:rPr>
          <w:rFonts w:ascii="Times New Roman" w:hAnsi="Times New Roman" w:cs="Times New Roman"/>
          <w:sz w:val="28"/>
          <w:szCs w:val="28"/>
        </w:rPr>
        <w:t>0,718</w:t>
      </w:r>
      <w:r w:rsidR="005437A4" w:rsidRPr="008A01D6">
        <w:rPr>
          <w:rFonts w:ascii="Times New Roman" w:hAnsi="Times New Roman" w:cs="Times New Roman"/>
          <w:sz w:val="28"/>
          <w:szCs w:val="28"/>
        </w:rPr>
        <w:t xml:space="preserve"> miljoni privatizācijas sertifikāti jeb 0,6 % no kopējā piešķirto privatizācijas sertifikātu skaita, tai skaitā, 0,00</w:t>
      </w:r>
      <w:r w:rsidR="002844D7">
        <w:rPr>
          <w:rFonts w:ascii="Times New Roman" w:hAnsi="Times New Roman" w:cs="Times New Roman"/>
          <w:sz w:val="28"/>
          <w:szCs w:val="28"/>
        </w:rPr>
        <w:t>6</w:t>
      </w:r>
      <w:r w:rsidR="005437A4" w:rsidRPr="008A01D6">
        <w:rPr>
          <w:rFonts w:ascii="Times New Roman" w:hAnsi="Times New Roman" w:cs="Times New Roman"/>
          <w:sz w:val="28"/>
          <w:szCs w:val="28"/>
        </w:rPr>
        <w:t xml:space="preserve"> miljoni īpašuma kompensācijas sertifikāti. No visiem juridisko personu privatizācijas sertifikātu kontos esošiem privatizācijas sertifikātiem starpniecības sabiedrību tirdzniecības kontos </w:t>
      </w:r>
      <w:r w:rsidR="00215587" w:rsidRPr="008A01D6">
        <w:rPr>
          <w:rFonts w:ascii="Times New Roman" w:hAnsi="Times New Roman" w:cs="Times New Roman"/>
          <w:sz w:val="28"/>
          <w:szCs w:val="28"/>
        </w:rPr>
        <w:t>uz 2012.gada 1.</w:t>
      </w:r>
      <w:r w:rsidR="002844D7">
        <w:rPr>
          <w:rFonts w:ascii="Times New Roman" w:hAnsi="Times New Roman" w:cs="Times New Roman"/>
          <w:sz w:val="28"/>
          <w:szCs w:val="28"/>
        </w:rPr>
        <w:t>decembri</w:t>
      </w:r>
      <w:r w:rsidR="00215587" w:rsidRPr="008A01D6">
        <w:rPr>
          <w:rFonts w:ascii="Times New Roman" w:hAnsi="Times New Roman" w:cs="Times New Roman"/>
          <w:sz w:val="28"/>
          <w:szCs w:val="28"/>
        </w:rPr>
        <w:t>atradā</w:t>
      </w:r>
      <w:r w:rsidR="005437A4" w:rsidRPr="008A01D6">
        <w:rPr>
          <w:rFonts w:ascii="Times New Roman" w:hAnsi="Times New Roman" w:cs="Times New Roman"/>
          <w:sz w:val="28"/>
          <w:szCs w:val="28"/>
        </w:rPr>
        <w:t>s 0,</w:t>
      </w:r>
      <w:r w:rsidR="002844D7">
        <w:rPr>
          <w:rFonts w:ascii="Times New Roman" w:hAnsi="Times New Roman" w:cs="Times New Roman"/>
          <w:sz w:val="28"/>
          <w:szCs w:val="28"/>
        </w:rPr>
        <w:t>69</w:t>
      </w:r>
      <w:r w:rsidR="005437A4" w:rsidRPr="008A01D6">
        <w:rPr>
          <w:rFonts w:ascii="Times New Roman" w:hAnsi="Times New Roman" w:cs="Times New Roman"/>
          <w:sz w:val="28"/>
          <w:szCs w:val="28"/>
        </w:rPr>
        <w:t xml:space="preserve"> miljon</w:t>
      </w:r>
      <w:r w:rsidR="0075242D">
        <w:rPr>
          <w:rFonts w:ascii="Times New Roman" w:hAnsi="Times New Roman" w:cs="Times New Roman"/>
          <w:sz w:val="28"/>
          <w:szCs w:val="28"/>
        </w:rPr>
        <w:t>i</w:t>
      </w:r>
      <w:r w:rsidR="005437A4" w:rsidRPr="008A01D6">
        <w:rPr>
          <w:rFonts w:ascii="Times New Roman" w:hAnsi="Times New Roman" w:cs="Times New Roman"/>
          <w:sz w:val="28"/>
          <w:szCs w:val="28"/>
        </w:rPr>
        <w:t xml:space="preserve"> privatizācijas sertifikāti</w:t>
      </w:r>
      <w:r w:rsidR="00215587" w:rsidRPr="008A01D6">
        <w:rPr>
          <w:rFonts w:ascii="Times New Roman" w:hAnsi="Times New Roman" w:cs="Times New Roman"/>
          <w:sz w:val="28"/>
          <w:szCs w:val="28"/>
        </w:rPr>
        <w:t xml:space="preserve"> un 0,00</w:t>
      </w:r>
      <w:r w:rsidR="002844D7">
        <w:rPr>
          <w:rFonts w:ascii="Times New Roman" w:hAnsi="Times New Roman" w:cs="Times New Roman"/>
          <w:sz w:val="28"/>
          <w:szCs w:val="28"/>
        </w:rPr>
        <w:t>4</w:t>
      </w:r>
      <w:r w:rsidR="00215587" w:rsidRPr="008A01D6">
        <w:rPr>
          <w:rFonts w:ascii="Times New Roman" w:hAnsi="Times New Roman" w:cs="Times New Roman"/>
          <w:sz w:val="28"/>
          <w:szCs w:val="28"/>
        </w:rPr>
        <w:t xml:space="preserve"> miljoni īpašuma kompensācijas sertifikāti</w:t>
      </w:r>
      <w:r w:rsidR="005437A4" w:rsidRPr="008A01D6">
        <w:rPr>
          <w:rFonts w:ascii="Times New Roman" w:hAnsi="Times New Roman" w:cs="Times New Roman"/>
          <w:sz w:val="28"/>
          <w:szCs w:val="28"/>
        </w:rPr>
        <w:t>.</w:t>
      </w:r>
    </w:p>
    <w:p w:rsidR="006C0878" w:rsidRDefault="00280F40" w:rsidP="008A01D6">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ievērojot noteikumu Nr.712 2.punktu, </w:t>
      </w:r>
      <w:r w:rsidR="006C0878">
        <w:rPr>
          <w:rFonts w:ascii="Times New Roman" w:hAnsi="Times New Roman" w:cs="Times New Roman"/>
          <w:sz w:val="28"/>
          <w:szCs w:val="28"/>
        </w:rPr>
        <w:t xml:space="preserve">vienīgās kredītiestādes, kuras savus iekšējos noteikumus ir saskaņojušas ar </w:t>
      </w:r>
      <w:r w:rsidR="009F4B62">
        <w:rPr>
          <w:rFonts w:ascii="Times New Roman" w:hAnsi="Times New Roman" w:cs="Times New Roman"/>
          <w:sz w:val="28"/>
          <w:szCs w:val="28"/>
        </w:rPr>
        <w:t xml:space="preserve">privatizācijas </w:t>
      </w:r>
      <w:r w:rsidR="006C0878" w:rsidRPr="00902A0A">
        <w:rPr>
          <w:rFonts w:ascii="Times New Roman" w:hAnsi="Times New Roman" w:cs="Times New Roman"/>
          <w:sz w:val="28"/>
          <w:szCs w:val="28"/>
        </w:rPr>
        <w:t xml:space="preserve">sertifikātu </w:t>
      </w:r>
      <w:r w:rsidR="006C0878" w:rsidRPr="00902A0A">
        <w:rPr>
          <w:rFonts w:ascii="Times New Roman" w:hAnsi="Times New Roman" w:cs="Times New Roman"/>
          <w:sz w:val="28"/>
          <w:szCs w:val="28"/>
        </w:rPr>
        <w:lastRenderedPageBreak/>
        <w:t xml:space="preserve">tirgus starpniecības </w:t>
      </w:r>
      <w:r w:rsidR="006C0878" w:rsidRPr="008A01D6">
        <w:rPr>
          <w:rFonts w:ascii="Times New Roman" w:hAnsi="Times New Roman" w:cs="Times New Roman"/>
          <w:sz w:val="28"/>
          <w:szCs w:val="28"/>
        </w:rPr>
        <w:t>kapitālsabiedrību licencēšanas komisiju</w:t>
      </w:r>
      <w:r w:rsidR="006240E6">
        <w:rPr>
          <w:rFonts w:ascii="Times New Roman" w:hAnsi="Times New Roman" w:cs="Times New Roman"/>
          <w:sz w:val="28"/>
          <w:szCs w:val="28"/>
        </w:rPr>
        <w:t xml:space="preserve"> un kurām tādejādi ir tiesības atvērt un apkalpot privatizācijas sertifikātu kontus</w:t>
      </w:r>
      <w:r w:rsidR="006C0878">
        <w:rPr>
          <w:rFonts w:ascii="Times New Roman" w:hAnsi="Times New Roman" w:cs="Times New Roman"/>
          <w:sz w:val="28"/>
          <w:szCs w:val="28"/>
        </w:rPr>
        <w:t>, ir Hipotēku banka un likvidējamā akciju sabiedrība „Latvijas Krājbanka”.</w:t>
      </w:r>
    </w:p>
    <w:p w:rsidR="001030BD" w:rsidRDefault="00BE7C9E" w:rsidP="008A01D6">
      <w:pPr>
        <w:pStyle w:val="EnvelopeReturn"/>
        <w:spacing w:after="120"/>
        <w:ind w:firstLine="720"/>
        <w:jc w:val="both"/>
        <w:rPr>
          <w:rFonts w:ascii="Times New Roman" w:hAnsi="Times New Roman" w:cs="Times New Roman"/>
          <w:sz w:val="28"/>
          <w:szCs w:val="28"/>
        </w:rPr>
      </w:pPr>
      <w:r w:rsidRPr="00BE7C9E">
        <w:rPr>
          <w:rFonts w:ascii="Times New Roman" w:hAnsi="Times New Roman" w:cs="Times New Roman"/>
          <w:sz w:val="28"/>
          <w:szCs w:val="28"/>
        </w:rPr>
        <w:t>Hipotēku bankā</w:t>
      </w:r>
      <w:r>
        <w:rPr>
          <w:rFonts w:ascii="Times New Roman" w:hAnsi="Times New Roman" w:cs="Times New Roman"/>
          <w:sz w:val="28"/>
          <w:szCs w:val="28"/>
        </w:rPr>
        <w:t xml:space="preserve"> 2012.gada 26</w:t>
      </w:r>
      <w:r w:rsidRPr="00BE7C9E">
        <w:rPr>
          <w:rFonts w:ascii="Times New Roman" w:hAnsi="Times New Roman" w:cs="Times New Roman"/>
          <w:sz w:val="28"/>
          <w:szCs w:val="28"/>
        </w:rPr>
        <w:t>.</w:t>
      </w:r>
      <w:r>
        <w:rPr>
          <w:rFonts w:ascii="Times New Roman" w:hAnsi="Times New Roman" w:cs="Times New Roman"/>
          <w:sz w:val="28"/>
          <w:szCs w:val="28"/>
        </w:rPr>
        <w:t xml:space="preserve">novembrī klientiem </w:t>
      </w:r>
      <w:r w:rsidRPr="00BE7C9E">
        <w:rPr>
          <w:rFonts w:ascii="Times New Roman" w:hAnsi="Times New Roman" w:cs="Times New Roman"/>
          <w:sz w:val="28"/>
          <w:szCs w:val="28"/>
        </w:rPr>
        <w:t>bija atvērti 3</w:t>
      </w:r>
      <w:r>
        <w:rPr>
          <w:rFonts w:ascii="Times New Roman" w:hAnsi="Times New Roman" w:cs="Times New Roman"/>
          <w:sz w:val="28"/>
          <w:szCs w:val="28"/>
        </w:rPr>
        <w:t>4 936</w:t>
      </w:r>
      <w:r w:rsidRPr="00BE7C9E">
        <w:rPr>
          <w:rFonts w:ascii="Times New Roman" w:hAnsi="Times New Roman" w:cs="Times New Roman"/>
          <w:sz w:val="28"/>
          <w:szCs w:val="28"/>
        </w:rPr>
        <w:t xml:space="preserve"> privatizācijas sertifikātu konti</w:t>
      </w:r>
      <w:r w:rsidR="006C3B61">
        <w:rPr>
          <w:rFonts w:ascii="Times New Roman" w:hAnsi="Times New Roman" w:cs="Times New Roman"/>
          <w:sz w:val="28"/>
          <w:szCs w:val="28"/>
        </w:rPr>
        <w:t xml:space="preserve"> (neskaitot uzkrāšanas kontus)</w:t>
      </w:r>
      <w:r w:rsidRPr="00BE7C9E">
        <w:rPr>
          <w:rFonts w:ascii="Times New Roman" w:hAnsi="Times New Roman" w:cs="Times New Roman"/>
          <w:sz w:val="28"/>
          <w:szCs w:val="28"/>
        </w:rPr>
        <w:t xml:space="preserve">, kuros atradās </w:t>
      </w:r>
      <w:r>
        <w:rPr>
          <w:rFonts w:ascii="Times New Roman" w:hAnsi="Times New Roman" w:cs="Times New Roman"/>
          <w:sz w:val="28"/>
          <w:szCs w:val="28"/>
        </w:rPr>
        <w:t>200 013</w:t>
      </w:r>
      <w:r w:rsidRPr="00BE7C9E">
        <w:rPr>
          <w:rFonts w:ascii="Times New Roman" w:hAnsi="Times New Roman" w:cs="Times New Roman"/>
          <w:sz w:val="28"/>
          <w:szCs w:val="28"/>
        </w:rPr>
        <w:t>,</w:t>
      </w:r>
      <w:r>
        <w:rPr>
          <w:rFonts w:ascii="Times New Roman" w:hAnsi="Times New Roman" w:cs="Times New Roman"/>
          <w:sz w:val="28"/>
          <w:szCs w:val="28"/>
        </w:rPr>
        <w:t>12</w:t>
      </w:r>
      <w:r w:rsidRPr="00BE7C9E">
        <w:rPr>
          <w:rFonts w:ascii="Times New Roman" w:hAnsi="Times New Roman" w:cs="Times New Roman"/>
          <w:sz w:val="28"/>
          <w:szCs w:val="28"/>
        </w:rPr>
        <w:t xml:space="preserve"> privatizācijas sertifikāt</w:t>
      </w:r>
      <w:r>
        <w:rPr>
          <w:rFonts w:ascii="Times New Roman" w:hAnsi="Times New Roman" w:cs="Times New Roman"/>
          <w:sz w:val="28"/>
          <w:szCs w:val="28"/>
        </w:rPr>
        <w:t>i, tai skaitā, 14 772</w:t>
      </w:r>
      <w:r w:rsidRPr="00BE7C9E">
        <w:rPr>
          <w:rFonts w:ascii="Times New Roman" w:hAnsi="Times New Roman" w:cs="Times New Roman"/>
          <w:sz w:val="28"/>
          <w:szCs w:val="28"/>
        </w:rPr>
        <w:t>,</w:t>
      </w:r>
      <w:r>
        <w:rPr>
          <w:rFonts w:ascii="Times New Roman" w:hAnsi="Times New Roman" w:cs="Times New Roman"/>
          <w:sz w:val="28"/>
          <w:szCs w:val="28"/>
        </w:rPr>
        <w:t>21</w:t>
      </w:r>
      <w:r w:rsidRPr="00BE7C9E">
        <w:rPr>
          <w:rFonts w:ascii="Times New Roman" w:hAnsi="Times New Roman" w:cs="Times New Roman"/>
          <w:sz w:val="28"/>
          <w:szCs w:val="28"/>
        </w:rPr>
        <w:t xml:space="preserve"> īpašuma kompensācijas sertifikāti. Privatizācijas sertifikātu kontu skaita sadalījums pēc tajos esošā privatizācijas sertifikātu daudzuma ir šāds</w:t>
      </w:r>
      <w:r>
        <w:rPr>
          <w:rFonts w:ascii="Times New Roman" w:hAnsi="Times New Roman" w:cs="Times New Roman"/>
          <w:sz w:val="28"/>
          <w:szCs w:val="28"/>
        </w:rPr>
        <w:t>:</w:t>
      </w:r>
    </w:p>
    <w:p w:rsidR="00BE7C9E" w:rsidRDefault="004C0319" w:rsidP="008A01D6">
      <w:pPr>
        <w:pStyle w:val="EnvelopeReturn"/>
        <w:spacing w:after="120"/>
        <w:ind w:firstLine="720"/>
        <w:jc w:val="both"/>
        <w:rPr>
          <w:rFonts w:ascii="Times New Roman" w:hAnsi="Times New Roman" w:cs="Times New Roman"/>
          <w:sz w:val="28"/>
          <w:szCs w:val="28"/>
          <w:u w:val="single"/>
        </w:rPr>
      </w:pPr>
      <w:r w:rsidRPr="004C0319">
        <w:rPr>
          <w:rFonts w:ascii="Times New Roman" w:hAnsi="Times New Roman" w:cs="Times New Roman"/>
          <w:sz w:val="28"/>
          <w:szCs w:val="28"/>
          <w:u w:val="single"/>
        </w:rPr>
        <w:t>Fiziskām personām atvērto privatizācijas sertifikātu kontu sadalījums</w:t>
      </w:r>
    </w:p>
    <w:tbl>
      <w:tblPr>
        <w:tblStyle w:val="TableGrid"/>
        <w:tblW w:w="0" w:type="auto"/>
        <w:tblLook w:val="04A0"/>
      </w:tblPr>
      <w:tblGrid>
        <w:gridCol w:w="2321"/>
        <w:gridCol w:w="2322"/>
        <w:gridCol w:w="2322"/>
        <w:gridCol w:w="2322"/>
      </w:tblGrid>
      <w:tr w:rsidR="00BE7C9E" w:rsidRPr="00BE7C9E" w:rsidTr="00BE7C9E">
        <w:tc>
          <w:tcPr>
            <w:tcW w:w="2321"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skaita intervāls</w:t>
            </w:r>
          </w:p>
        </w:tc>
        <w:tc>
          <w:tcPr>
            <w:tcW w:w="2322"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kontu skaits</w:t>
            </w:r>
          </w:p>
        </w:tc>
        <w:tc>
          <w:tcPr>
            <w:tcW w:w="2322"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skaits kontos</w:t>
            </w:r>
          </w:p>
        </w:tc>
        <w:tc>
          <w:tcPr>
            <w:tcW w:w="2322"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0 – 1,99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25 757</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12 127,66</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315,05</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2 – 4,99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3 247</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10 249,40</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184,54</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5 – 9,99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1 604</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11 270,80</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334,91</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10 – 99,99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3 768</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122 884, 35</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3 670,94</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100 – 999,99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83</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12 503,07</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2 257,88</w:t>
            </w:r>
          </w:p>
        </w:tc>
      </w:tr>
      <w:tr w:rsidR="00BE7C9E" w:rsidRPr="00E82BE7" w:rsidTr="00BE7C9E">
        <w:tc>
          <w:tcPr>
            <w:tcW w:w="2321" w:type="dxa"/>
            <w:vAlign w:val="center"/>
          </w:tcPr>
          <w:p w:rsidR="00BE7C9E" w:rsidRPr="00E82BE7" w:rsidRDefault="00BE7C9E" w:rsidP="006C3B61">
            <w:pPr>
              <w:pStyle w:val="EnvelopeReturn"/>
              <w:spacing w:after="120"/>
              <w:jc w:val="right"/>
              <w:rPr>
                <w:rFonts w:ascii="Times New Roman" w:hAnsi="Times New Roman" w:cs="Times New Roman"/>
                <w:b/>
                <w:sz w:val="24"/>
                <w:szCs w:val="24"/>
              </w:rPr>
            </w:pPr>
            <w:r w:rsidRPr="00E82BE7">
              <w:rPr>
                <w:rFonts w:ascii="Times New Roman" w:hAnsi="Times New Roman" w:cs="Times New Roman"/>
                <w:b/>
                <w:sz w:val="24"/>
                <w:szCs w:val="24"/>
              </w:rPr>
              <w:t>Kopā</w:t>
            </w:r>
          </w:p>
        </w:tc>
        <w:tc>
          <w:tcPr>
            <w:tcW w:w="2322" w:type="dxa"/>
            <w:vAlign w:val="center"/>
          </w:tcPr>
          <w:p w:rsidR="00BE7C9E" w:rsidRPr="00E82BE7" w:rsidRDefault="00E82BE7" w:rsidP="006C3B61">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34 459</w:t>
            </w:r>
          </w:p>
        </w:tc>
        <w:tc>
          <w:tcPr>
            <w:tcW w:w="2322" w:type="dxa"/>
            <w:vAlign w:val="center"/>
          </w:tcPr>
          <w:p w:rsidR="00BE7C9E" w:rsidRPr="00E82BE7" w:rsidRDefault="00E82BE7" w:rsidP="006C3B61">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169 035,28</w:t>
            </w:r>
          </w:p>
        </w:tc>
        <w:tc>
          <w:tcPr>
            <w:tcW w:w="2322" w:type="dxa"/>
            <w:vAlign w:val="center"/>
          </w:tcPr>
          <w:p w:rsidR="00BE7C9E" w:rsidRPr="00E82BE7" w:rsidRDefault="00E82BE7" w:rsidP="006C3B61">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6 763,32</w:t>
            </w:r>
          </w:p>
        </w:tc>
      </w:tr>
    </w:tbl>
    <w:p w:rsidR="00BE7C9E" w:rsidRDefault="00E82BE7" w:rsidP="0076773C">
      <w:pPr>
        <w:pStyle w:val="EnvelopeReturn"/>
        <w:spacing w:before="120" w:after="12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Juridiskām personām atvērto privatizācijas sertifikātu kontu sadalījums</w:t>
      </w:r>
    </w:p>
    <w:tbl>
      <w:tblPr>
        <w:tblStyle w:val="TableGrid"/>
        <w:tblW w:w="0" w:type="auto"/>
        <w:tblLook w:val="04A0"/>
      </w:tblPr>
      <w:tblGrid>
        <w:gridCol w:w="2321"/>
        <w:gridCol w:w="2322"/>
        <w:gridCol w:w="2322"/>
        <w:gridCol w:w="2322"/>
      </w:tblGrid>
      <w:tr w:rsidR="00E82BE7" w:rsidRPr="00BE7C9E" w:rsidTr="00E82BE7">
        <w:tc>
          <w:tcPr>
            <w:tcW w:w="2321"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skaita intervāls</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kontu skaits</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skaits kontos</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0 – 1,99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366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40,29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7,00</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2 – 4,99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51,59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9,85</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5 – 9,99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18</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130,56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40,01</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10 – 99,99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1 642,87</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248,74</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100 – 999,99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20</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7 039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384,34</w:t>
            </w:r>
          </w:p>
        </w:tc>
      </w:tr>
      <w:tr w:rsidR="00E82BE7" w:rsidRPr="00BE7C9E" w:rsidTr="00E82BE7">
        <w:tc>
          <w:tcPr>
            <w:tcW w:w="2321" w:type="dxa"/>
            <w:vAlign w:val="center"/>
          </w:tcPr>
          <w:p w:rsidR="00E82BE7"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1 000 – 99 999,99</w:t>
            </w:r>
          </w:p>
        </w:tc>
        <w:tc>
          <w:tcPr>
            <w:tcW w:w="2322" w:type="dxa"/>
            <w:vAlign w:val="center"/>
          </w:tcPr>
          <w:p w:rsidR="00E82BE7"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2322" w:type="dxa"/>
            <w:vAlign w:val="center"/>
          </w:tcPr>
          <w:p w:rsidR="00E82BE7"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22 072,63</w:t>
            </w:r>
          </w:p>
        </w:tc>
        <w:tc>
          <w:tcPr>
            <w:tcW w:w="2322" w:type="dxa"/>
            <w:vAlign w:val="center"/>
          </w:tcPr>
          <w:p w:rsidR="00E82BE7"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7 318,95</w:t>
            </w:r>
          </w:p>
        </w:tc>
      </w:tr>
      <w:tr w:rsidR="00E82BE7" w:rsidRPr="00E82BE7" w:rsidTr="00E82BE7">
        <w:tc>
          <w:tcPr>
            <w:tcW w:w="2321" w:type="dxa"/>
            <w:vAlign w:val="center"/>
          </w:tcPr>
          <w:p w:rsidR="00E82BE7" w:rsidRPr="00E82BE7" w:rsidRDefault="00E82BE7" w:rsidP="00E82BE7">
            <w:pPr>
              <w:pStyle w:val="EnvelopeReturn"/>
              <w:spacing w:after="120"/>
              <w:jc w:val="right"/>
              <w:rPr>
                <w:rFonts w:ascii="Times New Roman" w:hAnsi="Times New Roman" w:cs="Times New Roman"/>
                <w:b/>
                <w:sz w:val="24"/>
                <w:szCs w:val="24"/>
              </w:rPr>
            </w:pPr>
            <w:r w:rsidRPr="00E82BE7">
              <w:rPr>
                <w:rFonts w:ascii="Times New Roman" w:hAnsi="Times New Roman" w:cs="Times New Roman"/>
                <w:b/>
                <w:sz w:val="24"/>
                <w:szCs w:val="24"/>
              </w:rPr>
              <w:t>Kopā</w:t>
            </w:r>
          </w:p>
        </w:tc>
        <w:tc>
          <w:tcPr>
            <w:tcW w:w="2322" w:type="dxa"/>
            <w:vAlign w:val="center"/>
          </w:tcPr>
          <w:p w:rsidR="00E82BE7" w:rsidRPr="00E82BE7" w:rsidRDefault="00E82BE7" w:rsidP="00E82BE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477</w:t>
            </w:r>
          </w:p>
        </w:tc>
        <w:tc>
          <w:tcPr>
            <w:tcW w:w="2322" w:type="dxa"/>
            <w:vAlign w:val="center"/>
          </w:tcPr>
          <w:p w:rsidR="00E82BE7" w:rsidRPr="00E82BE7" w:rsidRDefault="00E82BE7" w:rsidP="00E82BE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30 977</w:t>
            </w:r>
          </w:p>
        </w:tc>
        <w:tc>
          <w:tcPr>
            <w:tcW w:w="2322" w:type="dxa"/>
            <w:vAlign w:val="center"/>
          </w:tcPr>
          <w:p w:rsidR="00E82BE7" w:rsidRPr="00E82BE7" w:rsidRDefault="00E82BE7" w:rsidP="00E82BE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8 008,89</w:t>
            </w:r>
          </w:p>
        </w:tc>
      </w:tr>
    </w:tbl>
    <w:p w:rsidR="00E82BE7" w:rsidRDefault="006C3B61" w:rsidP="0076773C">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Likvidējam</w:t>
      </w:r>
      <w:r w:rsidR="00973D81">
        <w:rPr>
          <w:rFonts w:ascii="Times New Roman" w:hAnsi="Times New Roman" w:cs="Times New Roman"/>
          <w:sz w:val="28"/>
          <w:szCs w:val="28"/>
        </w:rPr>
        <w:t>aj</w:t>
      </w:r>
      <w:r>
        <w:rPr>
          <w:rFonts w:ascii="Times New Roman" w:hAnsi="Times New Roman" w:cs="Times New Roman"/>
          <w:sz w:val="28"/>
          <w:szCs w:val="28"/>
        </w:rPr>
        <w:t xml:space="preserve">ā akciju sabiedrībā „Latvijas Krājbanka” </w:t>
      </w:r>
      <w:r w:rsidR="00301708">
        <w:rPr>
          <w:rFonts w:ascii="Times New Roman" w:hAnsi="Times New Roman" w:cs="Times New Roman"/>
          <w:sz w:val="28"/>
          <w:szCs w:val="28"/>
        </w:rPr>
        <w:t xml:space="preserve">2012.gada 23.oktobrī </w:t>
      </w:r>
      <w:r w:rsidR="00D313C7">
        <w:rPr>
          <w:rFonts w:ascii="Times New Roman" w:hAnsi="Times New Roman" w:cs="Times New Roman"/>
          <w:sz w:val="28"/>
          <w:szCs w:val="28"/>
        </w:rPr>
        <w:t xml:space="preserve">fiziskām personām </w:t>
      </w:r>
      <w:r w:rsidR="00301708">
        <w:rPr>
          <w:rFonts w:ascii="Times New Roman" w:hAnsi="Times New Roman" w:cs="Times New Roman"/>
          <w:sz w:val="28"/>
          <w:szCs w:val="28"/>
        </w:rPr>
        <w:t xml:space="preserve">bija </w:t>
      </w:r>
      <w:r>
        <w:rPr>
          <w:rFonts w:ascii="Times New Roman" w:hAnsi="Times New Roman" w:cs="Times New Roman"/>
          <w:sz w:val="28"/>
          <w:szCs w:val="28"/>
        </w:rPr>
        <w:t>atvērt</w:t>
      </w:r>
      <w:r w:rsidR="00301708">
        <w:rPr>
          <w:rFonts w:ascii="Times New Roman" w:hAnsi="Times New Roman" w:cs="Times New Roman"/>
          <w:sz w:val="28"/>
          <w:szCs w:val="28"/>
        </w:rPr>
        <w:t>i</w:t>
      </w:r>
      <w:r w:rsidR="00C51C5D">
        <w:rPr>
          <w:rFonts w:ascii="Times New Roman" w:hAnsi="Times New Roman" w:cs="Times New Roman"/>
          <w:sz w:val="28"/>
          <w:szCs w:val="28"/>
        </w:rPr>
        <w:t xml:space="preserve"> 348 650 privatizācijas sertifikātu konti, kuros atradās 1 940 124,29 privatizācijas sertifikāti, tai skaitā, 106 069,70 īpašuma kompensācijas sertifikāti.</w:t>
      </w:r>
    </w:p>
    <w:p w:rsidR="00F716F8" w:rsidRPr="00F716F8" w:rsidRDefault="00301708" w:rsidP="008A01D6">
      <w:pPr>
        <w:pStyle w:val="EnvelopeReturn"/>
        <w:spacing w:after="120"/>
        <w:ind w:firstLine="720"/>
        <w:jc w:val="both"/>
        <w:rPr>
          <w:rFonts w:ascii="Times New Roman" w:hAnsi="Times New Roman" w:cs="Times New Roman"/>
          <w:sz w:val="28"/>
          <w:szCs w:val="28"/>
          <w:u w:val="single"/>
        </w:rPr>
      </w:pPr>
      <w:r w:rsidRPr="004C0319">
        <w:rPr>
          <w:rFonts w:ascii="Times New Roman" w:hAnsi="Times New Roman" w:cs="Times New Roman"/>
          <w:sz w:val="28"/>
          <w:szCs w:val="28"/>
          <w:u w:val="single"/>
        </w:rPr>
        <w:t>Fiziskām personām atvērto privatizācijas sertifikātu kontu sadalījums</w:t>
      </w:r>
    </w:p>
    <w:tbl>
      <w:tblPr>
        <w:tblStyle w:val="TableGrid"/>
        <w:tblW w:w="0" w:type="auto"/>
        <w:tblLook w:val="04A0"/>
      </w:tblPr>
      <w:tblGrid>
        <w:gridCol w:w="2321"/>
        <w:gridCol w:w="2322"/>
        <w:gridCol w:w="2322"/>
        <w:gridCol w:w="2322"/>
      </w:tblGrid>
      <w:tr w:rsidR="00E92B55" w:rsidRPr="006C3B61" w:rsidTr="00A4393D">
        <w:tc>
          <w:tcPr>
            <w:tcW w:w="2321" w:type="dxa"/>
            <w:vAlign w:val="center"/>
          </w:tcPr>
          <w:p w:rsidR="00E92B55" w:rsidRPr="006C3B61" w:rsidRDefault="00E92B55" w:rsidP="006C3B61">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skaita intervāls</w:t>
            </w:r>
          </w:p>
        </w:tc>
        <w:tc>
          <w:tcPr>
            <w:tcW w:w="2322" w:type="dxa"/>
            <w:vAlign w:val="center"/>
          </w:tcPr>
          <w:p w:rsidR="00E92B55" w:rsidRPr="006C3B61" w:rsidRDefault="00E92B55" w:rsidP="006C3B61">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kontu skaits</w:t>
            </w:r>
          </w:p>
        </w:tc>
        <w:tc>
          <w:tcPr>
            <w:tcW w:w="2322" w:type="dxa"/>
            <w:vAlign w:val="center"/>
          </w:tcPr>
          <w:p w:rsidR="00E92B55" w:rsidRPr="006C3B61" w:rsidRDefault="00E92B55" w:rsidP="006C3B61">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skaits kontos</w:t>
            </w:r>
          </w:p>
        </w:tc>
        <w:tc>
          <w:tcPr>
            <w:tcW w:w="2322" w:type="dxa"/>
          </w:tcPr>
          <w:p w:rsidR="00E92B55" w:rsidRPr="00BE7C9E" w:rsidRDefault="00E92B55"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lastRenderedPageBreak/>
              <w:t>0 – 1,99</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253 921</w:t>
            </w:r>
          </w:p>
        </w:tc>
        <w:tc>
          <w:tcPr>
            <w:tcW w:w="2322" w:type="dxa"/>
            <w:vAlign w:val="center"/>
          </w:tcPr>
          <w:p w:rsidR="00E92B55" w:rsidRPr="00F716F8" w:rsidRDefault="00E92B55" w:rsidP="00DE50F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13</w:t>
            </w:r>
            <w:r w:rsidR="00DE50F1">
              <w:rPr>
                <w:rFonts w:ascii="Times New Roman" w:hAnsi="Times New Roman" w:cs="Times New Roman"/>
                <w:sz w:val="24"/>
                <w:szCs w:val="24"/>
              </w:rPr>
              <w:t>3</w:t>
            </w:r>
            <w:r>
              <w:rPr>
                <w:rFonts w:ascii="Times New Roman" w:hAnsi="Times New Roman" w:cs="Times New Roman"/>
                <w:sz w:val="24"/>
                <w:szCs w:val="24"/>
              </w:rPr>
              <w:t> </w:t>
            </w:r>
            <w:r w:rsidR="00DE50F1">
              <w:rPr>
                <w:rFonts w:ascii="Times New Roman" w:hAnsi="Times New Roman" w:cs="Times New Roman"/>
                <w:sz w:val="24"/>
                <w:szCs w:val="24"/>
              </w:rPr>
              <w:t>848</w:t>
            </w:r>
            <w:r>
              <w:rPr>
                <w:rFonts w:ascii="Times New Roman" w:hAnsi="Times New Roman" w:cs="Times New Roman"/>
                <w:sz w:val="24"/>
                <w:szCs w:val="24"/>
              </w:rPr>
              <w:t>,</w:t>
            </w:r>
            <w:r w:rsidR="00DE50F1">
              <w:rPr>
                <w:rFonts w:ascii="Times New Roman" w:hAnsi="Times New Roman" w:cs="Times New Roman"/>
                <w:sz w:val="24"/>
                <w:szCs w:val="24"/>
              </w:rPr>
              <w:t>16</w:t>
            </w:r>
          </w:p>
        </w:tc>
        <w:tc>
          <w:tcPr>
            <w:tcW w:w="2322" w:type="dxa"/>
            <w:vAlign w:val="center"/>
          </w:tcPr>
          <w:p w:rsidR="00E92B55" w:rsidRPr="00F716F8" w:rsidRDefault="00301708"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3 940,91</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2 – 4,99</w:t>
            </w:r>
          </w:p>
        </w:tc>
        <w:tc>
          <w:tcPr>
            <w:tcW w:w="2322" w:type="dxa"/>
            <w:vAlign w:val="center"/>
          </w:tcPr>
          <w:p w:rsidR="00E92B55" w:rsidRPr="00F716F8" w:rsidRDefault="00E92B55" w:rsidP="009B4D94">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w:t>
            </w:r>
            <w:r w:rsidR="009B4D94">
              <w:rPr>
                <w:rFonts w:ascii="Times New Roman" w:hAnsi="Times New Roman" w:cs="Times New Roman"/>
                <w:sz w:val="24"/>
                <w:szCs w:val="24"/>
              </w:rPr>
              <w:t>4</w:t>
            </w:r>
            <w:r>
              <w:rPr>
                <w:rFonts w:ascii="Times New Roman" w:hAnsi="Times New Roman" w:cs="Times New Roman"/>
                <w:sz w:val="24"/>
                <w:szCs w:val="24"/>
              </w:rPr>
              <w:t> 0</w:t>
            </w:r>
            <w:r w:rsidR="009B4D94">
              <w:rPr>
                <w:rFonts w:ascii="Times New Roman" w:hAnsi="Times New Roman" w:cs="Times New Roman"/>
                <w:sz w:val="24"/>
                <w:szCs w:val="24"/>
              </w:rPr>
              <w:t>55</w:t>
            </w:r>
          </w:p>
        </w:tc>
        <w:tc>
          <w:tcPr>
            <w:tcW w:w="2322" w:type="dxa"/>
            <w:vAlign w:val="center"/>
          </w:tcPr>
          <w:p w:rsidR="00E92B55" w:rsidRPr="00F716F8" w:rsidRDefault="00E92B55" w:rsidP="00DE50F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10</w:t>
            </w:r>
            <w:r w:rsidR="00DE50F1">
              <w:rPr>
                <w:rFonts w:ascii="Times New Roman" w:hAnsi="Times New Roman" w:cs="Times New Roman"/>
                <w:sz w:val="24"/>
                <w:szCs w:val="24"/>
              </w:rPr>
              <w:t>6</w:t>
            </w:r>
            <w:r>
              <w:rPr>
                <w:rFonts w:ascii="Times New Roman" w:hAnsi="Times New Roman" w:cs="Times New Roman"/>
                <w:sz w:val="24"/>
                <w:szCs w:val="24"/>
              </w:rPr>
              <w:t> </w:t>
            </w:r>
            <w:r w:rsidR="00DE50F1">
              <w:rPr>
                <w:rFonts w:ascii="Times New Roman" w:hAnsi="Times New Roman" w:cs="Times New Roman"/>
                <w:sz w:val="24"/>
                <w:szCs w:val="24"/>
              </w:rPr>
              <w:t>891</w:t>
            </w:r>
            <w:r>
              <w:rPr>
                <w:rFonts w:ascii="Times New Roman" w:hAnsi="Times New Roman" w:cs="Times New Roman"/>
                <w:sz w:val="24"/>
                <w:szCs w:val="24"/>
              </w:rPr>
              <w:t>,</w:t>
            </w:r>
            <w:r w:rsidR="00DE50F1">
              <w:rPr>
                <w:rFonts w:ascii="Times New Roman" w:hAnsi="Times New Roman" w:cs="Times New Roman"/>
                <w:sz w:val="24"/>
                <w:szCs w:val="24"/>
              </w:rPr>
              <w:t>13</w:t>
            </w:r>
          </w:p>
        </w:tc>
        <w:tc>
          <w:tcPr>
            <w:tcW w:w="2322" w:type="dxa"/>
            <w:vAlign w:val="center"/>
          </w:tcPr>
          <w:p w:rsidR="00E92B55" w:rsidRPr="00F716F8" w:rsidRDefault="00301708"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3 371,18</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5 – 9,99</w:t>
            </w:r>
          </w:p>
        </w:tc>
        <w:tc>
          <w:tcPr>
            <w:tcW w:w="2322" w:type="dxa"/>
            <w:vAlign w:val="center"/>
          </w:tcPr>
          <w:p w:rsidR="00E92B55" w:rsidRPr="00F716F8" w:rsidRDefault="00E92B55" w:rsidP="00E92B55">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16 </w:t>
            </w:r>
            <w:r w:rsidR="009B4D94">
              <w:rPr>
                <w:rFonts w:ascii="Times New Roman" w:hAnsi="Times New Roman" w:cs="Times New Roman"/>
                <w:sz w:val="24"/>
                <w:szCs w:val="24"/>
              </w:rPr>
              <w:t>797</w:t>
            </w:r>
          </w:p>
        </w:tc>
        <w:tc>
          <w:tcPr>
            <w:tcW w:w="2322" w:type="dxa"/>
            <w:vAlign w:val="center"/>
          </w:tcPr>
          <w:p w:rsidR="00E92B55" w:rsidRPr="00F716F8" w:rsidRDefault="00E92B55" w:rsidP="00DE50F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w:t>
            </w:r>
            <w:r w:rsidR="00DE50F1">
              <w:rPr>
                <w:rFonts w:ascii="Times New Roman" w:hAnsi="Times New Roman" w:cs="Times New Roman"/>
                <w:sz w:val="24"/>
                <w:szCs w:val="24"/>
              </w:rPr>
              <w:t>7</w:t>
            </w:r>
            <w:r>
              <w:rPr>
                <w:rFonts w:ascii="Times New Roman" w:hAnsi="Times New Roman" w:cs="Times New Roman"/>
                <w:sz w:val="24"/>
                <w:szCs w:val="24"/>
              </w:rPr>
              <w:t> </w:t>
            </w:r>
            <w:r w:rsidR="00DE50F1">
              <w:rPr>
                <w:rFonts w:ascii="Times New Roman" w:hAnsi="Times New Roman" w:cs="Times New Roman"/>
                <w:sz w:val="24"/>
                <w:szCs w:val="24"/>
              </w:rPr>
              <w:t>529</w:t>
            </w:r>
            <w:r>
              <w:rPr>
                <w:rFonts w:ascii="Times New Roman" w:hAnsi="Times New Roman" w:cs="Times New Roman"/>
                <w:sz w:val="24"/>
                <w:szCs w:val="24"/>
              </w:rPr>
              <w:t>,</w:t>
            </w:r>
            <w:r w:rsidR="00DE50F1">
              <w:rPr>
                <w:rFonts w:ascii="Times New Roman" w:hAnsi="Times New Roman" w:cs="Times New Roman"/>
                <w:sz w:val="24"/>
                <w:szCs w:val="24"/>
              </w:rPr>
              <w:t>86</w:t>
            </w:r>
          </w:p>
        </w:tc>
        <w:tc>
          <w:tcPr>
            <w:tcW w:w="2322" w:type="dxa"/>
            <w:vAlign w:val="center"/>
          </w:tcPr>
          <w:p w:rsidR="00E92B55" w:rsidRPr="00F716F8" w:rsidRDefault="00301708"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5 300,75</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 – 99,99</w:t>
            </w:r>
          </w:p>
        </w:tc>
        <w:tc>
          <w:tcPr>
            <w:tcW w:w="2322" w:type="dxa"/>
            <w:vAlign w:val="center"/>
          </w:tcPr>
          <w:p w:rsidR="00E92B55" w:rsidRPr="00F716F8" w:rsidRDefault="009B4D94" w:rsidP="009B4D94">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42 578</w:t>
            </w:r>
          </w:p>
        </w:tc>
        <w:tc>
          <w:tcPr>
            <w:tcW w:w="2322" w:type="dxa"/>
            <w:vAlign w:val="center"/>
          </w:tcPr>
          <w:p w:rsidR="00E92B55" w:rsidRPr="00F716F8" w:rsidRDefault="00E92B55" w:rsidP="00DE50F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1 3</w:t>
            </w:r>
            <w:r w:rsidR="00DE50F1">
              <w:rPr>
                <w:rFonts w:ascii="Times New Roman" w:hAnsi="Times New Roman" w:cs="Times New Roman"/>
                <w:sz w:val="24"/>
                <w:szCs w:val="24"/>
              </w:rPr>
              <w:t>76 484,60</w:t>
            </w:r>
          </w:p>
        </w:tc>
        <w:tc>
          <w:tcPr>
            <w:tcW w:w="2322" w:type="dxa"/>
            <w:vAlign w:val="center"/>
          </w:tcPr>
          <w:p w:rsidR="00E92B55" w:rsidRPr="00F716F8" w:rsidRDefault="00301708"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55 615,90</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 999,99</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1 288</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185 671,34</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31 444,54</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1 000 – 99 999,99</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19 699,20</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6 396,42</w:t>
            </w:r>
          </w:p>
        </w:tc>
      </w:tr>
      <w:tr w:rsidR="00E92B55" w:rsidRPr="006C3B61" w:rsidTr="00A4393D">
        <w:tc>
          <w:tcPr>
            <w:tcW w:w="2321" w:type="dxa"/>
            <w:vAlign w:val="center"/>
          </w:tcPr>
          <w:p w:rsidR="00E92B55" w:rsidRPr="006C3B61" w:rsidRDefault="00E92B55" w:rsidP="006C3B61">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100 000 un vairāk</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0</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0</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E92B55" w:rsidRPr="00F716F8" w:rsidTr="00A4393D">
        <w:tc>
          <w:tcPr>
            <w:tcW w:w="2321" w:type="dxa"/>
          </w:tcPr>
          <w:p w:rsidR="00E92B55" w:rsidRPr="00F716F8" w:rsidRDefault="00E92B55" w:rsidP="00F716F8">
            <w:pPr>
              <w:pStyle w:val="EnvelopeReturn"/>
              <w:spacing w:after="120"/>
              <w:jc w:val="right"/>
              <w:rPr>
                <w:rFonts w:ascii="Times New Roman" w:hAnsi="Times New Roman" w:cs="Times New Roman"/>
                <w:b/>
                <w:sz w:val="24"/>
                <w:szCs w:val="24"/>
                <w:u w:val="single"/>
              </w:rPr>
            </w:pPr>
            <w:r w:rsidRPr="00F716F8">
              <w:rPr>
                <w:rFonts w:ascii="Times New Roman" w:hAnsi="Times New Roman" w:cs="Times New Roman"/>
                <w:b/>
                <w:sz w:val="24"/>
                <w:szCs w:val="24"/>
                <w:u w:val="single"/>
              </w:rPr>
              <w:t>Kop</w:t>
            </w:r>
            <w:r>
              <w:rPr>
                <w:rFonts w:ascii="Times New Roman" w:hAnsi="Times New Roman" w:cs="Times New Roman"/>
                <w:b/>
                <w:sz w:val="24"/>
                <w:szCs w:val="24"/>
                <w:u w:val="single"/>
              </w:rPr>
              <w:t>ā</w:t>
            </w:r>
          </w:p>
        </w:tc>
        <w:tc>
          <w:tcPr>
            <w:tcW w:w="2322" w:type="dxa"/>
            <w:vAlign w:val="center"/>
          </w:tcPr>
          <w:p w:rsidR="00E92B55" w:rsidRPr="00F716F8" w:rsidRDefault="00DE50F1" w:rsidP="00F716F8">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348 650</w:t>
            </w:r>
          </w:p>
        </w:tc>
        <w:tc>
          <w:tcPr>
            <w:tcW w:w="2322" w:type="dxa"/>
            <w:vAlign w:val="center"/>
          </w:tcPr>
          <w:p w:rsidR="00E92B55" w:rsidRPr="00F716F8" w:rsidRDefault="00E92B55" w:rsidP="00F716F8">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1 940 124,29</w:t>
            </w:r>
          </w:p>
        </w:tc>
        <w:tc>
          <w:tcPr>
            <w:tcW w:w="2322" w:type="dxa"/>
            <w:vAlign w:val="center"/>
          </w:tcPr>
          <w:p w:rsidR="00E92B55" w:rsidRDefault="00E92B55" w:rsidP="00F716F8">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106 069,70</w:t>
            </w:r>
          </w:p>
        </w:tc>
      </w:tr>
    </w:tbl>
    <w:p w:rsidR="00D313C7" w:rsidRDefault="00D313C7" w:rsidP="0076773C">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Likvidējamā akciju sabiedrībā „Latvijas Krājbanka” </w:t>
      </w:r>
      <w:r w:rsidR="00D90526">
        <w:rPr>
          <w:rFonts w:ascii="Times New Roman" w:hAnsi="Times New Roman" w:cs="Times New Roman"/>
          <w:sz w:val="28"/>
          <w:szCs w:val="28"/>
        </w:rPr>
        <w:t xml:space="preserve">2012.gada 30.oktobrī </w:t>
      </w:r>
      <w:r>
        <w:rPr>
          <w:rFonts w:ascii="Times New Roman" w:hAnsi="Times New Roman" w:cs="Times New Roman"/>
          <w:sz w:val="28"/>
          <w:szCs w:val="28"/>
        </w:rPr>
        <w:t xml:space="preserve">juridiskām personām </w:t>
      </w:r>
      <w:r w:rsidR="00D90526">
        <w:rPr>
          <w:rFonts w:ascii="Times New Roman" w:hAnsi="Times New Roman" w:cs="Times New Roman"/>
          <w:sz w:val="28"/>
          <w:szCs w:val="28"/>
        </w:rPr>
        <w:t xml:space="preserve">bija </w:t>
      </w:r>
      <w:r>
        <w:rPr>
          <w:rFonts w:ascii="Times New Roman" w:hAnsi="Times New Roman" w:cs="Times New Roman"/>
          <w:sz w:val="28"/>
          <w:szCs w:val="28"/>
        </w:rPr>
        <w:t>atvērt</w:t>
      </w:r>
      <w:r w:rsidR="00402455">
        <w:rPr>
          <w:rFonts w:ascii="Times New Roman" w:hAnsi="Times New Roman" w:cs="Times New Roman"/>
          <w:sz w:val="28"/>
          <w:szCs w:val="28"/>
        </w:rPr>
        <w:t>s181</w:t>
      </w:r>
      <w:r>
        <w:rPr>
          <w:rFonts w:ascii="Times New Roman" w:hAnsi="Times New Roman" w:cs="Times New Roman"/>
          <w:sz w:val="28"/>
          <w:szCs w:val="28"/>
        </w:rPr>
        <w:t xml:space="preserve"> p</w:t>
      </w:r>
      <w:r w:rsidRPr="00BE7C9E">
        <w:rPr>
          <w:rFonts w:ascii="Times New Roman" w:hAnsi="Times New Roman" w:cs="Times New Roman"/>
          <w:sz w:val="28"/>
          <w:szCs w:val="28"/>
        </w:rPr>
        <w:t>rivatizācijas sertifikātu kont</w:t>
      </w:r>
      <w:r w:rsidR="00402455">
        <w:rPr>
          <w:rFonts w:ascii="Times New Roman" w:hAnsi="Times New Roman" w:cs="Times New Roman"/>
          <w:sz w:val="28"/>
          <w:szCs w:val="28"/>
        </w:rPr>
        <w:t>s, kurā atradās 16 282,56 privatizācijas sertifikāti, tai skaitā, 529,87 īpašuma kompensācijas sertifikāti.</w:t>
      </w:r>
    </w:p>
    <w:p w:rsidR="00D313C7" w:rsidRDefault="00402455" w:rsidP="008A01D6">
      <w:pPr>
        <w:pStyle w:val="EnvelopeReturn"/>
        <w:spacing w:after="12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Juridiskām personām atvērto privatizācijas sertifikātu kontu sadalījums</w:t>
      </w:r>
    </w:p>
    <w:tbl>
      <w:tblPr>
        <w:tblStyle w:val="TableGrid"/>
        <w:tblW w:w="0" w:type="auto"/>
        <w:tblLook w:val="04A0"/>
      </w:tblPr>
      <w:tblGrid>
        <w:gridCol w:w="2321"/>
        <w:gridCol w:w="2322"/>
        <w:gridCol w:w="2322"/>
        <w:gridCol w:w="2322"/>
      </w:tblGrid>
      <w:tr w:rsidR="00D90526" w:rsidRPr="006C3B61" w:rsidTr="00A4393D">
        <w:tc>
          <w:tcPr>
            <w:tcW w:w="2321" w:type="dxa"/>
            <w:vAlign w:val="center"/>
          </w:tcPr>
          <w:p w:rsidR="00D90526" w:rsidRPr="006C3B61" w:rsidRDefault="00D90526"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skaita intervāls</w:t>
            </w:r>
          </w:p>
        </w:tc>
        <w:tc>
          <w:tcPr>
            <w:tcW w:w="2322" w:type="dxa"/>
            <w:vAlign w:val="center"/>
          </w:tcPr>
          <w:p w:rsidR="00D90526" w:rsidRPr="006C3B61" w:rsidRDefault="00D90526"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kontu skaits</w:t>
            </w:r>
          </w:p>
        </w:tc>
        <w:tc>
          <w:tcPr>
            <w:tcW w:w="2322" w:type="dxa"/>
            <w:vAlign w:val="center"/>
          </w:tcPr>
          <w:p w:rsidR="00D90526" w:rsidRPr="006C3B61" w:rsidRDefault="00D90526"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skaits kontos</w:t>
            </w:r>
          </w:p>
        </w:tc>
        <w:tc>
          <w:tcPr>
            <w:tcW w:w="2322" w:type="dxa"/>
            <w:vAlign w:val="center"/>
          </w:tcPr>
          <w:p w:rsidR="00D90526" w:rsidRPr="00BE7C9E" w:rsidRDefault="00D90526" w:rsidP="00D90526">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0 – 1,99</w:t>
            </w:r>
          </w:p>
        </w:tc>
        <w:tc>
          <w:tcPr>
            <w:tcW w:w="2322" w:type="dxa"/>
            <w:vAlign w:val="center"/>
          </w:tcPr>
          <w:p w:rsidR="00D90526" w:rsidRPr="00F716F8" w:rsidRDefault="00D90526" w:rsidP="00D90526">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87</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34,91</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3,12</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2 – 4,99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8</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24,21</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5,24</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5 – 9,99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47,10</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14,77</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 – 99,99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60</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2 568,20</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289,60</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 999,99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3 791,37</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217,14</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1 000 – 99 999,99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9 816,77</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100 000 un vairāk</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D90526" w:rsidRPr="00F716F8" w:rsidTr="00A4393D">
        <w:tc>
          <w:tcPr>
            <w:tcW w:w="2321" w:type="dxa"/>
          </w:tcPr>
          <w:p w:rsidR="00D90526" w:rsidRPr="00F716F8" w:rsidRDefault="00D90526" w:rsidP="00D313C7">
            <w:pPr>
              <w:pStyle w:val="EnvelopeReturn"/>
              <w:spacing w:after="120"/>
              <w:jc w:val="right"/>
              <w:rPr>
                <w:rFonts w:ascii="Times New Roman" w:hAnsi="Times New Roman" w:cs="Times New Roman"/>
                <w:b/>
                <w:sz w:val="24"/>
                <w:szCs w:val="24"/>
                <w:u w:val="single"/>
              </w:rPr>
            </w:pPr>
            <w:r w:rsidRPr="00F716F8">
              <w:rPr>
                <w:rFonts w:ascii="Times New Roman" w:hAnsi="Times New Roman" w:cs="Times New Roman"/>
                <w:b/>
                <w:sz w:val="24"/>
                <w:szCs w:val="24"/>
                <w:u w:val="single"/>
              </w:rPr>
              <w:t>Kop</w:t>
            </w:r>
            <w:r>
              <w:rPr>
                <w:rFonts w:ascii="Times New Roman" w:hAnsi="Times New Roman" w:cs="Times New Roman"/>
                <w:b/>
                <w:sz w:val="24"/>
                <w:szCs w:val="24"/>
                <w:u w:val="single"/>
              </w:rPr>
              <w:t>ā</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181</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16 282,56</w:t>
            </w:r>
          </w:p>
        </w:tc>
        <w:tc>
          <w:tcPr>
            <w:tcW w:w="2322" w:type="dxa"/>
            <w:vAlign w:val="center"/>
          </w:tcPr>
          <w:p w:rsidR="00D90526" w:rsidRDefault="00D90526"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529,87</w:t>
            </w:r>
          </w:p>
        </w:tc>
      </w:tr>
    </w:tbl>
    <w:p w:rsidR="00D313C7" w:rsidRPr="00475E03" w:rsidRDefault="00475E03" w:rsidP="0076773C">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Vienlaicīgi likvidējamās akciju sabiedrības „Latvijas Krājbanka” tirdzniecības kontos atrodas 664 875,20 glabājumā esošie privatizācijas sertifikāti un 5,03 īpašuma kompensācijas sertifikāti.</w:t>
      </w:r>
    </w:p>
    <w:p w:rsidR="0075242D" w:rsidRPr="007D1398" w:rsidRDefault="007D1398" w:rsidP="008A01D6">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Privatizācijas aģentūra</w:t>
      </w:r>
      <w:r w:rsidR="00CF460F">
        <w:rPr>
          <w:rFonts w:ascii="Times New Roman" w:hAnsi="Times New Roman" w:cs="Times New Roman"/>
          <w:sz w:val="28"/>
          <w:szCs w:val="28"/>
        </w:rPr>
        <w:t>s</w:t>
      </w:r>
      <w:r>
        <w:rPr>
          <w:rFonts w:ascii="Times New Roman" w:hAnsi="Times New Roman" w:cs="Times New Roman"/>
          <w:sz w:val="28"/>
          <w:szCs w:val="28"/>
        </w:rPr>
        <w:t xml:space="preserve"> kompetenci privatizācijas sertifikātu apritē nosaka Ministru kabineta 2007.gada 16.oktobra </w:t>
      </w:r>
      <w:r w:rsidRPr="007D1398">
        <w:rPr>
          <w:rFonts w:ascii="Times New Roman" w:hAnsi="Times New Roman" w:cs="Times New Roman"/>
          <w:sz w:val="28"/>
          <w:szCs w:val="28"/>
        </w:rPr>
        <w:t>noteikumu Nr.711 „Noteikumi par privatizācijas sertifikātu tirgus starpniecības sabiedrību licenču izsniegšanas, apturēšanas un anulēšanas kārtību, valsts nodevas likmi par tās saņemšanu, kā arī starpniecības sabiedrību pienākumiem un to uzraudzības kārtību”</w:t>
      </w:r>
      <w:r w:rsidR="00654FFC">
        <w:rPr>
          <w:rFonts w:ascii="Times New Roman" w:hAnsi="Times New Roman" w:cs="Times New Roman"/>
          <w:sz w:val="28"/>
          <w:szCs w:val="28"/>
        </w:rPr>
        <w:t xml:space="preserve"> (turpmāk – noteikumi Nr.711)</w:t>
      </w:r>
      <w:r>
        <w:rPr>
          <w:rFonts w:ascii="Times New Roman" w:hAnsi="Times New Roman" w:cs="Times New Roman"/>
          <w:sz w:val="28"/>
          <w:szCs w:val="28"/>
        </w:rPr>
        <w:t xml:space="preserve"> 52.punkts, kā arī </w:t>
      </w:r>
      <w:r w:rsidR="00CF460F">
        <w:rPr>
          <w:rFonts w:ascii="Times New Roman" w:hAnsi="Times New Roman" w:cs="Times New Roman"/>
          <w:sz w:val="28"/>
          <w:szCs w:val="28"/>
        </w:rPr>
        <w:t xml:space="preserve">noteikumu Nr.712 </w:t>
      </w:r>
      <w:r>
        <w:rPr>
          <w:rFonts w:ascii="Times New Roman" w:hAnsi="Times New Roman" w:cs="Times New Roman"/>
          <w:sz w:val="28"/>
          <w:szCs w:val="28"/>
        </w:rPr>
        <w:t>normas.</w:t>
      </w:r>
      <w:r w:rsidR="00944545">
        <w:rPr>
          <w:rFonts w:ascii="Times New Roman" w:hAnsi="Times New Roman" w:cs="Times New Roman"/>
          <w:sz w:val="28"/>
          <w:szCs w:val="28"/>
        </w:rPr>
        <w:t xml:space="preserve"> Privatizācijas aģentūra </w:t>
      </w:r>
      <w:r w:rsidR="00345FFE">
        <w:rPr>
          <w:rFonts w:ascii="Times New Roman" w:hAnsi="Times New Roman" w:cs="Times New Roman"/>
          <w:sz w:val="28"/>
          <w:szCs w:val="28"/>
        </w:rPr>
        <w:t>pārbauda privatizācijas tirgus starpniecības sabiedrību sniegto ziņu atbilstību noteikumiem Nr.711, aprēķina privatizācijas sertifikātu tirgus cenu, sniedz operatīvo informāciju par privatizācijas sertifikātu tirgus cenu un noslēgtajiem darījumiem, kā</w:t>
      </w:r>
      <w:r w:rsidR="00FD5624">
        <w:rPr>
          <w:rFonts w:ascii="Times New Roman" w:hAnsi="Times New Roman" w:cs="Times New Roman"/>
          <w:sz w:val="28"/>
          <w:szCs w:val="28"/>
        </w:rPr>
        <w:t xml:space="preserve"> arī</w:t>
      </w:r>
      <w:r w:rsidR="00345FFE">
        <w:rPr>
          <w:rFonts w:ascii="Times New Roman" w:hAnsi="Times New Roman" w:cs="Times New Roman"/>
          <w:sz w:val="28"/>
          <w:szCs w:val="28"/>
        </w:rPr>
        <w:t xml:space="preserve"> informāciju par privatizācijas sertifikātu </w:t>
      </w:r>
      <w:r w:rsidR="00345FFE">
        <w:rPr>
          <w:rFonts w:ascii="Times New Roman" w:hAnsi="Times New Roman" w:cs="Times New Roman"/>
          <w:sz w:val="28"/>
          <w:szCs w:val="28"/>
        </w:rPr>
        <w:lastRenderedPageBreak/>
        <w:t xml:space="preserve">iepriekšējo 12 mēnešu vidējām tirgus cenām un darījumu apjomiem. Tāpat Privatizācijas aģentūra </w:t>
      </w:r>
      <w:r w:rsidR="00492023">
        <w:rPr>
          <w:rFonts w:ascii="Times New Roman" w:hAnsi="Times New Roman" w:cs="Times New Roman"/>
          <w:sz w:val="28"/>
          <w:szCs w:val="28"/>
        </w:rPr>
        <w:t>piešķir identifikācijas numuru</w:t>
      </w:r>
      <w:r w:rsidR="0064234A">
        <w:rPr>
          <w:rFonts w:ascii="Times New Roman" w:hAnsi="Times New Roman" w:cs="Times New Roman"/>
          <w:sz w:val="28"/>
          <w:szCs w:val="28"/>
        </w:rPr>
        <w:t xml:space="preserve"> </w:t>
      </w:r>
      <w:r w:rsidR="00492023">
        <w:rPr>
          <w:rFonts w:ascii="Times New Roman" w:hAnsi="Times New Roman" w:cs="Times New Roman"/>
          <w:sz w:val="28"/>
          <w:szCs w:val="28"/>
        </w:rPr>
        <w:t>personām, kuras nav reģistrētas Iedzīvotāju reģistrā un Uzņēmumu reģistrā</w:t>
      </w:r>
      <w:r w:rsidR="0097671C">
        <w:rPr>
          <w:rFonts w:ascii="Times New Roman" w:hAnsi="Times New Roman" w:cs="Times New Roman"/>
          <w:sz w:val="28"/>
          <w:szCs w:val="28"/>
        </w:rPr>
        <w:t xml:space="preserve"> un kurām </w:t>
      </w:r>
      <w:r w:rsidR="00AC4CF6">
        <w:rPr>
          <w:rFonts w:ascii="Times New Roman" w:hAnsi="Times New Roman" w:cs="Times New Roman"/>
          <w:sz w:val="28"/>
          <w:szCs w:val="28"/>
        </w:rPr>
        <w:t>tiek atvērts pagaidu konts</w:t>
      </w:r>
      <w:r w:rsidR="00623BDA">
        <w:rPr>
          <w:rFonts w:ascii="Times New Roman" w:hAnsi="Times New Roman" w:cs="Times New Roman"/>
          <w:sz w:val="28"/>
          <w:szCs w:val="28"/>
        </w:rPr>
        <w:t>, administrē maksas daļu, kas saskaņā ar noteikumu Nr.712 29.punktu tiek saņemta par privatizācijas sertifikātu kontu apkalpošanu</w:t>
      </w:r>
      <w:r w:rsidR="005919D4">
        <w:rPr>
          <w:rFonts w:ascii="Times New Roman" w:hAnsi="Times New Roman" w:cs="Times New Roman"/>
          <w:sz w:val="28"/>
          <w:szCs w:val="28"/>
        </w:rPr>
        <w:t>, kā arī pieņem lēmumu</w:t>
      </w:r>
      <w:r w:rsidR="002664CB">
        <w:rPr>
          <w:rFonts w:ascii="Times New Roman" w:hAnsi="Times New Roman" w:cs="Times New Roman"/>
          <w:sz w:val="28"/>
          <w:szCs w:val="28"/>
        </w:rPr>
        <w:t>s</w:t>
      </w:r>
      <w:r w:rsidR="005919D4">
        <w:rPr>
          <w:rFonts w:ascii="Times New Roman" w:hAnsi="Times New Roman" w:cs="Times New Roman"/>
          <w:sz w:val="28"/>
          <w:szCs w:val="28"/>
        </w:rPr>
        <w:t xml:space="preserve"> par privatizācijas sertifikātu kontu atvēršanas laikā saņemto privatizācijas sertifikātu dzē</w:t>
      </w:r>
      <w:r w:rsidR="00A92CE2">
        <w:rPr>
          <w:rFonts w:ascii="Times New Roman" w:hAnsi="Times New Roman" w:cs="Times New Roman"/>
          <w:sz w:val="28"/>
          <w:szCs w:val="28"/>
        </w:rPr>
        <w:t xml:space="preserve">šanu </w:t>
      </w:r>
      <w:r w:rsidR="002664CB">
        <w:rPr>
          <w:rFonts w:ascii="Times New Roman" w:hAnsi="Times New Roman" w:cs="Times New Roman"/>
          <w:sz w:val="28"/>
          <w:szCs w:val="28"/>
        </w:rPr>
        <w:t xml:space="preserve">un </w:t>
      </w:r>
      <w:r w:rsidR="00E45C32">
        <w:rPr>
          <w:rFonts w:ascii="Times New Roman" w:hAnsi="Times New Roman" w:cs="Times New Roman"/>
          <w:sz w:val="28"/>
          <w:szCs w:val="28"/>
        </w:rPr>
        <w:t>apkopo informāciju par uzkrāšanas kontā ieskaitīto privatizācijas sertifikātu dzēšanu.</w:t>
      </w:r>
    </w:p>
    <w:p w:rsidR="002D3881" w:rsidRPr="00830101" w:rsidRDefault="00830101" w:rsidP="008A01D6">
      <w:pPr>
        <w:pStyle w:val="EnvelopeReturn"/>
        <w:spacing w:after="120"/>
        <w:ind w:firstLine="720"/>
        <w:jc w:val="both"/>
        <w:rPr>
          <w:rFonts w:ascii="Times New Roman" w:hAnsi="Times New Roman" w:cs="Times New Roman"/>
          <w:b/>
          <w:sz w:val="28"/>
          <w:szCs w:val="28"/>
        </w:rPr>
      </w:pPr>
      <w:r>
        <w:rPr>
          <w:rFonts w:ascii="Times New Roman" w:hAnsi="Times New Roman" w:cs="Times New Roman"/>
          <w:b/>
          <w:sz w:val="28"/>
          <w:szCs w:val="28"/>
        </w:rPr>
        <w:t>2. </w:t>
      </w:r>
      <w:r w:rsidR="00420803">
        <w:rPr>
          <w:rFonts w:ascii="Times New Roman" w:hAnsi="Times New Roman" w:cs="Times New Roman"/>
          <w:b/>
          <w:sz w:val="28"/>
          <w:szCs w:val="28"/>
        </w:rPr>
        <w:t>Situācija, kas ir izveidojusies ar l</w:t>
      </w:r>
      <w:r>
        <w:rPr>
          <w:rFonts w:ascii="Times New Roman" w:hAnsi="Times New Roman" w:cs="Times New Roman"/>
          <w:b/>
          <w:sz w:val="28"/>
          <w:szCs w:val="28"/>
        </w:rPr>
        <w:t>ikvidējam</w:t>
      </w:r>
      <w:r w:rsidR="00420803">
        <w:rPr>
          <w:rFonts w:ascii="Times New Roman" w:hAnsi="Times New Roman" w:cs="Times New Roman"/>
          <w:b/>
          <w:sz w:val="28"/>
          <w:szCs w:val="28"/>
        </w:rPr>
        <w:t>o</w:t>
      </w:r>
      <w:r>
        <w:rPr>
          <w:rFonts w:ascii="Times New Roman" w:hAnsi="Times New Roman" w:cs="Times New Roman"/>
          <w:b/>
          <w:sz w:val="28"/>
          <w:szCs w:val="28"/>
        </w:rPr>
        <w:t xml:space="preserve"> akciju sabiedrīb</w:t>
      </w:r>
      <w:r w:rsidR="00420803">
        <w:rPr>
          <w:rFonts w:ascii="Times New Roman" w:hAnsi="Times New Roman" w:cs="Times New Roman"/>
          <w:b/>
          <w:sz w:val="28"/>
          <w:szCs w:val="28"/>
        </w:rPr>
        <w:t>u</w:t>
      </w:r>
      <w:r>
        <w:rPr>
          <w:rFonts w:ascii="Times New Roman" w:hAnsi="Times New Roman" w:cs="Times New Roman"/>
          <w:b/>
          <w:sz w:val="28"/>
          <w:szCs w:val="28"/>
        </w:rPr>
        <w:t xml:space="preserve"> „Latvijas Krājbanka”</w:t>
      </w:r>
      <w:r w:rsidR="00420803">
        <w:rPr>
          <w:rFonts w:ascii="Times New Roman" w:hAnsi="Times New Roman" w:cs="Times New Roman"/>
          <w:b/>
          <w:sz w:val="28"/>
          <w:szCs w:val="28"/>
        </w:rPr>
        <w:t>.</w:t>
      </w:r>
    </w:p>
    <w:p w:rsidR="00195F2C" w:rsidRPr="0037584A" w:rsidRDefault="0037584A" w:rsidP="008A01D6">
      <w:pPr>
        <w:pStyle w:val="EnvelopeReturn"/>
        <w:spacing w:after="120"/>
        <w:ind w:firstLine="720"/>
        <w:jc w:val="both"/>
        <w:rPr>
          <w:rFonts w:ascii="Times New Roman" w:hAnsi="Times New Roman" w:cs="Times New Roman"/>
          <w:sz w:val="28"/>
          <w:szCs w:val="28"/>
        </w:rPr>
      </w:pPr>
      <w:r w:rsidRPr="0037584A">
        <w:rPr>
          <w:rFonts w:ascii="Times New Roman" w:hAnsi="Times New Roman" w:cs="Times New Roman"/>
          <w:sz w:val="28"/>
          <w:szCs w:val="28"/>
        </w:rPr>
        <w:t xml:space="preserve">Finanšu un kapitāla tirgus komisijas padome 2011.gada 21.novembrī pieņēma lēmumu apturēt akciju sabiedrības „Latvijas Krājbanka” visu finanšu pakalpojumu sniegšanu. Rīgas apgabaltiesa 2011.gada 13.decembrī pēc Finanšu un kapitāla tirgus komisijas pieteikuma pasludināja </w:t>
      </w:r>
      <w:r w:rsidR="00FC136D">
        <w:rPr>
          <w:rFonts w:ascii="Times New Roman" w:hAnsi="Times New Roman" w:cs="Times New Roman"/>
          <w:sz w:val="28"/>
          <w:szCs w:val="28"/>
        </w:rPr>
        <w:t xml:space="preserve">akciju sabiedrības „Latvijas </w:t>
      </w:r>
      <w:r w:rsidRPr="0037584A">
        <w:rPr>
          <w:rFonts w:ascii="Times New Roman" w:hAnsi="Times New Roman" w:cs="Times New Roman"/>
          <w:sz w:val="28"/>
          <w:szCs w:val="28"/>
        </w:rPr>
        <w:t>Krājbanka</w:t>
      </w:r>
      <w:r w:rsidR="00FC136D">
        <w:rPr>
          <w:rFonts w:ascii="Times New Roman" w:hAnsi="Times New Roman" w:cs="Times New Roman"/>
          <w:sz w:val="28"/>
          <w:szCs w:val="28"/>
        </w:rPr>
        <w:t>”</w:t>
      </w:r>
      <w:r w:rsidRPr="0037584A">
        <w:rPr>
          <w:rFonts w:ascii="Times New Roman" w:hAnsi="Times New Roman" w:cs="Times New Roman"/>
          <w:sz w:val="28"/>
          <w:szCs w:val="28"/>
        </w:rPr>
        <w:t xml:space="preserve"> maksātnespējas procesu.</w:t>
      </w:r>
      <w:r w:rsidR="0064234A">
        <w:rPr>
          <w:rFonts w:ascii="Times New Roman" w:hAnsi="Times New Roman" w:cs="Times New Roman"/>
          <w:sz w:val="28"/>
          <w:szCs w:val="28"/>
        </w:rPr>
        <w:t xml:space="preserve"> </w:t>
      </w:r>
      <w:r w:rsidR="00E378C7">
        <w:rPr>
          <w:rFonts w:ascii="Times New Roman" w:hAnsi="Times New Roman" w:cs="Times New Roman"/>
          <w:sz w:val="28"/>
          <w:szCs w:val="28"/>
        </w:rPr>
        <w:t xml:space="preserve">Savukārt ar 2012.gada 8.maija </w:t>
      </w:r>
      <w:r w:rsidR="00E378C7" w:rsidRPr="0037584A">
        <w:rPr>
          <w:rFonts w:ascii="Times New Roman" w:hAnsi="Times New Roman" w:cs="Times New Roman"/>
          <w:sz w:val="28"/>
          <w:szCs w:val="28"/>
        </w:rPr>
        <w:t>Rīgas apgabaltiesa</w:t>
      </w:r>
      <w:r w:rsidR="00E378C7">
        <w:rPr>
          <w:rFonts w:ascii="Times New Roman" w:hAnsi="Times New Roman" w:cs="Times New Roman"/>
          <w:sz w:val="28"/>
          <w:szCs w:val="28"/>
        </w:rPr>
        <w:t>s lēmumu tika uzsākta maksātnespējīgās akciju sabiedrības „Latvijas Krājbanka” bankrota procedūra, par ko laikrakstā „Latvijas Vēstnesis” 2012.gada 11.maijā tika publicēts paziņojums.</w:t>
      </w:r>
    </w:p>
    <w:p w:rsidR="00E17C99" w:rsidRPr="007E6D96" w:rsidRDefault="00A8486F" w:rsidP="000A2371">
      <w:pPr>
        <w:pStyle w:val="EnvelopeReturn"/>
        <w:spacing w:after="120"/>
        <w:ind w:firstLine="720"/>
        <w:jc w:val="both"/>
        <w:rPr>
          <w:rFonts w:ascii="Times New Roman" w:hAnsi="Times New Roman" w:cs="Times New Roman"/>
          <w:spacing w:val="-2"/>
          <w:sz w:val="28"/>
          <w:szCs w:val="28"/>
        </w:rPr>
      </w:pPr>
      <w:r w:rsidRPr="007E6D96">
        <w:rPr>
          <w:rFonts w:ascii="Times New Roman" w:hAnsi="Times New Roman" w:cs="Times New Roman"/>
          <w:sz w:val="28"/>
          <w:szCs w:val="28"/>
        </w:rPr>
        <w:t xml:space="preserve">Saskaņā ar noteikumu Nr.712 31.9.apakšpunktu, bankai, apkalpojot klienta privatizācijas sertifikātu kontu, ir pienākums – ja banka zaudē kredītiestādes statusu vai </w:t>
      </w:r>
      <w:r w:rsidRPr="005D7662">
        <w:rPr>
          <w:rFonts w:ascii="Times New Roman" w:hAnsi="Times New Roman" w:cs="Times New Roman"/>
          <w:sz w:val="28"/>
          <w:szCs w:val="28"/>
        </w:rPr>
        <w:t>tiesības pieņemt fizisko personu naudas noguldījumus</w:t>
      </w:r>
      <w:r w:rsidRPr="007E6D96">
        <w:rPr>
          <w:rFonts w:ascii="Times New Roman" w:hAnsi="Times New Roman" w:cs="Times New Roman"/>
          <w:sz w:val="28"/>
          <w:szCs w:val="28"/>
        </w:rPr>
        <w:t xml:space="preserve">, vai nolemj izbeigt </w:t>
      </w:r>
      <w:r w:rsidR="005D7662">
        <w:rPr>
          <w:rFonts w:ascii="Times New Roman" w:hAnsi="Times New Roman" w:cs="Times New Roman"/>
          <w:sz w:val="28"/>
          <w:szCs w:val="28"/>
        </w:rPr>
        <w:t xml:space="preserve">privatizācijas sertifikātu </w:t>
      </w:r>
      <w:r w:rsidRPr="007E6D96">
        <w:rPr>
          <w:rFonts w:ascii="Times New Roman" w:hAnsi="Times New Roman" w:cs="Times New Roman"/>
          <w:sz w:val="28"/>
          <w:szCs w:val="28"/>
        </w:rPr>
        <w:t xml:space="preserve">kontu apkalpošanu, nekavējoties izbeigt jaunu kontu atvēršanu, turpinot kontu apkalpošanu līdz to pārcelšanai uz citu banku, un noslēgt līgumu ar citu banku par </w:t>
      </w:r>
      <w:r w:rsidR="005D7662">
        <w:rPr>
          <w:rFonts w:ascii="Times New Roman" w:hAnsi="Times New Roman" w:cs="Times New Roman"/>
          <w:sz w:val="28"/>
          <w:szCs w:val="28"/>
        </w:rPr>
        <w:t xml:space="preserve">privatizācijas sertifikātu </w:t>
      </w:r>
      <w:r w:rsidRPr="007E6D96">
        <w:rPr>
          <w:rFonts w:ascii="Times New Roman" w:hAnsi="Times New Roman" w:cs="Times New Roman"/>
          <w:sz w:val="28"/>
          <w:szCs w:val="28"/>
        </w:rPr>
        <w:t>kontu pārcelšanu, saskaņojo</w:t>
      </w:r>
      <w:r w:rsidR="009F4B62">
        <w:rPr>
          <w:rFonts w:ascii="Times New Roman" w:hAnsi="Times New Roman" w:cs="Times New Roman"/>
          <w:sz w:val="28"/>
          <w:szCs w:val="28"/>
        </w:rPr>
        <w:t>t kontu pārcelšanas kārtību ar p</w:t>
      </w:r>
      <w:r w:rsidRPr="007E6D96">
        <w:rPr>
          <w:rFonts w:ascii="Times New Roman" w:hAnsi="Times New Roman" w:cs="Times New Roman"/>
          <w:sz w:val="28"/>
          <w:szCs w:val="28"/>
        </w:rPr>
        <w:t xml:space="preserve">rivatizācijas sertifikātu </w:t>
      </w:r>
      <w:r w:rsidRPr="00E17C99">
        <w:rPr>
          <w:rFonts w:ascii="Times New Roman" w:hAnsi="Times New Roman" w:cs="Times New Roman"/>
          <w:sz w:val="28"/>
          <w:szCs w:val="28"/>
        </w:rPr>
        <w:t xml:space="preserve">tirgus starpniecības </w:t>
      </w:r>
      <w:r w:rsidR="009F4B62" w:rsidRPr="00E17C99">
        <w:rPr>
          <w:rFonts w:ascii="Times New Roman" w:hAnsi="Times New Roman" w:cs="Times New Roman"/>
          <w:sz w:val="28"/>
          <w:szCs w:val="28"/>
        </w:rPr>
        <w:t>kapitāl</w:t>
      </w:r>
      <w:r w:rsidRPr="00E17C99">
        <w:rPr>
          <w:rFonts w:ascii="Times New Roman" w:hAnsi="Times New Roman" w:cs="Times New Roman"/>
          <w:sz w:val="28"/>
          <w:szCs w:val="28"/>
        </w:rPr>
        <w:t>sabiedrību licencēšanas komisiju.</w:t>
      </w:r>
      <w:r w:rsidR="00E17C99" w:rsidRPr="00E17C99">
        <w:rPr>
          <w:rFonts w:ascii="Times New Roman" w:hAnsi="Times New Roman" w:cs="Times New Roman"/>
          <w:sz w:val="28"/>
          <w:szCs w:val="28"/>
        </w:rPr>
        <w:t xml:space="preserve"> Privatizācijas sertifikātu tirgus starpniecības sabiedrību licencēšanas komisija</w:t>
      </w:r>
      <w:r w:rsidR="00BD0984">
        <w:rPr>
          <w:rFonts w:ascii="Times New Roman" w:hAnsi="Times New Roman" w:cs="Times New Roman"/>
          <w:sz w:val="28"/>
          <w:szCs w:val="28"/>
        </w:rPr>
        <w:t xml:space="preserve">, pamatojoties uz </w:t>
      </w:r>
      <w:r w:rsidR="00AA2CE8">
        <w:rPr>
          <w:rFonts w:ascii="Times New Roman" w:hAnsi="Times New Roman" w:cs="Times New Roman"/>
          <w:sz w:val="28"/>
          <w:szCs w:val="28"/>
        </w:rPr>
        <w:t xml:space="preserve">noteikumu Nr.711 </w:t>
      </w:r>
      <w:r w:rsidR="00BD0984">
        <w:rPr>
          <w:rFonts w:ascii="Times New Roman" w:hAnsi="Times New Roman" w:cs="Times New Roman"/>
          <w:sz w:val="28"/>
          <w:szCs w:val="28"/>
        </w:rPr>
        <w:t>8.punktu,</w:t>
      </w:r>
      <w:r w:rsidR="00E17C99" w:rsidRPr="00E17C99">
        <w:rPr>
          <w:rFonts w:ascii="Times New Roman" w:hAnsi="Times New Roman" w:cs="Times New Roman"/>
          <w:sz w:val="28"/>
          <w:szCs w:val="28"/>
        </w:rPr>
        <w:t xml:space="preserve"> ir izveidota ar Ekonomikas ministrijas 2012.gada 8.maija rīkojumu Nr.80 „Par privatizācijas sertifikātu tirgus starpniecības sabiedrību licencēšanas komisiju”</w:t>
      </w:r>
      <w:r w:rsidR="00E17C99">
        <w:rPr>
          <w:rFonts w:ascii="Times New Roman" w:hAnsi="Times New Roman" w:cs="Times New Roman"/>
          <w:sz w:val="28"/>
          <w:szCs w:val="28"/>
        </w:rPr>
        <w:t>.</w:t>
      </w:r>
    </w:p>
    <w:p w:rsidR="00BD65DC" w:rsidRDefault="00DA15C7"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Šobrīd i</w:t>
      </w:r>
      <w:r w:rsidR="00A8486F" w:rsidRPr="007E6D96">
        <w:rPr>
          <w:rFonts w:ascii="Times New Roman" w:hAnsi="Times New Roman" w:cs="Times New Roman"/>
          <w:sz w:val="28"/>
          <w:szCs w:val="28"/>
        </w:rPr>
        <w:t xml:space="preserve">r iestājusies normatīvajos aktos paredzēta situācija, kas uzliek par pienākumu </w:t>
      </w:r>
      <w:r w:rsidR="005A057D">
        <w:rPr>
          <w:rFonts w:ascii="Times New Roman" w:hAnsi="Times New Roman" w:cs="Times New Roman"/>
          <w:sz w:val="28"/>
          <w:szCs w:val="28"/>
        </w:rPr>
        <w:t xml:space="preserve">likvidējamai akciju sabiedrībai „Latvijas </w:t>
      </w:r>
      <w:r w:rsidR="00A8486F" w:rsidRPr="007E6D96">
        <w:rPr>
          <w:rFonts w:ascii="Times New Roman" w:hAnsi="Times New Roman" w:cs="Times New Roman"/>
          <w:sz w:val="28"/>
          <w:szCs w:val="28"/>
        </w:rPr>
        <w:t>Krājbanka</w:t>
      </w:r>
      <w:r w:rsidR="005A057D">
        <w:rPr>
          <w:rFonts w:ascii="Times New Roman" w:hAnsi="Times New Roman" w:cs="Times New Roman"/>
          <w:sz w:val="28"/>
          <w:szCs w:val="28"/>
        </w:rPr>
        <w:t>”</w:t>
      </w:r>
      <w:r w:rsidR="00D1506B">
        <w:rPr>
          <w:rFonts w:ascii="Times New Roman" w:hAnsi="Times New Roman" w:cs="Times New Roman"/>
          <w:sz w:val="28"/>
          <w:szCs w:val="28"/>
        </w:rPr>
        <w:t xml:space="preserve"> (turpmāk – Krājbanka)</w:t>
      </w:r>
      <w:r w:rsidR="00A8486F" w:rsidRPr="007E6D96">
        <w:rPr>
          <w:rFonts w:ascii="Times New Roman" w:hAnsi="Times New Roman" w:cs="Times New Roman"/>
          <w:sz w:val="28"/>
          <w:szCs w:val="28"/>
        </w:rPr>
        <w:t xml:space="preserve"> izbeigt jaunu </w:t>
      </w:r>
      <w:r w:rsidR="005A057D">
        <w:rPr>
          <w:rFonts w:ascii="Times New Roman" w:hAnsi="Times New Roman" w:cs="Times New Roman"/>
          <w:sz w:val="28"/>
          <w:szCs w:val="28"/>
        </w:rPr>
        <w:t xml:space="preserve">privatizācijas sertifikātu </w:t>
      </w:r>
      <w:r w:rsidR="00A8486F" w:rsidRPr="007E6D96">
        <w:rPr>
          <w:rFonts w:ascii="Times New Roman" w:hAnsi="Times New Roman" w:cs="Times New Roman"/>
          <w:sz w:val="28"/>
          <w:szCs w:val="28"/>
        </w:rPr>
        <w:t>kontu atvēršanu un, turpinot esošo kontu apkalpošanu, noslēgt līgumu ar citu banku par</w:t>
      </w:r>
      <w:r w:rsidR="005A057D">
        <w:rPr>
          <w:rFonts w:ascii="Times New Roman" w:hAnsi="Times New Roman" w:cs="Times New Roman"/>
          <w:sz w:val="28"/>
          <w:szCs w:val="28"/>
        </w:rPr>
        <w:t xml:space="preserve"> privatizācijas sertifikātu</w:t>
      </w:r>
      <w:r w:rsidR="00A8486F" w:rsidRPr="007E6D96">
        <w:rPr>
          <w:rFonts w:ascii="Times New Roman" w:hAnsi="Times New Roman" w:cs="Times New Roman"/>
          <w:sz w:val="28"/>
          <w:szCs w:val="28"/>
        </w:rPr>
        <w:t xml:space="preserve"> kontu pārcelšanu, saskaņojot kontu pārcelšanas kārtību ar </w:t>
      </w:r>
      <w:r w:rsidR="005A057D">
        <w:rPr>
          <w:rFonts w:ascii="Times New Roman" w:hAnsi="Times New Roman" w:cs="Times New Roman"/>
          <w:sz w:val="28"/>
          <w:szCs w:val="28"/>
        </w:rPr>
        <w:t>p</w:t>
      </w:r>
      <w:r w:rsidR="005A057D" w:rsidRPr="00E17C99">
        <w:rPr>
          <w:rFonts w:ascii="Times New Roman" w:hAnsi="Times New Roman" w:cs="Times New Roman"/>
          <w:sz w:val="28"/>
          <w:szCs w:val="28"/>
        </w:rPr>
        <w:t xml:space="preserve">rivatizācijas sertifikātu tirgus starpniecības sabiedrību licencēšanas </w:t>
      </w:r>
      <w:r w:rsidR="005A057D">
        <w:rPr>
          <w:rFonts w:ascii="Times New Roman" w:hAnsi="Times New Roman" w:cs="Times New Roman"/>
          <w:sz w:val="28"/>
          <w:szCs w:val="28"/>
        </w:rPr>
        <w:t>komisiju.</w:t>
      </w:r>
      <w:r w:rsidR="00E17C72">
        <w:rPr>
          <w:rFonts w:ascii="Times New Roman" w:hAnsi="Times New Roman" w:cs="Times New Roman"/>
          <w:sz w:val="28"/>
          <w:szCs w:val="28"/>
        </w:rPr>
        <w:t xml:space="preserve"> Kā jau minēts iepriekš, p</w:t>
      </w:r>
      <w:r w:rsidR="00A8486F" w:rsidRPr="007E6D96">
        <w:rPr>
          <w:rFonts w:ascii="Times New Roman" w:hAnsi="Times New Roman" w:cs="Times New Roman"/>
          <w:sz w:val="28"/>
          <w:szCs w:val="28"/>
        </w:rPr>
        <w:t>ašlaik vienīgā kredītiestāde, kura var pārņemt Krājbank</w:t>
      </w:r>
      <w:r w:rsidR="00D1506B">
        <w:rPr>
          <w:rFonts w:ascii="Times New Roman" w:hAnsi="Times New Roman" w:cs="Times New Roman"/>
          <w:sz w:val="28"/>
          <w:szCs w:val="28"/>
        </w:rPr>
        <w:t>ā</w:t>
      </w:r>
      <w:r w:rsidR="00A8486F" w:rsidRPr="007E6D96">
        <w:rPr>
          <w:rFonts w:ascii="Times New Roman" w:hAnsi="Times New Roman" w:cs="Times New Roman"/>
          <w:sz w:val="28"/>
          <w:szCs w:val="28"/>
        </w:rPr>
        <w:t xml:space="preserve"> esošos </w:t>
      </w:r>
      <w:r w:rsidR="00583DA4">
        <w:rPr>
          <w:rFonts w:ascii="Times New Roman" w:hAnsi="Times New Roman" w:cs="Times New Roman"/>
          <w:sz w:val="28"/>
          <w:szCs w:val="28"/>
        </w:rPr>
        <w:t xml:space="preserve">privatizācijas sertifikātu </w:t>
      </w:r>
      <w:r w:rsidR="00A8486F" w:rsidRPr="007E6D96">
        <w:rPr>
          <w:rFonts w:ascii="Times New Roman" w:hAnsi="Times New Roman" w:cs="Times New Roman"/>
          <w:sz w:val="28"/>
          <w:szCs w:val="28"/>
        </w:rPr>
        <w:t xml:space="preserve">kontus, saskaņā ar </w:t>
      </w:r>
      <w:r w:rsidR="00583DA4">
        <w:rPr>
          <w:rFonts w:ascii="Times New Roman" w:hAnsi="Times New Roman" w:cs="Times New Roman"/>
          <w:sz w:val="28"/>
          <w:szCs w:val="28"/>
        </w:rPr>
        <w:t xml:space="preserve">noteikumu Nr.712 </w:t>
      </w:r>
      <w:r w:rsidR="00A8486F" w:rsidRPr="007E6D96">
        <w:rPr>
          <w:rFonts w:ascii="Times New Roman" w:hAnsi="Times New Roman" w:cs="Times New Roman"/>
          <w:sz w:val="28"/>
          <w:szCs w:val="28"/>
        </w:rPr>
        <w:t xml:space="preserve">2.punktu, ir Hipotēku banka. Neviena cita kredītiestāde, kurai ir tiesības pieņemt fizisko personu naudas noguldījumus, nav saskaņojušas savus iekšējos noteikumus ar </w:t>
      </w:r>
      <w:r w:rsidR="00583DA4">
        <w:rPr>
          <w:rFonts w:ascii="Times New Roman" w:hAnsi="Times New Roman" w:cs="Times New Roman"/>
          <w:sz w:val="28"/>
          <w:szCs w:val="28"/>
        </w:rPr>
        <w:t>p</w:t>
      </w:r>
      <w:r w:rsidR="00583DA4" w:rsidRPr="00E17C99">
        <w:rPr>
          <w:rFonts w:ascii="Times New Roman" w:hAnsi="Times New Roman" w:cs="Times New Roman"/>
          <w:sz w:val="28"/>
          <w:szCs w:val="28"/>
        </w:rPr>
        <w:t xml:space="preserve">rivatizācijas sertifikātu tirgus starpniecības sabiedrību </w:t>
      </w:r>
      <w:r w:rsidR="00583DA4" w:rsidRPr="00E17C99">
        <w:rPr>
          <w:rFonts w:ascii="Times New Roman" w:hAnsi="Times New Roman" w:cs="Times New Roman"/>
          <w:sz w:val="28"/>
          <w:szCs w:val="28"/>
        </w:rPr>
        <w:lastRenderedPageBreak/>
        <w:t>licencēšanas</w:t>
      </w:r>
      <w:r w:rsidR="0064234A">
        <w:rPr>
          <w:rFonts w:ascii="Times New Roman" w:hAnsi="Times New Roman" w:cs="Times New Roman"/>
          <w:sz w:val="28"/>
          <w:szCs w:val="28"/>
        </w:rPr>
        <w:t xml:space="preserve"> </w:t>
      </w:r>
      <w:r w:rsidR="00A8486F" w:rsidRPr="007E6D96">
        <w:rPr>
          <w:rFonts w:ascii="Times New Roman" w:hAnsi="Times New Roman" w:cs="Times New Roman"/>
          <w:sz w:val="28"/>
          <w:szCs w:val="28"/>
        </w:rPr>
        <w:t xml:space="preserve">komisiju atbilstoši </w:t>
      </w:r>
      <w:r w:rsidR="00583DA4">
        <w:rPr>
          <w:rFonts w:ascii="Times New Roman" w:hAnsi="Times New Roman" w:cs="Times New Roman"/>
          <w:sz w:val="28"/>
          <w:szCs w:val="28"/>
        </w:rPr>
        <w:t xml:space="preserve">noteikumu Nr.712 </w:t>
      </w:r>
      <w:r w:rsidR="00A8486F" w:rsidRPr="007E6D96">
        <w:rPr>
          <w:rFonts w:ascii="Times New Roman" w:hAnsi="Times New Roman" w:cs="Times New Roman"/>
          <w:sz w:val="28"/>
          <w:szCs w:val="28"/>
        </w:rPr>
        <w:t xml:space="preserve">2.punktam, lai iegūtu tiesības atvērt un apkalpot </w:t>
      </w:r>
      <w:r w:rsidR="00583DA4">
        <w:rPr>
          <w:rFonts w:ascii="Times New Roman" w:hAnsi="Times New Roman" w:cs="Times New Roman"/>
          <w:sz w:val="28"/>
          <w:szCs w:val="28"/>
        </w:rPr>
        <w:t xml:space="preserve">privatizācijas sertifikātu </w:t>
      </w:r>
      <w:r w:rsidR="00A8486F" w:rsidRPr="007E6D96">
        <w:rPr>
          <w:rFonts w:ascii="Times New Roman" w:hAnsi="Times New Roman" w:cs="Times New Roman"/>
          <w:sz w:val="28"/>
          <w:szCs w:val="28"/>
        </w:rPr>
        <w:t>kontus.</w:t>
      </w:r>
    </w:p>
    <w:p w:rsidR="00AD4BBC" w:rsidRDefault="00475ADA" w:rsidP="000A2371">
      <w:pPr>
        <w:pStyle w:val="EnvelopeReturn"/>
        <w:spacing w:after="120"/>
        <w:ind w:firstLine="720"/>
        <w:jc w:val="both"/>
        <w:rPr>
          <w:rFonts w:ascii="Times New Roman" w:hAnsi="Times New Roman" w:cs="Times New Roman"/>
          <w:spacing w:val="-2"/>
          <w:sz w:val="28"/>
          <w:szCs w:val="28"/>
        </w:rPr>
      </w:pPr>
      <w:r w:rsidRPr="00475ADA">
        <w:rPr>
          <w:rFonts w:ascii="Times New Roman" w:hAnsi="Times New Roman" w:cs="Times New Roman"/>
          <w:sz w:val="28"/>
          <w:szCs w:val="28"/>
        </w:rPr>
        <w:t xml:space="preserve">Lai pārrunātu </w:t>
      </w:r>
      <w:r>
        <w:rPr>
          <w:rFonts w:ascii="Times New Roman" w:hAnsi="Times New Roman" w:cs="Times New Roman"/>
          <w:sz w:val="28"/>
          <w:szCs w:val="28"/>
        </w:rPr>
        <w:t>j</w:t>
      </w:r>
      <w:r w:rsidRPr="00475ADA">
        <w:rPr>
          <w:rFonts w:ascii="Times New Roman" w:hAnsi="Times New Roman" w:cs="Times New Roman"/>
          <w:sz w:val="28"/>
          <w:szCs w:val="28"/>
        </w:rPr>
        <w:t>autājumus par Krājbank</w:t>
      </w:r>
      <w:r w:rsidR="00D1506B">
        <w:rPr>
          <w:rFonts w:ascii="Times New Roman" w:hAnsi="Times New Roman" w:cs="Times New Roman"/>
          <w:sz w:val="28"/>
          <w:szCs w:val="28"/>
        </w:rPr>
        <w:t>ā</w:t>
      </w:r>
      <w:r w:rsidRPr="00475ADA">
        <w:rPr>
          <w:rFonts w:ascii="Times New Roman" w:hAnsi="Times New Roman" w:cs="Times New Roman"/>
          <w:sz w:val="28"/>
          <w:szCs w:val="28"/>
        </w:rPr>
        <w:t xml:space="preserve"> esošo privatizācijas sertifikātu kontu pārcelšanu</w:t>
      </w:r>
      <w:r w:rsidR="00BD0984">
        <w:rPr>
          <w:rFonts w:ascii="Times New Roman" w:hAnsi="Times New Roman" w:cs="Times New Roman"/>
          <w:sz w:val="28"/>
          <w:szCs w:val="28"/>
        </w:rPr>
        <w:t>,</w:t>
      </w:r>
      <w:r>
        <w:rPr>
          <w:rFonts w:ascii="Times New Roman" w:hAnsi="Times New Roman" w:cs="Times New Roman"/>
          <w:sz w:val="28"/>
          <w:szCs w:val="28"/>
        </w:rPr>
        <w:t xml:space="preserve"> vairākkārt ir rīkotas sanāksmes,</w:t>
      </w:r>
      <w:r w:rsidR="0064234A">
        <w:rPr>
          <w:rFonts w:ascii="Times New Roman" w:hAnsi="Times New Roman" w:cs="Times New Roman"/>
          <w:sz w:val="28"/>
          <w:szCs w:val="28"/>
        </w:rPr>
        <w:t xml:space="preserve"> </w:t>
      </w:r>
      <w:r>
        <w:rPr>
          <w:rFonts w:ascii="Times New Roman" w:hAnsi="Times New Roman" w:cs="Times New Roman"/>
          <w:sz w:val="28"/>
          <w:szCs w:val="28"/>
        </w:rPr>
        <w:t>p</w:t>
      </w:r>
      <w:r w:rsidR="004F3741" w:rsidRPr="00475ADA">
        <w:rPr>
          <w:rFonts w:ascii="Times New Roman" w:hAnsi="Times New Roman" w:cs="Times New Roman"/>
          <w:spacing w:val="-2"/>
          <w:sz w:val="28"/>
          <w:szCs w:val="28"/>
        </w:rPr>
        <w:t>iedaloties</w:t>
      </w:r>
      <w:r w:rsidR="004F3741">
        <w:rPr>
          <w:rFonts w:ascii="Times New Roman" w:hAnsi="Times New Roman" w:cs="Times New Roman"/>
          <w:spacing w:val="-2"/>
          <w:sz w:val="28"/>
          <w:szCs w:val="28"/>
        </w:rPr>
        <w:t xml:space="preserve"> Ekonomikas ministrijas, Privatizācijas aģentūra</w:t>
      </w:r>
      <w:r w:rsidR="002E1AE6">
        <w:rPr>
          <w:rFonts w:ascii="Times New Roman" w:hAnsi="Times New Roman" w:cs="Times New Roman"/>
          <w:spacing w:val="-2"/>
          <w:sz w:val="28"/>
          <w:szCs w:val="28"/>
        </w:rPr>
        <w:t>s</w:t>
      </w:r>
      <w:r w:rsidR="004F3741">
        <w:rPr>
          <w:rFonts w:ascii="Times New Roman" w:hAnsi="Times New Roman" w:cs="Times New Roman"/>
          <w:spacing w:val="-2"/>
          <w:sz w:val="28"/>
          <w:szCs w:val="28"/>
        </w:rPr>
        <w:t>, Krājbanka</w:t>
      </w:r>
      <w:r w:rsidR="00D1506B">
        <w:rPr>
          <w:rFonts w:ascii="Times New Roman" w:hAnsi="Times New Roman" w:cs="Times New Roman"/>
          <w:spacing w:val="-2"/>
          <w:sz w:val="28"/>
          <w:szCs w:val="28"/>
        </w:rPr>
        <w:t>s</w:t>
      </w:r>
      <w:r w:rsidR="004F3741">
        <w:rPr>
          <w:rFonts w:ascii="Times New Roman" w:hAnsi="Times New Roman" w:cs="Times New Roman"/>
          <w:spacing w:val="-2"/>
          <w:sz w:val="28"/>
          <w:szCs w:val="28"/>
        </w:rPr>
        <w:t xml:space="preserve"> un Hipotēku banka</w:t>
      </w:r>
      <w:r w:rsidR="00453ECF">
        <w:rPr>
          <w:rFonts w:ascii="Times New Roman" w:hAnsi="Times New Roman" w:cs="Times New Roman"/>
          <w:spacing w:val="-2"/>
          <w:sz w:val="28"/>
          <w:szCs w:val="28"/>
        </w:rPr>
        <w:t>s</w:t>
      </w:r>
      <w:r w:rsidR="004F3741">
        <w:rPr>
          <w:rFonts w:ascii="Times New Roman" w:hAnsi="Times New Roman" w:cs="Times New Roman"/>
          <w:spacing w:val="-2"/>
          <w:sz w:val="28"/>
          <w:szCs w:val="28"/>
        </w:rPr>
        <w:t xml:space="preserve"> pārst</w:t>
      </w:r>
      <w:r>
        <w:rPr>
          <w:rFonts w:ascii="Times New Roman" w:hAnsi="Times New Roman" w:cs="Times New Roman"/>
          <w:spacing w:val="-2"/>
          <w:sz w:val="28"/>
          <w:szCs w:val="28"/>
        </w:rPr>
        <w:t>āvjiem</w:t>
      </w:r>
      <w:r w:rsidR="00AD4BBC">
        <w:rPr>
          <w:rFonts w:ascii="Times New Roman" w:hAnsi="Times New Roman" w:cs="Times New Roman"/>
          <w:spacing w:val="-2"/>
          <w:sz w:val="28"/>
          <w:szCs w:val="28"/>
        </w:rPr>
        <w:t xml:space="preserve">. </w:t>
      </w:r>
      <w:r w:rsidR="00BC4D8F">
        <w:rPr>
          <w:rFonts w:ascii="Times New Roman" w:hAnsi="Times New Roman" w:cs="Times New Roman"/>
          <w:spacing w:val="-2"/>
          <w:sz w:val="28"/>
          <w:szCs w:val="28"/>
        </w:rPr>
        <w:t>Pēc kārtējās sanāksmes 2012.gada 9.februārī s</w:t>
      </w:r>
      <w:r w:rsidR="00AD4BBC">
        <w:rPr>
          <w:rFonts w:ascii="Times New Roman" w:hAnsi="Times New Roman" w:cs="Times New Roman"/>
          <w:spacing w:val="-2"/>
          <w:sz w:val="28"/>
          <w:szCs w:val="28"/>
        </w:rPr>
        <w:t xml:space="preserve">tarp </w:t>
      </w:r>
      <w:r w:rsidR="00D1506B">
        <w:rPr>
          <w:rFonts w:ascii="Times New Roman" w:hAnsi="Times New Roman" w:cs="Times New Roman"/>
          <w:spacing w:val="-2"/>
          <w:sz w:val="28"/>
          <w:szCs w:val="28"/>
        </w:rPr>
        <w:t>Krājbanku</w:t>
      </w:r>
      <w:r w:rsidR="00AD4BBC">
        <w:rPr>
          <w:rFonts w:ascii="Times New Roman" w:hAnsi="Times New Roman" w:cs="Times New Roman"/>
          <w:spacing w:val="-2"/>
          <w:sz w:val="28"/>
          <w:szCs w:val="28"/>
        </w:rPr>
        <w:t xml:space="preserve"> un Hipotēku bank</w:t>
      </w:r>
      <w:r w:rsidR="00453ECF">
        <w:rPr>
          <w:rFonts w:ascii="Times New Roman" w:hAnsi="Times New Roman" w:cs="Times New Roman"/>
          <w:spacing w:val="-2"/>
          <w:sz w:val="28"/>
          <w:szCs w:val="28"/>
        </w:rPr>
        <w:t>u</w:t>
      </w:r>
      <w:r w:rsidR="00AD4BBC">
        <w:rPr>
          <w:rFonts w:ascii="Times New Roman" w:hAnsi="Times New Roman" w:cs="Times New Roman"/>
          <w:spacing w:val="-2"/>
          <w:sz w:val="28"/>
          <w:szCs w:val="28"/>
        </w:rPr>
        <w:t xml:space="preserve"> 2012.gada </w:t>
      </w:r>
      <w:r w:rsidR="005F3BB6">
        <w:rPr>
          <w:rFonts w:ascii="Times New Roman" w:hAnsi="Times New Roman" w:cs="Times New Roman"/>
          <w:spacing w:val="-2"/>
          <w:sz w:val="28"/>
          <w:szCs w:val="28"/>
        </w:rPr>
        <w:t>28</w:t>
      </w:r>
      <w:r w:rsidR="00AD4BBC">
        <w:rPr>
          <w:rFonts w:ascii="Times New Roman" w:hAnsi="Times New Roman" w:cs="Times New Roman"/>
          <w:spacing w:val="-2"/>
          <w:sz w:val="28"/>
          <w:szCs w:val="28"/>
        </w:rPr>
        <w:t xml:space="preserve">.februārī tika </w:t>
      </w:r>
      <w:r w:rsidR="00BC4D8F">
        <w:rPr>
          <w:rFonts w:ascii="Times New Roman" w:hAnsi="Times New Roman" w:cs="Times New Roman"/>
          <w:spacing w:val="-2"/>
          <w:sz w:val="28"/>
          <w:szCs w:val="28"/>
        </w:rPr>
        <w:t xml:space="preserve">noslēgts nodomu protokols, saskaņā ar kuru </w:t>
      </w:r>
      <w:r w:rsidR="00130EC4">
        <w:rPr>
          <w:rFonts w:ascii="Times New Roman" w:hAnsi="Times New Roman" w:cs="Times New Roman"/>
          <w:spacing w:val="-2"/>
          <w:sz w:val="28"/>
          <w:szCs w:val="28"/>
        </w:rPr>
        <w:t>abas puses izteica nodomu sadarboties, lai apzinātu iespējamās problēmas, ja Krājbank</w:t>
      </w:r>
      <w:r w:rsidR="00D1506B">
        <w:rPr>
          <w:rFonts w:ascii="Times New Roman" w:hAnsi="Times New Roman" w:cs="Times New Roman"/>
          <w:spacing w:val="-2"/>
          <w:sz w:val="28"/>
          <w:szCs w:val="28"/>
        </w:rPr>
        <w:t>ā</w:t>
      </w:r>
      <w:r w:rsidR="00130EC4">
        <w:rPr>
          <w:rFonts w:ascii="Times New Roman" w:hAnsi="Times New Roman" w:cs="Times New Roman"/>
          <w:spacing w:val="-2"/>
          <w:sz w:val="28"/>
          <w:szCs w:val="28"/>
        </w:rPr>
        <w:t xml:space="preserve"> atvērtie privatizācijas sertifikātu konti tiks pārcelti uz Hipotēku bank</w:t>
      </w:r>
      <w:r w:rsidR="00453ECF">
        <w:rPr>
          <w:rFonts w:ascii="Times New Roman" w:hAnsi="Times New Roman" w:cs="Times New Roman"/>
          <w:spacing w:val="-2"/>
          <w:sz w:val="28"/>
          <w:szCs w:val="28"/>
        </w:rPr>
        <w:t>u</w:t>
      </w:r>
      <w:r w:rsidR="00130EC4">
        <w:rPr>
          <w:rFonts w:ascii="Times New Roman" w:hAnsi="Times New Roman" w:cs="Times New Roman"/>
          <w:spacing w:val="-2"/>
          <w:sz w:val="28"/>
          <w:szCs w:val="28"/>
        </w:rPr>
        <w:t xml:space="preserve">. Vienlaicīgi puses vienojās, ka, uzsākot </w:t>
      </w:r>
      <w:r w:rsidR="00453ECF">
        <w:rPr>
          <w:rFonts w:ascii="Times New Roman" w:hAnsi="Times New Roman" w:cs="Times New Roman"/>
          <w:spacing w:val="-2"/>
          <w:sz w:val="28"/>
          <w:szCs w:val="28"/>
        </w:rPr>
        <w:t>sa</w:t>
      </w:r>
      <w:r w:rsidR="00130EC4">
        <w:rPr>
          <w:rFonts w:ascii="Times New Roman" w:hAnsi="Times New Roman" w:cs="Times New Roman"/>
          <w:spacing w:val="-2"/>
          <w:sz w:val="28"/>
          <w:szCs w:val="28"/>
        </w:rPr>
        <w:t>darbību</w:t>
      </w:r>
      <w:r w:rsidR="00453ECF">
        <w:rPr>
          <w:rFonts w:ascii="Times New Roman" w:hAnsi="Times New Roman" w:cs="Times New Roman"/>
          <w:spacing w:val="-2"/>
          <w:sz w:val="28"/>
          <w:szCs w:val="28"/>
        </w:rPr>
        <w:t xml:space="preserve">, </w:t>
      </w:r>
      <w:r w:rsidR="00130EC4">
        <w:rPr>
          <w:rFonts w:ascii="Times New Roman" w:hAnsi="Times New Roman" w:cs="Times New Roman"/>
          <w:spacing w:val="-2"/>
          <w:sz w:val="28"/>
          <w:szCs w:val="28"/>
        </w:rPr>
        <w:t>Krājbanka nodod Hipotēku banka</w:t>
      </w:r>
      <w:r w:rsidR="00453ECF">
        <w:rPr>
          <w:rFonts w:ascii="Times New Roman" w:hAnsi="Times New Roman" w:cs="Times New Roman"/>
          <w:spacing w:val="-2"/>
          <w:sz w:val="28"/>
          <w:szCs w:val="28"/>
        </w:rPr>
        <w:t>i</w:t>
      </w:r>
      <w:r w:rsidR="0064234A">
        <w:rPr>
          <w:rFonts w:ascii="Times New Roman" w:hAnsi="Times New Roman" w:cs="Times New Roman"/>
          <w:spacing w:val="-2"/>
          <w:sz w:val="28"/>
          <w:szCs w:val="28"/>
        </w:rPr>
        <w:t xml:space="preserve"> </w:t>
      </w:r>
      <w:r w:rsidR="00453ECF">
        <w:rPr>
          <w:rFonts w:ascii="Times New Roman" w:hAnsi="Times New Roman" w:cs="Times New Roman"/>
          <w:spacing w:val="-2"/>
          <w:sz w:val="28"/>
          <w:szCs w:val="28"/>
        </w:rPr>
        <w:t>Privatizācijas sertifikātu kontu sistēmas mācību versiju izpētei</w:t>
      </w:r>
      <w:r w:rsidR="0013302C">
        <w:rPr>
          <w:rFonts w:ascii="Times New Roman" w:hAnsi="Times New Roman" w:cs="Times New Roman"/>
          <w:spacing w:val="-2"/>
          <w:sz w:val="28"/>
          <w:szCs w:val="28"/>
        </w:rPr>
        <w:t xml:space="preserve">, </w:t>
      </w:r>
      <w:r w:rsidR="00503340">
        <w:rPr>
          <w:rFonts w:ascii="Times New Roman" w:hAnsi="Times New Roman" w:cs="Times New Roman"/>
          <w:spacing w:val="-2"/>
          <w:sz w:val="28"/>
          <w:szCs w:val="28"/>
        </w:rPr>
        <w:t>tāpat</w:t>
      </w:r>
      <w:r w:rsidR="00453ECF">
        <w:rPr>
          <w:rFonts w:ascii="Times New Roman" w:hAnsi="Times New Roman" w:cs="Times New Roman"/>
          <w:spacing w:val="-2"/>
          <w:sz w:val="28"/>
          <w:szCs w:val="28"/>
        </w:rPr>
        <w:t xml:space="preserve"> tiek nodoti ar mācību versijas instalēšanu un konfigurēšanu saistītie dokumenti. </w:t>
      </w:r>
      <w:r w:rsidR="00503340">
        <w:rPr>
          <w:rFonts w:ascii="Times New Roman" w:hAnsi="Times New Roman" w:cs="Times New Roman"/>
          <w:spacing w:val="-2"/>
          <w:sz w:val="28"/>
          <w:szCs w:val="28"/>
        </w:rPr>
        <w:t xml:space="preserve">Atbilstoši parakstītajam nodomu protokolam </w:t>
      </w:r>
      <w:r w:rsidR="00453ECF">
        <w:rPr>
          <w:rFonts w:ascii="Times New Roman" w:hAnsi="Times New Roman" w:cs="Times New Roman"/>
          <w:spacing w:val="-2"/>
          <w:sz w:val="28"/>
          <w:szCs w:val="28"/>
        </w:rPr>
        <w:t>Privatizācijas sertifikātu kontu sistēmas mācību versija Hipotēku bankai tika nodota.</w:t>
      </w:r>
    </w:p>
    <w:p w:rsidR="00BD65DC" w:rsidRDefault="00BD0984"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V</w:t>
      </w:r>
      <w:r w:rsidR="0041214A" w:rsidRPr="0041214A">
        <w:rPr>
          <w:rFonts w:ascii="Times New Roman" w:hAnsi="Times New Roman" w:cs="Times New Roman"/>
          <w:sz w:val="28"/>
          <w:szCs w:val="28"/>
        </w:rPr>
        <w:t xml:space="preserve">ienā no organizētajām sanāksmēm </w:t>
      </w:r>
      <w:r w:rsidR="0041214A" w:rsidRPr="0041214A">
        <w:rPr>
          <w:rFonts w:ascii="Times New Roman" w:hAnsi="Times New Roman" w:cs="Times New Roman"/>
          <w:spacing w:val="-2"/>
          <w:sz w:val="28"/>
          <w:szCs w:val="28"/>
        </w:rPr>
        <w:t>Krājbanka</w:t>
      </w:r>
      <w:r w:rsidR="00D1506B">
        <w:rPr>
          <w:rFonts w:ascii="Times New Roman" w:hAnsi="Times New Roman" w:cs="Times New Roman"/>
          <w:spacing w:val="-2"/>
          <w:sz w:val="28"/>
          <w:szCs w:val="28"/>
        </w:rPr>
        <w:t>s</w:t>
      </w:r>
      <w:r w:rsidR="0041214A" w:rsidRPr="0041214A">
        <w:rPr>
          <w:rFonts w:ascii="Times New Roman" w:hAnsi="Times New Roman" w:cs="Times New Roman"/>
          <w:sz w:val="28"/>
          <w:szCs w:val="28"/>
        </w:rPr>
        <w:t xml:space="preserve"> maksātnespējas administratora sabiedrības ar ierobežotu atbildību „KPMG Baltics” pārstāvis izteica bažas par īpašuma tiesību uz programmatūru un IT infrastruktūru, kas attiecināma uz </w:t>
      </w:r>
      <w:r>
        <w:rPr>
          <w:rFonts w:ascii="Times New Roman" w:hAnsi="Times New Roman" w:cs="Times New Roman"/>
          <w:sz w:val="28"/>
          <w:szCs w:val="28"/>
        </w:rPr>
        <w:t xml:space="preserve">privatizācijas sertifikātu </w:t>
      </w:r>
      <w:r w:rsidR="0041214A" w:rsidRPr="0041214A">
        <w:rPr>
          <w:rFonts w:ascii="Times New Roman" w:hAnsi="Times New Roman" w:cs="Times New Roman"/>
          <w:sz w:val="28"/>
          <w:szCs w:val="28"/>
        </w:rPr>
        <w:t xml:space="preserve">kontu apkalpošanu, pāreju Hipotēku bankai vienlaicīgi ar </w:t>
      </w:r>
      <w:r>
        <w:rPr>
          <w:rFonts w:ascii="Times New Roman" w:hAnsi="Times New Roman" w:cs="Times New Roman"/>
          <w:sz w:val="28"/>
          <w:szCs w:val="28"/>
        </w:rPr>
        <w:t xml:space="preserve">privatizācijas sertifikātu </w:t>
      </w:r>
      <w:r w:rsidR="0041214A" w:rsidRPr="0041214A">
        <w:rPr>
          <w:rFonts w:ascii="Times New Roman" w:hAnsi="Times New Roman" w:cs="Times New Roman"/>
          <w:sz w:val="28"/>
          <w:szCs w:val="28"/>
        </w:rPr>
        <w:t>kontu pārcelšanu</w:t>
      </w:r>
      <w:r w:rsidR="000C3D14">
        <w:rPr>
          <w:rFonts w:ascii="Times New Roman" w:hAnsi="Times New Roman" w:cs="Times New Roman"/>
          <w:sz w:val="28"/>
          <w:szCs w:val="28"/>
        </w:rPr>
        <w:t>.</w:t>
      </w:r>
      <w:r w:rsidR="005D10D7">
        <w:rPr>
          <w:rFonts w:ascii="Times New Roman" w:hAnsi="Times New Roman" w:cs="Times New Roman"/>
          <w:sz w:val="28"/>
          <w:szCs w:val="28"/>
        </w:rPr>
        <w:t xml:space="preserve"> Vienlaicīgi Hipotēku bankas pārstāvis pauda bažas saistībā ar konkurences jautājumiem gadījumā, ja visi privatizācijas sertifikātu konti tiks koncentrēti viena tirgus dalībnieka – Hipotēku bankas rīcībā.</w:t>
      </w:r>
      <w:r w:rsidR="0064234A">
        <w:rPr>
          <w:rFonts w:ascii="Times New Roman" w:hAnsi="Times New Roman" w:cs="Times New Roman"/>
          <w:sz w:val="28"/>
          <w:szCs w:val="28"/>
        </w:rPr>
        <w:t xml:space="preserve"> </w:t>
      </w:r>
      <w:r w:rsidR="00B30619">
        <w:rPr>
          <w:rFonts w:ascii="Times New Roman" w:hAnsi="Times New Roman" w:cs="Times New Roman"/>
          <w:sz w:val="28"/>
          <w:szCs w:val="28"/>
        </w:rPr>
        <w:t xml:space="preserve">Ņemot vērā </w:t>
      </w:r>
      <w:r w:rsidR="00512EF6">
        <w:rPr>
          <w:rFonts w:ascii="Times New Roman" w:hAnsi="Times New Roman" w:cs="Times New Roman"/>
          <w:sz w:val="28"/>
          <w:szCs w:val="28"/>
        </w:rPr>
        <w:t xml:space="preserve">sanāksmes dalībnieku </w:t>
      </w:r>
      <w:r w:rsidR="00B30619">
        <w:rPr>
          <w:rFonts w:ascii="Times New Roman" w:hAnsi="Times New Roman" w:cs="Times New Roman"/>
          <w:sz w:val="28"/>
          <w:szCs w:val="28"/>
        </w:rPr>
        <w:t>izteiktās bažas,</w:t>
      </w:r>
      <w:r w:rsidR="0064234A">
        <w:rPr>
          <w:rFonts w:ascii="Times New Roman" w:hAnsi="Times New Roman" w:cs="Times New Roman"/>
          <w:sz w:val="28"/>
          <w:szCs w:val="28"/>
        </w:rPr>
        <w:t xml:space="preserve"> </w:t>
      </w:r>
      <w:r w:rsidR="00FF559B">
        <w:rPr>
          <w:rFonts w:ascii="Times New Roman" w:hAnsi="Times New Roman" w:cs="Times New Roman"/>
          <w:spacing w:val="-2"/>
          <w:sz w:val="28"/>
          <w:szCs w:val="28"/>
        </w:rPr>
        <w:t xml:space="preserve">Ekonomikas ministrija </w:t>
      </w:r>
      <w:r w:rsidRPr="00FD2EB8">
        <w:rPr>
          <w:rFonts w:ascii="Times New Roman" w:hAnsi="Times New Roman" w:cs="Times New Roman"/>
          <w:spacing w:val="-2"/>
          <w:sz w:val="28"/>
          <w:szCs w:val="28"/>
        </w:rPr>
        <w:t xml:space="preserve">vērsās </w:t>
      </w:r>
      <w:r w:rsidR="00FD2EB8" w:rsidRPr="00FD2EB8">
        <w:rPr>
          <w:rFonts w:ascii="Times New Roman" w:hAnsi="Times New Roman" w:cs="Times New Roman"/>
          <w:spacing w:val="-2"/>
          <w:sz w:val="28"/>
          <w:szCs w:val="28"/>
        </w:rPr>
        <w:t xml:space="preserve">pie </w:t>
      </w:r>
      <w:r w:rsidRPr="00FD2EB8">
        <w:rPr>
          <w:rFonts w:ascii="Times New Roman" w:hAnsi="Times New Roman" w:cs="Times New Roman"/>
          <w:spacing w:val="-2"/>
          <w:sz w:val="28"/>
          <w:szCs w:val="28"/>
        </w:rPr>
        <w:t xml:space="preserve">Konkurences padomes ar lūgumu </w:t>
      </w:r>
      <w:r w:rsidR="00FD2EB8" w:rsidRPr="00FD2EB8">
        <w:rPr>
          <w:rFonts w:ascii="Times New Roman" w:hAnsi="Times New Roman" w:cs="Times New Roman"/>
          <w:sz w:val="28"/>
          <w:szCs w:val="28"/>
        </w:rPr>
        <w:t>sniegt viedokli, vai gadījumā, ja Krājbanka un Hipotēku banka noslēdz līgumu par Krājbank</w:t>
      </w:r>
      <w:r w:rsidR="00D1506B">
        <w:rPr>
          <w:rFonts w:ascii="Times New Roman" w:hAnsi="Times New Roman" w:cs="Times New Roman"/>
          <w:sz w:val="28"/>
          <w:szCs w:val="28"/>
        </w:rPr>
        <w:t>ā</w:t>
      </w:r>
      <w:r w:rsidR="00FD2EB8" w:rsidRPr="00FD2EB8">
        <w:rPr>
          <w:rFonts w:ascii="Times New Roman" w:hAnsi="Times New Roman" w:cs="Times New Roman"/>
          <w:sz w:val="28"/>
          <w:szCs w:val="28"/>
        </w:rPr>
        <w:t xml:space="preserve"> esošo privatizācijas sertifikātu kontu pārcelšanu uz Hipotēku banku, pirms līguma noslēgšanas ir papildus jāveic kādas Konkurences likumā vai citos konkurenci regulējošajos normatīvajos aktos noteiktās darbības.</w:t>
      </w:r>
      <w:r w:rsidR="0064234A">
        <w:rPr>
          <w:rFonts w:ascii="Times New Roman" w:hAnsi="Times New Roman" w:cs="Times New Roman"/>
          <w:sz w:val="28"/>
          <w:szCs w:val="28"/>
        </w:rPr>
        <w:t xml:space="preserve"> </w:t>
      </w:r>
      <w:r w:rsidR="00512EF6">
        <w:rPr>
          <w:rFonts w:ascii="Times New Roman" w:hAnsi="Times New Roman" w:cs="Times New Roman"/>
          <w:sz w:val="28"/>
          <w:szCs w:val="28"/>
        </w:rPr>
        <w:t xml:space="preserve">Vienlaicīgi Ekonomikas ministrija </w:t>
      </w:r>
      <w:r w:rsidR="00FD2EB8" w:rsidRPr="0005129E">
        <w:rPr>
          <w:rFonts w:ascii="Times New Roman" w:hAnsi="Times New Roman" w:cs="Times New Roman"/>
          <w:sz w:val="28"/>
          <w:szCs w:val="28"/>
        </w:rPr>
        <w:t xml:space="preserve">vērsās Finanšu un kapitāla tirgus komisijā ar lūgumu sniegt viedokli, vai attiecībā uz programmatūru un IT infrastruktūru, kas attiecināma uz privatizācijas sertifikātu kontu apkalpošanu, būtu attiecināma Kredītiestāžu likuma 185.panta otrajā daļā noteiktā kārtība, ņemot vērā </w:t>
      </w:r>
      <w:r w:rsidR="0005129E" w:rsidRPr="0005129E">
        <w:rPr>
          <w:rFonts w:ascii="Times New Roman" w:hAnsi="Times New Roman" w:cs="Times New Roman"/>
          <w:sz w:val="28"/>
          <w:szCs w:val="28"/>
        </w:rPr>
        <w:t xml:space="preserve">noteikumu Nr.712 </w:t>
      </w:r>
      <w:r w:rsidR="00FD2EB8" w:rsidRPr="0005129E">
        <w:rPr>
          <w:rFonts w:ascii="Times New Roman" w:hAnsi="Times New Roman" w:cs="Times New Roman"/>
          <w:sz w:val="28"/>
          <w:szCs w:val="28"/>
        </w:rPr>
        <w:t>31.9.apakšpunktu, kas uzdod</w:t>
      </w:r>
      <w:r w:rsidR="0005129E" w:rsidRPr="0005129E">
        <w:rPr>
          <w:rFonts w:ascii="Times New Roman" w:hAnsi="Times New Roman" w:cs="Times New Roman"/>
          <w:sz w:val="28"/>
          <w:szCs w:val="28"/>
        </w:rPr>
        <w:t xml:space="preserve"> Krājbank</w:t>
      </w:r>
      <w:r w:rsidR="00D1506B">
        <w:rPr>
          <w:rFonts w:ascii="Times New Roman" w:hAnsi="Times New Roman" w:cs="Times New Roman"/>
          <w:sz w:val="28"/>
          <w:szCs w:val="28"/>
        </w:rPr>
        <w:t>ā</w:t>
      </w:r>
      <w:r w:rsidR="00FD2EB8" w:rsidRPr="0005129E">
        <w:rPr>
          <w:rFonts w:ascii="Times New Roman" w:hAnsi="Times New Roman" w:cs="Times New Roman"/>
          <w:sz w:val="28"/>
          <w:szCs w:val="28"/>
        </w:rPr>
        <w:t xml:space="preserve"> esošos </w:t>
      </w:r>
      <w:r w:rsidR="0005129E" w:rsidRPr="0005129E">
        <w:rPr>
          <w:rFonts w:ascii="Times New Roman" w:hAnsi="Times New Roman" w:cs="Times New Roman"/>
          <w:sz w:val="28"/>
          <w:szCs w:val="28"/>
        </w:rPr>
        <w:t xml:space="preserve">privatizācijas sertifikātu </w:t>
      </w:r>
      <w:r w:rsidR="00FD2EB8" w:rsidRPr="0005129E">
        <w:rPr>
          <w:rFonts w:ascii="Times New Roman" w:hAnsi="Times New Roman" w:cs="Times New Roman"/>
          <w:sz w:val="28"/>
          <w:szCs w:val="28"/>
        </w:rPr>
        <w:t>kontus pārcelt uz citu kredītiestādi</w:t>
      </w:r>
      <w:r w:rsidR="0005129E" w:rsidRPr="0005129E">
        <w:rPr>
          <w:rFonts w:ascii="Times New Roman" w:hAnsi="Times New Roman" w:cs="Times New Roman"/>
          <w:sz w:val="28"/>
          <w:szCs w:val="28"/>
        </w:rPr>
        <w:t>.</w:t>
      </w:r>
    </w:p>
    <w:p w:rsidR="00AA4953" w:rsidRDefault="00C1640C"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Konkurences padome </w:t>
      </w:r>
      <w:r w:rsidR="00EB07AC">
        <w:rPr>
          <w:rFonts w:ascii="Times New Roman" w:hAnsi="Times New Roman" w:cs="Times New Roman"/>
          <w:sz w:val="28"/>
          <w:szCs w:val="28"/>
        </w:rPr>
        <w:t>informē</w:t>
      </w:r>
      <w:r w:rsidR="00650CE5">
        <w:rPr>
          <w:rFonts w:ascii="Times New Roman" w:hAnsi="Times New Roman" w:cs="Times New Roman"/>
          <w:sz w:val="28"/>
          <w:szCs w:val="28"/>
        </w:rPr>
        <w:t>ja</w:t>
      </w:r>
      <w:r w:rsidR="006E29EA">
        <w:rPr>
          <w:rFonts w:ascii="Times New Roman" w:hAnsi="Times New Roman" w:cs="Times New Roman"/>
          <w:sz w:val="28"/>
          <w:szCs w:val="28"/>
        </w:rPr>
        <w:t>, ka</w:t>
      </w:r>
      <w:r w:rsidR="0064234A">
        <w:rPr>
          <w:rFonts w:ascii="Times New Roman" w:hAnsi="Times New Roman" w:cs="Times New Roman"/>
          <w:sz w:val="28"/>
          <w:szCs w:val="28"/>
        </w:rPr>
        <w:t xml:space="preserve"> </w:t>
      </w:r>
      <w:r w:rsidR="006E29EA">
        <w:rPr>
          <w:rFonts w:ascii="Times New Roman" w:hAnsi="Times New Roman" w:cs="Times New Roman"/>
          <w:sz w:val="28"/>
          <w:szCs w:val="28"/>
        </w:rPr>
        <w:t>Konkurences likuma 15.panta pirmā daļa nosaka tirgus dalībnieku apvienošanās veidus, un viens no apvienošanās gadījumiem ir tāds stāvoklis, kad viens vai vairāki tirgus dalībnieki iegūst daļu vai visus cita tirgus dalībnieka vai citu tirgus dalībnieku aktīvus.</w:t>
      </w:r>
      <w:r w:rsidR="00F52668">
        <w:rPr>
          <w:rFonts w:ascii="Times New Roman" w:hAnsi="Times New Roman" w:cs="Times New Roman"/>
          <w:sz w:val="28"/>
          <w:szCs w:val="28"/>
        </w:rPr>
        <w:t xml:space="preserve"> Termins „aktīvi” ir attiecināms uz jebkurām uzņēmumam piederošām lietām, kas veido saimnieciskās darbības vienību un uz ko skaidri var tikt attiecināts apgrozījums.</w:t>
      </w:r>
      <w:r w:rsidR="0064234A">
        <w:rPr>
          <w:rFonts w:ascii="Times New Roman" w:hAnsi="Times New Roman" w:cs="Times New Roman"/>
          <w:sz w:val="28"/>
          <w:szCs w:val="28"/>
        </w:rPr>
        <w:t xml:space="preserve"> </w:t>
      </w:r>
      <w:r w:rsidR="005F2335">
        <w:rPr>
          <w:rFonts w:ascii="Times New Roman" w:hAnsi="Times New Roman" w:cs="Times New Roman"/>
          <w:sz w:val="28"/>
          <w:szCs w:val="28"/>
        </w:rPr>
        <w:t>Privatizācijas sertifikātu konti, kas atrodas Krājbank</w:t>
      </w:r>
      <w:r w:rsidR="00D1506B">
        <w:rPr>
          <w:rFonts w:ascii="Times New Roman" w:hAnsi="Times New Roman" w:cs="Times New Roman"/>
          <w:sz w:val="28"/>
          <w:szCs w:val="28"/>
        </w:rPr>
        <w:t>ā</w:t>
      </w:r>
      <w:r w:rsidR="005F2335">
        <w:rPr>
          <w:rFonts w:ascii="Times New Roman" w:hAnsi="Times New Roman" w:cs="Times New Roman"/>
          <w:sz w:val="28"/>
          <w:szCs w:val="28"/>
        </w:rPr>
        <w:t>, ir vērtējami kā tās aktīvi, līdz ar to darījuma rezultātā Hipotēku banka iegūs daļu Krājbanka</w:t>
      </w:r>
      <w:r w:rsidR="00D1506B">
        <w:rPr>
          <w:rFonts w:ascii="Times New Roman" w:hAnsi="Times New Roman" w:cs="Times New Roman"/>
          <w:sz w:val="28"/>
          <w:szCs w:val="28"/>
        </w:rPr>
        <w:t>s</w:t>
      </w:r>
      <w:r w:rsidR="005F2335">
        <w:rPr>
          <w:rFonts w:ascii="Times New Roman" w:hAnsi="Times New Roman" w:cs="Times New Roman"/>
          <w:sz w:val="28"/>
          <w:szCs w:val="28"/>
        </w:rPr>
        <w:t xml:space="preserve"> aktīvus, kas ir viens no Konkurences likuma 15.panta pirmajā daļā noteiktajiem </w:t>
      </w:r>
      <w:r w:rsidR="005F2335">
        <w:rPr>
          <w:rFonts w:ascii="Times New Roman" w:hAnsi="Times New Roman" w:cs="Times New Roman"/>
          <w:sz w:val="28"/>
          <w:szCs w:val="28"/>
        </w:rPr>
        <w:lastRenderedPageBreak/>
        <w:t>apvienošanās veidiem.</w:t>
      </w:r>
      <w:r w:rsidR="0064234A">
        <w:rPr>
          <w:rFonts w:ascii="Times New Roman" w:hAnsi="Times New Roman" w:cs="Times New Roman"/>
          <w:sz w:val="28"/>
          <w:szCs w:val="28"/>
        </w:rPr>
        <w:t xml:space="preserve"> </w:t>
      </w:r>
      <w:r w:rsidR="00E36A1C">
        <w:rPr>
          <w:rFonts w:ascii="Times New Roman" w:hAnsi="Times New Roman" w:cs="Times New Roman"/>
          <w:sz w:val="28"/>
          <w:szCs w:val="28"/>
        </w:rPr>
        <w:t xml:space="preserve">Konkurences likuma </w:t>
      </w:r>
      <w:r w:rsidR="006E29EA">
        <w:rPr>
          <w:rFonts w:ascii="Times New Roman" w:hAnsi="Times New Roman" w:cs="Times New Roman"/>
          <w:sz w:val="28"/>
          <w:szCs w:val="28"/>
        </w:rPr>
        <w:t>15.panta otrā daļa nosaka kritērijus, kuriem izpildoties, tirgus dalībniekiem ir pienākumus ies</w:t>
      </w:r>
      <w:r w:rsidR="00E36A1C">
        <w:rPr>
          <w:rFonts w:ascii="Times New Roman" w:hAnsi="Times New Roman" w:cs="Times New Roman"/>
          <w:sz w:val="28"/>
          <w:szCs w:val="28"/>
        </w:rPr>
        <w:t>niegt</w:t>
      </w:r>
      <w:r w:rsidR="00236AB9">
        <w:rPr>
          <w:rFonts w:ascii="Times New Roman" w:hAnsi="Times New Roman" w:cs="Times New Roman"/>
          <w:sz w:val="28"/>
          <w:szCs w:val="28"/>
        </w:rPr>
        <w:t xml:space="preserve"> Konkurences padomei</w:t>
      </w:r>
      <w:r w:rsidR="00E36A1C">
        <w:rPr>
          <w:rFonts w:ascii="Times New Roman" w:hAnsi="Times New Roman" w:cs="Times New Roman"/>
          <w:sz w:val="28"/>
          <w:szCs w:val="28"/>
        </w:rPr>
        <w:t xml:space="preserve"> ziņojumu par apvienošanos. </w:t>
      </w:r>
      <w:r w:rsidR="00236AB9">
        <w:rPr>
          <w:rFonts w:ascii="Times New Roman" w:hAnsi="Times New Roman" w:cs="Times New Roman"/>
          <w:sz w:val="28"/>
          <w:szCs w:val="28"/>
        </w:rPr>
        <w:t xml:space="preserve">Savukārt </w:t>
      </w:r>
      <w:r w:rsidR="00E36A1C">
        <w:rPr>
          <w:rFonts w:ascii="Times New Roman" w:hAnsi="Times New Roman" w:cs="Times New Roman"/>
          <w:sz w:val="28"/>
          <w:szCs w:val="28"/>
        </w:rPr>
        <w:t xml:space="preserve">Konkurences </w:t>
      </w:r>
      <w:r w:rsidR="00236AB9">
        <w:rPr>
          <w:rFonts w:ascii="Times New Roman" w:hAnsi="Times New Roman" w:cs="Times New Roman"/>
          <w:sz w:val="28"/>
          <w:szCs w:val="28"/>
        </w:rPr>
        <w:t>likuma 15.panta 2.</w:t>
      </w:r>
      <w:r w:rsidR="00236AB9" w:rsidRPr="00236AB9">
        <w:rPr>
          <w:rFonts w:ascii="Times New Roman" w:hAnsi="Times New Roman" w:cs="Times New Roman"/>
          <w:sz w:val="28"/>
          <w:szCs w:val="28"/>
          <w:vertAlign w:val="superscript"/>
        </w:rPr>
        <w:t>1</w:t>
      </w:r>
      <w:r w:rsidR="00236AB9">
        <w:rPr>
          <w:rFonts w:ascii="Times New Roman" w:hAnsi="Times New Roman" w:cs="Times New Roman"/>
          <w:sz w:val="28"/>
          <w:szCs w:val="28"/>
        </w:rPr>
        <w:t xml:space="preserve"> daļa nosaka, ka ziņojum</w:t>
      </w:r>
      <w:r w:rsidR="000F2BFA">
        <w:rPr>
          <w:rFonts w:ascii="Times New Roman" w:hAnsi="Times New Roman" w:cs="Times New Roman"/>
          <w:sz w:val="28"/>
          <w:szCs w:val="28"/>
        </w:rPr>
        <w:t>s</w:t>
      </w:r>
      <w:r w:rsidR="00236AB9">
        <w:rPr>
          <w:rFonts w:ascii="Times New Roman" w:hAnsi="Times New Roman" w:cs="Times New Roman"/>
          <w:sz w:val="28"/>
          <w:szCs w:val="28"/>
        </w:rPr>
        <w:t xml:space="preserve"> nav jāiesniedz, ja vienam no diviem apvienošanās dalībniekiem apgrozījums iepriekšējā finanšu gadā Latvijas teritorijā nepārsniedz 1,5 miljonus latu. Nosakot otra apvienošanās dalībnieka apgrozījumu, jāņem vērā tikai tas apgrozījums, kurš ir radies no konkrēto aktīvu, kurus paredzēts pārņemt, izmantošanas saimnieciskajā darbībā, tas ir Krājbanka</w:t>
      </w:r>
      <w:r w:rsidR="00FF004E">
        <w:rPr>
          <w:rFonts w:ascii="Times New Roman" w:hAnsi="Times New Roman" w:cs="Times New Roman"/>
          <w:sz w:val="28"/>
          <w:szCs w:val="28"/>
        </w:rPr>
        <w:t>s</w:t>
      </w:r>
      <w:r w:rsidR="00236AB9">
        <w:rPr>
          <w:rFonts w:ascii="Times New Roman" w:hAnsi="Times New Roman" w:cs="Times New Roman"/>
          <w:sz w:val="28"/>
          <w:szCs w:val="28"/>
        </w:rPr>
        <w:t xml:space="preserve"> apgrozījums no privatizācijas sertifikātu kontu atvēršanas un apkalpošanas.</w:t>
      </w:r>
      <w:r w:rsidR="000F2BFA">
        <w:rPr>
          <w:rFonts w:ascii="Times New Roman" w:hAnsi="Times New Roman" w:cs="Times New Roman"/>
          <w:sz w:val="28"/>
          <w:szCs w:val="28"/>
        </w:rPr>
        <w:t xml:space="preserve"> Ņemot vērā minēto, Konkurences padome secina, ka, lai noteiktu, vai Hipotēku bankai ir jāiesniedz Konkurences padomei ziņojums par apvienošanos, sākotnēji nepieciešams aprēķināt Krājbanka</w:t>
      </w:r>
      <w:r w:rsidR="00FF004E">
        <w:rPr>
          <w:rFonts w:ascii="Times New Roman" w:hAnsi="Times New Roman" w:cs="Times New Roman"/>
          <w:sz w:val="28"/>
          <w:szCs w:val="28"/>
        </w:rPr>
        <w:t>s</w:t>
      </w:r>
      <w:r w:rsidR="000F2BFA">
        <w:rPr>
          <w:rFonts w:ascii="Times New Roman" w:hAnsi="Times New Roman" w:cs="Times New Roman"/>
          <w:sz w:val="28"/>
          <w:szCs w:val="28"/>
        </w:rPr>
        <w:t xml:space="preserve"> neto apgrozījumu no privatizācijas sertifikātu kontu atvēršanas un apkalpošanas 2011.gadā. Ja neto apgrozījums nepārsniedz 1,5 miljonus latu, tad ziņojums nav iesniedzams, bet, ja pārsniedz, tad Hipotēku bankai ir iesniedzams Konkurences padomē pilns vai saīsināts (Konkurences likuma 15.panta 2.</w:t>
      </w:r>
      <w:r w:rsidR="000F2BFA" w:rsidRPr="000F2BFA">
        <w:rPr>
          <w:rFonts w:ascii="Times New Roman" w:hAnsi="Times New Roman" w:cs="Times New Roman"/>
          <w:sz w:val="28"/>
          <w:szCs w:val="28"/>
          <w:vertAlign w:val="superscript"/>
        </w:rPr>
        <w:t>2</w:t>
      </w:r>
      <w:r w:rsidR="000F2BFA">
        <w:rPr>
          <w:rFonts w:ascii="Times New Roman" w:hAnsi="Times New Roman" w:cs="Times New Roman"/>
          <w:sz w:val="28"/>
          <w:szCs w:val="28"/>
        </w:rPr>
        <w:t>daļa) ziņojums atbilstoši Ministru kabineta 2008.gada 29.septembra noteikumiem Nr.800 „Kārtība, kādā iesniedz un izskata pilno un saīsināto ziņojumu par tirgus dalībnieku apvienošanos”.</w:t>
      </w:r>
    </w:p>
    <w:p w:rsidR="00B4227A" w:rsidRPr="005F7F88" w:rsidRDefault="00905461" w:rsidP="000A2371">
      <w:pPr>
        <w:pStyle w:val="EnvelopeReturn"/>
        <w:spacing w:after="120"/>
        <w:ind w:firstLine="720"/>
        <w:jc w:val="both"/>
        <w:rPr>
          <w:rFonts w:ascii="Times New Roman" w:hAnsi="Times New Roman" w:cs="Times New Roman"/>
          <w:spacing w:val="-2"/>
          <w:sz w:val="28"/>
          <w:szCs w:val="28"/>
        </w:rPr>
      </w:pPr>
      <w:r>
        <w:rPr>
          <w:rFonts w:ascii="Times New Roman" w:hAnsi="Times New Roman" w:cs="Times New Roman"/>
          <w:sz w:val="28"/>
          <w:szCs w:val="28"/>
        </w:rPr>
        <w:t>No</w:t>
      </w:r>
      <w:r w:rsidR="003D14A0" w:rsidRPr="005F7F88">
        <w:rPr>
          <w:rFonts w:ascii="Times New Roman" w:hAnsi="Times New Roman" w:cs="Times New Roman"/>
          <w:sz w:val="28"/>
          <w:szCs w:val="28"/>
        </w:rPr>
        <w:t xml:space="preserve"> Privatizācijas aģentūra</w:t>
      </w:r>
      <w:r w:rsidR="002E1AE6">
        <w:rPr>
          <w:rFonts w:ascii="Times New Roman" w:hAnsi="Times New Roman" w:cs="Times New Roman"/>
          <w:sz w:val="28"/>
          <w:szCs w:val="28"/>
        </w:rPr>
        <w:t>s</w:t>
      </w:r>
      <w:r w:rsidR="003D14A0" w:rsidRPr="005F7F88">
        <w:rPr>
          <w:rFonts w:ascii="Times New Roman" w:hAnsi="Times New Roman" w:cs="Times New Roman"/>
          <w:sz w:val="28"/>
          <w:szCs w:val="28"/>
        </w:rPr>
        <w:t xml:space="preserve"> apkopot</w:t>
      </w:r>
      <w:r>
        <w:rPr>
          <w:rFonts w:ascii="Times New Roman" w:hAnsi="Times New Roman" w:cs="Times New Roman"/>
          <w:sz w:val="28"/>
          <w:szCs w:val="28"/>
        </w:rPr>
        <w:t>ās</w:t>
      </w:r>
      <w:r w:rsidR="003D14A0" w:rsidRPr="005F7F88">
        <w:rPr>
          <w:rFonts w:ascii="Times New Roman" w:hAnsi="Times New Roman" w:cs="Times New Roman"/>
          <w:sz w:val="28"/>
          <w:szCs w:val="28"/>
        </w:rPr>
        <w:t xml:space="preserve"> informācij</w:t>
      </w:r>
      <w:r>
        <w:rPr>
          <w:rFonts w:ascii="Times New Roman" w:hAnsi="Times New Roman" w:cs="Times New Roman"/>
          <w:sz w:val="28"/>
          <w:szCs w:val="28"/>
        </w:rPr>
        <w:t>as, ko tā apkopo saskaņā ar normatīvajos aktos noteikto kompetenci privatizācijas sertifikātu apritē,</w:t>
      </w:r>
      <w:r w:rsidR="0064234A">
        <w:rPr>
          <w:rFonts w:ascii="Times New Roman" w:hAnsi="Times New Roman" w:cs="Times New Roman"/>
          <w:sz w:val="28"/>
          <w:szCs w:val="28"/>
        </w:rPr>
        <w:t xml:space="preserve"> </w:t>
      </w:r>
      <w:r>
        <w:rPr>
          <w:rFonts w:ascii="Times New Roman" w:hAnsi="Times New Roman" w:cs="Times New Roman"/>
          <w:sz w:val="28"/>
          <w:szCs w:val="28"/>
        </w:rPr>
        <w:t>izriet, ka nedz Krājbankas, nedz Hipotēku bankas apgrozījums no privatizācijas sertifikātu kontu atvēršanas un apkalpošanas 2011.gadā atsevišķi un kopā nepārsniedz 1,5 miljonus latu.</w:t>
      </w:r>
    </w:p>
    <w:p w:rsidR="00347EC2" w:rsidRDefault="00131D7D" w:rsidP="00A71CE6">
      <w:pPr>
        <w:spacing w:after="120"/>
        <w:ind w:firstLine="720"/>
        <w:jc w:val="both"/>
        <w:rPr>
          <w:sz w:val="28"/>
          <w:szCs w:val="28"/>
        </w:rPr>
      </w:pPr>
      <w:r w:rsidRPr="00A71CE6">
        <w:rPr>
          <w:sz w:val="28"/>
          <w:szCs w:val="28"/>
        </w:rPr>
        <w:t xml:space="preserve">Finanšu un kapitāla tirgus komisija </w:t>
      </w:r>
      <w:r w:rsidR="00D269DF" w:rsidRPr="00A71CE6">
        <w:rPr>
          <w:sz w:val="28"/>
          <w:szCs w:val="28"/>
        </w:rPr>
        <w:t>pau</w:t>
      </w:r>
      <w:r w:rsidR="00650CE5">
        <w:rPr>
          <w:sz w:val="28"/>
          <w:szCs w:val="28"/>
        </w:rPr>
        <w:t>da</w:t>
      </w:r>
      <w:r w:rsidR="00D269DF" w:rsidRPr="00A71CE6">
        <w:rPr>
          <w:sz w:val="28"/>
          <w:szCs w:val="28"/>
        </w:rPr>
        <w:t xml:space="preserve"> viedokli, ka Krājbanka</w:t>
      </w:r>
      <w:r w:rsidR="00FF004E">
        <w:rPr>
          <w:sz w:val="28"/>
          <w:szCs w:val="28"/>
        </w:rPr>
        <w:t>i</w:t>
      </w:r>
      <w:r w:rsidR="00D269DF" w:rsidRPr="00A71CE6">
        <w:rPr>
          <w:sz w:val="28"/>
          <w:szCs w:val="28"/>
        </w:rPr>
        <w:t xml:space="preserve"> piederošā programmatūra un IT infrastruktūra, kas attiecināma uz privatizācijas sertifikātu kontu apkalpošanu, ir uzskatāma par Krājbanka</w:t>
      </w:r>
      <w:r w:rsidR="00FF004E">
        <w:rPr>
          <w:sz w:val="28"/>
          <w:szCs w:val="28"/>
        </w:rPr>
        <w:t>s</w:t>
      </w:r>
      <w:r w:rsidR="00D269DF" w:rsidRPr="00A71CE6">
        <w:rPr>
          <w:sz w:val="28"/>
          <w:szCs w:val="28"/>
        </w:rPr>
        <w:t xml:space="preserve"> mantu un iespējamo tiesiska darījuma priekšmetu un būtu atsavināma Kredītiestāžu likumā noteiktajā kārtībā – pārdodama izsolē, jo attiecībā uz to nepastāv atsevišķs regulējums. Lēmuma pieņemšana par kādas mantas atsavināšanas veidu un procesu ir Krājbanka</w:t>
      </w:r>
      <w:r w:rsidR="00FF004E">
        <w:rPr>
          <w:sz w:val="28"/>
          <w:szCs w:val="28"/>
        </w:rPr>
        <w:t>s</w:t>
      </w:r>
      <w:r w:rsidR="00D269DF" w:rsidRPr="00A71CE6">
        <w:rPr>
          <w:sz w:val="28"/>
          <w:szCs w:val="28"/>
        </w:rPr>
        <w:t xml:space="preserve"> maksātnespējas procesa administratora sabiedrības ar ierobežotu atbildību „KPMG Baltics” kompetencē. Vienlaicīgi Finanšu un kapitāla tirgus komisija vēr</w:t>
      </w:r>
      <w:r w:rsidR="00650CE5">
        <w:rPr>
          <w:sz w:val="28"/>
          <w:szCs w:val="28"/>
        </w:rPr>
        <w:t>sa</w:t>
      </w:r>
      <w:r w:rsidR="00D269DF" w:rsidRPr="00A71CE6">
        <w:rPr>
          <w:sz w:val="28"/>
          <w:szCs w:val="28"/>
        </w:rPr>
        <w:t xml:space="preserve"> uzmanību, ka</w:t>
      </w:r>
      <w:r w:rsidR="00650CE5">
        <w:rPr>
          <w:sz w:val="28"/>
          <w:szCs w:val="28"/>
        </w:rPr>
        <w:t>,</w:t>
      </w:r>
      <w:r w:rsidR="00D269DF" w:rsidRPr="00A71CE6">
        <w:rPr>
          <w:sz w:val="28"/>
          <w:szCs w:val="28"/>
        </w:rPr>
        <w:t xml:space="preserve"> lemjot par programmatūras un IT infrastruktūras, kas attiecināma uz privatizācijas sertifikātu kontu apkalpošanu, pārdošanu izsolē, būtu jāvērtē šāda procesa lietderība un iespējamie ieguvumi/zaudējumi, kā arī jāņem vērā vairāki faktori, piemēram: 1) privatizācijas sertifikātu kontu pārcelšanas iespēja bez attiecīgas programmatūras un IT infrastruktūras; 2) pārcelto privatizācijas sertifikātu kontu apkalpošanas iespēja Hipotēku bankā bez attiecīgās programmatūras un infrastruktūras; 3) minētās programmatūras un IT infrastruktūras pastāvēšanas un izmantošanas iespēja bez esošajiem privatizācijas sertifikātu kontiem (pēc to pārcelšanas), kā arī to vērtība šādā gadījumā; 4) iespējamo ieguvēju vēlmi un interesi iegādāties izsoles ceļā šādu programmatūru un IT infrastruktūru; 5) iespējamais Krājbanka</w:t>
      </w:r>
      <w:r w:rsidR="00FF004E">
        <w:rPr>
          <w:sz w:val="28"/>
          <w:szCs w:val="28"/>
        </w:rPr>
        <w:t>s</w:t>
      </w:r>
      <w:r w:rsidR="00D269DF" w:rsidRPr="00A71CE6">
        <w:rPr>
          <w:sz w:val="28"/>
          <w:szCs w:val="28"/>
        </w:rPr>
        <w:t xml:space="preserve"> kreditoru ieguvums no programmatūras un IT infrastruktūras pārdošanas izsolē. </w:t>
      </w:r>
      <w:r w:rsidR="00A71CE6" w:rsidRPr="00A71CE6">
        <w:rPr>
          <w:sz w:val="28"/>
          <w:szCs w:val="28"/>
        </w:rPr>
        <w:t xml:space="preserve">Tā kā </w:t>
      </w:r>
      <w:r w:rsidR="00A71CE6" w:rsidRPr="00A71CE6">
        <w:rPr>
          <w:sz w:val="28"/>
          <w:szCs w:val="28"/>
        </w:rPr>
        <w:lastRenderedPageBreak/>
        <w:t>privatizācijas sertifikātu kontu pārcelšana no Krājbanka</w:t>
      </w:r>
      <w:r w:rsidR="00FF004E">
        <w:rPr>
          <w:sz w:val="28"/>
          <w:szCs w:val="28"/>
        </w:rPr>
        <w:t>s</w:t>
      </w:r>
      <w:r w:rsidR="00A71CE6" w:rsidRPr="00A71CE6">
        <w:rPr>
          <w:sz w:val="28"/>
          <w:szCs w:val="28"/>
        </w:rPr>
        <w:t xml:space="preserve"> uz Hipotēku banku bez attiecīgas programmatūras un IT infrastruktūras nodošanas nav iespējama, tāpat kā nav iespējama turpmāka šo kontu normāla apkalpošana, Finanšu un</w:t>
      </w:r>
      <w:r w:rsidR="00650CE5">
        <w:rPr>
          <w:sz w:val="28"/>
          <w:szCs w:val="28"/>
        </w:rPr>
        <w:t xml:space="preserve"> kapitāla tirgus komisija secināja</w:t>
      </w:r>
      <w:r w:rsidR="00A71CE6" w:rsidRPr="00A71CE6">
        <w:rPr>
          <w:sz w:val="28"/>
          <w:szCs w:val="28"/>
        </w:rPr>
        <w:t xml:space="preserve">, ka programmatūras un IT infrastruktūras nenodošanas gadījumā netiktu izpildītas normatīvo aktu prasības un privatizācijas sertifikātu īpašnieki varētu ciest zaudējumus. Līdz ar to, Finanšu un kapitāla tirgus komisija </w:t>
      </w:r>
      <w:r w:rsidR="00A71CE6">
        <w:rPr>
          <w:sz w:val="28"/>
          <w:szCs w:val="28"/>
        </w:rPr>
        <w:t>uzskata, ka</w:t>
      </w:r>
      <w:r w:rsidR="00A71CE6" w:rsidRPr="00A71CE6">
        <w:rPr>
          <w:sz w:val="28"/>
          <w:szCs w:val="28"/>
        </w:rPr>
        <w:t xml:space="preserve"> programmatūras un IT infrastruktūras, kas attiecināma uz </w:t>
      </w:r>
      <w:r w:rsidR="00A71CE6">
        <w:rPr>
          <w:sz w:val="28"/>
          <w:szCs w:val="28"/>
        </w:rPr>
        <w:t xml:space="preserve">privatizācijas </w:t>
      </w:r>
      <w:r w:rsidR="00A71CE6" w:rsidRPr="00A71CE6">
        <w:rPr>
          <w:sz w:val="28"/>
          <w:szCs w:val="28"/>
        </w:rPr>
        <w:t>sertifikātu kontu apkalpošanu, nodošana Hipotēku banka</w:t>
      </w:r>
      <w:r w:rsidR="00A71CE6">
        <w:rPr>
          <w:sz w:val="28"/>
          <w:szCs w:val="28"/>
        </w:rPr>
        <w:t>i</w:t>
      </w:r>
      <w:r w:rsidR="00A71CE6" w:rsidRPr="00A71CE6">
        <w:rPr>
          <w:sz w:val="28"/>
          <w:szCs w:val="28"/>
        </w:rPr>
        <w:t xml:space="preserve"> līdz ar </w:t>
      </w:r>
      <w:r w:rsidR="00A71CE6">
        <w:rPr>
          <w:sz w:val="28"/>
          <w:szCs w:val="28"/>
        </w:rPr>
        <w:t xml:space="preserve">privatizācijas </w:t>
      </w:r>
      <w:r w:rsidR="00A71CE6" w:rsidRPr="00A71CE6">
        <w:rPr>
          <w:sz w:val="28"/>
          <w:szCs w:val="28"/>
        </w:rPr>
        <w:t>sertifikātu kontu pārcelšanu</w:t>
      </w:r>
      <w:r w:rsidR="00A71CE6">
        <w:rPr>
          <w:sz w:val="28"/>
          <w:szCs w:val="28"/>
        </w:rPr>
        <w:t>, būtu iespējama un lietderīga.</w:t>
      </w:r>
    </w:p>
    <w:p w:rsidR="005F7F88" w:rsidRPr="00B326A9" w:rsidRDefault="004E4199" w:rsidP="00B326A9">
      <w:pPr>
        <w:spacing w:after="120"/>
        <w:ind w:firstLine="720"/>
        <w:jc w:val="both"/>
        <w:rPr>
          <w:sz w:val="28"/>
          <w:szCs w:val="28"/>
        </w:rPr>
      </w:pPr>
      <w:r>
        <w:rPr>
          <w:sz w:val="28"/>
          <w:szCs w:val="28"/>
        </w:rPr>
        <w:t>Šobrīd ir veikti arī citi sagatavošanās darbi, lai Krājbank</w:t>
      </w:r>
      <w:r w:rsidR="00FF004E">
        <w:rPr>
          <w:sz w:val="28"/>
          <w:szCs w:val="28"/>
        </w:rPr>
        <w:t>ā</w:t>
      </w:r>
      <w:r>
        <w:rPr>
          <w:sz w:val="28"/>
          <w:szCs w:val="28"/>
        </w:rPr>
        <w:t xml:space="preserve"> esošos privatizācijas sertifikātu kontus</w:t>
      </w:r>
      <w:r w:rsidR="0064234A">
        <w:rPr>
          <w:sz w:val="28"/>
          <w:szCs w:val="28"/>
        </w:rPr>
        <w:t xml:space="preserve"> </w:t>
      </w:r>
      <w:r>
        <w:rPr>
          <w:sz w:val="28"/>
          <w:szCs w:val="28"/>
        </w:rPr>
        <w:t>varētu pārcelt uz Hipotēku banku. Taču vienlaicīgi ir konstatēti virkne šķērš</w:t>
      </w:r>
      <w:r w:rsidR="00A5042D">
        <w:rPr>
          <w:sz w:val="28"/>
          <w:szCs w:val="28"/>
        </w:rPr>
        <w:t>ļ</w:t>
      </w:r>
      <w:r w:rsidR="00470313">
        <w:rPr>
          <w:sz w:val="28"/>
          <w:szCs w:val="28"/>
        </w:rPr>
        <w:t>i</w:t>
      </w:r>
      <w:r w:rsidR="00A5042D">
        <w:rPr>
          <w:sz w:val="28"/>
          <w:szCs w:val="28"/>
        </w:rPr>
        <w:t xml:space="preserve">, kas var būtiski ietekmēt </w:t>
      </w:r>
      <w:r w:rsidR="00EB6E6E">
        <w:rPr>
          <w:sz w:val="28"/>
          <w:szCs w:val="28"/>
        </w:rPr>
        <w:t xml:space="preserve">privatizācijas sertifikātu kontu pārcelšanas termiņu, kā arī </w:t>
      </w:r>
      <w:r w:rsidR="00470313">
        <w:rPr>
          <w:sz w:val="28"/>
          <w:szCs w:val="28"/>
        </w:rPr>
        <w:t>pārcelšanu pēc būtības</w:t>
      </w:r>
      <w:r w:rsidR="00EB6E6E">
        <w:rPr>
          <w:sz w:val="28"/>
          <w:szCs w:val="28"/>
        </w:rPr>
        <w:t xml:space="preserve">. </w:t>
      </w:r>
      <w:r w:rsidR="00F72398">
        <w:rPr>
          <w:sz w:val="28"/>
          <w:szCs w:val="28"/>
        </w:rPr>
        <w:t>Vienlaicīgi jāvērš uzmanība, ka Krājbanka</w:t>
      </w:r>
      <w:r w:rsidR="00FF004E">
        <w:rPr>
          <w:sz w:val="28"/>
          <w:szCs w:val="28"/>
        </w:rPr>
        <w:t>i</w:t>
      </w:r>
      <w:r w:rsidR="00F72398">
        <w:rPr>
          <w:sz w:val="28"/>
          <w:szCs w:val="28"/>
        </w:rPr>
        <w:t xml:space="preserve"> šobrīd ir aktīvs tikai viens klientu apkalpošanas centrs – Rīgā, J.Daliņa ielā 15, savukārt privatizācijas sertifikātu </w:t>
      </w:r>
      <w:r w:rsidR="00F72398" w:rsidRPr="00B326A9">
        <w:rPr>
          <w:sz w:val="28"/>
          <w:szCs w:val="28"/>
        </w:rPr>
        <w:t>apritei, kā arī jebkādiem darījumiem ar privatizācijas sertifikātiem</w:t>
      </w:r>
      <w:r w:rsidR="00470313" w:rsidRPr="00B326A9">
        <w:rPr>
          <w:sz w:val="28"/>
          <w:szCs w:val="28"/>
        </w:rPr>
        <w:t>,</w:t>
      </w:r>
      <w:r w:rsidR="00F72398" w:rsidRPr="00B326A9">
        <w:rPr>
          <w:sz w:val="28"/>
          <w:szCs w:val="28"/>
        </w:rPr>
        <w:t xml:space="preserve"> saskaņā </w:t>
      </w:r>
      <w:r w:rsidR="0055373E">
        <w:rPr>
          <w:sz w:val="28"/>
          <w:szCs w:val="28"/>
        </w:rPr>
        <w:t xml:space="preserve">ar </w:t>
      </w:r>
      <w:r w:rsidR="00470313" w:rsidRPr="00B326A9">
        <w:rPr>
          <w:sz w:val="28"/>
          <w:szCs w:val="28"/>
        </w:rPr>
        <w:t>spēkā esošo normatīvo regulējumu,</w:t>
      </w:r>
      <w:r w:rsidR="00F72398" w:rsidRPr="00B326A9">
        <w:rPr>
          <w:sz w:val="28"/>
          <w:szCs w:val="28"/>
        </w:rPr>
        <w:t xml:space="preserve"> ir nepieciešama tieša personas klātbūtne bankā.</w:t>
      </w:r>
    </w:p>
    <w:p w:rsidR="00D47E9F" w:rsidRPr="00B326A9" w:rsidRDefault="006B2C52" w:rsidP="00B326A9">
      <w:pPr>
        <w:pStyle w:val="EnvelopeReturn"/>
        <w:spacing w:after="120"/>
        <w:ind w:firstLine="720"/>
        <w:jc w:val="both"/>
        <w:rPr>
          <w:rFonts w:ascii="Times New Roman" w:hAnsi="Times New Roman" w:cs="Times New Roman"/>
          <w:b/>
          <w:sz w:val="28"/>
          <w:szCs w:val="28"/>
        </w:rPr>
      </w:pPr>
      <w:r w:rsidRPr="00B326A9">
        <w:rPr>
          <w:rFonts w:ascii="Times New Roman" w:hAnsi="Times New Roman" w:cs="Times New Roman"/>
          <w:b/>
          <w:sz w:val="28"/>
          <w:szCs w:val="28"/>
        </w:rPr>
        <w:t>3. Hipotēku bankas pārveides process un tā ietekme uz privatizācijas sertifikātu kontu apk</w:t>
      </w:r>
      <w:r w:rsidR="00BB1C11" w:rsidRPr="00B326A9">
        <w:rPr>
          <w:rFonts w:ascii="Times New Roman" w:hAnsi="Times New Roman" w:cs="Times New Roman"/>
          <w:b/>
          <w:sz w:val="28"/>
          <w:szCs w:val="28"/>
        </w:rPr>
        <w:t>a</w:t>
      </w:r>
      <w:r w:rsidRPr="00B326A9">
        <w:rPr>
          <w:rFonts w:ascii="Times New Roman" w:hAnsi="Times New Roman" w:cs="Times New Roman"/>
          <w:b/>
          <w:sz w:val="28"/>
          <w:szCs w:val="28"/>
        </w:rPr>
        <w:t>lpošanu.</w:t>
      </w:r>
    </w:p>
    <w:p w:rsidR="00AE0BE4" w:rsidRDefault="00257A54" w:rsidP="00B326A9">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turpinās darbs pie Hipotēku bankas pārveides. Saskaņā ar Finanšu ministrijas sniegto informāciju, pārveides procesa ietvaros tiek veikta Hipotēku bankai sniegtā valsts atbalsta saskaņošana atbilstoši komercdarbības atbalsta kontroles normām. Sakarā ar to Finanšu ministrija veic konsultācijas ar Eiropas Komisijas Konkurences ģenerāldirektorātu. </w:t>
      </w:r>
      <w:r w:rsidR="00CE5E81">
        <w:rPr>
          <w:rFonts w:ascii="Times New Roman" w:hAnsi="Times New Roman" w:cs="Times New Roman"/>
          <w:sz w:val="28"/>
          <w:szCs w:val="28"/>
        </w:rPr>
        <w:t>Hipotēku bankai sniegtā valsts atbalsta pamatnosacījums ir komerciālās darbības izbeigšana, līdz ar to tiek vērtēts, lai Hipotēku banka pēc pārveides procesa beigām vairs neīstenotu tādas funkcijas, kuras būtu uzskatāmas par komercdarbību.</w:t>
      </w:r>
    </w:p>
    <w:p w:rsidR="00B522F0" w:rsidRDefault="00B522F0" w:rsidP="00B326A9">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Finanšu ministrija ir iesniegusi Eiropas Komisijas Konkurences ģenerāldirektorātam informāciju par funkcijām, kuras Hipotēku banka plāno saglabāt pēc pārveides procesa beigām, tai skaitā arī par privatizācijas sertifikātu kontu uzturēšanu. Saņemtajos Eiropas Komisijas Konkurences ģenerāldirektorāta komentāros ir pausta noraidoša nostāja par to, ka Hipotēku bankas attīstības daļā tiek saglabāta privatizācijas sertifikātu kontu apkalpošanas funkcija. Finanšu ministrija turpin</w:t>
      </w:r>
      <w:r w:rsidR="00463DD0">
        <w:rPr>
          <w:rFonts w:ascii="Times New Roman" w:hAnsi="Times New Roman" w:cs="Times New Roman"/>
          <w:sz w:val="28"/>
          <w:szCs w:val="28"/>
        </w:rPr>
        <w:t>ās</w:t>
      </w:r>
      <w:r>
        <w:rPr>
          <w:rFonts w:ascii="Times New Roman" w:hAnsi="Times New Roman" w:cs="Times New Roman"/>
          <w:sz w:val="28"/>
          <w:szCs w:val="28"/>
        </w:rPr>
        <w:t xml:space="preserve"> konsultācijas ar Eiropas Komisijas Konkurences ģenerāldirektorātu, sniedzot papildus skaidrojumus, taču Eiropas Komisijas Konkurences ģenerāldirektorāta viedoklis ir uzskatāms par būtisku ierobežojumu tam, lai Hipotēku banka pārņemtu privatizācijas sertifikātu kontu apkalpošanu no Krājbanka</w:t>
      </w:r>
      <w:r w:rsidR="00FF004E">
        <w:rPr>
          <w:rFonts w:ascii="Times New Roman" w:hAnsi="Times New Roman" w:cs="Times New Roman"/>
          <w:sz w:val="28"/>
          <w:szCs w:val="28"/>
        </w:rPr>
        <w:t>s</w:t>
      </w:r>
      <w:r>
        <w:rPr>
          <w:rFonts w:ascii="Times New Roman" w:hAnsi="Times New Roman" w:cs="Times New Roman"/>
          <w:sz w:val="28"/>
          <w:szCs w:val="28"/>
        </w:rPr>
        <w:t>. Turklāt ir nepieciešams izvērtēt arī iespēju pārcelt vai izbeigt privatizācijas sertifikātu kontu apkalpošanu Hipotēku bankā.</w:t>
      </w:r>
    </w:p>
    <w:p w:rsidR="000A0849" w:rsidRDefault="000A0849" w:rsidP="00B326A9">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Vienlaicīgi Hipotēku banka ir apkopojusi un iesniegusi Ekonomikas ministrijā informāciju par valsts deleģēt</w:t>
      </w:r>
      <w:r w:rsidR="00B90379">
        <w:rPr>
          <w:rFonts w:ascii="Times New Roman" w:hAnsi="Times New Roman" w:cs="Times New Roman"/>
          <w:sz w:val="28"/>
          <w:szCs w:val="28"/>
        </w:rPr>
        <w:t>iem</w:t>
      </w:r>
      <w:r w:rsidR="0064234A">
        <w:rPr>
          <w:rFonts w:ascii="Times New Roman" w:hAnsi="Times New Roman" w:cs="Times New Roman"/>
          <w:sz w:val="28"/>
          <w:szCs w:val="28"/>
        </w:rPr>
        <w:t xml:space="preserve"> </w:t>
      </w:r>
      <w:r w:rsidR="00B90379">
        <w:rPr>
          <w:rFonts w:ascii="Times New Roman" w:hAnsi="Times New Roman" w:cs="Times New Roman"/>
          <w:sz w:val="28"/>
          <w:szCs w:val="28"/>
        </w:rPr>
        <w:t>uzdevumiem</w:t>
      </w:r>
      <w:r>
        <w:rPr>
          <w:rFonts w:ascii="Times New Roman" w:hAnsi="Times New Roman" w:cs="Times New Roman"/>
          <w:sz w:val="28"/>
          <w:szCs w:val="28"/>
        </w:rPr>
        <w:t>, kur</w:t>
      </w:r>
      <w:r w:rsidR="00B90379">
        <w:rPr>
          <w:rFonts w:ascii="Times New Roman" w:hAnsi="Times New Roman" w:cs="Times New Roman"/>
          <w:sz w:val="28"/>
          <w:szCs w:val="28"/>
        </w:rPr>
        <w:t>u</w:t>
      </w:r>
      <w:r>
        <w:rPr>
          <w:rFonts w:ascii="Times New Roman" w:hAnsi="Times New Roman" w:cs="Times New Roman"/>
          <w:sz w:val="28"/>
          <w:szCs w:val="28"/>
        </w:rPr>
        <w:t xml:space="preserve">s Hipotēku banka šobrīd veic saskaņā ar spēkā esošajiem normatīvajiem aktiem valsts un </w:t>
      </w:r>
      <w:r>
        <w:rPr>
          <w:rFonts w:ascii="Times New Roman" w:hAnsi="Times New Roman" w:cs="Times New Roman"/>
          <w:sz w:val="28"/>
          <w:szCs w:val="28"/>
        </w:rPr>
        <w:lastRenderedPageBreak/>
        <w:t xml:space="preserve">pašvaldību īpašuma privatizācijas un </w:t>
      </w:r>
      <w:r w:rsidR="00B90379">
        <w:rPr>
          <w:rFonts w:ascii="Times New Roman" w:hAnsi="Times New Roman" w:cs="Times New Roman"/>
          <w:sz w:val="28"/>
          <w:szCs w:val="28"/>
        </w:rPr>
        <w:t xml:space="preserve">ar </w:t>
      </w:r>
      <w:r>
        <w:rPr>
          <w:rFonts w:ascii="Times New Roman" w:hAnsi="Times New Roman" w:cs="Times New Roman"/>
          <w:sz w:val="28"/>
          <w:szCs w:val="28"/>
        </w:rPr>
        <w:t>privatizācijas sertifikātu apriti saistītajā jomā. Vien</w:t>
      </w:r>
      <w:r w:rsidR="00B90379">
        <w:rPr>
          <w:rFonts w:ascii="Times New Roman" w:hAnsi="Times New Roman" w:cs="Times New Roman"/>
          <w:sz w:val="28"/>
          <w:szCs w:val="28"/>
        </w:rPr>
        <w:t>s</w:t>
      </w:r>
      <w:r>
        <w:rPr>
          <w:rFonts w:ascii="Times New Roman" w:hAnsi="Times New Roman" w:cs="Times New Roman"/>
          <w:sz w:val="28"/>
          <w:szCs w:val="28"/>
        </w:rPr>
        <w:t xml:space="preserve"> no valsts deleģēt</w:t>
      </w:r>
      <w:r w:rsidR="00B90379">
        <w:rPr>
          <w:rFonts w:ascii="Times New Roman" w:hAnsi="Times New Roman" w:cs="Times New Roman"/>
          <w:sz w:val="28"/>
          <w:szCs w:val="28"/>
        </w:rPr>
        <w:t>ie</w:t>
      </w:r>
      <w:r>
        <w:rPr>
          <w:rFonts w:ascii="Times New Roman" w:hAnsi="Times New Roman" w:cs="Times New Roman"/>
          <w:sz w:val="28"/>
          <w:szCs w:val="28"/>
        </w:rPr>
        <w:t xml:space="preserve">m </w:t>
      </w:r>
      <w:r w:rsidR="00B90379">
        <w:rPr>
          <w:rFonts w:ascii="Times New Roman" w:hAnsi="Times New Roman" w:cs="Times New Roman"/>
          <w:sz w:val="28"/>
          <w:szCs w:val="28"/>
        </w:rPr>
        <w:t>uzdevumiem</w:t>
      </w:r>
      <w:r>
        <w:rPr>
          <w:rFonts w:ascii="Times New Roman" w:hAnsi="Times New Roman" w:cs="Times New Roman"/>
          <w:sz w:val="28"/>
          <w:szCs w:val="28"/>
        </w:rPr>
        <w:t xml:space="preserve"> ir minēta privatizācijas sertifikātu kontu apkalpošana.</w:t>
      </w:r>
    </w:p>
    <w:p w:rsidR="00463DD0" w:rsidRDefault="00463DD0" w:rsidP="00463DD0">
      <w:pPr>
        <w:spacing w:after="120"/>
        <w:ind w:firstLine="720"/>
        <w:jc w:val="both"/>
        <w:rPr>
          <w:sz w:val="28"/>
          <w:szCs w:val="28"/>
        </w:rPr>
      </w:pPr>
      <w:r>
        <w:rPr>
          <w:sz w:val="28"/>
          <w:szCs w:val="28"/>
        </w:rPr>
        <w:t>Jāņem vērā arī tas, ka pēc komercdaļas aktīvu atsavināšanas procesa beigām, Hipotēku bankas darbību ir plānots optimizēt. Lai nodrošinātu efektīvu pārvaldi pie esošiem darbības apjomiem un klientu struktūras, Hipotēku bankā tiks optimizēts:</w:t>
      </w:r>
    </w:p>
    <w:p w:rsidR="00463DD0" w:rsidRDefault="00463DD0" w:rsidP="00463DD0">
      <w:pPr>
        <w:spacing w:after="120"/>
        <w:ind w:firstLine="720"/>
        <w:jc w:val="both"/>
        <w:rPr>
          <w:sz w:val="28"/>
          <w:szCs w:val="28"/>
        </w:rPr>
      </w:pPr>
      <w:r>
        <w:rPr>
          <w:sz w:val="28"/>
          <w:szCs w:val="28"/>
        </w:rPr>
        <w:t>1) filiāļu tīkls, saglabājot 9 filiāles, vairākus konsultāciju centrus un attālināto komunikāciju kanālu – internetbanku:</w:t>
      </w:r>
    </w:p>
    <w:p w:rsidR="00D50B12" w:rsidRDefault="00463DD0">
      <w:pPr>
        <w:spacing w:after="120"/>
        <w:ind w:firstLine="720"/>
        <w:jc w:val="both"/>
        <w:rPr>
          <w:sz w:val="28"/>
          <w:szCs w:val="28"/>
        </w:rPr>
      </w:pPr>
      <w:r>
        <w:rPr>
          <w:sz w:val="28"/>
          <w:szCs w:val="28"/>
        </w:rPr>
        <w:t>a) klientu apkalpošanu turpinās deviņas Hipotēku bankas filiāles visā Latvijā: Rīgas filiāle, Rīgā, Elizabetes ielā 41/43; Daugavpils filiāle, Daugavpilī, Viestura ielā 2; Gulbenes filiāle, Gulbenē, Rīgas ielā 47; Jelgavas filiāle, Jelgavā, Lielajā ielā 12; Jēkabpils filiāle, Jēkabpilī, Brīvības ielā 116; Liepājas filiāle, Liepājā, Lielajā ielā 12; Rēzeknes filiāle, Rēzeknē, Atbrīvošanas alejā 119; Valmieras filiāle, Valmierā, Rīgas ielā 9; Ventspils filiāle, Ventspilī, Andreja ielā 6;</w:t>
      </w:r>
    </w:p>
    <w:p w:rsidR="00D50B12" w:rsidRDefault="00463DD0">
      <w:pPr>
        <w:spacing w:after="120"/>
        <w:ind w:firstLine="720"/>
        <w:jc w:val="both"/>
        <w:rPr>
          <w:sz w:val="28"/>
          <w:szCs w:val="28"/>
        </w:rPr>
      </w:pPr>
      <w:r>
        <w:rPr>
          <w:sz w:val="28"/>
          <w:szCs w:val="28"/>
        </w:rPr>
        <w:t>2) optimizācijas rezultātā 2012.gada 21.decembrī tik</w:t>
      </w:r>
      <w:r w:rsidR="00946440">
        <w:rPr>
          <w:sz w:val="28"/>
          <w:szCs w:val="28"/>
        </w:rPr>
        <w:t>a</w:t>
      </w:r>
      <w:r>
        <w:rPr>
          <w:sz w:val="28"/>
          <w:szCs w:val="28"/>
        </w:rPr>
        <w:t xml:space="preserve"> slēgtas Hipotēku bankas norēķinu grupas – 21 vietā;</w:t>
      </w:r>
    </w:p>
    <w:p w:rsidR="00D50B12" w:rsidRDefault="00463DD0">
      <w:pPr>
        <w:spacing w:after="120"/>
        <w:ind w:firstLine="720"/>
        <w:jc w:val="both"/>
        <w:rPr>
          <w:sz w:val="28"/>
          <w:szCs w:val="28"/>
        </w:rPr>
      </w:pPr>
      <w:r>
        <w:rPr>
          <w:sz w:val="28"/>
          <w:szCs w:val="28"/>
        </w:rPr>
        <w:t>3) lai atbalsta programmu apkalpošana būtu pēc iespējas tuvāk klientiem, jau no 2013.gada janvāra Hipotēku banka veidos jaunu valsts atbalsta programmu konsultāciju vietu tīklu visā Latvijā. Tādējādi deviņām bankas filiālēm visā Latvijā pievienosies 21 jauna atbalsta programmu konsultāciju vieta. Konsultācijas būs pieejamas šādās pilsētās: Aizkrauklē, Alūksnē, Balvos, Bauskā, Cēsīs, Dobelē, Ilūkstē, Krāslavā, Kuldīgā, Limbažos, Līvānos, Madonā, Ogrē, Preiļos, Salacgrīvā, Saldū, Siguldā, Smiltenē, Talsos, Tukumā, Valkā.</w:t>
      </w:r>
    </w:p>
    <w:p w:rsidR="00D50B12" w:rsidRDefault="00463DD0">
      <w:pPr>
        <w:spacing w:after="120"/>
        <w:ind w:firstLine="720"/>
        <w:jc w:val="both"/>
        <w:rPr>
          <w:sz w:val="28"/>
          <w:szCs w:val="28"/>
        </w:rPr>
      </w:pPr>
      <w:r>
        <w:rPr>
          <w:sz w:val="28"/>
          <w:szCs w:val="28"/>
        </w:rPr>
        <w:t xml:space="preserve">Jāatzīmē arī tas, ka </w:t>
      </w:r>
      <w:r w:rsidRPr="00943E3B">
        <w:rPr>
          <w:sz w:val="28"/>
          <w:szCs w:val="28"/>
        </w:rPr>
        <w:t xml:space="preserve">Hipotēku banka komercdarbības izbeigšanas procesa ietvaros </w:t>
      </w:r>
      <w:r>
        <w:rPr>
          <w:sz w:val="28"/>
          <w:szCs w:val="28"/>
        </w:rPr>
        <w:t xml:space="preserve">kopš </w:t>
      </w:r>
      <w:r w:rsidR="00B90379">
        <w:rPr>
          <w:sz w:val="28"/>
          <w:szCs w:val="28"/>
        </w:rPr>
        <w:t>2012</w:t>
      </w:r>
      <w:r>
        <w:rPr>
          <w:sz w:val="28"/>
          <w:szCs w:val="28"/>
        </w:rPr>
        <w:t>.</w:t>
      </w:r>
      <w:r w:rsidR="00B90379">
        <w:rPr>
          <w:sz w:val="28"/>
          <w:szCs w:val="28"/>
        </w:rPr>
        <w:t>gada</w:t>
      </w:r>
      <w:r>
        <w:rPr>
          <w:sz w:val="28"/>
          <w:szCs w:val="28"/>
        </w:rPr>
        <w:t xml:space="preserve"> 24.novembra</w:t>
      </w:r>
      <w:r w:rsidR="00946440">
        <w:rPr>
          <w:sz w:val="28"/>
          <w:szCs w:val="28"/>
        </w:rPr>
        <w:t>, kad Hipotēku bankas piesaistīto komercklientu noguldījumu portfelis tika nodots akciju sabiedrībai „Swedbank”,</w:t>
      </w:r>
      <w:r>
        <w:rPr>
          <w:sz w:val="28"/>
          <w:szCs w:val="28"/>
        </w:rPr>
        <w:t xml:space="preserve"> </w:t>
      </w:r>
      <w:r w:rsidRPr="00943E3B">
        <w:rPr>
          <w:sz w:val="28"/>
          <w:szCs w:val="28"/>
        </w:rPr>
        <w:t xml:space="preserve">vairs nepieņem </w:t>
      </w:r>
      <w:r w:rsidR="00946440">
        <w:rPr>
          <w:sz w:val="28"/>
          <w:szCs w:val="28"/>
        </w:rPr>
        <w:t>jaunus</w:t>
      </w:r>
      <w:r w:rsidRPr="00943E3B">
        <w:rPr>
          <w:sz w:val="28"/>
          <w:szCs w:val="28"/>
        </w:rPr>
        <w:t xml:space="preserve"> </w:t>
      </w:r>
      <w:r w:rsidR="00946440">
        <w:rPr>
          <w:sz w:val="28"/>
          <w:szCs w:val="28"/>
        </w:rPr>
        <w:t>termiņ</w:t>
      </w:r>
      <w:r w:rsidRPr="00943E3B">
        <w:rPr>
          <w:sz w:val="28"/>
          <w:szCs w:val="28"/>
        </w:rPr>
        <w:t>noguldījumus</w:t>
      </w:r>
      <w:r>
        <w:rPr>
          <w:sz w:val="28"/>
          <w:szCs w:val="28"/>
        </w:rPr>
        <w:t>.</w:t>
      </w:r>
    </w:p>
    <w:p w:rsidR="00463DD0" w:rsidRDefault="00463DD0" w:rsidP="00463DD0">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Arī tālākā pārveides procesā ir plānots, ka valsts atbalsta programmas jāīsteno, nekonkurējot ar privāto sektoru, bet sadarbībā ar to – arvien lielāku daļu no valsts atbalsta programmām īstenojot ar tirgus dalībnieku starpniecību.</w:t>
      </w:r>
    </w:p>
    <w:p w:rsidR="00463DD0" w:rsidRPr="00B326A9" w:rsidRDefault="00463DD0" w:rsidP="00463DD0">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Tādējādi Hipotēku bankas darbības profils un teritoriālais pārklājums pārveides ietvaros būtiski mainās, kas jāņem vērā, pieņemot lēmumu par privatizācijas sertifikātu</w:t>
      </w:r>
      <w:r w:rsidR="00B90379">
        <w:rPr>
          <w:rFonts w:ascii="Times New Roman" w:hAnsi="Times New Roman" w:cs="Times New Roman"/>
          <w:sz w:val="28"/>
          <w:szCs w:val="28"/>
        </w:rPr>
        <w:t xml:space="preserve"> kontu</w:t>
      </w:r>
      <w:r>
        <w:rPr>
          <w:rFonts w:ascii="Times New Roman" w:hAnsi="Times New Roman" w:cs="Times New Roman"/>
          <w:sz w:val="28"/>
          <w:szCs w:val="28"/>
        </w:rPr>
        <w:t xml:space="preserve"> tālāko apkalpošanu.</w:t>
      </w:r>
    </w:p>
    <w:p w:rsidR="00AE0BE4" w:rsidRPr="00170721" w:rsidRDefault="00170721" w:rsidP="00B326A9">
      <w:pPr>
        <w:pStyle w:val="Taksts11"/>
        <w:spacing w:after="120"/>
        <w:ind w:firstLine="720"/>
        <w:rPr>
          <w:b/>
          <w:color w:val="000000"/>
          <w:sz w:val="28"/>
          <w:szCs w:val="28"/>
        </w:rPr>
      </w:pPr>
      <w:r>
        <w:rPr>
          <w:b/>
          <w:color w:val="000000"/>
          <w:sz w:val="28"/>
          <w:szCs w:val="28"/>
        </w:rPr>
        <w:t>4. Krājbank</w:t>
      </w:r>
      <w:r w:rsidR="00FF004E">
        <w:rPr>
          <w:b/>
          <w:color w:val="000000"/>
          <w:sz w:val="28"/>
          <w:szCs w:val="28"/>
        </w:rPr>
        <w:t>ā</w:t>
      </w:r>
      <w:r>
        <w:rPr>
          <w:b/>
          <w:color w:val="000000"/>
          <w:sz w:val="28"/>
          <w:szCs w:val="28"/>
        </w:rPr>
        <w:t xml:space="preserve"> esošo privatizācijas sertifikātu kontu pārcelšanas process, tā izmaksas un turpmākie privatizācijas sertifikātu administrēšanas risinājumi</w:t>
      </w:r>
      <w:r w:rsidR="000F1D61">
        <w:rPr>
          <w:b/>
          <w:color w:val="000000"/>
          <w:sz w:val="28"/>
          <w:szCs w:val="28"/>
        </w:rPr>
        <w:t>.</w:t>
      </w:r>
    </w:p>
    <w:p w:rsidR="001D2D45" w:rsidRDefault="005E4BFC" w:rsidP="000A2371">
      <w:pPr>
        <w:spacing w:after="120"/>
        <w:ind w:firstLine="720"/>
        <w:jc w:val="both"/>
        <w:rPr>
          <w:sz w:val="28"/>
          <w:szCs w:val="28"/>
        </w:rPr>
      </w:pPr>
      <w:r>
        <w:rPr>
          <w:sz w:val="28"/>
          <w:szCs w:val="28"/>
        </w:rPr>
        <w:t>Š</w:t>
      </w:r>
      <w:r w:rsidR="000F7655">
        <w:rPr>
          <w:sz w:val="28"/>
          <w:szCs w:val="28"/>
        </w:rPr>
        <w:t>obrīd ir atvērts tikai viens Krājbanka</w:t>
      </w:r>
      <w:r w:rsidR="00FF004E">
        <w:rPr>
          <w:sz w:val="28"/>
          <w:szCs w:val="28"/>
        </w:rPr>
        <w:t>s</w:t>
      </w:r>
      <w:r w:rsidR="000F7655">
        <w:rPr>
          <w:sz w:val="28"/>
          <w:szCs w:val="28"/>
        </w:rPr>
        <w:t xml:space="preserve"> klientu apkalpošanas centrs, turklāt </w:t>
      </w:r>
      <w:r w:rsidR="001D2D45">
        <w:rPr>
          <w:sz w:val="28"/>
          <w:szCs w:val="28"/>
        </w:rPr>
        <w:t xml:space="preserve">joprojām virknei privātpersonu, kurām </w:t>
      </w:r>
      <w:r w:rsidR="00FF004E">
        <w:rPr>
          <w:sz w:val="28"/>
          <w:szCs w:val="28"/>
        </w:rPr>
        <w:t>Krājbankā</w:t>
      </w:r>
      <w:r w:rsidR="0064234A">
        <w:rPr>
          <w:sz w:val="28"/>
          <w:szCs w:val="28"/>
        </w:rPr>
        <w:t xml:space="preserve"> </w:t>
      </w:r>
      <w:r w:rsidR="001D2D45">
        <w:rPr>
          <w:sz w:val="28"/>
          <w:szCs w:val="28"/>
        </w:rPr>
        <w:t xml:space="preserve">ir atvērti privatizācijas </w:t>
      </w:r>
      <w:r w:rsidR="001D2D45">
        <w:rPr>
          <w:sz w:val="28"/>
          <w:szCs w:val="28"/>
        </w:rPr>
        <w:lastRenderedPageBreak/>
        <w:t xml:space="preserve">sertifikātu konti, ir noslēgti </w:t>
      </w:r>
      <w:r w:rsidR="001D2D45" w:rsidRPr="00584CCA">
        <w:rPr>
          <w:sz w:val="28"/>
          <w:szCs w:val="28"/>
        </w:rPr>
        <w:t>līgumi, kuru ietvaros privatizācijas sertifikāti tiek izmantoti ikmēneša norēķiniem</w:t>
      </w:r>
      <w:r w:rsidR="001D2D45">
        <w:rPr>
          <w:sz w:val="28"/>
          <w:szCs w:val="28"/>
        </w:rPr>
        <w:t>.</w:t>
      </w:r>
      <w:r w:rsidR="0064234A">
        <w:rPr>
          <w:sz w:val="28"/>
          <w:szCs w:val="28"/>
        </w:rPr>
        <w:t xml:space="preserve"> </w:t>
      </w:r>
      <w:r>
        <w:rPr>
          <w:sz w:val="28"/>
          <w:szCs w:val="28"/>
        </w:rPr>
        <w:t>Kā jau minēts, lai veiktu jebkādas darbības ar privatizācijas sertifikātiem, ir nepieciešama personas tieša klātbūtne kredītiestādē, kurā ir atvērts tās privatizācijas sertifikātu konts.</w:t>
      </w:r>
      <w:r w:rsidR="00FB278D">
        <w:rPr>
          <w:sz w:val="28"/>
          <w:szCs w:val="28"/>
        </w:rPr>
        <w:t xml:space="preserve"> Tādejādi </w:t>
      </w:r>
      <w:r w:rsidR="002D2890">
        <w:rPr>
          <w:sz w:val="28"/>
          <w:szCs w:val="28"/>
        </w:rPr>
        <w:t>personai, neatkarīgi no dzīvesvietas, katru mēnesi jāierodas vienīgajā Krājba</w:t>
      </w:r>
      <w:r w:rsidR="00FF004E">
        <w:rPr>
          <w:sz w:val="28"/>
          <w:szCs w:val="28"/>
        </w:rPr>
        <w:t>nkas</w:t>
      </w:r>
      <w:r w:rsidR="00136015">
        <w:rPr>
          <w:sz w:val="28"/>
          <w:szCs w:val="28"/>
        </w:rPr>
        <w:t xml:space="preserve"> klientu apkalpošanas centrā</w:t>
      </w:r>
      <w:r w:rsidR="00372540">
        <w:rPr>
          <w:sz w:val="28"/>
          <w:szCs w:val="28"/>
        </w:rPr>
        <w:t xml:space="preserve"> Rīgā</w:t>
      </w:r>
      <w:r w:rsidR="00136015">
        <w:rPr>
          <w:sz w:val="28"/>
          <w:szCs w:val="28"/>
        </w:rPr>
        <w:t xml:space="preserve">, lai veiktu ikmēneša norēķinu saskaņā ar </w:t>
      </w:r>
      <w:r w:rsidR="00A85613">
        <w:rPr>
          <w:sz w:val="28"/>
          <w:szCs w:val="28"/>
        </w:rPr>
        <w:t>noslēgto nomaksas līgumu.</w:t>
      </w:r>
      <w:r w:rsidR="0064234A">
        <w:rPr>
          <w:sz w:val="28"/>
          <w:szCs w:val="28"/>
        </w:rPr>
        <w:t xml:space="preserve"> </w:t>
      </w:r>
      <w:r w:rsidR="004D3C03">
        <w:rPr>
          <w:sz w:val="28"/>
          <w:szCs w:val="28"/>
        </w:rPr>
        <w:t xml:space="preserve">Ņemot vērā minēto, </w:t>
      </w:r>
      <w:r w:rsidR="00372540">
        <w:rPr>
          <w:sz w:val="28"/>
          <w:szCs w:val="28"/>
        </w:rPr>
        <w:t>ir ļoti svarīgi pārcelt privatizācijas sertifikātu kontus no Krājbanka</w:t>
      </w:r>
      <w:r w:rsidR="00FF004E">
        <w:rPr>
          <w:sz w:val="28"/>
          <w:szCs w:val="28"/>
        </w:rPr>
        <w:t>s</w:t>
      </w:r>
      <w:r w:rsidR="00372540">
        <w:rPr>
          <w:sz w:val="28"/>
          <w:szCs w:val="28"/>
        </w:rPr>
        <w:t xml:space="preserve"> uz Hipotēku banku. </w:t>
      </w:r>
      <w:r w:rsidR="00BC3BA5">
        <w:rPr>
          <w:sz w:val="28"/>
          <w:szCs w:val="28"/>
        </w:rPr>
        <w:t>P</w:t>
      </w:r>
      <w:r w:rsidR="00372540">
        <w:rPr>
          <w:sz w:val="28"/>
          <w:szCs w:val="28"/>
        </w:rPr>
        <w:t>astāv bažas, ka arī vienīgais Krājbanka</w:t>
      </w:r>
      <w:r w:rsidR="00FF004E">
        <w:rPr>
          <w:sz w:val="28"/>
          <w:szCs w:val="28"/>
        </w:rPr>
        <w:t>s</w:t>
      </w:r>
      <w:r w:rsidR="00372540">
        <w:rPr>
          <w:sz w:val="28"/>
          <w:szCs w:val="28"/>
        </w:rPr>
        <w:t xml:space="preserve"> klientu apkalpošanas centrs var tikt likvidēts. Līdz ar to</w:t>
      </w:r>
      <w:r w:rsidR="00A75D79">
        <w:rPr>
          <w:sz w:val="28"/>
          <w:szCs w:val="28"/>
        </w:rPr>
        <w:t>,</w:t>
      </w:r>
      <w:r w:rsidR="00372540">
        <w:rPr>
          <w:sz w:val="28"/>
          <w:szCs w:val="28"/>
        </w:rPr>
        <w:t xml:space="preserve"> izveidosies </w:t>
      </w:r>
      <w:r w:rsidR="00372540" w:rsidRPr="00584CCA">
        <w:rPr>
          <w:sz w:val="28"/>
          <w:szCs w:val="28"/>
        </w:rPr>
        <w:t>pārtraukum</w:t>
      </w:r>
      <w:r w:rsidR="00372540">
        <w:rPr>
          <w:sz w:val="28"/>
          <w:szCs w:val="28"/>
        </w:rPr>
        <w:t>s</w:t>
      </w:r>
      <w:r w:rsidR="0064234A">
        <w:rPr>
          <w:sz w:val="28"/>
          <w:szCs w:val="28"/>
        </w:rPr>
        <w:t xml:space="preserve"> </w:t>
      </w:r>
      <w:r w:rsidR="00FF004E">
        <w:rPr>
          <w:sz w:val="28"/>
          <w:szCs w:val="28"/>
        </w:rPr>
        <w:t>Krājbankā</w:t>
      </w:r>
      <w:r w:rsidR="00372540">
        <w:rPr>
          <w:sz w:val="28"/>
          <w:szCs w:val="28"/>
        </w:rPr>
        <w:t xml:space="preserve"> esošo</w:t>
      </w:r>
      <w:r w:rsidR="0064234A">
        <w:rPr>
          <w:sz w:val="28"/>
          <w:szCs w:val="28"/>
        </w:rPr>
        <w:t xml:space="preserve"> </w:t>
      </w:r>
      <w:r w:rsidR="00372540">
        <w:rPr>
          <w:sz w:val="28"/>
          <w:szCs w:val="28"/>
        </w:rPr>
        <w:t xml:space="preserve">privatizācijas sertifikātu </w:t>
      </w:r>
      <w:r w:rsidR="00372540" w:rsidRPr="00584CCA">
        <w:rPr>
          <w:sz w:val="28"/>
          <w:szCs w:val="28"/>
        </w:rPr>
        <w:t>kontu apkalpošanā</w:t>
      </w:r>
      <w:r w:rsidR="00372540">
        <w:rPr>
          <w:sz w:val="28"/>
          <w:szCs w:val="28"/>
        </w:rPr>
        <w:t>, kas radīs personām nelabvēlīgas sekas</w:t>
      </w:r>
      <w:r w:rsidR="00CC5F4F">
        <w:rPr>
          <w:sz w:val="28"/>
          <w:szCs w:val="28"/>
        </w:rPr>
        <w:t>.</w:t>
      </w:r>
      <w:r w:rsidR="0064234A">
        <w:rPr>
          <w:sz w:val="28"/>
          <w:szCs w:val="28"/>
        </w:rPr>
        <w:t xml:space="preserve"> </w:t>
      </w:r>
      <w:r w:rsidR="00FF004E">
        <w:rPr>
          <w:sz w:val="28"/>
          <w:szCs w:val="28"/>
        </w:rPr>
        <w:t>Hipotēku banka šobrīd ir vienīgā kredītiestāde, kura</w:t>
      </w:r>
      <w:r w:rsidR="009F2959">
        <w:rPr>
          <w:sz w:val="28"/>
          <w:szCs w:val="28"/>
        </w:rPr>
        <w:t>i</w:t>
      </w:r>
      <w:r w:rsidR="0064234A">
        <w:rPr>
          <w:sz w:val="28"/>
          <w:szCs w:val="28"/>
        </w:rPr>
        <w:t xml:space="preserve"> </w:t>
      </w:r>
      <w:r w:rsidR="006A7B65">
        <w:rPr>
          <w:sz w:val="28"/>
          <w:szCs w:val="28"/>
        </w:rPr>
        <w:t xml:space="preserve">saskaņā ar </w:t>
      </w:r>
      <w:r w:rsidR="009F2959">
        <w:rPr>
          <w:sz w:val="28"/>
          <w:szCs w:val="28"/>
        </w:rPr>
        <w:t xml:space="preserve">noteikumu Nr.712 2.punktu bez Krājbankas ir tiesības apkalpot privatizācijas sertifikātu kontus. </w:t>
      </w:r>
      <w:r w:rsidR="008310D1">
        <w:rPr>
          <w:sz w:val="28"/>
          <w:szCs w:val="28"/>
        </w:rPr>
        <w:t>Turklāt personām šobrīd ir pieejamas vismaz deviņas Hipotēku bankas filiāles visā Latvijā, kas būtiski atvieglo saistībā ar privatizācijas sertifikātu apriti saistīto darbību veikšanu.</w:t>
      </w:r>
    </w:p>
    <w:p w:rsidR="00BC3BA5" w:rsidRDefault="004330A0" w:rsidP="000A2371">
      <w:pPr>
        <w:spacing w:after="120"/>
        <w:ind w:firstLine="720"/>
        <w:jc w:val="both"/>
        <w:rPr>
          <w:sz w:val="28"/>
          <w:szCs w:val="28"/>
        </w:rPr>
      </w:pPr>
      <w:r>
        <w:rPr>
          <w:sz w:val="28"/>
          <w:szCs w:val="28"/>
        </w:rPr>
        <w:t>Ministru kabinets 2012.gada 18.decembra sēdē (protokols Nr.71, 54.§) pieņēma</w:t>
      </w:r>
      <w:r w:rsidR="00BA3B38">
        <w:rPr>
          <w:sz w:val="28"/>
          <w:szCs w:val="28"/>
        </w:rPr>
        <w:t xml:space="preserve"> Ministru kabineta noteikumu projektu „</w:t>
      </w:r>
      <w:r w:rsidR="00BA3B38" w:rsidRPr="00584CCA">
        <w:rPr>
          <w:sz w:val="28"/>
        </w:rPr>
        <w:t>Grozījumi Ministru kabineta 2007.gada 16.oktobra noteikumos Nr.712 „Privatizācijas sertifikātu izmantošanas noteikumi”</w:t>
      </w:r>
      <w:r w:rsidR="00BA3B38">
        <w:rPr>
          <w:sz w:val="28"/>
          <w:szCs w:val="28"/>
        </w:rPr>
        <w:t>”, k</w:t>
      </w:r>
      <w:r w:rsidR="00FF0DF7">
        <w:rPr>
          <w:sz w:val="28"/>
          <w:szCs w:val="28"/>
        </w:rPr>
        <w:t xml:space="preserve">ura mērķis ir </w:t>
      </w:r>
      <w:r w:rsidR="00BA3B38">
        <w:rPr>
          <w:sz w:val="28"/>
          <w:szCs w:val="28"/>
        </w:rPr>
        <w:t>paredz</w:t>
      </w:r>
      <w:r w:rsidR="00FF0DF7">
        <w:rPr>
          <w:sz w:val="28"/>
          <w:szCs w:val="28"/>
        </w:rPr>
        <w:t>ēt</w:t>
      </w:r>
      <w:r w:rsidR="0064234A">
        <w:rPr>
          <w:sz w:val="28"/>
          <w:szCs w:val="28"/>
        </w:rPr>
        <w:t xml:space="preserve"> </w:t>
      </w:r>
      <w:r w:rsidR="00EB28AA">
        <w:rPr>
          <w:sz w:val="28"/>
          <w:szCs w:val="28"/>
        </w:rPr>
        <w:t xml:space="preserve">gan </w:t>
      </w:r>
      <w:r w:rsidR="00BA3B38" w:rsidRPr="00584CCA">
        <w:rPr>
          <w:sz w:val="28"/>
          <w:szCs w:val="28"/>
        </w:rPr>
        <w:t>privātpersonām, kuras noslēgto līgumu ietvaros norēķinās ar privatizācijas sertifikātiem,</w:t>
      </w:r>
      <w:r w:rsidR="00EB28AA">
        <w:rPr>
          <w:sz w:val="28"/>
          <w:szCs w:val="28"/>
        </w:rPr>
        <w:t xml:space="preserve"> gan citām privātpersonām, kuras aktīvi darbojas privatizācijas sertifikātu apritē,</w:t>
      </w:r>
      <w:r w:rsidR="00BA3B38" w:rsidRPr="00584CCA">
        <w:rPr>
          <w:sz w:val="28"/>
          <w:szCs w:val="28"/>
        </w:rPr>
        <w:t xml:space="preserve"> atvieglotu kārtību, kādā individuāli pārcelt privatizācijas sertifikātu kontus</w:t>
      </w:r>
      <w:r w:rsidR="00EB28AA">
        <w:rPr>
          <w:sz w:val="28"/>
          <w:szCs w:val="28"/>
        </w:rPr>
        <w:t xml:space="preserve"> no Krājbankas </w:t>
      </w:r>
      <w:r w:rsidR="00BA3B38" w:rsidRPr="00584CCA">
        <w:rPr>
          <w:sz w:val="28"/>
          <w:szCs w:val="28"/>
        </w:rPr>
        <w:t>uz citu kredītiestādi</w:t>
      </w:r>
      <w:r w:rsidR="00BA3B38">
        <w:rPr>
          <w:sz w:val="28"/>
          <w:szCs w:val="28"/>
        </w:rPr>
        <w:t>.</w:t>
      </w:r>
      <w:r w:rsidR="0064234A">
        <w:rPr>
          <w:sz w:val="28"/>
          <w:szCs w:val="28"/>
        </w:rPr>
        <w:t xml:space="preserve"> </w:t>
      </w:r>
      <w:r w:rsidR="00FF0DF7">
        <w:rPr>
          <w:sz w:val="28"/>
        </w:rPr>
        <w:t xml:space="preserve">Vienlaicīgi </w:t>
      </w:r>
      <w:r>
        <w:rPr>
          <w:sz w:val="28"/>
        </w:rPr>
        <w:t xml:space="preserve">pieņemtais </w:t>
      </w:r>
      <w:r w:rsidR="00FF0DF7">
        <w:rPr>
          <w:sz w:val="28"/>
        </w:rPr>
        <w:t>Ministru kabineta noteikumu projekts paredz šobrīd spēkā esošā tarifa vietā noteikt samazinātu maksu par privatizācijas sertifikātu konta pārcelšanu no vienas kredītiestādes uz citu.</w:t>
      </w:r>
      <w:r w:rsidR="0064234A">
        <w:rPr>
          <w:sz w:val="28"/>
        </w:rPr>
        <w:t xml:space="preserve"> </w:t>
      </w:r>
      <w:r>
        <w:rPr>
          <w:sz w:val="28"/>
          <w:szCs w:val="28"/>
        </w:rPr>
        <w:t>Ministru kabineta 2012.gada 18.decembra noteikumi Nr.898 „</w:t>
      </w:r>
      <w:r w:rsidRPr="00584CCA">
        <w:rPr>
          <w:sz w:val="28"/>
        </w:rPr>
        <w:t>Grozījumi Ministru kabineta 2007.gada 16.oktobra noteikumos Nr.712 „Privatizācijas sertifikātu izmantošanas noteikumi”</w:t>
      </w:r>
      <w:r>
        <w:rPr>
          <w:sz w:val="28"/>
          <w:szCs w:val="28"/>
        </w:rPr>
        <w:t>” stāj</w:t>
      </w:r>
      <w:r w:rsidR="00935576">
        <w:rPr>
          <w:sz w:val="28"/>
          <w:szCs w:val="28"/>
        </w:rPr>
        <w:t>ā</w:t>
      </w:r>
      <w:r>
        <w:rPr>
          <w:sz w:val="28"/>
          <w:szCs w:val="28"/>
        </w:rPr>
        <w:t>s spēkā 2013.gada 14.janvārī</w:t>
      </w:r>
      <w:r w:rsidR="00BA3B38">
        <w:rPr>
          <w:sz w:val="28"/>
        </w:rPr>
        <w:t>.</w:t>
      </w:r>
    </w:p>
    <w:p w:rsidR="00425B91" w:rsidRDefault="00911EAA" w:rsidP="000A2371">
      <w:pPr>
        <w:spacing w:after="120"/>
        <w:ind w:firstLine="720"/>
        <w:jc w:val="both"/>
        <w:rPr>
          <w:sz w:val="28"/>
          <w:szCs w:val="28"/>
        </w:rPr>
      </w:pPr>
      <w:r>
        <w:rPr>
          <w:sz w:val="28"/>
          <w:szCs w:val="28"/>
        </w:rPr>
        <w:t xml:space="preserve">Hipotēku banka šī gada jūlijā </w:t>
      </w:r>
      <w:r w:rsidR="00D81CE0">
        <w:rPr>
          <w:sz w:val="28"/>
          <w:szCs w:val="28"/>
        </w:rPr>
        <w:t>sniedza Ekonomikas ministrijai</w:t>
      </w:r>
      <w:r w:rsidR="0064234A">
        <w:rPr>
          <w:sz w:val="28"/>
          <w:szCs w:val="28"/>
        </w:rPr>
        <w:t xml:space="preserve"> </w:t>
      </w:r>
      <w:r w:rsidR="00827555">
        <w:rPr>
          <w:sz w:val="28"/>
          <w:szCs w:val="28"/>
        </w:rPr>
        <w:t>Krājbankā atvērto privatizācijas sertifikātu kontu pārcelšanas iespēju izvērtējumu</w:t>
      </w:r>
      <w:r w:rsidR="000D6A6E">
        <w:rPr>
          <w:sz w:val="28"/>
          <w:szCs w:val="28"/>
        </w:rPr>
        <w:t>.</w:t>
      </w:r>
      <w:r w:rsidR="0064234A">
        <w:rPr>
          <w:sz w:val="28"/>
          <w:szCs w:val="28"/>
        </w:rPr>
        <w:t xml:space="preserve"> </w:t>
      </w:r>
      <w:r w:rsidR="00DA253E">
        <w:rPr>
          <w:sz w:val="28"/>
          <w:szCs w:val="28"/>
        </w:rPr>
        <w:t>Iesniegtajā dokumentā tika sniegta informācija par iespējamajiem privatizācijas sertifikātu kontu pārcelšanas risinājumiem un to realizēšanai nepieciešamo izmaksu apmēru un laiku.</w:t>
      </w:r>
      <w:r w:rsidR="0064234A">
        <w:rPr>
          <w:sz w:val="28"/>
          <w:szCs w:val="28"/>
        </w:rPr>
        <w:t xml:space="preserve"> </w:t>
      </w:r>
      <w:r w:rsidR="00850D5D">
        <w:rPr>
          <w:sz w:val="28"/>
          <w:szCs w:val="28"/>
        </w:rPr>
        <w:t>Atkarībā no IT risinājuma, kas tiktu realizēts, pārņemot Krājbankas sistēmas, pastāv divi modeļi:</w:t>
      </w:r>
    </w:p>
    <w:p w:rsidR="00850D5D" w:rsidRDefault="00850D5D" w:rsidP="000A2371">
      <w:pPr>
        <w:spacing w:after="120"/>
        <w:ind w:firstLine="720"/>
        <w:jc w:val="both"/>
        <w:rPr>
          <w:sz w:val="28"/>
          <w:szCs w:val="28"/>
        </w:rPr>
      </w:pPr>
      <w:r>
        <w:rPr>
          <w:sz w:val="28"/>
          <w:szCs w:val="28"/>
        </w:rPr>
        <w:t>1. Hipotēku banka pārņem Krājbankas esošās privatizācijas sertifikātu uzskaites sistēmas, neveicot tajās būtiskas izmaiņas. Pakalpojumu sniegšana tiek nodrošināta, darbiniekiem vienlaicīgi strādājot ar vairākām bankas sistēmām.</w:t>
      </w:r>
    </w:p>
    <w:p w:rsidR="00850D5D" w:rsidRDefault="00850D5D" w:rsidP="000A2371">
      <w:pPr>
        <w:spacing w:after="120"/>
        <w:ind w:firstLine="720"/>
        <w:jc w:val="both"/>
        <w:rPr>
          <w:sz w:val="28"/>
          <w:szCs w:val="28"/>
        </w:rPr>
      </w:pPr>
      <w:r>
        <w:rPr>
          <w:sz w:val="28"/>
          <w:szCs w:val="28"/>
        </w:rPr>
        <w:t>Lai realizētu 1.modeli, nepieciešamas 173 darba dienas no lēmuma pieņemšanas brīža par privatizācijas sertifikātu kontu pārcelšanu uz Hipotēku banku. Šī modeļa aptuvenās iev</w:t>
      </w:r>
      <w:r w:rsidR="00E967C0">
        <w:rPr>
          <w:sz w:val="28"/>
          <w:szCs w:val="28"/>
        </w:rPr>
        <w:t>iešanas izmaksas ir LVL 128 000</w:t>
      </w:r>
      <w:r>
        <w:rPr>
          <w:sz w:val="28"/>
          <w:szCs w:val="28"/>
        </w:rPr>
        <w:t>.</w:t>
      </w:r>
    </w:p>
    <w:p w:rsidR="00850D5D" w:rsidRDefault="00850D5D" w:rsidP="000A2371">
      <w:pPr>
        <w:spacing w:after="120"/>
        <w:ind w:firstLine="720"/>
        <w:jc w:val="both"/>
        <w:rPr>
          <w:sz w:val="28"/>
          <w:szCs w:val="28"/>
        </w:rPr>
      </w:pPr>
      <w:r>
        <w:rPr>
          <w:sz w:val="28"/>
          <w:szCs w:val="28"/>
        </w:rPr>
        <w:lastRenderedPageBreak/>
        <w:t xml:space="preserve">2. Hipotēku banka pārņem Krājbankas esošās privatizācijas sertifikātu uzskaites sistēmas un pielāgo tās darbam uz vienotas Hipotēku bankas platformas. Pielāgotajā Krājbankas privatizācijas sertifikātu uzskaites sistēmā tiek importēti dati no Hipotēku bankas esošajām privatizācijas sertifikātu sistēmām un Krājbankas privatizācijas sertifikātu sistēmas. Pakalpojumu sniegšana tiek nodrošināta, darbiniekiem strādājot ar vienu sistēmu, kas darbotos </w:t>
      </w:r>
      <w:r>
        <w:rPr>
          <w:i/>
          <w:sz w:val="28"/>
          <w:szCs w:val="28"/>
        </w:rPr>
        <w:t>online</w:t>
      </w:r>
      <w:r>
        <w:rPr>
          <w:sz w:val="28"/>
          <w:szCs w:val="28"/>
        </w:rPr>
        <w:t xml:space="preserve"> režīmā.</w:t>
      </w:r>
    </w:p>
    <w:p w:rsidR="00850D5D" w:rsidRDefault="00850D5D" w:rsidP="000A2371">
      <w:pPr>
        <w:spacing w:after="120"/>
        <w:ind w:firstLine="720"/>
        <w:jc w:val="both"/>
        <w:rPr>
          <w:sz w:val="28"/>
          <w:szCs w:val="28"/>
        </w:rPr>
      </w:pPr>
      <w:r>
        <w:rPr>
          <w:sz w:val="28"/>
          <w:szCs w:val="28"/>
        </w:rPr>
        <w:t>Lai realizētu 2.modeli, nepieciešamas 350 darba dienas no lēmuma pieņemšanas brīža par privatizācijas sertifikātu kontu pārcelšanu uz Hipotēku banku. Šī modeļa aptuvenās ieviešanas izmaksas ir LVL 194</w:t>
      </w:r>
      <w:r w:rsidR="00390407">
        <w:rPr>
          <w:sz w:val="28"/>
          <w:szCs w:val="28"/>
        </w:rPr>
        <w:t> </w:t>
      </w:r>
      <w:r>
        <w:rPr>
          <w:sz w:val="28"/>
          <w:szCs w:val="28"/>
        </w:rPr>
        <w:t>000.</w:t>
      </w:r>
    </w:p>
    <w:p w:rsidR="00390407" w:rsidRDefault="00EB27EF" w:rsidP="000A2371">
      <w:pPr>
        <w:spacing w:after="120"/>
        <w:ind w:firstLine="720"/>
        <w:jc w:val="both"/>
        <w:rPr>
          <w:sz w:val="28"/>
          <w:szCs w:val="28"/>
        </w:rPr>
      </w:pPr>
      <w:r>
        <w:rPr>
          <w:sz w:val="28"/>
          <w:szCs w:val="28"/>
        </w:rPr>
        <w:t>Turpmāk redzamajā tabulā ir uzskaitīti veicamie darbi, lai nodrošinātu Krājbankā atvērto privatizācijas sertifikātu kontu pārcelšanu uz Hipotēku banku, un norādīt</w:t>
      </w:r>
      <w:r w:rsidR="003F6F8F">
        <w:rPr>
          <w:sz w:val="28"/>
          <w:szCs w:val="28"/>
        </w:rPr>
        <w:t>s to realizēšanai nepieciešamais darba dienu skaits no brīža, kad pieņemts atbilstošs lēmums par Krājbankā atvērto privatizācijas sertifikātu kontu pārcelšanu. Treknrakstā atspoguļots to darbu veikšanai nepieciešamais dienu skaits, kas tieši nosaka ieviešanas kopējo ilgumu katram modelim.</w:t>
      </w:r>
    </w:p>
    <w:tbl>
      <w:tblPr>
        <w:tblStyle w:val="TableGrid"/>
        <w:tblW w:w="9289" w:type="dxa"/>
        <w:tblLook w:val="04A0"/>
      </w:tblPr>
      <w:tblGrid>
        <w:gridCol w:w="817"/>
        <w:gridCol w:w="4536"/>
        <w:gridCol w:w="1968"/>
        <w:gridCol w:w="1968"/>
      </w:tblGrid>
      <w:tr w:rsidR="003F6F8F" w:rsidRPr="003F6F8F" w:rsidTr="00783A9F">
        <w:trPr>
          <w:trHeight w:val="283"/>
        </w:trPr>
        <w:tc>
          <w:tcPr>
            <w:tcW w:w="817" w:type="dxa"/>
          </w:tcPr>
          <w:p w:rsidR="003F6F8F" w:rsidRPr="003F6F8F" w:rsidRDefault="003F6F8F" w:rsidP="003F6F8F">
            <w:pPr>
              <w:jc w:val="center"/>
              <w:rPr>
                <w:b/>
              </w:rPr>
            </w:pPr>
            <w:r w:rsidRPr="003F6F8F">
              <w:rPr>
                <w:b/>
              </w:rPr>
              <w:t>N.p.k.</w:t>
            </w:r>
          </w:p>
        </w:tc>
        <w:tc>
          <w:tcPr>
            <w:tcW w:w="4536" w:type="dxa"/>
          </w:tcPr>
          <w:p w:rsidR="003F6F8F" w:rsidRPr="003F6F8F" w:rsidRDefault="003F6F8F" w:rsidP="003F6F8F">
            <w:pPr>
              <w:jc w:val="center"/>
              <w:rPr>
                <w:b/>
              </w:rPr>
            </w:pPr>
            <w:r>
              <w:rPr>
                <w:b/>
              </w:rPr>
              <w:t>Etapi / veicamie darbi</w:t>
            </w:r>
          </w:p>
        </w:tc>
        <w:tc>
          <w:tcPr>
            <w:tcW w:w="1968" w:type="dxa"/>
            <w:vAlign w:val="center"/>
          </w:tcPr>
          <w:p w:rsidR="003F6F8F" w:rsidRPr="003F6F8F" w:rsidRDefault="003F6F8F" w:rsidP="00783A9F">
            <w:pPr>
              <w:jc w:val="center"/>
              <w:rPr>
                <w:b/>
              </w:rPr>
            </w:pPr>
            <w:r>
              <w:rPr>
                <w:b/>
              </w:rPr>
              <w:t>1.modelis</w:t>
            </w:r>
          </w:p>
        </w:tc>
        <w:tc>
          <w:tcPr>
            <w:tcW w:w="1968" w:type="dxa"/>
            <w:vAlign w:val="center"/>
          </w:tcPr>
          <w:p w:rsidR="003F6F8F" w:rsidRPr="003F6F8F" w:rsidRDefault="003F6F8F" w:rsidP="00783A9F">
            <w:pPr>
              <w:jc w:val="center"/>
              <w:rPr>
                <w:b/>
              </w:rPr>
            </w:pPr>
            <w:r>
              <w:rPr>
                <w:b/>
              </w:rPr>
              <w:t>2.modelis</w:t>
            </w: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1.</w:t>
            </w:r>
          </w:p>
        </w:tc>
        <w:tc>
          <w:tcPr>
            <w:tcW w:w="4536" w:type="dxa"/>
            <w:shd w:val="clear" w:color="auto" w:fill="A6A6A6" w:themeFill="background1" w:themeFillShade="A6"/>
          </w:tcPr>
          <w:p w:rsidR="003F6F8F" w:rsidRPr="003F6F8F" w:rsidRDefault="00783A9F" w:rsidP="003F6F8F">
            <w:pPr>
              <w:jc w:val="both"/>
            </w:pPr>
            <w:r>
              <w:t>Sagatavošanās etaps</w:t>
            </w:r>
          </w:p>
        </w:tc>
        <w:tc>
          <w:tcPr>
            <w:tcW w:w="1968" w:type="dxa"/>
            <w:shd w:val="clear" w:color="auto" w:fill="A6A6A6" w:themeFill="background1" w:themeFillShade="A6"/>
            <w:vAlign w:val="center"/>
          </w:tcPr>
          <w:p w:rsidR="003F6F8F" w:rsidRPr="003F6F8F" w:rsidRDefault="00783A9F" w:rsidP="00783A9F">
            <w:pPr>
              <w:jc w:val="center"/>
            </w:pPr>
            <w:r>
              <w:t>70 dienas</w:t>
            </w:r>
          </w:p>
        </w:tc>
        <w:tc>
          <w:tcPr>
            <w:tcW w:w="1968" w:type="dxa"/>
            <w:shd w:val="clear" w:color="auto" w:fill="A6A6A6" w:themeFill="background1" w:themeFillShade="A6"/>
            <w:vAlign w:val="center"/>
          </w:tcPr>
          <w:p w:rsidR="003F6F8F" w:rsidRPr="003F6F8F" w:rsidRDefault="00783A9F" w:rsidP="00783A9F">
            <w:pPr>
              <w:jc w:val="center"/>
            </w:pPr>
            <w:r>
              <w:t>80 dienas</w:t>
            </w:r>
          </w:p>
        </w:tc>
      </w:tr>
      <w:tr w:rsidR="003F6F8F" w:rsidRPr="003F6F8F" w:rsidTr="00783A9F">
        <w:trPr>
          <w:trHeight w:val="283"/>
        </w:trPr>
        <w:tc>
          <w:tcPr>
            <w:tcW w:w="817" w:type="dxa"/>
          </w:tcPr>
          <w:p w:rsidR="003F6F8F" w:rsidRPr="003F6F8F" w:rsidRDefault="003F6F8F" w:rsidP="003F6F8F">
            <w:pPr>
              <w:jc w:val="both"/>
            </w:pPr>
            <w:r>
              <w:t>1.1.</w:t>
            </w:r>
          </w:p>
        </w:tc>
        <w:tc>
          <w:tcPr>
            <w:tcW w:w="4536" w:type="dxa"/>
          </w:tcPr>
          <w:p w:rsidR="003F6F8F" w:rsidRPr="003F6F8F" w:rsidRDefault="00783A9F" w:rsidP="003F6F8F">
            <w:pPr>
              <w:jc w:val="both"/>
            </w:pPr>
            <w:r>
              <w:t>Līguma attiecību noformēšana</w:t>
            </w:r>
          </w:p>
        </w:tc>
        <w:tc>
          <w:tcPr>
            <w:tcW w:w="1968" w:type="dxa"/>
            <w:vAlign w:val="center"/>
          </w:tcPr>
          <w:p w:rsidR="003F6F8F" w:rsidRPr="003F6F8F" w:rsidRDefault="00783A9F" w:rsidP="00783A9F">
            <w:pPr>
              <w:jc w:val="center"/>
            </w:pPr>
            <w:r>
              <w:t>70 dienas</w:t>
            </w:r>
          </w:p>
        </w:tc>
        <w:tc>
          <w:tcPr>
            <w:tcW w:w="1968" w:type="dxa"/>
            <w:vAlign w:val="center"/>
          </w:tcPr>
          <w:p w:rsidR="003F6F8F" w:rsidRPr="003F6F8F" w:rsidRDefault="00783A9F" w:rsidP="00783A9F">
            <w:pPr>
              <w:jc w:val="center"/>
            </w:pPr>
            <w:r>
              <w:t>70 dienas</w:t>
            </w:r>
          </w:p>
        </w:tc>
      </w:tr>
      <w:tr w:rsidR="003F6F8F" w:rsidRPr="003F6F8F" w:rsidTr="00783A9F">
        <w:trPr>
          <w:trHeight w:val="283"/>
        </w:trPr>
        <w:tc>
          <w:tcPr>
            <w:tcW w:w="817" w:type="dxa"/>
          </w:tcPr>
          <w:p w:rsidR="003F6F8F" w:rsidRPr="003F6F8F" w:rsidRDefault="003F6F8F" w:rsidP="003F6F8F">
            <w:pPr>
              <w:jc w:val="both"/>
            </w:pPr>
            <w:r>
              <w:t>1.1.1.</w:t>
            </w:r>
          </w:p>
        </w:tc>
        <w:tc>
          <w:tcPr>
            <w:tcW w:w="4536" w:type="dxa"/>
          </w:tcPr>
          <w:p w:rsidR="003F6F8F" w:rsidRPr="003F6F8F" w:rsidRDefault="00783A9F" w:rsidP="003F6F8F">
            <w:pPr>
              <w:jc w:val="both"/>
            </w:pPr>
            <w:r>
              <w:t>Līguma izstrāde un noslēgšana par līgumdarbinieku piesaisti</w:t>
            </w:r>
          </w:p>
        </w:tc>
        <w:tc>
          <w:tcPr>
            <w:tcW w:w="1968" w:type="dxa"/>
            <w:vAlign w:val="center"/>
          </w:tcPr>
          <w:p w:rsidR="003F6F8F" w:rsidRPr="003F6F8F" w:rsidRDefault="00783A9F" w:rsidP="00783A9F">
            <w:pPr>
              <w:jc w:val="center"/>
            </w:pPr>
            <w:r>
              <w:t>40 dienas</w:t>
            </w:r>
          </w:p>
        </w:tc>
        <w:tc>
          <w:tcPr>
            <w:tcW w:w="1968" w:type="dxa"/>
            <w:vAlign w:val="center"/>
          </w:tcPr>
          <w:p w:rsidR="003F6F8F" w:rsidRPr="003F6F8F" w:rsidRDefault="00783A9F" w:rsidP="00783A9F">
            <w:pPr>
              <w:jc w:val="center"/>
            </w:pPr>
            <w:r>
              <w:t>40 dienas</w:t>
            </w:r>
          </w:p>
        </w:tc>
      </w:tr>
      <w:tr w:rsidR="003F6F8F" w:rsidRPr="003F6F8F" w:rsidTr="00783A9F">
        <w:trPr>
          <w:trHeight w:val="283"/>
        </w:trPr>
        <w:tc>
          <w:tcPr>
            <w:tcW w:w="817" w:type="dxa"/>
          </w:tcPr>
          <w:p w:rsidR="003F6F8F" w:rsidRPr="003F6F8F" w:rsidRDefault="003F6F8F" w:rsidP="003F6F8F">
            <w:pPr>
              <w:jc w:val="both"/>
            </w:pPr>
            <w:r>
              <w:t>1.1.2.</w:t>
            </w:r>
          </w:p>
        </w:tc>
        <w:tc>
          <w:tcPr>
            <w:tcW w:w="4536" w:type="dxa"/>
          </w:tcPr>
          <w:p w:rsidR="003F6F8F" w:rsidRPr="003F6F8F" w:rsidRDefault="00783A9F" w:rsidP="003F6F8F">
            <w:pPr>
              <w:jc w:val="both"/>
            </w:pPr>
            <w:r>
              <w:t>Līguma izstrāde par privatizācijas sertifikātu kontu pārcelšanu</w:t>
            </w:r>
          </w:p>
        </w:tc>
        <w:tc>
          <w:tcPr>
            <w:tcW w:w="1968" w:type="dxa"/>
            <w:vAlign w:val="center"/>
          </w:tcPr>
          <w:p w:rsidR="003F6F8F" w:rsidRPr="00FE62D8" w:rsidRDefault="004C0319" w:rsidP="00783A9F">
            <w:pPr>
              <w:jc w:val="center"/>
              <w:rPr>
                <w:b/>
              </w:rPr>
            </w:pPr>
            <w:r w:rsidRPr="004C0319">
              <w:rPr>
                <w:b/>
              </w:rPr>
              <w:t>40 dienas</w:t>
            </w:r>
          </w:p>
        </w:tc>
        <w:tc>
          <w:tcPr>
            <w:tcW w:w="1968" w:type="dxa"/>
            <w:vAlign w:val="center"/>
          </w:tcPr>
          <w:p w:rsidR="003F6F8F" w:rsidRPr="003F6F8F" w:rsidRDefault="00783A9F" w:rsidP="00783A9F">
            <w:pPr>
              <w:jc w:val="center"/>
            </w:pPr>
            <w:r>
              <w:t>40 dienas</w:t>
            </w:r>
          </w:p>
        </w:tc>
      </w:tr>
      <w:tr w:rsidR="003F6F8F" w:rsidRPr="003F6F8F" w:rsidTr="00783A9F">
        <w:trPr>
          <w:trHeight w:val="283"/>
        </w:trPr>
        <w:tc>
          <w:tcPr>
            <w:tcW w:w="817" w:type="dxa"/>
          </w:tcPr>
          <w:p w:rsidR="003F6F8F" w:rsidRPr="003F6F8F" w:rsidRDefault="003F6F8F" w:rsidP="003F6F8F">
            <w:pPr>
              <w:jc w:val="both"/>
            </w:pPr>
            <w:r>
              <w:t>1.1.3.</w:t>
            </w:r>
          </w:p>
        </w:tc>
        <w:tc>
          <w:tcPr>
            <w:tcW w:w="4536" w:type="dxa"/>
          </w:tcPr>
          <w:p w:rsidR="003F6F8F" w:rsidRPr="003F6F8F" w:rsidRDefault="00783A9F" w:rsidP="003F6F8F">
            <w:pPr>
              <w:jc w:val="both"/>
            </w:pPr>
            <w:r>
              <w:t>Līguma par privatizācijas sertifikātu kontu pārcelšanu saskaņošana ar Ekonomikas ministriju</w:t>
            </w:r>
          </w:p>
        </w:tc>
        <w:tc>
          <w:tcPr>
            <w:tcW w:w="1968" w:type="dxa"/>
            <w:vAlign w:val="center"/>
          </w:tcPr>
          <w:p w:rsidR="003F6F8F" w:rsidRPr="00FE62D8" w:rsidRDefault="00783A9F" w:rsidP="00783A9F">
            <w:pPr>
              <w:jc w:val="center"/>
              <w:rPr>
                <w:b/>
              </w:rPr>
            </w:pPr>
            <w:r w:rsidRPr="00FE62D8">
              <w:rPr>
                <w:b/>
              </w:rP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1.1.4.</w:t>
            </w:r>
          </w:p>
        </w:tc>
        <w:tc>
          <w:tcPr>
            <w:tcW w:w="4536" w:type="dxa"/>
          </w:tcPr>
          <w:p w:rsidR="003F6F8F" w:rsidRPr="003F6F8F" w:rsidRDefault="00783A9F" w:rsidP="003F6F8F">
            <w:pPr>
              <w:jc w:val="both"/>
            </w:pPr>
            <w:r>
              <w:t>Līguma noslēgšana ar Krājbanku</w:t>
            </w:r>
          </w:p>
        </w:tc>
        <w:tc>
          <w:tcPr>
            <w:tcW w:w="1968" w:type="dxa"/>
            <w:vAlign w:val="center"/>
          </w:tcPr>
          <w:p w:rsidR="003F6F8F" w:rsidRPr="00FE62D8" w:rsidRDefault="00783A9F" w:rsidP="00783A9F">
            <w:pPr>
              <w:jc w:val="center"/>
              <w:rPr>
                <w:b/>
              </w:rPr>
            </w:pPr>
            <w:r w:rsidRPr="00FE62D8">
              <w:rPr>
                <w:b/>
              </w:rPr>
              <w:t>10 dienas</w:t>
            </w:r>
          </w:p>
        </w:tc>
        <w:tc>
          <w:tcPr>
            <w:tcW w:w="1968" w:type="dxa"/>
            <w:vAlign w:val="center"/>
          </w:tcPr>
          <w:p w:rsidR="003F6F8F" w:rsidRPr="003F6F8F" w:rsidRDefault="00783A9F"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1.2.</w:t>
            </w:r>
          </w:p>
        </w:tc>
        <w:tc>
          <w:tcPr>
            <w:tcW w:w="4536" w:type="dxa"/>
          </w:tcPr>
          <w:p w:rsidR="003F6F8F" w:rsidRPr="003F6F8F" w:rsidRDefault="00783A9F" w:rsidP="003F6F8F">
            <w:pPr>
              <w:jc w:val="both"/>
            </w:pPr>
            <w:r>
              <w:t>Sagatavošanās Krājbankas privatizācijas sertifikātu sistēmas pārcelšanai</w:t>
            </w:r>
          </w:p>
        </w:tc>
        <w:tc>
          <w:tcPr>
            <w:tcW w:w="1968" w:type="dxa"/>
            <w:vAlign w:val="center"/>
          </w:tcPr>
          <w:p w:rsidR="003F6F8F" w:rsidRPr="003F6F8F" w:rsidRDefault="00783A9F" w:rsidP="00783A9F">
            <w:pPr>
              <w:jc w:val="center"/>
            </w:pPr>
            <w:r>
              <w:t>60 dienas</w:t>
            </w:r>
          </w:p>
        </w:tc>
        <w:tc>
          <w:tcPr>
            <w:tcW w:w="1968" w:type="dxa"/>
            <w:vAlign w:val="center"/>
          </w:tcPr>
          <w:p w:rsidR="003F6F8F" w:rsidRPr="003F6F8F" w:rsidRDefault="00783A9F" w:rsidP="00783A9F">
            <w:pPr>
              <w:jc w:val="center"/>
            </w:pPr>
            <w:r>
              <w:t>80 dienas</w:t>
            </w:r>
          </w:p>
        </w:tc>
      </w:tr>
      <w:tr w:rsidR="003F6F8F" w:rsidRPr="003F6F8F" w:rsidTr="00783A9F">
        <w:trPr>
          <w:trHeight w:val="283"/>
        </w:trPr>
        <w:tc>
          <w:tcPr>
            <w:tcW w:w="817" w:type="dxa"/>
          </w:tcPr>
          <w:p w:rsidR="003F6F8F" w:rsidRPr="003F6F8F" w:rsidRDefault="003F6F8F" w:rsidP="003F6F8F">
            <w:pPr>
              <w:jc w:val="both"/>
            </w:pPr>
            <w:r>
              <w:t>1.2.1.</w:t>
            </w:r>
          </w:p>
        </w:tc>
        <w:tc>
          <w:tcPr>
            <w:tcW w:w="4536" w:type="dxa"/>
          </w:tcPr>
          <w:p w:rsidR="003F6F8F" w:rsidRPr="003F6F8F" w:rsidRDefault="00783A9F" w:rsidP="003F6F8F">
            <w:pPr>
              <w:jc w:val="both"/>
            </w:pPr>
            <w:r>
              <w:t>Atskaišu struktūras saskaņošana ar Privatizācijas aģentūru</w:t>
            </w:r>
          </w:p>
        </w:tc>
        <w:tc>
          <w:tcPr>
            <w:tcW w:w="1968" w:type="dxa"/>
            <w:vAlign w:val="center"/>
          </w:tcPr>
          <w:p w:rsidR="003F6F8F" w:rsidRPr="003F6F8F" w:rsidRDefault="00783A9F" w:rsidP="00783A9F">
            <w:pPr>
              <w:jc w:val="center"/>
            </w:pPr>
            <w: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1.2.2.</w:t>
            </w:r>
          </w:p>
        </w:tc>
        <w:tc>
          <w:tcPr>
            <w:tcW w:w="4536" w:type="dxa"/>
          </w:tcPr>
          <w:p w:rsidR="003F6F8F" w:rsidRPr="003F6F8F" w:rsidRDefault="00783A9F" w:rsidP="003F6F8F">
            <w:pPr>
              <w:jc w:val="both"/>
            </w:pPr>
            <w:r>
              <w:t>Krājbankas sistēmas datu struktūras izpēte un analīze</w:t>
            </w:r>
          </w:p>
        </w:tc>
        <w:tc>
          <w:tcPr>
            <w:tcW w:w="1968" w:type="dxa"/>
            <w:vAlign w:val="center"/>
          </w:tcPr>
          <w:p w:rsidR="003F6F8F" w:rsidRPr="003F6F8F" w:rsidRDefault="00783A9F" w:rsidP="00783A9F">
            <w:pPr>
              <w:jc w:val="center"/>
            </w:pPr>
            <w:r>
              <w:t>30 dienas</w:t>
            </w:r>
          </w:p>
        </w:tc>
        <w:tc>
          <w:tcPr>
            <w:tcW w:w="1968" w:type="dxa"/>
            <w:vAlign w:val="center"/>
          </w:tcPr>
          <w:p w:rsidR="003F6F8F" w:rsidRPr="00FE62D8" w:rsidRDefault="00783A9F" w:rsidP="00783A9F">
            <w:pPr>
              <w:jc w:val="center"/>
              <w:rPr>
                <w:b/>
              </w:rPr>
            </w:pPr>
            <w:r w:rsidRPr="00FE62D8">
              <w:rPr>
                <w:b/>
              </w:rPr>
              <w:t>30 dienas</w:t>
            </w:r>
          </w:p>
        </w:tc>
      </w:tr>
      <w:tr w:rsidR="003F6F8F" w:rsidRPr="003F6F8F" w:rsidTr="00783A9F">
        <w:trPr>
          <w:trHeight w:val="283"/>
        </w:trPr>
        <w:tc>
          <w:tcPr>
            <w:tcW w:w="817" w:type="dxa"/>
          </w:tcPr>
          <w:p w:rsidR="003F6F8F" w:rsidRPr="003F6F8F" w:rsidRDefault="003F6F8F" w:rsidP="003F6F8F">
            <w:pPr>
              <w:jc w:val="both"/>
            </w:pPr>
            <w:r>
              <w:t>1.2.3.</w:t>
            </w:r>
          </w:p>
        </w:tc>
        <w:tc>
          <w:tcPr>
            <w:tcW w:w="4536" w:type="dxa"/>
          </w:tcPr>
          <w:p w:rsidR="003F6F8F" w:rsidRPr="003F6F8F" w:rsidRDefault="00783A9F" w:rsidP="003F6F8F">
            <w:pPr>
              <w:jc w:val="both"/>
            </w:pPr>
            <w:r>
              <w:t>Hipotēku bankas sistēmas datu struktūras izpēte un analīze</w:t>
            </w:r>
          </w:p>
        </w:tc>
        <w:tc>
          <w:tcPr>
            <w:tcW w:w="1968" w:type="dxa"/>
            <w:vAlign w:val="center"/>
          </w:tcPr>
          <w:p w:rsidR="003F6F8F" w:rsidRPr="003F6F8F" w:rsidRDefault="00783A9F" w:rsidP="00783A9F">
            <w:pPr>
              <w:jc w:val="center"/>
            </w:pPr>
            <w:r>
              <w:t>-</w:t>
            </w:r>
          </w:p>
        </w:tc>
        <w:tc>
          <w:tcPr>
            <w:tcW w:w="1968" w:type="dxa"/>
            <w:vAlign w:val="center"/>
          </w:tcPr>
          <w:p w:rsidR="003F6F8F" w:rsidRPr="00FE62D8" w:rsidRDefault="00783A9F"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r>
              <w:t>1.2.4.</w:t>
            </w:r>
          </w:p>
        </w:tc>
        <w:tc>
          <w:tcPr>
            <w:tcW w:w="4536" w:type="dxa"/>
          </w:tcPr>
          <w:p w:rsidR="003F6F8F" w:rsidRPr="003F6F8F" w:rsidRDefault="00783A9F" w:rsidP="003F6F8F">
            <w:pPr>
              <w:jc w:val="both"/>
            </w:pPr>
            <w:r>
              <w:t>Nepieciešamo biznesa procesu un sistēmu izmaiņu identificēšana</w:t>
            </w:r>
          </w:p>
        </w:tc>
        <w:tc>
          <w:tcPr>
            <w:tcW w:w="1968" w:type="dxa"/>
            <w:vAlign w:val="center"/>
          </w:tcPr>
          <w:p w:rsidR="003F6F8F" w:rsidRPr="003F6F8F" w:rsidRDefault="00783A9F" w:rsidP="00783A9F">
            <w:pPr>
              <w:jc w:val="center"/>
            </w:pPr>
            <w:r>
              <w:t>30 dienas</w:t>
            </w:r>
          </w:p>
        </w:tc>
        <w:tc>
          <w:tcPr>
            <w:tcW w:w="1968" w:type="dxa"/>
            <w:vAlign w:val="center"/>
          </w:tcPr>
          <w:p w:rsidR="003F6F8F" w:rsidRPr="00FE62D8" w:rsidRDefault="00783A9F" w:rsidP="00783A9F">
            <w:pPr>
              <w:jc w:val="center"/>
              <w:rPr>
                <w:b/>
              </w:rPr>
            </w:pPr>
            <w:r w:rsidRPr="00FE62D8">
              <w:rPr>
                <w:b/>
              </w:rPr>
              <w:t>30 dienas</w:t>
            </w:r>
          </w:p>
        </w:tc>
      </w:tr>
      <w:tr w:rsidR="003F6F8F" w:rsidRPr="003F6F8F" w:rsidTr="00783A9F">
        <w:trPr>
          <w:trHeight w:val="283"/>
        </w:trPr>
        <w:tc>
          <w:tcPr>
            <w:tcW w:w="817" w:type="dxa"/>
          </w:tcPr>
          <w:p w:rsidR="003F6F8F" w:rsidRPr="003F6F8F" w:rsidRDefault="003F6F8F" w:rsidP="003F6F8F">
            <w:pPr>
              <w:jc w:val="both"/>
            </w:pPr>
            <w:r>
              <w:t>1.2.5.</w:t>
            </w:r>
          </w:p>
        </w:tc>
        <w:tc>
          <w:tcPr>
            <w:tcW w:w="4536" w:type="dxa"/>
          </w:tcPr>
          <w:p w:rsidR="003F6F8F" w:rsidRPr="003F6F8F" w:rsidRDefault="00783A9F" w:rsidP="003F6F8F">
            <w:pPr>
              <w:jc w:val="both"/>
            </w:pPr>
            <w:r>
              <w:t>Programmatūras licenču iegāde</w:t>
            </w:r>
          </w:p>
        </w:tc>
        <w:tc>
          <w:tcPr>
            <w:tcW w:w="1968" w:type="dxa"/>
            <w:vAlign w:val="center"/>
          </w:tcPr>
          <w:p w:rsidR="003F6F8F" w:rsidRPr="003F6F8F" w:rsidRDefault="00783A9F" w:rsidP="00783A9F">
            <w:pPr>
              <w:jc w:val="center"/>
            </w:pPr>
            <w:r>
              <w:t>50 dienas</w:t>
            </w:r>
          </w:p>
        </w:tc>
        <w:tc>
          <w:tcPr>
            <w:tcW w:w="1968" w:type="dxa"/>
            <w:vAlign w:val="center"/>
          </w:tcPr>
          <w:p w:rsidR="003F6F8F" w:rsidRPr="003F6F8F" w:rsidRDefault="00783A9F" w:rsidP="00783A9F">
            <w:pPr>
              <w:jc w:val="center"/>
            </w:pPr>
            <w:r>
              <w:t>50 dienas</w:t>
            </w:r>
          </w:p>
        </w:tc>
      </w:tr>
      <w:tr w:rsidR="003F6F8F" w:rsidRPr="003F6F8F" w:rsidTr="00783A9F">
        <w:trPr>
          <w:trHeight w:val="283"/>
        </w:trPr>
        <w:tc>
          <w:tcPr>
            <w:tcW w:w="817" w:type="dxa"/>
          </w:tcPr>
          <w:p w:rsidR="003F6F8F" w:rsidRPr="003F6F8F" w:rsidRDefault="003F6F8F" w:rsidP="003F6F8F">
            <w:pPr>
              <w:jc w:val="both"/>
            </w:pPr>
            <w:r>
              <w:t>1.2.6.</w:t>
            </w:r>
          </w:p>
        </w:tc>
        <w:tc>
          <w:tcPr>
            <w:tcW w:w="4536" w:type="dxa"/>
          </w:tcPr>
          <w:p w:rsidR="003F6F8F" w:rsidRPr="003F6F8F" w:rsidRDefault="00783A9F" w:rsidP="003F6F8F">
            <w:pPr>
              <w:jc w:val="both"/>
            </w:pPr>
            <w:r>
              <w:t>Grāmatojumu kontējumu shēmu izstrāde</w:t>
            </w:r>
          </w:p>
        </w:tc>
        <w:tc>
          <w:tcPr>
            <w:tcW w:w="1968" w:type="dxa"/>
            <w:vAlign w:val="center"/>
          </w:tcPr>
          <w:p w:rsidR="003F6F8F" w:rsidRPr="003F6F8F" w:rsidRDefault="00783A9F" w:rsidP="00783A9F">
            <w:pPr>
              <w:jc w:val="center"/>
            </w:pPr>
            <w:r>
              <w:t>50 dienas</w:t>
            </w:r>
          </w:p>
        </w:tc>
        <w:tc>
          <w:tcPr>
            <w:tcW w:w="1968" w:type="dxa"/>
            <w:vAlign w:val="center"/>
          </w:tcPr>
          <w:p w:rsidR="003F6F8F" w:rsidRPr="003F6F8F" w:rsidRDefault="00783A9F" w:rsidP="00783A9F">
            <w:pPr>
              <w:jc w:val="center"/>
            </w:pPr>
            <w:r>
              <w:t>50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783A9F" w:rsidP="003F6F8F">
            <w:pPr>
              <w:jc w:val="both"/>
            </w:pPr>
            <w:r>
              <w:t>Sagatavošanās pabeigta</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2.</w:t>
            </w:r>
          </w:p>
        </w:tc>
        <w:tc>
          <w:tcPr>
            <w:tcW w:w="4536" w:type="dxa"/>
            <w:shd w:val="clear" w:color="auto" w:fill="A6A6A6" w:themeFill="background1" w:themeFillShade="A6"/>
          </w:tcPr>
          <w:p w:rsidR="003F6F8F" w:rsidRPr="003F6F8F" w:rsidRDefault="00783A9F" w:rsidP="003F6F8F">
            <w:pPr>
              <w:jc w:val="both"/>
            </w:pPr>
            <w:r>
              <w:t>Arhīva pārņemšana</w:t>
            </w:r>
          </w:p>
        </w:tc>
        <w:tc>
          <w:tcPr>
            <w:tcW w:w="1968" w:type="dxa"/>
            <w:shd w:val="clear" w:color="auto" w:fill="A6A6A6" w:themeFill="background1" w:themeFillShade="A6"/>
            <w:vAlign w:val="center"/>
          </w:tcPr>
          <w:p w:rsidR="003F6F8F" w:rsidRPr="003F6F8F" w:rsidRDefault="00783A9F" w:rsidP="00783A9F">
            <w:pPr>
              <w:jc w:val="center"/>
            </w:pPr>
            <w:r>
              <w:t>70 dienas</w:t>
            </w:r>
          </w:p>
        </w:tc>
        <w:tc>
          <w:tcPr>
            <w:tcW w:w="1968" w:type="dxa"/>
            <w:shd w:val="clear" w:color="auto" w:fill="A6A6A6" w:themeFill="background1" w:themeFillShade="A6"/>
            <w:vAlign w:val="center"/>
          </w:tcPr>
          <w:p w:rsidR="003F6F8F" w:rsidRPr="003F6F8F" w:rsidRDefault="00783A9F" w:rsidP="00783A9F">
            <w:pPr>
              <w:jc w:val="center"/>
            </w:pPr>
            <w:r>
              <w:t>70 dienas</w:t>
            </w:r>
          </w:p>
        </w:tc>
      </w:tr>
      <w:tr w:rsidR="003F6F8F" w:rsidRPr="003F6F8F" w:rsidTr="00783A9F">
        <w:trPr>
          <w:trHeight w:val="283"/>
        </w:trPr>
        <w:tc>
          <w:tcPr>
            <w:tcW w:w="817" w:type="dxa"/>
          </w:tcPr>
          <w:p w:rsidR="003F6F8F" w:rsidRPr="003F6F8F" w:rsidRDefault="003F6F8F" w:rsidP="003F6F8F">
            <w:pPr>
              <w:jc w:val="both"/>
            </w:pPr>
            <w:r>
              <w:t>2.1.</w:t>
            </w:r>
          </w:p>
        </w:tc>
        <w:tc>
          <w:tcPr>
            <w:tcW w:w="4536" w:type="dxa"/>
          </w:tcPr>
          <w:p w:rsidR="003F6F8F" w:rsidRPr="003F6F8F" w:rsidRDefault="00783A9F" w:rsidP="003F6F8F">
            <w:pPr>
              <w:jc w:val="both"/>
            </w:pPr>
            <w:r>
              <w:t>Konkurss par arhīva uzglabāšanu</w:t>
            </w:r>
          </w:p>
        </w:tc>
        <w:tc>
          <w:tcPr>
            <w:tcW w:w="1968" w:type="dxa"/>
            <w:vAlign w:val="center"/>
          </w:tcPr>
          <w:p w:rsidR="003F6F8F" w:rsidRPr="003F6F8F" w:rsidRDefault="00783A9F" w:rsidP="00783A9F">
            <w:pPr>
              <w:jc w:val="center"/>
            </w:pPr>
            <w: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2.2.</w:t>
            </w:r>
          </w:p>
        </w:tc>
        <w:tc>
          <w:tcPr>
            <w:tcW w:w="4536" w:type="dxa"/>
          </w:tcPr>
          <w:p w:rsidR="003F6F8F" w:rsidRPr="003F6F8F" w:rsidRDefault="00783A9F" w:rsidP="003F6F8F">
            <w:pPr>
              <w:jc w:val="both"/>
            </w:pPr>
            <w:r>
              <w:t>Līguma noslēgšana ar ārpakalpojuma sniedzēju</w:t>
            </w:r>
          </w:p>
        </w:tc>
        <w:tc>
          <w:tcPr>
            <w:tcW w:w="1968" w:type="dxa"/>
            <w:vAlign w:val="center"/>
          </w:tcPr>
          <w:p w:rsidR="003F6F8F" w:rsidRPr="003F6F8F" w:rsidRDefault="00783A9F" w:rsidP="00783A9F">
            <w:pPr>
              <w:jc w:val="center"/>
            </w:pPr>
            <w: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2.3.</w:t>
            </w:r>
          </w:p>
        </w:tc>
        <w:tc>
          <w:tcPr>
            <w:tcW w:w="4536" w:type="dxa"/>
          </w:tcPr>
          <w:p w:rsidR="003F6F8F" w:rsidRPr="003F6F8F" w:rsidRDefault="00783A9F" w:rsidP="003F6F8F">
            <w:pPr>
              <w:jc w:val="both"/>
            </w:pPr>
            <w:r>
              <w:t>Arhīva pārvietošana</w:t>
            </w:r>
          </w:p>
        </w:tc>
        <w:tc>
          <w:tcPr>
            <w:tcW w:w="1968" w:type="dxa"/>
            <w:vAlign w:val="center"/>
          </w:tcPr>
          <w:p w:rsidR="003F6F8F" w:rsidRPr="003F6F8F" w:rsidRDefault="00783A9F" w:rsidP="00783A9F">
            <w:pPr>
              <w:jc w:val="center"/>
            </w:pPr>
            <w:r>
              <w:t>30 dienas</w:t>
            </w:r>
          </w:p>
        </w:tc>
        <w:tc>
          <w:tcPr>
            <w:tcW w:w="1968" w:type="dxa"/>
            <w:vAlign w:val="center"/>
          </w:tcPr>
          <w:p w:rsidR="003F6F8F" w:rsidRPr="003F6F8F" w:rsidRDefault="00783A9F" w:rsidP="00783A9F">
            <w:pPr>
              <w:jc w:val="center"/>
            </w:pPr>
            <w:r>
              <w:t>30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783A9F" w:rsidP="003F6F8F">
            <w:pPr>
              <w:jc w:val="both"/>
            </w:pPr>
            <w:r>
              <w:t>Arhīvs pārņemts</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3.</w:t>
            </w:r>
          </w:p>
        </w:tc>
        <w:tc>
          <w:tcPr>
            <w:tcW w:w="4536" w:type="dxa"/>
            <w:shd w:val="clear" w:color="auto" w:fill="A6A6A6" w:themeFill="background1" w:themeFillShade="A6"/>
          </w:tcPr>
          <w:p w:rsidR="003F6F8F" w:rsidRPr="003F6F8F" w:rsidRDefault="00783A9F" w:rsidP="003F6F8F">
            <w:pPr>
              <w:jc w:val="both"/>
            </w:pPr>
            <w:r>
              <w:t>Izmaiņas reglamentējošajos dokumentos</w:t>
            </w:r>
          </w:p>
        </w:tc>
        <w:tc>
          <w:tcPr>
            <w:tcW w:w="1968" w:type="dxa"/>
            <w:shd w:val="clear" w:color="auto" w:fill="A6A6A6" w:themeFill="background1" w:themeFillShade="A6"/>
            <w:vAlign w:val="center"/>
          </w:tcPr>
          <w:p w:rsidR="003F6F8F" w:rsidRPr="003F6F8F" w:rsidRDefault="00783A9F" w:rsidP="00783A9F">
            <w:pPr>
              <w:jc w:val="center"/>
            </w:pPr>
            <w:r>
              <w:t>30 dienas</w:t>
            </w:r>
          </w:p>
        </w:tc>
        <w:tc>
          <w:tcPr>
            <w:tcW w:w="1968" w:type="dxa"/>
            <w:shd w:val="clear" w:color="auto" w:fill="A6A6A6" w:themeFill="background1" w:themeFillShade="A6"/>
            <w:vAlign w:val="center"/>
          </w:tcPr>
          <w:p w:rsidR="003F6F8F" w:rsidRPr="003F6F8F" w:rsidRDefault="00783A9F" w:rsidP="00783A9F">
            <w:pPr>
              <w:jc w:val="center"/>
            </w:pPr>
            <w:r>
              <w:t>30 dienas</w:t>
            </w:r>
          </w:p>
        </w:tc>
      </w:tr>
      <w:tr w:rsidR="003F6F8F" w:rsidRPr="003F6F8F" w:rsidTr="00783A9F">
        <w:trPr>
          <w:trHeight w:val="283"/>
        </w:trPr>
        <w:tc>
          <w:tcPr>
            <w:tcW w:w="817" w:type="dxa"/>
          </w:tcPr>
          <w:p w:rsidR="003F6F8F" w:rsidRPr="003F6F8F" w:rsidRDefault="003F6F8F" w:rsidP="003F6F8F">
            <w:pPr>
              <w:jc w:val="both"/>
            </w:pPr>
            <w:r>
              <w:t>3.1.</w:t>
            </w:r>
          </w:p>
        </w:tc>
        <w:tc>
          <w:tcPr>
            <w:tcW w:w="4536" w:type="dxa"/>
          </w:tcPr>
          <w:p w:rsidR="003F6F8F" w:rsidRPr="00783A9F" w:rsidRDefault="00783A9F" w:rsidP="003F6F8F">
            <w:pPr>
              <w:jc w:val="both"/>
            </w:pPr>
            <w:r>
              <w:t xml:space="preserve">Izmaiņas informācijas sistēmu </w:t>
            </w:r>
            <w:r>
              <w:rPr>
                <w:i/>
              </w:rPr>
              <w:t>backup</w:t>
            </w:r>
            <w:r>
              <w:t xml:space="preserve"> </w:t>
            </w:r>
            <w:r>
              <w:lastRenderedPageBreak/>
              <w:t>procedūrās</w:t>
            </w:r>
          </w:p>
        </w:tc>
        <w:tc>
          <w:tcPr>
            <w:tcW w:w="1968" w:type="dxa"/>
            <w:vAlign w:val="center"/>
          </w:tcPr>
          <w:p w:rsidR="003F6F8F" w:rsidRPr="003F6F8F" w:rsidRDefault="00783A9F" w:rsidP="00783A9F">
            <w:pPr>
              <w:jc w:val="center"/>
            </w:pPr>
            <w:r>
              <w:lastRenderedPageBreak/>
              <w:t>10 dienas</w:t>
            </w:r>
          </w:p>
        </w:tc>
        <w:tc>
          <w:tcPr>
            <w:tcW w:w="1968" w:type="dxa"/>
            <w:vAlign w:val="center"/>
          </w:tcPr>
          <w:p w:rsidR="003F6F8F" w:rsidRPr="003F6F8F" w:rsidRDefault="00783A9F"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lastRenderedPageBreak/>
              <w:t>3.2.</w:t>
            </w:r>
          </w:p>
        </w:tc>
        <w:tc>
          <w:tcPr>
            <w:tcW w:w="4536" w:type="dxa"/>
          </w:tcPr>
          <w:p w:rsidR="003F6F8F" w:rsidRPr="003F6F8F" w:rsidRDefault="00783A9F" w:rsidP="003F6F8F">
            <w:pPr>
              <w:jc w:val="both"/>
            </w:pPr>
            <w:r>
              <w:t>Izmaiņas klientu apkalpošanas procedūrās</w:t>
            </w:r>
          </w:p>
        </w:tc>
        <w:tc>
          <w:tcPr>
            <w:tcW w:w="1968" w:type="dxa"/>
            <w:vAlign w:val="center"/>
          </w:tcPr>
          <w:p w:rsidR="003F6F8F" w:rsidRPr="003F6F8F" w:rsidRDefault="00783A9F" w:rsidP="00783A9F">
            <w:pPr>
              <w:jc w:val="center"/>
            </w:pPr>
            <w:r>
              <w:t>30 dienas</w:t>
            </w:r>
          </w:p>
        </w:tc>
        <w:tc>
          <w:tcPr>
            <w:tcW w:w="1968" w:type="dxa"/>
            <w:vAlign w:val="center"/>
          </w:tcPr>
          <w:p w:rsidR="003F6F8F" w:rsidRPr="003F6F8F" w:rsidRDefault="00783A9F" w:rsidP="00783A9F">
            <w:pPr>
              <w:jc w:val="center"/>
            </w:pPr>
            <w:r>
              <w:t>30 dienas</w:t>
            </w:r>
          </w:p>
        </w:tc>
      </w:tr>
      <w:tr w:rsidR="00783A9F" w:rsidRPr="003F6F8F" w:rsidTr="00783A9F">
        <w:trPr>
          <w:trHeight w:val="283"/>
        </w:trPr>
        <w:tc>
          <w:tcPr>
            <w:tcW w:w="817" w:type="dxa"/>
          </w:tcPr>
          <w:p w:rsidR="00783A9F" w:rsidRPr="003F6F8F" w:rsidRDefault="00783A9F" w:rsidP="003F6F8F">
            <w:pPr>
              <w:jc w:val="both"/>
            </w:pPr>
          </w:p>
        </w:tc>
        <w:tc>
          <w:tcPr>
            <w:tcW w:w="4536" w:type="dxa"/>
          </w:tcPr>
          <w:p w:rsidR="00783A9F" w:rsidRPr="003F6F8F" w:rsidRDefault="00783A9F" w:rsidP="003F6F8F">
            <w:pPr>
              <w:jc w:val="both"/>
            </w:pPr>
            <w:r>
              <w:t>Izmaiņas reglamentējošajos dokumentos ir veiktas</w:t>
            </w:r>
          </w:p>
        </w:tc>
        <w:tc>
          <w:tcPr>
            <w:tcW w:w="1968" w:type="dxa"/>
            <w:vAlign w:val="center"/>
          </w:tcPr>
          <w:p w:rsidR="00783A9F" w:rsidRPr="003F6F8F" w:rsidRDefault="00783A9F" w:rsidP="00783A9F">
            <w:pPr>
              <w:jc w:val="center"/>
            </w:pPr>
          </w:p>
        </w:tc>
        <w:tc>
          <w:tcPr>
            <w:tcW w:w="1968" w:type="dxa"/>
            <w:vAlign w:val="center"/>
          </w:tcPr>
          <w:p w:rsidR="00783A9F" w:rsidRPr="003F6F8F" w:rsidRDefault="00783A9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4.</w:t>
            </w:r>
          </w:p>
        </w:tc>
        <w:tc>
          <w:tcPr>
            <w:tcW w:w="4536" w:type="dxa"/>
            <w:shd w:val="clear" w:color="auto" w:fill="A6A6A6" w:themeFill="background1" w:themeFillShade="A6"/>
          </w:tcPr>
          <w:p w:rsidR="003F6F8F" w:rsidRPr="003F6F8F" w:rsidRDefault="00783A9F" w:rsidP="003F6F8F">
            <w:pPr>
              <w:jc w:val="both"/>
            </w:pPr>
            <w:r>
              <w:t>Sistēmas izstrāde</w:t>
            </w:r>
          </w:p>
        </w:tc>
        <w:tc>
          <w:tcPr>
            <w:tcW w:w="1968" w:type="dxa"/>
            <w:shd w:val="clear" w:color="auto" w:fill="A6A6A6" w:themeFill="background1" w:themeFillShade="A6"/>
            <w:vAlign w:val="center"/>
          </w:tcPr>
          <w:p w:rsidR="003F6F8F" w:rsidRPr="003F6F8F" w:rsidRDefault="00783A9F" w:rsidP="00783A9F">
            <w:pPr>
              <w:jc w:val="center"/>
            </w:pPr>
            <w:r>
              <w:t>50 dienas</w:t>
            </w:r>
          </w:p>
        </w:tc>
        <w:tc>
          <w:tcPr>
            <w:tcW w:w="1968" w:type="dxa"/>
            <w:shd w:val="clear" w:color="auto" w:fill="A6A6A6" w:themeFill="background1" w:themeFillShade="A6"/>
            <w:vAlign w:val="center"/>
          </w:tcPr>
          <w:p w:rsidR="003F6F8F" w:rsidRPr="003F6F8F" w:rsidRDefault="00783A9F" w:rsidP="00783A9F">
            <w:pPr>
              <w:jc w:val="center"/>
            </w:pPr>
            <w:r>
              <w:t>140 dienas</w:t>
            </w:r>
          </w:p>
        </w:tc>
      </w:tr>
      <w:tr w:rsidR="003F6F8F" w:rsidRPr="003F6F8F" w:rsidTr="00783A9F">
        <w:trPr>
          <w:trHeight w:val="283"/>
        </w:trPr>
        <w:tc>
          <w:tcPr>
            <w:tcW w:w="817" w:type="dxa"/>
          </w:tcPr>
          <w:p w:rsidR="003F6F8F" w:rsidRPr="003F6F8F" w:rsidRDefault="003F6F8F" w:rsidP="003F6F8F">
            <w:pPr>
              <w:jc w:val="both"/>
            </w:pPr>
            <w:r>
              <w:t>4.1.</w:t>
            </w:r>
          </w:p>
        </w:tc>
        <w:tc>
          <w:tcPr>
            <w:tcW w:w="4536" w:type="dxa"/>
          </w:tcPr>
          <w:p w:rsidR="003F6F8F" w:rsidRPr="003F6F8F" w:rsidRDefault="00783A9F" w:rsidP="003F6F8F">
            <w:pPr>
              <w:jc w:val="both"/>
            </w:pPr>
            <w:r>
              <w:t>Sistēmas atsaite no EQ</w:t>
            </w:r>
          </w:p>
        </w:tc>
        <w:tc>
          <w:tcPr>
            <w:tcW w:w="1968" w:type="dxa"/>
            <w:vAlign w:val="center"/>
          </w:tcPr>
          <w:p w:rsidR="003F6F8F" w:rsidRPr="003F6F8F" w:rsidRDefault="00783A9F" w:rsidP="00783A9F">
            <w:pPr>
              <w:jc w:val="center"/>
            </w:pPr>
            <w:r>
              <w:t>35 dienas</w:t>
            </w:r>
          </w:p>
        </w:tc>
        <w:tc>
          <w:tcPr>
            <w:tcW w:w="1968" w:type="dxa"/>
            <w:vAlign w:val="center"/>
          </w:tcPr>
          <w:p w:rsidR="003F6F8F" w:rsidRPr="003F6F8F" w:rsidRDefault="00783A9F"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4.1.1.</w:t>
            </w:r>
          </w:p>
        </w:tc>
        <w:tc>
          <w:tcPr>
            <w:tcW w:w="4536" w:type="dxa"/>
          </w:tcPr>
          <w:p w:rsidR="003F6F8F" w:rsidRPr="003F6F8F" w:rsidRDefault="00783A9F" w:rsidP="003F6F8F">
            <w:pPr>
              <w:jc w:val="both"/>
            </w:pPr>
            <w:r>
              <w:t xml:space="preserve">Izmaiņas </w:t>
            </w:r>
            <w:r w:rsidR="00FE62D8">
              <w:t>privatizācijas sertifikātu autentifikācijas mehānismā</w:t>
            </w:r>
          </w:p>
        </w:tc>
        <w:tc>
          <w:tcPr>
            <w:tcW w:w="1968" w:type="dxa"/>
            <w:vAlign w:val="center"/>
          </w:tcPr>
          <w:p w:rsidR="003F6F8F" w:rsidRPr="00FE62D8" w:rsidRDefault="00FE62D8" w:rsidP="00783A9F">
            <w:pPr>
              <w:jc w:val="center"/>
              <w:rPr>
                <w:b/>
              </w:rPr>
            </w:pPr>
            <w:r w:rsidRPr="00FE62D8">
              <w:rPr>
                <w:b/>
              </w:rPr>
              <w:t>10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4.1.2.</w:t>
            </w:r>
          </w:p>
        </w:tc>
        <w:tc>
          <w:tcPr>
            <w:tcW w:w="4536" w:type="dxa"/>
          </w:tcPr>
          <w:p w:rsidR="003F6F8F" w:rsidRPr="003F6F8F" w:rsidRDefault="00FE62D8" w:rsidP="003F6F8F">
            <w:pPr>
              <w:jc w:val="both"/>
            </w:pPr>
            <w:r>
              <w:t>Izmaiņas komisijas maksas attēlojumā</w:t>
            </w:r>
          </w:p>
        </w:tc>
        <w:tc>
          <w:tcPr>
            <w:tcW w:w="1968" w:type="dxa"/>
            <w:vAlign w:val="center"/>
          </w:tcPr>
          <w:p w:rsidR="003F6F8F" w:rsidRPr="00FE62D8" w:rsidRDefault="00FE62D8" w:rsidP="00783A9F">
            <w:pPr>
              <w:jc w:val="center"/>
              <w:rPr>
                <w:b/>
              </w:rPr>
            </w:pPr>
            <w:r w:rsidRPr="00FE62D8">
              <w:rPr>
                <w:b/>
              </w:rPr>
              <w:t>5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4.1.3.</w:t>
            </w:r>
          </w:p>
        </w:tc>
        <w:tc>
          <w:tcPr>
            <w:tcW w:w="4536" w:type="dxa"/>
          </w:tcPr>
          <w:p w:rsidR="003F6F8F" w:rsidRPr="003F6F8F" w:rsidRDefault="00FE62D8" w:rsidP="003F6F8F">
            <w:pPr>
              <w:jc w:val="both"/>
            </w:pPr>
            <w:r>
              <w:t>Izmaiņas filiāļu un lietotāju struktūrā</w:t>
            </w:r>
          </w:p>
        </w:tc>
        <w:tc>
          <w:tcPr>
            <w:tcW w:w="1968" w:type="dxa"/>
            <w:vAlign w:val="center"/>
          </w:tcPr>
          <w:p w:rsidR="003F6F8F" w:rsidRPr="00FE62D8" w:rsidRDefault="00FE62D8" w:rsidP="00783A9F">
            <w:pPr>
              <w:jc w:val="center"/>
              <w:rPr>
                <w:b/>
              </w:rPr>
            </w:pPr>
            <w:r w:rsidRPr="00FE62D8">
              <w:rPr>
                <w:b/>
              </w:rPr>
              <w:t>20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4.2.</w:t>
            </w:r>
          </w:p>
        </w:tc>
        <w:tc>
          <w:tcPr>
            <w:tcW w:w="4536" w:type="dxa"/>
          </w:tcPr>
          <w:p w:rsidR="003F6F8F" w:rsidRPr="00FE62D8" w:rsidRDefault="00FE62D8" w:rsidP="003F6F8F">
            <w:pPr>
              <w:jc w:val="both"/>
              <w:rPr>
                <w:i/>
              </w:rPr>
            </w:pPr>
            <w:r>
              <w:t xml:space="preserve">Atskaišu pārcelšana no </w:t>
            </w:r>
            <w:r>
              <w:rPr>
                <w:i/>
              </w:rPr>
              <w:t>Actuate</w:t>
            </w:r>
            <w:r w:rsidR="004C0319" w:rsidRPr="004C0319">
              <w:t xml:space="preserve">V6 </w:t>
            </w:r>
            <w:r w:rsidRPr="00FE62D8">
              <w:t xml:space="preserve">uz </w:t>
            </w:r>
            <w:r w:rsidR="004C0319" w:rsidRPr="004C0319">
              <w:t>V11</w:t>
            </w:r>
          </w:p>
        </w:tc>
        <w:tc>
          <w:tcPr>
            <w:tcW w:w="1968" w:type="dxa"/>
            <w:vAlign w:val="center"/>
          </w:tcPr>
          <w:p w:rsidR="003F6F8F" w:rsidRPr="00FE62D8" w:rsidRDefault="00FE62D8" w:rsidP="00783A9F">
            <w:pPr>
              <w:jc w:val="center"/>
              <w:rPr>
                <w:b/>
              </w:rPr>
            </w:pPr>
            <w:r w:rsidRPr="00FE62D8">
              <w:rPr>
                <w:b/>
              </w:rPr>
              <w:t>15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4.3.</w:t>
            </w:r>
          </w:p>
        </w:tc>
        <w:tc>
          <w:tcPr>
            <w:tcW w:w="4536" w:type="dxa"/>
          </w:tcPr>
          <w:p w:rsidR="003F6F8F" w:rsidRPr="00FE62D8" w:rsidRDefault="00FE62D8" w:rsidP="003F6F8F">
            <w:pPr>
              <w:jc w:val="both"/>
              <w:rPr>
                <w:i/>
              </w:rPr>
            </w:pPr>
            <w:r>
              <w:t xml:space="preserve">Sistēmas migrācija uz </w:t>
            </w:r>
            <w:r>
              <w:rPr>
                <w:i/>
              </w:rPr>
              <w:t>Oracle DB</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100 dienas</w:t>
            </w:r>
          </w:p>
        </w:tc>
      </w:tr>
      <w:tr w:rsidR="003F6F8F" w:rsidRPr="003F6F8F" w:rsidTr="00783A9F">
        <w:trPr>
          <w:trHeight w:val="283"/>
        </w:trPr>
        <w:tc>
          <w:tcPr>
            <w:tcW w:w="817" w:type="dxa"/>
          </w:tcPr>
          <w:p w:rsidR="003F6F8F" w:rsidRPr="003F6F8F" w:rsidRDefault="003F6F8F" w:rsidP="003F6F8F">
            <w:pPr>
              <w:jc w:val="both"/>
            </w:pPr>
            <w:r>
              <w:t>4.4.</w:t>
            </w:r>
          </w:p>
        </w:tc>
        <w:tc>
          <w:tcPr>
            <w:tcW w:w="4536" w:type="dxa"/>
          </w:tcPr>
          <w:p w:rsidR="003F6F8F" w:rsidRPr="00FE62D8" w:rsidRDefault="00FE62D8" w:rsidP="00FE62D8">
            <w:pPr>
              <w:jc w:val="both"/>
              <w:rPr>
                <w:i/>
              </w:rPr>
            </w:pPr>
            <w:r>
              <w:t xml:space="preserve">Sistēmas migrācija uz </w:t>
            </w:r>
            <w:r>
              <w:rPr>
                <w:i/>
              </w:rPr>
              <w:t>BusinessObject</w:t>
            </w:r>
          </w:p>
        </w:tc>
        <w:tc>
          <w:tcPr>
            <w:tcW w:w="1968" w:type="dxa"/>
            <w:vAlign w:val="center"/>
          </w:tcPr>
          <w:p w:rsidR="003F6F8F" w:rsidRPr="003F6F8F" w:rsidRDefault="00FE62D8" w:rsidP="00783A9F">
            <w:pPr>
              <w:jc w:val="center"/>
            </w:pPr>
            <w:r>
              <w:t>-</w:t>
            </w:r>
          </w:p>
        </w:tc>
        <w:tc>
          <w:tcPr>
            <w:tcW w:w="1968" w:type="dxa"/>
            <w:vAlign w:val="center"/>
          </w:tcPr>
          <w:p w:rsidR="003F6F8F" w:rsidRPr="003F6F8F" w:rsidRDefault="00FE62D8"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4.5.</w:t>
            </w:r>
          </w:p>
        </w:tc>
        <w:tc>
          <w:tcPr>
            <w:tcW w:w="4536" w:type="dxa"/>
          </w:tcPr>
          <w:p w:rsidR="003F6F8F" w:rsidRPr="003F6F8F" w:rsidRDefault="00FE62D8" w:rsidP="003F6F8F">
            <w:pPr>
              <w:jc w:val="both"/>
            </w:pPr>
            <w:r>
              <w:t>Sistēmas ekrāna formu pielāgošana</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r>
              <w:t>4.6.</w:t>
            </w:r>
          </w:p>
        </w:tc>
        <w:tc>
          <w:tcPr>
            <w:tcW w:w="4536" w:type="dxa"/>
          </w:tcPr>
          <w:p w:rsidR="003F6F8F" w:rsidRPr="003F6F8F" w:rsidRDefault="00FE62D8" w:rsidP="003F6F8F">
            <w:pPr>
              <w:jc w:val="both"/>
            </w:pPr>
            <w:r>
              <w:t>Darījuma dokumentu formu pielāgošana (paralēli ar 4.7. uzdevumu)</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r>
              <w:t>4.7.</w:t>
            </w:r>
          </w:p>
        </w:tc>
        <w:tc>
          <w:tcPr>
            <w:tcW w:w="4536" w:type="dxa"/>
          </w:tcPr>
          <w:p w:rsidR="003F6F8F" w:rsidRPr="003F6F8F" w:rsidRDefault="00FE62D8" w:rsidP="003F6F8F">
            <w:pPr>
              <w:jc w:val="both"/>
            </w:pPr>
            <w:r>
              <w:t>Atskaišu izdruku pielāgošana (paralēli ar 4.6. uzdevumu)</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FE62D8" w:rsidP="003F6F8F">
            <w:pPr>
              <w:jc w:val="both"/>
            </w:pPr>
            <w:r>
              <w:t>Sistēma gatava testēšanai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5.</w:t>
            </w:r>
          </w:p>
        </w:tc>
        <w:tc>
          <w:tcPr>
            <w:tcW w:w="4536" w:type="dxa"/>
            <w:shd w:val="clear" w:color="auto" w:fill="A6A6A6" w:themeFill="background1" w:themeFillShade="A6"/>
          </w:tcPr>
          <w:p w:rsidR="003F6F8F" w:rsidRPr="003F6F8F" w:rsidRDefault="00FE62D8" w:rsidP="003F6F8F">
            <w:pPr>
              <w:jc w:val="both"/>
            </w:pPr>
            <w:r>
              <w:t>Sistēmas testu veikšana</w:t>
            </w:r>
          </w:p>
        </w:tc>
        <w:tc>
          <w:tcPr>
            <w:tcW w:w="1968" w:type="dxa"/>
            <w:shd w:val="clear" w:color="auto" w:fill="A6A6A6" w:themeFill="background1" w:themeFillShade="A6"/>
            <w:vAlign w:val="center"/>
          </w:tcPr>
          <w:p w:rsidR="003F6F8F" w:rsidRPr="003F6F8F" w:rsidRDefault="00FE62D8" w:rsidP="00783A9F">
            <w:pPr>
              <w:jc w:val="center"/>
            </w:pPr>
            <w:r>
              <w:t>30 dienas</w:t>
            </w:r>
          </w:p>
        </w:tc>
        <w:tc>
          <w:tcPr>
            <w:tcW w:w="1968" w:type="dxa"/>
            <w:shd w:val="clear" w:color="auto" w:fill="A6A6A6" w:themeFill="background1" w:themeFillShade="A6"/>
            <w:vAlign w:val="center"/>
          </w:tcPr>
          <w:p w:rsidR="003F6F8F" w:rsidRPr="003F6F8F" w:rsidRDefault="00FE62D8" w:rsidP="00783A9F">
            <w:pPr>
              <w:jc w:val="center"/>
            </w:pPr>
            <w:r>
              <w:t>60 dienas</w:t>
            </w:r>
          </w:p>
        </w:tc>
      </w:tr>
      <w:tr w:rsidR="003F6F8F" w:rsidRPr="003F6F8F" w:rsidTr="00783A9F">
        <w:trPr>
          <w:trHeight w:val="283"/>
        </w:trPr>
        <w:tc>
          <w:tcPr>
            <w:tcW w:w="817" w:type="dxa"/>
          </w:tcPr>
          <w:p w:rsidR="003F6F8F" w:rsidRPr="003F6F8F" w:rsidRDefault="003F6F8F" w:rsidP="003F6F8F">
            <w:pPr>
              <w:jc w:val="both"/>
            </w:pPr>
            <w:r>
              <w:t>5.1.</w:t>
            </w:r>
          </w:p>
        </w:tc>
        <w:tc>
          <w:tcPr>
            <w:tcW w:w="4536" w:type="dxa"/>
          </w:tcPr>
          <w:p w:rsidR="003F6F8F" w:rsidRPr="003F6F8F" w:rsidRDefault="00FE62D8" w:rsidP="003F6F8F">
            <w:pPr>
              <w:jc w:val="both"/>
            </w:pPr>
            <w:r>
              <w:t>Biznesa procesu testi</w:t>
            </w:r>
          </w:p>
        </w:tc>
        <w:tc>
          <w:tcPr>
            <w:tcW w:w="1968" w:type="dxa"/>
            <w:vAlign w:val="center"/>
          </w:tcPr>
          <w:p w:rsidR="003F6F8F" w:rsidRPr="003F6F8F" w:rsidRDefault="00FE62D8" w:rsidP="00783A9F">
            <w:pPr>
              <w:jc w:val="center"/>
            </w:pPr>
            <w:r>
              <w:t>15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5.2.</w:t>
            </w:r>
          </w:p>
        </w:tc>
        <w:tc>
          <w:tcPr>
            <w:tcW w:w="4536" w:type="dxa"/>
          </w:tcPr>
          <w:p w:rsidR="003F6F8F" w:rsidRPr="003F6F8F" w:rsidRDefault="00FE62D8" w:rsidP="003F6F8F">
            <w:pPr>
              <w:jc w:val="both"/>
            </w:pPr>
            <w:r>
              <w:t>Sistēmas testi</w:t>
            </w:r>
          </w:p>
        </w:tc>
        <w:tc>
          <w:tcPr>
            <w:tcW w:w="1968" w:type="dxa"/>
            <w:vAlign w:val="center"/>
          </w:tcPr>
          <w:p w:rsidR="003F6F8F" w:rsidRPr="00FE62D8" w:rsidRDefault="00FE62D8" w:rsidP="00783A9F">
            <w:pPr>
              <w:jc w:val="center"/>
              <w:rPr>
                <w:b/>
              </w:rPr>
            </w:pPr>
            <w:r>
              <w:rPr>
                <w:b/>
              </w:rPr>
              <w:t>15 dienas</w:t>
            </w:r>
          </w:p>
        </w:tc>
        <w:tc>
          <w:tcPr>
            <w:tcW w:w="1968" w:type="dxa"/>
            <w:vAlign w:val="center"/>
          </w:tcPr>
          <w:p w:rsidR="003F6F8F" w:rsidRPr="00FE62D8" w:rsidRDefault="00FE62D8" w:rsidP="00783A9F">
            <w:pPr>
              <w:jc w:val="center"/>
              <w:rPr>
                <w:b/>
              </w:rPr>
            </w:pPr>
            <w:r>
              <w:rPr>
                <w:b/>
              </w:rPr>
              <w:t>30 dienas</w:t>
            </w:r>
          </w:p>
        </w:tc>
      </w:tr>
      <w:tr w:rsidR="003F6F8F" w:rsidRPr="003F6F8F" w:rsidTr="00783A9F">
        <w:trPr>
          <w:trHeight w:val="283"/>
        </w:trPr>
        <w:tc>
          <w:tcPr>
            <w:tcW w:w="817" w:type="dxa"/>
          </w:tcPr>
          <w:p w:rsidR="003F6F8F" w:rsidRPr="003F6F8F" w:rsidRDefault="003F6F8F" w:rsidP="003F6F8F">
            <w:pPr>
              <w:jc w:val="both"/>
            </w:pPr>
            <w:r>
              <w:t>5.3.</w:t>
            </w:r>
          </w:p>
        </w:tc>
        <w:tc>
          <w:tcPr>
            <w:tcW w:w="4536" w:type="dxa"/>
          </w:tcPr>
          <w:p w:rsidR="003F6F8F" w:rsidRPr="003F6F8F" w:rsidRDefault="00FE62D8" w:rsidP="003F6F8F">
            <w:pPr>
              <w:jc w:val="both"/>
            </w:pPr>
            <w:r>
              <w:t>Sistēmas atskaišu testi</w:t>
            </w:r>
          </w:p>
        </w:tc>
        <w:tc>
          <w:tcPr>
            <w:tcW w:w="1968" w:type="dxa"/>
            <w:vAlign w:val="center"/>
          </w:tcPr>
          <w:p w:rsidR="003F6F8F" w:rsidRPr="00FE62D8" w:rsidRDefault="00FE62D8" w:rsidP="00783A9F">
            <w:pPr>
              <w:jc w:val="center"/>
              <w:rPr>
                <w:b/>
              </w:rPr>
            </w:pPr>
            <w:r>
              <w:rPr>
                <w:b/>
              </w:rPr>
              <w:t>15 dienas</w:t>
            </w:r>
          </w:p>
        </w:tc>
        <w:tc>
          <w:tcPr>
            <w:tcW w:w="1968" w:type="dxa"/>
            <w:vAlign w:val="center"/>
          </w:tcPr>
          <w:p w:rsidR="003F6F8F" w:rsidRPr="00FE62D8" w:rsidRDefault="00FE62D8" w:rsidP="00783A9F">
            <w:pPr>
              <w:jc w:val="center"/>
              <w:rPr>
                <w:b/>
              </w:rPr>
            </w:pPr>
            <w:r>
              <w:rPr>
                <w:b/>
              </w:rPr>
              <w:t>30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FE62D8" w:rsidP="003F6F8F">
            <w:pPr>
              <w:jc w:val="both"/>
            </w:pPr>
            <w:r>
              <w:t>Sistēma gatava lietošanai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6.</w:t>
            </w:r>
          </w:p>
        </w:tc>
        <w:tc>
          <w:tcPr>
            <w:tcW w:w="4536" w:type="dxa"/>
            <w:shd w:val="clear" w:color="auto" w:fill="A6A6A6" w:themeFill="background1" w:themeFillShade="A6"/>
          </w:tcPr>
          <w:p w:rsidR="003F6F8F" w:rsidRPr="003F6F8F" w:rsidRDefault="00FE62D8" w:rsidP="003F6F8F">
            <w:pPr>
              <w:jc w:val="both"/>
            </w:pPr>
            <w:r>
              <w:t>Sistēmas dokumentācijas izstrāde</w:t>
            </w:r>
          </w:p>
        </w:tc>
        <w:tc>
          <w:tcPr>
            <w:tcW w:w="1968" w:type="dxa"/>
            <w:shd w:val="clear" w:color="auto" w:fill="A6A6A6" w:themeFill="background1" w:themeFillShade="A6"/>
            <w:vAlign w:val="center"/>
          </w:tcPr>
          <w:p w:rsidR="003F6F8F" w:rsidRPr="003F6F8F" w:rsidRDefault="00FE62D8" w:rsidP="00783A9F">
            <w:pPr>
              <w:jc w:val="center"/>
            </w:pPr>
            <w:r>
              <w:t>50 dienas</w:t>
            </w:r>
          </w:p>
        </w:tc>
        <w:tc>
          <w:tcPr>
            <w:tcW w:w="1968" w:type="dxa"/>
            <w:shd w:val="clear" w:color="auto" w:fill="A6A6A6" w:themeFill="background1" w:themeFillShade="A6"/>
            <w:vAlign w:val="center"/>
          </w:tcPr>
          <w:p w:rsidR="003F6F8F" w:rsidRPr="003F6F8F" w:rsidRDefault="00FE62D8" w:rsidP="00783A9F">
            <w:pPr>
              <w:jc w:val="center"/>
            </w:pPr>
            <w:r>
              <w:t>50 dienas</w:t>
            </w:r>
          </w:p>
        </w:tc>
      </w:tr>
      <w:tr w:rsidR="003F6F8F" w:rsidRPr="003F6F8F" w:rsidTr="00783A9F">
        <w:trPr>
          <w:trHeight w:val="283"/>
        </w:trPr>
        <w:tc>
          <w:tcPr>
            <w:tcW w:w="817" w:type="dxa"/>
          </w:tcPr>
          <w:p w:rsidR="003F6F8F" w:rsidRPr="003F6F8F" w:rsidRDefault="003F6F8F" w:rsidP="003F6F8F">
            <w:pPr>
              <w:jc w:val="both"/>
            </w:pPr>
            <w:r>
              <w:t>6.1.</w:t>
            </w:r>
          </w:p>
        </w:tc>
        <w:tc>
          <w:tcPr>
            <w:tcW w:w="4536" w:type="dxa"/>
          </w:tcPr>
          <w:p w:rsidR="003F6F8F" w:rsidRPr="003F6F8F" w:rsidRDefault="00FE62D8" w:rsidP="001E0381">
            <w:pPr>
              <w:jc w:val="both"/>
            </w:pPr>
            <w:r>
              <w:t>Datu bāzes apraksta izstrāde/atjaunināšana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6.2.</w:t>
            </w:r>
          </w:p>
        </w:tc>
        <w:tc>
          <w:tcPr>
            <w:tcW w:w="4536" w:type="dxa"/>
          </w:tcPr>
          <w:p w:rsidR="003F6F8F" w:rsidRPr="003F6F8F" w:rsidRDefault="00FE62D8" w:rsidP="001E0381">
            <w:pPr>
              <w:jc w:val="both"/>
            </w:pPr>
            <w:r>
              <w:t>Sistēmas uzbūves apraksta izstrāde/atjaunināšana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6.3.</w:t>
            </w:r>
          </w:p>
        </w:tc>
        <w:tc>
          <w:tcPr>
            <w:tcW w:w="4536" w:type="dxa"/>
          </w:tcPr>
          <w:p w:rsidR="003F6F8F" w:rsidRPr="003F6F8F" w:rsidRDefault="00FE62D8" w:rsidP="001E0381">
            <w:pPr>
              <w:jc w:val="both"/>
            </w:pPr>
            <w:r>
              <w:t>Administratora rokas grāmata izstrāde/ 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6.4.</w:t>
            </w:r>
          </w:p>
        </w:tc>
        <w:tc>
          <w:tcPr>
            <w:tcW w:w="4536" w:type="dxa"/>
          </w:tcPr>
          <w:p w:rsidR="003F6F8F" w:rsidRPr="003F6F8F" w:rsidRDefault="00FE62D8" w:rsidP="003F6F8F">
            <w:pPr>
              <w:jc w:val="both"/>
            </w:pPr>
            <w:r>
              <w:t>Lietotāja rokas grāmatas izstrāde / 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Default="003F6F8F" w:rsidP="003F6F8F">
            <w:pPr>
              <w:jc w:val="both"/>
            </w:pPr>
            <w:r>
              <w:t>6.5.</w:t>
            </w:r>
          </w:p>
        </w:tc>
        <w:tc>
          <w:tcPr>
            <w:tcW w:w="4536" w:type="dxa"/>
          </w:tcPr>
          <w:p w:rsidR="003F6F8F" w:rsidRPr="003F6F8F" w:rsidRDefault="00FE62D8" w:rsidP="003F6F8F">
            <w:pPr>
              <w:jc w:val="both"/>
            </w:pPr>
            <w:r>
              <w:t>Instalēšanas rokas grāmatas izstrāde/ 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Default="003F6F8F" w:rsidP="003F6F8F">
            <w:pPr>
              <w:jc w:val="both"/>
            </w:pPr>
          </w:p>
        </w:tc>
        <w:tc>
          <w:tcPr>
            <w:tcW w:w="4536" w:type="dxa"/>
          </w:tcPr>
          <w:p w:rsidR="003F6F8F" w:rsidRPr="003F6F8F" w:rsidRDefault="00FE62D8" w:rsidP="003F6F8F">
            <w:pPr>
              <w:jc w:val="both"/>
            </w:pPr>
            <w:r>
              <w:t>Sistēmas dokumentācijas izstrāde/ atjaunināšana pabeigta</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Default="003F6F8F" w:rsidP="003F6F8F">
            <w:pPr>
              <w:jc w:val="both"/>
            </w:pPr>
            <w:r>
              <w:t>7.</w:t>
            </w:r>
          </w:p>
        </w:tc>
        <w:tc>
          <w:tcPr>
            <w:tcW w:w="4536" w:type="dxa"/>
            <w:shd w:val="clear" w:color="auto" w:fill="A6A6A6" w:themeFill="background1" w:themeFillShade="A6"/>
          </w:tcPr>
          <w:p w:rsidR="003F6F8F" w:rsidRPr="003F6F8F" w:rsidRDefault="00FE62D8" w:rsidP="003F6F8F">
            <w:pPr>
              <w:jc w:val="both"/>
            </w:pPr>
            <w:r>
              <w:t>Darbinieku apmācības</w:t>
            </w:r>
          </w:p>
        </w:tc>
        <w:tc>
          <w:tcPr>
            <w:tcW w:w="1968" w:type="dxa"/>
            <w:shd w:val="clear" w:color="auto" w:fill="A6A6A6" w:themeFill="background1" w:themeFillShade="A6"/>
            <w:vAlign w:val="center"/>
          </w:tcPr>
          <w:p w:rsidR="003F6F8F" w:rsidRPr="003F6F8F" w:rsidRDefault="00FE62D8" w:rsidP="00783A9F">
            <w:pPr>
              <w:jc w:val="center"/>
            </w:pPr>
            <w:r>
              <w:t>44 dienas</w:t>
            </w:r>
          </w:p>
        </w:tc>
        <w:tc>
          <w:tcPr>
            <w:tcW w:w="1968" w:type="dxa"/>
            <w:shd w:val="clear" w:color="auto" w:fill="A6A6A6" w:themeFill="background1" w:themeFillShade="A6"/>
            <w:vAlign w:val="center"/>
          </w:tcPr>
          <w:p w:rsidR="003F6F8F" w:rsidRPr="003F6F8F" w:rsidRDefault="00FE62D8" w:rsidP="00783A9F">
            <w:pPr>
              <w:jc w:val="center"/>
            </w:pPr>
            <w:r>
              <w:t>44 dienas</w:t>
            </w:r>
          </w:p>
        </w:tc>
      </w:tr>
      <w:tr w:rsidR="003F6F8F" w:rsidRPr="003F6F8F" w:rsidTr="00783A9F">
        <w:trPr>
          <w:trHeight w:val="283"/>
        </w:trPr>
        <w:tc>
          <w:tcPr>
            <w:tcW w:w="817" w:type="dxa"/>
          </w:tcPr>
          <w:p w:rsidR="003F6F8F" w:rsidRDefault="003F6F8F" w:rsidP="003F6F8F">
            <w:pPr>
              <w:jc w:val="both"/>
            </w:pPr>
            <w:r>
              <w:t>7.1.</w:t>
            </w:r>
          </w:p>
        </w:tc>
        <w:tc>
          <w:tcPr>
            <w:tcW w:w="4536" w:type="dxa"/>
          </w:tcPr>
          <w:p w:rsidR="003F6F8F" w:rsidRPr="00FE62D8" w:rsidRDefault="00FE62D8" w:rsidP="003F6F8F">
            <w:pPr>
              <w:jc w:val="both"/>
            </w:pPr>
            <w:r>
              <w:rPr>
                <w:i/>
              </w:rPr>
              <w:t>Back Office</w:t>
            </w:r>
            <w:r>
              <w:t xml:space="preserve"> apmācības</w:t>
            </w:r>
          </w:p>
        </w:tc>
        <w:tc>
          <w:tcPr>
            <w:tcW w:w="1968" w:type="dxa"/>
            <w:vAlign w:val="center"/>
          </w:tcPr>
          <w:p w:rsidR="003F6F8F" w:rsidRPr="003F6F8F" w:rsidRDefault="00FE62D8" w:rsidP="00783A9F">
            <w:pPr>
              <w:jc w:val="center"/>
            </w:pPr>
            <w:r>
              <w:t>24 dienas</w:t>
            </w:r>
          </w:p>
        </w:tc>
        <w:tc>
          <w:tcPr>
            <w:tcW w:w="1968" w:type="dxa"/>
            <w:vAlign w:val="center"/>
          </w:tcPr>
          <w:p w:rsidR="003F6F8F" w:rsidRPr="003F6F8F" w:rsidRDefault="00FE62D8" w:rsidP="00783A9F">
            <w:pPr>
              <w:jc w:val="center"/>
            </w:pPr>
            <w:r>
              <w:t>24 dienas</w:t>
            </w:r>
          </w:p>
        </w:tc>
      </w:tr>
      <w:tr w:rsidR="003F6F8F" w:rsidRPr="003F6F8F" w:rsidTr="00783A9F">
        <w:trPr>
          <w:trHeight w:val="283"/>
        </w:trPr>
        <w:tc>
          <w:tcPr>
            <w:tcW w:w="817" w:type="dxa"/>
          </w:tcPr>
          <w:p w:rsidR="003F6F8F" w:rsidRDefault="003F6F8F" w:rsidP="003F6F8F">
            <w:pPr>
              <w:jc w:val="both"/>
            </w:pPr>
            <w:r>
              <w:t>7.1.1.</w:t>
            </w:r>
          </w:p>
        </w:tc>
        <w:tc>
          <w:tcPr>
            <w:tcW w:w="4536" w:type="dxa"/>
          </w:tcPr>
          <w:p w:rsidR="003F6F8F" w:rsidRPr="003F6F8F" w:rsidRDefault="005D3978" w:rsidP="003F6F8F">
            <w:pPr>
              <w:jc w:val="both"/>
            </w:pPr>
            <w:r>
              <w:t>Biznesa procesi</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7.1.2.</w:t>
            </w:r>
          </w:p>
        </w:tc>
        <w:tc>
          <w:tcPr>
            <w:tcW w:w="4536" w:type="dxa"/>
          </w:tcPr>
          <w:p w:rsidR="003F6F8F" w:rsidRPr="003F6F8F" w:rsidRDefault="005D3978" w:rsidP="003F6F8F">
            <w:pPr>
              <w:jc w:val="both"/>
            </w:pPr>
            <w:r>
              <w:t>Apmācības darbam ar Krājbankas jauno sistēmu</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7.1.3.</w:t>
            </w:r>
          </w:p>
        </w:tc>
        <w:tc>
          <w:tcPr>
            <w:tcW w:w="4536" w:type="dxa"/>
          </w:tcPr>
          <w:p w:rsidR="003F6F8F" w:rsidRPr="003F6F8F" w:rsidRDefault="005D3978" w:rsidP="003F6F8F">
            <w:pPr>
              <w:jc w:val="both"/>
            </w:pPr>
            <w:r>
              <w:t>Apmācības darbam ar Krājbankas veco sistēmu (DBF faili)</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7.1.4.</w:t>
            </w:r>
          </w:p>
        </w:tc>
        <w:tc>
          <w:tcPr>
            <w:tcW w:w="4536" w:type="dxa"/>
          </w:tcPr>
          <w:p w:rsidR="003F6F8F" w:rsidRPr="003F6F8F" w:rsidRDefault="005D3978" w:rsidP="003F6F8F">
            <w:pPr>
              <w:jc w:val="both"/>
            </w:pPr>
            <w:r>
              <w:t>Apmācības darbam ar Hipotēku bankas veco sistēmu (DBF faili)</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7.1.5.</w:t>
            </w:r>
          </w:p>
        </w:tc>
        <w:tc>
          <w:tcPr>
            <w:tcW w:w="4536" w:type="dxa"/>
          </w:tcPr>
          <w:p w:rsidR="003F6F8F" w:rsidRPr="005D3978" w:rsidRDefault="005D3978" w:rsidP="003F6F8F">
            <w:pPr>
              <w:jc w:val="both"/>
            </w:pPr>
            <w:r>
              <w:t xml:space="preserve">Apmācības darbam ar </w:t>
            </w:r>
            <w:r>
              <w:rPr>
                <w:i/>
              </w:rPr>
              <w:t>Actuate</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7.1.6.</w:t>
            </w:r>
          </w:p>
        </w:tc>
        <w:tc>
          <w:tcPr>
            <w:tcW w:w="4536" w:type="dxa"/>
          </w:tcPr>
          <w:p w:rsidR="003F6F8F" w:rsidRPr="003F6F8F" w:rsidRDefault="005D3978" w:rsidP="003F6F8F">
            <w:pPr>
              <w:jc w:val="both"/>
            </w:pPr>
            <w:r>
              <w:t>Sistēmas administratoru apmācības</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7.2.</w:t>
            </w:r>
          </w:p>
        </w:tc>
        <w:tc>
          <w:tcPr>
            <w:tcW w:w="4536" w:type="dxa"/>
          </w:tcPr>
          <w:p w:rsidR="003F6F8F" w:rsidRPr="003F6F8F" w:rsidRDefault="005D3978" w:rsidP="003F6F8F">
            <w:pPr>
              <w:jc w:val="both"/>
            </w:pPr>
            <w:r>
              <w:t>Front Office apmācības</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r>
              <w:t>7.2.1.</w:t>
            </w:r>
          </w:p>
        </w:tc>
        <w:tc>
          <w:tcPr>
            <w:tcW w:w="4536" w:type="dxa"/>
          </w:tcPr>
          <w:p w:rsidR="003F6F8F" w:rsidRPr="003F6F8F" w:rsidRDefault="005D3978" w:rsidP="003F6F8F">
            <w:pPr>
              <w:jc w:val="both"/>
            </w:pPr>
            <w:r>
              <w:t>Biznesa procesi</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r>
              <w:t>7.2.2.</w:t>
            </w:r>
          </w:p>
        </w:tc>
        <w:tc>
          <w:tcPr>
            <w:tcW w:w="4536" w:type="dxa"/>
          </w:tcPr>
          <w:p w:rsidR="003F6F8F" w:rsidRPr="003F6F8F" w:rsidRDefault="005D3978" w:rsidP="003F6F8F">
            <w:pPr>
              <w:jc w:val="both"/>
            </w:pPr>
            <w:r>
              <w:t>Apmācības darbam ar Krājbankas jauno sistēmu</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r>
              <w:t>7.2.3.</w:t>
            </w:r>
          </w:p>
        </w:tc>
        <w:tc>
          <w:tcPr>
            <w:tcW w:w="4536" w:type="dxa"/>
          </w:tcPr>
          <w:p w:rsidR="003F6F8F" w:rsidRPr="005D3978" w:rsidRDefault="005D3978" w:rsidP="003F6F8F">
            <w:pPr>
              <w:jc w:val="both"/>
            </w:pPr>
            <w:r>
              <w:t xml:space="preserve">Apmācības darbam ar </w:t>
            </w:r>
            <w:r>
              <w:rPr>
                <w:i/>
              </w:rPr>
              <w:t>Actuate</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p>
        </w:tc>
        <w:tc>
          <w:tcPr>
            <w:tcW w:w="4536" w:type="dxa"/>
          </w:tcPr>
          <w:p w:rsidR="003F6F8F" w:rsidRPr="003F6F8F" w:rsidRDefault="005D3978" w:rsidP="003F6F8F">
            <w:pPr>
              <w:jc w:val="both"/>
            </w:pPr>
            <w:r>
              <w:t>Darbinieki apmācīti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Default="003F6F8F" w:rsidP="003F6F8F">
            <w:pPr>
              <w:jc w:val="both"/>
            </w:pPr>
            <w:r>
              <w:lastRenderedPageBreak/>
              <w:t>8.</w:t>
            </w:r>
          </w:p>
        </w:tc>
        <w:tc>
          <w:tcPr>
            <w:tcW w:w="4536" w:type="dxa"/>
            <w:shd w:val="clear" w:color="auto" w:fill="A6A6A6" w:themeFill="background1" w:themeFillShade="A6"/>
          </w:tcPr>
          <w:p w:rsidR="003F6F8F" w:rsidRPr="003F6F8F" w:rsidRDefault="005D3978" w:rsidP="003F6F8F">
            <w:pPr>
              <w:jc w:val="both"/>
            </w:pPr>
            <w:r>
              <w:t>Datu nodošana / migrēšana</w:t>
            </w:r>
          </w:p>
        </w:tc>
        <w:tc>
          <w:tcPr>
            <w:tcW w:w="1968" w:type="dxa"/>
            <w:shd w:val="clear" w:color="auto" w:fill="A6A6A6" w:themeFill="background1" w:themeFillShade="A6"/>
            <w:vAlign w:val="center"/>
          </w:tcPr>
          <w:p w:rsidR="003F6F8F" w:rsidRPr="003F6F8F" w:rsidRDefault="005D3978" w:rsidP="00783A9F">
            <w:pPr>
              <w:jc w:val="center"/>
            </w:pPr>
            <w:r>
              <w:t>23 dienas</w:t>
            </w:r>
          </w:p>
        </w:tc>
        <w:tc>
          <w:tcPr>
            <w:tcW w:w="1968" w:type="dxa"/>
            <w:shd w:val="clear" w:color="auto" w:fill="A6A6A6" w:themeFill="background1" w:themeFillShade="A6"/>
            <w:vAlign w:val="center"/>
          </w:tcPr>
          <w:p w:rsidR="003F6F8F" w:rsidRPr="003F6F8F" w:rsidRDefault="005D3978" w:rsidP="00783A9F">
            <w:pPr>
              <w:jc w:val="center"/>
            </w:pPr>
            <w:r>
              <w:t>70 dienas</w:t>
            </w:r>
          </w:p>
        </w:tc>
      </w:tr>
      <w:tr w:rsidR="003F6F8F" w:rsidRPr="003F6F8F" w:rsidTr="00783A9F">
        <w:trPr>
          <w:trHeight w:val="283"/>
        </w:trPr>
        <w:tc>
          <w:tcPr>
            <w:tcW w:w="817" w:type="dxa"/>
          </w:tcPr>
          <w:p w:rsidR="003F6F8F" w:rsidRDefault="003F6F8F" w:rsidP="003F6F8F">
            <w:pPr>
              <w:jc w:val="both"/>
            </w:pPr>
            <w:r>
              <w:t>8.1.</w:t>
            </w:r>
          </w:p>
        </w:tc>
        <w:tc>
          <w:tcPr>
            <w:tcW w:w="4536" w:type="dxa"/>
          </w:tcPr>
          <w:p w:rsidR="003F6F8F" w:rsidRPr="003F6F8F" w:rsidRDefault="005D3978" w:rsidP="003F6F8F">
            <w:pPr>
              <w:jc w:val="both"/>
            </w:pPr>
            <w:r>
              <w:t>Krājbankas datu eksports</w:t>
            </w:r>
          </w:p>
        </w:tc>
        <w:tc>
          <w:tcPr>
            <w:tcW w:w="1968" w:type="dxa"/>
            <w:vAlign w:val="center"/>
          </w:tcPr>
          <w:p w:rsidR="003F6F8F" w:rsidRPr="003F6F8F" w:rsidRDefault="005D3978" w:rsidP="00783A9F">
            <w:pPr>
              <w:jc w:val="center"/>
            </w:pPr>
            <w:r>
              <w:t>11 dienas</w:t>
            </w:r>
          </w:p>
        </w:tc>
        <w:tc>
          <w:tcPr>
            <w:tcW w:w="1968" w:type="dxa"/>
            <w:vAlign w:val="center"/>
          </w:tcPr>
          <w:p w:rsidR="003F6F8F" w:rsidRPr="003F6F8F" w:rsidRDefault="005D3978" w:rsidP="00783A9F">
            <w:pPr>
              <w:jc w:val="center"/>
            </w:pPr>
            <w:r>
              <w:t>16 dienas</w:t>
            </w:r>
          </w:p>
        </w:tc>
      </w:tr>
      <w:tr w:rsidR="003F6F8F" w:rsidRPr="003F6F8F" w:rsidTr="00783A9F">
        <w:trPr>
          <w:trHeight w:val="283"/>
        </w:trPr>
        <w:tc>
          <w:tcPr>
            <w:tcW w:w="817" w:type="dxa"/>
          </w:tcPr>
          <w:p w:rsidR="003F6F8F" w:rsidRDefault="003F6F8F" w:rsidP="003F6F8F">
            <w:pPr>
              <w:jc w:val="both"/>
            </w:pPr>
            <w:r>
              <w:t>8.1.1.</w:t>
            </w:r>
          </w:p>
        </w:tc>
        <w:tc>
          <w:tcPr>
            <w:tcW w:w="4536" w:type="dxa"/>
          </w:tcPr>
          <w:p w:rsidR="003F6F8F" w:rsidRPr="003F6F8F" w:rsidRDefault="005D3978" w:rsidP="003F6F8F">
            <w:pPr>
              <w:jc w:val="both"/>
            </w:pPr>
            <w:r>
              <w:t>Migrējamo datu tipa (veida) noteikšana</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5 dienas</w:t>
            </w:r>
          </w:p>
        </w:tc>
      </w:tr>
      <w:tr w:rsidR="003F6F8F" w:rsidRPr="003F6F8F" w:rsidTr="00783A9F">
        <w:trPr>
          <w:trHeight w:val="283"/>
        </w:trPr>
        <w:tc>
          <w:tcPr>
            <w:tcW w:w="817" w:type="dxa"/>
          </w:tcPr>
          <w:p w:rsidR="003F6F8F" w:rsidRDefault="003F6F8F" w:rsidP="003F6F8F">
            <w:pPr>
              <w:jc w:val="both"/>
            </w:pPr>
            <w:r>
              <w:t>8.1.2.</w:t>
            </w:r>
          </w:p>
        </w:tc>
        <w:tc>
          <w:tcPr>
            <w:tcW w:w="4536" w:type="dxa"/>
          </w:tcPr>
          <w:p w:rsidR="003F6F8F" w:rsidRPr="003F6F8F" w:rsidRDefault="005D3978" w:rsidP="003F6F8F">
            <w:pPr>
              <w:jc w:val="both"/>
            </w:pPr>
            <w:r>
              <w:t>Datu sagatavošana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5 dienas</w:t>
            </w:r>
          </w:p>
        </w:tc>
      </w:tr>
      <w:tr w:rsidR="003F6F8F" w:rsidRPr="003F6F8F" w:rsidTr="00783A9F">
        <w:trPr>
          <w:trHeight w:val="283"/>
        </w:trPr>
        <w:tc>
          <w:tcPr>
            <w:tcW w:w="817" w:type="dxa"/>
          </w:tcPr>
          <w:p w:rsidR="003F6F8F" w:rsidRDefault="003F6F8F" w:rsidP="003F6F8F">
            <w:pPr>
              <w:jc w:val="both"/>
            </w:pPr>
            <w:r>
              <w:t>8.1.3.</w:t>
            </w:r>
          </w:p>
        </w:tc>
        <w:tc>
          <w:tcPr>
            <w:tcW w:w="4536" w:type="dxa"/>
          </w:tcPr>
          <w:p w:rsidR="003F6F8F" w:rsidRPr="003F6F8F" w:rsidRDefault="005D3978" w:rsidP="003F6F8F">
            <w:pPr>
              <w:jc w:val="both"/>
            </w:pPr>
            <w:r>
              <w:t>Datu kontrolsummas sagatavošana</w:t>
            </w:r>
          </w:p>
        </w:tc>
        <w:tc>
          <w:tcPr>
            <w:tcW w:w="1968" w:type="dxa"/>
            <w:vAlign w:val="center"/>
          </w:tcPr>
          <w:p w:rsidR="003F6F8F" w:rsidRPr="001E0381" w:rsidRDefault="005D3978" w:rsidP="005D3978">
            <w:pPr>
              <w:jc w:val="center"/>
              <w:rPr>
                <w:b/>
              </w:rPr>
            </w:pPr>
            <w:r w:rsidRPr="001E0381">
              <w:rPr>
                <w:b/>
              </w:rPr>
              <w:t>1 diena</w:t>
            </w:r>
          </w:p>
        </w:tc>
        <w:tc>
          <w:tcPr>
            <w:tcW w:w="1968" w:type="dxa"/>
            <w:vAlign w:val="center"/>
          </w:tcPr>
          <w:p w:rsidR="003F6F8F" w:rsidRPr="001E0381" w:rsidRDefault="005D3978" w:rsidP="005D3978">
            <w:pPr>
              <w:jc w:val="center"/>
              <w:rPr>
                <w:b/>
              </w:rPr>
            </w:pPr>
            <w:r w:rsidRPr="001E0381">
              <w:rPr>
                <w:b/>
              </w:rPr>
              <w:t>1 diena</w:t>
            </w:r>
          </w:p>
        </w:tc>
      </w:tr>
      <w:tr w:rsidR="003F6F8F" w:rsidRPr="003F6F8F" w:rsidTr="00783A9F">
        <w:trPr>
          <w:trHeight w:val="283"/>
        </w:trPr>
        <w:tc>
          <w:tcPr>
            <w:tcW w:w="817" w:type="dxa"/>
          </w:tcPr>
          <w:p w:rsidR="003F6F8F" w:rsidRDefault="003F6F8F" w:rsidP="003F6F8F">
            <w:pPr>
              <w:jc w:val="both"/>
            </w:pPr>
            <w:r>
              <w:t>8.1.4.</w:t>
            </w:r>
          </w:p>
        </w:tc>
        <w:tc>
          <w:tcPr>
            <w:tcW w:w="4536" w:type="dxa"/>
          </w:tcPr>
          <w:p w:rsidR="003F6F8F" w:rsidRPr="003F6F8F" w:rsidRDefault="005D3978" w:rsidP="003F6F8F">
            <w:pPr>
              <w:jc w:val="both"/>
            </w:pPr>
            <w:r>
              <w:t>Krājbankas atskaišu sagatavošana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5 dienas</w:t>
            </w:r>
          </w:p>
        </w:tc>
      </w:tr>
      <w:tr w:rsidR="003F6F8F" w:rsidRPr="003F6F8F" w:rsidTr="00783A9F">
        <w:trPr>
          <w:trHeight w:val="283"/>
        </w:trPr>
        <w:tc>
          <w:tcPr>
            <w:tcW w:w="817" w:type="dxa"/>
          </w:tcPr>
          <w:p w:rsidR="003F6F8F" w:rsidRDefault="003F6F8F" w:rsidP="003F6F8F">
            <w:pPr>
              <w:jc w:val="both"/>
            </w:pPr>
            <w:r>
              <w:t>8.2.</w:t>
            </w:r>
          </w:p>
        </w:tc>
        <w:tc>
          <w:tcPr>
            <w:tcW w:w="4536" w:type="dxa"/>
          </w:tcPr>
          <w:p w:rsidR="003F6F8F" w:rsidRPr="003F6F8F" w:rsidRDefault="005D3978" w:rsidP="003F6F8F">
            <w:pPr>
              <w:jc w:val="both"/>
            </w:pPr>
            <w:r>
              <w:t>Krājbankas datu imports</w:t>
            </w:r>
          </w:p>
        </w:tc>
        <w:tc>
          <w:tcPr>
            <w:tcW w:w="1968" w:type="dxa"/>
            <w:vAlign w:val="center"/>
          </w:tcPr>
          <w:p w:rsidR="003F6F8F" w:rsidRPr="003F6F8F" w:rsidRDefault="005D3978" w:rsidP="00783A9F">
            <w:pPr>
              <w:jc w:val="center"/>
            </w:pPr>
            <w:r>
              <w:t>1 diena</w:t>
            </w:r>
          </w:p>
        </w:tc>
        <w:tc>
          <w:tcPr>
            <w:tcW w:w="1968" w:type="dxa"/>
            <w:vAlign w:val="center"/>
          </w:tcPr>
          <w:p w:rsidR="003F6F8F" w:rsidRPr="003F6F8F" w:rsidRDefault="005D3978" w:rsidP="00783A9F">
            <w:pPr>
              <w:jc w:val="center"/>
            </w:pPr>
            <w:r>
              <w:t>21 diena</w:t>
            </w:r>
          </w:p>
        </w:tc>
      </w:tr>
      <w:tr w:rsidR="003F6F8F" w:rsidRPr="003F6F8F" w:rsidTr="00783A9F">
        <w:trPr>
          <w:trHeight w:val="283"/>
        </w:trPr>
        <w:tc>
          <w:tcPr>
            <w:tcW w:w="817" w:type="dxa"/>
          </w:tcPr>
          <w:p w:rsidR="003F6F8F" w:rsidRDefault="003F6F8F" w:rsidP="003F6F8F">
            <w:pPr>
              <w:jc w:val="both"/>
            </w:pPr>
            <w:r>
              <w:t>8.2.1.</w:t>
            </w:r>
          </w:p>
        </w:tc>
        <w:tc>
          <w:tcPr>
            <w:tcW w:w="4536" w:type="dxa"/>
          </w:tcPr>
          <w:p w:rsidR="003F6F8F" w:rsidRPr="003F6F8F" w:rsidRDefault="005D3978" w:rsidP="003F6F8F">
            <w:pPr>
              <w:jc w:val="both"/>
            </w:pPr>
            <w:r>
              <w:t>Datu kontrolsummas pārbaude</w:t>
            </w:r>
          </w:p>
        </w:tc>
        <w:tc>
          <w:tcPr>
            <w:tcW w:w="1968" w:type="dxa"/>
            <w:vAlign w:val="center"/>
          </w:tcPr>
          <w:p w:rsidR="003F6F8F" w:rsidRPr="001E0381" w:rsidRDefault="005D3978" w:rsidP="00783A9F">
            <w:pPr>
              <w:jc w:val="center"/>
              <w:rPr>
                <w:b/>
              </w:rPr>
            </w:pPr>
            <w:r w:rsidRPr="001E0381">
              <w:rPr>
                <w:b/>
              </w:rPr>
              <w:t>1 diena</w:t>
            </w:r>
          </w:p>
        </w:tc>
        <w:tc>
          <w:tcPr>
            <w:tcW w:w="1968" w:type="dxa"/>
            <w:vAlign w:val="center"/>
          </w:tcPr>
          <w:p w:rsidR="003F6F8F" w:rsidRPr="001E0381" w:rsidRDefault="005D3978" w:rsidP="00783A9F">
            <w:pPr>
              <w:jc w:val="center"/>
              <w:rPr>
                <w:b/>
              </w:rPr>
            </w:pPr>
            <w:r w:rsidRPr="001E0381">
              <w:rPr>
                <w:b/>
              </w:rPr>
              <w:t>1 diena</w:t>
            </w:r>
          </w:p>
        </w:tc>
      </w:tr>
      <w:tr w:rsidR="003F6F8F" w:rsidRPr="003F6F8F" w:rsidTr="00783A9F">
        <w:trPr>
          <w:trHeight w:val="283"/>
        </w:trPr>
        <w:tc>
          <w:tcPr>
            <w:tcW w:w="817" w:type="dxa"/>
          </w:tcPr>
          <w:p w:rsidR="003F6F8F" w:rsidRDefault="003F6F8F" w:rsidP="003F6F8F">
            <w:pPr>
              <w:jc w:val="both"/>
            </w:pPr>
            <w:r>
              <w:t>8.2.2.</w:t>
            </w:r>
          </w:p>
        </w:tc>
        <w:tc>
          <w:tcPr>
            <w:tcW w:w="4536" w:type="dxa"/>
          </w:tcPr>
          <w:p w:rsidR="003F6F8F" w:rsidRPr="003F6F8F" w:rsidRDefault="005D3978" w:rsidP="003F6F8F">
            <w:pPr>
              <w:jc w:val="both"/>
            </w:pPr>
            <w:r>
              <w:t>Datu formāta pārveide</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3F6F8F" w:rsidP="003F6F8F">
            <w:pPr>
              <w:jc w:val="both"/>
            </w:pPr>
            <w:r>
              <w:t>8.2.3.</w:t>
            </w:r>
          </w:p>
        </w:tc>
        <w:tc>
          <w:tcPr>
            <w:tcW w:w="4536" w:type="dxa"/>
          </w:tcPr>
          <w:p w:rsidR="003F6F8F" w:rsidRPr="003F6F8F" w:rsidRDefault="005D3978" w:rsidP="003F6F8F">
            <w:pPr>
              <w:jc w:val="both"/>
            </w:pPr>
            <w:r>
              <w:t>Datu ielāde</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783A9F" w:rsidP="003F6F8F">
            <w:pPr>
              <w:jc w:val="both"/>
            </w:pPr>
            <w:r>
              <w:t>8.3.</w:t>
            </w:r>
          </w:p>
        </w:tc>
        <w:tc>
          <w:tcPr>
            <w:tcW w:w="4536" w:type="dxa"/>
          </w:tcPr>
          <w:p w:rsidR="003F6F8F" w:rsidRPr="003F6F8F" w:rsidRDefault="005D3978" w:rsidP="003F6F8F">
            <w:pPr>
              <w:jc w:val="both"/>
            </w:pPr>
            <w:r>
              <w:t>Pārbaude</w:t>
            </w:r>
          </w:p>
        </w:tc>
        <w:tc>
          <w:tcPr>
            <w:tcW w:w="1968" w:type="dxa"/>
            <w:vAlign w:val="center"/>
          </w:tcPr>
          <w:p w:rsidR="003F6F8F" w:rsidRPr="003F6F8F" w:rsidRDefault="005D3978" w:rsidP="00783A9F">
            <w:pPr>
              <w:jc w:val="center"/>
            </w:pPr>
            <w:r>
              <w:t>10 dienas</w:t>
            </w:r>
          </w:p>
        </w:tc>
        <w:tc>
          <w:tcPr>
            <w:tcW w:w="1968" w:type="dxa"/>
            <w:vAlign w:val="center"/>
          </w:tcPr>
          <w:p w:rsidR="003F6F8F" w:rsidRPr="003F6F8F" w:rsidRDefault="005D3978" w:rsidP="00783A9F">
            <w:pPr>
              <w:jc w:val="center"/>
            </w:pPr>
            <w:r>
              <w:t>30 dienas</w:t>
            </w:r>
          </w:p>
        </w:tc>
      </w:tr>
      <w:tr w:rsidR="003F6F8F" w:rsidRPr="003F6F8F" w:rsidTr="00783A9F">
        <w:trPr>
          <w:trHeight w:val="283"/>
        </w:trPr>
        <w:tc>
          <w:tcPr>
            <w:tcW w:w="817" w:type="dxa"/>
          </w:tcPr>
          <w:p w:rsidR="003F6F8F" w:rsidRDefault="00783A9F" w:rsidP="003F6F8F">
            <w:pPr>
              <w:jc w:val="both"/>
            </w:pPr>
            <w:r>
              <w:t>8.3.1.</w:t>
            </w:r>
          </w:p>
        </w:tc>
        <w:tc>
          <w:tcPr>
            <w:tcW w:w="4536" w:type="dxa"/>
          </w:tcPr>
          <w:p w:rsidR="003F6F8F" w:rsidRPr="003F6F8F" w:rsidRDefault="005D3978" w:rsidP="003F6F8F">
            <w:pPr>
              <w:jc w:val="both"/>
            </w:pPr>
            <w:r>
              <w:t>Datu pārbaude (atskaišu salīdzināšana)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783A9F" w:rsidP="003F6F8F">
            <w:pPr>
              <w:jc w:val="both"/>
            </w:pPr>
            <w:r>
              <w:t>8.3.2.</w:t>
            </w:r>
          </w:p>
        </w:tc>
        <w:tc>
          <w:tcPr>
            <w:tcW w:w="4536" w:type="dxa"/>
          </w:tcPr>
          <w:p w:rsidR="003F6F8F" w:rsidRPr="003F6F8F" w:rsidRDefault="005D3978" w:rsidP="003F6F8F">
            <w:pPr>
              <w:jc w:val="both"/>
            </w:pPr>
            <w:r>
              <w:t>Kļūdu konstatēšana</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783A9F" w:rsidP="003F6F8F">
            <w:pPr>
              <w:jc w:val="both"/>
            </w:pPr>
            <w:r>
              <w:t>8.3.3.</w:t>
            </w:r>
          </w:p>
        </w:tc>
        <w:tc>
          <w:tcPr>
            <w:tcW w:w="4536" w:type="dxa"/>
          </w:tcPr>
          <w:p w:rsidR="003F6F8F" w:rsidRPr="003F6F8F" w:rsidRDefault="005D3978" w:rsidP="003F6F8F">
            <w:pPr>
              <w:jc w:val="both"/>
            </w:pPr>
            <w:r>
              <w:t>Kļūdu labošana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5D3978" w:rsidP="003F6F8F">
            <w:pPr>
              <w:jc w:val="both"/>
            </w:pPr>
            <w:r>
              <w:t>8.4.</w:t>
            </w:r>
          </w:p>
        </w:tc>
        <w:tc>
          <w:tcPr>
            <w:tcW w:w="4536" w:type="dxa"/>
          </w:tcPr>
          <w:p w:rsidR="003F6F8F" w:rsidRPr="003F6F8F" w:rsidRDefault="005D3978" w:rsidP="003F6F8F">
            <w:pPr>
              <w:jc w:val="both"/>
            </w:pPr>
            <w:r>
              <w:t>Krājbankas dati sagatavoti produkcijai</w:t>
            </w:r>
          </w:p>
        </w:tc>
        <w:tc>
          <w:tcPr>
            <w:tcW w:w="1968" w:type="dxa"/>
            <w:vAlign w:val="center"/>
          </w:tcPr>
          <w:p w:rsidR="003F6F8F" w:rsidRPr="001E0381" w:rsidRDefault="005D3978" w:rsidP="00783A9F">
            <w:pPr>
              <w:jc w:val="center"/>
              <w:rPr>
                <w:b/>
              </w:rPr>
            </w:pPr>
            <w:r w:rsidRPr="001E0381">
              <w:rPr>
                <w:b/>
              </w:rPr>
              <w:t>1 diena</w:t>
            </w:r>
          </w:p>
        </w:tc>
        <w:tc>
          <w:tcPr>
            <w:tcW w:w="1968" w:type="dxa"/>
            <w:vAlign w:val="center"/>
          </w:tcPr>
          <w:p w:rsidR="003F6F8F" w:rsidRPr="001E0381" w:rsidRDefault="005D3978" w:rsidP="00783A9F">
            <w:pPr>
              <w:jc w:val="center"/>
              <w:rPr>
                <w:b/>
              </w:rPr>
            </w:pPr>
            <w:r w:rsidRPr="001E0381">
              <w:rPr>
                <w:b/>
              </w:rPr>
              <w:t>1 diena</w:t>
            </w:r>
          </w:p>
        </w:tc>
      </w:tr>
      <w:tr w:rsidR="003F6F8F" w:rsidRPr="003F6F8F" w:rsidTr="00783A9F">
        <w:trPr>
          <w:trHeight w:val="283"/>
        </w:trPr>
        <w:tc>
          <w:tcPr>
            <w:tcW w:w="817" w:type="dxa"/>
          </w:tcPr>
          <w:p w:rsidR="003F6F8F" w:rsidRDefault="005D3978" w:rsidP="003F6F8F">
            <w:pPr>
              <w:jc w:val="both"/>
            </w:pPr>
            <w:r>
              <w:t>8.5.</w:t>
            </w:r>
          </w:p>
        </w:tc>
        <w:tc>
          <w:tcPr>
            <w:tcW w:w="4536" w:type="dxa"/>
          </w:tcPr>
          <w:p w:rsidR="003F6F8F" w:rsidRPr="003F6F8F" w:rsidRDefault="005D3978" w:rsidP="003F6F8F">
            <w:pPr>
              <w:jc w:val="both"/>
            </w:pPr>
            <w:r>
              <w:t>Hipotēku bankas datu eksports</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11 dienas</w:t>
            </w:r>
          </w:p>
        </w:tc>
      </w:tr>
      <w:tr w:rsidR="003F6F8F" w:rsidRPr="003F6F8F" w:rsidTr="00783A9F">
        <w:trPr>
          <w:trHeight w:val="283"/>
        </w:trPr>
        <w:tc>
          <w:tcPr>
            <w:tcW w:w="817" w:type="dxa"/>
          </w:tcPr>
          <w:p w:rsidR="003F6F8F" w:rsidRDefault="005D3978" w:rsidP="003F6F8F">
            <w:pPr>
              <w:jc w:val="both"/>
            </w:pPr>
            <w:r>
              <w:t>8.5.1.</w:t>
            </w:r>
          </w:p>
        </w:tc>
        <w:tc>
          <w:tcPr>
            <w:tcW w:w="4536" w:type="dxa"/>
          </w:tcPr>
          <w:p w:rsidR="003F6F8F" w:rsidRPr="003F6F8F" w:rsidRDefault="005D3978" w:rsidP="003F6F8F">
            <w:pPr>
              <w:jc w:val="both"/>
            </w:pPr>
            <w:r>
              <w:t>Migrējamo datu tipa (veida) noteikšana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 diena</w:t>
            </w:r>
          </w:p>
        </w:tc>
      </w:tr>
      <w:tr w:rsidR="003F6F8F" w:rsidRPr="003F6F8F" w:rsidTr="00783A9F">
        <w:trPr>
          <w:trHeight w:val="283"/>
        </w:trPr>
        <w:tc>
          <w:tcPr>
            <w:tcW w:w="817" w:type="dxa"/>
          </w:tcPr>
          <w:p w:rsidR="003F6F8F" w:rsidRDefault="005D3978" w:rsidP="003F6F8F">
            <w:pPr>
              <w:jc w:val="both"/>
            </w:pPr>
            <w:r>
              <w:t>8.5.2.</w:t>
            </w:r>
          </w:p>
        </w:tc>
        <w:tc>
          <w:tcPr>
            <w:tcW w:w="4536" w:type="dxa"/>
          </w:tcPr>
          <w:p w:rsidR="003F6F8F" w:rsidRPr="003F6F8F" w:rsidRDefault="005D3978" w:rsidP="003F6F8F">
            <w:pPr>
              <w:jc w:val="both"/>
            </w:pPr>
            <w:r>
              <w:t>Datu sagatavošana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5 dienas</w:t>
            </w:r>
          </w:p>
        </w:tc>
      </w:tr>
      <w:tr w:rsidR="003F6F8F" w:rsidRPr="003F6F8F" w:rsidTr="00783A9F">
        <w:trPr>
          <w:trHeight w:val="283"/>
        </w:trPr>
        <w:tc>
          <w:tcPr>
            <w:tcW w:w="817" w:type="dxa"/>
          </w:tcPr>
          <w:p w:rsidR="003F6F8F" w:rsidRDefault="005D3978" w:rsidP="003F6F8F">
            <w:pPr>
              <w:jc w:val="both"/>
            </w:pPr>
            <w:r>
              <w:t>8.5.3.</w:t>
            </w:r>
          </w:p>
        </w:tc>
        <w:tc>
          <w:tcPr>
            <w:tcW w:w="4536" w:type="dxa"/>
          </w:tcPr>
          <w:p w:rsidR="003F6F8F" w:rsidRPr="003F6F8F" w:rsidRDefault="005D3978" w:rsidP="003F6F8F">
            <w:pPr>
              <w:jc w:val="both"/>
            </w:pPr>
            <w:r>
              <w:t>Atskaišu sagatavošana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5 dienas</w:t>
            </w:r>
          </w:p>
        </w:tc>
      </w:tr>
      <w:tr w:rsidR="003F6F8F" w:rsidRPr="003F6F8F" w:rsidTr="00783A9F">
        <w:trPr>
          <w:trHeight w:val="283"/>
        </w:trPr>
        <w:tc>
          <w:tcPr>
            <w:tcW w:w="817" w:type="dxa"/>
          </w:tcPr>
          <w:p w:rsidR="003F6F8F" w:rsidRDefault="005D3978" w:rsidP="003F6F8F">
            <w:pPr>
              <w:jc w:val="both"/>
            </w:pPr>
            <w:r>
              <w:t>8.6.</w:t>
            </w:r>
          </w:p>
        </w:tc>
        <w:tc>
          <w:tcPr>
            <w:tcW w:w="4536" w:type="dxa"/>
          </w:tcPr>
          <w:p w:rsidR="003F6F8F" w:rsidRPr="003F6F8F" w:rsidRDefault="005D3978" w:rsidP="003F6F8F">
            <w:pPr>
              <w:jc w:val="both"/>
            </w:pPr>
            <w:r>
              <w:t>Hipotēku bankas datu imports</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8.6.1.</w:t>
            </w:r>
          </w:p>
        </w:tc>
        <w:tc>
          <w:tcPr>
            <w:tcW w:w="4536" w:type="dxa"/>
          </w:tcPr>
          <w:p w:rsidR="003F6F8F" w:rsidRPr="003F6F8F" w:rsidRDefault="005D3978" w:rsidP="003F6F8F">
            <w:pPr>
              <w:jc w:val="both"/>
            </w:pPr>
            <w:r>
              <w:t>Datu ielāde</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8.7.</w:t>
            </w:r>
          </w:p>
        </w:tc>
        <w:tc>
          <w:tcPr>
            <w:tcW w:w="4536" w:type="dxa"/>
          </w:tcPr>
          <w:p w:rsidR="003F6F8F" w:rsidRPr="003F6F8F" w:rsidRDefault="005D3978" w:rsidP="003F6F8F">
            <w:pPr>
              <w:jc w:val="both"/>
            </w:pPr>
            <w:r>
              <w:t>Pārbaude</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30 dienas</w:t>
            </w:r>
          </w:p>
        </w:tc>
      </w:tr>
      <w:tr w:rsidR="003F6F8F" w:rsidRPr="003F6F8F" w:rsidTr="00783A9F">
        <w:trPr>
          <w:trHeight w:val="283"/>
        </w:trPr>
        <w:tc>
          <w:tcPr>
            <w:tcW w:w="817" w:type="dxa"/>
          </w:tcPr>
          <w:p w:rsidR="003F6F8F" w:rsidRDefault="005D3978" w:rsidP="003F6F8F">
            <w:pPr>
              <w:jc w:val="both"/>
            </w:pPr>
            <w:r>
              <w:t>8.7.1.</w:t>
            </w:r>
          </w:p>
        </w:tc>
        <w:tc>
          <w:tcPr>
            <w:tcW w:w="4536" w:type="dxa"/>
          </w:tcPr>
          <w:p w:rsidR="003F6F8F" w:rsidRPr="003F6F8F" w:rsidRDefault="005D3978" w:rsidP="003F6F8F">
            <w:pPr>
              <w:jc w:val="both"/>
            </w:pPr>
            <w:r>
              <w:t>Datu pārbaude (atskaišu salīdzināšana)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8.7.2.</w:t>
            </w:r>
          </w:p>
        </w:tc>
        <w:tc>
          <w:tcPr>
            <w:tcW w:w="4536" w:type="dxa"/>
          </w:tcPr>
          <w:p w:rsidR="003F6F8F" w:rsidRPr="003F6F8F" w:rsidRDefault="005D3978" w:rsidP="003F6F8F">
            <w:pPr>
              <w:jc w:val="both"/>
            </w:pPr>
            <w:r>
              <w:t>Kļūdu konstatēšana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8.7.3.</w:t>
            </w:r>
          </w:p>
        </w:tc>
        <w:tc>
          <w:tcPr>
            <w:tcW w:w="4536" w:type="dxa"/>
          </w:tcPr>
          <w:p w:rsidR="003F6F8F" w:rsidRPr="003F6F8F" w:rsidRDefault="005D3978" w:rsidP="003F6F8F">
            <w:pPr>
              <w:jc w:val="both"/>
            </w:pPr>
            <w:r>
              <w:t>Kļūdu labošana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8.8.</w:t>
            </w:r>
          </w:p>
        </w:tc>
        <w:tc>
          <w:tcPr>
            <w:tcW w:w="4536" w:type="dxa"/>
          </w:tcPr>
          <w:p w:rsidR="003F6F8F" w:rsidRPr="003F6F8F" w:rsidRDefault="005D3978" w:rsidP="003F6F8F">
            <w:pPr>
              <w:jc w:val="both"/>
            </w:pPr>
            <w:r>
              <w:t>Hipotēku bankas dati sagatavoti produkcijai</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 diena</w:t>
            </w:r>
          </w:p>
        </w:tc>
      </w:tr>
      <w:tr w:rsidR="003F6F8F" w:rsidRPr="003F6F8F" w:rsidTr="00783A9F">
        <w:trPr>
          <w:trHeight w:val="283"/>
        </w:trPr>
        <w:tc>
          <w:tcPr>
            <w:tcW w:w="817" w:type="dxa"/>
          </w:tcPr>
          <w:p w:rsidR="003F6F8F" w:rsidRDefault="005D3978" w:rsidP="003F6F8F">
            <w:pPr>
              <w:jc w:val="both"/>
            </w:pPr>
            <w:r>
              <w:t>8.9.</w:t>
            </w:r>
          </w:p>
        </w:tc>
        <w:tc>
          <w:tcPr>
            <w:tcW w:w="4536" w:type="dxa"/>
          </w:tcPr>
          <w:p w:rsidR="003F6F8F" w:rsidRPr="003F6F8F" w:rsidRDefault="005D3978" w:rsidP="003F6F8F">
            <w:pPr>
              <w:jc w:val="both"/>
            </w:pPr>
            <w:r>
              <w:t>Informācijas eksports, imports kopš iepriekšējā eksporta</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2 dienas</w:t>
            </w:r>
          </w:p>
        </w:tc>
      </w:tr>
      <w:tr w:rsidR="003F6F8F" w:rsidRPr="003F6F8F" w:rsidTr="00783A9F">
        <w:trPr>
          <w:trHeight w:val="283"/>
        </w:trPr>
        <w:tc>
          <w:tcPr>
            <w:tcW w:w="817" w:type="dxa"/>
          </w:tcPr>
          <w:p w:rsidR="003F6F8F" w:rsidRDefault="003F6F8F" w:rsidP="003F6F8F">
            <w:pPr>
              <w:jc w:val="both"/>
            </w:pPr>
          </w:p>
        </w:tc>
        <w:tc>
          <w:tcPr>
            <w:tcW w:w="4536" w:type="dxa"/>
          </w:tcPr>
          <w:p w:rsidR="003F6F8F" w:rsidRPr="003F6F8F" w:rsidRDefault="005D3978" w:rsidP="003F6F8F">
            <w:pPr>
              <w:jc w:val="both"/>
            </w:pPr>
            <w:r>
              <w:t>Krājbankas privatizācijas sertifikātu konti pārņemti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Default="005D3978" w:rsidP="003F6F8F">
            <w:pPr>
              <w:jc w:val="both"/>
            </w:pPr>
            <w:r>
              <w:t>9.</w:t>
            </w:r>
          </w:p>
        </w:tc>
        <w:tc>
          <w:tcPr>
            <w:tcW w:w="4536" w:type="dxa"/>
            <w:shd w:val="clear" w:color="auto" w:fill="A6A6A6" w:themeFill="background1" w:themeFillShade="A6"/>
          </w:tcPr>
          <w:p w:rsidR="003F6F8F" w:rsidRPr="003F6F8F" w:rsidRDefault="005D3978" w:rsidP="003F6F8F">
            <w:pPr>
              <w:jc w:val="both"/>
            </w:pPr>
            <w:r>
              <w:t>Klientu apkalpošana pilotprojekta režīmā</w:t>
            </w:r>
          </w:p>
        </w:tc>
        <w:tc>
          <w:tcPr>
            <w:tcW w:w="1968" w:type="dxa"/>
            <w:shd w:val="clear" w:color="auto" w:fill="A6A6A6" w:themeFill="background1" w:themeFillShade="A6"/>
            <w:vAlign w:val="center"/>
          </w:tcPr>
          <w:p w:rsidR="003F6F8F" w:rsidRPr="003F6F8F" w:rsidRDefault="005D3978" w:rsidP="00783A9F">
            <w:pPr>
              <w:jc w:val="center"/>
            </w:pPr>
            <w:r>
              <w:t>20 dienas</w:t>
            </w:r>
          </w:p>
        </w:tc>
        <w:tc>
          <w:tcPr>
            <w:tcW w:w="1968" w:type="dxa"/>
            <w:shd w:val="clear" w:color="auto" w:fill="A6A6A6" w:themeFill="background1" w:themeFillShade="A6"/>
            <w:vAlign w:val="center"/>
          </w:tcPr>
          <w:p w:rsidR="003F6F8F" w:rsidRPr="003F6F8F" w:rsidRDefault="005D3978" w:rsidP="00783A9F">
            <w:pPr>
              <w:jc w:val="center"/>
            </w:pPr>
            <w:r>
              <w:t>60 dienas</w:t>
            </w:r>
          </w:p>
        </w:tc>
      </w:tr>
      <w:tr w:rsidR="001E0381" w:rsidRPr="003F6F8F" w:rsidTr="00783A9F">
        <w:trPr>
          <w:trHeight w:val="283"/>
        </w:trPr>
        <w:tc>
          <w:tcPr>
            <w:tcW w:w="817" w:type="dxa"/>
          </w:tcPr>
          <w:p w:rsidR="001E0381" w:rsidRDefault="001E0381" w:rsidP="003F6F8F">
            <w:pPr>
              <w:jc w:val="both"/>
            </w:pPr>
            <w:r>
              <w:t>9.1.</w:t>
            </w:r>
          </w:p>
        </w:tc>
        <w:tc>
          <w:tcPr>
            <w:tcW w:w="4536" w:type="dxa"/>
          </w:tcPr>
          <w:p w:rsidR="001E0381" w:rsidRDefault="001E0381" w:rsidP="003F6F8F">
            <w:pPr>
              <w:jc w:val="both"/>
            </w:pPr>
            <w:r>
              <w:t>Sistēmas kļūdu identificēšana un novēršana</w:t>
            </w:r>
          </w:p>
        </w:tc>
        <w:tc>
          <w:tcPr>
            <w:tcW w:w="1968" w:type="dxa"/>
            <w:vAlign w:val="center"/>
          </w:tcPr>
          <w:p w:rsidR="001E0381" w:rsidRDefault="001E0381" w:rsidP="00783A9F">
            <w:pPr>
              <w:jc w:val="center"/>
            </w:pPr>
            <w:r>
              <w:t>20 dienas</w:t>
            </w:r>
          </w:p>
        </w:tc>
        <w:tc>
          <w:tcPr>
            <w:tcW w:w="1968" w:type="dxa"/>
            <w:vAlign w:val="center"/>
          </w:tcPr>
          <w:p w:rsidR="001E0381" w:rsidRDefault="001E0381" w:rsidP="00783A9F">
            <w:pPr>
              <w:jc w:val="center"/>
            </w:pPr>
            <w:r>
              <w:t>60 dienas</w:t>
            </w:r>
          </w:p>
        </w:tc>
      </w:tr>
      <w:tr w:rsidR="001E0381" w:rsidRPr="003F6F8F" w:rsidTr="00783A9F">
        <w:trPr>
          <w:trHeight w:val="283"/>
        </w:trPr>
        <w:tc>
          <w:tcPr>
            <w:tcW w:w="817" w:type="dxa"/>
          </w:tcPr>
          <w:p w:rsidR="001E0381" w:rsidRDefault="001E0381" w:rsidP="003F6F8F">
            <w:pPr>
              <w:jc w:val="both"/>
            </w:pPr>
            <w:r>
              <w:t>9.2.</w:t>
            </w:r>
          </w:p>
        </w:tc>
        <w:tc>
          <w:tcPr>
            <w:tcW w:w="4536" w:type="dxa"/>
          </w:tcPr>
          <w:p w:rsidR="001E0381" w:rsidRDefault="001E0381" w:rsidP="003F6F8F">
            <w:pPr>
              <w:jc w:val="both"/>
            </w:pPr>
            <w:r>
              <w:t>Datu kļūdu identificēšana un novēršana</w:t>
            </w:r>
          </w:p>
        </w:tc>
        <w:tc>
          <w:tcPr>
            <w:tcW w:w="1968" w:type="dxa"/>
            <w:vAlign w:val="center"/>
          </w:tcPr>
          <w:p w:rsidR="001E0381" w:rsidRDefault="001E0381" w:rsidP="00783A9F">
            <w:pPr>
              <w:jc w:val="center"/>
            </w:pPr>
            <w:r>
              <w:t>20 dienas</w:t>
            </w:r>
          </w:p>
        </w:tc>
        <w:tc>
          <w:tcPr>
            <w:tcW w:w="1968" w:type="dxa"/>
            <w:vAlign w:val="center"/>
          </w:tcPr>
          <w:p w:rsidR="001E0381" w:rsidRDefault="001E0381" w:rsidP="00783A9F">
            <w:pPr>
              <w:jc w:val="center"/>
            </w:pPr>
            <w:r>
              <w:t>60 dienas</w:t>
            </w:r>
          </w:p>
        </w:tc>
      </w:tr>
      <w:tr w:rsidR="001E0381" w:rsidRPr="003F6F8F" w:rsidTr="00783A9F">
        <w:trPr>
          <w:trHeight w:val="283"/>
        </w:trPr>
        <w:tc>
          <w:tcPr>
            <w:tcW w:w="817" w:type="dxa"/>
          </w:tcPr>
          <w:p w:rsidR="001E0381" w:rsidRDefault="001E0381" w:rsidP="003F6F8F">
            <w:pPr>
              <w:jc w:val="both"/>
            </w:pPr>
            <w:r>
              <w:t>9.3.</w:t>
            </w:r>
          </w:p>
        </w:tc>
        <w:tc>
          <w:tcPr>
            <w:tcW w:w="4536" w:type="dxa"/>
          </w:tcPr>
          <w:p w:rsidR="001E0381" w:rsidRDefault="001E0381" w:rsidP="003F6F8F">
            <w:pPr>
              <w:jc w:val="both"/>
            </w:pPr>
            <w:r>
              <w:t>Atskaišu kļūdu identificēšana un labošana</w:t>
            </w:r>
          </w:p>
        </w:tc>
        <w:tc>
          <w:tcPr>
            <w:tcW w:w="1968" w:type="dxa"/>
            <w:vAlign w:val="center"/>
          </w:tcPr>
          <w:p w:rsidR="001E0381" w:rsidRDefault="001E0381" w:rsidP="00783A9F">
            <w:pPr>
              <w:jc w:val="center"/>
            </w:pPr>
            <w:r>
              <w:t>20 dienas</w:t>
            </w:r>
          </w:p>
        </w:tc>
        <w:tc>
          <w:tcPr>
            <w:tcW w:w="1968" w:type="dxa"/>
            <w:vAlign w:val="center"/>
          </w:tcPr>
          <w:p w:rsidR="001E0381" w:rsidRDefault="001E0381" w:rsidP="00783A9F">
            <w:pPr>
              <w:jc w:val="center"/>
            </w:pPr>
            <w:r>
              <w:t>60 dienas</w:t>
            </w:r>
          </w:p>
        </w:tc>
      </w:tr>
      <w:tr w:rsidR="001E0381" w:rsidRPr="003F6F8F" w:rsidTr="00783A9F">
        <w:trPr>
          <w:trHeight w:val="283"/>
        </w:trPr>
        <w:tc>
          <w:tcPr>
            <w:tcW w:w="817" w:type="dxa"/>
          </w:tcPr>
          <w:p w:rsidR="001E0381" w:rsidRDefault="001E0381" w:rsidP="003F6F8F">
            <w:pPr>
              <w:jc w:val="both"/>
            </w:pPr>
          </w:p>
        </w:tc>
        <w:tc>
          <w:tcPr>
            <w:tcW w:w="4536" w:type="dxa"/>
          </w:tcPr>
          <w:p w:rsidR="001E0381" w:rsidRDefault="001E0381" w:rsidP="003F6F8F">
            <w:pPr>
              <w:jc w:val="both"/>
            </w:pPr>
            <w:r>
              <w:t>Projekts pabeigts</w:t>
            </w:r>
          </w:p>
        </w:tc>
        <w:tc>
          <w:tcPr>
            <w:tcW w:w="1968" w:type="dxa"/>
            <w:vAlign w:val="center"/>
          </w:tcPr>
          <w:p w:rsidR="001E0381" w:rsidRDefault="001E0381" w:rsidP="00783A9F">
            <w:pPr>
              <w:jc w:val="center"/>
            </w:pPr>
          </w:p>
        </w:tc>
        <w:tc>
          <w:tcPr>
            <w:tcW w:w="1968" w:type="dxa"/>
            <w:vAlign w:val="center"/>
          </w:tcPr>
          <w:p w:rsidR="001E0381" w:rsidRDefault="001E0381" w:rsidP="00783A9F">
            <w:pPr>
              <w:jc w:val="center"/>
            </w:pPr>
          </w:p>
        </w:tc>
      </w:tr>
      <w:tr w:rsidR="001E0381" w:rsidRPr="003F6F8F" w:rsidTr="00783A9F">
        <w:trPr>
          <w:trHeight w:val="283"/>
        </w:trPr>
        <w:tc>
          <w:tcPr>
            <w:tcW w:w="817" w:type="dxa"/>
          </w:tcPr>
          <w:p w:rsidR="001E0381" w:rsidRDefault="001E0381" w:rsidP="003F6F8F">
            <w:pPr>
              <w:jc w:val="both"/>
            </w:pPr>
          </w:p>
        </w:tc>
        <w:tc>
          <w:tcPr>
            <w:tcW w:w="4536" w:type="dxa"/>
          </w:tcPr>
          <w:p w:rsidR="001E0381" w:rsidRPr="001E0381" w:rsidRDefault="001E0381" w:rsidP="003F6F8F">
            <w:pPr>
              <w:jc w:val="both"/>
              <w:rPr>
                <w:b/>
              </w:rPr>
            </w:pPr>
            <w:r w:rsidRPr="001E0381">
              <w:rPr>
                <w:b/>
              </w:rPr>
              <w:t>Realizācijas ilgums dienās kopā</w:t>
            </w:r>
          </w:p>
        </w:tc>
        <w:tc>
          <w:tcPr>
            <w:tcW w:w="1968" w:type="dxa"/>
            <w:vAlign w:val="center"/>
          </w:tcPr>
          <w:p w:rsidR="001E0381" w:rsidRPr="001E0381" w:rsidRDefault="001E0381" w:rsidP="00783A9F">
            <w:pPr>
              <w:jc w:val="center"/>
              <w:rPr>
                <w:b/>
              </w:rPr>
            </w:pPr>
            <w:r w:rsidRPr="001E0381">
              <w:rPr>
                <w:b/>
              </w:rPr>
              <w:t>173 dienas</w:t>
            </w:r>
          </w:p>
        </w:tc>
        <w:tc>
          <w:tcPr>
            <w:tcW w:w="1968" w:type="dxa"/>
            <w:vAlign w:val="center"/>
          </w:tcPr>
          <w:p w:rsidR="001E0381" w:rsidRPr="001E0381" w:rsidRDefault="001E0381" w:rsidP="00783A9F">
            <w:pPr>
              <w:jc w:val="center"/>
              <w:rPr>
                <w:b/>
              </w:rPr>
            </w:pPr>
            <w:r w:rsidRPr="001E0381">
              <w:rPr>
                <w:b/>
              </w:rPr>
              <w:t>350 dienas</w:t>
            </w:r>
          </w:p>
        </w:tc>
      </w:tr>
    </w:tbl>
    <w:p w:rsidR="00367B83" w:rsidRPr="00367B83" w:rsidRDefault="00367B83" w:rsidP="00523CB1">
      <w:pPr>
        <w:spacing w:before="120" w:after="120"/>
        <w:ind w:firstLine="720"/>
        <w:jc w:val="both"/>
        <w:rPr>
          <w:sz w:val="28"/>
          <w:szCs w:val="28"/>
          <w:u w:val="single"/>
        </w:rPr>
      </w:pPr>
      <w:r>
        <w:rPr>
          <w:sz w:val="28"/>
          <w:szCs w:val="28"/>
        </w:rPr>
        <w:t>Turpmāk redzamā informācija</w:t>
      </w:r>
      <w:r w:rsidR="004B7EB5">
        <w:rPr>
          <w:sz w:val="28"/>
          <w:szCs w:val="28"/>
        </w:rPr>
        <w:t xml:space="preserve"> atspoguļo abu </w:t>
      </w:r>
      <w:r>
        <w:rPr>
          <w:sz w:val="28"/>
          <w:szCs w:val="28"/>
        </w:rPr>
        <w:t xml:space="preserve">Hipotēku bankas piedāvāto modeļu izmaksas, detalizētāk aprakstot to, kā veidojas </w:t>
      </w:r>
      <w:r w:rsidR="00523CB1">
        <w:rPr>
          <w:sz w:val="28"/>
          <w:szCs w:val="28"/>
        </w:rPr>
        <w:t xml:space="preserve">abu modeļu </w:t>
      </w:r>
      <w:r>
        <w:rPr>
          <w:sz w:val="28"/>
          <w:szCs w:val="28"/>
        </w:rPr>
        <w:t xml:space="preserve">ieviešanas </w:t>
      </w:r>
      <w:r w:rsidR="00523CB1">
        <w:rPr>
          <w:sz w:val="28"/>
          <w:szCs w:val="28"/>
        </w:rPr>
        <w:t>izmaksas.</w:t>
      </w:r>
    </w:p>
    <w:tbl>
      <w:tblPr>
        <w:tblW w:w="9640" w:type="dxa"/>
        <w:tblInd w:w="-318" w:type="dxa"/>
        <w:tblLayout w:type="fixed"/>
        <w:tblLook w:val="04A0"/>
      </w:tblPr>
      <w:tblGrid>
        <w:gridCol w:w="568"/>
        <w:gridCol w:w="1985"/>
        <w:gridCol w:w="1275"/>
        <w:gridCol w:w="142"/>
        <w:gridCol w:w="1276"/>
        <w:gridCol w:w="4394"/>
      </w:tblGrid>
      <w:tr w:rsidR="004B7EB5" w:rsidRPr="004B7EB5" w:rsidTr="00A91D40">
        <w:trPr>
          <w:trHeight w:val="354"/>
        </w:trPr>
        <w:tc>
          <w:tcPr>
            <w:tcW w:w="56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4B7EB5" w:rsidRPr="004B7EB5" w:rsidRDefault="004B7EB5" w:rsidP="00955BE8">
            <w:pPr>
              <w:ind w:left="-28" w:right="113"/>
              <w:jc w:val="center"/>
              <w:rPr>
                <w:b/>
                <w:bCs/>
                <w:color w:val="000000"/>
              </w:rPr>
            </w:pPr>
            <w:r w:rsidRPr="004B7EB5">
              <w:rPr>
                <w:b/>
                <w:bCs/>
                <w:color w:val="000000"/>
              </w:rPr>
              <w:t>Pozīcija</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108"/>
              <w:jc w:val="center"/>
              <w:rPr>
                <w:b/>
                <w:bCs/>
                <w:color w:val="000000"/>
              </w:rPr>
            </w:pPr>
            <w:r w:rsidRPr="004B7EB5">
              <w:rPr>
                <w:b/>
                <w:bCs/>
                <w:color w:val="000000"/>
              </w:rPr>
              <w:t>Detaļas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108"/>
              <w:jc w:val="center"/>
              <w:rPr>
                <w:b/>
                <w:bCs/>
                <w:color w:val="000000"/>
              </w:rPr>
            </w:pPr>
            <w:r w:rsidRPr="004B7EB5">
              <w:rPr>
                <w:b/>
                <w:bCs/>
                <w:color w:val="000000"/>
              </w:rPr>
              <w:t>Summa, LVL, t.sk. PVN</w:t>
            </w:r>
          </w:p>
        </w:tc>
        <w:tc>
          <w:tcPr>
            <w:tcW w:w="4394" w:type="dxa"/>
            <w:vMerge w:val="restart"/>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108"/>
              <w:jc w:val="center"/>
              <w:rPr>
                <w:b/>
                <w:bCs/>
                <w:color w:val="000000"/>
              </w:rPr>
            </w:pPr>
            <w:r w:rsidRPr="004B7EB5">
              <w:rPr>
                <w:b/>
                <w:bCs/>
                <w:color w:val="000000"/>
              </w:rPr>
              <w:t>Komentārs</w:t>
            </w:r>
          </w:p>
        </w:tc>
      </w:tr>
      <w:tr w:rsidR="004B7EB5" w:rsidRPr="004B7EB5" w:rsidTr="00A91D40">
        <w:trPr>
          <w:trHeight w:val="504"/>
        </w:trPr>
        <w:tc>
          <w:tcPr>
            <w:tcW w:w="568" w:type="dxa"/>
            <w:vMerge/>
            <w:tcBorders>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28"/>
              <w:jc w:val="center"/>
              <w:rPr>
                <w:b/>
                <w:bCs/>
                <w:color w:val="000000"/>
              </w:rPr>
            </w:pPr>
          </w:p>
        </w:tc>
        <w:tc>
          <w:tcPr>
            <w:tcW w:w="1985" w:type="dxa"/>
            <w:vMerge/>
            <w:tcBorders>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108"/>
              <w:jc w:val="center"/>
              <w:rPr>
                <w:b/>
                <w:bCs/>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108"/>
              <w:jc w:val="center"/>
              <w:rPr>
                <w:b/>
                <w:bCs/>
                <w:color w:val="000000"/>
              </w:rPr>
            </w:pPr>
            <w:r w:rsidRPr="004B7EB5">
              <w:rPr>
                <w:b/>
                <w:bCs/>
                <w:color w:val="000000"/>
              </w:rPr>
              <w:t>1. modelis</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b/>
                <w:bCs/>
                <w:color w:val="000000"/>
              </w:rPr>
            </w:pPr>
            <w:r w:rsidRPr="004B7EB5">
              <w:rPr>
                <w:b/>
                <w:bCs/>
                <w:color w:val="000000"/>
              </w:rPr>
              <w:t>2. modelis</w:t>
            </w:r>
          </w:p>
        </w:tc>
        <w:tc>
          <w:tcPr>
            <w:tcW w:w="4394" w:type="dxa"/>
            <w:vMerge/>
            <w:tcBorders>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108"/>
              <w:jc w:val="center"/>
              <w:rPr>
                <w:b/>
                <w:bCs/>
                <w:color w:val="000000"/>
              </w:rPr>
            </w:pPr>
          </w:p>
        </w:tc>
      </w:tr>
      <w:tr w:rsidR="004B7EB5" w:rsidRPr="004B7EB5" w:rsidTr="00A91D40">
        <w:trPr>
          <w:trHeight w:val="5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color w:val="000000"/>
              </w:rPr>
            </w:pPr>
            <w:r w:rsidRPr="004B7EB5">
              <w:rPr>
                <w:bCs/>
                <w:color w:val="000000"/>
              </w:rPr>
              <w:t>Licences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i/>
                <w:color w:val="000000"/>
              </w:rPr>
            </w:pPr>
            <w:r w:rsidRPr="004B7EB5">
              <w:rPr>
                <w:i/>
                <w:color w:val="000000"/>
              </w:rPr>
              <w:t>RatonalRapidDeveloper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4 392,00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4 392,00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Nepieciešama 1 </w:t>
            </w:r>
            <w:r w:rsidRPr="004B7EB5">
              <w:rPr>
                <w:i/>
                <w:color w:val="000000"/>
              </w:rPr>
              <w:t>RatonalRapidDeveloper</w:t>
            </w:r>
            <w:r w:rsidRPr="004B7EB5">
              <w:rPr>
                <w:color w:val="000000"/>
              </w:rPr>
              <w:t xml:space="preserve"> licence, lai pārņemtu </w:t>
            </w:r>
            <w:r w:rsidRPr="004B7EB5">
              <w:rPr>
                <w:i/>
                <w:color w:val="000000"/>
              </w:rPr>
              <w:t>Krājbankas</w:t>
            </w:r>
            <w:r w:rsidRPr="004B7EB5">
              <w:rPr>
                <w:color w:val="000000"/>
              </w:rPr>
              <w:t xml:space="preserve"> sistēmu</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i/>
                <w:color w:val="000000"/>
              </w:rPr>
            </w:pPr>
            <w:r w:rsidRPr="004B7EB5">
              <w:rPr>
                <w:i/>
                <w:color w:val="000000"/>
              </w:rPr>
              <w:t>Clipper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150,00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Nepieciešama 1 </w:t>
            </w:r>
            <w:r w:rsidRPr="004B7EB5">
              <w:rPr>
                <w:i/>
                <w:color w:val="000000"/>
              </w:rPr>
              <w:t>Clipper</w:t>
            </w:r>
            <w:r w:rsidRPr="004B7EB5">
              <w:rPr>
                <w:color w:val="000000"/>
              </w:rPr>
              <w:t xml:space="preserve"> licence, lai pārņemtu </w:t>
            </w:r>
            <w:r w:rsidRPr="004B7EB5">
              <w:rPr>
                <w:i/>
                <w:color w:val="000000"/>
              </w:rPr>
              <w:t>Krājbankas</w:t>
            </w:r>
            <w:r w:rsidRPr="004B7EB5">
              <w:rPr>
                <w:color w:val="000000"/>
              </w:rPr>
              <w:t xml:space="preserve"> veco sistēmu, kas tiek izmantota vēsturisku uzziņu </w:t>
            </w:r>
            <w:r w:rsidRPr="004B7EB5">
              <w:rPr>
                <w:color w:val="000000"/>
              </w:rPr>
              <w:lastRenderedPageBreak/>
              <w:t>sagatavošanai</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 ODBC</w:t>
            </w:r>
            <w:r w:rsidRPr="004B7EB5">
              <w:rPr>
                <w:color w:val="000000"/>
              </w:rPr>
              <w:t xml:space="preserve"> draiveris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1 530,71</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vMerge w:val="restart"/>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Realizējot 2. modeli tiks izmantotas esošās </w:t>
            </w:r>
            <w:r w:rsidRPr="004B7EB5">
              <w:rPr>
                <w:i/>
                <w:color w:val="000000"/>
              </w:rPr>
              <w:t>Oracle</w:t>
            </w:r>
            <w:r w:rsidRPr="004B7EB5">
              <w:rPr>
                <w:color w:val="000000"/>
              </w:rPr>
              <w:t xml:space="preserve"> licences</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w:t>
            </w:r>
            <w:r w:rsidRPr="004B7EB5">
              <w:rPr>
                <w:color w:val="000000"/>
              </w:rPr>
              <w:t xml:space="preserve"> Datu bāzes licence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6 803,14</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vMerge/>
            <w:tcBorders>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Actuate</w:t>
            </w:r>
            <w:r w:rsidRPr="004B7EB5">
              <w:rPr>
                <w:color w:val="000000"/>
              </w:rPr>
              <w:t xml:space="preserve"> licence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22 110,21</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Realizējot 2. modeli šī licence nav nepieciešama</w:t>
            </w:r>
          </w:p>
        </w:tc>
      </w:tr>
      <w:tr w:rsidR="004B7EB5" w:rsidRPr="004B7EB5" w:rsidTr="00A91D40">
        <w:trPr>
          <w:cantSplit/>
          <w:trHeight w:val="798"/>
        </w:trPr>
        <w:tc>
          <w:tcPr>
            <w:tcW w:w="5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color w:val="000000"/>
              </w:rPr>
            </w:pPr>
            <w:r w:rsidRPr="004B7EB5">
              <w:rPr>
                <w:bCs/>
                <w:color w:val="000000"/>
              </w:rPr>
              <w:t>Datori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Virtuālie serveri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1 878,80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1 878,80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3 virtuālo serveru iegāde un programmatūras izmaksas</w:t>
            </w:r>
          </w:p>
        </w:tc>
      </w:tr>
      <w:tr w:rsidR="004B7EB5" w:rsidRPr="004B7EB5" w:rsidTr="00A91D40">
        <w:trPr>
          <w:trHeight w:val="139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color w:val="000000"/>
              </w:rPr>
            </w:pPr>
            <w:r w:rsidRPr="004B7EB5">
              <w:rPr>
                <w:bCs/>
                <w:color w:val="000000"/>
              </w:rPr>
              <w:t>Ārpakalpojums</w:t>
            </w:r>
          </w:p>
        </w:tc>
        <w:tc>
          <w:tcPr>
            <w:tcW w:w="1985" w:type="dxa"/>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4"/>
              <w:rPr>
                <w:color w:val="000000"/>
              </w:rPr>
            </w:pPr>
            <w:r w:rsidRPr="004B7EB5">
              <w:rPr>
                <w:color w:val="000000"/>
              </w:rPr>
              <w:t xml:space="preserve">DB shēmas un datu migrēšana no </w:t>
            </w:r>
            <w:r w:rsidRPr="004B7EB5">
              <w:rPr>
                <w:i/>
                <w:color w:val="000000"/>
              </w:rPr>
              <w:t>Interbase</w:t>
            </w:r>
            <w:r w:rsidRPr="004B7EB5">
              <w:rPr>
                <w:color w:val="000000"/>
              </w:rPr>
              <w:t xml:space="preserve"> uz </w:t>
            </w:r>
            <w:r w:rsidRPr="004B7EB5">
              <w:rPr>
                <w:i/>
                <w:color w:val="000000"/>
              </w:rPr>
              <w:t>Oracle</w:t>
            </w:r>
          </w:p>
        </w:tc>
        <w:tc>
          <w:tcPr>
            <w:tcW w:w="1417" w:type="dxa"/>
            <w:gridSpan w:val="2"/>
            <w:tcBorders>
              <w:top w:val="single" w:sz="4" w:space="0" w:color="auto"/>
              <w:left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0,00</w:t>
            </w:r>
          </w:p>
        </w:tc>
        <w:tc>
          <w:tcPr>
            <w:tcW w:w="1276" w:type="dxa"/>
            <w:tcBorders>
              <w:top w:val="single" w:sz="4" w:space="0" w:color="auto"/>
              <w:left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90 750,00</w:t>
            </w:r>
          </w:p>
        </w:tc>
        <w:tc>
          <w:tcPr>
            <w:tcW w:w="4394" w:type="dxa"/>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highlight w:val="yellow"/>
              </w:rPr>
            </w:pPr>
            <w:r w:rsidRPr="004B7EB5">
              <w:rPr>
                <w:color w:val="000000"/>
              </w:rPr>
              <w:t xml:space="preserve">1. modelī dati netiek migrēti, 2. modelī, veicot aprēķinu, tiek pieņemts, ka ārpakalpojuma sniedzēja maksa ir LVL 300 dienā + PVN. Alternatīvs risinājums ir izmantot </w:t>
            </w:r>
            <w:r w:rsidRPr="004B7EB5">
              <w:rPr>
                <w:i/>
                <w:color w:val="000000"/>
              </w:rPr>
              <w:t>Hipotēku bankas</w:t>
            </w:r>
            <w:r w:rsidRPr="004B7EB5">
              <w:rPr>
                <w:color w:val="000000"/>
              </w:rPr>
              <w:t xml:space="preserve"> resursus. Šādā gadījumā aptuvenās izmaksas būtu LVL 30 000,00.</w:t>
            </w:r>
          </w:p>
        </w:tc>
      </w:tr>
      <w:tr w:rsidR="004B7EB5" w:rsidRPr="004B7EB5" w:rsidTr="00A91D40">
        <w:trPr>
          <w:trHeight w:val="1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 xml:space="preserve">Atskaišu migrēšana no </w:t>
            </w:r>
            <w:r w:rsidRPr="004B7EB5">
              <w:rPr>
                <w:i/>
                <w:color w:val="000000"/>
              </w:rPr>
              <w:t>Actuate</w:t>
            </w:r>
            <w:r w:rsidRPr="004B7EB5">
              <w:rPr>
                <w:color w:val="000000"/>
              </w:rPr>
              <w:t xml:space="preserve"> 6 uz versiju 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10 000,00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i/>
                <w:color w:val="000000"/>
              </w:rPr>
              <w:t>Actuate</w:t>
            </w:r>
            <w:r w:rsidRPr="004B7EB5">
              <w:rPr>
                <w:color w:val="000000"/>
              </w:rPr>
              <w:t xml:space="preserve"> 6. versiju nav iespējams iegādāties. Realizējot 2. modeli, </w:t>
            </w:r>
            <w:r w:rsidRPr="004B7EB5">
              <w:rPr>
                <w:i/>
                <w:color w:val="000000"/>
              </w:rPr>
              <w:t>Actuate</w:t>
            </w:r>
            <w:r w:rsidRPr="004B7EB5">
              <w:rPr>
                <w:color w:val="000000"/>
              </w:rPr>
              <w:t xml:space="preserve"> netiek izmantots.</w:t>
            </w:r>
          </w:p>
        </w:tc>
      </w:tr>
      <w:tr w:rsidR="004B7EB5" w:rsidRPr="004B7EB5" w:rsidTr="00A91D40">
        <w:trPr>
          <w:trHeight w:val="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Krājbankas</w:t>
            </w:r>
            <w:r w:rsidRPr="004B7EB5">
              <w:rPr>
                <w:color w:val="000000"/>
              </w:rPr>
              <w:t xml:space="preserve"> arhīva audits</w:t>
            </w:r>
          </w:p>
        </w:tc>
        <w:tc>
          <w:tcPr>
            <w:tcW w:w="2693" w:type="dxa"/>
            <w:gridSpan w:val="3"/>
            <w:tcBorders>
              <w:top w:val="single" w:sz="4" w:space="0" w:color="auto"/>
              <w:left w:val="single" w:sz="4" w:space="0" w:color="auto"/>
              <w:right w:val="single" w:sz="4" w:space="0" w:color="auto"/>
            </w:tcBorders>
            <w:shd w:val="clear" w:color="auto" w:fill="auto"/>
            <w:noWrap/>
            <w:vAlign w:val="center"/>
            <w:hideMark/>
          </w:tcPr>
          <w:p w:rsidR="004B7EB5" w:rsidRPr="004B7EB5" w:rsidRDefault="004B7EB5" w:rsidP="00367B83">
            <w:pPr>
              <w:ind w:left="-108"/>
              <w:jc w:val="center"/>
              <w:rPr>
                <w:color w:val="000000"/>
              </w:rPr>
            </w:pPr>
            <w:r w:rsidRPr="004B7EB5">
              <w:rPr>
                <w:color w:val="000000"/>
              </w:rPr>
              <w:t xml:space="preserve">Finansējums nav paredzēts </w:t>
            </w:r>
          </w:p>
        </w:tc>
        <w:tc>
          <w:tcPr>
            <w:tcW w:w="4394" w:type="dxa"/>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Audits netiek veikts, ja klientu iespējamās prasības uzņemas kompensēt valsts pārvaldes iestāde. Aktīvo lietu auditam provizoriski nepieciešami LVL 1,75 milj., pieņemot, ka cena ir LVL 10 stundā un darbu izpildei viena gada garumā tiek iesaistīti 87 auditori.</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w:t>
            </w:r>
            <w:r w:rsidRPr="004B7EB5">
              <w:rPr>
                <w:color w:val="000000"/>
              </w:rPr>
              <w:t xml:space="preserve"> administratoru kursi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2 administratoru apmācības. Realizējot 2. modeli apmācības nav nepieciešamas.</w:t>
            </w:r>
          </w:p>
        </w:tc>
      </w:tr>
      <w:tr w:rsidR="004B7EB5" w:rsidRPr="004B7EB5" w:rsidTr="00A91D40">
        <w:trPr>
          <w:trHeight w:val="2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Actuate</w:t>
            </w:r>
            <w:r w:rsidRPr="004B7EB5">
              <w:rPr>
                <w:color w:val="000000"/>
              </w:rPr>
              <w:t xml:space="preserve"> apmācības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10 460,61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i/>
                <w:color w:val="000000"/>
              </w:rPr>
              <w:t>Actuate</w:t>
            </w:r>
            <w:r w:rsidRPr="004B7EB5">
              <w:rPr>
                <w:color w:val="000000"/>
              </w:rPr>
              <w:t xml:space="preserve"> izstrādes kursi (5 dienas) 2 darbiniekiem. Kursi notiek Anglijā vai Vācijā. Izmaksās ietverti arī ceļa un uzturēšanās izdevumi 2 personām. Realizējot 2. modeli apmācības nav nepieciešamas.</w:t>
            </w:r>
          </w:p>
        </w:tc>
      </w:tr>
      <w:tr w:rsidR="004B7EB5" w:rsidRPr="004B7EB5" w:rsidTr="00A91D40">
        <w:trPr>
          <w:trHeight w:val="7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RatonalRapidDeveloper</w:t>
            </w:r>
            <w:r w:rsidRPr="004B7EB5">
              <w:rPr>
                <w:color w:val="000000"/>
              </w:rPr>
              <w:t xml:space="preserve"> apmācības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2 IT speciālistu apmācības. </w:t>
            </w:r>
          </w:p>
        </w:tc>
      </w:tr>
      <w:tr w:rsidR="004B7EB5" w:rsidRPr="004B7EB5" w:rsidTr="00A91D40">
        <w:trPr>
          <w:trHeight w:val="8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b/>
                <w:bCs/>
                <w:color w:val="000000"/>
              </w:rPr>
            </w:pPr>
            <w:r w:rsidRPr="004B7EB5">
              <w:rPr>
                <w:bCs/>
                <w:color w:val="000000"/>
              </w:rPr>
              <w:t>Cilvēkresursi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Projekta vadība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7 984,62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16 153,85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Projekta vadītāja izmaksas gadā LVL 24 000,00. Iesaiste: PAD vadītāja 0,5 slodzes visa projekta garumā.</w:t>
            </w:r>
          </w:p>
        </w:tc>
      </w:tr>
      <w:tr w:rsidR="004B7EB5" w:rsidRPr="004B7EB5" w:rsidTr="00A91D40">
        <w:trPr>
          <w:trHeight w:val="1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RRD izstrādātājs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6 461,54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IT speciālista izmaksas gadā LVL 30 000,00. Iesaiste: pilna slodze 56 darba dienas.</w:t>
            </w:r>
          </w:p>
        </w:tc>
      </w:tr>
      <w:tr w:rsidR="004B7EB5" w:rsidRPr="004B7EB5" w:rsidTr="00A91D40">
        <w:trPr>
          <w:trHeight w:val="1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Actuate</w:t>
            </w:r>
            <w:r w:rsidRPr="004B7EB5">
              <w:rPr>
                <w:color w:val="000000"/>
              </w:rPr>
              <w:t xml:space="preserve"> / BO speciālists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10 153,85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13 846,15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IT speciālista izmaksas gadā LVL 30 000,00. Iesaiste: pilna slodze 88 darba dienas (1. modelis, </w:t>
            </w:r>
            <w:r w:rsidRPr="004B7EB5">
              <w:rPr>
                <w:i/>
                <w:color w:val="000000"/>
              </w:rPr>
              <w:t>Actuate</w:t>
            </w:r>
            <w:r w:rsidRPr="004B7EB5">
              <w:rPr>
                <w:color w:val="000000"/>
              </w:rPr>
              <w:t xml:space="preserve"> speciālists) vai 120 darba dienas (2. modelis, </w:t>
            </w:r>
            <w:r w:rsidRPr="004B7EB5">
              <w:rPr>
                <w:i/>
                <w:color w:val="000000"/>
              </w:rPr>
              <w:t>BusinessObjects</w:t>
            </w:r>
            <w:r w:rsidRPr="004B7EB5">
              <w:rPr>
                <w:color w:val="000000"/>
              </w:rPr>
              <w:t xml:space="preserve"> speciālists). </w:t>
            </w:r>
          </w:p>
        </w:tc>
      </w:tr>
      <w:tr w:rsidR="004B7EB5" w:rsidRPr="004B7EB5" w:rsidTr="00A91D40">
        <w:trPr>
          <w:trHeight w:val="16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w:t>
            </w:r>
            <w:r w:rsidRPr="004B7EB5">
              <w:rPr>
                <w:color w:val="000000"/>
              </w:rPr>
              <w:t xml:space="preserve"> / </w:t>
            </w:r>
            <w:r w:rsidRPr="004B7EB5">
              <w:rPr>
                <w:i/>
                <w:color w:val="000000"/>
              </w:rPr>
              <w:t>Oracle</w:t>
            </w:r>
            <w:r w:rsidRPr="004B7EB5">
              <w:rPr>
                <w:color w:val="000000"/>
              </w:rPr>
              <w:t xml:space="preserve"> speciālists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18 230,77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27 000,00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IT speciālista izmaksas gadā LVL 30 000,00. Iesaiste: pilna slodze 158 darba dienas (1. modelis, </w:t>
            </w:r>
            <w:r w:rsidRPr="004B7EB5">
              <w:rPr>
                <w:i/>
                <w:color w:val="000000"/>
              </w:rPr>
              <w:t>Interbase</w:t>
            </w:r>
            <w:r w:rsidRPr="004B7EB5">
              <w:rPr>
                <w:color w:val="000000"/>
              </w:rPr>
              <w:t xml:space="preserve"> speciālists) vai 234 darba dienas (2. modelis, </w:t>
            </w:r>
            <w:r w:rsidRPr="004B7EB5">
              <w:rPr>
                <w:i/>
                <w:color w:val="000000"/>
              </w:rPr>
              <w:t>Oracle</w:t>
            </w:r>
            <w:r w:rsidRPr="004B7EB5">
              <w:rPr>
                <w:color w:val="000000"/>
              </w:rPr>
              <w:t xml:space="preserve"> speciālists). Aprēķinā ietvertas arī nepieciešamās darba dienas dokumentācijas izstrādei.</w:t>
            </w:r>
          </w:p>
        </w:tc>
      </w:tr>
      <w:tr w:rsidR="004B7EB5" w:rsidRPr="004B7EB5" w:rsidTr="00A91D40">
        <w:trPr>
          <w:trHeight w:val="1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Funkcionālie speciālisti (PAD)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22 596,92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36 996,92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PAD darbinieka izmaksas gadā LVL 14 400,00. Iesaiste: 2 PAD darbinieku pilna slodze 204 darba dienas (1. modelis) vai 334 darba dienas (2. modelis). Tiek ietverta apkalpošana pilotprojekta režīmā.</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GD darbinieku atbalsts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3 230,77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3 230,77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GD darbinieka izmaksas gadā LVL 16 800,00. Iesaiste: GD darbinieka pilna slodze 50 darba dienas.</w:t>
            </w:r>
          </w:p>
        </w:tc>
      </w:tr>
      <w:tr w:rsidR="004B7EB5" w:rsidRPr="004B7EB5" w:rsidTr="00A91D40">
        <w:trPr>
          <w:trHeight w:val="123"/>
        </w:trPr>
        <w:tc>
          <w:tcPr>
            <w:tcW w:w="25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EB5" w:rsidRPr="004B7EB5" w:rsidRDefault="004B7EB5" w:rsidP="00955BE8">
            <w:pPr>
              <w:ind w:left="-108"/>
              <w:jc w:val="right"/>
              <w:rPr>
                <w:b/>
                <w:bCs/>
                <w:color w:val="000000"/>
              </w:rPr>
            </w:pPr>
            <w:r w:rsidRPr="004B7EB5">
              <w:rPr>
                <w:b/>
                <w:bCs/>
                <w:color w:val="000000"/>
              </w:rPr>
              <w:t>IEVIEŠANA KOPĀ:</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EB5" w:rsidRPr="004B7EB5" w:rsidRDefault="004B7EB5" w:rsidP="00955BE8">
            <w:pPr>
              <w:ind w:left="-108"/>
              <w:jc w:val="center"/>
              <w:rPr>
                <w:b/>
                <w:bCs/>
                <w:color w:val="000000"/>
              </w:rPr>
            </w:pPr>
            <w:r w:rsidRPr="004B7EB5">
              <w:rPr>
                <w:b/>
                <w:bCs/>
                <w:color w:val="000000"/>
              </w:rPr>
              <w:t>127 983,93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7EB5" w:rsidRPr="004B7EB5" w:rsidRDefault="004B7EB5" w:rsidP="00955BE8">
            <w:pPr>
              <w:ind w:left="-108"/>
              <w:jc w:val="center"/>
              <w:rPr>
                <w:b/>
                <w:bCs/>
                <w:color w:val="000000"/>
              </w:rPr>
            </w:pPr>
            <w:r w:rsidRPr="004B7EB5">
              <w:rPr>
                <w:b/>
                <w:bCs/>
                <w:color w:val="000000"/>
              </w:rPr>
              <w:t>194 398,49</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EB5" w:rsidRPr="004B7EB5" w:rsidRDefault="004B7EB5" w:rsidP="00955BE8">
            <w:pPr>
              <w:ind w:left="-108"/>
              <w:rPr>
                <w:b/>
                <w:bCs/>
                <w:color w:val="000000"/>
              </w:rPr>
            </w:pPr>
          </w:p>
        </w:tc>
      </w:tr>
    </w:tbl>
    <w:p w:rsidR="00850D5D" w:rsidRPr="00850D5D" w:rsidRDefault="00D60067" w:rsidP="0076773C">
      <w:pPr>
        <w:spacing w:before="120" w:after="120"/>
        <w:ind w:firstLine="720"/>
        <w:jc w:val="both"/>
        <w:rPr>
          <w:sz w:val="28"/>
          <w:szCs w:val="28"/>
        </w:rPr>
      </w:pPr>
      <w:r>
        <w:rPr>
          <w:sz w:val="28"/>
          <w:szCs w:val="28"/>
        </w:rPr>
        <w:t>Izvērtējot 1. un 2.modeļa priekšrocības un trūkumus, Hipotēku banka rekomendēja realizēt 2.modeli, tādejādi nodrošinot vienotu klientu apkalpošanas kārtību Hipotēku bankā. Vienlaicīgi Hipotēku banka lūdza izskatīt jautājumu par izmaksu segšanas avotu, lai atbilstoša lēmuma gadījumā varētu tikt nodrošināta Krājbankā atvērto privatizācijas sertifikātu kontu pārcelšana un apkalpošana.</w:t>
      </w:r>
    </w:p>
    <w:p w:rsidR="00D47E9F" w:rsidRDefault="0019673E"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Ņemot vērā, ka šobrīd būtiskākais ir privatizācijas sertifikātu kontu pārcelšanas laika faktors, Ekonomikas ministrija atbalsta Hipotēku bankas piedāvāto privatizācijas sertifikātu kontu pārcelšanas 1.modeli</w:t>
      </w:r>
      <w:r w:rsidR="003659CC">
        <w:rPr>
          <w:rFonts w:ascii="Times New Roman" w:hAnsi="Times New Roman" w:cs="Times New Roman"/>
          <w:sz w:val="28"/>
          <w:szCs w:val="28"/>
        </w:rPr>
        <w:t xml:space="preserve">. </w:t>
      </w:r>
      <w:r w:rsidR="00D325E6">
        <w:rPr>
          <w:rFonts w:ascii="Times New Roman" w:hAnsi="Times New Roman" w:cs="Times New Roman"/>
          <w:sz w:val="28"/>
          <w:szCs w:val="28"/>
        </w:rPr>
        <w:t xml:space="preserve">Kā potenciālais </w:t>
      </w:r>
      <w:r w:rsidR="00D325E6" w:rsidRPr="0025652A">
        <w:rPr>
          <w:rFonts w:ascii="Times New Roman" w:hAnsi="Times New Roman" w:cs="Times New Roman"/>
          <w:sz w:val="28"/>
          <w:szCs w:val="28"/>
        </w:rPr>
        <w:t>izdevumu segšanas avots šobrīd tiek piedāvāt</w:t>
      </w:r>
      <w:r w:rsidR="0025652A" w:rsidRPr="0025652A">
        <w:rPr>
          <w:rFonts w:ascii="Times New Roman" w:hAnsi="Times New Roman" w:cs="Times New Roman"/>
          <w:sz w:val="28"/>
          <w:szCs w:val="28"/>
        </w:rPr>
        <w:t>i</w:t>
      </w:r>
      <w:r w:rsidR="0064234A">
        <w:rPr>
          <w:rFonts w:ascii="Times New Roman" w:hAnsi="Times New Roman" w:cs="Times New Roman"/>
          <w:sz w:val="28"/>
          <w:szCs w:val="28"/>
        </w:rPr>
        <w:t xml:space="preserve"> </w:t>
      </w:r>
      <w:r w:rsidR="003D45D8">
        <w:rPr>
          <w:rFonts w:ascii="Times New Roman" w:hAnsi="Times New Roman" w:cs="Times New Roman"/>
          <w:sz w:val="28"/>
          <w:szCs w:val="28"/>
        </w:rPr>
        <w:t xml:space="preserve">Privatizācijas aģentūras administrētie </w:t>
      </w:r>
      <w:r w:rsidR="0025652A" w:rsidRPr="0025652A">
        <w:rPr>
          <w:rFonts w:ascii="Times New Roman" w:hAnsi="Times New Roman" w:cs="Times New Roman"/>
          <w:sz w:val="28"/>
          <w:szCs w:val="28"/>
        </w:rPr>
        <w:t>rezerves fonda līdzekļi atb</w:t>
      </w:r>
      <w:r w:rsidR="0025652A">
        <w:rPr>
          <w:rFonts w:ascii="Times New Roman" w:hAnsi="Times New Roman" w:cs="Times New Roman"/>
          <w:sz w:val="28"/>
          <w:szCs w:val="28"/>
        </w:rPr>
        <w:t>ilstoši Ministru kabineta 2011.</w:t>
      </w:r>
      <w:r w:rsidR="0025652A" w:rsidRPr="0025652A">
        <w:rPr>
          <w:rFonts w:ascii="Times New Roman" w:hAnsi="Times New Roman" w:cs="Times New Roman"/>
          <w:sz w:val="28"/>
          <w:szCs w:val="28"/>
        </w:rPr>
        <w:t xml:space="preserve">gada </w:t>
      </w:r>
      <w:r w:rsidR="0025652A">
        <w:rPr>
          <w:rFonts w:ascii="Times New Roman" w:hAnsi="Times New Roman" w:cs="Times New Roman"/>
          <w:sz w:val="28"/>
          <w:szCs w:val="28"/>
        </w:rPr>
        <w:t>20.decembra noteikumu Nr.</w:t>
      </w:r>
      <w:r w:rsidR="0025652A" w:rsidRPr="0025652A">
        <w:rPr>
          <w:rFonts w:ascii="Times New Roman" w:hAnsi="Times New Roman" w:cs="Times New Roman"/>
          <w:sz w:val="28"/>
          <w:szCs w:val="28"/>
        </w:rPr>
        <w:t>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27.9.apakšpunktam</w:t>
      </w:r>
      <w:r w:rsidR="0025652A">
        <w:rPr>
          <w:rFonts w:ascii="Times New Roman" w:hAnsi="Times New Roman" w:cs="Times New Roman"/>
          <w:sz w:val="28"/>
          <w:szCs w:val="28"/>
        </w:rPr>
        <w:t>. Vienlaicīgi Ekonomikas ministrija</w:t>
      </w:r>
      <w:r w:rsidR="006370CC">
        <w:rPr>
          <w:rFonts w:ascii="Times New Roman" w:hAnsi="Times New Roman" w:cs="Times New Roman"/>
          <w:sz w:val="28"/>
          <w:szCs w:val="28"/>
        </w:rPr>
        <w:t xml:space="preserve"> ar iesaistītajām institūcijām</w:t>
      </w:r>
      <w:r w:rsidR="0025652A">
        <w:rPr>
          <w:rFonts w:ascii="Times New Roman" w:hAnsi="Times New Roman" w:cs="Times New Roman"/>
          <w:sz w:val="28"/>
          <w:szCs w:val="28"/>
        </w:rPr>
        <w:t xml:space="preserve"> turpina diskusijas gan par </w:t>
      </w:r>
      <w:r w:rsidR="00EF6304">
        <w:rPr>
          <w:rFonts w:ascii="Times New Roman" w:hAnsi="Times New Roman" w:cs="Times New Roman"/>
          <w:sz w:val="28"/>
          <w:szCs w:val="28"/>
        </w:rPr>
        <w:t>privatizācijas sertifikātu kontu pārcelšanai nepieciešamo laiku, gan par pārcelšanas izmaks</w:t>
      </w:r>
      <w:r w:rsidR="003D45D8">
        <w:rPr>
          <w:rFonts w:ascii="Times New Roman" w:hAnsi="Times New Roman" w:cs="Times New Roman"/>
          <w:sz w:val="28"/>
          <w:szCs w:val="28"/>
        </w:rPr>
        <w:t>u apmēru</w:t>
      </w:r>
      <w:r w:rsidR="00EF6304">
        <w:rPr>
          <w:rFonts w:ascii="Times New Roman" w:hAnsi="Times New Roman" w:cs="Times New Roman"/>
          <w:sz w:val="28"/>
          <w:szCs w:val="28"/>
        </w:rPr>
        <w:t xml:space="preserve">. </w:t>
      </w:r>
      <w:r w:rsidR="00DC6FD5">
        <w:rPr>
          <w:rFonts w:ascii="Times New Roman" w:hAnsi="Times New Roman" w:cs="Times New Roman"/>
          <w:sz w:val="28"/>
          <w:szCs w:val="28"/>
        </w:rPr>
        <w:t>Ekonomikas ministrija rūpīgi sekos tam, lai pēc iespējas samazinātu privatizācijas sertifi</w:t>
      </w:r>
      <w:r w:rsidR="003D45D8">
        <w:rPr>
          <w:rFonts w:ascii="Times New Roman" w:hAnsi="Times New Roman" w:cs="Times New Roman"/>
          <w:sz w:val="28"/>
          <w:szCs w:val="28"/>
        </w:rPr>
        <w:t>kātu kontu pārcelšanas izmaksas</w:t>
      </w:r>
      <w:r w:rsidR="00DC6FD5">
        <w:rPr>
          <w:rFonts w:ascii="Times New Roman" w:hAnsi="Times New Roman" w:cs="Times New Roman"/>
          <w:sz w:val="28"/>
          <w:szCs w:val="28"/>
        </w:rPr>
        <w:t>.</w:t>
      </w:r>
    </w:p>
    <w:p w:rsidR="00A91D40" w:rsidRDefault="00DC1331" w:rsidP="003D6177">
      <w:pPr>
        <w:pStyle w:val="EnvelopeReturn"/>
        <w:spacing w:after="120"/>
        <w:ind w:firstLine="720"/>
        <w:jc w:val="both"/>
        <w:rPr>
          <w:rFonts w:ascii="Times New Roman" w:hAnsi="Times New Roman" w:cs="Times New Roman"/>
          <w:sz w:val="28"/>
          <w:szCs w:val="28"/>
        </w:rPr>
      </w:pPr>
      <w:r>
        <w:rPr>
          <w:rFonts w:ascii="Times New Roman" w:hAnsi="Times New Roman"/>
          <w:sz w:val="28"/>
        </w:rPr>
        <w:t>Lai varētu segt privatizācijas sertifikātu kontu pārcelšanas izmaksas, ir paredzēts noslēgt atbilstošu līgumu ar Hipotēku banku par izdevumu segšanu saistībā ar privatizācijas sertifikātu centralizēto pārcelšanu no Krājbankas. No valsts puses kā līgumslēdzēja puse varētu iestāties Ekonomikas ministrija, paredzot līguma noteikumu saskaņošanu arī ar Finanšu ministriju.</w:t>
      </w:r>
    </w:p>
    <w:p w:rsidR="00C622AD" w:rsidRDefault="00F70804"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Krājbankā esošo privatizācijas sertifikātu kontu pārcelšanas kontekstā</w:t>
      </w:r>
      <w:r w:rsidR="00183E0C">
        <w:rPr>
          <w:rFonts w:ascii="Times New Roman" w:hAnsi="Times New Roman" w:cs="Times New Roman"/>
          <w:sz w:val="28"/>
          <w:szCs w:val="28"/>
        </w:rPr>
        <w:t xml:space="preserve"> Hipotēku bankai bez izdevumu segšanas avota identificēšanas</w:t>
      </w:r>
      <w:r w:rsidR="0064234A">
        <w:rPr>
          <w:rFonts w:ascii="Times New Roman" w:hAnsi="Times New Roman" w:cs="Times New Roman"/>
          <w:sz w:val="28"/>
          <w:szCs w:val="28"/>
        </w:rPr>
        <w:t xml:space="preserve"> </w:t>
      </w:r>
      <w:r w:rsidR="00183E0C">
        <w:rPr>
          <w:rFonts w:ascii="Times New Roman" w:hAnsi="Times New Roman" w:cs="Times New Roman"/>
          <w:sz w:val="28"/>
          <w:szCs w:val="28"/>
        </w:rPr>
        <w:t>svarīgs</w:t>
      </w:r>
      <w:r w:rsidR="0064234A">
        <w:rPr>
          <w:rFonts w:ascii="Times New Roman" w:hAnsi="Times New Roman" w:cs="Times New Roman"/>
          <w:sz w:val="28"/>
          <w:szCs w:val="28"/>
        </w:rPr>
        <w:t xml:space="preserve"> </w:t>
      </w:r>
      <w:r w:rsidR="00183E0C">
        <w:rPr>
          <w:rFonts w:ascii="Times New Roman" w:hAnsi="Times New Roman" w:cs="Times New Roman"/>
          <w:sz w:val="28"/>
          <w:szCs w:val="28"/>
        </w:rPr>
        <w:t xml:space="preserve">ir arī </w:t>
      </w:r>
      <w:r>
        <w:rPr>
          <w:rFonts w:ascii="Times New Roman" w:hAnsi="Times New Roman" w:cs="Times New Roman"/>
          <w:sz w:val="28"/>
          <w:szCs w:val="28"/>
        </w:rPr>
        <w:t>jautājum</w:t>
      </w:r>
      <w:r w:rsidR="00183E0C">
        <w:rPr>
          <w:rFonts w:ascii="Times New Roman" w:hAnsi="Times New Roman" w:cs="Times New Roman"/>
          <w:sz w:val="28"/>
          <w:szCs w:val="28"/>
        </w:rPr>
        <w:t xml:space="preserve">s par atbildību saistībā ar </w:t>
      </w:r>
      <w:r w:rsidR="004A4C8C">
        <w:rPr>
          <w:rFonts w:ascii="Times New Roman" w:hAnsi="Times New Roman" w:cs="Times New Roman"/>
          <w:sz w:val="28"/>
          <w:szCs w:val="28"/>
        </w:rPr>
        <w:t xml:space="preserve">Krājbankas </w:t>
      </w:r>
      <w:r w:rsidR="001E2B13">
        <w:rPr>
          <w:rFonts w:ascii="Times New Roman" w:hAnsi="Times New Roman" w:cs="Times New Roman"/>
          <w:sz w:val="28"/>
          <w:szCs w:val="28"/>
        </w:rPr>
        <w:t xml:space="preserve">sistēmas datu atbilstību </w:t>
      </w:r>
      <w:r w:rsidR="00394B14">
        <w:rPr>
          <w:rFonts w:ascii="Times New Roman" w:hAnsi="Times New Roman" w:cs="Times New Roman"/>
          <w:sz w:val="28"/>
          <w:szCs w:val="28"/>
        </w:rPr>
        <w:t xml:space="preserve">klientu </w:t>
      </w:r>
      <w:r w:rsidR="00394B14">
        <w:rPr>
          <w:rFonts w:ascii="Times New Roman" w:hAnsi="Times New Roman" w:cs="Times New Roman"/>
          <w:sz w:val="28"/>
          <w:szCs w:val="28"/>
        </w:rPr>
        <w:lastRenderedPageBreak/>
        <w:t>lietās esošajiem dokumentiem.</w:t>
      </w:r>
      <w:r w:rsidR="001E2B13">
        <w:rPr>
          <w:rFonts w:ascii="Times New Roman" w:hAnsi="Times New Roman" w:cs="Times New Roman"/>
          <w:sz w:val="28"/>
          <w:szCs w:val="28"/>
        </w:rPr>
        <w:t xml:space="preserve"> Saskaņā ar Hipotēku bankas veikto analīzi pēc provizoriskajiem aprēķiniem Krājbankas klientu lietu </w:t>
      </w:r>
      <w:r w:rsidR="004A4C8C">
        <w:rPr>
          <w:rFonts w:ascii="Times New Roman" w:hAnsi="Times New Roman" w:cs="Times New Roman"/>
          <w:sz w:val="28"/>
          <w:szCs w:val="28"/>
        </w:rPr>
        <w:t xml:space="preserve">pilnīga </w:t>
      </w:r>
      <w:r w:rsidR="001E2B13">
        <w:rPr>
          <w:rFonts w:ascii="Times New Roman" w:hAnsi="Times New Roman" w:cs="Times New Roman"/>
          <w:sz w:val="28"/>
          <w:szCs w:val="28"/>
        </w:rPr>
        <w:t>audita veikšanai</w:t>
      </w:r>
      <w:r w:rsidR="004A4C8C">
        <w:rPr>
          <w:rFonts w:ascii="Times New Roman" w:hAnsi="Times New Roman" w:cs="Times New Roman"/>
          <w:sz w:val="28"/>
          <w:szCs w:val="28"/>
        </w:rPr>
        <w:t xml:space="preserve"> ir</w:t>
      </w:r>
      <w:r w:rsidR="001E2B13">
        <w:rPr>
          <w:rFonts w:ascii="Times New Roman" w:hAnsi="Times New Roman" w:cs="Times New Roman"/>
          <w:sz w:val="28"/>
          <w:szCs w:val="28"/>
        </w:rPr>
        <w:t xml:space="preserve"> nepieciešami 1 slodzes 500 gadi. Līdz ar to Krājbankas klientu lietu pilnīgs audits nav faktiski iespējams,</w:t>
      </w:r>
      <w:r w:rsidR="0064234A">
        <w:rPr>
          <w:rFonts w:ascii="Times New Roman" w:hAnsi="Times New Roman" w:cs="Times New Roman"/>
          <w:sz w:val="28"/>
          <w:szCs w:val="28"/>
        </w:rPr>
        <w:t xml:space="preserve"> </w:t>
      </w:r>
      <w:r w:rsidR="001E2B13">
        <w:rPr>
          <w:rFonts w:ascii="Times New Roman" w:hAnsi="Times New Roman" w:cs="Times New Roman"/>
          <w:sz w:val="28"/>
          <w:szCs w:val="28"/>
        </w:rPr>
        <w:t>taču vienlaicīgi aktuāls ir jautājums par to, kur</w:t>
      </w:r>
      <w:r w:rsidR="004A4C8C">
        <w:rPr>
          <w:rFonts w:ascii="Times New Roman" w:hAnsi="Times New Roman" w:cs="Times New Roman"/>
          <w:sz w:val="28"/>
          <w:szCs w:val="28"/>
        </w:rPr>
        <w:t>a institūcija</w:t>
      </w:r>
      <w:r w:rsidR="001E2B13">
        <w:rPr>
          <w:rFonts w:ascii="Times New Roman" w:hAnsi="Times New Roman" w:cs="Times New Roman"/>
          <w:sz w:val="28"/>
          <w:szCs w:val="28"/>
        </w:rPr>
        <w:t xml:space="preserve"> uzņemsies atbildību</w:t>
      </w:r>
      <w:r w:rsidR="004A4C8C">
        <w:rPr>
          <w:rFonts w:ascii="Times New Roman" w:hAnsi="Times New Roman" w:cs="Times New Roman"/>
          <w:sz w:val="28"/>
          <w:szCs w:val="28"/>
        </w:rPr>
        <w:t xml:space="preserve"> situācijā</w:t>
      </w:r>
      <w:r w:rsidR="001E2B13">
        <w:rPr>
          <w:rFonts w:ascii="Times New Roman" w:hAnsi="Times New Roman" w:cs="Times New Roman"/>
          <w:sz w:val="28"/>
          <w:szCs w:val="28"/>
        </w:rPr>
        <w:t xml:space="preserve">, ja </w:t>
      </w:r>
      <w:r w:rsidR="004A4C8C">
        <w:rPr>
          <w:rFonts w:ascii="Times New Roman" w:hAnsi="Times New Roman" w:cs="Times New Roman"/>
          <w:sz w:val="28"/>
          <w:szCs w:val="28"/>
        </w:rPr>
        <w:t xml:space="preserve">kādam klientam </w:t>
      </w:r>
      <w:r w:rsidR="001E2B13">
        <w:rPr>
          <w:rFonts w:ascii="Times New Roman" w:hAnsi="Times New Roman" w:cs="Times New Roman"/>
          <w:sz w:val="28"/>
          <w:szCs w:val="28"/>
        </w:rPr>
        <w:t>Krājbankas klientu lietās esošā dokumentācija neatbil</w:t>
      </w:r>
      <w:r w:rsidR="004A4C8C">
        <w:rPr>
          <w:rFonts w:ascii="Times New Roman" w:hAnsi="Times New Roman" w:cs="Times New Roman"/>
          <w:sz w:val="28"/>
          <w:szCs w:val="28"/>
        </w:rPr>
        <w:t>dīs</w:t>
      </w:r>
      <w:r w:rsidR="001E2B13">
        <w:rPr>
          <w:rFonts w:ascii="Times New Roman" w:hAnsi="Times New Roman" w:cs="Times New Roman"/>
          <w:sz w:val="28"/>
          <w:szCs w:val="28"/>
        </w:rPr>
        <w:t xml:space="preserve"> Krājbankas sistēmas datiem</w:t>
      </w:r>
      <w:r w:rsidR="00394B14">
        <w:rPr>
          <w:rFonts w:ascii="Times New Roman" w:hAnsi="Times New Roman" w:cs="Times New Roman"/>
          <w:sz w:val="28"/>
          <w:szCs w:val="28"/>
        </w:rPr>
        <w:t>.</w:t>
      </w:r>
    </w:p>
    <w:p w:rsidR="00B957C7" w:rsidRDefault="00B957C7"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Ņemot vērā, ka Krājbanka atrodas likvidēšanas procesā, ievērojot </w:t>
      </w:r>
      <w:r w:rsidR="00C64272">
        <w:rPr>
          <w:rFonts w:ascii="Times New Roman" w:hAnsi="Times New Roman" w:cs="Times New Roman"/>
          <w:sz w:val="28"/>
          <w:szCs w:val="28"/>
        </w:rPr>
        <w:t>Kredītiestāžu likuma</w:t>
      </w:r>
      <w:r>
        <w:rPr>
          <w:rFonts w:ascii="Times New Roman" w:hAnsi="Times New Roman" w:cs="Times New Roman"/>
          <w:sz w:val="28"/>
          <w:szCs w:val="28"/>
        </w:rPr>
        <w:t xml:space="preserve"> noteikumus</w:t>
      </w:r>
      <w:r w:rsidR="00C64272">
        <w:rPr>
          <w:rFonts w:ascii="Times New Roman" w:hAnsi="Times New Roman" w:cs="Times New Roman"/>
          <w:sz w:val="28"/>
          <w:szCs w:val="28"/>
        </w:rPr>
        <w:t>, kas paredz, ka pēc maksātnespējas procesa izbeigšanas visi dokumenti tiek nodoti arhīvā</w:t>
      </w:r>
      <w:r>
        <w:rPr>
          <w:rFonts w:ascii="Times New Roman" w:hAnsi="Times New Roman" w:cs="Times New Roman"/>
          <w:sz w:val="28"/>
          <w:szCs w:val="28"/>
        </w:rPr>
        <w:t>, secināms, ka uz Hipotēku banku kopā ar privatizācijas sertifikātu kontiem nav pārce</w:t>
      </w:r>
      <w:r w:rsidR="00DC20F4">
        <w:rPr>
          <w:rFonts w:ascii="Times New Roman" w:hAnsi="Times New Roman" w:cs="Times New Roman"/>
          <w:sz w:val="28"/>
          <w:szCs w:val="28"/>
        </w:rPr>
        <w:t>ļamas</w:t>
      </w:r>
      <w:r>
        <w:rPr>
          <w:rFonts w:ascii="Times New Roman" w:hAnsi="Times New Roman" w:cs="Times New Roman"/>
          <w:sz w:val="28"/>
          <w:szCs w:val="28"/>
        </w:rPr>
        <w:t xml:space="preserve"> arī Krājbankā vestās privatizācijas sertifikātu ko</w:t>
      </w:r>
      <w:r w:rsidR="00DC20F4">
        <w:rPr>
          <w:rFonts w:ascii="Times New Roman" w:hAnsi="Times New Roman" w:cs="Times New Roman"/>
          <w:sz w:val="28"/>
          <w:szCs w:val="28"/>
        </w:rPr>
        <w:t>ntu lietas</w:t>
      </w:r>
      <w:r w:rsidR="00946440">
        <w:rPr>
          <w:rFonts w:ascii="Times New Roman" w:hAnsi="Times New Roman" w:cs="Times New Roman"/>
          <w:sz w:val="28"/>
          <w:szCs w:val="28"/>
        </w:rPr>
        <w:t xml:space="preserve"> un privatizācijas sertifikātu kontos veikto darījumu (transakciju) vēsture līdz konta atlikuma pārcelšanai uz Hipotēku banku</w:t>
      </w:r>
      <w:r>
        <w:rPr>
          <w:rFonts w:ascii="Times New Roman" w:hAnsi="Times New Roman" w:cs="Times New Roman"/>
          <w:sz w:val="28"/>
          <w:szCs w:val="28"/>
        </w:rPr>
        <w:t>. Tādejādi uz Hipotēku banku</w:t>
      </w:r>
      <w:r w:rsidR="003C0B7A">
        <w:rPr>
          <w:rFonts w:ascii="Times New Roman" w:hAnsi="Times New Roman" w:cs="Times New Roman"/>
          <w:sz w:val="28"/>
          <w:szCs w:val="28"/>
        </w:rPr>
        <w:t xml:space="preserve"> tiks pārcelti</w:t>
      </w:r>
      <w:r>
        <w:rPr>
          <w:rFonts w:ascii="Times New Roman" w:hAnsi="Times New Roman" w:cs="Times New Roman"/>
          <w:sz w:val="28"/>
          <w:szCs w:val="28"/>
        </w:rPr>
        <w:t xml:space="preserve"> tikai privatizācijas sertifikātu kontos esoš</w:t>
      </w:r>
      <w:r w:rsidR="003C0B7A">
        <w:rPr>
          <w:rFonts w:ascii="Times New Roman" w:hAnsi="Times New Roman" w:cs="Times New Roman"/>
          <w:sz w:val="28"/>
          <w:szCs w:val="28"/>
        </w:rPr>
        <w:t>ie</w:t>
      </w:r>
      <w:r w:rsidR="00EA510A">
        <w:rPr>
          <w:rFonts w:ascii="Times New Roman" w:hAnsi="Times New Roman" w:cs="Times New Roman"/>
          <w:sz w:val="28"/>
          <w:szCs w:val="28"/>
        </w:rPr>
        <w:t xml:space="preserve"> </w:t>
      </w:r>
      <w:r w:rsidR="00DC20F4">
        <w:rPr>
          <w:rFonts w:ascii="Times New Roman" w:hAnsi="Times New Roman" w:cs="Times New Roman"/>
          <w:sz w:val="28"/>
          <w:szCs w:val="28"/>
        </w:rPr>
        <w:t>pri</w:t>
      </w:r>
      <w:r w:rsidR="003C0B7A">
        <w:rPr>
          <w:rFonts w:ascii="Times New Roman" w:hAnsi="Times New Roman" w:cs="Times New Roman"/>
          <w:sz w:val="28"/>
          <w:szCs w:val="28"/>
        </w:rPr>
        <w:t>vatizācijas sertifikātu atlikumi</w:t>
      </w:r>
      <w:r w:rsidR="00DC20F4">
        <w:rPr>
          <w:rFonts w:ascii="Times New Roman" w:hAnsi="Times New Roman" w:cs="Times New Roman"/>
          <w:sz w:val="28"/>
          <w:szCs w:val="28"/>
        </w:rPr>
        <w:t>, privatizācijas sertifikātu kontu lietas</w:t>
      </w:r>
      <w:r w:rsidR="00946440">
        <w:rPr>
          <w:rFonts w:ascii="Times New Roman" w:hAnsi="Times New Roman" w:cs="Times New Roman"/>
          <w:sz w:val="28"/>
          <w:szCs w:val="28"/>
        </w:rPr>
        <w:t xml:space="preserve"> un kontos veikto darījumu (transakciju) vēsturi</w:t>
      </w:r>
      <w:r w:rsidR="00DC20F4">
        <w:rPr>
          <w:rFonts w:ascii="Times New Roman" w:hAnsi="Times New Roman" w:cs="Times New Roman"/>
          <w:sz w:val="28"/>
          <w:szCs w:val="28"/>
        </w:rPr>
        <w:t xml:space="preserve"> atstājot Krājbankā.</w:t>
      </w:r>
      <w:r w:rsidR="004163A1">
        <w:rPr>
          <w:rFonts w:ascii="Times New Roman" w:hAnsi="Times New Roman" w:cs="Times New Roman"/>
          <w:sz w:val="28"/>
          <w:szCs w:val="28"/>
        </w:rPr>
        <w:t xml:space="preserve"> Līdz ar to, Hipotēku bankas atbildība par privatizācijas sertifikātu kontiem sāktos ar to pārņemšanas brīdi.</w:t>
      </w:r>
    </w:p>
    <w:p w:rsidR="00F70804" w:rsidRDefault="00C64272"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Vienlaikus aktuāls paliek jautājums par tiem gadījumiem, kad pēc Krājbankā esošo privatizācijas sertifikātu kontu pārcelšanas privātpersonām rastos pretenzijas par privatizācijas sertifikātu kontu atlikumu.</w:t>
      </w:r>
      <w:r w:rsidR="00EA510A">
        <w:rPr>
          <w:rFonts w:ascii="Times New Roman" w:hAnsi="Times New Roman" w:cs="Times New Roman"/>
          <w:sz w:val="28"/>
          <w:szCs w:val="28"/>
        </w:rPr>
        <w:t xml:space="preserve"> </w:t>
      </w:r>
      <w:r w:rsidR="00C622AD">
        <w:rPr>
          <w:rFonts w:ascii="Times New Roman" w:hAnsi="Times New Roman" w:cs="Times New Roman"/>
          <w:sz w:val="28"/>
          <w:szCs w:val="28"/>
        </w:rPr>
        <w:t>P</w:t>
      </w:r>
      <w:r w:rsidR="00C622AD" w:rsidRPr="00C622AD">
        <w:rPr>
          <w:rFonts w:ascii="Times New Roman" w:hAnsi="Times New Roman" w:cs="Times New Roman"/>
          <w:sz w:val="28"/>
          <w:szCs w:val="28"/>
        </w:rPr>
        <w:t>rivatizācijas sertifikāti ir uzskatāmi par valsts saistību pret privatizācijas sertifikātu īpašniekiem</w:t>
      </w:r>
      <w:r w:rsidR="00C622AD">
        <w:rPr>
          <w:rFonts w:ascii="Times New Roman" w:hAnsi="Times New Roman" w:cs="Times New Roman"/>
          <w:sz w:val="28"/>
          <w:szCs w:val="28"/>
        </w:rPr>
        <w:t>. Vienlaicīgi valsts ar normatīvajiem aktiem ir uzdevusi noteiktām institūcijām veikt kontroli pār darbībā</w:t>
      </w:r>
      <w:r w:rsidR="008F7A24">
        <w:rPr>
          <w:rFonts w:ascii="Times New Roman" w:hAnsi="Times New Roman" w:cs="Times New Roman"/>
          <w:sz w:val="28"/>
          <w:szCs w:val="28"/>
        </w:rPr>
        <w:t>m</w:t>
      </w:r>
      <w:r w:rsidR="00C622AD">
        <w:rPr>
          <w:rFonts w:ascii="Times New Roman" w:hAnsi="Times New Roman" w:cs="Times New Roman"/>
          <w:sz w:val="28"/>
          <w:szCs w:val="28"/>
        </w:rPr>
        <w:t xml:space="preserve">, kuras kredītiestādes veic atverot un apkalpojot privatizācijas sertifikātu kontus. Situācijā, kad atbildību par iespējamām </w:t>
      </w:r>
      <w:r w:rsidR="00CB48E6">
        <w:rPr>
          <w:rFonts w:ascii="Times New Roman" w:hAnsi="Times New Roman" w:cs="Times New Roman"/>
          <w:sz w:val="28"/>
          <w:szCs w:val="28"/>
        </w:rPr>
        <w:t xml:space="preserve">neatbilstībām starp Krājbankas klientu lietu dokumentiem un privatizācijas sertifikātu sistēmu </w:t>
      </w:r>
      <w:r w:rsidR="008913BA">
        <w:rPr>
          <w:rFonts w:ascii="Times New Roman" w:hAnsi="Times New Roman" w:cs="Times New Roman"/>
          <w:sz w:val="28"/>
          <w:szCs w:val="28"/>
        </w:rPr>
        <w:t xml:space="preserve">pārņemšanas gadījumā </w:t>
      </w:r>
      <w:r w:rsidR="00CB48E6">
        <w:rPr>
          <w:rFonts w:ascii="Times New Roman" w:hAnsi="Times New Roman" w:cs="Times New Roman"/>
          <w:sz w:val="28"/>
          <w:szCs w:val="28"/>
        </w:rPr>
        <w:t xml:space="preserve">nevar uzņemties Hipotēku banka, </w:t>
      </w:r>
      <w:r w:rsidR="008F7A24">
        <w:rPr>
          <w:rFonts w:ascii="Times New Roman" w:hAnsi="Times New Roman" w:cs="Times New Roman"/>
          <w:sz w:val="28"/>
          <w:szCs w:val="28"/>
        </w:rPr>
        <w:t xml:space="preserve">privātpersonai būtu jābūt iespējai vērsties pie valsts savu tiesību aizstāvībai. </w:t>
      </w:r>
      <w:r>
        <w:rPr>
          <w:rFonts w:ascii="Times New Roman" w:hAnsi="Times New Roman" w:cs="Times New Roman"/>
          <w:sz w:val="28"/>
          <w:szCs w:val="28"/>
        </w:rPr>
        <w:t>Tādā situācijā tiktu izvērtēts katrs gadījums individuāli un attiecīgi pēc tam novērtētas iespējas celt regresa pras</w:t>
      </w:r>
      <w:r w:rsidR="005A4972">
        <w:rPr>
          <w:rFonts w:ascii="Times New Roman" w:hAnsi="Times New Roman" w:cs="Times New Roman"/>
          <w:sz w:val="28"/>
          <w:szCs w:val="28"/>
        </w:rPr>
        <w:t>ību</w:t>
      </w:r>
      <w:r>
        <w:rPr>
          <w:rFonts w:ascii="Times New Roman" w:hAnsi="Times New Roman" w:cs="Times New Roman"/>
          <w:sz w:val="28"/>
          <w:szCs w:val="28"/>
        </w:rPr>
        <w:t>.</w:t>
      </w:r>
      <w:r w:rsidR="00EA510A">
        <w:rPr>
          <w:rFonts w:ascii="Times New Roman" w:hAnsi="Times New Roman" w:cs="Times New Roman"/>
          <w:sz w:val="28"/>
          <w:szCs w:val="28"/>
        </w:rPr>
        <w:t xml:space="preserve"> </w:t>
      </w:r>
      <w:r w:rsidR="008F7A24">
        <w:rPr>
          <w:rFonts w:ascii="Times New Roman" w:hAnsi="Times New Roman" w:cs="Times New Roman"/>
          <w:sz w:val="28"/>
          <w:szCs w:val="28"/>
        </w:rPr>
        <w:t>Iespējamie riski ir minimāli. Visupirms, s</w:t>
      </w:r>
      <w:r w:rsidR="00C622AD">
        <w:rPr>
          <w:rFonts w:ascii="Times New Roman" w:hAnsi="Times New Roman" w:cs="Times New Roman"/>
          <w:sz w:val="28"/>
          <w:szCs w:val="28"/>
        </w:rPr>
        <w:t>askaņā ar Civillikuma 1895.pantu v</w:t>
      </w:r>
      <w:r w:rsidR="00C622AD" w:rsidRPr="00C622AD">
        <w:rPr>
          <w:rFonts w:ascii="Times New Roman" w:hAnsi="Times New Roman" w:cs="Times New Roman"/>
          <w:sz w:val="28"/>
          <w:szCs w:val="28"/>
        </w:rPr>
        <w:t>isas saistību tiesības, kuras nav noteikti izņemtas no noilguma ietekmes un kuru izlietošanai nav likumā noteikti īsāki termiņi, izbeidzas, ja tiesīgā persona tās neizlieto desmit gadu laikā</w:t>
      </w:r>
      <w:r w:rsidR="00C622AD">
        <w:rPr>
          <w:rFonts w:ascii="Times New Roman" w:hAnsi="Times New Roman" w:cs="Times New Roman"/>
          <w:sz w:val="28"/>
          <w:szCs w:val="28"/>
        </w:rPr>
        <w:t xml:space="preserve">. </w:t>
      </w:r>
      <w:r w:rsidR="008F7A24">
        <w:rPr>
          <w:rFonts w:ascii="Times New Roman" w:hAnsi="Times New Roman" w:cs="Times New Roman"/>
          <w:sz w:val="28"/>
          <w:szCs w:val="28"/>
        </w:rPr>
        <w:t>Privatizācijas sertifikātu iztrūkuma gadījumā, valstij pastāv iespēja iztrūkstošos sertifikātus emitēt no jauna.</w:t>
      </w:r>
      <w:r w:rsidR="008913BA">
        <w:rPr>
          <w:rFonts w:ascii="Times New Roman" w:hAnsi="Times New Roman" w:cs="Times New Roman"/>
          <w:sz w:val="28"/>
          <w:szCs w:val="28"/>
        </w:rPr>
        <w:t xml:space="preserve"> Savukārt, privatizācijas sertifikātus, kas pārsniedz to apjomu, kas privātpersonai pienākas saskaņā ar likumu, </w:t>
      </w:r>
      <w:r w:rsidR="000546FF">
        <w:rPr>
          <w:rFonts w:ascii="Times New Roman" w:hAnsi="Times New Roman" w:cs="Times New Roman"/>
          <w:sz w:val="28"/>
          <w:szCs w:val="28"/>
        </w:rPr>
        <w:t>ir iespējams dzēst.</w:t>
      </w:r>
    </w:p>
    <w:p w:rsidR="000546FF" w:rsidRDefault="004163A1"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Vienlaicīgi p</w:t>
      </w:r>
      <w:r w:rsidR="000546FF">
        <w:rPr>
          <w:rFonts w:ascii="Times New Roman" w:hAnsi="Times New Roman" w:cs="Times New Roman"/>
          <w:sz w:val="28"/>
          <w:szCs w:val="28"/>
        </w:rPr>
        <w:t xml:space="preserve">irms privatizācijas sertifikātu kontu pārcelšanas tiek plānots veikt </w:t>
      </w:r>
      <w:r w:rsidR="00A14CE5">
        <w:rPr>
          <w:rFonts w:ascii="Times New Roman" w:hAnsi="Times New Roman" w:cs="Times New Roman"/>
          <w:sz w:val="28"/>
          <w:szCs w:val="28"/>
        </w:rPr>
        <w:t>auditu izlases kārtībā, tas ir tiks pārbaudītas atsevišķas Krājbankā esošās klientu lietas par aptuveni 0,5 – 1 % no visiem Krājbankā atvērtajiem privatizācijas sertifikātu kontiem. Tādejādi tiks noteikts iespējamo neatbilstību riska apjoms.</w:t>
      </w:r>
    </w:p>
    <w:p w:rsidR="003031D8" w:rsidRPr="0025652A" w:rsidRDefault="0096582D"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Diskusiju ietvaros, cita starpā, ir izskanējis priekšlikums no Krājbankas uz Hipotēku banku pārcelt tikai „aktīvos” privatizācijas sertifikātu kontus</w:t>
      </w:r>
      <w:r w:rsidR="00E62E69">
        <w:rPr>
          <w:rFonts w:ascii="Times New Roman" w:hAnsi="Times New Roman" w:cs="Times New Roman"/>
          <w:sz w:val="28"/>
          <w:szCs w:val="28"/>
        </w:rPr>
        <w:t xml:space="preserve">. Izvērtējot </w:t>
      </w:r>
      <w:r w:rsidR="00A704FF">
        <w:rPr>
          <w:rFonts w:ascii="Times New Roman" w:hAnsi="Times New Roman" w:cs="Times New Roman"/>
          <w:sz w:val="28"/>
          <w:szCs w:val="28"/>
        </w:rPr>
        <w:t>priekšlikumu</w:t>
      </w:r>
      <w:r w:rsidR="00E62E69">
        <w:rPr>
          <w:rFonts w:ascii="Times New Roman" w:hAnsi="Times New Roman" w:cs="Times New Roman"/>
          <w:sz w:val="28"/>
          <w:szCs w:val="28"/>
        </w:rPr>
        <w:t xml:space="preserve">, </w:t>
      </w:r>
      <w:r w:rsidR="00A704FF">
        <w:rPr>
          <w:rFonts w:ascii="Times New Roman" w:hAnsi="Times New Roman" w:cs="Times New Roman"/>
          <w:sz w:val="28"/>
          <w:szCs w:val="28"/>
        </w:rPr>
        <w:t>Ekonomikas ministrijas, Tieslietu ministrijas un Valsts kancelejas pārstāvji 2012.gada 17.decembra tikšanās laikā secināja, ka šāds risinājums nav iespējams.</w:t>
      </w:r>
      <w:r w:rsidR="006B0D6D">
        <w:rPr>
          <w:rFonts w:ascii="Times New Roman" w:hAnsi="Times New Roman" w:cs="Times New Roman"/>
          <w:sz w:val="28"/>
          <w:szCs w:val="28"/>
        </w:rPr>
        <w:t xml:space="preserve"> Visupirms, ņemot vērā privatizācijas sertifikātu izmantošanas īpatnības (to</w:t>
      </w:r>
      <w:r w:rsidR="00D52DF8">
        <w:rPr>
          <w:rFonts w:ascii="Times New Roman" w:hAnsi="Times New Roman" w:cs="Times New Roman"/>
          <w:sz w:val="28"/>
          <w:szCs w:val="28"/>
        </w:rPr>
        <w:t>s</w:t>
      </w:r>
      <w:r w:rsidR="0064234A">
        <w:rPr>
          <w:rFonts w:ascii="Times New Roman" w:hAnsi="Times New Roman" w:cs="Times New Roman"/>
          <w:sz w:val="28"/>
          <w:szCs w:val="28"/>
        </w:rPr>
        <w:t xml:space="preserve"> </w:t>
      </w:r>
      <w:r w:rsidR="006B0D6D" w:rsidRPr="005938C4">
        <w:rPr>
          <w:rFonts w:ascii="Times New Roman" w:hAnsi="Times New Roman" w:cs="Times New Roman"/>
          <w:sz w:val="28"/>
          <w:szCs w:val="28"/>
        </w:rPr>
        <w:t>var tikai vienreiz izlietot kā maksāšanas līdzekli par privatizējamo valsts vai pašvaldību īpašumu</w:t>
      </w:r>
      <w:r w:rsidR="006B0D6D">
        <w:rPr>
          <w:rFonts w:ascii="Times New Roman" w:hAnsi="Times New Roman" w:cs="Times New Roman"/>
          <w:sz w:val="28"/>
          <w:szCs w:val="28"/>
        </w:rPr>
        <w:t>), ir praktiski neiespējami identificēt „aktīvos” un „neaktīvos” privatizācijas sertifikātu īpašniekus.</w:t>
      </w:r>
      <w:r w:rsidR="00A77719">
        <w:rPr>
          <w:rFonts w:ascii="Times New Roman" w:hAnsi="Times New Roman" w:cs="Times New Roman"/>
          <w:sz w:val="28"/>
          <w:szCs w:val="28"/>
        </w:rPr>
        <w:t xml:space="preserve"> Tā kā privatizācijas process joprojām turpinās, tad </w:t>
      </w:r>
      <w:r w:rsidR="006A2405">
        <w:rPr>
          <w:rFonts w:ascii="Times New Roman" w:hAnsi="Times New Roman" w:cs="Times New Roman"/>
          <w:sz w:val="28"/>
          <w:szCs w:val="28"/>
        </w:rPr>
        <w:t xml:space="preserve">pastāv </w:t>
      </w:r>
      <w:r w:rsidR="00F273DB">
        <w:rPr>
          <w:rFonts w:ascii="Times New Roman" w:hAnsi="Times New Roman" w:cs="Times New Roman"/>
          <w:sz w:val="28"/>
          <w:szCs w:val="28"/>
        </w:rPr>
        <w:t>iespēja</w:t>
      </w:r>
      <w:r w:rsidR="006A2405">
        <w:rPr>
          <w:rFonts w:ascii="Times New Roman" w:hAnsi="Times New Roman" w:cs="Times New Roman"/>
          <w:sz w:val="28"/>
          <w:szCs w:val="28"/>
        </w:rPr>
        <w:t>, ka privatizācijas sertifikātu īpašnieks, lai gan ilgstoši nav rīkojies ar tam piederošajiem privatizācijas sertifikātiem, joprojām gaida lēmuma pieņemšanu par interesējošo valsts vai pašvaldības īpašumu.</w:t>
      </w:r>
      <w:r w:rsidR="0064234A">
        <w:rPr>
          <w:rFonts w:ascii="Times New Roman" w:hAnsi="Times New Roman" w:cs="Times New Roman"/>
          <w:sz w:val="28"/>
          <w:szCs w:val="28"/>
        </w:rPr>
        <w:t xml:space="preserve"> </w:t>
      </w:r>
      <w:r w:rsidR="000B7847">
        <w:rPr>
          <w:rFonts w:ascii="Times New Roman" w:hAnsi="Times New Roman" w:cs="Times New Roman"/>
          <w:sz w:val="28"/>
          <w:szCs w:val="28"/>
        </w:rPr>
        <w:t>Vienlaicīgi, p</w:t>
      </w:r>
      <w:r w:rsidR="006B0D6D">
        <w:rPr>
          <w:rFonts w:ascii="Times New Roman" w:hAnsi="Times New Roman" w:cs="Times New Roman"/>
          <w:sz w:val="28"/>
          <w:szCs w:val="28"/>
        </w:rPr>
        <w:t>ārceļot tikai daļu no Krājbankā esošajiem privatizācijas sertifikātu kontiem</w:t>
      </w:r>
      <w:r w:rsidR="000B7847">
        <w:rPr>
          <w:rFonts w:ascii="Times New Roman" w:hAnsi="Times New Roman" w:cs="Times New Roman"/>
          <w:sz w:val="28"/>
          <w:szCs w:val="28"/>
        </w:rPr>
        <w:t>, tiks pārkāpts vienlīdzības princips. Turklāt, ievērojot noteikumu Nr.712 31.9.apakšpunktā noteikto, visiem privatizācijas sertifikātu īpašniekiem, kuru manta atrodas Krājbankā, ir radusies tiesiskā paļāvība uz to, ka visi Krājbankā esošie privatizācijas sertifikātu konti tiks pārcelti kopā, tos neizdalot.</w:t>
      </w:r>
      <w:r w:rsidR="0064234A">
        <w:rPr>
          <w:rFonts w:ascii="Times New Roman" w:hAnsi="Times New Roman" w:cs="Times New Roman"/>
          <w:sz w:val="28"/>
          <w:szCs w:val="28"/>
        </w:rPr>
        <w:t xml:space="preserve"> </w:t>
      </w:r>
      <w:r w:rsidR="004806DA">
        <w:rPr>
          <w:rFonts w:ascii="Times New Roman" w:hAnsi="Times New Roman" w:cs="Times New Roman"/>
          <w:sz w:val="28"/>
          <w:szCs w:val="28"/>
        </w:rPr>
        <w:t>Visu beidzot, jāvērš uzmanība, ka pārcelšanas izmaksas, ja tiks pārcelta tikai daļa no Krājbankā esošajiem privatizācijas sertifikātiem, būtiski nemainīsies, jo iepriekš uzskaitītie darbi Hipotēku bankai būs jāveic neatkarīgi no pārceļamo privatizācijas sertifikātu kontu skaita.</w:t>
      </w:r>
    </w:p>
    <w:p w:rsidR="00D47E9F" w:rsidRDefault="00F52D4B"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saskaņā ar spēkā esošo likuma „Par privatizācijas sertifikātiem” 1.panta 2.punkta redakciju un noteikumu Nr.712 2.punkta redakciju privatizācijas sertifikātu kontus var atvērt un apkalpot tikai kredītiestāde, tas ir kapitālsabiedrība, kas pieņem noguldījumus un citus atmaksājamus līdzekļus no neierobežota klientu loka, savā vārdā izsniedz kredītus un sniedz citus finanšu pakalpojumus (Kredītiestāžu likuma 1.panta 1.punkts). Saskaņā ar Kredītiestāžu </w:t>
      </w:r>
      <w:r w:rsidRPr="00F52D4B">
        <w:rPr>
          <w:rFonts w:ascii="Times New Roman" w:hAnsi="Times New Roman" w:cs="Times New Roman"/>
          <w:sz w:val="28"/>
          <w:szCs w:val="28"/>
        </w:rPr>
        <w:t>likuma 11.panta pirmo daļu Kredītiestāde savu darbību Latvijas Republikā var uzsākt tikai pēc Finanšu un kapitāla tirgus komisijas licences (atļaujas) saņemšanas un reģistrācijas komercdarbības veikšanai likumos noteiktajā kārtībā</w:t>
      </w:r>
      <w:r>
        <w:rPr>
          <w:rFonts w:ascii="Times New Roman" w:hAnsi="Times New Roman" w:cs="Times New Roman"/>
          <w:sz w:val="28"/>
          <w:szCs w:val="28"/>
        </w:rPr>
        <w:t>.</w:t>
      </w:r>
      <w:r w:rsidR="0064234A">
        <w:rPr>
          <w:rFonts w:ascii="Times New Roman" w:hAnsi="Times New Roman" w:cs="Times New Roman"/>
          <w:sz w:val="28"/>
          <w:szCs w:val="28"/>
        </w:rPr>
        <w:t xml:space="preserve"> </w:t>
      </w:r>
      <w:r w:rsidR="00AF1432" w:rsidRPr="00943E3B">
        <w:rPr>
          <w:rFonts w:ascii="Times New Roman" w:hAnsi="Times New Roman" w:cs="Times New Roman"/>
          <w:sz w:val="28"/>
          <w:szCs w:val="28"/>
        </w:rPr>
        <w:t>Ministru kabinets 2012.gada 2.oktobr</w:t>
      </w:r>
      <w:r w:rsidR="00AF1432">
        <w:rPr>
          <w:rFonts w:ascii="Times New Roman" w:hAnsi="Times New Roman" w:cs="Times New Roman"/>
          <w:sz w:val="28"/>
          <w:szCs w:val="28"/>
        </w:rPr>
        <w:t>a sēdē (protokols Nr.</w:t>
      </w:r>
      <w:r w:rsidR="00AF1432" w:rsidRPr="00943E3B">
        <w:rPr>
          <w:rFonts w:ascii="Times New Roman" w:hAnsi="Times New Roman" w:cs="Times New Roman"/>
          <w:sz w:val="28"/>
          <w:szCs w:val="28"/>
        </w:rPr>
        <w:t>54. 38.§</w:t>
      </w:r>
      <w:r w:rsidR="00AF1432">
        <w:rPr>
          <w:rFonts w:ascii="Times New Roman" w:hAnsi="Times New Roman" w:cs="Times New Roman"/>
          <w:sz w:val="28"/>
          <w:szCs w:val="28"/>
        </w:rPr>
        <w:t>)</w:t>
      </w:r>
      <w:r w:rsidR="00AF1432" w:rsidRPr="00943E3B">
        <w:rPr>
          <w:rFonts w:ascii="Times New Roman" w:hAnsi="Times New Roman" w:cs="Times New Roman"/>
          <w:sz w:val="28"/>
          <w:szCs w:val="28"/>
        </w:rPr>
        <w:t xml:space="preserve"> a</w:t>
      </w:r>
      <w:r w:rsidR="00AF1432">
        <w:rPr>
          <w:rFonts w:ascii="Times New Roman" w:hAnsi="Times New Roman" w:cs="Times New Roman"/>
          <w:sz w:val="28"/>
          <w:szCs w:val="28"/>
        </w:rPr>
        <w:t>tbalstīja informatīvo ziņojumu „</w:t>
      </w:r>
      <w:r w:rsidR="00AF1432" w:rsidRPr="00943E3B">
        <w:rPr>
          <w:rFonts w:ascii="Times New Roman" w:hAnsi="Times New Roman" w:cs="Times New Roman"/>
          <w:sz w:val="28"/>
          <w:szCs w:val="28"/>
        </w:rPr>
        <w:t>Par vienotas attīstības finanšu institūcijas izveidi un valsts atbalsta programmām, kas tiek īste</w:t>
      </w:r>
      <w:r w:rsidR="00AF1432">
        <w:rPr>
          <w:rFonts w:ascii="Times New Roman" w:hAnsi="Times New Roman" w:cs="Times New Roman"/>
          <w:sz w:val="28"/>
          <w:szCs w:val="28"/>
        </w:rPr>
        <w:t>notas finanšu instrumentu veidā”</w:t>
      </w:r>
      <w:r w:rsidR="00AF1432" w:rsidRPr="00943E3B">
        <w:rPr>
          <w:rFonts w:ascii="Times New Roman" w:hAnsi="Times New Roman" w:cs="Times New Roman"/>
          <w:sz w:val="28"/>
          <w:szCs w:val="28"/>
        </w:rPr>
        <w:t>, tai skaitā nosakot, ka vienotas attīstības finanšu institūcijas detalizēts izveides plāns jāiesniedz Ministru kabinetā līdz 2013.gada 1.martam, paredzot, ka attīstības finanšu institūcija tiek izveidota līdz 2013.gada beigām. Informatīvā ziņojumā tika iekļautas vadlīnijas un principi vienotas attīstības finanšu institūcijas izveidei, tostarp nosakot, ka vienota attīstības finanšu institūcija veidojama bez kredītiestādes licences.</w:t>
      </w:r>
    </w:p>
    <w:p w:rsidR="004204B6" w:rsidRDefault="00466A14" w:rsidP="003D6177">
      <w:pPr>
        <w:pStyle w:val="EnvelopeReturn"/>
        <w:spacing w:after="120"/>
        <w:ind w:firstLine="720"/>
        <w:jc w:val="both"/>
        <w:rPr>
          <w:rFonts w:ascii="Times New Roman" w:hAnsi="Times New Roman" w:cs="Times New Roman"/>
          <w:bCs/>
          <w:sz w:val="28"/>
          <w:szCs w:val="28"/>
        </w:rPr>
      </w:pPr>
      <w:r>
        <w:rPr>
          <w:rFonts w:ascii="Times New Roman" w:hAnsi="Times New Roman" w:cs="Times New Roman"/>
          <w:sz w:val="28"/>
          <w:szCs w:val="28"/>
        </w:rPr>
        <w:t xml:space="preserve">Ministru kabineta 2013.gada 15.janvāra sēdē (protokols Nr.3, 28.§) tika atbalstīts Ekonomikas ministrijas sagatavotais </w:t>
      </w:r>
      <w:r w:rsidR="002F6250">
        <w:rPr>
          <w:rFonts w:ascii="Times New Roman" w:hAnsi="Times New Roman" w:cs="Times New Roman"/>
          <w:sz w:val="28"/>
          <w:szCs w:val="28"/>
        </w:rPr>
        <w:t>likumprojekts „Grozījumi likumā „</w:t>
      </w:r>
      <w:r w:rsidR="002F6250" w:rsidRPr="002F6250">
        <w:rPr>
          <w:rFonts w:ascii="Times New Roman" w:hAnsi="Times New Roman" w:cs="Times New Roman"/>
          <w:sz w:val="28"/>
          <w:szCs w:val="28"/>
        </w:rPr>
        <w:t xml:space="preserve">Par privatizācijas sertifikātiem””, kas </w:t>
      </w:r>
      <w:r w:rsidR="002F6250">
        <w:rPr>
          <w:rFonts w:ascii="Times New Roman" w:hAnsi="Times New Roman" w:cs="Times New Roman"/>
          <w:sz w:val="28"/>
          <w:szCs w:val="28"/>
        </w:rPr>
        <w:t xml:space="preserve">paredz </w:t>
      </w:r>
      <w:r w:rsidR="002F6250" w:rsidRPr="002F6250">
        <w:rPr>
          <w:rFonts w:ascii="Times New Roman" w:hAnsi="Times New Roman" w:cs="Times New Roman"/>
          <w:bCs/>
          <w:sz w:val="28"/>
          <w:szCs w:val="28"/>
        </w:rPr>
        <w:t xml:space="preserve">noteikt, ka </w:t>
      </w:r>
      <w:r w:rsidR="002F6250">
        <w:rPr>
          <w:rFonts w:ascii="Times New Roman" w:hAnsi="Times New Roman" w:cs="Times New Roman"/>
          <w:bCs/>
          <w:sz w:val="28"/>
          <w:szCs w:val="28"/>
        </w:rPr>
        <w:t xml:space="preserve">privatizācijas sertifikātu </w:t>
      </w:r>
      <w:r w:rsidR="002F6250" w:rsidRPr="002F6250">
        <w:rPr>
          <w:rFonts w:ascii="Times New Roman" w:hAnsi="Times New Roman" w:cs="Times New Roman"/>
          <w:bCs/>
          <w:sz w:val="28"/>
          <w:szCs w:val="28"/>
        </w:rPr>
        <w:t>kontu apkalpošana, kas sastāv no privatizācijas sertifikātu administrēšanas un klientu apkalpošanas, ir</w:t>
      </w:r>
      <w:r w:rsidR="00EA510A">
        <w:rPr>
          <w:rFonts w:ascii="Times New Roman" w:hAnsi="Times New Roman" w:cs="Times New Roman"/>
          <w:bCs/>
          <w:sz w:val="28"/>
          <w:szCs w:val="28"/>
        </w:rPr>
        <w:t xml:space="preserve"> </w:t>
      </w:r>
      <w:r w:rsidR="002F6250" w:rsidRPr="002F6250">
        <w:rPr>
          <w:rFonts w:ascii="Times New Roman" w:hAnsi="Times New Roman" w:cs="Times New Roman"/>
          <w:bCs/>
          <w:sz w:val="28"/>
          <w:szCs w:val="28"/>
        </w:rPr>
        <w:t>valsts pārvaldes uzdevum</w:t>
      </w:r>
      <w:r w:rsidR="005A4972">
        <w:rPr>
          <w:rFonts w:ascii="Times New Roman" w:hAnsi="Times New Roman" w:cs="Times New Roman"/>
          <w:bCs/>
          <w:sz w:val="28"/>
          <w:szCs w:val="28"/>
        </w:rPr>
        <w:t>s</w:t>
      </w:r>
      <w:r w:rsidR="002F6250" w:rsidRPr="002F6250">
        <w:rPr>
          <w:rFonts w:ascii="Times New Roman" w:hAnsi="Times New Roman" w:cs="Times New Roman"/>
          <w:bCs/>
          <w:sz w:val="28"/>
          <w:szCs w:val="28"/>
        </w:rPr>
        <w:t xml:space="preserve">. </w:t>
      </w:r>
      <w:r w:rsidR="002F6250">
        <w:rPr>
          <w:rFonts w:ascii="Times New Roman" w:hAnsi="Times New Roman" w:cs="Times New Roman"/>
          <w:bCs/>
          <w:sz w:val="28"/>
          <w:szCs w:val="28"/>
        </w:rPr>
        <w:lastRenderedPageBreak/>
        <w:t>Vienlaicīgi l</w:t>
      </w:r>
      <w:r w:rsidR="002F6250" w:rsidRPr="002F6250">
        <w:rPr>
          <w:rFonts w:ascii="Times New Roman" w:hAnsi="Times New Roman" w:cs="Times New Roman"/>
          <w:bCs/>
          <w:sz w:val="28"/>
          <w:szCs w:val="28"/>
        </w:rPr>
        <w:t>ikumprojektā tiek iekļauts deleģējums Ministru kabinetam noteikt to personu, kurai tiks deleģēta</w:t>
      </w:r>
      <w:r w:rsidR="002F6250">
        <w:rPr>
          <w:rFonts w:ascii="Times New Roman" w:hAnsi="Times New Roman" w:cs="Times New Roman"/>
          <w:bCs/>
          <w:sz w:val="28"/>
          <w:szCs w:val="28"/>
        </w:rPr>
        <w:t xml:space="preserve"> privatizācijas sertifikātu</w:t>
      </w:r>
      <w:r w:rsidR="002F6250" w:rsidRPr="002F6250">
        <w:rPr>
          <w:rFonts w:ascii="Times New Roman" w:hAnsi="Times New Roman" w:cs="Times New Roman"/>
          <w:bCs/>
          <w:sz w:val="28"/>
          <w:szCs w:val="28"/>
        </w:rPr>
        <w:t xml:space="preserve"> kontu apkalpošana, ievērojot Valsts pārvaldes iekārtas likuma V nodaļas „</w:t>
      </w:r>
      <w:bookmarkStart w:id="1" w:name="22999"/>
      <w:r w:rsidR="002F6250" w:rsidRPr="002F6250">
        <w:rPr>
          <w:rFonts w:ascii="Times New Roman" w:hAnsi="Times New Roman" w:cs="Times New Roman"/>
          <w:sz w:val="28"/>
          <w:szCs w:val="28"/>
        </w:rPr>
        <w:t>Atsevišķu pārvaldes uzdevumu deleģēšana</w:t>
      </w:r>
      <w:bookmarkEnd w:id="1"/>
      <w:r w:rsidR="002F6250" w:rsidRPr="002F6250">
        <w:rPr>
          <w:rFonts w:ascii="Times New Roman" w:hAnsi="Times New Roman" w:cs="Times New Roman"/>
          <w:bCs/>
          <w:sz w:val="28"/>
          <w:szCs w:val="28"/>
        </w:rPr>
        <w:t>” noteikumus, vai noteikt institūciju, kura apkalpo privatizācijas sertifikātu kontus.</w:t>
      </w:r>
    </w:p>
    <w:p w:rsidR="002F6250" w:rsidRPr="002F6250" w:rsidRDefault="00EF3D80"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bCs/>
          <w:sz w:val="28"/>
          <w:szCs w:val="28"/>
        </w:rPr>
        <w:t xml:space="preserve">Šobrīd, ievērojot plānotos grozījumus likumā „Par privatizācijas sertifikātiem”, kā personu, </w:t>
      </w:r>
      <w:r w:rsidRPr="002F6250">
        <w:rPr>
          <w:rFonts w:ascii="Times New Roman" w:hAnsi="Times New Roman" w:cs="Times New Roman"/>
          <w:bCs/>
          <w:sz w:val="28"/>
          <w:szCs w:val="28"/>
        </w:rPr>
        <w:t>kurai tiks deleģēta</w:t>
      </w:r>
      <w:r>
        <w:rPr>
          <w:rFonts w:ascii="Times New Roman" w:hAnsi="Times New Roman" w:cs="Times New Roman"/>
          <w:bCs/>
          <w:sz w:val="28"/>
          <w:szCs w:val="28"/>
        </w:rPr>
        <w:t xml:space="preserve"> privatizācijas sertifikātu</w:t>
      </w:r>
      <w:r w:rsidRPr="002F6250">
        <w:rPr>
          <w:rFonts w:ascii="Times New Roman" w:hAnsi="Times New Roman" w:cs="Times New Roman"/>
          <w:bCs/>
          <w:sz w:val="28"/>
          <w:szCs w:val="28"/>
        </w:rPr>
        <w:t xml:space="preserve"> kontu apkalpošana</w:t>
      </w:r>
      <w:r>
        <w:rPr>
          <w:rFonts w:ascii="Times New Roman" w:hAnsi="Times New Roman" w:cs="Times New Roman"/>
          <w:bCs/>
          <w:sz w:val="28"/>
          <w:szCs w:val="28"/>
        </w:rPr>
        <w:t>, Ministru kabineta noteikumos ir plānots noteikt Hipotēku banku, ja no Eiropas Komisijas</w:t>
      </w:r>
      <w:r w:rsidR="00946440">
        <w:rPr>
          <w:rFonts w:ascii="Times New Roman" w:hAnsi="Times New Roman" w:cs="Times New Roman"/>
          <w:bCs/>
          <w:sz w:val="28"/>
          <w:szCs w:val="28"/>
        </w:rPr>
        <w:t xml:space="preserve"> Konkurences ģenerāldirektorāta</w:t>
      </w:r>
      <w:r>
        <w:rPr>
          <w:rFonts w:ascii="Times New Roman" w:hAnsi="Times New Roman" w:cs="Times New Roman"/>
          <w:bCs/>
          <w:sz w:val="28"/>
          <w:szCs w:val="28"/>
        </w:rPr>
        <w:t xml:space="preserve"> netiks saņemti konceptuāli iebildumi tam, ka privatizācijas sertifikātu kontu apkalpošana tiek saglabāta Hipotēku bankā kā viens no </w:t>
      </w:r>
      <w:r>
        <w:rPr>
          <w:rFonts w:ascii="Times New Roman" w:hAnsi="Times New Roman" w:cs="Times New Roman"/>
          <w:sz w:val="28"/>
          <w:szCs w:val="28"/>
        </w:rPr>
        <w:t>valsts deleģētiem uzdevumiem, ko Hipotēku banka pildīs arī pēc 2013.gada beigām.</w:t>
      </w:r>
      <w:r w:rsidR="0017117A">
        <w:rPr>
          <w:rFonts w:ascii="Times New Roman" w:hAnsi="Times New Roman" w:cs="Times New Roman"/>
          <w:sz w:val="28"/>
          <w:szCs w:val="28"/>
        </w:rPr>
        <w:t xml:space="preserve"> </w:t>
      </w:r>
      <w:r w:rsidR="005A4972" w:rsidRPr="003C0B7A">
        <w:rPr>
          <w:rFonts w:ascii="Times New Roman" w:hAnsi="Times New Roman" w:cs="Times New Roman"/>
          <w:sz w:val="28"/>
          <w:szCs w:val="28"/>
        </w:rPr>
        <w:t>Hipotēku banka kā piemērotākā persona, kurai uzticēt privatizācijas sertifikātu kontu apkalpošanu, ir izvēlēta, ņemot vērā tās pieredzi, reputāciju, resursus un personāla kvalifikāciju, kā arī to, ka Hipotēku banka šobrīd pilda citu valsts pārvaldes uzdevumu – zemes izpirkšanas līgumu slēgšan</w:t>
      </w:r>
      <w:r w:rsidR="00ED2E66" w:rsidRPr="003C0B7A">
        <w:rPr>
          <w:rFonts w:ascii="Times New Roman" w:hAnsi="Times New Roman" w:cs="Times New Roman"/>
          <w:sz w:val="28"/>
          <w:szCs w:val="28"/>
        </w:rPr>
        <w:t>u un izpildes kontroli</w:t>
      </w:r>
      <w:r w:rsidR="005A4972" w:rsidRPr="003C0B7A">
        <w:rPr>
          <w:rFonts w:ascii="Times New Roman" w:hAnsi="Times New Roman" w:cs="Times New Roman"/>
          <w:sz w:val="28"/>
          <w:szCs w:val="28"/>
        </w:rPr>
        <w:t>, kas faktiski ir cieši saistīta ar privatizācijas sertifikātu izmantošanu</w:t>
      </w:r>
      <w:r w:rsidR="005A4972">
        <w:rPr>
          <w:rFonts w:ascii="Times New Roman" w:hAnsi="Times New Roman" w:cs="Times New Roman"/>
          <w:sz w:val="28"/>
          <w:szCs w:val="28"/>
        </w:rPr>
        <w:t xml:space="preserve">. </w:t>
      </w:r>
      <w:r>
        <w:rPr>
          <w:rFonts w:ascii="Times New Roman" w:hAnsi="Times New Roman" w:cs="Times New Roman"/>
          <w:sz w:val="28"/>
          <w:szCs w:val="28"/>
        </w:rPr>
        <w:t>Gadījumā, ja nebūs iespējams paturēt privatizācijas sertifikātu kontu apkalpošanu Hipotēku bankā, tiks lemts jautājums par citas</w:t>
      </w:r>
      <w:r w:rsidR="0064234A">
        <w:rPr>
          <w:rFonts w:ascii="Times New Roman" w:hAnsi="Times New Roman" w:cs="Times New Roman"/>
          <w:sz w:val="28"/>
          <w:szCs w:val="28"/>
        </w:rPr>
        <w:t xml:space="preserve"> </w:t>
      </w:r>
      <w:r>
        <w:rPr>
          <w:rFonts w:ascii="Times New Roman" w:hAnsi="Times New Roman" w:cs="Times New Roman"/>
          <w:sz w:val="28"/>
          <w:szCs w:val="28"/>
        </w:rPr>
        <w:t>personas vai institūcijas noteikšanu, kura apkalpos privatizācijas sertifikātu kontus.</w:t>
      </w:r>
    </w:p>
    <w:p w:rsidR="0033524C" w:rsidRDefault="00803BD2" w:rsidP="003D6177">
      <w:pPr>
        <w:pStyle w:val="EnvelopeReturn"/>
        <w:spacing w:after="120"/>
        <w:ind w:firstLine="720"/>
        <w:jc w:val="both"/>
        <w:rPr>
          <w:rFonts w:ascii="Times New Roman" w:hAnsi="Times New Roman" w:cs="Times New Roman"/>
          <w:color w:val="000000"/>
          <w:sz w:val="28"/>
          <w:szCs w:val="28"/>
        </w:rPr>
      </w:pPr>
      <w:r>
        <w:rPr>
          <w:rFonts w:ascii="Times New Roman" w:hAnsi="Times New Roman" w:cs="Times New Roman"/>
          <w:sz w:val="28"/>
          <w:szCs w:val="28"/>
        </w:rPr>
        <w:t>Kā iespējam</w:t>
      </w:r>
      <w:r w:rsidR="00ED2E66">
        <w:rPr>
          <w:rFonts w:ascii="Times New Roman" w:hAnsi="Times New Roman" w:cs="Times New Roman"/>
          <w:sz w:val="28"/>
          <w:szCs w:val="28"/>
        </w:rPr>
        <w:t>ais</w:t>
      </w:r>
      <w:r>
        <w:rPr>
          <w:rFonts w:ascii="Times New Roman" w:hAnsi="Times New Roman" w:cs="Times New Roman"/>
          <w:sz w:val="28"/>
          <w:szCs w:val="28"/>
        </w:rPr>
        <w:t xml:space="preserve"> risinājum</w:t>
      </w:r>
      <w:r w:rsidR="00ED2E66">
        <w:rPr>
          <w:rFonts w:ascii="Times New Roman" w:hAnsi="Times New Roman" w:cs="Times New Roman"/>
          <w:sz w:val="28"/>
          <w:szCs w:val="28"/>
        </w:rPr>
        <w:t>s</w:t>
      </w:r>
      <w:r>
        <w:rPr>
          <w:rFonts w:ascii="Times New Roman" w:hAnsi="Times New Roman" w:cs="Times New Roman"/>
          <w:sz w:val="28"/>
          <w:szCs w:val="28"/>
        </w:rPr>
        <w:t xml:space="preserve"> gadījumam, ja privatizācijas sertifikātu kontu apkalpošanu nevarēs paturēt Hipotēku bankā, tiek piedāvāt</w:t>
      </w:r>
      <w:r w:rsidR="00ED2E66">
        <w:rPr>
          <w:rFonts w:ascii="Times New Roman" w:hAnsi="Times New Roman" w:cs="Times New Roman"/>
          <w:sz w:val="28"/>
          <w:szCs w:val="28"/>
        </w:rPr>
        <w:t>s</w:t>
      </w:r>
      <w:r w:rsidR="0017117A">
        <w:rPr>
          <w:rFonts w:ascii="Times New Roman" w:hAnsi="Times New Roman" w:cs="Times New Roman"/>
          <w:sz w:val="28"/>
          <w:szCs w:val="28"/>
        </w:rPr>
        <w:t xml:space="preserve"> </w:t>
      </w:r>
      <w:r w:rsidR="00571B9D">
        <w:rPr>
          <w:rFonts w:ascii="Times New Roman" w:hAnsi="Times New Roman" w:cs="Times New Roman"/>
          <w:color w:val="000000"/>
          <w:sz w:val="28"/>
          <w:szCs w:val="28"/>
        </w:rPr>
        <w:t xml:space="preserve">izveidot IT sistēmu, kura paredzētu </w:t>
      </w:r>
      <w:r w:rsidR="00C25948">
        <w:rPr>
          <w:rFonts w:ascii="Times New Roman" w:hAnsi="Times New Roman" w:cs="Times New Roman"/>
          <w:color w:val="000000"/>
          <w:sz w:val="28"/>
          <w:szCs w:val="28"/>
        </w:rPr>
        <w:t xml:space="preserve">privatizācijas sertifikātu apkalpošanā </w:t>
      </w:r>
      <w:r w:rsidR="00571B9D">
        <w:rPr>
          <w:rFonts w:ascii="Times New Roman" w:hAnsi="Times New Roman" w:cs="Times New Roman"/>
          <w:color w:val="000000"/>
          <w:sz w:val="28"/>
          <w:szCs w:val="28"/>
        </w:rPr>
        <w:t>pāriet no</w:t>
      </w:r>
      <w:r w:rsidR="00EB7B34">
        <w:rPr>
          <w:rFonts w:ascii="Times New Roman" w:hAnsi="Times New Roman" w:cs="Times New Roman"/>
          <w:color w:val="000000"/>
          <w:sz w:val="28"/>
          <w:szCs w:val="28"/>
        </w:rPr>
        <w:t xml:space="preserve"> integrētas</w:t>
      </w:r>
      <w:r w:rsidR="00571B9D">
        <w:rPr>
          <w:rFonts w:ascii="Times New Roman" w:hAnsi="Times New Roman" w:cs="Times New Roman"/>
          <w:color w:val="000000"/>
          <w:sz w:val="28"/>
          <w:szCs w:val="28"/>
        </w:rPr>
        <w:t xml:space="preserve"> kontu</w:t>
      </w:r>
      <w:r w:rsidR="00EB7B34">
        <w:rPr>
          <w:rFonts w:ascii="Times New Roman" w:hAnsi="Times New Roman" w:cs="Times New Roman"/>
          <w:color w:val="000000"/>
          <w:sz w:val="28"/>
          <w:szCs w:val="28"/>
        </w:rPr>
        <w:t xml:space="preserve"> apkalpošanas</w:t>
      </w:r>
      <w:r w:rsidR="0064234A">
        <w:rPr>
          <w:rFonts w:ascii="Times New Roman" w:hAnsi="Times New Roman" w:cs="Times New Roman"/>
          <w:color w:val="000000"/>
          <w:sz w:val="28"/>
          <w:szCs w:val="28"/>
        </w:rPr>
        <w:t xml:space="preserve"> </w:t>
      </w:r>
      <w:r w:rsidR="00CF38EC">
        <w:rPr>
          <w:rFonts w:ascii="Times New Roman" w:hAnsi="Times New Roman" w:cs="Times New Roman"/>
          <w:color w:val="000000"/>
          <w:sz w:val="28"/>
          <w:szCs w:val="28"/>
        </w:rPr>
        <w:t xml:space="preserve">sistēmas uz </w:t>
      </w:r>
      <w:r w:rsidR="00C25948">
        <w:rPr>
          <w:rFonts w:ascii="Times New Roman" w:hAnsi="Times New Roman" w:cs="Times New Roman"/>
          <w:color w:val="000000"/>
          <w:sz w:val="28"/>
          <w:szCs w:val="28"/>
        </w:rPr>
        <w:t xml:space="preserve">tai alternatīvu sistēmu. </w:t>
      </w:r>
      <w:r w:rsidR="00004415">
        <w:rPr>
          <w:rFonts w:ascii="Times New Roman" w:hAnsi="Times New Roman" w:cs="Times New Roman"/>
          <w:color w:val="000000"/>
          <w:sz w:val="28"/>
          <w:szCs w:val="28"/>
        </w:rPr>
        <w:t>Par</w:t>
      </w:r>
      <w:r w:rsidR="00C25948">
        <w:rPr>
          <w:rFonts w:ascii="Times New Roman" w:hAnsi="Times New Roman" w:cs="Times New Roman"/>
          <w:color w:val="000000"/>
          <w:sz w:val="28"/>
          <w:szCs w:val="28"/>
        </w:rPr>
        <w:t xml:space="preserve"> šādas sistēmas turētāju</w:t>
      </w:r>
      <w:r w:rsidR="001711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varētu</w:t>
      </w:r>
      <w:r w:rsidR="009E3C38">
        <w:rPr>
          <w:rFonts w:ascii="Times New Roman" w:hAnsi="Times New Roman" w:cs="Times New Roman"/>
          <w:color w:val="000000"/>
          <w:sz w:val="28"/>
          <w:szCs w:val="28"/>
        </w:rPr>
        <w:t xml:space="preserve"> piesaistīt Privatizācijas aģentūru, kura vienlaicīgi būtu pilnībā atbildīga</w:t>
      </w:r>
      <w:r w:rsidR="00BB000E">
        <w:rPr>
          <w:rFonts w:ascii="Times New Roman" w:hAnsi="Times New Roman" w:cs="Times New Roman"/>
          <w:color w:val="000000"/>
          <w:sz w:val="28"/>
          <w:szCs w:val="28"/>
        </w:rPr>
        <w:t xml:space="preserve"> arī</w:t>
      </w:r>
      <w:r w:rsidR="009E3C38">
        <w:rPr>
          <w:rFonts w:ascii="Times New Roman" w:hAnsi="Times New Roman" w:cs="Times New Roman"/>
          <w:color w:val="000000"/>
          <w:sz w:val="28"/>
          <w:szCs w:val="28"/>
        </w:rPr>
        <w:t xml:space="preserve"> par </w:t>
      </w:r>
      <w:r w:rsidR="003A1A96">
        <w:rPr>
          <w:rFonts w:ascii="Times New Roman" w:hAnsi="Times New Roman" w:cs="Times New Roman"/>
          <w:color w:val="000000"/>
          <w:sz w:val="28"/>
          <w:szCs w:val="28"/>
        </w:rPr>
        <w:t xml:space="preserve">privatizācijas sertifikātu </w:t>
      </w:r>
      <w:r w:rsidR="00BB000E">
        <w:rPr>
          <w:rFonts w:ascii="Times New Roman" w:hAnsi="Times New Roman" w:cs="Times New Roman"/>
          <w:color w:val="000000"/>
          <w:sz w:val="28"/>
          <w:szCs w:val="28"/>
        </w:rPr>
        <w:t>atlikumu kontroli</w:t>
      </w:r>
      <w:r w:rsidR="00EB7B34">
        <w:rPr>
          <w:rFonts w:ascii="Times New Roman" w:hAnsi="Times New Roman" w:cs="Times New Roman"/>
          <w:color w:val="000000"/>
          <w:sz w:val="28"/>
          <w:szCs w:val="28"/>
        </w:rPr>
        <w:t xml:space="preserve"> un darījumu ar privatizācijas sertifikātiem reģistrāciju</w:t>
      </w:r>
      <w:r w:rsidR="00825913">
        <w:rPr>
          <w:rFonts w:ascii="Times New Roman" w:hAnsi="Times New Roman" w:cs="Times New Roman"/>
          <w:color w:val="000000"/>
          <w:sz w:val="28"/>
          <w:szCs w:val="28"/>
        </w:rPr>
        <w:t xml:space="preserve">. </w:t>
      </w:r>
      <w:r w:rsidR="00004415">
        <w:rPr>
          <w:rFonts w:ascii="Times New Roman" w:hAnsi="Times New Roman" w:cs="Times New Roman"/>
          <w:color w:val="000000"/>
          <w:sz w:val="28"/>
          <w:szCs w:val="28"/>
        </w:rPr>
        <w:t>Savukārt</w:t>
      </w:r>
      <w:r w:rsidR="00BB000E">
        <w:rPr>
          <w:rFonts w:ascii="Times New Roman" w:hAnsi="Times New Roman" w:cs="Times New Roman"/>
          <w:color w:val="000000"/>
          <w:sz w:val="28"/>
          <w:szCs w:val="28"/>
        </w:rPr>
        <w:t>,</w:t>
      </w:r>
      <w:r w:rsidR="00004415">
        <w:rPr>
          <w:rFonts w:ascii="Times New Roman" w:hAnsi="Times New Roman" w:cs="Times New Roman"/>
          <w:color w:val="000000"/>
          <w:sz w:val="28"/>
          <w:szCs w:val="28"/>
        </w:rPr>
        <w:t xml:space="preserve"> personu apkalpošanai </w:t>
      </w:r>
      <w:r>
        <w:rPr>
          <w:rFonts w:ascii="Times New Roman" w:hAnsi="Times New Roman" w:cs="Times New Roman"/>
          <w:color w:val="000000"/>
          <w:sz w:val="28"/>
          <w:szCs w:val="28"/>
        </w:rPr>
        <w:t>varētu</w:t>
      </w:r>
      <w:r w:rsidR="0017117A">
        <w:rPr>
          <w:rFonts w:ascii="Times New Roman" w:hAnsi="Times New Roman" w:cs="Times New Roman"/>
          <w:color w:val="000000"/>
          <w:sz w:val="28"/>
          <w:szCs w:val="28"/>
        </w:rPr>
        <w:t xml:space="preserve"> </w:t>
      </w:r>
      <w:r w:rsidR="00AE6038">
        <w:rPr>
          <w:rFonts w:ascii="Times New Roman" w:hAnsi="Times New Roman" w:cs="Times New Roman"/>
          <w:color w:val="000000"/>
          <w:sz w:val="28"/>
          <w:szCs w:val="28"/>
        </w:rPr>
        <w:t xml:space="preserve">noslēgt atbilstošu līgumu ar tādu </w:t>
      </w:r>
      <w:r w:rsidR="00633D50">
        <w:rPr>
          <w:rFonts w:ascii="Times New Roman" w:hAnsi="Times New Roman" w:cs="Times New Roman"/>
          <w:color w:val="000000"/>
          <w:sz w:val="28"/>
          <w:szCs w:val="28"/>
        </w:rPr>
        <w:t xml:space="preserve">institūciju vai </w:t>
      </w:r>
      <w:r w:rsidR="00AE6038">
        <w:rPr>
          <w:rFonts w:ascii="Times New Roman" w:hAnsi="Times New Roman" w:cs="Times New Roman"/>
          <w:color w:val="000000"/>
          <w:sz w:val="28"/>
          <w:szCs w:val="28"/>
        </w:rPr>
        <w:t>kapitālsabiedrību, k</w:t>
      </w:r>
      <w:r w:rsidR="00633D50">
        <w:rPr>
          <w:rFonts w:ascii="Times New Roman" w:hAnsi="Times New Roman" w:cs="Times New Roman"/>
          <w:color w:val="000000"/>
          <w:sz w:val="28"/>
          <w:szCs w:val="28"/>
        </w:rPr>
        <w:t>ura</w:t>
      </w:r>
      <w:r w:rsidR="00AE6038">
        <w:rPr>
          <w:rFonts w:ascii="Times New Roman" w:hAnsi="Times New Roman" w:cs="Times New Roman"/>
          <w:color w:val="000000"/>
          <w:sz w:val="28"/>
          <w:szCs w:val="28"/>
        </w:rPr>
        <w:t xml:space="preserve"> ar tās rīcībā esošo infrastruktūru varētu nodrošināt privatizācijas sertifikātu īpašnieku maksimāli ērtu un pieejamu apkalpošanu</w:t>
      </w:r>
      <w:r w:rsidR="00DA4FCD">
        <w:rPr>
          <w:rFonts w:ascii="Times New Roman" w:hAnsi="Times New Roman" w:cs="Times New Roman"/>
          <w:color w:val="000000"/>
          <w:sz w:val="28"/>
          <w:szCs w:val="28"/>
        </w:rPr>
        <w:t>.</w:t>
      </w:r>
    </w:p>
    <w:p w:rsidR="008125B4" w:rsidRDefault="00BD3717"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Ekonomikas ministrija kopā ar iesaistītajām institūcijām turpina vērtēt privatizācijas sertifikātu kontu turpmākās uzturēšanas izmaksas pēc to pārcelšanas uz Hipotēku banku un iespējamos </w:t>
      </w:r>
      <w:r w:rsidR="0022461B">
        <w:rPr>
          <w:rFonts w:ascii="Times New Roman" w:hAnsi="Times New Roman" w:cs="Times New Roman"/>
          <w:sz w:val="28"/>
          <w:szCs w:val="28"/>
        </w:rPr>
        <w:t>izdevumu</w:t>
      </w:r>
      <w:r>
        <w:rPr>
          <w:rFonts w:ascii="Times New Roman" w:hAnsi="Times New Roman" w:cs="Times New Roman"/>
          <w:sz w:val="28"/>
          <w:szCs w:val="28"/>
        </w:rPr>
        <w:t xml:space="preserve"> seg</w:t>
      </w:r>
      <w:r w:rsidR="0022461B">
        <w:rPr>
          <w:rFonts w:ascii="Times New Roman" w:hAnsi="Times New Roman" w:cs="Times New Roman"/>
          <w:sz w:val="28"/>
          <w:szCs w:val="28"/>
        </w:rPr>
        <w:t xml:space="preserve">šanas avotus tajā daļā, kas pārsniedz ieņēmumus, ko Hipotēku banka plāno gūt no privatizācijas sertifikātu kontu apkalpošanas. Tā, piemēram, tiek pārskatītas ar normatīvajiem aktiem noteiktās maksas par privatizācijas sertifikātu kontu apkalpošanu un izsvērta iespēja, piemērot līdz šim neregulētas apkalpošanas maksas. Lai </w:t>
      </w:r>
      <w:r w:rsidR="002B7C9D">
        <w:rPr>
          <w:rFonts w:ascii="Times New Roman" w:hAnsi="Times New Roman" w:cs="Times New Roman"/>
          <w:sz w:val="28"/>
          <w:szCs w:val="28"/>
        </w:rPr>
        <w:t>pieņemtu pamatotu lēmumu, šobrīd tiek vērtēti līdzšinējie</w:t>
      </w:r>
      <w:r w:rsidR="00946440">
        <w:rPr>
          <w:rFonts w:ascii="Times New Roman" w:hAnsi="Times New Roman" w:cs="Times New Roman"/>
          <w:sz w:val="28"/>
          <w:szCs w:val="28"/>
        </w:rPr>
        <w:t xml:space="preserve"> Hipotēku bankas un Krājbankas ienākumi un izdevumi, kā arī</w:t>
      </w:r>
      <w:r w:rsidR="002C49ED">
        <w:rPr>
          <w:rFonts w:ascii="Times New Roman" w:hAnsi="Times New Roman" w:cs="Times New Roman"/>
          <w:sz w:val="28"/>
          <w:szCs w:val="28"/>
        </w:rPr>
        <w:t xml:space="preserve"> turpmāk plānotie</w:t>
      </w:r>
      <w:r w:rsidR="002B7C9D">
        <w:rPr>
          <w:rFonts w:ascii="Times New Roman" w:hAnsi="Times New Roman" w:cs="Times New Roman"/>
          <w:sz w:val="28"/>
          <w:szCs w:val="28"/>
        </w:rPr>
        <w:t xml:space="preserve"> ienākumi </w:t>
      </w:r>
      <w:r w:rsidR="002C49ED">
        <w:rPr>
          <w:rFonts w:ascii="Times New Roman" w:hAnsi="Times New Roman" w:cs="Times New Roman"/>
          <w:sz w:val="28"/>
          <w:szCs w:val="28"/>
        </w:rPr>
        <w:t xml:space="preserve">un izdevumi </w:t>
      </w:r>
      <w:r w:rsidR="00946440">
        <w:rPr>
          <w:rFonts w:ascii="Times New Roman" w:hAnsi="Times New Roman" w:cs="Times New Roman"/>
          <w:sz w:val="28"/>
          <w:szCs w:val="28"/>
        </w:rPr>
        <w:t>Hipotēku bankā</w:t>
      </w:r>
      <w:r w:rsidR="002C49ED">
        <w:rPr>
          <w:rFonts w:ascii="Times New Roman" w:hAnsi="Times New Roman" w:cs="Times New Roman"/>
          <w:sz w:val="28"/>
          <w:szCs w:val="28"/>
        </w:rPr>
        <w:t>.</w:t>
      </w:r>
      <w:r w:rsidR="0017117A">
        <w:rPr>
          <w:rFonts w:ascii="Times New Roman" w:hAnsi="Times New Roman" w:cs="Times New Roman"/>
          <w:sz w:val="28"/>
          <w:szCs w:val="28"/>
        </w:rPr>
        <w:t xml:space="preserve"> </w:t>
      </w:r>
      <w:r w:rsidR="00497BF9">
        <w:rPr>
          <w:rFonts w:ascii="Times New Roman" w:hAnsi="Times New Roman" w:cs="Times New Roman"/>
          <w:sz w:val="28"/>
          <w:szCs w:val="28"/>
        </w:rPr>
        <w:t xml:space="preserve">Līdz 2013.gada marta beigām Ekonomikas ministrija sagatavos informāciju par privatizācijas sertifikātu kontu pārcelšanas procesa progresu, </w:t>
      </w:r>
      <w:r w:rsidR="004D226B">
        <w:rPr>
          <w:rFonts w:ascii="Times New Roman" w:hAnsi="Times New Roman" w:cs="Times New Roman"/>
          <w:sz w:val="28"/>
          <w:szCs w:val="28"/>
        </w:rPr>
        <w:t xml:space="preserve">izvēlēto privatizācijas sertifikātu turpmākās administrēšanas modeli un </w:t>
      </w:r>
      <w:r w:rsidR="00B72BB1">
        <w:rPr>
          <w:rFonts w:ascii="Times New Roman" w:hAnsi="Times New Roman" w:cs="Times New Roman"/>
          <w:sz w:val="28"/>
          <w:szCs w:val="28"/>
        </w:rPr>
        <w:lastRenderedPageBreak/>
        <w:t>no tā izrietošos nepieciešamos</w:t>
      </w:r>
      <w:r w:rsidR="00951055">
        <w:rPr>
          <w:rFonts w:ascii="Times New Roman" w:hAnsi="Times New Roman" w:cs="Times New Roman"/>
          <w:sz w:val="28"/>
          <w:szCs w:val="28"/>
        </w:rPr>
        <w:t xml:space="preserve"> normatīvo aktu projektus</w:t>
      </w:r>
      <w:r w:rsidR="004D226B">
        <w:rPr>
          <w:rFonts w:ascii="Times New Roman" w:hAnsi="Times New Roman" w:cs="Times New Roman"/>
          <w:sz w:val="28"/>
          <w:szCs w:val="28"/>
        </w:rPr>
        <w:t xml:space="preserve"> izskatīšanai Ministru kabinetā</w:t>
      </w:r>
      <w:r w:rsidR="0017117A">
        <w:rPr>
          <w:rFonts w:ascii="Times New Roman" w:hAnsi="Times New Roman" w:cs="Times New Roman"/>
          <w:sz w:val="28"/>
          <w:szCs w:val="28"/>
        </w:rPr>
        <w:t xml:space="preserve"> </w:t>
      </w:r>
      <w:r w:rsidR="009F339A">
        <w:rPr>
          <w:rFonts w:ascii="Times New Roman" w:hAnsi="Times New Roman" w:cs="Times New Roman"/>
          <w:sz w:val="28"/>
          <w:szCs w:val="28"/>
        </w:rPr>
        <w:t>gadījumā, ja no Eiropas Komisijas</w:t>
      </w:r>
      <w:r w:rsidR="004B360C">
        <w:rPr>
          <w:rFonts w:ascii="Times New Roman" w:hAnsi="Times New Roman" w:cs="Times New Roman"/>
          <w:sz w:val="28"/>
          <w:szCs w:val="28"/>
        </w:rPr>
        <w:t xml:space="preserve"> Konkurences ģenerāldirektorāta</w:t>
      </w:r>
      <w:r w:rsidR="009F339A">
        <w:rPr>
          <w:rFonts w:ascii="Times New Roman" w:hAnsi="Times New Roman" w:cs="Times New Roman"/>
          <w:sz w:val="28"/>
          <w:szCs w:val="28"/>
        </w:rPr>
        <w:t xml:space="preserve"> tiks saņemti konceptuāli iebildumi par privatizācijas sertifikātu kontu apkalpošanas saglabāšanu Hipotēku bankā pēc 2013.gada beigām, kā arī priekšlikumi par privatizācijas sertifikātu kontu uzturēšanas </w:t>
      </w:r>
      <w:r w:rsidR="00592243">
        <w:rPr>
          <w:rFonts w:ascii="Times New Roman" w:hAnsi="Times New Roman" w:cs="Times New Roman"/>
          <w:sz w:val="28"/>
          <w:szCs w:val="28"/>
        </w:rPr>
        <w:t>izmaksu segšanu</w:t>
      </w:r>
      <w:r w:rsidR="00951055">
        <w:rPr>
          <w:rFonts w:ascii="Times New Roman" w:hAnsi="Times New Roman" w:cs="Times New Roman"/>
          <w:sz w:val="28"/>
          <w:szCs w:val="28"/>
        </w:rPr>
        <w:t>.</w:t>
      </w:r>
    </w:p>
    <w:p w:rsidR="00D47E9F" w:rsidRDefault="008B1D3E"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Vienlaicīgi kā </w:t>
      </w:r>
      <w:r w:rsidR="00E16CC9">
        <w:rPr>
          <w:rFonts w:ascii="Times New Roman" w:hAnsi="Times New Roman" w:cs="Times New Roman"/>
          <w:sz w:val="28"/>
          <w:szCs w:val="28"/>
        </w:rPr>
        <w:t xml:space="preserve">viens no iespējamajiem risinājumiem, cita starpā, tiek </w:t>
      </w:r>
      <w:r w:rsidR="00E04921">
        <w:rPr>
          <w:rFonts w:ascii="Times New Roman" w:hAnsi="Times New Roman" w:cs="Times New Roman"/>
          <w:sz w:val="28"/>
          <w:szCs w:val="28"/>
        </w:rPr>
        <w:t>piedāvāts pieņemt lēmumu, ka turpmāk</w:t>
      </w:r>
      <w:r w:rsidR="0064234A">
        <w:rPr>
          <w:rFonts w:ascii="Times New Roman" w:hAnsi="Times New Roman" w:cs="Times New Roman"/>
          <w:sz w:val="28"/>
          <w:szCs w:val="28"/>
        </w:rPr>
        <w:t xml:space="preserve"> </w:t>
      </w:r>
      <w:r w:rsidR="0009325D">
        <w:rPr>
          <w:rFonts w:ascii="Times New Roman" w:hAnsi="Times New Roman" w:cs="Times New Roman"/>
          <w:sz w:val="28"/>
          <w:szCs w:val="28"/>
        </w:rPr>
        <w:t>privatizācijas sertifikāt</w:t>
      </w:r>
      <w:r w:rsidR="00E04921">
        <w:rPr>
          <w:rFonts w:ascii="Times New Roman" w:hAnsi="Times New Roman" w:cs="Times New Roman"/>
          <w:sz w:val="28"/>
          <w:szCs w:val="28"/>
        </w:rPr>
        <w:t xml:space="preserve">i nav izmantojami </w:t>
      </w:r>
      <w:r w:rsidR="0009325D">
        <w:rPr>
          <w:rFonts w:ascii="Times New Roman" w:hAnsi="Times New Roman" w:cs="Times New Roman"/>
          <w:sz w:val="28"/>
          <w:szCs w:val="28"/>
        </w:rPr>
        <w:t>kā maksāšanas līdze</w:t>
      </w:r>
      <w:r w:rsidR="00E04921">
        <w:rPr>
          <w:rFonts w:ascii="Times New Roman" w:hAnsi="Times New Roman" w:cs="Times New Roman"/>
          <w:sz w:val="28"/>
          <w:szCs w:val="28"/>
        </w:rPr>
        <w:t>kli</w:t>
      </w:r>
      <w:r w:rsidR="007A55BB">
        <w:rPr>
          <w:rFonts w:ascii="Times New Roman" w:hAnsi="Times New Roman" w:cs="Times New Roman"/>
          <w:sz w:val="28"/>
          <w:szCs w:val="28"/>
        </w:rPr>
        <w:t>s</w:t>
      </w:r>
      <w:r w:rsidR="0064234A">
        <w:rPr>
          <w:rFonts w:ascii="Times New Roman" w:hAnsi="Times New Roman" w:cs="Times New Roman"/>
          <w:sz w:val="28"/>
          <w:szCs w:val="28"/>
        </w:rPr>
        <w:t xml:space="preserve"> </w:t>
      </w:r>
      <w:r w:rsidR="00E04921">
        <w:rPr>
          <w:rFonts w:ascii="Times New Roman" w:hAnsi="Times New Roman" w:cs="Times New Roman"/>
          <w:sz w:val="28"/>
          <w:szCs w:val="28"/>
        </w:rPr>
        <w:t>un attiecīgi dzēšami</w:t>
      </w:r>
      <w:r w:rsidR="0009325D">
        <w:rPr>
          <w:rFonts w:ascii="Times New Roman" w:hAnsi="Times New Roman" w:cs="Times New Roman"/>
          <w:sz w:val="28"/>
          <w:szCs w:val="28"/>
        </w:rPr>
        <w:t xml:space="preserve">. Taču, ņemot vērā, ka </w:t>
      </w:r>
      <w:r w:rsidR="008315D9">
        <w:rPr>
          <w:rFonts w:ascii="Times New Roman" w:hAnsi="Times New Roman" w:cs="Times New Roman"/>
          <w:sz w:val="28"/>
          <w:szCs w:val="28"/>
        </w:rPr>
        <w:t xml:space="preserve">privatizācijas sertifikāti ir uzskatāmi par valsts saistību pret privatizācijas sertifikātu īpašniekiem un </w:t>
      </w:r>
      <w:r w:rsidR="0009325D">
        <w:rPr>
          <w:rFonts w:ascii="Times New Roman" w:hAnsi="Times New Roman" w:cs="Times New Roman"/>
          <w:sz w:val="28"/>
          <w:szCs w:val="28"/>
        </w:rPr>
        <w:t xml:space="preserve">joprojām fizisko un juridisko personu privatizācijas sertifikātu kontos glabājas 2,82 miljoni privatizācijas sertifikāti, </w:t>
      </w:r>
      <w:r w:rsidR="008315D9">
        <w:rPr>
          <w:rFonts w:ascii="Times New Roman" w:hAnsi="Times New Roman" w:cs="Times New Roman"/>
          <w:sz w:val="28"/>
          <w:szCs w:val="28"/>
        </w:rPr>
        <w:t xml:space="preserve">piedāvātais tiesiskais risinājums prasītu nesamērīgi lielus līdzekļus privatizācijas sertifikātu dzēšanai atbilstoši to nominālvērtībai, kas šobrīd ir noteikta LVL 28,00 par vienu privatizācijas sertifikātu. </w:t>
      </w:r>
      <w:r w:rsidR="0009325D">
        <w:rPr>
          <w:rFonts w:ascii="Times New Roman" w:hAnsi="Times New Roman" w:cs="Times New Roman"/>
          <w:sz w:val="28"/>
          <w:szCs w:val="28"/>
        </w:rPr>
        <w:t xml:space="preserve">Tādejādi Ekonomikas ministrija </w:t>
      </w:r>
      <w:r w:rsidR="003E28D7">
        <w:rPr>
          <w:rFonts w:ascii="Times New Roman" w:hAnsi="Times New Roman" w:cs="Times New Roman"/>
          <w:sz w:val="28"/>
          <w:szCs w:val="28"/>
        </w:rPr>
        <w:t>šādu risinājumu neapsver.</w:t>
      </w:r>
    </w:p>
    <w:p w:rsidR="002C534D" w:rsidRPr="00F7644D" w:rsidRDefault="00E519C1" w:rsidP="006B5617">
      <w:pPr>
        <w:pStyle w:val="EnvelopeReturn"/>
        <w:tabs>
          <w:tab w:val="left" w:pos="7797"/>
        </w:tabs>
        <w:spacing w:before="720"/>
        <w:jc w:val="both"/>
        <w:rPr>
          <w:rFonts w:ascii="Times New Roman" w:hAnsi="Times New Roman" w:cs="Times New Roman"/>
          <w:b/>
          <w:sz w:val="28"/>
          <w:szCs w:val="28"/>
        </w:rPr>
      </w:pPr>
      <w:r w:rsidRPr="00F7644D">
        <w:rPr>
          <w:rFonts w:ascii="Times New Roman" w:hAnsi="Times New Roman" w:cs="Times New Roman"/>
          <w:b/>
          <w:sz w:val="28"/>
          <w:szCs w:val="28"/>
        </w:rPr>
        <w:t>Ekonomikas ministrs</w:t>
      </w:r>
      <w:r w:rsidRPr="00F7644D">
        <w:rPr>
          <w:rFonts w:ascii="Times New Roman" w:hAnsi="Times New Roman" w:cs="Times New Roman"/>
          <w:b/>
          <w:sz w:val="28"/>
          <w:szCs w:val="28"/>
        </w:rPr>
        <w:tab/>
      </w:r>
      <w:r w:rsidR="004F614D" w:rsidRPr="00F7644D">
        <w:rPr>
          <w:rFonts w:ascii="Times New Roman" w:hAnsi="Times New Roman" w:cs="Times New Roman"/>
          <w:b/>
          <w:sz w:val="28"/>
          <w:szCs w:val="28"/>
        </w:rPr>
        <w:t>D.</w:t>
      </w:r>
      <w:r w:rsidR="00F7644D">
        <w:rPr>
          <w:rFonts w:ascii="Times New Roman" w:hAnsi="Times New Roman" w:cs="Times New Roman"/>
          <w:b/>
          <w:sz w:val="28"/>
          <w:szCs w:val="28"/>
        </w:rPr>
        <w:t> </w:t>
      </w:r>
      <w:r w:rsidR="002C534D" w:rsidRPr="00F7644D">
        <w:rPr>
          <w:rFonts w:ascii="Times New Roman" w:hAnsi="Times New Roman" w:cs="Times New Roman"/>
          <w:b/>
          <w:sz w:val="28"/>
          <w:szCs w:val="28"/>
        </w:rPr>
        <w:t>Pavļuts</w:t>
      </w:r>
    </w:p>
    <w:p w:rsidR="00EA58B1" w:rsidRDefault="00B30BE6" w:rsidP="007076E9">
      <w:pPr>
        <w:tabs>
          <w:tab w:val="left" w:pos="7655"/>
        </w:tabs>
        <w:spacing w:before="960"/>
        <w:rPr>
          <w:b/>
          <w:sz w:val="28"/>
          <w:szCs w:val="28"/>
        </w:rPr>
      </w:pPr>
      <w:r>
        <w:rPr>
          <w:b/>
          <w:sz w:val="28"/>
          <w:szCs w:val="28"/>
        </w:rPr>
        <w:t xml:space="preserve">Vīza: </w:t>
      </w:r>
      <w:r w:rsidR="00D2667A">
        <w:rPr>
          <w:b/>
          <w:sz w:val="28"/>
          <w:szCs w:val="28"/>
        </w:rPr>
        <w:t>v</w:t>
      </w:r>
      <w:r w:rsidR="00EA58B1">
        <w:rPr>
          <w:b/>
          <w:sz w:val="28"/>
          <w:szCs w:val="28"/>
        </w:rPr>
        <w:t>alsts sekretāra</w:t>
      </w:r>
    </w:p>
    <w:p w:rsidR="00EA58B1" w:rsidRDefault="00EA58B1" w:rsidP="00EA58B1">
      <w:pPr>
        <w:tabs>
          <w:tab w:val="left" w:pos="7655"/>
        </w:tabs>
        <w:rPr>
          <w:b/>
          <w:sz w:val="28"/>
          <w:szCs w:val="28"/>
        </w:rPr>
      </w:pPr>
      <w:r>
        <w:rPr>
          <w:b/>
          <w:sz w:val="28"/>
          <w:szCs w:val="28"/>
        </w:rPr>
        <w:t>pienākumu izpildītājs,</w:t>
      </w:r>
    </w:p>
    <w:p w:rsidR="002E5560" w:rsidRPr="0072673C" w:rsidRDefault="00EA58B1" w:rsidP="00EA58B1">
      <w:pPr>
        <w:tabs>
          <w:tab w:val="left" w:pos="7655"/>
        </w:tabs>
        <w:rPr>
          <w:b/>
          <w:sz w:val="28"/>
          <w:szCs w:val="28"/>
        </w:rPr>
      </w:pPr>
      <w:r>
        <w:rPr>
          <w:b/>
          <w:sz w:val="28"/>
          <w:szCs w:val="28"/>
        </w:rPr>
        <w:t>valsts sekretāra vietnieks</w:t>
      </w:r>
      <w:r w:rsidR="002E5560" w:rsidRPr="0072673C">
        <w:rPr>
          <w:b/>
          <w:sz w:val="28"/>
          <w:szCs w:val="28"/>
        </w:rPr>
        <w:tab/>
      </w:r>
      <w:r>
        <w:rPr>
          <w:b/>
          <w:sz w:val="28"/>
          <w:szCs w:val="28"/>
        </w:rPr>
        <w:t>A</w:t>
      </w:r>
      <w:r w:rsidR="002E5560" w:rsidRPr="0072673C">
        <w:rPr>
          <w:b/>
          <w:sz w:val="28"/>
          <w:szCs w:val="28"/>
        </w:rPr>
        <w:t>.</w:t>
      </w:r>
      <w:r w:rsidR="002E5560">
        <w:rPr>
          <w:b/>
          <w:sz w:val="28"/>
          <w:szCs w:val="28"/>
        </w:rPr>
        <w:t> </w:t>
      </w:r>
      <w:r>
        <w:rPr>
          <w:b/>
          <w:sz w:val="28"/>
          <w:szCs w:val="28"/>
        </w:rPr>
        <w:t>Liepiņš</w:t>
      </w:r>
    </w:p>
    <w:p w:rsidR="002030E5" w:rsidRPr="004F1083" w:rsidRDefault="0017117A" w:rsidP="007076E9">
      <w:pPr>
        <w:tabs>
          <w:tab w:val="left" w:pos="7230"/>
        </w:tabs>
        <w:spacing w:before="960"/>
        <w:jc w:val="both"/>
      </w:pPr>
      <w:r>
        <w:t>21</w:t>
      </w:r>
      <w:r w:rsidR="002030E5">
        <w:t>.</w:t>
      </w:r>
      <w:r w:rsidR="004222E7">
        <w:t>01</w:t>
      </w:r>
      <w:r w:rsidR="002030E5" w:rsidRPr="004F1083">
        <w:t>.201</w:t>
      </w:r>
      <w:r w:rsidR="004222E7">
        <w:t>3</w:t>
      </w:r>
      <w:r w:rsidR="002030E5" w:rsidRPr="004F1083">
        <w:t>. 1</w:t>
      </w:r>
      <w:r w:rsidR="008879E2">
        <w:t>1</w:t>
      </w:r>
      <w:r w:rsidR="002030E5" w:rsidRPr="004F1083">
        <w:t>:</w:t>
      </w:r>
      <w:r w:rsidR="009375A9">
        <w:t>48</w:t>
      </w:r>
    </w:p>
    <w:p w:rsidR="002030E5" w:rsidRPr="004F1083" w:rsidRDefault="007076E9" w:rsidP="002030E5">
      <w:r>
        <w:t>6</w:t>
      </w:r>
      <w:r w:rsidR="0017117A">
        <w:t>4</w:t>
      </w:r>
      <w:bookmarkStart w:id="2" w:name="_GoBack"/>
      <w:bookmarkEnd w:id="2"/>
      <w:r w:rsidR="00731C2E">
        <w:t>87</w:t>
      </w:r>
    </w:p>
    <w:p w:rsidR="002030E5" w:rsidRPr="004F1083" w:rsidRDefault="002030E5" w:rsidP="002030E5">
      <w:pPr>
        <w:tabs>
          <w:tab w:val="left" w:pos="7230"/>
        </w:tabs>
        <w:jc w:val="both"/>
      </w:pPr>
      <w:r>
        <w:t>D.</w:t>
      </w:r>
      <w:r w:rsidRPr="004F1083">
        <w:t>Ņesterenko</w:t>
      </w:r>
    </w:p>
    <w:p w:rsidR="00317EA0" w:rsidRPr="004F1083" w:rsidRDefault="002030E5" w:rsidP="002030E5">
      <w:pPr>
        <w:tabs>
          <w:tab w:val="left" w:pos="7230"/>
        </w:tabs>
        <w:jc w:val="both"/>
      </w:pPr>
      <w:r w:rsidRPr="004F1083">
        <w:t xml:space="preserve">67013162, </w:t>
      </w:r>
      <w:r w:rsidR="00317EA0" w:rsidRPr="00317EA0">
        <w:t>Diana.Nesterenko@em.gov.lv</w:t>
      </w:r>
    </w:p>
    <w:sectPr w:rsidR="00317EA0" w:rsidRPr="004F1083" w:rsidSect="004F614D">
      <w:headerReference w:type="default" r:id="rId8"/>
      <w:footerReference w:type="defaul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A53" w:rsidRDefault="00CD4A53" w:rsidP="002730A4">
      <w:r>
        <w:separator/>
      </w:r>
    </w:p>
  </w:endnote>
  <w:endnote w:type="continuationSeparator" w:id="1">
    <w:p w:rsidR="00CD4A53" w:rsidRDefault="00CD4A53" w:rsidP="00273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40" w:rsidRPr="002851B4" w:rsidRDefault="00946440" w:rsidP="002851B4">
    <w:pPr>
      <w:pStyle w:val="Footer"/>
      <w:jc w:val="both"/>
    </w:pPr>
    <w:r w:rsidRPr="006A3234">
      <w:t>EMInf_</w:t>
    </w:r>
    <w:r>
      <w:t>210113</w:t>
    </w:r>
    <w:r w:rsidRPr="006A3234">
      <w:t>_sert</w:t>
    </w:r>
    <w:r>
      <w:t>ifikati</w:t>
    </w:r>
    <w:r w:rsidRPr="006A3234">
      <w:t xml:space="preserve">; Informatīvais ziņojums </w:t>
    </w:r>
    <w:r>
      <w:t>„P</w:t>
    </w:r>
    <w:r w:rsidRPr="006A3234">
      <w:t>ar privatizācijas sertifikātu turpmākās administrēšanas jautājumiem</w:t>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40" w:rsidRPr="006A3234" w:rsidRDefault="00946440" w:rsidP="002851B4">
    <w:pPr>
      <w:pStyle w:val="Footer"/>
      <w:jc w:val="both"/>
    </w:pPr>
    <w:r w:rsidRPr="006A3234">
      <w:t>EMInf_</w:t>
    </w:r>
    <w:r>
      <w:t>210113</w:t>
    </w:r>
    <w:r w:rsidRPr="006A3234">
      <w:t>_sert</w:t>
    </w:r>
    <w:r>
      <w:t>ifikati</w:t>
    </w:r>
    <w:r w:rsidRPr="006A3234">
      <w:t xml:space="preserve">; Informatīvais ziņojums </w:t>
    </w:r>
    <w:r>
      <w:t>„P</w:t>
    </w:r>
    <w:r w:rsidRPr="006A3234">
      <w:t>ar privatizācijas sertifikātu turpmākās administrēšanas jautājumiem</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A53" w:rsidRDefault="00CD4A53" w:rsidP="002730A4">
      <w:r>
        <w:separator/>
      </w:r>
    </w:p>
  </w:footnote>
  <w:footnote w:type="continuationSeparator" w:id="1">
    <w:p w:rsidR="00CD4A53" w:rsidRDefault="00CD4A53" w:rsidP="00273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485"/>
      <w:docPartObj>
        <w:docPartGallery w:val="Page Numbers (Top of Page)"/>
        <w:docPartUnique/>
      </w:docPartObj>
    </w:sdtPr>
    <w:sdtContent>
      <w:p w:rsidR="00946440" w:rsidRDefault="00946440" w:rsidP="002851B4">
        <w:pPr>
          <w:pStyle w:val="Header"/>
          <w:jc w:val="center"/>
        </w:pPr>
        <w:r w:rsidRPr="002851B4">
          <w:rPr>
            <w:sz w:val="28"/>
            <w:szCs w:val="28"/>
          </w:rPr>
          <w:fldChar w:fldCharType="begin"/>
        </w:r>
        <w:r w:rsidRPr="002851B4">
          <w:rPr>
            <w:sz w:val="28"/>
            <w:szCs w:val="28"/>
          </w:rPr>
          <w:instrText xml:space="preserve"> PAGE   \* MERGEFORMAT </w:instrText>
        </w:r>
        <w:r w:rsidRPr="002851B4">
          <w:rPr>
            <w:sz w:val="28"/>
            <w:szCs w:val="28"/>
          </w:rPr>
          <w:fldChar w:fldCharType="separate"/>
        </w:r>
        <w:r w:rsidR="009375A9">
          <w:rPr>
            <w:noProof/>
            <w:sz w:val="28"/>
            <w:szCs w:val="28"/>
          </w:rPr>
          <w:t>20</w:t>
        </w:r>
        <w:r w:rsidRPr="002851B4">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24C"/>
    <w:multiLevelType w:val="hybridMultilevel"/>
    <w:tmpl w:val="760C1660"/>
    <w:lvl w:ilvl="0" w:tplc="3B86E6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DEA1AA4"/>
    <w:multiLevelType w:val="multilevel"/>
    <w:tmpl w:val="57B4EA46"/>
    <w:lvl w:ilvl="0">
      <w:start w:val="1"/>
      <w:numFmt w:val="decimal"/>
      <w:lvlText w:val="%1."/>
      <w:lvlJc w:val="left"/>
      <w:pPr>
        <w:ind w:left="1080" w:hanging="360"/>
      </w:pPr>
    </w:lvl>
    <w:lvl w:ilvl="1">
      <w:start w:val="2"/>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
    <w:nsid w:val="7C8F58F5"/>
    <w:multiLevelType w:val="hybridMultilevel"/>
    <w:tmpl w:val="E61419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554116"/>
    <w:rsid w:val="000039A8"/>
    <w:rsid w:val="00004415"/>
    <w:rsid w:val="00010E88"/>
    <w:rsid w:val="00011946"/>
    <w:rsid w:val="0002789B"/>
    <w:rsid w:val="000301E0"/>
    <w:rsid w:val="00030556"/>
    <w:rsid w:val="00034721"/>
    <w:rsid w:val="00034E6C"/>
    <w:rsid w:val="00041151"/>
    <w:rsid w:val="00043124"/>
    <w:rsid w:val="00045065"/>
    <w:rsid w:val="00046D34"/>
    <w:rsid w:val="00046E30"/>
    <w:rsid w:val="00047CDB"/>
    <w:rsid w:val="0005129E"/>
    <w:rsid w:val="0005300D"/>
    <w:rsid w:val="00053F8E"/>
    <w:rsid w:val="000546FF"/>
    <w:rsid w:val="00055BF3"/>
    <w:rsid w:val="00056675"/>
    <w:rsid w:val="00057E44"/>
    <w:rsid w:val="00060DB1"/>
    <w:rsid w:val="00063C89"/>
    <w:rsid w:val="000641D3"/>
    <w:rsid w:val="0006704D"/>
    <w:rsid w:val="0007253B"/>
    <w:rsid w:val="000730DA"/>
    <w:rsid w:val="00081985"/>
    <w:rsid w:val="00091E11"/>
    <w:rsid w:val="00092E82"/>
    <w:rsid w:val="0009325D"/>
    <w:rsid w:val="00095193"/>
    <w:rsid w:val="000A0849"/>
    <w:rsid w:val="000A2371"/>
    <w:rsid w:val="000B0774"/>
    <w:rsid w:val="000B2A37"/>
    <w:rsid w:val="000B6EEA"/>
    <w:rsid w:val="000B7847"/>
    <w:rsid w:val="000B7BCF"/>
    <w:rsid w:val="000C2784"/>
    <w:rsid w:val="000C3940"/>
    <w:rsid w:val="000C3D14"/>
    <w:rsid w:val="000C571A"/>
    <w:rsid w:val="000D3FDD"/>
    <w:rsid w:val="000D6A6E"/>
    <w:rsid w:val="000E00AF"/>
    <w:rsid w:val="000E338B"/>
    <w:rsid w:val="000E4E19"/>
    <w:rsid w:val="000E5292"/>
    <w:rsid w:val="000F0706"/>
    <w:rsid w:val="000F1D61"/>
    <w:rsid w:val="000F2BFA"/>
    <w:rsid w:val="000F464A"/>
    <w:rsid w:val="000F4A12"/>
    <w:rsid w:val="000F5297"/>
    <w:rsid w:val="000F5977"/>
    <w:rsid w:val="000F7655"/>
    <w:rsid w:val="001030BD"/>
    <w:rsid w:val="00103642"/>
    <w:rsid w:val="00112C29"/>
    <w:rsid w:val="00125797"/>
    <w:rsid w:val="00126248"/>
    <w:rsid w:val="00130EC4"/>
    <w:rsid w:val="00131D7D"/>
    <w:rsid w:val="0013302C"/>
    <w:rsid w:val="00134CA1"/>
    <w:rsid w:val="00136015"/>
    <w:rsid w:val="001402B3"/>
    <w:rsid w:val="00140735"/>
    <w:rsid w:val="001415BE"/>
    <w:rsid w:val="00144D1D"/>
    <w:rsid w:val="00145627"/>
    <w:rsid w:val="00157333"/>
    <w:rsid w:val="0016507B"/>
    <w:rsid w:val="00165E6C"/>
    <w:rsid w:val="00166D8D"/>
    <w:rsid w:val="00167472"/>
    <w:rsid w:val="00170721"/>
    <w:rsid w:val="0017117A"/>
    <w:rsid w:val="00175949"/>
    <w:rsid w:val="001759B4"/>
    <w:rsid w:val="00177531"/>
    <w:rsid w:val="00181199"/>
    <w:rsid w:val="00181B47"/>
    <w:rsid w:val="00183E0C"/>
    <w:rsid w:val="001841DF"/>
    <w:rsid w:val="001842C4"/>
    <w:rsid w:val="00186180"/>
    <w:rsid w:val="00186DEE"/>
    <w:rsid w:val="00194BE0"/>
    <w:rsid w:val="00195F2C"/>
    <w:rsid w:val="0019673E"/>
    <w:rsid w:val="00196F59"/>
    <w:rsid w:val="0019724A"/>
    <w:rsid w:val="0019735A"/>
    <w:rsid w:val="00197BC5"/>
    <w:rsid w:val="00197CAE"/>
    <w:rsid w:val="001A10E9"/>
    <w:rsid w:val="001A3611"/>
    <w:rsid w:val="001B1F4E"/>
    <w:rsid w:val="001C5CB0"/>
    <w:rsid w:val="001D08B3"/>
    <w:rsid w:val="001D23FD"/>
    <w:rsid w:val="001D2D45"/>
    <w:rsid w:val="001D6A36"/>
    <w:rsid w:val="001E0381"/>
    <w:rsid w:val="001E1E1A"/>
    <w:rsid w:val="001E2497"/>
    <w:rsid w:val="001E2B13"/>
    <w:rsid w:val="001E3FA0"/>
    <w:rsid w:val="001E4EF5"/>
    <w:rsid w:val="001E6F2F"/>
    <w:rsid w:val="001F1616"/>
    <w:rsid w:val="001F6B98"/>
    <w:rsid w:val="002030E5"/>
    <w:rsid w:val="00206348"/>
    <w:rsid w:val="0020697D"/>
    <w:rsid w:val="00212E1F"/>
    <w:rsid w:val="00214692"/>
    <w:rsid w:val="00215587"/>
    <w:rsid w:val="002207C3"/>
    <w:rsid w:val="0022183A"/>
    <w:rsid w:val="00222ECA"/>
    <w:rsid w:val="0022461B"/>
    <w:rsid w:val="002272BF"/>
    <w:rsid w:val="00231A22"/>
    <w:rsid w:val="00232993"/>
    <w:rsid w:val="002346D5"/>
    <w:rsid w:val="00235E63"/>
    <w:rsid w:val="00236AB9"/>
    <w:rsid w:val="002415C9"/>
    <w:rsid w:val="002419EA"/>
    <w:rsid w:val="002438FD"/>
    <w:rsid w:val="00246D28"/>
    <w:rsid w:val="0025525F"/>
    <w:rsid w:val="0025652A"/>
    <w:rsid w:val="00257A54"/>
    <w:rsid w:val="00257C75"/>
    <w:rsid w:val="0026148C"/>
    <w:rsid w:val="002664CB"/>
    <w:rsid w:val="00266B14"/>
    <w:rsid w:val="00266BD8"/>
    <w:rsid w:val="002730A4"/>
    <w:rsid w:val="0027326B"/>
    <w:rsid w:val="00277BAA"/>
    <w:rsid w:val="00277D53"/>
    <w:rsid w:val="002802FB"/>
    <w:rsid w:val="00280F40"/>
    <w:rsid w:val="00282905"/>
    <w:rsid w:val="002844D7"/>
    <w:rsid w:val="002851B4"/>
    <w:rsid w:val="00291839"/>
    <w:rsid w:val="00292E5A"/>
    <w:rsid w:val="002975B8"/>
    <w:rsid w:val="002A3CC0"/>
    <w:rsid w:val="002A5127"/>
    <w:rsid w:val="002B1B4B"/>
    <w:rsid w:val="002B57C2"/>
    <w:rsid w:val="002B7C9D"/>
    <w:rsid w:val="002C03EC"/>
    <w:rsid w:val="002C087C"/>
    <w:rsid w:val="002C1499"/>
    <w:rsid w:val="002C49ED"/>
    <w:rsid w:val="002C534D"/>
    <w:rsid w:val="002D2890"/>
    <w:rsid w:val="002D37E8"/>
    <w:rsid w:val="002D3881"/>
    <w:rsid w:val="002E004F"/>
    <w:rsid w:val="002E1AE6"/>
    <w:rsid w:val="002E5560"/>
    <w:rsid w:val="002E6283"/>
    <w:rsid w:val="002E666E"/>
    <w:rsid w:val="002F6250"/>
    <w:rsid w:val="00301708"/>
    <w:rsid w:val="003031D8"/>
    <w:rsid w:val="003033FF"/>
    <w:rsid w:val="00307DEC"/>
    <w:rsid w:val="00310627"/>
    <w:rsid w:val="0031621D"/>
    <w:rsid w:val="00317EA0"/>
    <w:rsid w:val="0033524C"/>
    <w:rsid w:val="003439D2"/>
    <w:rsid w:val="00344563"/>
    <w:rsid w:val="00345FFE"/>
    <w:rsid w:val="00347EC2"/>
    <w:rsid w:val="0035059F"/>
    <w:rsid w:val="003535F2"/>
    <w:rsid w:val="00361468"/>
    <w:rsid w:val="00364A29"/>
    <w:rsid w:val="003659CC"/>
    <w:rsid w:val="00367B83"/>
    <w:rsid w:val="00372540"/>
    <w:rsid w:val="003731F3"/>
    <w:rsid w:val="00373CC1"/>
    <w:rsid w:val="0037584A"/>
    <w:rsid w:val="00384595"/>
    <w:rsid w:val="00385CC2"/>
    <w:rsid w:val="0038792D"/>
    <w:rsid w:val="00390407"/>
    <w:rsid w:val="003927AA"/>
    <w:rsid w:val="00394420"/>
    <w:rsid w:val="00394B14"/>
    <w:rsid w:val="003A1A96"/>
    <w:rsid w:val="003A1ACF"/>
    <w:rsid w:val="003A27D8"/>
    <w:rsid w:val="003A5256"/>
    <w:rsid w:val="003B6972"/>
    <w:rsid w:val="003C0B7A"/>
    <w:rsid w:val="003C29D2"/>
    <w:rsid w:val="003C5223"/>
    <w:rsid w:val="003C6E94"/>
    <w:rsid w:val="003C71F8"/>
    <w:rsid w:val="003D14A0"/>
    <w:rsid w:val="003D3AAD"/>
    <w:rsid w:val="003D45D8"/>
    <w:rsid w:val="003D6177"/>
    <w:rsid w:val="003D7CA4"/>
    <w:rsid w:val="003E155C"/>
    <w:rsid w:val="003E28D7"/>
    <w:rsid w:val="003E2E6B"/>
    <w:rsid w:val="003F397F"/>
    <w:rsid w:val="003F4260"/>
    <w:rsid w:val="003F66FE"/>
    <w:rsid w:val="003F6F8F"/>
    <w:rsid w:val="00402455"/>
    <w:rsid w:val="00404B8A"/>
    <w:rsid w:val="00407E57"/>
    <w:rsid w:val="0041214A"/>
    <w:rsid w:val="00412F97"/>
    <w:rsid w:val="004146D9"/>
    <w:rsid w:val="00415C67"/>
    <w:rsid w:val="004163A1"/>
    <w:rsid w:val="004204B6"/>
    <w:rsid w:val="00420803"/>
    <w:rsid w:val="004222E7"/>
    <w:rsid w:val="00422354"/>
    <w:rsid w:val="00425B91"/>
    <w:rsid w:val="00427315"/>
    <w:rsid w:val="00431E91"/>
    <w:rsid w:val="004330A0"/>
    <w:rsid w:val="0043396C"/>
    <w:rsid w:val="00451BB8"/>
    <w:rsid w:val="0045238D"/>
    <w:rsid w:val="00453E2C"/>
    <w:rsid w:val="00453ECF"/>
    <w:rsid w:val="00454C91"/>
    <w:rsid w:val="00457D1D"/>
    <w:rsid w:val="0046043C"/>
    <w:rsid w:val="00463DD0"/>
    <w:rsid w:val="00465700"/>
    <w:rsid w:val="00466A14"/>
    <w:rsid w:val="00470313"/>
    <w:rsid w:val="00475ADA"/>
    <w:rsid w:val="00475E03"/>
    <w:rsid w:val="004806DA"/>
    <w:rsid w:val="00481AA9"/>
    <w:rsid w:val="004864F7"/>
    <w:rsid w:val="00490306"/>
    <w:rsid w:val="00492023"/>
    <w:rsid w:val="00497BF9"/>
    <w:rsid w:val="004A08EA"/>
    <w:rsid w:val="004A210A"/>
    <w:rsid w:val="004A22CC"/>
    <w:rsid w:val="004A4C8C"/>
    <w:rsid w:val="004A611F"/>
    <w:rsid w:val="004B360C"/>
    <w:rsid w:val="004B4C9C"/>
    <w:rsid w:val="004B5A7F"/>
    <w:rsid w:val="004B7EB5"/>
    <w:rsid w:val="004C0319"/>
    <w:rsid w:val="004D226B"/>
    <w:rsid w:val="004D3C03"/>
    <w:rsid w:val="004E4199"/>
    <w:rsid w:val="004E5A30"/>
    <w:rsid w:val="004F3741"/>
    <w:rsid w:val="004F5577"/>
    <w:rsid w:val="004F5A41"/>
    <w:rsid w:val="004F5E47"/>
    <w:rsid w:val="004F614D"/>
    <w:rsid w:val="004F61D6"/>
    <w:rsid w:val="00503340"/>
    <w:rsid w:val="00504722"/>
    <w:rsid w:val="00511555"/>
    <w:rsid w:val="00512EF6"/>
    <w:rsid w:val="0051665C"/>
    <w:rsid w:val="00516717"/>
    <w:rsid w:val="00517BE6"/>
    <w:rsid w:val="00523CB1"/>
    <w:rsid w:val="00524EA6"/>
    <w:rsid w:val="00526BC2"/>
    <w:rsid w:val="00526C51"/>
    <w:rsid w:val="00534930"/>
    <w:rsid w:val="00534F37"/>
    <w:rsid w:val="00540E8F"/>
    <w:rsid w:val="005437A4"/>
    <w:rsid w:val="0055373E"/>
    <w:rsid w:val="00554116"/>
    <w:rsid w:val="005615CF"/>
    <w:rsid w:val="00561822"/>
    <w:rsid w:val="00570AC1"/>
    <w:rsid w:val="00571B9D"/>
    <w:rsid w:val="00573A85"/>
    <w:rsid w:val="00574378"/>
    <w:rsid w:val="00575CDE"/>
    <w:rsid w:val="00576365"/>
    <w:rsid w:val="00582439"/>
    <w:rsid w:val="00583434"/>
    <w:rsid w:val="00583DA4"/>
    <w:rsid w:val="00585DDC"/>
    <w:rsid w:val="005919D4"/>
    <w:rsid w:val="00592243"/>
    <w:rsid w:val="005938C4"/>
    <w:rsid w:val="005A057D"/>
    <w:rsid w:val="005A4972"/>
    <w:rsid w:val="005A74FA"/>
    <w:rsid w:val="005B3561"/>
    <w:rsid w:val="005B3A0F"/>
    <w:rsid w:val="005C6D72"/>
    <w:rsid w:val="005C726B"/>
    <w:rsid w:val="005C7A0F"/>
    <w:rsid w:val="005C7AED"/>
    <w:rsid w:val="005D10D7"/>
    <w:rsid w:val="005D26F2"/>
    <w:rsid w:val="005D3978"/>
    <w:rsid w:val="005D3A97"/>
    <w:rsid w:val="005D3BD2"/>
    <w:rsid w:val="005D7662"/>
    <w:rsid w:val="005E4BFC"/>
    <w:rsid w:val="005F0225"/>
    <w:rsid w:val="005F2335"/>
    <w:rsid w:val="005F3BB6"/>
    <w:rsid w:val="005F7F88"/>
    <w:rsid w:val="006015F3"/>
    <w:rsid w:val="00606815"/>
    <w:rsid w:val="00606D29"/>
    <w:rsid w:val="00615952"/>
    <w:rsid w:val="00620C31"/>
    <w:rsid w:val="00620C6B"/>
    <w:rsid w:val="00623BDA"/>
    <w:rsid w:val="006240E6"/>
    <w:rsid w:val="0063109E"/>
    <w:rsid w:val="00633D50"/>
    <w:rsid w:val="006348A0"/>
    <w:rsid w:val="00636696"/>
    <w:rsid w:val="006370CC"/>
    <w:rsid w:val="006406D4"/>
    <w:rsid w:val="0064234A"/>
    <w:rsid w:val="00645978"/>
    <w:rsid w:val="00646039"/>
    <w:rsid w:val="00650CE5"/>
    <w:rsid w:val="00654FFC"/>
    <w:rsid w:val="00655140"/>
    <w:rsid w:val="00655FD4"/>
    <w:rsid w:val="00656B19"/>
    <w:rsid w:val="006774EF"/>
    <w:rsid w:val="006842C3"/>
    <w:rsid w:val="006907CF"/>
    <w:rsid w:val="00695ECA"/>
    <w:rsid w:val="0069706B"/>
    <w:rsid w:val="00697175"/>
    <w:rsid w:val="006A1029"/>
    <w:rsid w:val="006A1451"/>
    <w:rsid w:val="006A2405"/>
    <w:rsid w:val="006A3234"/>
    <w:rsid w:val="006A44F6"/>
    <w:rsid w:val="006A655E"/>
    <w:rsid w:val="006A7B65"/>
    <w:rsid w:val="006B0D6D"/>
    <w:rsid w:val="006B1FCC"/>
    <w:rsid w:val="006B2C52"/>
    <w:rsid w:val="006B4679"/>
    <w:rsid w:val="006B5617"/>
    <w:rsid w:val="006C0878"/>
    <w:rsid w:val="006C3B61"/>
    <w:rsid w:val="006C4AB8"/>
    <w:rsid w:val="006C619C"/>
    <w:rsid w:val="006D02B0"/>
    <w:rsid w:val="006D2ABD"/>
    <w:rsid w:val="006D664C"/>
    <w:rsid w:val="006E29EA"/>
    <w:rsid w:val="006E6871"/>
    <w:rsid w:val="006F4997"/>
    <w:rsid w:val="007051C8"/>
    <w:rsid w:val="00707051"/>
    <w:rsid w:val="007076E9"/>
    <w:rsid w:val="00716140"/>
    <w:rsid w:val="00717801"/>
    <w:rsid w:val="00720359"/>
    <w:rsid w:val="00721ADB"/>
    <w:rsid w:val="00731C2E"/>
    <w:rsid w:val="0075242D"/>
    <w:rsid w:val="007534C4"/>
    <w:rsid w:val="007534EC"/>
    <w:rsid w:val="00755230"/>
    <w:rsid w:val="007578A0"/>
    <w:rsid w:val="0076773C"/>
    <w:rsid w:val="0077332B"/>
    <w:rsid w:val="0078066B"/>
    <w:rsid w:val="0078359C"/>
    <w:rsid w:val="00783A9F"/>
    <w:rsid w:val="00784E98"/>
    <w:rsid w:val="00796108"/>
    <w:rsid w:val="00796AF0"/>
    <w:rsid w:val="00796CE7"/>
    <w:rsid w:val="007A1497"/>
    <w:rsid w:val="007A55BB"/>
    <w:rsid w:val="007B4409"/>
    <w:rsid w:val="007B63C3"/>
    <w:rsid w:val="007B6A96"/>
    <w:rsid w:val="007C5F20"/>
    <w:rsid w:val="007D1398"/>
    <w:rsid w:val="007D2E32"/>
    <w:rsid w:val="007D2E77"/>
    <w:rsid w:val="007D36D2"/>
    <w:rsid w:val="007D40FD"/>
    <w:rsid w:val="007E59A1"/>
    <w:rsid w:val="007E6D96"/>
    <w:rsid w:val="007F2269"/>
    <w:rsid w:val="007F2D06"/>
    <w:rsid w:val="007F5D2A"/>
    <w:rsid w:val="008010B6"/>
    <w:rsid w:val="00801325"/>
    <w:rsid w:val="00802AE8"/>
    <w:rsid w:val="00803BD2"/>
    <w:rsid w:val="008058A0"/>
    <w:rsid w:val="008125B4"/>
    <w:rsid w:val="00812FD0"/>
    <w:rsid w:val="008148D7"/>
    <w:rsid w:val="00814A66"/>
    <w:rsid w:val="0082282E"/>
    <w:rsid w:val="00822CC2"/>
    <w:rsid w:val="00825913"/>
    <w:rsid w:val="00827555"/>
    <w:rsid w:val="00830101"/>
    <w:rsid w:val="00830784"/>
    <w:rsid w:val="008310D1"/>
    <w:rsid w:val="008315D9"/>
    <w:rsid w:val="00833029"/>
    <w:rsid w:val="0083640F"/>
    <w:rsid w:val="008424A1"/>
    <w:rsid w:val="0084613A"/>
    <w:rsid w:val="008475AF"/>
    <w:rsid w:val="00850D5D"/>
    <w:rsid w:val="008526E2"/>
    <w:rsid w:val="00855A1E"/>
    <w:rsid w:val="008564F0"/>
    <w:rsid w:val="00863B68"/>
    <w:rsid w:val="00886921"/>
    <w:rsid w:val="008879E2"/>
    <w:rsid w:val="008913BA"/>
    <w:rsid w:val="0089795E"/>
    <w:rsid w:val="008A01D6"/>
    <w:rsid w:val="008A2BE4"/>
    <w:rsid w:val="008A6624"/>
    <w:rsid w:val="008B1D3E"/>
    <w:rsid w:val="008C35E1"/>
    <w:rsid w:val="008C4D88"/>
    <w:rsid w:val="008D311A"/>
    <w:rsid w:val="008E10CB"/>
    <w:rsid w:val="008F2671"/>
    <w:rsid w:val="008F3183"/>
    <w:rsid w:val="008F596B"/>
    <w:rsid w:val="008F6DE4"/>
    <w:rsid w:val="008F7A24"/>
    <w:rsid w:val="00902A0A"/>
    <w:rsid w:val="0090435A"/>
    <w:rsid w:val="00905461"/>
    <w:rsid w:val="00905D86"/>
    <w:rsid w:val="00911EAA"/>
    <w:rsid w:val="00921ADC"/>
    <w:rsid w:val="009225C6"/>
    <w:rsid w:val="0092713B"/>
    <w:rsid w:val="009338A9"/>
    <w:rsid w:val="00935576"/>
    <w:rsid w:val="009375A9"/>
    <w:rsid w:val="00940078"/>
    <w:rsid w:val="00940259"/>
    <w:rsid w:val="0094139D"/>
    <w:rsid w:val="00944545"/>
    <w:rsid w:val="00946440"/>
    <w:rsid w:val="00951055"/>
    <w:rsid w:val="009546D8"/>
    <w:rsid w:val="00955BE8"/>
    <w:rsid w:val="0096582D"/>
    <w:rsid w:val="00965C72"/>
    <w:rsid w:val="00973D81"/>
    <w:rsid w:val="0097671C"/>
    <w:rsid w:val="009767E0"/>
    <w:rsid w:val="0098312E"/>
    <w:rsid w:val="00992569"/>
    <w:rsid w:val="009B4D94"/>
    <w:rsid w:val="009C59CF"/>
    <w:rsid w:val="009D243C"/>
    <w:rsid w:val="009E341B"/>
    <w:rsid w:val="009E3C38"/>
    <w:rsid w:val="009E7CC1"/>
    <w:rsid w:val="009F2959"/>
    <w:rsid w:val="009F339A"/>
    <w:rsid w:val="009F3409"/>
    <w:rsid w:val="009F4B62"/>
    <w:rsid w:val="009F52CA"/>
    <w:rsid w:val="00A00AF2"/>
    <w:rsid w:val="00A010DA"/>
    <w:rsid w:val="00A02C54"/>
    <w:rsid w:val="00A04036"/>
    <w:rsid w:val="00A11A1B"/>
    <w:rsid w:val="00A14AE9"/>
    <w:rsid w:val="00A14CE5"/>
    <w:rsid w:val="00A232EF"/>
    <w:rsid w:val="00A24AB6"/>
    <w:rsid w:val="00A31922"/>
    <w:rsid w:val="00A36BC4"/>
    <w:rsid w:val="00A41F7D"/>
    <w:rsid w:val="00A4393D"/>
    <w:rsid w:val="00A439FA"/>
    <w:rsid w:val="00A5042D"/>
    <w:rsid w:val="00A5131B"/>
    <w:rsid w:val="00A55158"/>
    <w:rsid w:val="00A574A5"/>
    <w:rsid w:val="00A61D14"/>
    <w:rsid w:val="00A6266F"/>
    <w:rsid w:val="00A63142"/>
    <w:rsid w:val="00A63B2B"/>
    <w:rsid w:val="00A704FF"/>
    <w:rsid w:val="00A71CE6"/>
    <w:rsid w:val="00A7549E"/>
    <w:rsid w:val="00A75D79"/>
    <w:rsid w:val="00A76DFF"/>
    <w:rsid w:val="00A77549"/>
    <w:rsid w:val="00A77719"/>
    <w:rsid w:val="00A8023D"/>
    <w:rsid w:val="00A81D0A"/>
    <w:rsid w:val="00A8486F"/>
    <w:rsid w:val="00A85613"/>
    <w:rsid w:val="00A91D40"/>
    <w:rsid w:val="00A92CE2"/>
    <w:rsid w:val="00A942AC"/>
    <w:rsid w:val="00A97A56"/>
    <w:rsid w:val="00AA252A"/>
    <w:rsid w:val="00AA2CE8"/>
    <w:rsid w:val="00AA4953"/>
    <w:rsid w:val="00AB3379"/>
    <w:rsid w:val="00AB3C06"/>
    <w:rsid w:val="00AC366C"/>
    <w:rsid w:val="00AC4CF6"/>
    <w:rsid w:val="00AC7579"/>
    <w:rsid w:val="00AD3F62"/>
    <w:rsid w:val="00AD4BBC"/>
    <w:rsid w:val="00AE0BE4"/>
    <w:rsid w:val="00AE2399"/>
    <w:rsid w:val="00AE3688"/>
    <w:rsid w:val="00AE6038"/>
    <w:rsid w:val="00AF01E9"/>
    <w:rsid w:val="00AF06D2"/>
    <w:rsid w:val="00AF1432"/>
    <w:rsid w:val="00AF1F9D"/>
    <w:rsid w:val="00B01FF6"/>
    <w:rsid w:val="00B04892"/>
    <w:rsid w:val="00B052BA"/>
    <w:rsid w:val="00B124E8"/>
    <w:rsid w:val="00B30619"/>
    <w:rsid w:val="00B30BE6"/>
    <w:rsid w:val="00B326A9"/>
    <w:rsid w:val="00B32AB3"/>
    <w:rsid w:val="00B35B45"/>
    <w:rsid w:val="00B4227A"/>
    <w:rsid w:val="00B4371B"/>
    <w:rsid w:val="00B43ED3"/>
    <w:rsid w:val="00B522F0"/>
    <w:rsid w:val="00B52499"/>
    <w:rsid w:val="00B52C6B"/>
    <w:rsid w:val="00B52EDF"/>
    <w:rsid w:val="00B5427F"/>
    <w:rsid w:val="00B5706F"/>
    <w:rsid w:val="00B61379"/>
    <w:rsid w:val="00B65403"/>
    <w:rsid w:val="00B72BB1"/>
    <w:rsid w:val="00B72E14"/>
    <w:rsid w:val="00B7372C"/>
    <w:rsid w:val="00B8583C"/>
    <w:rsid w:val="00B85FA4"/>
    <w:rsid w:val="00B873DD"/>
    <w:rsid w:val="00B90379"/>
    <w:rsid w:val="00B94B2F"/>
    <w:rsid w:val="00B957C7"/>
    <w:rsid w:val="00B962C1"/>
    <w:rsid w:val="00B97995"/>
    <w:rsid w:val="00BA073B"/>
    <w:rsid w:val="00BA3B38"/>
    <w:rsid w:val="00BB000E"/>
    <w:rsid w:val="00BB1C11"/>
    <w:rsid w:val="00BB62B1"/>
    <w:rsid w:val="00BB67E8"/>
    <w:rsid w:val="00BB7AA8"/>
    <w:rsid w:val="00BC0786"/>
    <w:rsid w:val="00BC25DF"/>
    <w:rsid w:val="00BC2804"/>
    <w:rsid w:val="00BC2825"/>
    <w:rsid w:val="00BC3BA5"/>
    <w:rsid w:val="00BC4D8F"/>
    <w:rsid w:val="00BD0984"/>
    <w:rsid w:val="00BD2C0D"/>
    <w:rsid w:val="00BD330C"/>
    <w:rsid w:val="00BD3717"/>
    <w:rsid w:val="00BD65DC"/>
    <w:rsid w:val="00BE7C9E"/>
    <w:rsid w:val="00BF0C78"/>
    <w:rsid w:val="00BF1FA3"/>
    <w:rsid w:val="00BF784D"/>
    <w:rsid w:val="00C106C7"/>
    <w:rsid w:val="00C10861"/>
    <w:rsid w:val="00C15541"/>
    <w:rsid w:val="00C1640C"/>
    <w:rsid w:val="00C2012C"/>
    <w:rsid w:val="00C25948"/>
    <w:rsid w:val="00C26656"/>
    <w:rsid w:val="00C42A80"/>
    <w:rsid w:val="00C51C5D"/>
    <w:rsid w:val="00C55D93"/>
    <w:rsid w:val="00C622AD"/>
    <w:rsid w:val="00C63063"/>
    <w:rsid w:val="00C637E7"/>
    <w:rsid w:val="00C64272"/>
    <w:rsid w:val="00C66909"/>
    <w:rsid w:val="00C67E12"/>
    <w:rsid w:val="00C752B5"/>
    <w:rsid w:val="00C8600B"/>
    <w:rsid w:val="00C87497"/>
    <w:rsid w:val="00C9105C"/>
    <w:rsid w:val="00C94E52"/>
    <w:rsid w:val="00C95A8A"/>
    <w:rsid w:val="00C9617E"/>
    <w:rsid w:val="00C97D06"/>
    <w:rsid w:val="00CA4B72"/>
    <w:rsid w:val="00CA5362"/>
    <w:rsid w:val="00CA699E"/>
    <w:rsid w:val="00CB10D6"/>
    <w:rsid w:val="00CB3C4B"/>
    <w:rsid w:val="00CB48E6"/>
    <w:rsid w:val="00CC187E"/>
    <w:rsid w:val="00CC3A3F"/>
    <w:rsid w:val="00CC3AE5"/>
    <w:rsid w:val="00CC5F4F"/>
    <w:rsid w:val="00CD4A53"/>
    <w:rsid w:val="00CD7ED3"/>
    <w:rsid w:val="00CE5E81"/>
    <w:rsid w:val="00CE683C"/>
    <w:rsid w:val="00CF1D8E"/>
    <w:rsid w:val="00CF38EC"/>
    <w:rsid w:val="00CF460F"/>
    <w:rsid w:val="00CF6ED5"/>
    <w:rsid w:val="00D009AD"/>
    <w:rsid w:val="00D02052"/>
    <w:rsid w:val="00D04AE9"/>
    <w:rsid w:val="00D136BF"/>
    <w:rsid w:val="00D13DE3"/>
    <w:rsid w:val="00D1506B"/>
    <w:rsid w:val="00D16B7F"/>
    <w:rsid w:val="00D2667A"/>
    <w:rsid w:val="00D269DF"/>
    <w:rsid w:val="00D313C7"/>
    <w:rsid w:val="00D325E6"/>
    <w:rsid w:val="00D32E59"/>
    <w:rsid w:val="00D37996"/>
    <w:rsid w:val="00D37F8D"/>
    <w:rsid w:val="00D468A4"/>
    <w:rsid w:val="00D473ED"/>
    <w:rsid w:val="00D47E9F"/>
    <w:rsid w:val="00D50B12"/>
    <w:rsid w:val="00D52DF8"/>
    <w:rsid w:val="00D53AC8"/>
    <w:rsid w:val="00D571E3"/>
    <w:rsid w:val="00D60067"/>
    <w:rsid w:val="00D6533C"/>
    <w:rsid w:val="00D72037"/>
    <w:rsid w:val="00D741DA"/>
    <w:rsid w:val="00D769DC"/>
    <w:rsid w:val="00D81CE0"/>
    <w:rsid w:val="00D82777"/>
    <w:rsid w:val="00D90526"/>
    <w:rsid w:val="00D91E1B"/>
    <w:rsid w:val="00D96F28"/>
    <w:rsid w:val="00DA15C7"/>
    <w:rsid w:val="00DA253E"/>
    <w:rsid w:val="00DA2CD7"/>
    <w:rsid w:val="00DA4CCD"/>
    <w:rsid w:val="00DA4FCD"/>
    <w:rsid w:val="00DA54C5"/>
    <w:rsid w:val="00DB02A1"/>
    <w:rsid w:val="00DB6835"/>
    <w:rsid w:val="00DB713E"/>
    <w:rsid w:val="00DC1331"/>
    <w:rsid w:val="00DC20F4"/>
    <w:rsid w:val="00DC3712"/>
    <w:rsid w:val="00DC642C"/>
    <w:rsid w:val="00DC6FD5"/>
    <w:rsid w:val="00DC7508"/>
    <w:rsid w:val="00DD1BE1"/>
    <w:rsid w:val="00DD35B7"/>
    <w:rsid w:val="00DD4C96"/>
    <w:rsid w:val="00DE50F1"/>
    <w:rsid w:val="00DF00E5"/>
    <w:rsid w:val="00DF1F20"/>
    <w:rsid w:val="00DF631B"/>
    <w:rsid w:val="00E008CC"/>
    <w:rsid w:val="00E03F59"/>
    <w:rsid w:val="00E04921"/>
    <w:rsid w:val="00E154E8"/>
    <w:rsid w:val="00E16CC9"/>
    <w:rsid w:val="00E17C72"/>
    <w:rsid w:val="00E17C99"/>
    <w:rsid w:val="00E20BB2"/>
    <w:rsid w:val="00E23D75"/>
    <w:rsid w:val="00E27B87"/>
    <w:rsid w:val="00E3449F"/>
    <w:rsid w:val="00E36A1C"/>
    <w:rsid w:val="00E378C7"/>
    <w:rsid w:val="00E37D34"/>
    <w:rsid w:val="00E45C32"/>
    <w:rsid w:val="00E477E8"/>
    <w:rsid w:val="00E519C1"/>
    <w:rsid w:val="00E53E68"/>
    <w:rsid w:val="00E53F19"/>
    <w:rsid w:val="00E56832"/>
    <w:rsid w:val="00E56E48"/>
    <w:rsid w:val="00E60D5A"/>
    <w:rsid w:val="00E60DF5"/>
    <w:rsid w:val="00E62CB8"/>
    <w:rsid w:val="00E62E69"/>
    <w:rsid w:val="00E74834"/>
    <w:rsid w:val="00E7498C"/>
    <w:rsid w:val="00E765D1"/>
    <w:rsid w:val="00E81078"/>
    <w:rsid w:val="00E82B30"/>
    <w:rsid w:val="00E82BE7"/>
    <w:rsid w:val="00E85265"/>
    <w:rsid w:val="00E85F41"/>
    <w:rsid w:val="00E903FB"/>
    <w:rsid w:val="00E92B55"/>
    <w:rsid w:val="00E95577"/>
    <w:rsid w:val="00E967C0"/>
    <w:rsid w:val="00EA510A"/>
    <w:rsid w:val="00EA58B1"/>
    <w:rsid w:val="00EA6597"/>
    <w:rsid w:val="00EA70F2"/>
    <w:rsid w:val="00EA75A4"/>
    <w:rsid w:val="00EB07AC"/>
    <w:rsid w:val="00EB27EF"/>
    <w:rsid w:val="00EB28AA"/>
    <w:rsid w:val="00EB4E86"/>
    <w:rsid w:val="00EB4F3A"/>
    <w:rsid w:val="00EB5CDC"/>
    <w:rsid w:val="00EB64C4"/>
    <w:rsid w:val="00EB6E6E"/>
    <w:rsid w:val="00EB6FC3"/>
    <w:rsid w:val="00EB7B34"/>
    <w:rsid w:val="00EC29DF"/>
    <w:rsid w:val="00EC3008"/>
    <w:rsid w:val="00ED2E66"/>
    <w:rsid w:val="00ED4E49"/>
    <w:rsid w:val="00EF1C9C"/>
    <w:rsid w:val="00EF3D80"/>
    <w:rsid w:val="00EF6304"/>
    <w:rsid w:val="00F0055A"/>
    <w:rsid w:val="00F024BC"/>
    <w:rsid w:val="00F02F60"/>
    <w:rsid w:val="00F06E68"/>
    <w:rsid w:val="00F10822"/>
    <w:rsid w:val="00F110FD"/>
    <w:rsid w:val="00F1513C"/>
    <w:rsid w:val="00F1583D"/>
    <w:rsid w:val="00F262CB"/>
    <w:rsid w:val="00F273DB"/>
    <w:rsid w:val="00F3319F"/>
    <w:rsid w:val="00F357EE"/>
    <w:rsid w:val="00F35A0B"/>
    <w:rsid w:val="00F40176"/>
    <w:rsid w:val="00F41291"/>
    <w:rsid w:val="00F412A8"/>
    <w:rsid w:val="00F433FF"/>
    <w:rsid w:val="00F52668"/>
    <w:rsid w:val="00F52D4B"/>
    <w:rsid w:val="00F54122"/>
    <w:rsid w:val="00F5760B"/>
    <w:rsid w:val="00F63824"/>
    <w:rsid w:val="00F64C35"/>
    <w:rsid w:val="00F70804"/>
    <w:rsid w:val="00F716F8"/>
    <w:rsid w:val="00F72398"/>
    <w:rsid w:val="00F74C4B"/>
    <w:rsid w:val="00F7644D"/>
    <w:rsid w:val="00F92726"/>
    <w:rsid w:val="00F92CAC"/>
    <w:rsid w:val="00F9364E"/>
    <w:rsid w:val="00F93FBB"/>
    <w:rsid w:val="00FA3712"/>
    <w:rsid w:val="00FA5C8F"/>
    <w:rsid w:val="00FB278D"/>
    <w:rsid w:val="00FB3D43"/>
    <w:rsid w:val="00FC136D"/>
    <w:rsid w:val="00FC73B2"/>
    <w:rsid w:val="00FD0516"/>
    <w:rsid w:val="00FD2EB8"/>
    <w:rsid w:val="00FD529D"/>
    <w:rsid w:val="00FD52B2"/>
    <w:rsid w:val="00FD5624"/>
    <w:rsid w:val="00FD61F8"/>
    <w:rsid w:val="00FE16FC"/>
    <w:rsid w:val="00FE33DA"/>
    <w:rsid w:val="00FE54C1"/>
    <w:rsid w:val="00FE62D8"/>
    <w:rsid w:val="00FF004E"/>
    <w:rsid w:val="00FF0DF7"/>
    <w:rsid w:val="00FF1094"/>
    <w:rsid w:val="00FF3835"/>
    <w:rsid w:val="00FF559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1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54116"/>
    <w:rPr>
      <w:rFonts w:ascii="Arial" w:hAnsi="Arial" w:cs="Arial"/>
      <w:sz w:val="20"/>
      <w:szCs w:val="20"/>
    </w:rPr>
  </w:style>
  <w:style w:type="character" w:styleId="Hyperlink">
    <w:name w:val="Hyperlink"/>
    <w:basedOn w:val="DefaultParagraphFont"/>
    <w:uiPriority w:val="99"/>
    <w:unhideWhenUsed/>
    <w:rsid w:val="00721ADB"/>
    <w:rPr>
      <w:color w:val="0000FF" w:themeColor="hyperlink"/>
      <w:u w:val="single"/>
    </w:rPr>
  </w:style>
  <w:style w:type="paragraph" w:styleId="Header">
    <w:name w:val="header"/>
    <w:basedOn w:val="Normal"/>
    <w:link w:val="HeaderChar"/>
    <w:uiPriority w:val="99"/>
    <w:unhideWhenUsed/>
    <w:rsid w:val="002730A4"/>
    <w:pPr>
      <w:tabs>
        <w:tab w:val="center" w:pos="4153"/>
        <w:tab w:val="right" w:pos="8306"/>
      </w:tabs>
    </w:pPr>
  </w:style>
  <w:style w:type="character" w:customStyle="1" w:styleId="HeaderChar">
    <w:name w:val="Header Char"/>
    <w:basedOn w:val="DefaultParagraphFont"/>
    <w:link w:val="Header"/>
    <w:uiPriority w:val="99"/>
    <w:rsid w:val="002730A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2730A4"/>
    <w:pPr>
      <w:tabs>
        <w:tab w:val="center" w:pos="4153"/>
        <w:tab w:val="right" w:pos="8306"/>
      </w:tabs>
    </w:pPr>
  </w:style>
  <w:style w:type="character" w:customStyle="1" w:styleId="FooterChar">
    <w:name w:val="Footer Char"/>
    <w:basedOn w:val="DefaultParagraphFont"/>
    <w:link w:val="Footer"/>
    <w:uiPriority w:val="99"/>
    <w:semiHidden/>
    <w:rsid w:val="002730A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2CAC"/>
    <w:rPr>
      <w:sz w:val="16"/>
      <w:szCs w:val="16"/>
    </w:rPr>
  </w:style>
  <w:style w:type="paragraph" w:styleId="CommentText">
    <w:name w:val="annotation text"/>
    <w:basedOn w:val="Normal"/>
    <w:link w:val="CommentTextChar"/>
    <w:uiPriority w:val="99"/>
    <w:semiHidden/>
    <w:unhideWhenUsed/>
    <w:rsid w:val="00F92CAC"/>
    <w:rPr>
      <w:sz w:val="20"/>
      <w:szCs w:val="20"/>
    </w:rPr>
  </w:style>
  <w:style w:type="character" w:customStyle="1" w:styleId="CommentTextChar">
    <w:name w:val="Comment Text Char"/>
    <w:basedOn w:val="DefaultParagraphFont"/>
    <w:link w:val="CommentText"/>
    <w:uiPriority w:val="99"/>
    <w:semiHidden/>
    <w:rsid w:val="00F92CA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2CAC"/>
    <w:rPr>
      <w:b/>
      <w:bCs/>
    </w:rPr>
  </w:style>
  <w:style w:type="character" w:customStyle="1" w:styleId="CommentSubjectChar">
    <w:name w:val="Comment Subject Char"/>
    <w:basedOn w:val="CommentTextChar"/>
    <w:link w:val="CommentSubject"/>
    <w:uiPriority w:val="99"/>
    <w:semiHidden/>
    <w:rsid w:val="00F92CA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92CAC"/>
    <w:rPr>
      <w:rFonts w:ascii="Tahoma" w:hAnsi="Tahoma" w:cs="Tahoma"/>
      <w:sz w:val="16"/>
      <w:szCs w:val="16"/>
    </w:rPr>
  </w:style>
  <w:style w:type="character" w:customStyle="1" w:styleId="BalloonTextChar">
    <w:name w:val="Balloon Text Char"/>
    <w:basedOn w:val="DefaultParagraphFont"/>
    <w:link w:val="BalloonText"/>
    <w:uiPriority w:val="99"/>
    <w:semiHidden/>
    <w:rsid w:val="00F92CAC"/>
    <w:rPr>
      <w:rFonts w:ascii="Tahoma" w:eastAsia="Times New Roman" w:hAnsi="Tahoma" w:cs="Tahoma"/>
      <w:sz w:val="16"/>
      <w:szCs w:val="16"/>
      <w:lang w:eastAsia="lv-LV"/>
    </w:rPr>
  </w:style>
  <w:style w:type="paragraph" w:styleId="BodyTextIndent">
    <w:name w:val="Body Text Indent"/>
    <w:basedOn w:val="Normal"/>
    <w:link w:val="BodyTextIndentChar"/>
    <w:semiHidden/>
    <w:rsid w:val="00620C31"/>
    <w:pPr>
      <w:spacing w:after="120"/>
      <w:ind w:left="283"/>
    </w:pPr>
    <w:rPr>
      <w:lang w:val="en-GB" w:eastAsia="en-US"/>
    </w:rPr>
  </w:style>
  <w:style w:type="character" w:customStyle="1" w:styleId="BodyTextIndentChar">
    <w:name w:val="Body Text Indent Char"/>
    <w:basedOn w:val="DefaultParagraphFont"/>
    <w:link w:val="BodyTextIndent"/>
    <w:semiHidden/>
    <w:rsid w:val="00620C31"/>
    <w:rPr>
      <w:rFonts w:ascii="Times New Roman" w:eastAsia="Times New Roman" w:hAnsi="Times New Roman" w:cs="Times New Roman"/>
      <w:sz w:val="24"/>
      <w:szCs w:val="24"/>
      <w:lang w:val="en-GB"/>
    </w:rPr>
  </w:style>
  <w:style w:type="paragraph" w:customStyle="1" w:styleId="Taksts11">
    <w:name w:val="Taksts_11"/>
    <w:basedOn w:val="Normal"/>
    <w:rsid w:val="00620C31"/>
    <w:pPr>
      <w:ind w:firstLine="567"/>
      <w:jc w:val="both"/>
    </w:pPr>
    <w:rPr>
      <w:sz w:val="22"/>
      <w:szCs w:val="20"/>
      <w:lang w:eastAsia="en-US"/>
    </w:rPr>
  </w:style>
  <w:style w:type="paragraph" w:styleId="BodyTextIndent3">
    <w:name w:val="Body Text Indent 3"/>
    <w:basedOn w:val="Normal"/>
    <w:link w:val="BodyTextIndent3Char"/>
    <w:uiPriority w:val="99"/>
    <w:semiHidden/>
    <w:unhideWhenUsed/>
    <w:rsid w:val="00AE0B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0BE4"/>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unhideWhenUsed/>
    <w:rsid w:val="002438FD"/>
    <w:pPr>
      <w:spacing w:after="120"/>
    </w:pPr>
  </w:style>
  <w:style w:type="character" w:customStyle="1" w:styleId="BodyTextChar">
    <w:name w:val="Body Text Char"/>
    <w:basedOn w:val="DefaultParagraphFont"/>
    <w:link w:val="BodyText"/>
    <w:uiPriority w:val="99"/>
    <w:rsid w:val="002438FD"/>
    <w:rPr>
      <w:rFonts w:ascii="Times New Roman" w:eastAsia="Times New Roman" w:hAnsi="Times New Roman" w:cs="Times New Roman"/>
      <w:sz w:val="24"/>
      <w:szCs w:val="24"/>
      <w:lang w:eastAsia="lv-LV"/>
    </w:rPr>
  </w:style>
  <w:style w:type="character" w:styleId="PageNumber">
    <w:name w:val="page number"/>
    <w:basedOn w:val="DefaultParagraphFont"/>
    <w:semiHidden/>
    <w:rsid w:val="00D269DF"/>
  </w:style>
  <w:style w:type="paragraph" w:styleId="ListParagraph">
    <w:name w:val="List Paragraph"/>
    <w:basedOn w:val="Normal"/>
    <w:uiPriority w:val="34"/>
    <w:qFormat/>
    <w:rsid w:val="00850D5D"/>
    <w:pPr>
      <w:ind w:left="720"/>
      <w:contextualSpacing/>
    </w:pPr>
  </w:style>
  <w:style w:type="table" w:styleId="TableGrid">
    <w:name w:val="Table Grid"/>
    <w:basedOn w:val="TableNormal"/>
    <w:uiPriority w:val="59"/>
    <w:rsid w:val="00BE7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1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54116"/>
    <w:rPr>
      <w:rFonts w:ascii="Arial" w:hAnsi="Arial" w:cs="Arial"/>
      <w:sz w:val="20"/>
      <w:szCs w:val="20"/>
    </w:rPr>
  </w:style>
  <w:style w:type="character" w:styleId="Hyperlink">
    <w:name w:val="Hyperlink"/>
    <w:basedOn w:val="DefaultParagraphFont"/>
    <w:uiPriority w:val="99"/>
    <w:unhideWhenUsed/>
    <w:rsid w:val="00721ADB"/>
    <w:rPr>
      <w:color w:val="0000FF" w:themeColor="hyperlink"/>
      <w:u w:val="single"/>
    </w:rPr>
  </w:style>
  <w:style w:type="paragraph" w:styleId="Header">
    <w:name w:val="header"/>
    <w:basedOn w:val="Normal"/>
    <w:link w:val="HeaderChar"/>
    <w:uiPriority w:val="99"/>
    <w:unhideWhenUsed/>
    <w:rsid w:val="002730A4"/>
    <w:pPr>
      <w:tabs>
        <w:tab w:val="center" w:pos="4153"/>
        <w:tab w:val="right" w:pos="8306"/>
      </w:tabs>
    </w:pPr>
  </w:style>
  <w:style w:type="character" w:customStyle="1" w:styleId="HeaderChar">
    <w:name w:val="Header Char"/>
    <w:basedOn w:val="DefaultParagraphFont"/>
    <w:link w:val="Header"/>
    <w:uiPriority w:val="99"/>
    <w:rsid w:val="002730A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2730A4"/>
    <w:pPr>
      <w:tabs>
        <w:tab w:val="center" w:pos="4153"/>
        <w:tab w:val="right" w:pos="8306"/>
      </w:tabs>
    </w:pPr>
  </w:style>
  <w:style w:type="character" w:customStyle="1" w:styleId="FooterChar">
    <w:name w:val="Footer Char"/>
    <w:basedOn w:val="DefaultParagraphFont"/>
    <w:link w:val="Footer"/>
    <w:uiPriority w:val="99"/>
    <w:semiHidden/>
    <w:rsid w:val="002730A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2CAC"/>
    <w:rPr>
      <w:sz w:val="16"/>
      <w:szCs w:val="16"/>
    </w:rPr>
  </w:style>
  <w:style w:type="paragraph" w:styleId="CommentText">
    <w:name w:val="annotation text"/>
    <w:basedOn w:val="Normal"/>
    <w:link w:val="CommentTextChar"/>
    <w:uiPriority w:val="99"/>
    <w:semiHidden/>
    <w:unhideWhenUsed/>
    <w:rsid w:val="00F92CAC"/>
    <w:rPr>
      <w:sz w:val="20"/>
      <w:szCs w:val="20"/>
    </w:rPr>
  </w:style>
  <w:style w:type="character" w:customStyle="1" w:styleId="CommentTextChar">
    <w:name w:val="Comment Text Char"/>
    <w:basedOn w:val="DefaultParagraphFont"/>
    <w:link w:val="CommentText"/>
    <w:uiPriority w:val="99"/>
    <w:semiHidden/>
    <w:rsid w:val="00F92CA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2CAC"/>
    <w:rPr>
      <w:b/>
      <w:bCs/>
    </w:rPr>
  </w:style>
  <w:style w:type="character" w:customStyle="1" w:styleId="CommentSubjectChar">
    <w:name w:val="Comment Subject Char"/>
    <w:basedOn w:val="CommentTextChar"/>
    <w:link w:val="CommentSubject"/>
    <w:uiPriority w:val="99"/>
    <w:semiHidden/>
    <w:rsid w:val="00F92CA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92CAC"/>
    <w:rPr>
      <w:rFonts w:ascii="Tahoma" w:hAnsi="Tahoma" w:cs="Tahoma"/>
      <w:sz w:val="16"/>
      <w:szCs w:val="16"/>
    </w:rPr>
  </w:style>
  <w:style w:type="character" w:customStyle="1" w:styleId="BalloonTextChar">
    <w:name w:val="Balloon Text Char"/>
    <w:basedOn w:val="DefaultParagraphFont"/>
    <w:link w:val="BalloonText"/>
    <w:uiPriority w:val="99"/>
    <w:semiHidden/>
    <w:rsid w:val="00F92CAC"/>
    <w:rPr>
      <w:rFonts w:ascii="Tahoma" w:eastAsia="Times New Roman" w:hAnsi="Tahoma" w:cs="Tahoma"/>
      <w:sz w:val="16"/>
      <w:szCs w:val="16"/>
      <w:lang w:eastAsia="lv-LV"/>
    </w:rPr>
  </w:style>
  <w:style w:type="paragraph" w:styleId="BodyTextIndent">
    <w:name w:val="Body Text Indent"/>
    <w:basedOn w:val="Normal"/>
    <w:link w:val="BodyTextIndentChar"/>
    <w:semiHidden/>
    <w:rsid w:val="00620C31"/>
    <w:pPr>
      <w:spacing w:after="120"/>
      <w:ind w:left="283"/>
    </w:pPr>
    <w:rPr>
      <w:lang w:val="en-GB" w:eastAsia="en-US"/>
    </w:rPr>
  </w:style>
  <w:style w:type="character" w:customStyle="1" w:styleId="BodyTextIndentChar">
    <w:name w:val="Body Text Indent Char"/>
    <w:basedOn w:val="DefaultParagraphFont"/>
    <w:link w:val="BodyTextIndent"/>
    <w:semiHidden/>
    <w:rsid w:val="00620C31"/>
    <w:rPr>
      <w:rFonts w:ascii="Times New Roman" w:eastAsia="Times New Roman" w:hAnsi="Times New Roman" w:cs="Times New Roman"/>
      <w:sz w:val="24"/>
      <w:szCs w:val="24"/>
      <w:lang w:val="en-GB"/>
    </w:rPr>
  </w:style>
  <w:style w:type="paragraph" w:customStyle="1" w:styleId="Taksts11">
    <w:name w:val="Taksts_11"/>
    <w:basedOn w:val="Normal"/>
    <w:rsid w:val="00620C31"/>
    <w:pPr>
      <w:ind w:firstLine="567"/>
      <w:jc w:val="both"/>
    </w:pPr>
    <w:rPr>
      <w:sz w:val="22"/>
      <w:szCs w:val="20"/>
      <w:lang w:eastAsia="en-US"/>
    </w:rPr>
  </w:style>
  <w:style w:type="paragraph" w:styleId="BodyTextIndent3">
    <w:name w:val="Body Text Indent 3"/>
    <w:basedOn w:val="Normal"/>
    <w:link w:val="BodyTextIndent3Char"/>
    <w:uiPriority w:val="99"/>
    <w:semiHidden/>
    <w:unhideWhenUsed/>
    <w:rsid w:val="00AE0B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0BE4"/>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unhideWhenUsed/>
    <w:rsid w:val="002438FD"/>
    <w:pPr>
      <w:spacing w:after="120"/>
    </w:pPr>
  </w:style>
  <w:style w:type="character" w:customStyle="1" w:styleId="BodyTextChar">
    <w:name w:val="Body Text Char"/>
    <w:basedOn w:val="DefaultParagraphFont"/>
    <w:link w:val="BodyText"/>
    <w:uiPriority w:val="99"/>
    <w:rsid w:val="002438FD"/>
    <w:rPr>
      <w:rFonts w:ascii="Times New Roman" w:eastAsia="Times New Roman" w:hAnsi="Times New Roman" w:cs="Times New Roman"/>
      <w:sz w:val="24"/>
      <w:szCs w:val="24"/>
      <w:lang w:eastAsia="lv-LV"/>
    </w:rPr>
  </w:style>
  <w:style w:type="character" w:styleId="PageNumber">
    <w:name w:val="page number"/>
    <w:basedOn w:val="DefaultParagraphFont"/>
    <w:semiHidden/>
    <w:rsid w:val="00D269DF"/>
  </w:style>
  <w:style w:type="paragraph" w:styleId="ListParagraph">
    <w:name w:val="List Paragraph"/>
    <w:basedOn w:val="Normal"/>
    <w:uiPriority w:val="34"/>
    <w:qFormat/>
    <w:rsid w:val="00850D5D"/>
    <w:pPr>
      <w:ind w:left="720"/>
      <w:contextualSpacing/>
    </w:pPr>
  </w:style>
  <w:style w:type="table" w:styleId="TableGrid">
    <w:name w:val="Table Grid"/>
    <w:basedOn w:val="TableNormal"/>
    <w:uiPriority w:val="59"/>
    <w:rsid w:val="00BE7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23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5D386-A0A0-4C8B-81D3-FCCADCD6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33693</Words>
  <Characters>19206</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Informatīvais ziņojums „Par privatizācijas sertifikātu turpmākās administrēšanas jautājumiem”</vt:lpstr>
    </vt:vector>
  </TitlesOfParts>
  <Company>LR Ekonomikas ministrija</Company>
  <LinksUpToDate>false</LinksUpToDate>
  <CharactersWithSpaces>52794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privatizācijas sertifikātu turpmākās administrēšanas jautājumiem”</dc:title>
  <dc:subject>Informatīvais ziņojums</dc:subject>
  <dc:creator>Diāna Ņesterenko</dc:creator>
  <dc:description>67013162;_x000d_
Diana.Nesterenko@em.gov.lv</dc:description>
  <cp:lastModifiedBy>Undis</cp:lastModifiedBy>
  <cp:revision>11</cp:revision>
  <cp:lastPrinted>2012-11-23T14:39:00Z</cp:lastPrinted>
  <dcterms:created xsi:type="dcterms:W3CDTF">2013-01-18T14:10:00Z</dcterms:created>
  <dcterms:modified xsi:type="dcterms:W3CDTF">2013-01-21T09:48:00Z</dcterms:modified>
</cp:coreProperties>
</file>