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736" w:rsidRPr="00311762" w:rsidRDefault="00DC1736" w:rsidP="00E80DCB">
      <w:pPr>
        <w:keepNext/>
        <w:keepLines/>
        <w:jc w:val="right"/>
        <w:rPr>
          <w:i/>
          <w:sz w:val="27"/>
          <w:szCs w:val="27"/>
        </w:rPr>
      </w:pPr>
      <w:r w:rsidRPr="00311762">
        <w:rPr>
          <w:i/>
          <w:sz w:val="27"/>
          <w:szCs w:val="27"/>
        </w:rPr>
        <w:t>Projekts</w:t>
      </w:r>
    </w:p>
    <w:p w:rsidR="00EB226B" w:rsidRPr="00311762" w:rsidRDefault="00EB226B" w:rsidP="00E80DCB">
      <w:pPr>
        <w:keepNext/>
        <w:keepLines/>
        <w:jc w:val="right"/>
        <w:rPr>
          <w:i/>
          <w:sz w:val="27"/>
          <w:szCs w:val="27"/>
        </w:rPr>
      </w:pPr>
    </w:p>
    <w:p w:rsidR="00DC1736" w:rsidRPr="00311762" w:rsidRDefault="00DC1736" w:rsidP="00E80DCB">
      <w:pPr>
        <w:keepNext/>
        <w:keepLines/>
        <w:jc w:val="right"/>
        <w:rPr>
          <w:i/>
          <w:sz w:val="27"/>
          <w:szCs w:val="27"/>
        </w:rPr>
      </w:pPr>
    </w:p>
    <w:p w:rsidR="00DC1736" w:rsidRPr="00311762" w:rsidRDefault="00DC1736" w:rsidP="00143CD1">
      <w:pPr>
        <w:keepNext/>
        <w:keepLines/>
        <w:ind w:left="993"/>
        <w:jc w:val="right"/>
        <w:rPr>
          <w:b/>
          <w:sz w:val="27"/>
          <w:szCs w:val="27"/>
        </w:rPr>
      </w:pPr>
      <w:r w:rsidRPr="00311762">
        <w:rPr>
          <w:b/>
          <w:sz w:val="27"/>
          <w:szCs w:val="27"/>
        </w:rPr>
        <w:t xml:space="preserve">Saeimas Publisko izdevumu un revīzijas komisijas priekšsēdētājam </w:t>
      </w:r>
      <w:proofErr w:type="spellStart"/>
      <w:r w:rsidRPr="00311762">
        <w:rPr>
          <w:b/>
          <w:sz w:val="27"/>
          <w:szCs w:val="27"/>
        </w:rPr>
        <w:t>A.Berziņa</w:t>
      </w:r>
      <w:proofErr w:type="spellEnd"/>
      <w:r w:rsidRPr="00311762">
        <w:rPr>
          <w:b/>
          <w:sz w:val="27"/>
          <w:szCs w:val="27"/>
        </w:rPr>
        <w:t xml:space="preserve"> kungam</w:t>
      </w:r>
    </w:p>
    <w:p w:rsidR="00DC1736" w:rsidRPr="00311762" w:rsidRDefault="00DC1736" w:rsidP="00E80DCB">
      <w:pPr>
        <w:keepNext/>
        <w:keepLines/>
        <w:jc w:val="right"/>
        <w:rPr>
          <w:b/>
          <w:sz w:val="27"/>
          <w:szCs w:val="27"/>
        </w:rPr>
      </w:pPr>
    </w:p>
    <w:p w:rsidR="00DC1736" w:rsidRPr="00311762" w:rsidRDefault="00DC1736" w:rsidP="00E80DCB">
      <w:pPr>
        <w:keepNext/>
        <w:keepLines/>
        <w:rPr>
          <w:i/>
          <w:sz w:val="27"/>
          <w:szCs w:val="27"/>
        </w:rPr>
      </w:pPr>
    </w:p>
    <w:p w:rsidR="00DC1736" w:rsidRPr="00311762" w:rsidRDefault="00DC1736" w:rsidP="00CD301D">
      <w:pPr>
        <w:keepNext/>
        <w:keepLines/>
        <w:ind w:right="3542"/>
        <w:rPr>
          <w:i/>
          <w:sz w:val="27"/>
          <w:szCs w:val="27"/>
        </w:rPr>
      </w:pPr>
      <w:r w:rsidRPr="00311762">
        <w:rPr>
          <w:i/>
          <w:sz w:val="27"/>
          <w:szCs w:val="27"/>
        </w:rPr>
        <w:t>Par uzņēmēju, kas sniedz „ātrās kreditēšanas” pakalpojumus, plānoto uzraudzību</w:t>
      </w:r>
    </w:p>
    <w:p w:rsidR="00DC1736" w:rsidRPr="00311762" w:rsidRDefault="00DC1736" w:rsidP="00E80DCB">
      <w:pPr>
        <w:keepNext/>
        <w:keepLines/>
        <w:rPr>
          <w:i/>
          <w:sz w:val="27"/>
          <w:szCs w:val="27"/>
        </w:rPr>
      </w:pPr>
    </w:p>
    <w:p w:rsidR="00DC1736" w:rsidRPr="00311762" w:rsidRDefault="00DC1736" w:rsidP="00E80DCB">
      <w:pPr>
        <w:keepNext/>
        <w:keepLines/>
        <w:ind w:firstLine="720"/>
        <w:rPr>
          <w:sz w:val="27"/>
          <w:szCs w:val="27"/>
        </w:rPr>
      </w:pPr>
    </w:p>
    <w:p w:rsidR="00DC1736" w:rsidRPr="00311762" w:rsidRDefault="00DC1736" w:rsidP="00E80DCB">
      <w:pPr>
        <w:keepNext/>
        <w:keepLines/>
        <w:ind w:firstLine="709"/>
        <w:rPr>
          <w:sz w:val="27"/>
          <w:szCs w:val="27"/>
        </w:rPr>
      </w:pPr>
      <w:r w:rsidRPr="00311762">
        <w:rPr>
          <w:sz w:val="27"/>
          <w:szCs w:val="27"/>
        </w:rPr>
        <w:t xml:space="preserve">Ministru kabinets iepazinās ar Saeimas Publisko izdevumu un revīzijas komisijas </w:t>
      </w:r>
      <w:r w:rsidR="00EB226B" w:rsidRPr="00311762">
        <w:rPr>
          <w:sz w:val="27"/>
          <w:szCs w:val="27"/>
        </w:rPr>
        <w:t>2011.gada 16</w:t>
      </w:r>
      <w:r w:rsidRPr="00311762">
        <w:rPr>
          <w:sz w:val="27"/>
          <w:szCs w:val="27"/>
        </w:rPr>
        <w:t>.jūnija vēstuli Nr.9/12-2-n/</w:t>
      </w:r>
      <w:r w:rsidR="00EB226B" w:rsidRPr="00311762">
        <w:rPr>
          <w:sz w:val="27"/>
          <w:szCs w:val="27"/>
        </w:rPr>
        <w:t>148</w:t>
      </w:r>
      <w:r w:rsidRPr="00311762">
        <w:rPr>
          <w:sz w:val="27"/>
          <w:szCs w:val="27"/>
        </w:rPr>
        <w:t>-2011 un tai pievienoto izrakstu no Saeimas Publisko izdevumu un revīz</w:t>
      </w:r>
      <w:r w:rsidR="00EB226B" w:rsidRPr="00311762">
        <w:rPr>
          <w:sz w:val="27"/>
          <w:szCs w:val="27"/>
        </w:rPr>
        <w:t>ijas komisijas sēdes 2011.gada 1</w:t>
      </w:r>
      <w:r w:rsidRPr="00311762">
        <w:rPr>
          <w:sz w:val="27"/>
          <w:szCs w:val="27"/>
        </w:rPr>
        <w:t>4.</w:t>
      </w:r>
      <w:r w:rsidR="00EB226B" w:rsidRPr="00311762">
        <w:rPr>
          <w:sz w:val="27"/>
          <w:szCs w:val="27"/>
        </w:rPr>
        <w:t>jūnija protokola Nr.54</w:t>
      </w:r>
      <w:r w:rsidRPr="00311762">
        <w:rPr>
          <w:sz w:val="27"/>
          <w:szCs w:val="27"/>
        </w:rPr>
        <w:t xml:space="preserve"> un sniedz informāciju par </w:t>
      </w:r>
      <w:r w:rsidR="00EB226B" w:rsidRPr="00311762">
        <w:rPr>
          <w:sz w:val="27"/>
          <w:szCs w:val="27"/>
        </w:rPr>
        <w:t>uzņēmēju, kas sniedz „ātrās kreditēšanas” pakalpojumus, plānoto uzraudzību vai licencēšanu</w:t>
      </w:r>
      <w:r w:rsidRPr="00311762">
        <w:rPr>
          <w:sz w:val="27"/>
          <w:szCs w:val="27"/>
        </w:rPr>
        <w:t>.</w:t>
      </w:r>
    </w:p>
    <w:p w:rsidR="00A75BB5" w:rsidRPr="00311762" w:rsidRDefault="00A75BB5" w:rsidP="00E80DCB">
      <w:pPr>
        <w:keepNext/>
        <w:keepLines/>
        <w:rPr>
          <w:sz w:val="27"/>
          <w:szCs w:val="27"/>
        </w:rPr>
      </w:pPr>
      <w:r w:rsidRPr="00311762">
        <w:rPr>
          <w:sz w:val="27"/>
          <w:szCs w:val="27"/>
        </w:rPr>
        <w:tab/>
        <w:t xml:space="preserve">2011.gada 14.jūnija protokola Nr.54 3.punktā minētie „ātrās kreditēšanas” pakalpojumu sniedzēji veido daļu no Latvijas </w:t>
      </w:r>
      <w:proofErr w:type="spellStart"/>
      <w:r w:rsidRPr="00311762">
        <w:rPr>
          <w:sz w:val="27"/>
          <w:szCs w:val="27"/>
        </w:rPr>
        <w:t>nebanku</w:t>
      </w:r>
      <w:proofErr w:type="spellEnd"/>
      <w:r w:rsidRPr="00311762">
        <w:rPr>
          <w:sz w:val="27"/>
          <w:szCs w:val="27"/>
        </w:rPr>
        <w:t xml:space="preserve"> kreditēšanas pakalpojumu tirgus</w:t>
      </w:r>
      <w:r w:rsidRPr="00311762">
        <w:rPr>
          <w:rStyle w:val="FootnoteReference"/>
          <w:sz w:val="27"/>
          <w:szCs w:val="27"/>
        </w:rPr>
        <w:footnoteReference w:id="1"/>
      </w:r>
      <w:r w:rsidRPr="00311762">
        <w:rPr>
          <w:sz w:val="27"/>
          <w:szCs w:val="27"/>
        </w:rPr>
        <w:t xml:space="preserve">. Ņemot vērā finanšu krīzes izraisīto stagnāciju banku sniegtajos kreditēšanas pakalpojumos, </w:t>
      </w:r>
      <w:proofErr w:type="spellStart"/>
      <w:r w:rsidRPr="00311762">
        <w:rPr>
          <w:sz w:val="27"/>
          <w:szCs w:val="27"/>
        </w:rPr>
        <w:t>nebanku</w:t>
      </w:r>
      <w:proofErr w:type="spellEnd"/>
      <w:r w:rsidRPr="00311762">
        <w:rPr>
          <w:sz w:val="27"/>
          <w:szCs w:val="27"/>
        </w:rPr>
        <w:t xml:space="preserve"> kreditēšanas tirgus piedzīvoja strauju pieaugumu. Piemēram, uzņēmumu skaits šajā nozarē ir pieaudzis no 193 uzņēmumiem 2</w:t>
      </w:r>
      <w:r w:rsidR="00AC6689" w:rsidRPr="00311762">
        <w:rPr>
          <w:sz w:val="27"/>
          <w:szCs w:val="27"/>
        </w:rPr>
        <w:t>007.gadā līdz 245 uzņēmumiem uz 2011.gada 1.maiju</w:t>
      </w:r>
      <w:r w:rsidR="00AC6689" w:rsidRPr="00311762">
        <w:rPr>
          <w:rStyle w:val="FootnoteReference"/>
          <w:sz w:val="27"/>
          <w:szCs w:val="27"/>
        </w:rPr>
        <w:footnoteReference w:id="2"/>
      </w:r>
      <w:r w:rsidR="00AC6689" w:rsidRPr="00311762">
        <w:rPr>
          <w:sz w:val="27"/>
          <w:szCs w:val="27"/>
        </w:rPr>
        <w:t>.</w:t>
      </w:r>
      <w:r w:rsidRPr="00311762">
        <w:rPr>
          <w:sz w:val="27"/>
          <w:szCs w:val="27"/>
        </w:rPr>
        <w:t xml:space="preserve"> </w:t>
      </w:r>
      <w:proofErr w:type="spellStart"/>
      <w:r w:rsidR="00AC6689" w:rsidRPr="00311762">
        <w:rPr>
          <w:sz w:val="27"/>
          <w:szCs w:val="27"/>
        </w:rPr>
        <w:t>Nebanku</w:t>
      </w:r>
      <w:proofErr w:type="spellEnd"/>
      <w:r w:rsidR="00AC6689" w:rsidRPr="00311762">
        <w:rPr>
          <w:sz w:val="27"/>
          <w:szCs w:val="27"/>
        </w:rPr>
        <w:t xml:space="preserve"> kreditēšanas pakalpojumu sniedzēji sniedz gan „ātrās kreditēšanas” pakalpojumus, gan līzinga, lombardu, hipotekārās kreditēšanas, patēriņa preču un pakalpojumu iegādes kreditēšanas un citus kreditēšanas pakalpojumus.</w:t>
      </w:r>
    </w:p>
    <w:p w:rsidR="00DC1736" w:rsidRPr="00311762" w:rsidRDefault="00AC6689" w:rsidP="00E80DCB">
      <w:pPr>
        <w:keepNext/>
        <w:keepLines/>
        <w:ind w:firstLine="709"/>
        <w:rPr>
          <w:sz w:val="27"/>
          <w:szCs w:val="27"/>
        </w:rPr>
      </w:pPr>
      <w:r w:rsidRPr="00311762">
        <w:rPr>
          <w:bCs/>
          <w:sz w:val="27"/>
          <w:szCs w:val="27"/>
        </w:rPr>
        <w:t xml:space="preserve">Ņemot vērā straujo </w:t>
      </w:r>
      <w:proofErr w:type="spellStart"/>
      <w:r w:rsidRPr="00311762">
        <w:rPr>
          <w:bCs/>
          <w:sz w:val="27"/>
          <w:szCs w:val="27"/>
        </w:rPr>
        <w:t>nebanku</w:t>
      </w:r>
      <w:proofErr w:type="spellEnd"/>
      <w:r w:rsidRPr="00311762">
        <w:rPr>
          <w:bCs/>
          <w:sz w:val="27"/>
          <w:szCs w:val="27"/>
        </w:rPr>
        <w:t xml:space="preserve"> kreditēšanas tirgus izaugsmi un pieaugošo patērētāju sūdzību skaitu, </w:t>
      </w:r>
      <w:r w:rsidR="001A6DE7" w:rsidRPr="00311762">
        <w:rPr>
          <w:bCs/>
          <w:sz w:val="27"/>
          <w:szCs w:val="27"/>
        </w:rPr>
        <w:t>2010.g</w:t>
      </w:r>
      <w:r w:rsidR="00B57976" w:rsidRPr="00311762">
        <w:rPr>
          <w:bCs/>
          <w:sz w:val="27"/>
          <w:szCs w:val="27"/>
        </w:rPr>
        <w:t>ada 12.janvārī Ministru kabinets</w:t>
      </w:r>
      <w:r w:rsidR="001A6DE7" w:rsidRPr="00311762">
        <w:rPr>
          <w:bCs/>
          <w:sz w:val="27"/>
          <w:szCs w:val="27"/>
        </w:rPr>
        <w:t xml:space="preserve"> apstiprinā</w:t>
      </w:r>
      <w:r w:rsidR="00E574A4" w:rsidRPr="00311762">
        <w:rPr>
          <w:bCs/>
          <w:sz w:val="27"/>
          <w:szCs w:val="27"/>
        </w:rPr>
        <w:t>j</w:t>
      </w:r>
      <w:r w:rsidR="001A6DE7" w:rsidRPr="00311762">
        <w:rPr>
          <w:bCs/>
          <w:sz w:val="27"/>
          <w:szCs w:val="27"/>
        </w:rPr>
        <w:t xml:space="preserve">a </w:t>
      </w:r>
      <w:r w:rsidR="00E574A4" w:rsidRPr="00311762">
        <w:rPr>
          <w:sz w:val="27"/>
          <w:szCs w:val="27"/>
        </w:rPr>
        <w:t>Koncepciju</w:t>
      </w:r>
      <w:r w:rsidR="001A6DE7" w:rsidRPr="00311762">
        <w:rPr>
          <w:sz w:val="27"/>
          <w:szCs w:val="27"/>
        </w:rPr>
        <w:t xml:space="preserve"> par efektīva patērētāju tiesību aizsardzības mehānisma izveidi </w:t>
      </w:r>
      <w:proofErr w:type="spellStart"/>
      <w:r w:rsidR="001A6DE7" w:rsidRPr="00311762">
        <w:rPr>
          <w:sz w:val="27"/>
          <w:szCs w:val="27"/>
        </w:rPr>
        <w:t>nebanku</w:t>
      </w:r>
      <w:proofErr w:type="spellEnd"/>
      <w:r w:rsidR="001A6DE7" w:rsidRPr="00311762">
        <w:rPr>
          <w:sz w:val="27"/>
          <w:szCs w:val="27"/>
        </w:rPr>
        <w:t xml:space="preserve"> kreditēšanas jomā</w:t>
      </w:r>
      <w:r w:rsidR="00BC0F07" w:rsidRPr="00311762">
        <w:rPr>
          <w:rStyle w:val="FootnoteReference"/>
          <w:sz w:val="27"/>
          <w:szCs w:val="27"/>
        </w:rPr>
        <w:footnoteReference w:id="3"/>
      </w:r>
      <w:r w:rsidR="002F271C" w:rsidRPr="00311762">
        <w:rPr>
          <w:sz w:val="27"/>
          <w:szCs w:val="27"/>
        </w:rPr>
        <w:t>, kurā tika</w:t>
      </w:r>
      <w:r w:rsidR="001A6DE7" w:rsidRPr="00311762">
        <w:rPr>
          <w:sz w:val="27"/>
          <w:szCs w:val="27"/>
        </w:rPr>
        <w:t xml:space="preserve"> atzīta </w:t>
      </w:r>
      <w:proofErr w:type="spellStart"/>
      <w:r w:rsidR="001A6DE7" w:rsidRPr="00311762">
        <w:rPr>
          <w:sz w:val="27"/>
          <w:szCs w:val="27"/>
        </w:rPr>
        <w:t>nebanku</w:t>
      </w:r>
      <w:proofErr w:type="spellEnd"/>
      <w:r w:rsidR="001A6DE7" w:rsidRPr="00311762">
        <w:rPr>
          <w:sz w:val="27"/>
          <w:szCs w:val="27"/>
        </w:rPr>
        <w:t xml:space="preserve"> kreditēšanas tirgus papildus regulēšanas un uzraudzības mehānisma stiprināšanas nepieciešamība. Lai izpildītu šo uzdevumu, </w:t>
      </w:r>
      <w:r w:rsidR="00EA658F" w:rsidRPr="00311762">
        <w:rPr>
          <w:sz w:val="27"/>
          <w:szCs w:val="27"/>
        </w:rPr>
        <w:t xml:space="preserve">tika </w:t>
      </w:r>
      <w:r w:rsidR="001A6DE7" w:rsidRPr="00311762">
        <w:rPr>
          <w:sz w:val="27"/>
          <w:szCs w:val="27"/>
        </w:rPr>
        <w:t xml:space="preserve">paredzēts ieviest </w:t>
      </w:r>
      <w:proofErr w:type="spellStart"/>
      <w:r w:rsidR="001A6DE7" w:rsidRPr="00311762">
        <w:rPr>
          <w:sz w:val="27"/>
          <w:szCs w:val="27"/>
        </w:rPr>
        <w:t>nebanku</w:t>
      </w:r>
      <w:proofErr w:type="spellEnd"/>
      <w:r w:rsidR="001A6DE7" w:rsidRPr="00311762">
        <w:rPr>
          <w:sz w:val="27"/>
          <w:szCs w:val="27"/>
        </w:rPr>
        <w:t xml:space="preserve"> kredītu devēju licencēšanas mehānismu. Vienlaikus </w:t>
      </w:r>
      <w:r w:rsidR="00EA658F" w:rsidRPr="00311762">
        <w:rPr>
          <w:sz w:val="27"/>
          <w:szCs w:val="27"/>
        </w:rPr>
        <w:t xml:space="preserve">tika </w:t>
      </w:r>
      <w:r w:rsidR="001A6DE7" w:rsidRPr="00311762">
        <w:rPr>
          <w:sz w:val="27"/>
          <w:szCs w:val="27"/>
        </w:rPr>
        <w:t xml:space="preserve">konstatēta nepieciešamība sašaurināt personu loku, kas nodarbojas ar patērētāju kreditēšanu, nosakot šādas tiesības tikai komersantiem. </w:t>
      </w:r>
      <w:r w:rsidR="00A57011" w:rsidRPr="00311762">
        <w:rPr>
          <w:sz w:val="27"/>
          <w:szCs w:val="27"/>
        </w:rPr>
        <w:t>Koncepcijā uzlikto uzdevumu izpildei tika paredzēts izstrādāt sekojošus tiesību aktus:</w:t>
      </w:r>
    </w:p>
    <w:p w:rsidR="00A57011" w:rsidRPr="00311762" w:rsidRDefault="00AC6689" w:rsidP="00C41C5A">
      <w:pPr>
        <w:keepNext/>
        <w:keepLines/>
        <w:ind w:left="426"/>
        <w:rPr>
          <w:sz w:val="27"/>
          <w:szCs w:val="27"/>
        </w:rPr>
      </w:pPr>
      <w:r w:rsidRPr="00311762">
        <w:rPr>
          <w:sz w:val="27"/>
          <w:szCs w:val="27"/>
        </w:rPr>
        <w:t>1) g</w:t>
      </w:r>
      <w:r w:rsidR="00A57011" w:rsidRPr="00311762">
        <w:rPr>
          <w:sz w:val="27"/>
          <w:szCs w:val="27"/>
        </w:rPr>
        <w:t>rozījumus Patērētāju tiesību aizsardzības likumā</w:t>
      </w:r>
      <w:r w:rsidR="00BC0F07" w:rsidRPr="00311762">
        <w:rPr>
          <w:sz w:val="27"/>
          <w:szCs w:val="27"/>
        </w:rPr>
        <w:t>, nosakot, ka kreditēšanas pakalpojumu patērētājam var sniegt tikai persona, kas saņēmusi speciālo atļauju (licenci)</w:t>
      </w:r>
      <w:r w:rsidR="00BC0F07" w:rsidRPr="00311762">
        <w:rPr>
          <w:bCs/>
          <w:sz w:val="27"/>
          <w:szCs w:val="27"/>
        </w:rPr>
        <w:t xml:space="preserve"> patērētāju kreditēšanai</w:t>
      </w:r>
      <w:r w:rsidR="00A57011" w:rsidRPr="00311762">
        <w:rPr>
          <w:sz w:val="27"/>
          <w:szCs w:val="27"/>
        </w:rPr>
        <w:t>;</w:t>
      </w:r>
    </w:p>
    <w:p w:rsidR="00A57011" w:rsidRPr="00311762" w:rsidRDefault="00AC6689" w:rsidP="00C41C5A">
      <w:pPr>
        <w:keepNext/>
        <w:keepLines/>
        <w:ind w:left="426"/>
        <w:rPr>
          <w:sz w:val="27"/>
          <w:szCs w:val="27"/>
        </w:rPr>
      </w:pPr>
      <w:r w:rsidRPr="00311762">
        <w:rPr>
          <w:sz w:val="27"/>
          <w:szCs w:val="27"/>
        </w:rPr>
        <w:lastRenderedPageBreak/>
        <w:t>2) g</w:t>
      </w:r>
      <w:r w:rsidR="00A57011" w:rsidRPr="00311762">
        <w:rPr>
          <w:sz w:val="27"/>
          <w:szCs w:val="27"/>
        </w:rPr>
        <w:t>rozījumus likumā „Par nodokļiem un nodevām”</w:t>
      </w:r>
      <w:r w:rsidR="00BC0F07" w:rsidRPr="00311762">
        <w:rPr>
          <w:sz w:val="27"/>
          <w:szCs w:val="27"/>
        </w:rPr>
        <w:t>, papildinot to ar jaunu valsts nodevas objektu par atļaujas (licences) izsniegšanu kredītu pakalpojumu sniegšanai un ikgadējo nodevu par licenci</w:t>
      </w:r>
      <w:r w:rsidR="00A57011" w:rsidRPr="00311762">
        <w:rPr>
          <w:sz w:val="27"/>
          <w:szCs w:val="27"/>
        </w:rPr>
        <w:t>;</w:t>
      </w:r>
    </w:p>
    <w:p w:rsidR="00A57011" w:rsidRPr="00311762" w:rsidRDefault="00A57011" w:rsidP="00C41C5A">
      <w:pPr>
        <w:pStyle w:val="BodyText"/>
        <w:spacing w:after="0"/>
        <w:ind w:left="426"/>
        <w:jc w:val="both"/>
        <w:rPr>
          <w:sz w:val="27"/>
          <w:szCs w:val="27"/>
          <w:lang w:val="lv-LV"/>
        </w:rPr>
      </w:pPr>
      <w:r w:rsidRPr="00311762">
        <w:rPr>
          <w:sz w:val="27"/>
          <w:szCs w:val="27"/>
          <w:lang w:val="lv-LV"/>
        </w:rPr>
        <w:t>3) kārtību, kādā izsniedzamas licences kreditēšanas pakalpojumu sniegšanai un</w:t>
      </w:r>
      <w:r w:rsidRPr="00311762">
        <w:rPr>
          <w:bCs/>
          <w:sz w:val="27"/>
          <w:szCs w:val="27"/>
          <w:lang w:val="lv-LV"/>
        </w:rPr>
        <w:t xml:space="preserve"> par valsts nodevas likmi un tās maksāšanas kārtību.</w:t>
      </w:r>
    </w:p>
    <w:p w:rsidR="00B57976" w:rsidRPr="00311762" w:rsidRDefault="00B57976" w:rsidP="00E80DCB">
      <w:pPr>
        <w:pStyle w:val="naisf"/>
        <w:spacing w:before="120" w:after="0"/>
        <w:ind w:firstLine="425"/>
        <w:rPr>
          <w:bCs/>
          <w:sz w:val="27"/>
          <w:szCs w:val="27"/>
        </w:rPr>
      </w:pPr>
      <w:r w:rsidRPr="00311762">
        <w:rPr>
          <w:sz w:val="27"/>
          <w:szCs w:val="27"/>
        </w:rPr>
        <w:t xml:space="preserve">2010.gada 28.oktobrī Saeima pieņēma </w:t>
      </w:r>
      <w:r w:rsidRPr="00311762">
        <w:rPr>
          <w:b/>
          <w:sz w:val="27"/>
          <w:szCs w:val="27"/>
        </w:rPr>
        <w:t>likumu „Grozījumi Patērētāju tiesību aizsardzības likumā”</w:t>
      </w:r>
      <w:r w:rsidR="00EA658F" w:rsidRPr="00311762">
        <w:rPr>
          <w:sz w:val="27"/>
          <w:szCs w:val="27"/>
        </w:rPr>
        <w:t>, ar kuru</w:t>
      </w:r>
      <w:r w:rsidRPr="00311762">
        <w:rPr>
          <w:sz w:val="27"/>
          <w:szCs w:val="27"/>
        </w:rPr>
        <w:t xml:space="preserve"> </w:t>
      </w:r>
      <w:r w:rsidR="00A57011" w:rsidRPr="00311762">
        <w:rPr>
          <w:sz w:val="27"/>
          <w:szCs w:val="27"/>
        </w:rPr>
        <w:t>tiek</w:t>
      </w:r>
      <w:r w:rsidRPr="00311762">
        <w:rPr>
          <w:sz w:val="27"/>
          <w:szCs w:val="27"/>
        </w:rPr>
        <w:t xml:space="preserve"> ieviest</w:t>
      </w:r>
      <w:r w:rsidR="00A57011" w:rsidRPr="00311762">
        <w:rPr>
          <w:sz w:val="27"/>
          <w:szCs w:val="27"/>
        </w:rPr>
        <w:t>s</w:t>
      </w:r>
      <w:r w:rsidRPr="00311762">
        <w:rPr>
          <w:sz w:val="27"/>
          <w:szCs w:val="27"/>
        </w:rPr>
        <w:t xml:space="preserve"> </w:t>
      </w:r>
      <w:proofErr w:type="spellStart"/>
      <w:r w:rsidRPr="00311762">
        <w:rPr>
          <w:sz w:val="27"/>
          <w:szCs w:val="27"/>
        </w:rPr>
        <w:t>nebanku</w:t>
      </w:r>
      <w:proofErr w:type="spellEnd"/>
      <w:r w:rsidRPr="00311762">
        <w:rPr>
          <w:sz w:val="27"/>
          <w:szCs w:val="27"/>
        </w:rPr>
        <w:t xml:space="preserve"> kredī</w:t>
      </w:r>
      <w:r w:rsidR="00A57011" w:rsidRPr="00311762">
        <w:rPr>
          <w:sz w:val="27"/>
          <w:szCs w:val="27"/>
        </w:rPr>
        <w:t>tu devēju licencēšanas mehānisms</w:t>
      </w:r>
      <w:r w:rsidRPr="00311762">
        <w:rPr>
          <w:sz w:val="27"/>
          <w:szCs w:val="27"/>
        </w:rPr>
        <w:t>, nosakot, ka bez licences patērētāju kreditēšana nav atļauta. 2010.gada 20.decembrī Saeima pieņēma papildus grozījumus Patērētāju tiesību aizsardzības likumā, kas precizēja licencēšanas ieviešanas termiņus un paredzēja licences pārreģistrāciju.</w:t>
      </w:r>
    </w:p>
    <w:p w:rsidR="00AC6689" w:rsidRPr="00311762" w:rsidRDefault="00B57976" w:rsidP="00E80DCB">
      <w:pPr>
        <w:pStyle w:val="naisf"/>
        <w:rPr>
          <w:i/>
          <w:sz w:val="27"/>
          <w:szCs w:val="27"/>
        </w:rPr>
      </w:pPr>
      <w:r w:rsidRPr="00311762">
        <w:rPr>
          <w:sz w:val="27"/>
          <w:szCs w:val="27"/>
        </w:rPr>
        <w:t xml:space="preserve">Minētie grozījumi Patērētāju tiesību aizsardzības likumā (turpmāk – PTAL) stājās spēkā 2011.gada 1.janvārī un nosaka, ka </w:t>
      </w:r>
      <w:bookmarkStart w:id="0" w:name="bkm4"/>
      <w:r w:rsidRPr="00311762">
        <w:rPr>
          <w:sz w:val="27"/>
          <w:szCs w:val="27"/>
        </w:rPr>
        <w:t xml:space="preserve"> no 2011.gada 1.novembra kreditēšanas pakalpojumu patērētājam drīkstēs sniegt </w:t>
      </w:r>
      <w:r w:rsidR="00EA658F" w:rsidRPr="00311762">
        <w:rPr>
          <w:sz w:val="27"/>
          <w:szCs w:val="27"/>
        </w:rPr>
        <w:t xml:space="preserve">tikai </w:t>
      </w:r>
      <w:r w:rsidRPr="00311762">
        <w:rPr>
          <w:sz w:val="27"/>
          <w:szCs w:val="27"/>
        </w:rPr>
        <w:t>kapitālsabiedrība, kura saņēmusi speciālu atļauju (licenci) patērētāja</w:t>
      </w:r>
      <w:r w:rsidRPr="00311762">
        <w:rPr>
          <w:i/>
          <w:iCs/>
          <w:sz w:val="27"/>
          <w:szCs w:val="27"/>
        </w:rPr>
        <w:t xml:space="preserve"> </w:t>
      </w:r>
      <w:r w:rsidRPr="00311762">
        <w:rPr>
          <w:sz w:val="27"/>
          <w:szCs w:val="27"/>
        </w:rPr>
        <w:t xml:space="preserve">kreditēšanas pakalpojuma sniegšanai. </w:t>
      </w:r>
      <w:r w:rsidR="00532C73" w:rsidRPr="00311762">
        <w:rPr>
          <w:sz w:val="27"/>
          <w:szCs w:val="27"/>
        </w:rPr>
        <w:t xml:space="preserve">Attiecīgi minētie grozījumi paredz sašaurināt </w:t>
      </w:r>
      <w:r w:rsidR="00AC6689" w:rsidRPr="00311762">
        <w:rPr>
          <w:sz w:val="27"/>
          <w:szCs w:val="27"/>
        </w:rPr>
        <w:t xml:space="preserve">arī </w:t>
      </w:r>
      <w:r w:rsidR="00532C73" w:rsidRPr="00311762">
        <w:rPr>
          <w:sz w:val="27"/>
          <w:szCs w:val="27"/>
        </w:rPr>
        <w:t>personu loku, kas varēs turpmāk izsniegt aizdevumus patērētājiem saimnieciskās darbības ietvaros, līdz kapitālsabiedrībām.</w:t>
      </w:r>
      <w:r w:rsidR="00532C73" w:rsidRPr="00311762">
        <w:rPr>
          <w:i/>
          <w:sz w:val="27"/>
          <w:szCs w:val="27"/>
        </w:rPr>
        <w:t xml:space="preserve"> </w:t>
      </w:r>
    </w:p>
    <w:p w:rsidR="00B57976" w:rsidRPr="00311762" w:rsidRDefault="00F2615B" w:rsidP="00E80DCB">
      <w:pPr>
        <w:pStyle w:val="naisf"/>
        <w:rPr>
          <w:sz w:val="27"/>
          <w:szCs w:val="27"/>
        </w:rPr>
      </w:pPr>
      <w:r w:rsidRPr="00311762">
        <w:rPr>
          <w:sz w:val="27"/>
          <w:szCs w:val="27"/>
        </w:rPr>
        <w:t xml:space="preserve">Prasība saņemt licenci </w:t>
      </w:r>
      <w:r w:rsidR="00AC6689" w:rsidRPr="00311762">
        <w:rPr>
          <w:sz w:val="27"/>
          <w:szCs w:val="27"/>
        </w:rPr>
        <w:t xml:space="preserve">saskaņā ar PTAL </w:t>
      </w:r>
      <w:r w:rsidRPr="00311762">
        <w:rPr>
          <w:sz w:val="27"/>
          <w:szCs w:val="27"/>
        </w:rPr>
        <w:t>neattie</w:t>
      </w:r>
      <w:r w:rsidR="00AC6689" w:rsidRPr="00311762">
        <w:rPr>
          <w:sz w:val="27"/>
          <w:szCs w:val="27"/>
        </w:rPr>
        <w:t>ca</w:t>
      </w:r>
      <w:r w:rsidRPr="00311762">
        <w:rPr>
          <w:sz w:val="27"/>
          <w:szCs w:val="27"/>
        </w:rPr>
        <w:t xml:space="preserve">s uz </w:t>
      </w:r>
      <w:r w:rsidRPr="00311762">
        <w:rPr>
          <w:bCs/>
          <w:sz w:val="27"/>
          <w:szCs w:val="27"/>
        </w:rPr>
        <w:t>komersantu, kas uzskatāms par kredītiestādi saskaņā ar normatīvajos aktos par kredītiestāžu darbības uzraudzību noteikto,</w:t>
      </w:r>
      <w:r w:rsidRPr="00311762">
        <w:rPr>
          <w:sz w:val="27"/>
          <w:szCs w:val="27"/>
        </w:rPr>
        <w:t xml:space="preserve"> kā arī komersantiem, kas piedāvā slēgt patērētāja kreditēšanas līgumus savu preču vai pakalpojumu iegādei (nomaksas pakalpojums), nepiesaistot trešās personas finansējumu</w:t>
      </w:r>
      <w:r w:rsidRPr="00311762">
        <w:rPr>
          <w:bCs/>
          <w:sz w:val="27"/>
          <w:szCs w:val="27"/>
        </w:rPr>
        <w:t>.</w:t>
      </w:r>
      <w:r w:rsidRPr="00311762">
        <w:rPr>
          <w:sz w:val="27"/>
          <w:szCs w:val="27"/>
        </w:rPr>
        <w:t xml:space="preserve"> Šajā kategorijā ietilpst arī bezprocentu kredīti, ko komersanti piedāvā, lai veicinātu savu preču noietu un attiecībā uz kuriem licencēšanas prasība būtu nesamērīga. Tāpat prasība saņemt licenci neattieksies uz trešo personu piešķirtiem bezprocentu aizdevumiem preču vai pakalpojumu iegādei (ja tiek piešķirti tikai bezprocentu kredīti), piemēram, telefonu operatoru piedāvātajiem telefona aparātu nomaksas pakalpojumiem bez procentiem vai citām izmaksām patērētājam salīdzinot ar iegādātā aparāta cenu tirdzniecības vietā, jo licencēšanas prasība šādam pakalpojumam nebūtu samērīga.</w:t>
      </w:r>
    </w:p>
    <w:bookmarkEnd w:id="0"/>
    <w:p w:rsidR="00B57976" w:rsidRPr="00311762" w:rsidRDefault="00B57976" w:rsidP="00E80DCB">
      <w:pPr>
        <w:shd w:val="clear" w:color="auto" w:fill="FFFFFF"/>
        <w:ind w:firstLine="540"/>
        <w:rPr>
          <w:sz w:val="27"/>
          <w:szCs w:val="27"/>
        </w:rPr>
      </w:pPr>
      <w:r w:rsidRPr="00311762">
        <w:rPr>
          <w:sz w:val="27"/>
          <w:szCs w:val="27"/>
        </w:rPr>
        <w:t>Tāpat PTAL nosaka, ka par speciālās atļaujas (licences) izsniegšanu patērētāja kreditēšanas pakalpojumu sniegšanai un tās pārreģistrāciju kapitālsabiedrība maksā valsts nodevu.</w:t>
      </w:r>
    </w:p>
    <w:p w:rsidR="00532C73" w:rsidRPr="00311762" w:rsidRDefault="00532C73" w:rsidP="00E80DCB">
      <w:pPr>
        <w:shd w:val="clear" w:color="auto" w:fill="FFFFFF"/>
        <w:ind w:firstLine="540"/>
        <w:rPr>
          <w:sz w:val="27"/>
          <w:szCs w:val="27"/>
        </w:rPr>
      </w:pPr>
      <w:r w:rsidRPr="00311762">
        <w:rPr>
          <w:sz w:val="27"/>
          <w:szCs w:val="27"/>
        </w:rPr>
        <w:t xml:space="preserve">Papildus grozījumiem </w:t>
      </w:r>
      <w:r w:rsidR="00AC6689" w:rsidRPr="00311762">
        <w:rPr>
          <w:sz w:val="27"/>
          <w:szCs w:val="27"/>
        </w:rPr>
        <w:t>PTAL</w:t>
      </w:r>
      <w:r w:rsidRPr="00311762">
        <w:rPr>
          <w:sz w:val="27"/>
          <w:szCs w:val="27"/>
        </w:rPr>
        <w:t xml:space="preserve">, lai īstenotu Koncepcijā par efektīva patērētāju tiesību aizsardzības mehānisma izveidi </w:t>
      </w:r>
      <w:proofErr w:type="spellStart"/>
      <w:r w:rsidRPr="00311762">
        <w:rPr>
          <w:sz w:val="27"/>
          <w:szCs w:val="27"/>
        </w:rPr>
        <w:t>nebanku</w:t>
      </w:r>
      <w:proofErr w:type="spellEnd"/>
      <w:r w:rsidRPr="00311762">
        <w:rPr>
          <w:sz w:val="27"/>
          <w:szCs w:val="27"/>
        </w:rPr>
        <w:t xml:space="preserve"> kreditēšanas jomā paredzētos uzdevumus, 2010.gada 9.septembrī Saeima pieņēma </w:t>
      </w:r>
      <w:r w:rsidRPr="00311762">
        <w:rPr>
          <w:b/>
          <w:sz w:val="27"/>
          <w:szCs w:val="27"/>
        </w:rPr>
        <w:t>likumu „Grozījumi likumā „Par nodokļiem un nodevām”,</w:t>
      </w:r>
      <w:r w:rsidRPr="00311762">
        <w:rPr>
          <w:sz w:val="27"/>
          <w:szCs w:val="27"/>
        </w:rPr>
        <w:t xml:space="preserve"> kas paredzēja papildināt likuma „Par nodokļiem un nodevām” 11.panta otro daļu ar jaunu valsts nodevas objektu par speciālās atļaujas (licences) izsniegšanu patērētāju kreditēšanas pakalpojumu sniegšanai un tās pārreģistrāciju.</w:t>
      </w:r>
    </w:p>
    <w:p w:rsidR="00B57976" w:rsidRPr="00311762" w:rsidRDefault="00EA658F" w:rsidP="00E80DCB">
      <w:pPr>
        <w:keepNext/>
        <w:keepLines/>
        <w:ind w:firstLine="567"/>
        <w:rPr>
          <w:sz w:val="27"/>
          <w:szCs w:val="27"/>
        </w:rPr>
      </w:pPr>
      <w:r w:rsidRPr="00311762">
        <w:rPr>
          <w:iCs/>
          <w:sz w:val="27"/>
          <w:szCs w:val="27"/>
        </w:rPr>
        <w:lastRenderedPageBreak/>
        <w:t xml:space="preserve">Saskaņā ar PTAL 8.panta </w:t>
      </w:r>
      <w:r w:rsidRPr="00311762">
        <w:rPr>
          <w:sz w:val="27"/>
          <w:szCs w:val="27"/>
        </w:rPr>
        <w:t>1.</w:t>
      </w:r>
      <w:r w:rsidRPr="00311762">
        <w:rPr>
          <w:sz w:val="27"/>
          <w:szCs w:val="27"/>
          <w:vertAlign w:val="superscript"/>
        </w:rPr>
        <w:t>3</w:t>
      </w:r>
      <w:r w:rsidRPr="00311762">
        <w:rPr>
          <w:sz w:val="27"/>
          <w:szCs w:val="27"/>
        </w:rPr>
        <w:t xml:space="preserve"> daļu, kas nosaka, ka speciālās atļaujas (licences) izsniegšanas, pārreģistrācijas, anulēšanas un darbības apturēšanas kārtību, prasības, kādām jāatbilst kapitālsabiedrībai</w:t>
      </w:r>
      <w:r w:rsidRPr="00311762">
        <w:rPr>
          <w:i/>
          <w:iCs/>
          <w:sz w:val="27"/>
          <w:szCs w:val="27"/>
        </w:rPr>
        <w:t xml:space="preserve">, </w:t>
      </w:r>
      <w:r w:rsidRPr="00311762">
        <w:rPr>
          <w:sz w:val="27"/>
          <w:szCs w:val="27"/>
        </w:rPr>
        <w:t xml:space="preserve">lai tā varētu saņemt speciālo atļauju (licenci), tajā skaitā prasības par kapitālsabiedrības pašu kapitālu un pamatkapitālu, kā arī prasības attiecībā uz kapitālsabiedrības padomes un valdes locekļiem, valsts nodevas apmēru un maksāšanas kārtību nosaka Ministru kabinets, 2011.gada 29.martā Ministru kabinets apstiprināja </w:t>
      </w:r>
      <w:r w:rsidRPr="00311762">
        <w:rPr>
          <w:b/>
          <w:sz w:val="27"/>
          <w:szCs w:val="27"/>
        </w:rPr>
        <w:t>Ministru kabineta noteikumus Nr.245 „Noteikumi par kārtību, kādā izsniedz, pārreģistrē, aptur un anulē speciālo atļauju (licenci) patērētāju kreditēšanas pakalpojumu sniegšanai un maksā valsts nodevu par speciālās atļaujas (licences) izsniegšanu un pārreģistrāciju, kā arī prasībām kapitālsabiedrībai speciālās atļaujas (licences) saņemšanai”</w:t>
      </w:r>
      <w:r w:rsidRPr="00311762">
        <w:rPr>
          <w:sz w:val="27"/>
          <w:szCs w:val="27"/>
        </w:rPr>
        <w:t xml:space="preserve"> (turpmāk tekstā – Noteikumi).</w:t>
      </w:r>
    </w:p>
    <w:p w:rsidR="00EA658F" w:rsidRPr="00311762" w:rsidRDefault="00EA658F" w:rsidP="00E80DCB">
      <w:pPr>
        <w:ind w:firstLine="495"/>
        <w:rPr>
          <w:bCs/>
          <w:sz w:val="27"/>
          <w:szCs w:val="27"/>
        </w:rPr>
      </w:pPr>
      <w:r w:rsidRPr="00311762">
        <w:rPr>
          <w:sz w:val="27"/>
          <w:szCs w:val="27"/>
        </w:rPr>
        <w:t xml:space="preserve">Noteikumi paredz, ka licenci kreditēšanas pakalpojumu sniegšanai izsniedz Patērētāju tiesību aizsardzības centrs (turpmāk – PTAC) uz vienu gadu ar iespēju to pārreģistrēt. Licence jānovieto pakalpojumu sniegšanas vietā patērētājam redzamā vietā vai jāpublicē mājas lapā, ja kapitālsabiedrība kreditēšanas pakalpojumu sniedz kā </w:t>
      </w:r>
      <w:r w:rsidRPr="00311762">
        <w:rPr>
          <w:bCs/>
          <w:sz w:val="27"/>
          <w:szCs w:val="27"/>
        </w:rPr>
        <w:t>informācijas sabiedrības pakalpojumu.</w:t>
      </w:r>
    </w:p>
    <w:p w:rsidR="00EA658F" w:rsidRPr="00311762" w:rsidRDefault="00EA658F" w:rsidP="00E80DCB">
      <w:pPr>
        <w:ind w:firstLine="495"/>
        <w:rPr>
          <w:sz w:val="27"/>
          <w:szCs w:val="27"/>
        </w:rPr>
      </w:pPr>
      <w:r w:rsidRPr="00311762">
        <w:rPr>
          <w:sz w:val="27"/>
          <w:szCs w:val="27"/>
        </w:rPr>
        <w:t xml:space="preserve">Noteikumu II nodaļa nosaka prasības, kādām jāatbilst kapitālsabiedrībai, tās valdes un padomes (ja tāda ir izveidota) locekļiem licences saņemšanai. Komerclikuma noteikumi paredz, ka valde ir kapitālsabiedrības izpildinstitūcija, kas vada un pārstāv sabiedrību. Ņemot vērā valdes locekļa nozīmīgo lomu, svarīgi, lai valdes loceklim būtu nepieciešamās iemaņas un zināšanas, ar kurām nodrošināt sabiedrības darbību atbilstoši tās interesēm visos tās attīstības posmos, iespējami drīzāk sasniegt pozitīvus darbības rezultātus. Tā kā kreditēšanas pakalpojumu sniegšana ir saistīta ar finanšu līdzekļu apriti, kā arī patērētāju iesaistīšanu līgumattiecībās ar augstu riska pakāpi, noteikumi paredz ierobežojumus valdes un tāpat arī padomes locekļu amatu ieņemšanai attiecībā uz personām, kas ir krimināli sodītas par tīšu noziedzīgu nodarījumu izdarīšanu, tai skaitā par komercsabiedrības ļaunprātīgu novešanu līdz maksātnespējai, kā arī personām, kurām atņemtas tiesības veikt komercdarbību finanšu pakalpojumu jomā. </w:t>
      </w:r>
    </w:p>
    <w:p w:rsidR="00EA658F" w:rsidRPr="00311762" w:rsidRDefault="00EA658F" w:rsidP="00E80DCB">
      <w:pPr>
        <w:ind w:firstLine="495"/>
        <w:rPr>
          <w:sz w:val="27"/>
          <w:szCs w:val="27"/>
        </w:rPr>
      </w:pPr>
      <w:r w:rsidRPr="00311762">
        <w:rPr>
          <w:sz w:val="27"/>
          <w:szCs w:val="27"/>
        </w:rPr>
        <w:t>Lai sasniegtu</w:t>
      </w:r>
      <w:r w:rsidRPr="00311762">
        <w:rPr>
          <w:b/>
          <w:sz w:val="27"/>
          <w:szCs w:val="27"/>
        </w:rPr>
        <w:t xml:space="preserve"> </w:t>
      </w:r>
      <w:r w:rsidRPr="00311762">
        <w:rPr>
          <w:bCs/>
          <w:sz w:val="27"/>
          <w:szCs w:val="27"/>
        </w:rPr>
        <w:t xml:space="preserve">2010.gada 12.janvārī Ministru kabinetā apstiprinātajā </w:t>
      </w:r>
      <w:r w:rsidRPr="00311762">
        <w:rPr>
          <w:sz w:val="27"/>
          <w:szCs w:val="27"/>
        </w:rPr>
        <w:t xml:space="preserve">Koncepcijā par efektīva patērētāju tiesību aizsardzības mehānisma izveidi </w:t>
      </w:r>
      <w:proofErr w:type="spellStart"/>
      <w:r w:rsidRPr="00311762">
        <w:rPr>
          <w:sz w:val="27"/>
          <w:szCs w:val="27"/>
        </w:rPr>
        <w:t>nebanku</w:t>
      </w:r>
      <w:proofErr w:type="spellEnd"/>
      <w:r w:rsidRPr="00311762">
        <w:rPr>
          <w:sz w:val="27"/>
          <w:szCs w:val="27"/>
        </w:rPr>
        <w:t xml:space="preserve"> kreditēšanas jomā uzstādītos mērķus, noteikumi paredz, ka licenci nevar saņemt kapitālsabiedrība, kurai ir nodokļu, nodevu vai citu obligāto maksājumu nokavējumi valsts budžetā vai nav reģistrēta personas datu apstrāde vai personas datu apstrādes speciālists saskaņā ar normatīvajiem aktiem par fizisko personu datu aizsardzību. Tāpat noteikumi nosaka ierobežojumu attiecībā uz licences saņemšanu kapitālsabiedrībām, kas nevar pierādīt pamatkapitālā ieguldīto līdzekļu legālu izcelsmi, lai mazinātu noziedzīgi iegūtu līdzekļu legalizācijas risku šajā sektorā. Kredītiestādēm šobrīd šāds ierobežojums jau ir noteikts Kredītiestāžu likumā un tā izpildi kontrolē Finanšu un kapitāla tirgus komisija. </w:t>
      </w:r>
    </w:p>
    <w:p w:rsidR="00EA658F" w:rsidRPr="00311762" w:rsidRDefault="00EA658F" w:rsidP="00E80DCB">
      <w:pPr>
        <w:ind w:firstLine="495"/>
        <w:rPr>
          <w:sz w:val="27"/>
          <w:szCs w:val="27"/>
        </w:rPr>
      </w:pPr>
      <w:r w:rsidRPr="00311762">
        <w:rPr>
          <w:sz w:val="27"/>
          <w:szCs w:val="27"/>
        </w:rPr>
        <w:t xml:space="preserve">Ņemot vērā, ka uz </w:t>
      </w:r>
      <w:proofErr w:type="spellStart"/>
      <w:r w:rsidRPr="00311762">
        <w:rPr>
          <w:sz w:val="27"/>
          <w:szCs w:val="27"/>
        </w:rPr>
        <w:t>nebanku</w:t>
      </w:r>
      <w:proofErr w:type="spellEnd"/>
      <w:r w:rsidRPr="00311762">
        <w:rPr>
          <w:sz w:val="27"/>
          <w:szCs w:val="27"/>
        </w:rPr>
        <w:t xml:space="preserve"> kreditēšanas pakalpojumu sniedzējiem tieši nav attiecināmas </w:t>
      </w:r>
      <w:r w:rsidRPr="00311762">
        <w:rPr>
          <w:rFonts w:eastAsia="TimesNewRoman"/>
          <w:sz w:val="27"/>
          <w:szCs w:val="27"/>
        </w:rPr>
        <w:t xml:space="preserve">Noziedzīgi iegūtu līdzekļu legalizācijas un terorisma finansēšanas </w:t>
      </w:r>
      <w:r w:rsidRPr="00311762">
        <w:rPr>
          <w:rFonts w:eastAsia="TimesNewRoman"/>
          <w:sz w:val="27"/>
          <w:szCs w:val="27"/>
        </w:rPr>
        <w:lastRenderedPageBreak/>
        <w:t xml:space="preserve">novēršanas likuma prasības, noteikumi nosaka kritērijus pamatkapitālā ieguldīto līdzekļu izcelsmes izvērtēšanai, par pamatu izmantojot Noziedzīgi iegūtu līdzekļu legalizācijas un terorisma finansēšanas novēršanas likumā noteiktās </w:t>
      </w:r>
      <w:r w:rsidRPr="00311762">
        <w:rPr>
          <w:sz w:val="27"/>
          <w:szCs w:val="27"/>
        </w:rPr>
        <w:t xml:space="preserve">neparastu vai aizdomīgu finanšu darījumu definīcijas. Noteikumi nosaka arī to, ko uzskata par </w:t>
      </w:r>
      <w:r w:rsidRPr="00311762">
        <w:rPr>
          <w:rFonts w:eastAsia="TimesNewRoman"/>
          <w:sz w:val="27"/>
          <w:szCs w:val="27"/>
        </w:rPr>
        <w:t xml:space="preserve">neparastu finanšu darījumu. Tāpat kā kredītiestādēm, par neparastu finanšu darījumu uzskata </w:t>
      </w:r>
      <w:r w:rsidRPr="00311762">
        <w:rPr>
          <w:sz w:val="27"/>
          <w:szCs w:val="27"/>
        </w:rPr>
        <w:t xml:space="preserve">darījumu, kurā izmantota skaidra nauda, kuras summa ir 40 </w:t>
      </w:r>
      <w:smartTag w:uri="schemas-tilde-lv/tildestengine" w:element="currency2">
        <w:smartTagPr>
          <w:attr w:name="currency_id" w:val="48"/>
          <w:attr w:name="currency_key" w:val="LVL"/>
          <w:attr w:name="currency_value" w:val="000"/>
          <w:attr w:name="currency_text" w:val="latu"/>
        </w:smartTagPr>
        <w:r w:rsidRPr="00311762">
          <w:rPr>
            <w:sz w:val="27"/>
            <w:szCs w:val="27"/>
          </w:rPr>
          <w:t>000 latu</w:t>
        </w:r>
      </w:smartTag>
      <w:r w:rsidRPr="00311762">
        <w:rPr>
          <w:sz w:val="27"/>
          <w:szCs w:val="27"/>
        </w:rPr>
        <w:t xml:space="preserve"> un vairāk, kā arī darījumus, kuros piedalās persona, kas tiek turēta aizdomās par terora akta izdarīšanu vai līdzdalību tajā un ir iekļauta kādā no Ministru kabineta atzītu valstu vai starptautisko organizāciju sastādītajiem to personu sarakstiem, kas tiek turētas aizdomās par iesaistīšanos teroristiskās darbībās. Šobrīd saskaņā ar 13.01.2009. MK noteikumiem Nr.36 "Noteikumi par valstīm un starptautiskajām organizācijām, kuras sastādījušas to personu sarakstus, kas tiek turētas aizdomās par iesaistīšanos teroristiskās darbībās", Latvijā tiek atzīti Eiropas Savienības dalībvalstu un Ziemeļatlantijas līguma organizācijas dalībvalstu, kā arī Apvienoto Nāciju Organizācijas Drošības padomes un Eiropas Savienības Padomes sastādītie teroristu saraksti.</w:t>
      </w:r>
    </w:p>
    <w:p w:rsidR="00EA658F" w:rsidRPr="00311762" w:rsidRDefault="00EA658F" w:rsidP="00E80DCB">
      <w:pPr>
        <w:ind w:firstLine="495"/>
        <w:rPr>
          <w:sz w:val="27"/>
          <w:szCs w:val="27"/>
        </w:rPr>
      </w:pPr>
      <w:r w:rsidRPr="00311762">
        <w:rPr>
          <w:sz w:val="27"/>
          <w:szCs w:val="27"/>
        </w:rPr>
        <w:t>Noteikumi nosaka, ka licenci nevar izsniegt kapitālsabiedrībai, kuras pašu kapitāls divu gadu periodā ir mazāks par minimālā pamatkapitāla apmēru. Minētās prasības nepieciešamas, lai nodrošinātu kapitālsabiedrības stabilitāti un darbību saskaņā ar normatīvo aktu prasībām ilgtermiņā, un attiecīgi paaugstinātu patērētāju aizsardzību. Pamatkapitāla apmēra palielināšanai ir būtiska loma patērētāju tiesību aizsardzībā un tirgus regulācijā, lai nodrošinātu kreditēšanas pakalpojumu sniedzēja pienākumu savlaicīgu un pienācīgu izpildi, jo īpaši gadījumos, kad kredīts tiek izsniegts pret nodrošinājumu. Tomēr, ņemot vērā, ka jaundibinātiem uzņēmumiem pirmajos darbības gados ir pieļaujami strādāt ar zaudējumiem, lai minētā prasība nekavētu jaunu uzņēmumu izveidošanos un ienākšanu tirgū kreditēšanas sektorā, pašu kapitāla prasību nevērtē uzņēmumiem, kas dibināti mazāk kā divus gadus pirms pieteikuma licences saņemšanai iesniegšanas.</w:t>
      </w:r>
    </w:p>
    <w:p w:rsidR="00EA658F" w:rsidRPr="00311762" w:rsidRDefault="00EA658F" w:rsidP="00E80DCB">
      <w:pPr>
        <w:tabs>
          <w:tab w:val="left" w:pos="993"/>
        </w:tabs>
        <w:spacing w:before="120" w:after="120"/>
        <w:ind w:firstLine="495"/>
        <w:rPr>
          <w:sz w:val="27"/>
          <w:szCs w:val="27"/>
        </w:rPr>
      </w:pPr>
      <w:r w:rsidRPr="00311762">
        <w:rPr>
          <w:sz w:val="27"/>
          <w:szCs w:val="27"/>
        </w:rPr>
        <w:t>Noteikumu III nodaļa nosaka licences izsniegšanas kārtību, nosakot kāda informācija kapitālsabiedrībai jāsniedz PTAC licences saņemšanai, kā arī kādu informāciju par kapitālsabiedrību PTAC iegūst pats. Noteikum</w:t>
      </w:r>
      <w:r w:rsidR="00A57011" w:rsidRPr="00311762">
        <w:rPr>
          <w:sz w:val="27"/>
          <w:szCs w:val="27"/>
        </w:rPr>
        <w:t>i</w:t>
      </w:r>
      <w:r w:rsidRPr="00311762">
        <w:rPr>
          <w:sz w:val="27"/>
          <w:szCs w:val="27"/>
        </w:rPr>
        <w:t xml:space="preserve"> paredz iespēju minētos dokumentus PTAC iesniegt arī elektroniski. PTAC pieņem lēmumu par licences izsniegšanu viena mēneša laikā no dienas, kad saņemti visi lēmuma pieņemšanai nepieciešamie dokumentu. Nodaļā noteikti gadījumi, kad PTAC var atteikt licences izsniegšanu, kā arī licences dublikāta izsniegšanas un grozījumu veikšanas licencē norādītajā informācijā kārtība. </w:t>
      </w:r>
    </w:p>
    <w:p w:rsidR="00EA658F" w:rsidRPr="00311762" w:rsidRDefault="00EA658F" w:rsidP="00E80DCB">
      <w:pPr>
        <w:tabs>
          <w:tab w:val="left" w:pos="993"/>
        </w:tabs>
        <w:spacing w:before="120" w:after="120"/>
        <w:ind w:firstLine="495"/>
        <w:rPr>
          <w:sz w:val="27"/>
          <w:szCs w:val="27"/>
        </w:rPr>
      </w:pPr>
      <w:r w:rsidRPr="00311762">
        <w:rPr>
          <w:sz w:val="27"/>
          <w:szCs w:val="27"/>
        </w:rPr>
        <w:t>Papildus minētajam, noteikum</w:t>
      </w:r>
      <w:r w:rsidR="00A57011" w:rsidRPr="00311762">
        <w:rPr>
          <w:sz w:val="27"/>
          <w:szCs w:val="27"/>
        </w:rPr>
        <w:t>i</w:t>
      </w:r>
      <w:r w:rsidRPr="00311762">
        <w:rPr>
          <w:sz w:val="27"/>
          <w:szCs w:val="27"/>
        </w:rPr>
        <w:t xml:space="preserve"> paredz, ka licences darbības laikā kapitālsabiedrībai ir pienākums katru gadu līdz 1.martam iesniegt PTAC informāciju par iepriekšējā kalendārajā gadā ar patērētājiem noslēgto kreditēšanas līgumu skaitu un patērētājiem izsniegto kredītu kopējo summu. Šī informācija nepieciešama PTAC uzraudzības darbību un pasākumu plānošanai, lai nodrošinātu efektīvu piešķirto valsts budžeta līdzekļu izlietojumu un patērētāju kolektīvo interešu aizsardzību. Tāpat minētā informācija sniegs </w:t>
      </w:r>
      <w:r w:rsidRPr="00311762">
        <w:rPr>
          <w:sz w:val="27"/>
          <w:szCs w:val="27"/>
        </w:rPr>
        <w:lastRenderedPageBreak/>
        <w:t xml:space="preserve">priekšstatu par </w:t>
      </w:r>
      <w:proofErr w:type="spellStart"/>
      <w:r w:rsidRPr="00311762">
        <w:rPr>
          <w:sz w:val="27"/>
          <w:szCs w:val="27"/>
        </w:rPr>
        <w:t>nebanku</w:t>
      </w:r>
      <w:proofErr w:type="spellEnd"/>
      <w:r w:rsidRPr="00311762">
        <w:rPr>
          <w:sz w:val="27"/>
          <w:szCs w:val="27"/>
        </w:rPr>
        <w:t xml:space="preserve"> kreditoru tirgus daļu patērētāju kreditēšanas tirgū Latvijā un tā specifiku.</w:t>
      </w:r>
    </w:p>
    <w:p w:rsidR="00E80DCB" w:rsidRPr="00311762" w:rsidRDefault="00EA658F" w:rsidP="00E80DCB">
      <w:pPr>
        <w:ind w:firstLine="425"/>
        <w:rPr>
          <w:sz w:val="27"/>
          <w:szCs w:val="27"/>
        </w:rPr>
      </w:pPr>
      <w:r w:rsidRPr="00311762">
        <w:rPr>
          <w:sz w:val="27"/>
          <w:szCs w:val="27"/>
        </w:rPr>
        <w:t>Noteikumu IV nodaļa nosaka licences pārreģistrācijas kārtību un iesniedzamos dokumentus, kā arī gadījumus, kad PTAC ir tiesīgs atteikt licences pārreģistrāciju.</w:t>
      </w:r>
      <w:r w:rsidR="00E80DCB" w:rsidRPr="00311762">
        <w:rPr>
          <w:sz w:val="27"/>
          <w:szCs w:val="27"/>
        </w:rPr>
        <w:t xml:space="preserve"> Lēmums ar licences ikgadējas pārreģistrācijas noteikšanu tika pieņemts Ministru kabinetā 13.12.2010. (protokols Nr.72 14.§), izskatot likumprojektu „Grozījumi Patērētāju tiesību aizsardzības likumā”, kas sekojoši tika pieņemts Saeimā 30.12.2010. Licences regulāra, ikgadēja pārreģistrācija nodrošinās efektīvāku </w:t>
      </w:r>
      <w:proofErr w:type="spellStart"/>
      <w:r w:rsidR="00E80DCB" w:rsidRPr="00311762">
        <w:rPr>
          <w:sz w:val="27"/>
          <w:szCs w:val="27"/>
        </w:rPr>
        <w:t>nebanku</w:t>
      </w:r>
      <w:proofErr w:type="spellEnd"/>
      <w:r w:rsidR="00E80DCB" w:rsidRPr="00311762">
        <w:rPr>
          <w:sz w:val="27"/>
          <w:szCs w:val="27"/>
        </w:rPr>
        <w:t xml:space="preserve"> kreditēšanas tirgus uzraudzību  patērētāju tiesību aizsardzības jomā, ņemot vērā šādus apstākļus:</w:t>
      </w:r>
    </w:p>
    <w:p w:rsidR="00E80DCB" w:rsidRPr="00311762" w:rsidRDefault="00E80DCB" w:rsidP="00E80DCB">
      <w:pPr>
        <w:spacing w:before="60"/>
        <w:ind w:left="568" w:hanging="284"/>
        <w:rPr>
          <w:sz w:val="27"/>
          <w:szCs w:val="27"/>
        </w:rPr>
      </w:pPr>
      <w:r w:rsidRPr="00311762">
        <w:rPr>
          <w:sz w:val="27"/>
          <w:szCs w:val="27"/>
        </w:rPr>
        <w:t xml:space="preserve">-  ikgadēja pārreģistrācija nozīmē </w:t>
      </w:r>
      <w:r w:rsidRPr="00311762">
        <w:rPr>
          <w:sz w:val="27"/>
          <w:szCs w:val="27"/>
          <w:u w:val="single"/>
        </w:rPr>
        <w:t>ikgadēju visu licencēto kapitālsabiedrību darbības izvērtējumu</w:t>
      </w:r>
      <w:r w:rsidRPr="00311762">
        <w:rPr>
          <w:sz w:val="27"/>
          <w:szCs w:val="27"/>
        </w:rPr>
        <w:t xml:space="preserve"> pirms pārreģistrācijas, nevis tikai atsevišķu kapitālsabiedrību uzraudzību izlases kārtībā, ņemot vērā saņemtās sūdzības un riskus; </w:t>
      </w:r>
    </w:p>
    <w:p w:rsidR="00E80DCB" w:rsidRPr="00311762" w:rsidRDefault="00E80DCB" w:rsidP="00E80DCB">
      <w:pPr>
        <w:spacing w:before="60"/>
        <w:ind w:left="568" w:hanging="284"/>
        <w:rPr>
          <w:sz w:val="27"/>
          <w:szCs w:val="27"/>
        </w:rPr>
      </w:pPr>
      <w:r w:rsidRPr="00311762">
        <w:rPr>
          <w:sz w:val="27"/>
          <w:szCs w:val="27"/>
        </w:rPr>
        <w:t xml:space="preserve">-  tā kā patērētājiem jau līdz šim ir izsniegts ievērojums kredītu apjoms, ir </w:t>
      </w:r>
      <w:r w:rsidRPr="00311762">
        <w:rPr>
          <w:sz w:val="27"/>
          <w:szCs w:val="27"/>
          <w:u w:val="single"/>
        </w:rPr>
        <w:t>nepieciešama efektīvas sistēmas izveide</w:t>
      </w:r>
      <w:r w:rsidRPr="00311762">
        <w:rPr>
          <w:sz w:val="27"/>
          <w:szCs w:val="27"/>
        </w:rPr>
        <w:t xml:space="preserve">, kas mazinātu bezatbildīgu aizņemšanos. Tādēļ </w:t>
      </w:r>
      <w:proofErr w:type="spellStart"/>
      <w:r w:rsidRPr="00311762">
        <w:rPr>
          <w:sz w:val="27"/>
          <w:szCs w:val="27"/>
        </w:rPr>
        <w:t>nebanku</w:t>
      </w:r>
      <w:proofErr w:type="spellEnd"/>
      <w:r w:rsidRPr="00311762">
        <w:rPr>
          <w:sz w:val="27"/>
          <w:szCs w:val="27"/>
        </w:rPr>
        <w:t xml:space="preserve"> kredītu devēju pārreģistrācijas prasības dod iespēju uzraudzības iestādei (PTAC) pārliecināties, ka </w:t>
      </w:r>
      <w:proofErr w:type="spellStart"/>
      <w:r w:rsidRPr="00311762">
        <w:rPr>
          <w:sz w:val="27"/>
          <w:szCs w:val="27"/>
        </w:rPr>
        <w:t>nebanku</w:t>
      </w:r>
      <w:proofErr w:type="spellEnd"/>
      <w:r w:rsidRPr="00311762">
        <w:rPr>
          <w:sz w:val="27"/>
          <w:szCs w:val="27"/>
        </w:rPr>
        <w:t xml:space="preserve"> kredītu devējs ir ieviesis praksē efektīvas procedūras, kas vērstas uz patērētāju kredītspējas izvērtēšanu, lai novērstu, ka tiek veicināta bezatbildīga un vieglprātīga aizņemšanās. Tādējādi uzliktais administratīvais slogs komersantiem ir samērīgs attiecībā pret sasniedzamo mērķi nodrošināt augstu patērētāju tiesību aizsardzības līmeni un vienlaikus arī ekonomisko stabilitāti; </w:t>
      </w:r>
    </w:p>
    <w:p w:rsidR="00E80DCB" w:rsidRPr="00311762" w:rsidRDefault="00E80DCB" w:rsidP="00E80DCB">
      <w:pPr>
        <w:spacing w:before="60"/>
        <w:ind w:left="568" w:hanging="284"/>
        <w:rPr>
          <w:sz w:val="27"/>
          <w:szCs w:val="27"/>
        </w:rPr>
      </w:pPr>
      <w:r w:rsidRPr="00311762">
        <w:rPr>
          <w:sz w:val="27"/>
          <w:szCs w:val="27"/>
        </w:rPr>
        <w:t>-  ņemot vērā daudzos kreditēšanas veidus (atšķirīgiem viediem ir noteiktas atšķirīgas prasības normatīvajos aktos), pastāv risks, ka pakalpojuma sniedzējs licenci saņemot, veic tādu kreditēšanas pakalpojumu kā, piemēram, izsniedz „</w:t>
      </w:r>
      <w:proofErr w:type="spellStart"/>
      <w:r w:rsidRPr="00311762">
        <w:rPr>
          <w:sz w:val="27"/>
          <w:szCs w:val="27"/>
        </w:rPr>
        <w:t>sms</w:t>
      </w:r>
      <w:proofErr w:type="spellEnd"/>
      <w:r w:rsidRPr="00311762">
        <w:rPr>
          <w:sz w:val="27"/>
          <w:szCs w:val="27"/>
        </w:rPr>
        <w:t xml:space="preserve"> kredītu”, bet pēc laika jau nodarbojas ar hipotekāro kreditēšanu vai lombardu darbību, kas nozīmē pilnīgi jaunus riskus patērētājam un jaunu prasību ievērošanu no kapitālsabiedrības puses (piemēram, pienākumu veikt kredītspējas izvērtējumu, prasību izpildi lombardu telpām u.tml.). Ikgadēja pārreģistrācija dos uzraudzības iestādēm </w:t>
      </w:r>
      <w:r w:rsidRPr="00311762">
        <w:rPr>
          <w:sz w:val="27"/>
          <w:szCs w:val="27"/>
          <w:u w:val="single"/>
        </w:rPr>
        <w:t>aktuālu informāciju par kreditoru darbības veidiem,</w:t>
      </w:r>
      <w:r w:rsidRPr="00311762">
        <w:rPr>
          <w:sz w:val="27"/>
          <w:szCs w:val="27"/>
        </w:rPr>
        <w:t xml:space="preserve"> līdz ar to par prasībām, kas attiecīgā gadījumā jāievēro kreditoram un iestādei jāuzrauga,</w:t>
      </w:r>
    </w:p>
    <w:p w:rsidR="00E80DCB" w:rsidRPr="00311762" w:rsidRDefault="00E80DCB" w:rsidP="00E80DCB">
      <w:pPr>
        <w:keepNext/>
        <w:keepLines/>
        <w:ind w:left="567" w:hanging="283"/>
        <w:rPr>
          <w:sz w:val="27"/>
          <w:szCs w:val="27"/>
        </w:rPr>
      </w:pPr>
      <w:r w:rsidRPr="00311762">
        <w:rPr>
          <w:sz w:val="27"/>
          <w:szCs w:val="27"/>
        </w:rPr>
        <w:t xml:space="preserve"> - Patērētāju tiesību aizsardzības likumā ir paredzētas prasības licencētai kapitālsabiedrībā attiecībā uz kapitālsabiedrības pašu kapitālu, kas </w:t>
      </w:r>
      <w:r w:rsidRPr="00311762">
        <w:rPr>
          <w:sz w:val="27"/>
          <w:szCs w:val="27"/>
          <w:u w:val="single"/>
        </w:rPr>
        <w:t>ir ikgadēji mainīgs lielums</w:t>
      </w:r>
      <w:r w:rsidRPr="00311762">
        <w:rPr>
          <w:sz w:val="27"/>
          <w:szCs w:val="27"/>
        </w:rPr>
        <w:t xml:space="preserve">, tādēļ ir nepieciešama tā ikgadēja kontrole. </w:t>
      </w:r>
    </w:p>
    <w:p w:rsidR="00EA658F" w:rsidRPr="00311762" w:rsidRDefault="00EA658F" w:rsidP="00E80DCB">
      <w:pPr>
        <w:spacing w:before="120"/>
        <w:ind w:firstLine="493"/>
        <w:rPr>
          <w:sz w:val="27"/>
          <w:szCs w:val="27"/>
        </w:rPr>
      </w:pPr>
      <w:r w:rsidRPr="00311762">
        <w:rPr>
          <w:sz w:val="27"/>
          <w:szCs w:val="27"/>
        </w:rPr>
        <w:t>Noteikumu V nodaļa nosaka licences darbības apturēšanas un anulēšanas kārtību. N</w:t>
      </w:r>
      <w:r w:rsidR="00A57011" w:rsidRPr="00311762">
        <w:rPr>
          <w:sz w:val="27"/>
          <w:szCs w:val="27"/>
        </w:rPr>
        <w:t xml:space="preserve">oteikumi </w:t>
      </w:r>
      <w:r w:rsidRPr="00311762">
        <w:rPr>
          <w:sz w:val="27"/>
          <w:szCs w:val="27"/>
        </w:rPr>
        <w:t xml:space="preserve">paredz PTAC tiesības apturēt licences darbību uz laiku līdz 6 mēnešiem par pārkāpumiem, kurus kapitālsabiedrība var novērst. Ja kapitālsabiedrība novērsusi PTAC lēmumā par licences darbības  apturēšanu konstatētos pārkāpumus, PTAC pieņem lēmumu par licences darbības atjaunošanu 10 darba dienu laikā. </w:t>
      </w:r>
    </w:p>
    <w:p w:rsidR="00EA658F" w:rsidRPr="00311762" w:rsidRDefault="00EA658F" w:rsidP="00E80DCB">
      <w:pPr>
        <w:ind w:firstLine="485"/>
        <w:rPr>
          <w:sz w:val="27"/>
          <w:szCs w:val="27"/>
        </w:rPr>
      </w:pPr>
      <w:r w:rsidRPr="00311762">
        <w:rPr>
          <w:sz w:val="27"/>
          <w:szCs w:val="27"/>
        </w:rPr>
        <w:lastRenderedPageBreak/>
        <w:t xml:space="preserve">Viens no fiskālās politikas īstenošanas mērķiem ir nodokļu samaksa pilnā apmērā un noteiktā termiņā. Veicinot šī mērķa izpildi, noteikumu 38.5.apakšpunkts paredz, ka PTAC ir tiesīgs pieņemt lēmumu par kapitālsabiedrībai izsniegtās licences darbības apturēšanu uz laiku līdz sešiem mēnešiem, ja kapitālsabiedrības </w:t>
      </w:r>
      <w:r w:rsidRPr="00311762">
        <w:rPr>
          <w:sz w:val="27"/>
          <w:szCs w:val="27"/>
          <w:u w:val="single"/>
        </w:rPr>
        <w:t>nokavēto</w:t>
      </w:r>
      <w:r w:rsidRPr="00311762">
        <w:rPr>
          <w:sz w:val="27"/>
          <w:szCs w:val="27"/>
        </w:rPr>
        <w:t xml:space="preserve"> nodokļu, nodevu vai citu obligāto maksājumu summa ir lielāka par 1000 latiem un to samaksas kavējums pārsniedz vienu mēnesi pēc maksājuma termiņa iestāšanās. Šajā gadījumā PTAC ir tiesīgs apturēt licences darbību līdz brīdim, kad tam ir sniegta informācija par nokavēto maksājumu pilnīgu apmaksu.</w:t>
      </w:r>
      <w:r w:rsidR="00A57011" w:rsidRPr="00311762">
        <w:rPr>
          <w:sz w:val="27"/>
          <w:szCs w:val="27"/>
        </w:rPr>
        <w:t xml:space="preserve"> Noteikumos </w:t>
      </w:r>
      <w:r w:rsidRPr="00311762">
        <w:rPr>
          <w:sz w:val="27"/>
          <w:szCs w:val="27"/>
        </w:rPr>
        <w:t xml:space="preserve">minētā </w:t>
      </w:r>
      <w:r w:rsidRPr="00311762">
        <w:rPr>
          <w:sz w:val="27"/>
          <w:szCs w:val="27"/>
          <w:u w:val="single"/>
        </w:rPr>
        <w:t>nokavēto</w:t>
      </w:r>
      <w:r w:rsidRPr="00311762">
        <w:rPr>
          <w:sz w:val="27"/>
          <w:szCs w:val="27"/>
        </w:rPr>
        <w:t xml:space="preserve"> nodokļu, nodevu vai citu obligāto maksājumu summa valsts budžetam (virs 1000 Ls), kas ir saskaņota ar VID, ir uzskatāma par nozīmīgu nodokļu maksas kavējumu, kas var būt par pamatu patērētāju kreditēšanas licences apturēšanai, jo pastāvot nodokļu maksājumu kavējumiem</w:t>
      </w:r>
      <w:r w:rsidR="00A57011" w:rsidRPr="00311762">
        <w:rPr>
          <w:sz w:val="27"/>
          <w:szCs w:val="27"/>
        </w:rPr>
        <w:t xml:space="preserve"> valsts budžetā, nav gūts ap</w:t>
      </w:r>
      <w:r w:rsidRPr="00311762">
        <w:rPr>
          <w:sz w:val="27"/>
          <w:szCs w:val="27"/>
        </w:rPr>
        <w:t>liecinājums par  kapitālsabiedrības spēju sniegt pienācīgu kreditēšanas pakalpojumu iedzīvotājiem/ kompānijām. Minētais noteikumu apakšpunkts, tāpat kā noteikumu 9.2.apakšpunkts, attiecas uz nodokļu, nodevu un citu obligāto maksājumu, ko aprēķinājusi pati kapitālsabiedrība, bet nav samaksājusi noteiktajos termiņos. Šīs prasības neattiecas uz VID veiktiem nodokļu, nodevu un citu obligāto maksājumu parādu aprēķiniem</w:t>
      </w:r>
      <w:r w:rsidR="00A57011" w:rsidRPr="00311762">
        <w:rPr>
          <w:sz w:val="27"/>
          <w:szCs w:val="27"/>
        </w:rPr>
        <w:t>, ņemot vērā, ka tie ir apstrīdami tiesību aktos noteiktajā kārtībā</w:t>
      </w:r>
      <w:r w:rsidRPr="00311762">
        <w:rPr>
          <w:sz w:val="27"/>
          <w:szCs w:val="27"/>
        </w:rPr>
        <w:t>.</w:t>
      </w:r>
    </w:p>
    <w:p w:rsidR="00EA658F" w:rsidRPr="00311762" w:rsidRDefault="00EA658F" w:rsidP="00E80DCB">
      <w:pPr>
        <w:ind w:firstLine="495"/>
        <w:rPr>
          <w:sz w:val="27"/>
          <w:szCs w:val="27"/>
        </w:rPr>
      </w:pPr>
      <w:r w:rsidRPr="00311762">
        <w:rPr>
          <w:sz w:val="27"/>
          <w:szCs w:val="27"/>
        </w:rPr>
        <w:t>Licence</w:t>
      </w:r>
      <w:r w:rsidR="00A57011" w:rsidRPr="00311762">
        <w:rPr>
          <w:sz w:val="27"/>
          <w:szCs w:val="27"/>
        </w:rPr>
        <w:t xml:space="preserve"> var tikt anulēta par noteikumos </w:t>
      </w:r>
      <w:r w:rsidRPr="00311762">
        <w:rPr>
          <w:sz w:val="27"/>
          <w:szCs w:val="27"/>
        </w:rPr>
        <w:t>noteikto nodevu nenomaksāšanu, ja kapitālsabiedrība pasludināta par maksātnespējīgu vai tiek likvidēta, vai nav novērsusi pārkāpumus, par kuriem licences darbība tikusi apturēta, PTAC norādītajā termiņā. Ja kapitālsabiedrības licence ir anulēta vai apturēta, kapitālsabiedrība nedrīkst slēgt jaunus kreditēšanas līgumus ar patērētājiem, izdarīt izmaiņas licences darbības laikā noslēgtajos līgumos, ja izmaiņas ir patērētājam nelabvēlīgākas salīdzinājumā ar līgumā izdarāmo izmaiņu piedāvāšanas brīdī pastāvošajiem tirgus nosacījumiem, vai slēgt pārjaunojuma līgumus,</w:t>
      </w:r>
      <w:r w:rsidRPr="00311762">
        <w:rPr>
          <w:iCs/>
          <w:sz w:val="27"/>
          <w:szCs w:val="27"/>
        </w:rPr>
        <w:t xml:space="preserve"> izņemot gadījumus, ja netiek izsniegts jauns aizdevums</w:t>
      </w:r>
      <w:r w:rsidRPr="00311762">
        <w:rPr>
          <w:sz w:val="27"/>
          <w:szCs w:val="27"/>
        </w:rPr>
        <w:t>. Apturot administratīvā akta darbību, personai tiek apturēts arī piešķirto tiesību un pienākumu apjoms. Līdz ar to kapitālsabiedrībai nevajadzētu būt tiesīgai darboties konkrētajā jomā un turpināt noslēgto līgumu izpildi, jo tas var apdraudēt patērētāju interešu un tiesību īstenošanu. Tomēr, pārtraucot noslēgto kreditēšanas līgumu izpildi, ciestu to patērētāju intereses, kuriem ir spēkā esoši kreditēšanas līgumi, jo patērētājiem būtu jāveic kredīta atmaksa pirms līgumā paredzētā termiņa. Ņemot vērā iepriekš minētos riskus, kas varētu saistīties ar kreditēšanas līgumu izpildi, ja kapitālsabiedr</w:t>
      </w:r>
      <w:r w:rsidR="00A57011" w:rsidRPr="00311762">
        <w:rPr>
          <w:sz w:val="27"/>
          <w:szCs w:val="27"/>
        </w:rPr>
        <w:t xml:space="preserve">ībai anulēta licence, noteikumi </w:t>
      </w:r>
      <w:r w:rsidRPr="00311762">
        <w:rPr>
          <w:sz w:val="27"/>
          <w:szCs w:val="27"/>
        </w:rPr>
        <w:t>paredz patērētājam tiesības vienpusēji atkāpties no kreditēšanas līguma, nemaksājot līgumsodu vai jebkādu zaudējumu atlīdzību.</w:t>
      </w:r>
    </w:p>
    <w:p w:rsidR="00EA658F" w:rsidRPr="00311762" w:rsidRDefault="00EA658F" w:rsidP="00E80DCB">
      <w:pPr>
        <w:ind w:firstLine="495"/>
        <w:rPr>
          <w:sz w:val="27"/>
          <w:szCs w:val="27"/>
        </w:rPr>
      </w:pPr>
      <w:r w:rsidRPr="00311762">
        <w:rPr>
          <w:sz w:val="27"/>
          <w:szCs w:val="27"/>
        </w:rPr>
        <w:t>Ja kapitālsabiedrībai licence ir anulēta, iesniegumu jaunas licences saņemšanai tā drīkst iesniegt ne agrāk kā trīs gadus pēc lēmuma pieņemšanas par licences anulēšanu dienas, izņemot, ja licence anulēta pēc pašas kapitālsabiedrības lūguma.</w:t>
      </w:r>
    </w:p>
    <w:p w:rsidR="00EA658F" w:rsidRPr="00311762" w:rsidRDefault="00EA658F" w:rsidP="00E80DCB">
      <w:pPr>
        <w:ind w:firstLine="495"/>
        <w:rPr>
          <w:sz w:val="27"/>
          <w:szCs w:val="27"/>
        </w:rPr>
      </w:pPr>
      <w:r w:rsidRPr="00311762">
        <w:rPr>
          <w:sz w:val="27"/>
          <w:szCs w:val="27"/>
        </w:rPr>
        <w:t xml:space="preserve">Noteikumu VI nodaļa paredz valsts nodevu par licences izsniegšanu un pārreģistrāciju apmēru un to maksāšanas kārtību. Minētās nodevas maksājamas </w:t>
      </w:r>
      <w:r w:rsidRPr="00311762">
        <w:rPr>
          <w:sz w:val="27"/>
          <w:szCs w:val="27"/>
        </w:rPr>
        <w:lastRenderedPageBreak/>
        <w:t>pirms iesnieguma licences saņemšanai vai pārreģistrācijai iesniegšanai un tās ieskaita valsts pamatbudžetā. Attiecīgi, ja tiek pieņemts lēmums atteikt licences izsniegšanu vai pārreģistrāciju, samaksātā valsts nodeva tiek atmaksāta kapitālsabiedrībai.</w:t>
      </w:r>
    </w:p>
    <w:p w:rsidR="00EA658F" w:rsidRPr="00311762" w:rsidRDefault="00EA658F" w:rsidP="00E80DCB">
      <w:pPr>
        <w:ind w:firstLine="495"/>
        <w:rPr>
          <w:sz w:val="27"/>
          <w:szCs w:val="27"/>
        </w:rPr>
      </w:pPr>
      <w:r w:rsidRPr="00311762">
        <w:rPr>
          <w:sz w:val="27"/>
          <w:szCs w:val="27"/>
        </w:rPr>
        <w:t xml:space="preserve">Valsts nodevas apmēram jābūt tādam, kas liecina par uzņēmuma finansiālo spēju nodarboties ar kreditēšanas pakalpojumu sniegšanu un uzņēmuma ilgtermiņa nolūkiem (piemēram, skatīt valsts nodevas apmēru par licences izsniegšanu tādās pakalpojumu sniegšanas jomās, kurās ir līdzīgas pakāpes risks attiecībā uz patērētāju aizsardzību un noziedzīgi iegūtu līdzekļu legalizācijas risku, kā, piemēram, valūtas maiņas jomā – </w:t>
      </w:r>
      <w:smartTag w:uri="schemas-tilde-lv/tildestengine" w:element="currency2">
        <w:smartTagPr>
          <w:attr w:name="currency_id" w:val="48"/>
          <w:attr w:name="currency_key" w:val="LVL"/>
          <w:attr w:name="currency_value" w:val="50"/>
          <w:attr w:name="currency_text" w:val="Ls"/>
        </w:smartTagPr>
        <w:r w:rsidRPr="00311762">
          <w:rPr>
            <w:sz w:val="27"/>
            <w:szCs w:val="27"/>
          </w:rPr>
          <w:t>Ls 50</w:t>
        </w:r>
      </w:smartTag>
      <w:r w:rsidRPr="00311762">
        <w:rPr>
          <w:sz w:val="27"/>
          <w:szCs w:val="27"/>
        </w:rPr>
        <w:t xml:space="preserve"> 000 vai azartspēļu jomā – </w:t>
      </w:r>
      <w:smartTag w:uri="schemas-tilde-lv/tildestengine" w:element="currency2">
        <w:smartTagPr>
          <w:attr w:name="currency_id" w:val="48"/>
          <w:attr w:name="currency_key" w:val="LVL"/>
          <w:attr w:name="currency_value" w:val="10"/>
          <w:attr w:name="currency_text" w:val="Ls"/>
        </w:smartTagPr>
        <w:r w:rsidRPr="00311762">
          <w:rPr>
            <w:sz w:val="27"/>
            <w:szCs w:val="27"/>
          </w:rPr>
          <w:t>Ls 10</w:t>
        </w:r>
      </w:smartTag>
      <w:r w:rsidRPr="00311762">
        <w:rPr>
          <w:sz w:val="27"/>
          <w:szCs w:val="27"/>
        </w:rPr>
        <w:t xml:space="preserve"> 000 līdz </w:t>
      </w:r>
      <w:smartTag w:uri="schemas-tilde-lv/tildestengine" w:element="currency2">
        <w:smartTagPr>
          <w:attr w:name="currency_id" w:val="48"/>
          <w:attr w:name="currency_key" w:val="LVL"/>
          <w:attr w:name="currency_value" w:val="300"/>
          <w:attr w:name="currency_text" w:val="Ls"/>
        </w:smartTagPr>
        <w:r w:rsidRPr="00311762">
          <w:rPr>
            <w:sz w:val="27"/>
            <w:szCs w:val="27"/>
          </w:rPr>
          <w:t>Ls 300</w:t>
        </w:r>
      </w:smartTag>
      <w:r w:rsidRPr="00311762">
        <w:rPr>
          <w:sz w:val="27"/>
          <w:szCs w:val="27"/>
        </w:rPr>
        <w:t xml:space="preserve"> 000). Nodevu apmērs (50 000 Ls par licences izsniegšanu un 10 000 Ls par licences pārreģistrāciju) nodrošina tādu godprātīgu kapitālsabiedrību esamību kreditēšanas tirgū, kas savu darbību plāno ilgtermiņā, un līdz ar to arī kvalitatīvu un tiesību aktiem atbilstošu pakalpojumu sniegšanu patērētājam. Nodevas apmēru aprēķini veikti, ņemot vērā Centrālās statistikas pārvaldes sniegtos datus par </w:t>
      </w:r>
      <w:proofErr w:type="spellStart"/>
      <w:r w:rsidRPr="00311762">
        <w:rPr>
          <w:sz w:val="27"/>
          <w:szCs w:val="27"/>
        </w:rPr>
        <w:t>nebanku</w:t>
      </w:r>
      <w:proofErr w:type="spellEnd"/>
      <w:r w:rsidRPr="00311762">
        <w:rPr>
          <w:sz w:val="27"/>
          <w:szCs w:val="27"/>
        </w:rPr>
        <w:t xml:space="preserve"> kreditēšanas sektora apgrozāmo līdzekļu apmēru (2010.gada III ceturksnī sastādīja 138,7 miljonus </w:t>
      </w:r>
      <w:smartTag w:uri="schemas-tilde-lv/tildestengine" w:element="currency2">
        <w:smartTagPr>
          <w:attr w:name="currency_id" w:val="48"/>
          <w:attr w:name="currency_key" w:val="LVL"/>
          <w:attr w:name="currency_value" w:val="1"/>
          <w:attr w:name="currency_text" w:val="latu"/>
        </w:smartTagPr>
        <w:r w:rsidRPr="00311762">
          <w:rPr>
            <w:sz w:val="27"/>
            <w:szCs w:val="27"/>
          </w:rPr>
          <w:t>latu</w:t>
        </w:r>
      </w:smartTag>
      <w:r w:rsidRPr="00311762">
        <w:rPr>
          <w:sz w:val="27"/>
          <w:szCs w:val="27"/>
        </w:rPr>
        <w:t xml:space="preserve">), izsniegto aizdevumu apmēru, kas uz 2010.gada III ceturksni sastādīja 205,2 miljonus </w:t>
      </w:r>
      <w:smartTag w:uri="schemas-tilde-lv/tildestengine" w:element="currency2">
        <w:smartTagPr>
          <w:attr w:name="currency_id" w:val="48"/>
          <w:attr w:name="currency_key" w:val="LVL"/>
          <w:attr w:name="currency_value" w:val="1"/>
          <w:attr w:name="currency_text" w:val="latu"/>
        </w:smartTagPr>
        <w:r w:rsidRPr="00311762">
          <w:rPr>
            <w:sz w:val="27"/>
            <w:szCs w:val="27"/>
          </w:rPr>
          <w:t>latu</w:t>
        </w:r>
      </w:smartTag>
      <w:r w:rsidRPr="00311762">
        <w:rPr>
          <w:sz w:val="27"/>
          <w:szCs w:val="27"/>
        </w:rPr>
        <w:t xml:space="preserve"> (no kuriem 198,05 miljoni izsniegti mājsaimniecībām), kā arī bruto peļņu, kas 2009.gadā sastādīja 30,4 miljonus latu, bet 2010.gada trīs ceturkšņos attiecīgi 16 miljonus latu.</w:t>
      </w:r>
    </w:p>
    <w:p w:rsidR="00EA658F" w:rsidRPr="00311762" w:rsidRDefault="00EA658F" w:rsidP="00E80DCB">
      <w:pPr>
        <w:ind w:firstLine="495"/>
        <w:rPr>
          <w:sz w:val="27"/>
          <w:szCs w:val="27"/>
        </w:rPr>
      </w:pPr>
      <w:r w:rsidRPr="00311762">
        <w:rPr>
          <w:sz w:val="27"/>
          <w:szCs w:val="27"/>
        </w:rPr>
        <w:t xml:space="preserve">No patērētāju tiesību aizsardzības viedokļa īslaicīgu tirgus dalībnieku esamība patērētāju kreditēšanas tirgū nav vēlama, jo patērētājam ir būtiska pakalpojuma sniedzēja stabilitāte un reputācija, par ko liecina kapitālsabiedrības ilglaicīga darbība. Tāpat valsts nodevas minētajos apmēros nodrošina valsts budžeta izdevumu licencēšanas sistēmas uzturēšanai kompensēšanu, lai nodrošinātu efektīvu tirgus uzraudzību ilgtermiņā, kā arī kreditēšanas tirgus regulāciju </w:t>
      </w:r>
      <w:proofErr w:type="spellStart"/>
      <w:r w:rsidRPr="00311762">
        <w:rPr>
          <w:sz w:val="27"/>
          <w:szCs w:val="27"/>
        </w:rPr>
        <w:t>nebanku</w:t>
      </w:r>
      <w:proofErr w:type="spellEnd"/>
      <w:r w:rsidRPr="00311762">
        <w:rPr>
          <w:sz w:val="27"/>
          <w:szCs w:val="27"/>
        </w:rPr>
        <w:t xml:space="preserve"> aizdevēju sektorā.</w:t>
      </w:r>
    </w:p>
    <w:p w:rsidR="00E80DCB" w:rsidRPr="00311762" w:rsidRDefault="00E80DCB" w:rsidP="00E80DCB">
      <w:pPr>
        <w:pStyle w:val="naiskr"/>
        <w:spacing w:before="0" w:after="0"/>
        <w:ind w:firstLine="497"/>
        <w:jc w:val="both"/>
        <w:rPr>
          <w:sz w:val="27"/>
          <w:szCs w:val="27"/>
        </w:rPr>
      </w:pPr>
      <w:r w:rsidRPr="00311762">
        <w:rPr>
          <w:sz w:val="27"/>
          <w:szCs w:val="27"/>
        </w:rPr>
        <w:t xml:space="preserve">Lai garantētu lielāku </w:t>
      </w:r>
      <w:proofErr w:type="spellStart"/>
      <w:r w:rsidRPr="00311762">
        <w:rPr>
          <w:sz w:val="27"/>
          <w:szCs w:val="27"/>
        </w:rPr>
        <w:t>nebanku</w:t>
      </w:r>
      <w:proofErr w:type="spellEnd"/>
      <w:r w:rsidRPr="00311762">
        <w:rPr>
          <w:sz w:val="27"/>
          <w:szCs w:val="27"/>
        </w:rPr>
        <w:t xml:space="preserve"> kreditēšanas tirgus finanšu stabilitāti, š.g. 8.jūlijā Saeima pieņēma </w:t>
      </w:r>
      <w:r w:rsidRPr="00311762">
        <w:rPr>
          <w:b/>
          <w:sz w:val="27"/>
          <w:szCs w:val="27"/>
        </w:rPr>
        <w:t>likumu "Grozījumi Komerclikuma spēkā stāšanās kārtības likumā"</w:t>
      </w:r>
      <w:r w:rsidRPr="00311762">
        <w:rPr>
          <w:sz w:val="27"/>
          <w:szCs w:val="27"/>
        </w:rPr>
        <w:t xml:space="preserve">, nosakot minimālā apmaksājamā pamatkapitāla prasību </w:t>
      </w:r>
      <w:smartTag w:uri="schemas-tilde-lv/tildestengine" w:element="currency2">
        <w:smartTagPr>
          <w:attr w:name="currency_text" w:val="Ls"/>
          <w:attr w:name="currency_value" w:val="300"/>
          <w:attr w:name="currency_key" w:val="LVL"/>
          <w:attr w:name="currency_id" w:val="48"/>
        </w:smartTagPr>
        <w:r w:rsidRPr="00311762">
          <w:rPr>
            <w:sz w:val="27"/>
            <w:szCs w:val="27"/>
          </w:rPr>
          <w:t>Ls 300</w:t>
        </w:r>
      </w:smartTag>
      <w:r w:rsidRPr="00311762">
        <w:rPr>
          <w:sz w:val="27"/>
          <w:szCs w:val="27"/>
        </w:rPr>
        <w:t xml:space="preserve"> 000 apmērā kapitālsabiedrībai, kas sniedz kreditēšanas pakalpojumu patērētājam un kurai saskaņā ar Patērētāju tiesību aizsardzības likuma 8.panta 1.</w:t>
      </w:r>
      <w:r w:rsidRPr="00311762">
        <w:rPr>
          <w:sz w:val="27"/>
          <w:szCs w:val="27"/>
          <w:vertAlign w:val="superscript"/>
        </w:rPr>
        <w:t>1</w:t>
      </w:r>
      <w:r w:rsidRPr="00311762">
        <w:rPr>
          <w:sz w:val="27"/>
          <w:szCs w:val="27"/>
        </w:rPr>
        <w:t xml:space="preserve"> daļu būtu jāsaņem licence šī pakalpojuma sniegšanai. Minētā prasība piemērojama no š.g. 1.novembra. </w:t>
      </w:r>
    </w:p>
    <w:p w:rsidR="00E80DCB" w:rsidRPr="00311762" w:rsidRDefault="00E80DCB" w:rsidP="00E80DCB">
      <w:pPr>
        <w:pStyle w:val="naiskr"/>
        <w:spacing w:before="0" w:after="0"/>
        <w:ind w:firstLine="497"/>
        <w:jc w:val="both"/>
        <w:rPr>
          <w:sz w:val="27"/>
          <w:szCs w:val="27"/>
        </w:rPr>
      </w:pPr>
      <w:r w:rsidRPr="00311762">
        <w:rPr>
          <w:sz w:val="27"/>
          <w:szCs w:val="27"/>
        </w:rPr>
        <w:t xml:space="preserve">Minimālā apmaksātā pamatkapitāla apmēra noteikšana veicinās ilgtermiņā stabila un patērētājiem uzticama </w:t>
      </w:r>
      <w:proofErr w:type="spellStart"/>
      <w:r w:rsidRPr="00311762">
        <w:rPr>
          <w:sz w:val="27"/>
          <w:szCs w:val="27"/>
        </w:rPr>
        <w:t>nebanku</w:t>
      </w:r>
      <w:proofErr w:type="spellEnd"/>
      <w:r w:rsidRPr="00311762">
        <w:rPr>
          <w:sz w:val="27"/>
          <w:szCs w:val="27"/>
        </w:rPr>
        <w:t xml:space="preserve"> kreditēšanas tirgus izveidi, aizsargājot patērētājus no kredītu devējiem, kuriem tirgū ir tikai īstermiņa darbības mērķi, no kredītu devēju maksātspējas pasliktināšanās, kas var </w:t>
      </w:r>
      <w:proofErr w:type="spellStart"/>
      <w:r w:rsidRPr="00311762">
        <w:rPr>
          <w:sz w:val="27"/>
          <w:szCs w:val="27"/>
        </w:rPr>
        <w:t>rezultēties</w:t>
      </w:r>
      <w:proofErr w:type="spellEnd"/>
      <w:r w:rsidRPr="00311762">
        <w:rPr>
          <w:sz w:val="27"/>
          <w:szCs w:val="27"/>
        </w:rPr>
        <w:t xml:space="preserve"> pret klientiem vērstā parādu piedziņā, nodrošinātu normatīvo aktu prasību ievērošanu attiecībā uz patērētāju kreditēšanu un datu aizsardzību, kā arī veicinātu kvalitatīvu pakalpojumu sniegšanu patērētājam</w:t>
      </w:r>
      <w:r w:rsidRPr="00311762">
        <w:rPr>
          <w:iCs/>
          <w:sz w:val="27"/>
          <w:szCs w:val="27"/>
        </w:rPr>
        <w:t>.</w:t>
      </w:r>
    </w:p>
    <w:p w:rsidR="00F10D39" w:rsidRPr="00311762" w:rsidRDefault="00F10D39" w:rsidP="00E80DCB">
      <w:pPr>
        <w:pStyle w:val="naiskr"/>
        <w:spacing w:before="0" w:after="0"/>
        <w:ind w:firstLine="497"/>
        <w:jc w:val="both"/>
        <w:rPr>
          <w:sz w:val="27"/>
          <w:szCs w:val="27"/>
        </w:rPr>
      </w:pPr>
      <w:r w:rsidRPr="00311762">
        <w:rPr>
          <w:sz w:val="27"/>
          <w:szCs w:val="27"/>
        </w:rPr>
        <w:t>Visu augstāk minēto tiesību aktu izstrādē piedalījās atbilstoši Ekonomikas ministrijas 23.08.2010. rīkojumam Nr.177 „Par darba grupas izveidi grozījumu izstrādāšanai Eiropas Parlamenta un Padomes direktīvas 2008/48/EK</w:t>
      </w:r>
      <w:r w:rsidRPr="00311762">
        <w:rPr>
          <w:b/>
          <w:bCs/>
          <w:sz w:val="27"/>
          <w:szCs w:val="27"/>
        </w:rPr>
        <w:t xml:space="preserve"> </w:t>
      </w:r>
      <w:r w:rsidRPr="00311762">
        <w:rPr>
          <w:sz w:val="27"/>
          <w:szCs w:val="27"/>
        </w:rPr>
        <w:t xml:space="preserve">par </w:t>
      </w:r>
      <w:r w:rsidRPr="00311762">
        <w:rPr>
          <w:sz w:val="27"/>
          <w:szCs w:val="27"/>
        </w:rPr>
        <w:lastRenderedPageBreak/>
        <w:t xml:space="preserve">patēriņa kredītlīgumiem pārņemšanai” izveidotā darba grupa, kuras ietvaros projektu izstrādē piedalījās Tieslietu ministrija, Finanšu ministrija, Finanšu un kapitāla tirgus komisija, Latvijas Banka, Patērētāju tiesību aizsardzības centrs, valsts un pašvaldību policija, Latvijas komercbanku asociācija, Latvijas Līzinga devēju asociācija, Latvijas Darba devēju konfederācija, Latvijas Lombardu asociācija un Patērētāju interešu aizstāvības asociācija. Papildus minētajām organizācijām, darba grupas darbā pie noteikumu projekta piedalījās un viedokli sniedza arī Valsts ieņēmumu dienests, Datu valsts inspekcija, Latvijas Hipotekāro </w:t>
      </w:r>
      <w:proofErr w:type="spellStart"/>
      <w:r w:rsidRPr="00311762">
        <w:rPr>
          <w:sz w:val="27"/>
          <w:szCs w:val="27"/>
        </w:rPr>
        <w:t>nebanku</w:t>
      </w:r>
      <w:proofErr w:type="spellEnd"/>
      <w:r w:rsidRPr="00311762">
        <w:rPr>
          <w:sz w:val="27"/>
          <w:szCs w:val="27"/>
        </w:rPr>
        <w:t xml:space="preserve"> aizdevēju asociācija, Latvijas </w:t>
      </w:r>
      <w:proofErr w:type="spellStart"/>
      <w:r w:rsidRPr="00311762">
        <w:rPr>
          <w:sz w:val="27"/>
          <w:szCs w:val="27"/>
        </w:rPr>
        <w:t>Nebanku</w:t>
      </w:r>
      <w:proofErr w:type="spellEnd"/>
      <w:r w:rsidRPr="00311762">
        <w:rPr>
          <w:sz w:val="27"/>
          <w:szCs w:val="27"/>
        </w:rPr>
        <w:t xml:space="preserve"> kreditētāju asociācija, kā arī advokātu birojs „</w:t>
      </w:r>
      <w:proofErr w:type="spellStart"/>
      <w:r w:rsidRPr="00311762">
        <w:rPr>
          <w:bCs/>
          <w:sz w:val="27"/>
          <w:szCs w:val="27"/>
        </w:rPr>
        <w:t>Krodere</w:t>
      </w:r>
      <w:proofErr w:type="spellEnd"/>
      <w:r w:rsidRPr="00311762">
        <w:rPr>
          <w:bCs/>
          <w:sz w:val="27"/>
          <w:szCs w:val="27"/>
        </w:rPr>
        <w:t xml:space="preserve"> &amp; </w:t>
      </w:r>
      <w:proofErr w:type="spellStart"/>
      <w:r w:rsidRPr="00311762">
        <w:rPr>
          <w:bCs/>
          <w:sz w:val="27"/>
          <w:szCs w:val="27"/>
        </w:rPr>
        <w:t>Judinska</w:t>
      </w:r>
      <w:proofErr w:type="spellEnd"/>
      <w:r w:rsidRPr="00311762">
        <w:rPr>
          <w:bCs/>
          <w:sz w:val="27"/>
          <w:szCs w:val="27"/>
        </w:rPr>
        <w:t>”, pārstāvot vairāku Latvijas lombardu tīklu intereses, Latvijas Ātro kredītu devēju asociācija, kā arī vairākas nozaru uzņēmumu apvienības, kuru sniegtie viedokļi tika izvērtēti atbilstoši</w:t>
      </w:r>
      <w:r w:rsidRPr="00311762">
        <w:rPr>
          <w:sz w:val="27"/>
          <w:szCs w:val="27"/>
        </w:rPr>
        <w:t xml:space="preserve"> 2009.gada 7.aprīļa Ministru kabineta noteikumu Nr.300 "Ministru kabineta kārtības rullis" 92. un 96.punktā norādītajai kārtībai, uzaicinot iesniedzēju pārstāvjus piedalīties noteikumu projekta saskaņošanas procesā.</w:t>
      </w:r>
    </w:p>
    <w:p w:rsidR="00DC1736" w:rsidRPr="00311762" w:rsidRDefault="00532C73" w:rsidP="00E80DCB">
      <w:pPr>
        <w:keepNext/>
        <w:keepLines/>
        <w:rPr>
          <w:sz w:val="27"/>
          <w:szCs w:val="27"/>
        </w:rPr>
      </w:pPr>
      <w:r w:rsidRPr="00311762">
        <w:rPr>
          <w:sz w:val="27"/>
          <w:szCs w:val="27"/>
        </w:rPr>
        <w:tab/>
      </w:r>
      <w:r w:rsidR="00F10D39" w:rsidRPr="00311762">
        <w:rPr>
          <w:sz w:val="27"/>
          <w:szCs w:val="27"/>
        </w:rPr>
        <w:t>Ņemot vērā, ka Noteikumi stājās spēkā no š.g. 21.jūlija kopā ar grozījumiem Komerclikuma spēkā stāšanās kārtības likumā, šobrīd PTAC ir saņēmis tikai pirmos pieteikumus licences saņemšanai patērētāju kreditēšanas pakalpojumu sniegšanai.</w:t>
      </w:r>
      <w:r w:rsidR="00B05818" w:rsidRPr="00311762">
        <w:rPr>
          <w:sz w:val="27"/>
          <w:szCs w:val="27"/>
        </w:rPr>
        <w:t xml:space="preserve"> </w:t>
      </w:r>
    </w:p>
    <w:p w:rsidR="00DC1736" w:rsidRPr="00311762" w:rsidRDefault="00DC1736" w:rsidP="00E80DCB">
      <w:pPr>
        <w:keepNext/>
        <w:keepLines/>
        <w:rPr>
          <w:sz w:val="27"/>
          <w:szCs w:val="27"/>
        </w:rPr>
      </w:pPr>
    </w:p>
    <w:p w:rsidR="00DC1736" w:rsidRPr="00311762" w:rsidRDefault="00143CD1" w:rsidP="00E80DCB">
      <w:pPr>
        <w:keepNext/>
        <w:keepLines/>
        <w:rPr>
          <w:sz w:val="27"/>
          <w:szCs w:val="27"/>
        </w:rPr>
      </w:pPr>
      <w:r w:rsidRPr="00311762">
        <w:rPr>
          <w:sz w:val="27"/>
          <w:szCs w:val="27"/>
        </w:rPr>
        <w:t>Ar cieņu,</w:t>
      </w:r>
    </w:p>
    <w:p w:rsidR="00DC1736" w:rsidRPr="00311762" w:rsidRDefault="00DC1736" w:rsidP="00E80DCB">
      <w:pPr>
        <w:keepNext/>
        <w:keepLines/>
        <w:rPr>
          <w:sz w:val="27"/>
          <w:szCs w:val="27"/>
        </w:rPr>
      </w:pPr>
    </w:p>
    <w:p w:rsidR="00DC1736" w:rsidRPr="00311762" w:rsidRDefault="00143CD1" w:rsidP="00E80DCB">
      <w:pPr>
        <w:keepNext/>
        <w:keepLines/>
        <w:rPr>
          <w:sz w:val="27"/>
          <w:szCs w:val="27"/>
        </w:rPr>
      </w:pPr>
      <w:r w:rsidRPr="00311762">
        <w:rPr>
          <w:sz w:val="27"/>
          <w:szCs w:val="27"/>
        </w:rPr>
        <w:t>m</w:t>
      </w:r>
      <w:r w:rsidR="00DC1736" w:rsidRPr="00311762">
        <w:rPr>
          <w:sz w:val="27"/>
          <w:szCs w:val="27"/>
        </w:rPr>
        <w:t>inistru prezidents</w:t>
      </w:r>
      <w:r w:rsidR="00DC1736" w:rsidRPr="00311762">
        <w:rPr>
          <w:sz w:val="27"/>
          <w:szCs w:val="27"/>
        </w:rPr>
        <w:tab/>
      </w:r>
      <w:r w:rsidR="00DC1736" w:rsidRPr="00311762">
        <w:rPr>
          <w:sz w:val="27"/>
          <w:szCs w:val="27"/>
        </w:rPr>
        <w:tab/>
      </w:r>
      <w:r w:rsidR="00DC1736" w:rsidRPr="00311762">
        <w:rPr>
          <w:sz w:val="27"/>
          <w:szCs w:val="27"/>
        </w:rPr>
        <w:tab/>
      </w:r>
      <w:r w:rsidR="00DC1736" w:rsidRPr="00311762">
        <w:rPr>
          <w:sz w:val="27"/>
          <w:szCs w:val="27"/>
        </w:rPr>
        <w:tab/>
      </w:r>
      <w:r w:rsidR="00DC1736" w:rsidRPr="00311762">
        <w:rPr>
          <w:sz w:val="27"/>
          <w:szCs w:val="27"/>
        </w:rPr>
        <w:tab/>
      </w:r>
      <w:r w:rsidR="00DC1736" w:rsidRPr="00311762">
        <w:rPr>
          <w:sz w:val="27"/>
          <w:szCs w:val="27"/>
        </w:rPr>
        <w:tab/>
      </w:r>
      <w:r w:rsidRPr="00311762">
        <w:rPr>
          <w:sz w:val="27"/>
          <w:szCs w:val="27"/>
        </w:rPr>
        <w:tab/>
      </w:r>
      <w:proofErr w:type="spellStart"/>
      <w:r w:rsidR="00DC1736" w:rsidRPr="00311762">
        <w:rPr>
          <w:sz w:val="27"/>
          <w:szCs w:val="27"/>
        </w:rPr>
        <w:t>V.Dombrovskis</w:t>
      </w:r>
      <w:proofErr w:type="spellEnd"/>
    </w:p>
    <w:p w:rsidR="00311762" w:rsidRDefault="00311762" w:rsidP="00311762">
      <w:pPr>
        <w:spacing w:after="200" w:line="276" w:lineRule="auto"/>
        <w:jc w:val="left"/>
        <w:rPr>
          <w:sz w:val="27"/>
          <w:szCs w:val="27"/>
        </w:rPr>
      </w:pPr>
    </w:p>
    <w:p w:rsidR="00311762" w:rsidRPr="00311762" w:rsidRDefault="00311762" w:rsidP="00311762">
      <w:pPr>
        <w:spacing w:after="200" w:line="276" w:lineRule="auto"/>
        <w:jc w:val="left"/>
        <w:rPr>
          <w:sz w:val="27"/>
          <w:szCs w:val="27"/>
        </w:rPr>
      </w:pPr>
      <w:r w:rsidRPr="00311762">
        <w:rPr>
          <w:sz w:val="27"/>
          <w:szCs w:val="27"/>
        </w:rPr>
        <w:t>Iesniedzējs:</w:t>
      </w:r>
    </w:p>
    <w:p w:rsidR="00311762" w:rsidRPr="00311762" w:rsidRDefault="00311762" w:rsidP="00311762">
      <w:pPr>
        <w:pStyle w:val="Header"/>
        <w:tabs>
          <w:tab w:val="clear" w:pos="4153"/>
          <w:tab w:val="clear" w:pos="8306"/>
          <w:tab w:val="left" w:pos="6521"/>
          <w:tab w:val="right" w:pos="8647"/>
        </w:tabs>
        <w:ind w:right="-99"/>
        <w:rPr>
          <w:bCs/>
          <w:sz w:val="27"/>
          <w:szCs w:val="27"/>
        </w:rPr>
      </w:pPr>
      <w:r w:rsidRPr="00311762">
        <w:rPr>
          <w:bCs/>
          <w:sz w:val="27"/>
          <w:szCs w:val="27"/>
        </w:rPr>
        <w:t xml:space="preserve">Ekonomikas ministrs </w:t>
      </w:r>
      <w:r w:rsidRPr="00311762">
        <w:rPr>
          <w:bCs/>
          <w:sz w:val="27"/>
          <w:szCs w:val="27"/>
        </w:rPr>
        <w:tab/>
        <w:t>A.Kampars</w:t>
      </w:r>
    </w:p>
    <w:p w:rsidR="00311762" w:rsidRPr="00311762" w:rsidRDefault="00311762" w:rsidP="00311762">
      <w:pPr>
        <w:pStyle w:val="Header"/>
        <w:tabs>
          <w:tab w:val="clear" w:pos="4153"/>
          <w:tab w:val="clear" w:pos="8306"/>
          <w:tab w:val="right" w:pos="8280"/>
        </w:tabs>
        <w:ind w:right="-483"/>
        <w:rPr>
          <w:bCs/>
          <w:sz w:val="27"/>
          <w:szCs w:val="27"/>
        </w:rPr>
      </w:pPr>
    </w:p>
    <w:p w:rsidR="00311762" w:rsidRPr="00311762" w:rsidRDefault="00311762" w:rsidP="00311762">
      <w:pPr>
        <w:rPr>
          <w:bCs/>
          <w:sz w:val="27"/>
          <w:szCs w:val="27"/>
        </w:rPr>
      </w:pPr>
      <w:r w:rsidRPr="00311762">
        <w:rPr>
          <w:bCs/>
          <w:sz w:val="27"/>
          <w:szCs w:val="27"/>
        </w:rPr>
        <w:t xml:space="preserve">Vīza: </w:t>
      </w:r>
    </w:p>
    <w:p w:rsidR="00311762" w:rsidRPr="00311762" w:rsidRDefault="00311762" w:rsidP="00311762">
      <w:pPr>
        <w:rPr>
          <w:sz w:val="27"/>
          <w:szCs w:val="27"/>
        </w:rPr>
      </w:pPr>
      <w:r w:rsidRPr="00311762">
        <w:rPr>
          <w:sz w:val="27"/>
          <w:szCs w:val="27"/>
        </w:rPr>
        <w:t>Valsts sekretārs</w:t>
      </w:r>
      <w:r w:rsidRPr="00311762">
        <w:rPr>
          <w:sz w:val="27"/>
          <w:szCs w:val="27"/>
        </w:rPr>
        <w:tab/>
      </w:r>
      <w:r w:rsidRPr="00311762">
        <w:rPr>
          <w:sz w:val="27"/>
          <w:szCs w:val="27"/>
        </w:rPr>
        <w:tab/>
      </w:r>
      <w:r w:rsidRPr="00311762">
        <w:rPr>
          <w:sz w:val="27"/>
          <w:szCs w:val="27"/>
        </w:rPr>
        <w:tab/>
      </w:r>
      <w:r w:rsidRPr="00311762">
        <w:rPr>
          <w:sz w:val="27"/>
          <w:szCs w:val="27"/>
        </w:rPr>
        <w:tab/>
      </w:r>
      <w:r w:rsidRPr="00311762">
        <w:rPr>
          <w:sz w:val="27"/>
          <w:szCs w:val="27"/>
        </w:rPr>
        <w:tab/>
      </w:r>
      <w:r w:rsidRPr="00311762">
        <w:rPr>
          <w:sz w:val="27"/>
          <w:szCs w:val="27"/>
        </w:rPr>
        <w:tab/>
      </w:r>
      <w:r w:rsidRPr="00311762">
        <w:rPr>
          <w:sz w:val="27"/>
          <w:szCs w:val="27"/>
        </w:rPr>
        <w:tab/>
        <w:t>J.Pūce</w:t>
      </w:r>
      <w:r w:rsidRPr="00311762">
        <w:rPr>
          <w:color w:val="000000"/>
          <w:sz w:val="27"/>
          <w:szCs w:val="27"/>
        </w:rPr>
        <w:t xml:space="preserve">         </w:t>
      </w:r>
    </w:p>
    <w:p w:rsidR="00DC1736" w:rsidRPr="00AC6689" w:rsidRDefault="00DC1736" w:rsidP="00E80DCB">
      <w:pPr>
        <w:keepNext/>
        <w:keepLines/>
        <w:rPr>
          <w:sz w:val="28"/>
          <w:szCs w:val="28"/>
        </w:rPr>
      </w:pPr>
    </w:p>
    <w:p w:rsidR="00DC1736" w:rsidRDefault="00DC1736" w:rsidP="00E80DCB">
      <w:pPr>
        <w:pStyle w:val="Header"/>
        <w:tabs>
          <w:tab w:val="clear" w:pos="4153"/>
          <w:tab w:val="clear" w:pos="8306"/>
        </w:tabs>
        <w:rPr>
          <w:sz w:val="20"/>
        </w:rPr>
      </w:pPr>
    </w:p>
    <w:p w:rsidR="00E80DCB" w:rsidRPr="00E80DCB" w:rsidRDefault="00E80DCB" w:rsidP="00E80DCB">
      <w:pPr>
        <w:pStyle w:val="Header"/>
        <w:tabs>
          <w:tab w:val="clear" w:pos="4153"/>
          <w:tab w:val="clear" w:pos="8306"/>
        </w:tabs>
        <w:rPr>
          <w:sz w:val="20"/>
        </w:rPr>
      </w:pPr>
    </w:p>
    <w:p w:rsidR="00DC1736" w:rsidRPr="00E80DCB" w:rsidRDefault="00EB226B" w:rsidP="00E80DCB">
      <w:pPr>
        <w:rPr>
          <w:sz w:val="20"/>
        </w:rPr>
      </w:pPr>
      <w:r w:rsidRPr="00E80DCB">
        <w:rPr>
          <w:sz w:val="20"/>
        </w:rPr>
        <w:t>26.08</w:t>
      </w:r>
      <w:r w:rsidR="00311762">
        <w:rPr>
          <w:sz w:val="20"/>
        </w:rPr>
        <w:t>.2011. 16:</w:t>
      </w:r>
      <w:r w:rsidR="00C41C5A">
        <w:rPr>
          <w:sz w:val="20"/>
        </w:rPr>
        <w:t>26</w:t>
      </w:r>
    </w:p>
    <w:bookmarkStart w:id="1" w:name="OLE_LINK3"/>
    <w:bookmarkStart w:id="2" w:name="OLE_LINK4"/>
    <w:p w:rsidR="00E80DCB" w:rsidRDefault="009E10D6" w:rsidP="00E80DCB">
      <w:pPr>
        <w:rPr>
          <w:sz w:val="20"/>
        </w:rPr>
      </w:pPr>
      <w:r>
        <w:rPr>
          <w:sz w:val="20"/>
        </w:rPr>
        <w:fldChar w:fldCharType="begin"/>
      </w:r>
      <w:r w:rsidR="00E80DCB">
        <w:rPr>
          <w:sz w:val="20"/>
        </w:rPr>
        <w:instrText xml:space="preserve"> NUMWORDS   \* MERGEFORMAT </w:instrText>
      </w:r>
      <w:r>
        <w:rPr>
          <w:sz w:val="20"/>
        </w:rPr>
        <w:fldChar w:fldCharType="separate"/>
      </w:r>
      <w:r w:rsidR="00C41C5A">
        <w:rPr>
          <w:noProof/>
          <w:sz w:val="20"/>
        </w:rPr>
        <w:t>2694</w:t>
      </w:r>
      <w:r>
        <w:rPr>
          <w:sz w:val="20"/>
        </w:rPr>
        <w:fldChar w:fldCharType="end"/>
      </w:r>
    </w:p>
    <w:p w:rsidR="00DC1736" w:rsidRPr="00E80DCB" w:rsidRDefault="00EB226B" w:rsidP="00E80DCB">
      <w:pPr>
        <w:rPr>
          <w:sz w:val="20"/>
        </w:rPr>
      </w:pPr>
      <w:r w:rsidRPr="00E80DCB">
        <w:rPr>
          <w:sz w:val="20"/>
        </w:rPr>
        <w:t>L.Duntava</w:t>
      </w:r>
      <w:r w:rsidR="00DC1736" w:rsidRPr="00E80DCB">
        <w:rPr>
          <w:sz w:val="20"/>
        </w:rPr>
        <w:t xml:space="preserve">, </w:t>
      </w:r>
      <w:bookmarkStart w:id="3" w:name="OLE_LINK1"/>
      <w:bookmarkStart w:id="4" w:name="OLE_LINK2"/>
      <w:r w:rsidR="00DC1736" w:rsidRPr="00E80DCB">
        <w:rPr>
          <w:sz w:val="20"/>
        </w:rPr>
        <w:t>670</w:t>
      </w:r>
      <w:r w:rsidRPr="00E80DCB">
        <w:rPr>
          <w:sz w:val="20"/>
        </w:rPr>
        <w:t>1</w:t>
      </w:r>
      <w:r w:rsidR="00DC1736" w:rsidRPr="00E80DCB">
        <w:rPr>
          <w:sz w:val="20"/>
        </w:rPr>
        <w:t>3</w:t>
      </w:r>
      <w:r w:rsidRPr="00E80DCB">
        <w:rPr>
          <w:sz w:val="20"/>
        </w:rPr>
        <w:t>213</w:t>
      </w:r>
    </w:p>
    <w:p w:rsidR="004A4E71" w:rsidRPr="00E80DCB" w:rsidRDefault="009E10D6" w:rsidP="00E80DCB">
      <w:pPr>
        <w:rPr>
          <w:sz w:val="20"/>
        </w:rPr>
      </w:pPr>
      <w:hyperlink r:id="rId7" w:history="1">
        <w:r w:rsidR="00EB226B" w:rsidRPr="00E80DCB">
          <w:rPr>
            <w:rStyle w:val="Hyperlink"/>
            <w:sz w:val="20"/>
          </w:rPr>
          <w:t>Linda.Duntava@em.gov.lv</w:t>
        </w:r>
      </w:hyperlink>
      <w:bookmarkEnd w:id="1"/>
      <w:bookmarkEnd w:id="2"/>
      <w:bookmarkEnd w:id="3"/>
      <w:bookmarkEnd w:id="4"/>
    </w:p>
    <w:sectPr w:rsidR="004A4E71" w:rsidRPr="00E80DCB" w:rsidSect="00AC6689">
      <w:headerReference w:type="default" r:id="rId8"/>
      <w:footerReference w:type="default" r:id="rId9"/>
      <w:pgSz w:w="11906" w:h="16838"/>
      <w:pgMar w:top="1418"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2B0" w:rsidRDefault="007232B0" w:rsidP="00DC1736">
      <w:r>
        <w:separator/>
      </w:r>
    </w:p>
  </w:endnote>
  <w:endnote w:type="continuationSeparator" w:id="0">
    <w:p w:rsidR="007232B0" w:rsidRDefault="007232B0" w:rsidP="00DC17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689" w:rsidRPr="00AC6689" w:rsidRDefault="00E80DCB">
    <w:pPr>
      <w:pStyle w:val="Footer"/>
      <w:rPr>
        <w:sz w:val="20"/>
      </w:rPr>
    </w:pPr>
    <w:r>
      <w:rPr>
        <w:sz w:val="20"/>
      </w:rPr>
      <w:t>EMI</w:t>
    </w:r>
    <w:r w:rsidRPr="001C182E">
      <w:rPr>
        <w:sz w:val="20"/>
      </w:rPr>
      <w:t>nf_</w:t>
    </w:r>
    <w:r>
      <w:rPr>
        <w:sz w:val="20"/>
      </w:rPr>
      <w:t>260811</w:t>
    </w:r>
    <w:r w:rsidRPr="001C182E">
      <w:rPr>
        <w:sz w:val="20"/>
      </w:rPr>
      <w:t>_</w:t>
    </w:r>
    <w:r>
      <w:rPr>
        <w:sz w:val="20"/>
      </w:rPr>
      <w:t>Saeimai_nebankas</w:t>
    </w:r>
    <w:r w:rsidRPr="001C182E">
      <w:rPr>
        <w:sz w:val="20"/>
      </w:rPr>
      <w:t xml:space="preserve">; </w:t>
    </w:r>
    <w:bookmarkStart w:id="5" w:name="OLE_LINK5"/>
    <w:bookmarkStart w:id="6" w:name="OLE_LINK6"/>
    <w:r w:rsidRPr="00AC6689">
      <w:rPr>
        <w:sz w:val="20"/>
      </w:rPr>
      <w:t>Par uzņēmēju, kas sniedz „ātrās kreditēšanas” pakalpojumus, plānoto uzraudzību</w:t>
    </w:r>
    <w:bookmarkEnd w:id="5"/>
    <w:bookmarkEnd w:id="6"/>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2B0" w:rsidRDefault="007232B0" w:rsidP="00DC1736">
      <w:r>
        <w:separator/>
      </w:r>
    </w:p>
  </w:footnote>
  <w:footnote w:type="continuationSeparator" w:id="0">
    <w:p w:rsidR="007232B0" w:rsidRDefault="007232B0" w:rsidP="00DC1736">
      <w:r>
        <w:continuationSeparator/>
      </w:r>
    </w:p>
  </w:footnote>
  <w:footnote w:id="1">
    <w:p w:rsidR="00AC6689" w:rsidRPr="00A75BB5" w:rsidRDefault="00AC6689">
      <w:pPr>
        <w:pStyle w:val="FootnoteText"/>
        <w:rPr>
          <w:sz w:val="22"/>
          <w:szCs w:val="22"/>
        </w:rPr>
      </w:pPr>
      <w:r w:rsidRPr="00A75BB5">
        <w:rPr>
          <w:rStyle w:val="FootnoteReference"/>
          <w:sz w:val="22"/>
          <w:szCs w:val="22"/>
        </w:rPr>
        <w:footnoteRef/>
      </w:r>
      <w:r w:rsidRPr="00A75BB5">
        <w:rPr>
          <w:sz w:val="22"/>
          <w:szCs w:val="22"/>
        </w:rPr>
        <w:t xml:space="preserve"> Par </w:t>
      </w:r>
      <w:proofErr w:type="spellStart"/>
      <w:r w:rsidRPr="00A75BB5">
        <w:rPr>
          <w:sz w:val="22"/>
          <w:szCs w:val="22"/>
        </w:rPr>
        <w:t>nebanku</w:t>
      </w:r>
      <w:proofErr w:type="spellEnd"/>
      <w:r w:rsidRPr="00A75BB5">
        <w:rPr>
          <w:sz w:val="22"/>
          <w:szCs w:val="22"/>
        </w:rPr>
        <w:t xml:space="preserve"> pakalpojumu sniedzējiem šī atbildes raksta un izstrādātā tiesiskā regulējuma kontekstā ir uzskatāmi </w:t>
      </w:r>
      <w:r w:rsidRPr="00A75BB5">
        <w:rPr>
          <w:bCs/>
          <w:sz w:val="22"/>
          <w:szCs w:val="22"/>
        </w:rPr>
        <w:t>komersanti, kas nav uzskatāmi par kredītiestādi saskaņā ar normatīvajos aktos par kredītiestāžu darbības uzraudzību noteikto.</w:t>
      </w:r>
    </w:p>
  </w:footnote>
  <w:footnote w:id="2">
    <w:p w:rsidR="00AC6689" w:rsidRDefault="00AC6689">
      <w:pPr>
        <w:pStyle w:val="FootnoteText"/>
      </w:pPr>
      <w:r>
        <w:rPr>
          <w:rStyle w:val="FootnoteReference"/>
        </w:rPr>
        <w:footnoteRef/>
      </w:r>
      <w:r>
        <w:t xml:space="preserve"> Saskaņā ar CSP pieejamajiem datiem.</w:t>
      </w:r>
    </w:p>
  </w:footnote>
  <w:footnote w:id="3">
    <w:p w:rsidR="00AC6689" w:rsidRDefault="00AC6689">
      <w:pPr>
        <w:pStyle w:val="FootnoteText"/>
      </w:pPr>
      <w:r w:rsidRPr="00A75BB5">
        <w:rPr>
          <w:rStyle w:val="FootnoteReference"/>
          <w:sz w:val="22"/>
          <w:szCs w:val="22"/>
        </w:rPr>
        <w:footnoteRef/>
      </w:r>
      <w:r w:rsidRPr="00A75BB5">
        <w:rPr>
          <w:sz w:val="22"/>
          <w:szCs w:val="22"/>
        </w:rPr>
        <w:t xml:space="preserve"> </w:t>
      </w:r>
      <w:hyperlink r:id="rId1" w:history="1">
        <w:r w:rsidRPr="00A75BB5">
          <w:rPr>
            <w:rStyle w:val="Hyperlink"/>
            <w:sz w:val="22"/>
            <w:szCs w:val="22"/>
          </w:rPr>
          <w:t>http://www.mk.gov.lv/lv/mk/tap/?pid=40135739&amp;mode=mk&amp;date=2010-01-12</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20069816"/>
      <w:docPartObj>
        <w:docPartGallery w:val="Page Numbers (Top of Page)"/>
        <w:docPartUnique/>
      </w:docPartObj>
    </w:sdtPr>
    <w:sdtContent>
      <w:p w:rsidR="00AC6689" w:rsidRPr="00DC1736" w:rsidRDefault="009E10D6">
        <w:pPr>
          <w:pStyle w:val="Header"/>
          <w:jc w:val="center"/>
          <w:rPr>
            <w:sz w:val="20"/>
          </w:rPr>
        </w:pPr>
        <w:r w:rsidRPr="00DC1736">
          <w:rPr>
            <w:sz w:val="20"/>
          </w:rPr>
          <w:fldChar w:fldCharType="begin"/>
        </w:r>
        <w:r w:rsidR="00AC6689" w:rsidRPr="00DC1736">
          <w:rPr>
            <w:sz w:val="20"/>
          </w:rPr>
          <w:instrText xml:space="preserve"> PAGE   \* MERGEFORMAT </w:instrText>
        </w:r>
        <w:r w:rsidRPr="00DC1736">
          <w:rPr>
            <w:sz w:val="20"/>
          </w:rPr>
          <w:fldChar w:fldCharType="separate"/>
        </w:r>
        <w:r w:rsidR="00C41C5A">
          <w:rPr>
            <w:noProof/>
            <w:sz w:val="20"/>
          </w:rPr>
          <w:t>8</w:t>
        </w:r>
        <w:r w:rsidRPr="00DC1736">
          <w:rPr>
            <w:sz w:val="20"/>
          </w:rPr>
          <w:fldChar w:fldCharType="end"/>
        </w:r>
      </w:p>
    </w:sdtContent>
  </w:sdt>
  <w:p w:rsidR="00AC6689" w:rsidRDefault="00AC668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C1736"/>
    <w:rsid w:val="0008616D"/>
    <w:rsid w:val="00143CD1"/>
    <w:rsid w:val="001A6DE7"/>
    <w:rsid w:val="00216A88"/>
    <w:rsid w:val="0027284F"/>
    <w:rsid w:val="002B4FEC"/>
    <w:rsid w:val="002F271C"/>
    <w:rsid w:val="00311762"/>
    <w:rsid w:val="004A4E71"/>
    <w:rsid w:val="00532C73"/>
    <w:rsid w:val="007232B0"/>
    <w:rsid w:val="008C0118"/>
    <w:rsid w:val="009E10D6"/>
    <w:rsid w:val="00A57011"/>
    <w:rsid w:val="00A75BB5"/>
    <w:rsid w:val="00AC6689"/>
    <w:rsid w:val="00B05818"/>
    <w:rsid w:val="00B57976"/>
    <w:rsid w:val="00BC0F07"/>
    <w:rsid w:val="00C41C5A"/>
    <w:rsid w:val="00CD301D"/>
    <w:rsid w:val="00DC1736"/>
    <w:rsid w:val="00DF2B66"/>
    <w:rsid w:val="00E574A4"/>
    <w:rsid w:val="00E80DCB"/>
    <w:rsid w:val="00EA658F"/>
    <w:rsid w:val="00EB226B"/>
    <w:rsid w:val="00F10D39"/>
    <w:rsid w:val="00F2615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736"/>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1736"/>
    <w:rPr>
      <w:color w:val="0000FF"/>
      <w:u w:val="single"/>
    </w:rPr>
  </w:style>
  <w:style w:type="paragraph" w:styleId="Header">
    <w:name w:val="header"/>
    <w:basedOn w:val="Normal"/>
    <w:link w:val="HeaderChar"/>
    <w:uiPriority w:val="99"/>
    <w:unhideWhenUsed/>
    <w:rsid w:val="00DC1736"/>
    <w:pPr>
      <w:tabs>
        <w:tab w:val="center" w:pos="4153"/>
        <w:tab w:val="right" w:pos="8306"/>
      </w:tabs>
    </w:pPr>
  </w:style>
  <w:style w:type="character" w:customStyle="1" w:styleId="HeaderChar">
    <w:name w:val="Header Char"/>
    <w:basedOn w:val="DefaultParagraphFont"/>
    <w:link w:val="Header"/>
    <w:uiPriority w:val="99"/>
    <w:rsid w:val="00DC1736"/>
    <w:rPr>
      <w:rFonts w:ascii="Times New Roman" w:eastAsia="Times New Roman" w:hAnsi="Times New Roman" w:cs="Times New Roman"/>
      <w:sz w:val="24"/>
      <w:szCs w:val="20"/>
    </w:rPr>
  </w:style>
  <w:style w:type="paragraph" w:styleId="Footer">
    <w:name w:val="footer"/>
    <w:basedOn w:val="Normal"/>
    <w:link w:val="FooterChar"/>
    <w:unhideWhenUsed/>
    <w:rsid w:val="00DC1736"/>
    <w:pPr>
      <w:tabs>
        <w:tab w:val="center" w:pos="4153"/>
        <w:tab w:val="right" w:pos="8306"/>
      </w:tabs>
    </w:pPr>
  </w:style>
  <w:style w:type="character" w:customStyle="1" w:styleId="FooterChar">
    <w:name w:val="Footer Char"/>
    <w:basedOn w:val="DefaultParagraphFont"/>
    <w:link w:val="Footer"/>
    <w:rsid w:val="00DC173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DC1736"/>
    <w:rPr>
      <w:rFonts w:ascii="Tahoma" w:hAnsi="Tahoma" w:cs="Tahoma"/>
      <w:sz w:val="16"/>
      <w:szCs w:val="16"/>
    </w:rPr>
  </w:style>
  <w:style w:type="character" w:customStyle="1" w:styleId="BalloonTextChar">
    <w:name w:val="Balloon Text Char"/>
    <w:basedOn w:val="DefaultParagraphFont"/>
    <w:link w:val="BalloonText"/>
    <w:uiPriority w:val="99"/>
    <w:semiHidden/>
    <w:rsid w:val="00DC1736"/>
    <w:rPr>
      <w:rFonts w:ascii="Tahoma" w:eastAsia="Times New Roman" w:hAnsi="Tahoma" w:cs="Tahoma"/>
      <w:sz w:val="16"/>
      <w:szCs w:val="16"/>
    </w:rPr>
  </w:style>
  <w:style w:type="paragraph" w:customStyle="1" w:styleId="naisf">
    <w:name w:val="naisf"/>
    <w:basedOn w:val="Normal"/>
    <w:rsid w:val="00B57976"/>
    <w:pPr>
      <w:spacing w:before="75" w:after="75"/>
      <w:ind w:firstLine="375"/>
    </w:pPr>
    <w:rPr>
      <w:szCs w:val="24"/>
      <w:lang w:eastAsia="lv-LV"/>
    </w:rPr>
  </w:style>
  <w:style w:type="character" w:styleId="CommentReference">
    <w:name w:val="annotation reference"/>
    <w:basedOn w:val="DefaultParagraphFont"/>
    <w:uiPriority w:val="99"/>
    <w:semiHidden/>
    <w:rsid w:val="00EA658F"/>
    <w:rPr>
      <w:sz w:val="16"/>
      <w:szCs w:val="16"/>
    </w:rPr>
  </w:style>
  <w:style w:type="paragraph" w:styleId="BodyText">
    <w:name w:val="Body Text"/>
    <w:basedOn w:val="Normal"/>
    <w:link w:val="BodyTextChar"/>
    <w:unhideWhenUsed/>
    <w:rsid w:val="00A57011"/>
    <w:pPr>
      <w:spacing w:after="120"/>
      <w:jc w:val="left"/>
    </w:pPr>
    <w:rPr>
      <w:szCs w:val="24"/>
      <w:lang w:val="en-GB"/>
    </w:rPr>
  </w:style>
  <w:style w:type="character" w:customStyle="1" w:styleId="BodyTextChar">
    <w:name w:val="Body Text Char"/>
    <w:basedOn w:val="DefaultParagraphFont"/>
    <w:link w:val="BodyText"/>
    <w:rsid w:val="00A57011"/>
    <w:rPr>
      <w:rFonts w:ascii="Times New Roman" w:eastAsia="Times New Roman" w:hAnsi="Times New Roman" w:cs="Times New Roman"/>
      <w:sz w:val="24"/>
      <w:szCs w:val="24"/>
      <w:lang w:val="en-GB"/>
    </w:rPr>
  </w:style>
  <w:style w:type="paragraph" w:styleId="FootnoteText">
    <w:name w:val="footnote text"/>
    <w:basedOn w:val="Normal"/>
    <w:link w:val="FootnoteTextChar"/>
    <w:uiPriority w:val="99"/>
    <w:semiHidden/>
    <w:unhideWhenUsed/>
    <w:rsid w:val="00BC0F07"/>
    <w:rPr>
      <w:sz w:val="20"/>
    </w:rPr>
  </w:style>
  <w:style w:type="character" w:customStyle="1" w:styleId="FootnoteTextChar">
    <w:name w:val="Footnote Text Char"/>
    <w:basedOn w:val="DefaultParagraphFont"/>
    <w:link w:val="FootnoteText"/>
    <w:uiPriority w:val="99"/>
    <w:semiHidden/>
    <w:rsid w:val="00BC0F0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C0F07"/>
    <w:rPr>
      <w:vertAlign w:val="superscript"/>
    </w:rPr>
  </w:style>
  <w:style w:type="paragraph" w:customStyle="1" w:styleId="naiskr">
    <w:name w:val="naiskr"/>
    <w:basedOn w:val="Normal"/>
    <w:rsid w:val="00F10D39"/>
    <w:pPr>
      <w:spacing w:before="75" w:after="75"/>
      <w:jc w:val="left"/>
    </w:pPr>
    <w:rPr>
      <w:szCs w:val="24"/>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nda.Duntava@em.gov.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mk.gov.lv/lv/mk/tap/?pid=40135739&amp;mode=mk&amp;date=2010-01-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8B21B-3DFA-4D69-816D-4403B5A91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8</Pages>
  <Words>2710</Words>
  <Characters>19736</Characters>
  <Application>Microsoft Office Word</Application>
  <DocSecurity>0</DocSecurity>
  <Lines>340</Lines>
  <Paragraphs>54</Paragraphs>
  <ScaleCrop>false</ScaleCrop>
  <HeadingPairs>
    <vt:vector size="2" baseType="variant">
      <vt:variant>
        <vt:lpstr>Title</vt:lpstr>
      </vt:variant>
      <vt:variant>
        <vt:i4>1</vt:i4>
      </vt:variant>
    </vt:vector>
  </HeadingPairs>
  <TitlesOfParts>
    <vt:vector size="1" baseType="lpstr">
      <vt:lpstr/>
    </vt:vector>
  </TitlesOfParts>
  <Company>LR Ekonomikas ministrija</Company>
  <LinksUpToDate>false</LinksUpToDate>
  <CharactersWithSpaces>22392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uzņēmēju, kas sniedz „ātrās kreditēšanas” pakalpojumus, plānoto uzraudzību</dc:title>
  <dc:subject>Atbildes raksts</dc:subject>
  <dc:creator>Linda Duntava</dc:creator>
  <cp:keywords/>
  <dc:description>67013213, Linda.Duntava@em.gov.lv</dc:description>
  <cp:lastModifiedBy>Linda Duntava</cp:lastModifiedBy>
  <cp:revision>10</cp:revision>
  <dcterms:created xsi:type="dcterms:W3CDTF">2011-08-25T11:00:00Z</dcterms:created>
  <dcterms:modified xsi:type="dcterms:W3CDTF">2011-08-26T13:26:00Z</dcterms:modified>
</cp:coreProperties>
</file>