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B5" w:rsidRPr="00D54D2A" w:rsidRDefault="00EB15B5" w:rsidP="002B55B7">
      <w:pPr>
        <w:tabs>
          <w:tab w:val="left" w:pos="8647"/>
        </w:tabs>
        <w:spacing w:after="0" w:line="240" w:lineRule="auto"/>
        <w:jc w:val="center"/>
        <w:rPr>
          <w:rFonts w:ascii="Times New Roman" w:hAnsi="Times New Roman" w:cs="Times New Roman"/>
          <w:sz w:val="26"/>
          <w:szCs w:val="26"/>
        </w:rPr>
      </w:pPr>
      <w:r w:rsidRPr="00D54D2A">
        <w:rPr>
          <w:rFonts w:ascii="Times New Roman" w:hAnsi="Times New Roman" w:cs="Times New Roman"/>
          <w:sz w:val="26"/>
          <w:szCs w:val="26"/>
        </w:rPr>
        <w:t>INFORMĀCIJA PAR EKSPORTA VEICINĀŠANU LATVIJĀ</w:t>
      </w:r>
    </w:p>
    <w:p w:rsidR="00D54D2A" w:rsidRDefault="00D54D2A" w:rsidP="002B55B7">
      <w:pPr>
        <w:tabs>
          <w:tab w:val="left" w:pos="8647"/>
        </w:tabs>
        <w:spacing w:after="0" w:line="240" w:lineRule="auto"/>
        <w:jc w:val="center"/>
        <w:rPr>
          <w:rFonts w:ascii="Times New Roman" w:hAnsi="Times New Roman" w:cs="Times New Roman"/>
          <w:b/>
          <w:sz w:val="26"/>
          <w:szCs w:val="26"/>
        </w:rPr>
      </w:pPr>
    </w:p>
    <w:p w:rsidR="005C7207" w:rsidRPr="004C3887" w:rsidRDefault="00EB15B5" w:rsidP="0035105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I.  </w:t>
      </w:r>
      <w:r w:rsidR="005C7207" w:rsidRPr="004C3887">
        <w:rPr>
          <w:rFonts w:ascii="Times New Roman" w:hAnsi="Times New Roman" w:cs="Times New Roman"/>
          <w:b/>
          <w:sz w:val="26"/>
          <w:szCs w:val="26"/>
        </w:rPr>
        <w:t>Informācija par Latvijas preču un pakalpojumu eksporta veicināšanas un ārvalstu investīciju piesaistes pasākumu plānu 2011.gadam</w:t>
      </w:r>
    </w:p>
    <w:p w:rsidR="00FB5D7B" w:rsidRDefault="00FB5D7B" w:rsidP="002B55B7">
      <w:pPr>
        <w:tabs>
          <w:tab w:val="left" w:pos="8647"/>
        </w:tabs>
        <w:spacing w:after="0" w:line="240" w:lineRule="auto"/>
        <w:rPr>
          <w:rFonts w:ascii="Times New Roman" w:hAnsi="Times New Roman" w:cs="Times New Roman"/>
          <w:b/>
          <w:sz w:val="26"/>
          <w:szCs w:val="26"/>
        </w:rPr>
      </w:pPr>
    </w:p>
    <w:p w:rsidR="00C078B0" w:rsidRPr="00B907AC" w:rsidRDefault="00615113" w:rsidP="00C078B0">
      <w:pPr>
        <w:pStyle w:val="ListParagraph"/>
        <w:numPr>
          <w:ilvl w:val="0"/>
          <w:numId w:val="42"/>
        </w:numPr>
        <w:tabs>
          <w:tab w:val="left" w:pos="284"/>
        </w:tabs>
        <w:spacing w:after="60" w:line="240" w:lineRule="auto"/>
        <w:jc w:val="both"/>
        <w:rPr>
          <w:rFonts w:ascii="Times New Roman" w:hAnsi="Times New Roman" w:cs="Times New Roman"/>
          <w:sz w:val="26"/>
          <w:szCs w:val="26"/>
        </w:rPr>
      </w:pPr>
      <w:r w:rsidRPr="003A7B8D">
        <w:rPr>
          <w:rFonts w:ascii="Times New Roman" w:hAnsi="Times New Roman" w:cs="Times New Roman"/>
          <w:b/>
          <w:sz w:val="26"/>
          <w:szCs w:val="26"/>
        </w:rPr>
        <w:t>Kāda ir valsts politika eksporta veicināšanas jomā – mērķi, galvenās eksporta nozares, eksportējamās preces, pakalpojumi, valstis</w:t>
      </w:r>
      <w:r w:rsidR="007013E3" w:rsidRPr="003A7B8D">
        <w:rPr>
          <w:rFonts w:ascii="Times New Roman" w:hAnsi="Times New Roman" w:cs="Times New Roman"/>
          <w:b/>
          <w:sz w:val="26"/>
          <w:szCs w:val="26"/>
        </w:rPr>
        <w:t>.</w:t>
      </w:r>
      <w:r w:rsidR="008D2FD5" w:rsidRPr="003A7B8D">
        <w:rPr>
          <w:rFonts w:ascii="Times New Roman" w:hAnsi="Times New Roman" w:cs="Times New Roman"/>
          <w:b/>
          <w:sz w:val="26"/>
          <w:szCs w:val="26"/>
        </w:rPr>
        <w:t xml:space="preserve"> </w:t>
      </w:r>
    </w:p>
    <w:p w:rsidR="00BF792E" w:rsidRDefault="00BF792E" w:rsidP="00BF792E">
      <w:pPr>
        <w:spacing w:after="60" w:line="240" w:lineRule="auto"/>
        <w:jc w:val="both"/>
        <w:rPr>
          <w:rFonts w:ascii="Times New Roman" w:hAnsi="Times New Roman" w:cs="Times New Roman"/>
          <w:sz w:val="26"/>
          <w:szCs w:val="26"/>
        </w:rPr>
      </w:pPr>
    </w:p>
    <w:p w:rsidR="00B907AC" w:rsidRDefault="00BF792E" w:rsidP="00BF792E">
      <w:pPr>
        <w:spacing w:after="60" w:line="240" w:lineRule="auto"/>
        <w:ind w:firstLine="360"/>
        <w:jc w:val="both"/>
        <w:rPr>
          <w:rFonts w:ascii="Times New Roman" w:hAnsi="Times New Roman" w:cs="Times New Roman"/>
          <w:sz w:val="26"/>
          <w:szCs w:val="26"/>
        </w:rPr>
      </w:pPr>
      <w:r w:rsidRPr="00BF792E">
        <w:rPr>
          <w:rFonts w:ascii="Times New Roman" w:hAnsi="Times New Roman" w:cs="Times New Roman"/>
          <w:sz w:val="26"/>
          <w:szCs w:val="26"/>
        </w:rPr>
        <w:t xml:space="preserve">Lai nodrošinātu stabilu tautsaimniecības izaugsmi, eksporta </w:t>
      </w:r>
      <w:r>
        <w:rPr>
          <w:rFonts w:ascii="Times New Roman" w:hAnsi="Times New Roman" w:cs="Times New Roman"/>
          <w:sz w:val="26"/>
          <w:szCs w:val="26"/>
        </w:rPr>
        <w:t xml:space="preserve">veicināšanas politikas mērķis ir </w:t>
      </w:r>
      <w:r w:rsidRPr="00BF792E">
        <w:rPr>
          <w:rFonts w:ascii="Times New Roman" w:hAnsi="Times New Roman" w:cs="Times New Roman"/>
          <w:sz w:val="26"/>
          <w:szCs w:val="26"/>
        </w:rPr>
        <w:t>diversificēt un palielināt Latvijas preču un pakalpojumu eksportu, sekmēt preču un pakalpojumu ar augstu pievienoto vērtību īpatsva</w:t>
      </w:r>
      <w:r w:rsidR="00EA2BED">
        <w:rPr>
          <w:rFonts w:ascii="Times New Roman" w:hAnsi="Times New Roman" w:cs="Times New Roman"/>
          <w:sz w:val="26"/>
          <w:szCs w:val="26"/>
        </w:rPr>
        <w:t>ra pieaugumu eksportā, nodrošinā</w:t>
      </w:r>
      <w:r w:rsidRPr="00BF792E">
        <w:rPr>
          <w:rFonts w:ascii="Times New Roman" w:hAnsi="Times New Roman" w:cs="Times New Roman"/>
          <w:sz w:val="26"/>
          <w:szCs w:val="26"/>
        </w:rPr>
        <w:t xml:space="preserve">t eksporta apjoma pieaugumu vismaz 6% apjomā pret iepriekšējo gadu. </w:t>
      </w:r>
    </w:p>
    <w:p w:rsidR="00615113" w:rsidRPr="00890A4E" w:rsidRDefault="00615113" w:rsidP="00351055">
      <w:pPr>
        <w:spacing w:after="60" w:line="240" w:lineRule="auto"/>
        <w:ind w:firstLine="567"/>
        <w:jc w:val="both"/>
        <w:rPr>
          <w:rFonts w:ascii="Times New Roman" w:hAnsi="Times New Roman" w:cs="Times New Roman"/>
          <w:color w:val="000000"/>
          <w:sz w:val="26"/>
          <w:szCs w:val="26"/>
        </w:rPr>
      </w:pPr>
      <w:r w:rsidRPr="009E1083">
        <w:rPr>
          <w:rFonts w:ascii="Times New Roman" w:hAnsi="Times New Roman" w:cs="Times New Roman"/>
          <w:color w:val="000000"/>
          <w:sz w:val="26"/>
          <w:szCs w:val="26"/>
        </w:rPr>
        <w:t>Preču un pakalpojumu eksports</w:t>
      </w:r>
      <w:r w:rsidRPr="00890A4E">
        <w:rPr>
          <w:rFonts w:ascii="Times New Roman" w:hAnsi="Times New Roman" w:cs="Times New Roman"/>
          <w:color w:val="000000"/>
          <w:sz w:val="26"/>
          <w:szCs w:val="26"/>
        </w:rPr>
        <w:t xml:space="preserve"> 2010.gadā bija </w:t>
      </w:r>
      <w:r w:rsidRPr="00890A4E">
        <w:rPr>
          <w:rFonts w:ascii="Times New Roman" w:hAnsi="Times New Roman" w:cs="Times New Roman"/>
          <w:bCs/>
          <w:color w:val="000000"/>
          <w:sz w:val="26"/>
          <w:szCs w:val="26"/>
        </w:rPr>
        <w:t xml:space="preserve">6696 </w:t>
      </w:r>
      <w:r>
        <w:rPr>
          <w:rFonts w:ascii="Times New Roman" w:hAnsi="Times New Roman" w:cs="Times New Roman"/>
          <w:bCs/>
          <w:color w:val="000000"/>
          <w:sz w:val="26"/>
          <w:szCs w:val="26"/>
        </w:rPr>
        <w:t>milj</w:t>
      </w:r>
      <w:r w:rsidRPr="00890A4E">
        <w:rPr>
          <w:rFonts w:ascii="Times New Roman" w:hAnsi="Times New Roman" w:cs="Times New Roman"/>
          <w:color w:val="000000"/>
          <w:sz w:val="26"/>
          <w:szCs w:val="26"/>
        </w:rPr>
        <w:t xml:space="preserve">. LVL, imports </w:t>
      </w:r>
      <w:r w:rsidRPr="00890A4E">
        <w:rPr>
          <w:rFonts w:ascii="Times New Roman" w:hAnsi="Times New Roman" w:cs="Times New Roman"/>
          <w:bCs/>
          <w:color w:val="000000"/>
          <w:sz w:val="26"/>
          <w:szCs w:val="26"/>
        </w:rPr>
        <w:t>6732</w:t>
      </w:r>
      <w:r w:rsidRPr="00890A4E">
        <w:rPr>
          <w:rFonts w:ascii="Times New Roman" w:hAnsi="Times New Roman" w:cs="Times New Roman"/>
          <w:color w:val="000000"/>
          <w:sz w:val="26"/>
          <w:szCs w:val="26"/>
        </w:rPr>
        <w:t xml:space="preserve"> </w:t>
      </w:r>
      <w:r>
        <w:rPr>
          <w:rFonts w:ascii="Times New Roman" w:hAnsi="Times New Roman" w:cs="Times New Roman"/>
          <w:color w:val="000000"/>
          <w:sz w:val="26"/>
          <w:szCs w:val="26"/>
        </w:rPr>
        <w:t>milj</w:t>
      </w:r>
      <w:r w:rsidRPr="00890A4E">
        <w:rPr>
          <w:rFonts w:ascii="Times New Roman" w:hAnsi="Times New Roman" w:cs="Times New Roman"/>
          <w:color w:val="000000"/>
          <w:sz w:val="26"/>
          <w:szCs w:val="26"/>
        </w:rPr>
        <w:t xml:space="preserve">. LVL, veidojot </w:t>
      </w:r>
      <w:r w:rsidR="00196CB0">
        <w:rPr>
          <w:rFonts w:ascii="Times New Roman" w:hAnsi="Times New Roman" w:cs="Times New Roman"/>
          <w:color w:val="000000"/>
          <w:sz w:val="26"/>
          <w:szCs w:val="26"/>
        </w:rPr>
        <w:t>gandrīz 36</w:t>
      </w:r>
      <w:r w:rsidRPr="00890A4E">
        <w:rPr>
          <w:rFonts w:ascii="Times New Roman" w:hAnsi="Times New Roman" w:cs="Times New Roman"/>
          <w:bCs/>
          <w:color w:val="000000"/>
          <w:sz w:val="26"/>
          <w:szCs w:val="26"/>
        </w:rPr>
        <w:t xml:space="preserve"> milj. LVL</w:t>
      </w:r>
      <w:r w:rsidRPr="00890A4E">
        <w:rPr>
          <w:rFonts w:ascii="Times New Roman" w:hAnsi="Times New Roman" w:cs="Times New Roman"/>
          <w:color w:val="000000"/>
          <w:sz w:val="26"/>
          <w:szCs w:val="26"/>
        </w:rPr>
        <w:t xml:space="preserve"> tirdzniecības bilances deficītu.</w:t>
      </w:r>
    </w:p>
    <w:p w:rsidR="00615113" w:rsidRDefault="00615113" w:rsidP="002B55B7">
      <w:pPr>
        <w:spacing w:after="0" w:line="240" w:lineRule="auto"/>
        <w:jc w:val="both"/>
        <w:rPr>
          <w:rFonts w:ascii="Times New Roman" w:hAnsi="Times New Roman" w:cs="Times New Roman"/>
          <w:color w:val="000000"/>
          <w:sz w:val="26"/>
          <w:szCs w:val="26"/>
        </w:rPr>
      </w:pPr>
    </w:p>
    <w:p w:rsidR="00615113" w:rsidRPr="00857E45" w:rsidRDefault="00615113" w:rsidP="002B55B7">
      <w:pPr>
        <w:spacing w:after="0" w:line="240" w:lineRule="auto"/>
        <w:ind w:right="-142" w:firstLine="567"/>
        <w:jc w:val="center"/>
        <w:rPr>
          <w:rFonts w:ascii="Times New Roman" w:hAnsi="Times New Roman" w:cs="Times New Roman"/>
          <w:sz w:val="26"/>
          <w:szCs w:val="26"/>
        </w:rPr>
      </w:pPr>
      <w:r w:rsidRPr="00857E45">
        <w:rPr>
          <w:rFonts w:ascii="Times New Roman" w:hAnsi="Times New Roman" w:cs="Times New Roman"/>
          <w:b/>
          <w:sz w:val="26"/>
          <w:szCs w:val="26"/>
        </w:rPr>
        <w:t>Latvijas eksporta struktūra</w:t>
      </w:r>
      <w:r w:rsidRPr="00857E45">
        <w:rPr>
          <w:rFonts w:ascii="Times New Roman" w:hAnsi="Times New Roman" w:cs="Times New Roman"/>
          <w:b/>
          <w:sz w:val="26"/>
          <w:szCs w:val="26"/>
        </w:rPr>
        <w:br/>
      </w:r>
      <w:r w:rsidRPr="00857E45">
        <w:rPr>
          <w:rFonts w:ascii="Times New Roman" w:hAnsi="Times New Roman" w:cs="Times New Roman"/>
          <w:sz w:val="26"/>
          <w:szCs w:val="26"/>
        </w:rPr>
        <w:t>(milj. latu)</w:t>
      </w:r>
    </w:p>
    <w:p w:rsidR="00615113" w:rsidRDefault="00615113" w:rsidP="002B55B7">
      <w:pPr>
        <w:spacing w:after="0" w:line="240" w:lineRule="auto"/>
        <w:ind w:right="-142" w:firstLine="567"/>
        <w:jc w:val="center"/>
        <w:rPr>
          <w:rFonts w:ascii="Times New Roman" w:hAnsi="Times New Roman" w:cs="Times New Roman"/>
          <w:sz w:val="26"/>
          <w:szCs w:val="26"/>
        </w:rPr>
      </w:pPr>
      <w:r w:rsidRPr="00890A4E">
        <w:rPr>
          <w:rFonts w:ascii="Times New Roman" w:hAnsi="Times New Roman" w:cs="Times New Roman"/>
          <w:noProof/>
          <w:sz w:val="26"/>
          <w:szCs w:val="26"/>
          <w:lang w:eastAsia="lv-LV"/>
        </w:rPr>
        <w:drawing>
          <wp:inline distT="0" distB="0" distL="0" distR="0">
            <wp:extent cx="3998794" cy="307757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5113" w:rsidRPr="00F67A5B" w:rsidRDefault="00615113" w:rsidP="002B55B7">
      <w:pPr>
        <w:spacing w:after="0" w:line="240" w:lineRule="auto"/>
        <w:ind w:right="-142" w:firstLine="1985"/>
        <w:rPr>
          <w:rFonts w:ascii="Times New Roman" w:hAnsi="Times New Roman" w:cs="Times New Roman"/>
          <w:sz w:val="20"/>
          <w:szCs w:val="20"/>
        </w:rPr>
      </w:pPr>
      <w:r w:rsidRPr="00F67A5B">
        <w:rPr>
          <w:rFonts w:ascii="Times New Roman" w:hAnsi="Times New Roman" w:cs="Times New Roman"/>
          <w:sz w:val="20"/>
          <w:szCs w:val="20"/>
        </w:rPr>
        <w:t>Avots: Latvijas Banka</w:t>
      </w:r>
    </w:p>
    <w:p w:rsidR="00615113" w:rsidRPr="00433F8F" w:rsidRDefault="00615113" w:rsidP="002B55B7">
      <w:pPr>
        <w:spacing w:after="0" w:line="240" w:lineRule="auto"/>
        <w:jc w:val="both"/>
        <w:rPr>
          <w:rFonts w:ascii="Times New Roman" w:hAnsi="Times New Roman" w:cs="Times New Roman"/>
          <w:color w:val="000000"/>
          <w:sz w:val="26"/>
          <w:szCs w:val="26"/>
        </w:rPr>
      </w:pPr>
    </w:p>
    <w:p w:rsidR="00847DE5" w:rsidRDefault="00615113" w:rsidP="00351055">
      <w:pPr>
        <w:pStyle w:val="BodyTextIndent"/>
        <w:ind w:right="0"/>
        <w:rPr>
          <w:sz w:val="26"/>
          <w:szCs w:val="26"/>
        </w:rPr>
      </w:pPr>
      <w:r w:rsidRPr="00351055">
        <w:rPr>
          <w:sz w:val="26"/>
          <w:szCs w:val="26"/>
        </w:rPr>
        <w:t xml:space="preserve">Latvijas preču eksporta apjomi sāka strauji samazināties 2008.gada beigās un 2009.gada sākumā. 2009.gada vidū eksporta apjomi atsāka pamazām palielināties. Samērā straujš eksporta kāpums turpinājās 2010.gadā un 3.ceturksnī eksporta apjomi jau nedaudz pārsniedza pirmskrīzes līmeni. Kopumā 2010.gadā preču eksports par 29,5% (faktiskajās cenās) pārsniedza 2009.gada līmeni un, turpinoties situācijas uzlabojumiem ārējos tirgos, </w:t>
      </w:r>
      <w:r w:rsidR="00CD210C">
        <w:rPr>
          <w:sz w:val="26"/>
          <w:szCs w:val="26"/>
        </w:rPr>
        <w:t xml:space="preserve">kā arī pieaugot Latvijas ražotāju konkurētspējai, </w:t>
      </w:r>
      <w:r w:rsidRPr="00351055">
        <w:rPr>
          <w:sz w:val="26"/>
          <w:szCs w:val="26"/>
        </w:rPr>
        <w:t xml:space="preserve">ir paredzamas pozitīvas eksporta tendences arī 2011.gadā. </w:t>
      </w:r>
    </w:p>
    <w:p w:rsidR="00B65352" w:rsidRDefault="00B65352" w:rsidP="00B907AC">
      <w:pPr>
        <w:spacing w:after="0" w:line="240" w:lineRule="auto"/>
        <w:jc w:val="center"/>
        <w:rPr>
          <w:rFonts w:ascii="Times New Roman" w:hAnsi="Times New Roman" w:cs="Times New Roman"/>
          <w:b/>
          <w:bCs/>
          <w:sz w:val="26"/>
          <w:szCs w:val="26"/>
        </w:rPr>
      </w:pPr>
    </w:p>
    <w:p w:rsidR="00B907AC" w:rsidRPr="00B907AC" w:rsidRDefault="00B907AC" w:rsidP="00B907AC">
      <w:pPr>
        <w:spacing w:after="0" w:line="240" w:lineRule="auto"/>
        <w:jc w:val="center"/>
        <w:rPr>
          <w:rFonts w:ascii="Times New Roman" w:hAnsi="Times New Roman" w:cs="Times New Roman"/>
          <w:b/>
          <w:bCs/>
          <w:sz w:val="26"/>
          <w:szCs w:val="26"/>
        </w:rPr>
      </w:pPr>
      <w:r w:rsidRPr="00B907AC">
        <w:rPr>
          <w:rFonts w:ascii="Times New Roman" w:hAnsi="Times New Roman" w:cs="Times New Roman"/>
          <w:b/>
          <w:bCs/>
          <w:sz w:val="26"/>
          <w:szCs w:val="26"/>
        </w:rPr>
        <w:lastRenderedPageBreak/>
        <w:t>Eksporta pieaugumu noteicošie faktori</w:t>
      </w:r>
    </w:p>
    <w:p w:rsidR="00B907AC" w:rsidRPr="00B907AC" w:rsidRDefault="00B907AC" w:rsidP="00B907AC">
      <w:pPr>
        <w:spacing w:after="0" w:line="240" w:lineRule="auto"/>
        <w:jc w:val="center"/>
        <w:rPr>
          <w:i/>
        </w:rPr>
      </w:pPr>
      <w:r w:rsidRPr="00B907AC">
        <w:rPr>
          <w:rFonts w:ascii="Times New Roman" w:hAnsi="Times New Roman" w:cs="Times New Roman"/>
          <w:i/>
        </w:rPr>
        <w:t>Latvijas eksporta uz ES valstīm pieauguma sadalījums, izmantojot pastāvīgās tirgus daļas analīzi</w:t>
      </w:r>
      <w:r w:rsidRPr="00B907AC">
        <w:rPr>
          <w:i/>
        </w:rPr>
        <w:t xml:space="preserve"> (%)</w:t>
      </w:r>
    </w:p>
    <w:p w:rsidR="00B907AC" w:rsidRDefault="00B907AC" w:rsidP="00B907AC"/>
    <w:p w:rsidR="004B631A" w:rsidRPr="00B907AC" w:rsidRDefault="00B907AC" w:rsidP="00B907AC">
      <w:pPr>
        <w:jc w:val="center"/>
      </w:pPr>
      <w:r w:rsidRPr="003F70A6">
        <w:rPr>
          <w:noProof/>
          <w:lang w:eastAsia="lv-LV"/>
        </w:rPr>
        <w:drawing>
          <wp:inline distT="0" distB="0" distL="0" distR="0">
            <wp:extent cx="4216451" cy="2136039"/>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85384" cy="4176464"/>
                      <a:chOff x="719064" y="1988840"/>
                      <a:chExt cx="7885384" cy="4176464"/>
                    </a:xfrm>
                  </a:grpSpPr>
                  <a:graphicFrame>
                    <a:nvGraphicFramePr>
                      <a:cNvPr id="3" name="Object 16"/>
                      <a:cNvGraphicFramePr/>
                    </a:nvGraphicFramePr>
                    <a:graphic>
                      <a:graphicData uri="http://schemas.openxmlformats.org/drawingml/2006/chart">
                        <c:chart xmlns:c="http://schemas.openxmlformats.org/drawingml/2006/chart" xmlns:r="http://schemas.openxmlformats.org/officeDocument/2006/relationships" r:id="rId9"/>
                      </a:graphicData>
                    </a:graphic>
                    <a:xfrm>
                      <a:off x="2051720" y="2060848"/>
                      <a:ext cx="5112568" cy="4104456"/>
                    </a:xfrm>
                  </a:graphicFrame>
                  <a:sp>
                    <a:nvSpPr>
                      <a:cNvPr id="5" name="TextBox 4"/>
                      <a:cNvSpPr txBox="1"/>
                    </a:nvSpPr>
                    <a:spPr>
                      <a:xfrm>
                        <a:off x="719064" y="4077072"/>
                        <a:ext cx="1260648" cy="1200329"/>
                      </a:xfrm>
                      <a:prstGeom prst="rect">
                        <a:avLst/>
                      </a:prstGeom>
                      <a:solidFill>
                        <a:schemeClr val="bg1">
                          <a:lumMod val="85000"/>
                        </a:schemeClr>
                      </a:solidFill>
                      <a:ln>
                        <a:noFill/>
                      </a:ln>
                    </a:spPr>
                    <a:txSp>
                      <a:txBody>
                        <a:bodyPr wrap="square" rtlCol="0">
                          <a:spAutoFit/>
                        </a:bodyPr>
                        <a:lstStyle>
                          <a:defPPr>
                            <a:defRPr lang="lv-LV"/>
                          </a:defPPr>
                          <a:lvl1pPr algn="l" rtl="0" fontAlgn="base">
                            <a:spcBef>
                              <a:spcPct val="0"/>
                            </a:spcBef>
                            <a:spcAft>
                              <a:spcPct val="0"/>
                            </a:spcAft>
                            <a:defRPr kern="1200">
                              <a:solidFill>
                                <a:schemeClr val="tx1"/>
                              </a:solidFill>
                              <a:latin typeface="Verdana" pitchFamily="34" charset="0"/>
                              <a:ea typeface="+mn-ea"/>
                              <a:cs typeface="+mn-cs"/>
                            </a:defRPr>
                          </a:lvl1pPr>
                          <a:lvl2pPr marL="457200" algn="l" rtl="0" fontAlgn="base">
                            <a:spcBef>
                              <a:spcPct val="0"/>
                            </a:spcBef>
                            <a:spcAft>
                              <a:spcPct val="0"/>
                            </a:spcAft>
                            <a:defRPr kern="1200">
                              <a:solidFill>
                                <a:schemeClr val="tx1"/>
                              </a:solidFill>
                              <a:latin typeface="Verdana" pitchFamily="34" charset="0"/>
                              <a:ea typeface="+mn-ea"/>
                              <a:cs typeface="+mn-cs"/>
                            </a:defRPr>
                          </a:lvl2pPr>
                          <a:lvl3pPr marL="914400" algn="l" rtl="0" fontAlgn="base">
                            <a:spcBef>
                              <a:spcPct val="0"/>
                            </a:spcBef>
                            <a:spcAft>
                              <a:spcPct val="0"/>
                            </a:spcAft>
                            <a:defRPr kern="1200">
                              <a:solidFill>
                                <a:schemeClr val="tx1"/>
                              </a:solidFill>
                              <a:latin typeface="Verdana" pitchFamily="34" charset="0"/>
                              <a:ea typeface="+mn-ea"/>
                              <a:cs typeface="+mn-cs"/>
                            </a:defRPr>
                          </a:lvl3pPr>
                          <a:lvl4pPr marL="1371600" algn="l" rtl="0" fontAlgn="base">
                            <a:spcBef>
                              <a:spcPct val="0"/>
                            </a:spcBef>
                            <a:spcAft>
                              <a:spcPct val="0"/>
                            </a:spcAft>
                            <a:defRPr kern="1200">
                              <a:solidFill>
                                <a:schemeClr val="tx1"/>
                              </a:solidFill>
                              <a:latin typeface="Verdana" pitchFamily="34" charset="0"/>
                              <a:ea typeface="+mn-ea"/>
                              <a:cs typeface="+mn-cs"/>
                            </a:defRPr>
                          </a:lvl4pPr>
                          <a:lvl5pPr marL="1828800" algn="l" rtl="0" fontAlgn="base">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r>
                            <a:rPr lang="lv-LV" sz="1200" dirty="0" smtClean="0">
                              <a:latin typeface="Arial" pitchFamily="34" charset="0"/>
                              <a:cs typeface="Arial" pitchFamily="34" charset="0"/>
                            </a:rPr>
                            <a:t>10%</a:t>
                          </a:r>
                          <a:r>
                            <a:rPr lang="en-GB" sz="1200" dirty="0" smtClean="0">
                              <a:latin typeface="Arial" pitchFamily="34" charset="0"/>
                              <a:cs typeface="Arial" pitchFamily="34" charset="0"/>
                            </a:rPr>
                            <a:t> </a:t>
                          </a:r>
                          <a:r>
                            <a:rPr lang="lv-LV" sz="1200" dirty="0" smtClean="0">
                              <a:latin typeface="Arial" pitchFamily="34" charset="0"/>
                              <a:cs typeface="Arial" pitchFamily="34" charset="0"/>
                            </a:rPr>
                            <a:t>no eksporta samazinājuma noteica konkurētspējas samazināšanās</a:t>
                          </a:r>
                          <a:endParaRPr lang="en-US" sz="1200" dirty="0" smtClean="0">
                            <a:latin typeface="Arial" pitchFamily="34" charset="0"/>
                            <a:cs typeface="Arial" pitchFamily="34" charset="0"/>
                          </a:endParaRPr>
                        </a:p>
                      </a:txBody>
                      <a:useSpRect/>
                    </a:txSp>
                  </a:sp>
                  <a:sp>
                    <a:nvSpPr>
                      <a:cNvPr id="6" name="TextBox 5"/>
                      <a:cNvSpPr txBox="1"/>
                    </a:nvSpPr>
                    <a:spPr>
                      <a:xfrm>
                        <a:off x="3275856" y="3841303"/>
                        <a:ext cx="1080120" cy="307777"/>
                      </a:xfrm>
                      <a:prstGeom prst="rect">
                        <a:avLst/>
                      </a:prstGeom>
                      <a:noFill/>
                      <a:ln>
                        <a:solidFill>
                          <a:schemeClr val="bg1"/>
                        </a:solidFill>
                      </a:ln>
                    </a:spPr>
                    <a:txSp>
                      <a:txBody>
                        <a:bodyPr wrap="square" rtlCol="0">
                          <a:spAutoFit/>
                        </a:bodyPr>
                        <a:lstStyle>
                          <a:defPPr>
                            <a:defRPr lang="lv-LV"/>
                          </a:defPPr>
                          <a:lvl1pPr algn="l" rtl="0" fontAlgn="base">
                            <a:spcBef>
                              <a:spcPct val="0"/>
                            </a:spcBef>
                            <a:spcAft>
                              <a:spcPct val="0"/>
                            </a:spcAft>
                            <a:defRPr kern="1200">
                              <a:solidFill>
                                <a:schemeClr val="tx1"/>
                              </a:solidFill>
                              <a:latin typeface="Verdana" pitchFamily="34" charset="0"/>
                              <a:ea typeface="+mn-ea"/>
                              <a:cs typeface="+mn-cs"/>
                            </a:defRPr>
                          </a:lvl1pPr>
                          <a:lvl2pPr marL="457200" algn="l" rtl="0" fontAlgn="base">
                            <a:spcBef>
                              <a:spcPct val="0"/>
                            </a:spcBef>
                            <a:spcAft>
                              <a:spcPct val="0"/>
                            </a:spcAft>
                            <a:defRPr kern="1200">
                              <a:solidFill>
                                <a:schemeClr val="tx1"/>
                              </a:solidFill>
                              <a:latin typeface="Verdana" pitchFamily="34" charset="0"/>
                              <a:ea typeface="+mn-ea"/>
                              <a:cs typeface="+mn-cs"/>
                            </a:defRPr>
                          </a:lvl2pPr>
                          <a:lvl3pPr marL="914400" algn="l" rtl="0" fontAlgn="base">
                            <a:spcBef>
                              <a:spcPct val="0"/>
                            </a:spcBef>
                            <a:spcAft>
                              <a:spcPct val="0"/>
                            </a:spcAft>
                            <a:defRPr kern="1200">
                              <a:solidFill>
                                <a:schemeClr val="tx1"/>
                              </a:solidFill>
                              <a:latin typeface="Verdana" pitchFamily="34" charset="0"/>
                              <a:ea typeface="+mn-ea"/>
                              <a:cs typeface="+mn-cs"/>
                            </a:defRPr>
                          </a:lvl3pPr>
                          <a:lvl4pPr marL="1371600" algn="l" rtl="0" fontAlgn="base">
                            <a:spcBef>
                              <a:spcPct val="0"/>
                            </a:spcBef>
                            <a:spcAft>
                              <a:spcPct val="0"/>
                            </a:spcAft>
                            <a:defRPr kern="1200">
                              <a:solidFill>
                                <a:schemeClr val="tx1"/>
                              </a:solidFill>
                              <a:latin typeface="Verdana" pitchFamily="34" charset="0"/>
                              <a:ea typeface="+mn-ea"/>
                              <a:cs typeface="+mn-cs"/>
                            </a:defRPr>
                          </a:lvl4pPr>
                          <a:lvl5pPr marL="1828800" algn="l" rtl="0" fontAlgn="base">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r>
                            <a:rPr lang="lv-LV" sz="1400" dirty="0" smtClean="0">
                              <a:latin typeface="Arial" pitchFamily="34" charset="0"/>
                              <a:cs typeface="Arial" pitchFamily="34" charset="0"/>
                            </a:rPr>
                            <a:t>-26%</a:t>
                          </a:r>
                          <a:endParaRPr lang="en-US" sz="1400" dirty="0">
                            <a:latin typeface="Arial" pitchFamily="34" charset="0"/>
                            <a:cs typeface="Arial" pitchFamily="34" charset="0"/>
                          </a:endParaRPr>
                        </a:p>
                      </a:txBody>
                      <a:useSpRect/>
                    </a:txSp>
                  </a:sp>
                  <a:sp>
                    <a:nvSpPr>
                      <a:cNvPr id="7" name="Down Arrow 6"/>
                      <a:cNvSpPr/>
                    </a:nvSpPr>
                    <a:spPr>
                      <a:xfrm>
                        <a:off x="3203848" y="3789040"/>
                        <a:ext cx="288032" cy="360040"/>
                      </a:xfrm>
                      <a:prstGeom prst="downArrow">
                        <a:avLst/>
                      </a:prstGeom>
                      <a:solidFill>
                        <a:srgbClr val="FF0000"/>
                      </a:solidFill>
                      <a:ln w="15875">
                        <a:solidFill>
                          <a:schemeClr val="tx1"/>
                        </a:solidFill>
                      </a:ln>
                    </a:spPr>
                    <a:txSp>
                      <a:txBody>
                        <a:bodyPr rtlCol="0" anchor="ctr"/>
                        <a:lstStyle>
                          <a:defPPr>
                            <a:defRPr lang="lv-LV"/>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lv-LV" sz="120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5508104" y="2545159"/>
                        <a:ext cx="1224136" cy="307777"/>
                      </a:xfrm>
                      <a:prstGeom prst="rect">
                        <a:avLst/>
                      </a:prstGeom>
                      <a:noFill/>
                      <a:ln>
                        <a:solidFill>
                          <a:schemeClr val="bg1"/>
                        </a:solidFill>
                      </a:ln>
                    </a:spPr>
                    <a:txSp>
                      <a:txBody>
                        <a:bodyPr wrap="square" rtlCol="0">
                          <a:spAutoFit/>
                        </a:bodyPr>
                        <a:lstStyle>
                          <a:defPPr>
                            <a:defRPr lang="lv-LV"/>
                          </a:defPPr>
                          <a:lvl1pPr algn="l" rtl="0" fontAlgn="base">
                            <a:spcBef>
                              <a:spcPct val="0"/>
                            </a:spcBef>
                            <a:spcAft>
                              <a:spcPct val="0"/>
                            </a:spcAft>
                            <a:defRPr kern="1200">
                              <a:solidFill>
                                <a:schemeClr val="tx1"/>
                              </a:solidFill>
                              <a:latin typeface="Verdana" pitchFamily="34" charset="0"/>
                              <a:ea typeface="+mn-ea"/>
                              <a:cs typeface="+mn-cs"/>
                            </a:defRPr>
                          </a:lvl1pPr>
                          <a:lvl2pPr marL="457200" algn="l" rtl="0" fontAlgn="base">
                            <a:spcBef>
                              <a:spcPct val="0"/>
                            </a:spcBef>
                            <a:spcAft>
                              <a:spcPct val="0"/>
                            </a:spcAft>
                            <a:defRPr kern="1200">
                              <a:solidFill>
                                <a:schemeClr val="tx1"/>
                              </a:solidFill>
                              <a:latin typeface="Verdana" pitchFamily="34" charset="0"/>
                              <a:ea typeface="+mn-ea"/>
                              <a:cs typeface="+mn-cs"/>
                            </a:defRPr>
                          </a:lvl2pPr>
                          <a:lvl3pPr marL="914400" algn="l" rtl="0" fontAlgn="base">
                            <a:spcBef>
                              <a:spcPct val="0"/>
                            </a:spcBef>
                            <a:spcAft>
                              <a:spcPct val="0"/>
                            </a:spcAft>
                            <a:defRPr kern="1200">
                              <a:solidFill>
                                <a:schemeClr val="tx1"/>
                              </a:solidFill>
                              <a:latin typeface="Verdana" pitchFamily="34" charset="0"/>
                              <a:ea typeface="+mn-ea"/>
                              <a:cs typeface="+mn-cs"/>
                            </a:defRPr>
                          </a:lvl3pPr>
                          <a:lvl4pPr marL="1371600" algn="l" rtl="0" fontAlgn="base">
                            <a:spcBef>
                              <a:spcPct val="0"/>
                            </a:spcBef>
                            <a:spcAft>
                              <a:spcPct val="0"/>
                            </a:spcAft>
                            <a:defRPr kern="1200">
                              <a:solidFill>
                                <a:schemeClr val="tx1"/>
                              </a:solidFill>
                              <a:latin typeface="Verdana" pitchFamily="34" charset="0"/>
                              <a:ea typeface="+mn-ea"/>
                              <a:cs typeface="+mn-cs"/>
                            </a:defRPr>
                          </a:lvl4pPr>
                          <a:lvl5pPr marL="1828800" algn="l" rtl="0" fontAlgn="base">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r>
                            <a:rPr lang="lv-LV" sz="1400" dirty="0" smtClean="0">
                              <a:latin typeface="Arial" pitchFamily="34" charset="0"/>
                              <a:cs typeface="Arial" pitchFamily="34" charset="0"/>
                            </a:rPr>
                            <a:t>+29%</a:t>
                          </a:r>
                          <a:endParaRPr lang="en-US" sz="1400" dirty="0">
                            <a:latin typeface="Arial" pitchFamily="34" charset="0"/>
                            <a:cs typeface="Arial" pitchFamily="34" charset="0"/>
                          </a:endParaRPr>
                        </a:p>
                      </a:txBody>
                      <a:useSpRect/>
                    </a:txSp>
                  </a:sp>
                  <a:sp>
                    <a:nvSpPr>
                      <a:cNvPr id="11" name="Curved Up Arrow 10"/>
                      <a:cNvSpPr/>
                    </a:nvSpPr>
                    <a:spPr>
                      <a:xfrm>
                        <a:off x="1187624" y="5373216"/>
                        <a:ext cx="1800200" cy="648072"/>
                      </a:xfrm>
                      <a:prstGeom prst="curvedUpArrow">
                        <a:avLst>
                          <a:gd name="adj1" fmla="val 32716"/>
                          <a:gd name="adj2" fmla="val 77655"/>
                          <a:gd name="adj3" fmla="val 25000"/>
                        </a:avLst>
                      </a:prstGeom>
                    </a:spPr>
                    <a:txSp>
                      <a:txBody>
                        <a:bodyPr rtlCol="0" anchor="ctr"/>
                        <a:lstStyle>
                          <a:defPPr>
                            <a:defRPr lang="lv-LV"/>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lv-LV" sz="120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Curved Up Arrow 11"/>
                      <a:cNvSpPr/>
                    </a:nvSpPr>
                    <a:spPr>
                      <a:xfrm rot="10800000">
                        <a:off x="6300192" y="1988840"/>
                        <a:ext cx="1656184" cy="648072"/>
                      </a:xfrm>
                      <a:prstGeom prst="curvedUpArrow">
                        <a:avLst>
                          <a:gd name="adj1" fmla="val 32716"/>
                          <a:gd name="adj2" fmla="val 77655"/>
                          <a:gd name="adj3" fmla="val 25000"/>
                        </a:avLst>
                      </a:prstGeom>
                    </a:spPr>
                    <a:txSp>
                      <a:txBody>
                        <a:bodyPr rtlCol="0" anchor="ctr"/>
                        <a:lstStyle>
                          <a:defPPr>
                            <a:defRPr lang="lv-LV"/>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lv-LV" sz="120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7236296" y="2742019"/>
                        <a:ext cx="1368152" cy="1015663"/>
                      </a:xfrm>
                      <a:prstGeom prst="rect">
                        <a:avLst/>
                      </a:prstGeom>
                      <a:solidFill>
                        <a:schemeClr val="bg1">
                          <a:lumMod val="85000"/>
                        </a:schemeClr>
                      </a:solidFill>
                      <a:ln>
                        <a:noFill/>
                      </a:ln>
                    </a:spPr>
                    <a:txSp>
                      <a:txBody>
                        <a:bodyPr wrap="square" rtlCol="0">
                          <a:spAutoFit/>
                        </a:bodyPr>
                        <a:lstStyle>
                          <a:defPPr>
                            <a:defRPr lang="lv-LV"/>
                          </a:defPPr>
                          <a:lvl1pPr algn="l" rtl="0" fontAlgn="base">
                            <a:spcBef>
                              <a:spcPct val="0"/>
                            </a:spcBef>
                            <a:spcAft>
                              <a:spcPct val="0"/>
                            </a:spcAft>
                            <a:defRPr kern="1200">
                              <a:solidFill>
                                <a:schemeClr val="tx1"/>
                              </a:solidFill>
                              <a:latin typeface="Verdana" pitchFamily="34" charset="0"/>
                              <a:ea typeface="+mn-ea"/>
                              <a:cs typeface="+mn-cs"/>
                            </a:defRPr>
                          </a:lvl1pPr>
                          <a:lvl2pPr marL="457200" algn="l" rtl="0" fontAlgn="base">
                            <a:spcBef>
                              <a:spcPct val="0"/>
                            </a:spcBef>
                            <a:spcAft>
                              <a:spcPct val="0"/>
                            </a:spcAft>
                            <a:defRPr kern="1200">
                              <a:solidFill>
                                <a:schemeClr val="tx1"/>
                              </a:solidFill>
                              <a:latin typeface="Verdana" pitchFamily="34" charset="0"/>
                              <a:ea typeface="+mn-ea"/>
                              <a:cs typeface="+mn-cs"/>
                            </a:defRPr>
                          </a:lvl2pPr>
                          <a:lvl3pPr marL="914400" algn="l" rtl="0" fontAlgn="base">
                            <a:spcBef>
                              <a:spcPct val="0"/>
                            </a:spcBef>
                            <a:spcAft>
                              <a:spcPct val="0"/>
                            </a:spcAft>
                            <a:defRPr kern="1200">
                              <a:solidFill>
                                <a:schemeClr val="tx1"/>
                              </a:solidFill>
                              <a:latin typeface="Verdana" pitchFamily="34" charset="0"/>
                              <a:ea typeface="+mn-ea"/>
                              <a:cs typeface="+mn-cs"/>
                            </a:defRPr>
                          </a:lvl3pPr>
                          <a:lvl4pPr marL="1371600" algn="l" rtl="0" fontAlgn="base">
                            <a:spcBef>
                              <a:spcPct val="0"/>
                            </a:spcBef>
                            <a:spcAft>
                              <a:spcPct val="0"/>
                            </a:spcAft>
                            <a:defRPr kern="1200">
                              <a:solidFill>
                                <a:schemeClr val="tx1"/>
                              </a:solidFill>
                              <a:latin typeface="Verdana" pitchFamily="34" charset="0"/>
                              <a:ea typeface="+mn-ea"/>
                              <a:cs typeface="+mn-cs"/>
                            </a:defRPr>
                          </a:lvl4pPr>
                          <a:lvl5pPr marL="1828800" algn="l" rtl="0" fontAlgn="base">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r>
                            <a:rPr lang="lv-LV" sz="1200" dirty="0" smtClean="0">
                              <a:latin typeface="Arial" pitchFamily="34" charset="0"/>
                              <a:cs typeface="Arial" pitchFamily="34" charset="0"/>
                            </a:rPr>
                            <a:t>44%</a:t>
                          </a:r>
                          <a:r>
                            <a:rPr lang="en-GB" sz="1200" dirty="0" smtClean="0">
                              <a:latin typeface="Arial" pitchFamily="34" charset="0"/>
                              <a:cs typeface="Arial" pitchFamily="34" charset="0"/>
                            </a:rPr>
                            <a:t> </a:t>
                          </a:r>
                          <a:r>
                            <a:rPr lang="lv-LV" sz="1200" dirty="0" smtClean="0">
                              <a:latin typeface="Arial" pitchFamily="34" charset="0"/>
                              <a:cs typeface="Arial" pitchFamily="34" charset="0"/>
                            </a:rPr>
                            <a:t>no eksporta pieauguma noteica konkurētspējas palielināšanās</a:t>
                          </a:r>
                          <a:endParaRPr lang="en-GB" sz="1200" dirty="0">
                            <a:latin typeface="Arial" pitchFamily="34" charset="0"/>
                            <a:cs typeface="Arial" pitchFamily="34" charset="0"/>
                          </a:endParaRPr>
                        </a:p>
                      </a:txBody>
                      <a:useSpRect/>
                    </a:txSp>
                  </a:sp>
                  <a:sp>
                    <a:nvSpPr>
                      <a:cNvPr id="8" name="Down Arrow 7"/>
                      <a:cNvSpPr/>
                    </a:nvSpPr>
                    <a:spPr>
                      <a:xfrm rot="10800000">
                        <a:off x="5436096" y="2420887"/>
                        <a:ext cx="288032" cy="360040"/>
                      </a:xfrm>
                      <a:prstGeom prst="downArrow">
                        <a:avLst/>
                      </a:prstGeom>
                      <a:solidFill>
                        <a:srgbClr val="006600"/>
                      </a:solidFill>
                      <a:ln w="15875">
                        <a:solidFill>
                          <a:schemeClr val="tx1"/>
                        </a:solidFill>
                      </a:ln>
                    </a:spPr>
                    <a:txSp>
                      <a:txBody>
                        <a:bodyPr rtlCol="0" anchor="ctr"/>
                        <a:lstStyle>
                          <a:defPPr>
                            <a:defRPr lang="lv-LV"/>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lv-LV" sz="12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B631A" w:rsidRPr="00351055" w:rsidRDefault="004B631A" w:rsidP="00351055">
      <w:pPr>
        <w:pStyle w:val="BodyTextIndent"/>
        <w:ind w:right="0"/>
        <w:rPr>
          <w:sz w:val="26"/>
          <w:szCs w:val="26"/>
        </w:rPr>
      </w:pPr>
    </w:p>
    <w:p w:rsidR="006738CE" w:rsidRPr="009420C1" w:rsidRDefault="00847DE5" w:rsidP="006738CE">
      <w:pPr>
        <w:spacing w:after="0" w:line="240" w:lineRule="auto"/>
        <w:ind w:firstLine="567"/>
        <w:jc w:val="both"/>
        <w:rPr>
          <w:rFonts w:ascii="Times New Roman" w:hAnsi="Times New Roman" w:cs="Times New Roman"/>
          <w:sz w:val="26"/>
          <w:szCs w:val="26"/>
        </w:rPr>
      </w:pPr>
      <w:r w:rsidRPr="00351055">
        <w:rPr>
          <w:rFonts w:ascii="Times New Roman" w:hAnsi="Times New Roman" w:cs="Times New Roman"/>
          <w:sz w:val="26"/>
          <w:szCs w:val="26"/>
        </w:rPr>
        <w:t>Tradicionāli nozīmīgākās preču eksporta grupas ar lielāko īpatsvaru kopējā preču eksportā ir: koksne un tās izstrādājumi, lauksaimniecības un pārtikas preces un metāli un to izstrādājumi, kā arī mašīnbūves produkcija. Šobrīd Latvijas eksports nozaru ziņā ir salīdzinoši diversificēts</w:t>
      </w:r>
      <w:r w:rsidR="006738CE">
        <w:rPr>
          <w:rFonts w:ascii="Times New Roman" w:hAnsi="Times New Roman" w:cs="Times New Roman"/>
          <w:sz w:val="26"/>
          <w:szCs w:val="26"/>
        </w:rPr>
        <w:t xml:space="preserve">, </w:t>
      </w:r>
      <w:r w:rsidR="006738CE" w:rsidRPr="009420C1">
        <w:rPr>
          <w:rFonts w:ascii="Times New Roman" w:hAnsi="Times New Roman" w:cs="Times New Roman"/>
          <w:sz w:val="26"/>
          <w:szCs w:val="26"/>
        </w:rPr>
        <w:t xml:space="preserve">taču </w:t>
      </w:r>
      <w:r w:rsidR="005558AC">
        <w:rPr>
          <w:rFonts w:ascii="Times New Roman" w:hAnsi="Times New Roman" w:cs="Times New Roman"/>
          <w:sz w:val="26"/>
          <w:szCs w:val="26"/>
        </w:rPr>
        <w:t xml:space="preserve"> </w:t>
      </w:r>
      <w:r w:rsidR="00961CD6">
        <w:rPr>
          <w:rFonts w:ascii="Times New Roman" w:hAnsi="Times New Roman" w:cs="Times New Roman"/>
          <w:sz w:val="26"/>
          <w:szCs w:val="26"/>
        </w:rPr>
        <w:t xml:space="preserve">nepieciešams palielināt </w:t>
      </w:r>
      <w:r w:rsidR="006738CE" w:rsidRPr="009420C1">
        <w:rPr>
          <w:rFonts w:ascii="Times New Roman" w:hAnsi="Times New Roman" w:cs="Times New Roman"/>
          <w:sz w:val="26"/>
          <w:szCs w:val="26"/>
        </w:rPr>
        <w:t xml:space="preserve">preču ar </w:t>
      </w:r>
      <w:r w:rsidR="00961CD6">
        <w:rPr>
          <w:rFonts w:ascii="Times New Roman" w:hAnsi="Times New Roman" w:cs="Times New Roman"/>
          <w:sz w:val="26"/>
          <w:szCs w:val="26"/>
        </w:rPr>
        <w:t xml:space="preserve">augstu </w:t>
      </w:r>
      <w:r w:rsidR="006738CE" w:rsidRPr="009420C1">
        <w:rPr>
          <w:rFonts w:ascii="Times New Roman" w:hAnsi="Times New Roman" w:cs="Times New Roman"/>
          <w:sz w:val="26"/>
          <w:szCs w:val="26"/>
        </w:rPr>
        <w:t xml:space="preserve">pievienoto vērtību piedāvājumu ārējos tirgos. </w:t>
      </w:r>
    </w:p>
    <w:p w:rsidR="00351055" w:rsidRPr="00351055" w:rsidRDefault="00351055" w:rsidP="00351055">
      <w:pPr>
        <w:spacing w:after="0" w:line="240" w:lineRule="auto"/>
        <w:ind w:firstLine="567"/>
        <w:jc w:val="both"/>
        <w:rPr>
          <w:rFonts w:ascii="Times New Roman" w:hAnsi="Times New Roman" w:cs="Times New Roman"/>
          <w:sz w:val="26"/>
          <w:szCs w:val="26"/>
        </w:rPr>
      </w:pPr>
    </w:p>
    <w:p w:rsidR="00615113" w:rsidRPr="00857E45" w:rsidRDefault="00615113" w:rsidP="00351055">
      <w:pPr>
        <w:pStyle w:val="BodyText2"/>
        <w:keepNext/>
        <w:spacing w:after="0" w:line="240" w:lineRule="auto"/>
        <w:jc w:val="center"/>
        <w:rPr>
          <w:b/>
          <w:bCs/>
          <w:color w:val="000000"/>
          <w:sz w:val="26"/>
          <w:szCs w:val="26"/>
          <w:lang w:val="lv-LV"/>
        </w:rPr>
      </w:pPr>
      <w:r w:rsidRPr="00857E45">
        <w:rPr>
          <w:b/>
          <w:bCs/>
          <w:color w:val="000000"/>
          <w:sz w:val="26"/>
          <w:szCs w:val="26"/>
          <w:lang w:val="lv-LV"/>
        </w:rPr>
        <w:t>Latvijas preču eksports pa galvenajām preču grupām</w:t>
      </w:r>
    </w:p>
    <w:p w:rsidR="00615113" w:rsidRPr="00351055" w:rsidRDefault="00615113" w:rsidP="00351055">
      <w:pPr>
        <w:keepNext/>
        <w:numPr>
          <w:ilvl w:val="12"/>
          <w:numId w:val="0"/>
        </w:numPr>
        <w:spacing w:after="120" w:line="240" w:lineRule="auto"/>
        <w:jc w:val="center"/>
        <w:rPr>
          <w:rFonts w:ascii="Times New Roman" w:hAnsi="Times New Roman" w:cs="Times New Roman"/>
          <w:color w:val="000000"/>
        </w:rPr>
      </w:pPr>
      <w:r w:rsidRPr="00351055">
        <w:rPr>
          <w:rFonts w:ascii="Times New Roman" w:hAnsi="Times New Roman" w:cs="Times New Roman"/>
          <w:color w:val="000000"/>
        </w:rPr>
        <w:t>(%, faktiskajās FOB cenās)</w:t>
      </w:r>
    </w:p>
    <w:tbl>
      <w:tblPr>
        <w:tblStyle w:val="MediumList1-Accent3"/>
        <w:tblW w:w="8652" w:type="dxa"/>
        <w:jc w:val="center"/>
        <w:tblInd w:w="1478" w:type="dxa"/>
        <w:tblLayout w:type="fixed"/>
        <w:tblLook w:val="0400"/>
      </w:tblPr>
      <w:tblGrid>
        <w:gridCol w:w="2744"/>
        <w:gridCol w:w="963"/>
        <w:gridCol w:w="1291"/>
        <w:gridCol w:w="1073"/>
        <w:gridCol w:w="1370"/>
        <w:gridCol w:w="1211"/>
      </w:tblGrid>
      <w:tr w:rsidR="00615113" w:rsidRPr="004A5E56" w:rsidTr="00FB5D7B">
        <w:trPr>
          <w:cnfStyle w:val="000000100000"/>
          <w:jc w:val="center"/>
        </w:trPr>
        <w:tc>
          <w:tcPr>
            <w:tcW w:w="2744" w:type="dxa"/>
            <w:tcBorders>
              <w:bottom w:val="nil"/>
            </w:tcBorders>
            <w:vAlign w:val="center"/>
          </w:tcPr>
          <w:p w:rsidR="00615113" w:rsidRPr="004A5E56" w:rsidRDefault="00615113" w:rsidP="00351055">
            <w:pPr>
              <w:keepNext/>
              <w:numPr>
                <w:ilvl w:val="12"/>
                <w:numId w:val="0"/>
              </w:numPr>
              <w:jc w:val="center"/>
              <w:rPr>
                <w:rFonts w:ascii="Times New Roman" w:hAnsi="Times New Roman" w:cs="Times New Roman"/>
                <w:color w:val="000000"/>
                <w:sz w:val="20"/>
                <w:szCs w:val="20"/>
              </w:rPr>
            </w:pPr>
          </w:p>
        </w:tc>
        <w:tc>
          <w:tcPr>
            <w:tcW w:w="2254" w:type="dxa"/>
            <w:gridSpan w:val="2"/>
            <w:tcBorders>
              <w:bottom w:val="nil"/>
            </w:tcBorders>
            <w:vAlign w:val="center"/>
          </w:tcPr>
          <w:p w:rsidR="00615113" w:rsidRPr="004A5E56" w:rsidRDefault="00615113" w:rsidP="00351055">
            <w:pPr>
              <w:keepNext/>
              <w:keepLines/>
              <w:numPr>
                <w:ilvl w:val="12"/>
                <w:numId w:val="0"/>
              </w:num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2009</w:t>
            </w:r>
          </w:p>
        </w:tc>
        <w:tc>
          <w:tcPr>
            <w:tcW w:w="3654" w:type="dxa"/>
            <w:gridSpan w:val="3"/>
            <w:tcBorders>
              <w:bottom w:val="nil"/>
            </w:tcBorders>
            <w:vAlign w:val="center"/>
          </w:tcPr>
          <w:p w:rsidR="00615113" w:rsidRPr="004A5E56" w:rsidRDefault="00615113" w:rsidP="00351055">
            <w:pPr>
              <w:keepNext/>
              <w:keepLines/>
              <w:numPr>
                <w:ilvl w:val="12"/>
                <w:numId w:val="0"/>
              </w:num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2010</w:t>
            </w:r>
          </w:p>
        </w:tc>
      </w:tr>
      <w:tr w:rsidR="00615113" w:rsidRPr="004A5E56" w:rsidTr="00FB5D7B">
        <w:trPr>
          <w:jc w:val="center"/>
        </w:trPr>
        <w:tc>
          <w:tcPr>
            <w:tcW w:w="2744" w:type="dxa"/>
            <w:tcBorders>
              <w:top w:val="nil"/>
              <w:bottom w:val="single" w:sz="8" w:space="0" w:color="9BBB59" w:themeColor="accent3"/>
            </w:tcBorders>
            <w:vAlign w:val="center"/>
          </w:tcPr>
          <w:p w:rsidR="00615113" w:rsidRPr="004A5E56" w:rsidRDefault="00615113" w:rsidP="00351055">
            <w:pPr>
              <w:keepNext/>
              <w:numPr>
                <w:ilvl w:val="12"/>
                <w:numId w:val="0"/>
              </w:numPr>
              <w:jc w:val="center"/>
              <w:rPr>
                <w:rFonts w:ascii="Times New Roman" w:hAnsi="Times New Roman" w:cs="Times New Roman"/>
                <w:color w:val="000000"/>
                <w:sz w:val="20"/>
                <w:szCs w:val="20"/>
              </w:rPr>
            </w:pPr>
          </w:p>
        </w:tc>
        <w:tc>
          <w:tcPr>
            <w:tcW w:w="963" w:type="dxa"/>
            <w:tcBorders>
              <w:top w:val="nil"/>
              <w:bottom w:val="single" w:sz="8" w:space="0" w:color="9BBB59" w:themeColor="accent3"/>
            </w:tcBorders>
            <w:vAlign w:val="center"/>
          </w:tcPr>
          <w:p w:rsidR="00615113" w:rsidRPr="004A5E56" w:rsidRDefault="00615113" w:rsidP="00351055">
            <w:pPr>
              <w:keepNext/>
              <w:keepLines/>
              <w:numPr>
                <w:ilvl w:val="12"/>
                <w:numId w:val="0"/>
              </w:num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struktūra</w:t>
            </w:r>
          </w:p>
        </w:tc>
        <w:tc>
          <w:tcPr>
            <w:tcW w:w="1291" w:type="dxa"/>
            <w:tcBorders>
              <w:top w:val="nil"/>
              <w:bottom w:val="single" w:sz="8" w:space="0" w:color="9BBB59" w:themeColor="accent3"/>
            </w:tcBorders>
            <w:vAlign w:val="center"/>
          </w:tcPr>
          <w:p w:rsidR="00615113" w:rsidRPr="004A5E56" w:rsidRDefault="00615113" w:rsidP="00351055">
            <w:pPr>
              <w:keepNext/>
              <w:keepLines/>
              <w:numPr>
                <w:ilvl w:val="12"/>
                <w:numId w:val="0"/>
              </w:numPr>
              <w:ind w:left="-106" w:right="-127"/>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pieaugums pret iepriekšējo gadu</w:t>
            </w:r>
          </w:p>
        </w:tc>
        <w:tc>
          <w:tcPr>
            <w:tcW w:w="1073" w:type="dxa"/>
            <w:tcBorders>
              <w:top w:val="nil"/>
              <w:bottom w:val="single" w:sz="8" w:space="0" w:color="9BBB59" w:themeColor="accent3"/>
            </w:tcBorders>
            <w:vAlign w:val="center"/>
          </w:tcPr>
          <w:p w:rsidR="00615113" w:rsidRPr="004A5E56" w:rsidRDefault="00615113" w:rsidP="00351055">
            <w:pPr>
              <w:keepNext/>
              <w:keepLines/>
              <w:numPr>
                <w:ilvl w:val="12"/>
                <w:numId w:val="0"/>
              </w:numPr>
              <w:ind w:left="-79" w:right="-56"/>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struktūra</w:t>
            </w:r>
          </w:p>
        </w:tc>
        <w:tc>
          <w:tcPr>
            <w:tcW w:w="1370" w:type="dxa"/>
            <w:tcBorders>
              <w:top w:val="nil"/>
              <w:bottom w:val="single" w:sz="8" w:space="0" w:color="9BBB59" w:themeColor="accent3"/>
            </w:tcBorders>
            <w:vAlign w:val="center"/>
          </w:tcPr>
          <w:p w:rsidR="00615113" w:rsidRPr="004A5E56" w:rsidRDefault="00615113" w:rsidP="00351055">
            <w:pPr>
              <w:keepNext/>
              <w:keepLines/>
              <w:numPr>
                <w:ilvl w:val="12"/>
                <w:numId w:val="0"/>
              </w:numPr>
              <w:ind w:left="-79" w:right="-56"/>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pieaugums pret iepriekšējo gadu</w:t>
            </w:r>
          </w:p>
        </w:tc>
        <w:tc>
          <w:tcPr>
            <w:tcW w:w="1211" w:type="dxa"/>
            <w:tcBorders>
              <w:top w:val="nil"/>
              <w:bottom w:val="single" w:sz="8" w:space="0" w:color="9BBB59" w:themeColor="accent3"/>
            </w:tcBorders>
            <w:vAlign w:val="center"/>
          </w:tcPr>
          <w:p w:rsidR="00615113" w:rsidRPr="004A5E56" w:rsidRDefault="00615113" w:rsidP="00351055">
            <w:pPr>
              <w:keepNext/>
              <w:keepLines/>
              <w:numPr>
                <w:ilvl w:val="12"/>
                <w:numId w:val="0"/>
              </w:numPr>
              <w:ind w:left="-79" w:right="-56"/>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ieguldījums apjomu izmaiņās</w:t>
            </w:r>
          </w:p>
        </w:tc>
      </w:tr>
      <w:tr w:rsidR="00615113" w:rsidRPr="004A5E56" w:rsidTr="00FB5D7B">
        <w:trPr>
          <w:cnfStyle w:val="000000100000"/>
          <w:jc w:val="center"/>
        </w:trPr>
        <w:tc>
          <w:tcPr>
            <w:tcW w:w="2744" w:type="dxa"/>
            <w:tcBorders>
              <w:top w:val="single" w:sz="8" w:space="0" w:color="9BBB59" w:themeColor="accent3"/>
            </w:tcBorders>
          </w:tcPr>
          <w:p w:rsidR="00615113" w:rsidRPr="004A5E56" w:rsidRDefault="00615113" w:rsidP="002B55B7">
            <w:pPr>
              <w:numPr>
                <w:ilvl w:val="12"/>
                <w:numId w:val="0"/>
              </w:numPr>
              <w:rPr>
                <w:rFonts w:ascii="Times New Roman" w:hAnsi="Times New Roman" w:cs="Times New Roman"/>
                <w:b/>
                <w:color w:val="000000"/>
                <w:sz w:val="20"/>
                <w:szCs w:val="20"/>
              </w:rPr>
            </w:pPr>
            <w:r w:rsidRPr="004A5E56">
              <w:rPr>
                <w:rFonts w:ascii="Times New Roman" w:hAnsi="Times New Roman" w:cs="Times New Roman"/>
                <w:b/>
                <w:color w:val="000000"/>
                <w:sz w:val="20"/>
                <w:szCs w:val="20"/>
              </w:rPr>
              <w:t>Kopā</w:t>
            </w:r>
            <w:r w:rsidRPr="004A5E56">
              <w:rPr>
                <w:rFonts w:ascii="Times New Roman" w:hAnsi="Times New Roman" w:cs="Times New Roman"/>
                <w:b/>
                <w:color w:val="000000"/>
                <w:sz w:val="20"/>
                <w:szCs w:val="20"/>
              </w:rPr>
              <w:br/>
            </w:r>
            <w:r w:rsidRPr="004A5E56">
              <w:rPr>
                <w:rFonts w:ascii="Times New Roman" w:hAnsi="Times New Roman" w:cs="Times New Roman"/>
                <w:color w:val="000000"/>
                <w:sz w:val="20"/>
                <w:szCs w:val="20"/>
              </w:rPr>
              <w:t xml:space="preserve"> tai skaitā:</w:t>
            </w:r>
          </w:p>
        </w:tc>
        <w:tc>
          <w:tcPr>
            <w:tcW w:w="963" w:type="dxa"/>
            <w:tcBorders>
              <w:top w:val="single" w:sz="8" w:space="0" w:color="9BBB59" w:themeColor="accent3"/>
            </w:tcBorders>
          </w:tcPr>
          <w:p w:rsidR="00615113" w:rsidRPr="004A5E56" w:rsidRDefault="00615113" w:rsidP="002B55B7">
            <w:pPr>
              <w:jc w:val="center"/>
              <w:rPr>
                <w:rFonts w:ascii="Times New Roman" w:hAnsi="Times New Roman" w:cs="Times New Roman"/>
                <w:b/>
                <w:color w:val="000000"/>
                <w:sz w:val="20"/>
                <w:szCs w:val="20"/>
              </w:rPr>
            </w:pPr>
            <w:r w:rsidRPr="004A5E56">
              <w:rPr>
                <w:rFonts w:ascii="Times New Roman" w:hAnsi="Times New Roman" w:cs="Times New Roman"/>
                <w:b/>
                <w:color w:val="000000"/>
                <w:sz w:val="20"/>
                <w:szCs w:val="20"/>
              </w:rPr>
              <w:t>100</w:t>
            </w:r>
          </w:p>
        </w:tc>
        <w:tc>
          <w:tcPr>
            <w:tcW w:w="1291" w:type="dxa"/>
            <w:tcBorders>
              <w:top w:val="single" w:sz="8" w:space="0" w:color="9BBB59" w:themeColor="accent3"/>
            </w:tcBorders>
          </w:tcPr>
          <w:p w:rsidR="00615113" w:rsidRPr="004A5E56" w:rsidRDefault="00615113" w:rsidP="002B55B7">
            <w:pPr>
              <w:jc w:val="center"/>
              <w:rPr>
                <w:rFonts w:ascii="Times New Roman" w:hAnsi="Times New Roman" w:cs="Times New Roman"/>
                <w:b/>
                <w:color w:val="000000"/>
                <w:sz w:val="20"/>
                <w:szCs w:val="20"/>
              </w:rPr>
            </w:pPr>
            <w:r w:rsidRPr="004A5E56">
              <w:rPr>
                <w:rFonts w:ascii="Times New Roman" w:hAnsi="Times New Roman" w:cs="Times New Roman"/>
                <w:b/>
                <w:color w:val="000000"/>
                <w:sz w:val="20"/>
                <w:szCs w:val="20"/>
              </w:rPr>
              <w:t>-18,7</w:t>
            </w:r>
          </w:p>
        </w:tc>
        <w:tc>
          <w:tcPr>
            <w:tcW w:w="1073" w:type="dxa"/>
            <w:tcBorders>
              <w:top w:val="single" w:sz="8" w:space="0" w:color="9BBB59" w:themeColor="accent3"/>
            </w:tcBorders>
          </w:tcPr>
          <w:p w:rsidR="00615113" w:rsidRPr="004A5E56" w:rsidRDefault="00615113" w:rsidP="002B55B7">
            <w:pPr>
              <w:jc w:val="center"/>
              <w:rPr>
                <w:rFonts w:ascii="Times New Roman" w:hAnsi="Times New Roman" w:cs="Times New Roman"/>
                <w:b/>
                <w:color w:val="000000"/>
                <w:sz w:val="20"/>
                <w:szCs w:val="20"/>
              </w:rPr>
            </w:pPr>
            <w:r w:rsidRPr="004A5E56">
              <w:rPr>
                <w:rFonts w:ascii="Times New Roman" w:hAnsi="Times New Roman" w:cs="Times New Roman"/>
                <w:b/>
                <w:color w:val="000000"/>
                <w:sz w:val="20"/>
                <w:szCs w:val="20"/>
              </w:rPr>
              <w:t>100</w:t>
            </w:r>
          </w:p>
        </w:tc>
        <w:tc>
          <w:tcPr>
            <w:tcW w:w="1370" w:type="dxa"/>
            <w:tcBorders>
              <w:top w:val="single" w:sz="8" w:space="0" w:color="9BBB59" w:themeColor="accent3"/>
            </w:tcBorders>
          </w:tcPr>
          <w:p w:rsidR="00615113" w:rsidRPr="004A5E56" w:rsidRDefault="00615113" w:rsidP="002B55B7">
            <w:pPr>
              <w:jc w:val="center"/>
              <w:rPr>
                <w:rFonts w:ascii="Times New Roman" w:hAnsi="Times New Roman" w:cs="Times New Roman"/>
                <w:b/>
                <w:color w:val="000000"/>
                <w:sz w:val="20"/>
                <w:szCs w:val="20"/>
              </w:rPr>
            </w:pPr>
            <w:r w:rsidRPr="004A5E56">
              <w:rPr>
                <w:rFonts w:ascii="Times New Roman" w:hAnsi="Times New Roman" w:cs="Times New Roman"/>
                <w:b/>
                <w:color w:val="000000"/>
                <w:sz w:val="20"/>
                <w:szCs w:val="20"/>
              </w:rPr>
              <w:t>29,5</w:t>
            </w:r>
          </w:p>
        </w:tc>
        <w:tc>
          <w:tcPr>
            <w:tcW w:w="1211" w:type="dxa"/>
            <w:tcBorders>
              <w:top w:val="single" w:sz="8" w:space="0" w:color="9BBB59" w:themeColor="accent3"/>
            </w:tcBorders>
          </w:tcPr>
          <w:p w:rsidR="00615113" w:rsidRPr="004A5E56" w:rsidRDefault="00615113" w:rsidP="002B55B7">
            <w:pPr>
              <w:jc w:val="center"/>
              <w:rPr>
                <w:rFonts w:ascii="Times New Roman" w:hAnsi="Times New Roman" w:cs="Times New Roman"/>
                <w:b/>
                <w:color w:val="000000"/>
                <w:sz w:val="20"/>
                <w:szCs w:val="20"/>
              </w:rPr>
            </w:pPr>
            <w:r w:rsidRPr="004A5E56">
              <w:rPr>
                <w:rFonts w:ascii="Times New Roman" w:hAnsi="Times New Roman" w:cs="Times New Roman"/>
                <w:b/>
                <w:color w:val="000000"/>
                <w:sz w:val="20"/>
                <w:szCs w:val="20"/>
              </w:rPr>
              <w:t>29,5</w:t>
            </w:r>
          </w:p>
        </w:tc>
      </w:tr>
      <w:tr w:rsidR="00615113" w:rsidRPr="004A5E56" w:rsidTr="00FB5D7B">
        <w:trPr>
          <w:jc w:val="center"/>
        </w:trPr>
        <w:tc>
          <w:tcPr>
            <w:tcW w:w="2744" w:type="dxa"/>
          </w:tcPr>
          <w:p w:rsidR="00615113" w:rsidRPr="004A5E56" w:rsidRDefault="00615113" w:rsidP="002B55B7">
            <w:pPr>
              <w:numPr>
                <w:ilvl w:val="12"/>
                <w:numId w:val="0"/>
              </w:numPr>
              <w:ind w:firstLine="142"/>
              <w:rPr>
                <w:rFonts w:ascii="Times New Roman" w:hAnsi="Times New Roman" w:cs="Times New Roman"/>
                <w:color w:val="000000"/>
                <w:sz w:val="20"/>
                <w:szCs w:val="20"/>
              </w:rPr>
            </w:pPr>
            <w:r w:rsidRPr="004A5E56">
              <w:rPr>
                <w:rFonts w:ascii="Times New Roman" w:hAnsi="Times New Roman" w:cs="Times New Roman"/>
                <w:color w:val="000000"/>
                <w:sz w:val="20"/>
                <w:szCs w:val="20"/>
              </w:rPr>
              <w:t>koksne un tās izstrādājumi</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16,5</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-19,0</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19,3</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51,3</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8,5</w:t>
            </w:r>
          </w:p>
        </w:tc>
      </w:tr>
      <w:tr w:rsidR="00615113" w:rsidRPr="004A5E56" w:rsidTr="00FB5D7B">
        <w:trPr>
          <w:cnfStyle w:val="000000100000"/>
          <w:jc w:val="center"/>
        </w:trPr>
        <w:tc>
          <w:tcPr>
            <w:tcW w:w="2744" w:type="dxa"/>
          </w:tcPr>
          <w:p w:rsidR="00615113" w:rsidRPr="004A5E56" w:rsidRDefault="00615113" w:rsidP="002B55B7">
            <w:pPr>
              <w:numPr>
                <w:ilvl w:val="12"/>
                <w:numId w:val="0"/>
              </w:numPr>
              <w:ind w:left="142"/>
              <w:rPr>
                <w:rFonts w:ascii="Times New Roman" w:hAnsi="Times New Roman" w:cs="Times New Roman"/>
                <w:color w:val="000000"/>
                <w:sz w:val="20"/>
                <w:szCs w:val="20"/>
              </w:rPr>
            </w:pPr>
            <w:r w:rsidRPr="004A5E56">
              <w:rPr>
                <w:rFonts w:ascii="Times New Roman" w:hAnsi="Times New Roman" w:cs="Times New Roman"/>
                <w:color w:val="000000"/>
                <w:sz w:val="20"/>
                <w:szCs w:val="20"/>
              </w:rPr>
              <w:t>metāli un to izstrādājumi</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12,4</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-39,4</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13,9</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45,2</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5,6</w:t>
            </w:r>
          </w:p>
        </w:tc>
      </w:tr>
      <w:tr w:rsidR="00615113" w:rsidRPr="004A5E56" w:rsidTr="00FB5D7B">
        <w:trPr>
          <w:jc w:val="center"/>
        </w:trPr>
        <w:tc>
          <w:tcPr>
            <w:tcW w:w="2744" w:type="dxa"/>
          </w:tcPr>
          <w:p w:rsidR="00615113" w:rsidRPr="004A5E56" w:rsidRDefault="00615113" w:rsidP="002B55B7">
            <w:pPr>
              <w:numPr>
                <w:ilvl w:val="12"/>
                <w:numId w:val="0"/>
              </w:numPr>
              <w:ind w:firstLine="142"/>
              <w:rPr>
                <w:rFonts w:ascii="Times New Roman" w:hAnsi="Times New Roman" w:cs="Times New Roman"/>
                <w:color w:val="000000"/>
                <w:sz w:val="20"/>
                <w:szCs w:val="20"/>
              </w:rPr>
            </w:pPr>
            <w:r w:rsidRPr="004A5E56">
              <w:rPr>
                <w:rFonts w:ascii="Times New Roman" w:hAnsi="Times New Roman" w:cs="Times New Roman"/>
                <w:color w:val="000000"/>
                <w:sz w:val="20"/>
                <w:szCs w:val="20"/>
              </w:rPr>
              <w:t>vieglās rūpniecības preces</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5,7</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-24,3</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4,9</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13,4</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0,8</w:t>
            </w:r>
          </w:p>
        </w:tc>
      </w:tr>
      <w:tr w:rsidR="00615113" w:rsidRPr="004A5E56" w:rsidTr="00FB5D7B">
        <w:trPr>
          <w:cnfStyle w:val="000000100000"/>
          <w:jc w:val="center"/>
        </w:trPr>
        <w:tc>
          <w:tcPr>
            <w:tcW w:w="2744" w:type="dxa"/>
          </w:tcPr>
          <w:p w:rsidR="00615113" w:rsidRPr="004A5E56" w:rsidRDefault="00615113" w:rsidP="002B55B7">
            <w:pPr>
              <w:numPr>
                <w:ilvl w:val="12"/>
                <w:numId w:val="0"/>
              </w:numPr>
              <w:ind w:firstLine="142"/>
              <w:rPr>
                <w:rFonts w:ascii="Times New Roman" w:hAnsi="Times New Roman" w:cs="Times New Roman"/>
                <w:color w:val="000000"/>
                <w:sz w:val="20"/>
                <w:szCs w:val="20"/>
              </w:rPr>
            </w:pPr>
            <w:r w:rsidRPr="004A5E56">
              <w:rPr>
                <w:rFonts w:ascii="Times New Roman" w:hAnsi="Times New Roman" w:cs="Times New Roman"/>
                <w:color w:val="000000"/>
                <w:sz w:val="20"/>
                <w:szCs w:val="20"/>
              </w:rPr>
              <w:t>lauksaimniecības un pārtikas produkti</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18,6</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-10,6</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17,7</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23,0</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4,3</w:t>
            </w:r>
          </w:p>
        </w:tc>
      </w:tr>
      <w:tr w:rsidR="00615113" w:rsidRPr="004A5E56" w:rsidTr="00FB5D7B">
        <w:trPr>
          <w:jc w:val="center"/>
        </w:trPr>
        <w:tc>
          <w:tcPr>
            <w:tcW w:w="2744" w:type="dxa"/>
          </w:tcPr>
          <w:p w:rsidR="00615113" w:rsidRPr="004A5E56" w:rsidRDefault="00615113" w:rsidP="002B55B7">
            <w:pPr>
              <w:numPr>
                <w:ilvl w:val="12"/>
                <w:numId w:val="0"/>
              </w:numPr>
              <w:ind w:left="142" w:right="-95"/>
              <w:rPr>
                <w:rFonts w:ascii="Times New Roman" w:hAnsi="Times New Roman" w:cs="Times New Roman"/>
                <w:color w:val="000000"/>
                <w:sz w:val="20"/>
                <w:szCs w:val="20"/>
              </w:rPr>
            </w:pPr>
            <w:r w:rsidRPr="004A5E56">
              <w:rPr>
                <w:rFonts w:ascii="Times New Roman" w:hAnsi="Times New Roman" w:cs="Times New Roman"/>
                <w:color w:val="000000"/>
                <w:sz w:val="20"/>
                <w:szCs w:val="20"/>
              </w:rPr>
              <w:t xml:space="preserve">ķīmiskās rūpniecības, tās saskarnozaru </w:t>
            </w:r>
            <w:r w:rsidRPr="004A5E56">
              <w:rPr>
                <w:rFonts w:ascii="Times New Roman" w:hAnsi="Times New Roman" w:cs="Times New Roman"/>
                <w:color w:val="000000"/>
                <w:sz w:val="20"/>
                <w:szCs w:val="20"/>
              </w:rPr>
              <w:br/>
              <w:t>produkcija un plastmasas</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11,4</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-17,6</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10,9</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24,3</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2,8</w:t>
            </w:r>
          </w:p>
        </w:tc>
      </w:tr>
      <w:tr w:rsidR="00615113" w:rsidRPr="004A5E56" w:rsidTr="00FB5D7B">
        <w:trPr>
          <w:cnfStyle w:val="000000100000"/>
          <w:jc w:val="center"/>
        </w:trPr>
        <w:tc>
          <w:tcPr>
            <w:tcW w:w="2744" w:type="dxa"/>
          </w:tcPr>
          <w:p w:rsidR="00615113" w:rsidRPr="004A5E56" w:rsidRDefault="00615113" w:rsidP="002B55B7">
            <w:pPr>
              <w:numPr>
                <w:ilvl w:val="12"/>
                <w:numId w:val="0"/>
              </w:numPr>
              <w:ind w:left="142"/>
              <w:rPr>
                <w:rFonts w:ascii="Times New Roman" w:hAnsi="Times New Roman" w:cs="Times New Roman"/>
                <w:color w:val="000000"/>
                <w:sz w:val="20"/>
                <w:szCs w:val="20"/>
              </w:rPr>
            </w:pPr>
            <w:r w:rsidRPr="004A5E56">
              <w:rPr>
                <w:rFonts w:ascii="Times New Roman" w:hAnsi="Times New Roman" w:cs="Times New Roman"/>
                <w:color w:val="000000"/>
                <w:sz w:val="20"/>
                <w:szCs w:val="20"/>
              </w:rPr>
              <w:t>mašīnbūves produkcija</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14,1</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-8,0</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12,7</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16,8</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2,4</w:t>
            </w:r>
          </w:p>
        </w:tc>
      </w:tr>
      <w:tr w:rsidR="00615113" w:rsidRPr="004A5E56" w:rsidTr="00FB5D7B">
        <w:trPr>
          <w:jc w:val="center"/>
        </w:trPr>
        <w:tc>
          <w:tcPr>
            <w:tcW w:w="2744" w:type="dxa"/>
          </w:tcPr>
          <w:p w:rsidR="00615113" w:rsidRPr="004A5E56" w:rsidRDefault="00615113" w:rsidP="002B55B7">
            <w:pPr>
              <w:numPr>
                <w:ilvl w:val="12"/>
                <w:numId w:val="0"/>
              </w:numPr>
              <w:ind w:left="142"/>
              <w:rPr>
                <w:rFonts w:ascii="Times New Roman" w:hAnsi="Times New Roman" w:cs="Times New Roman"/>
                <w:color w:val="000000"/>
                <w:sz w:val="20"/>
                <w:szCs w:val="20"/>
              </w:rPr>
            </w:pPr>
            <w:r w:rsidRPr="004A5E56">
              <w:rPr>
                <w:rFonts w:ascii="Times New Roman" w:hAnsi="Times New Roman" w:cs="Times New Roman"/>
                <w:color w:val="000000"/>
                <w:sz w:val="20"/>
                <w:szCs w:val="20"/>
              </w:rPr>
              <w:t>minerālie produkti</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5,5</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8,5</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6,1</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41,8</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2,3</w:t>
            </w:r>
          </w:p>
        </w:tc>
      </w:tr>
      <w:tr w:rsidR="00615113" w:rsidRPr="004A5E56" w:rsidTr="00FB5D7B">
        <w:trPr>
          <w:cnfStyle w:val="000000100000"/>
          <w:jc w:val="center"/>
        </w:trPr>
        <w:tc>
          <w:tcPr>
            <w:tcW w:w="2744" w:type="dxa"/>
          </w:tcPr>
          <w:p w:rsidR="00615113" w:rsidRPr="004A5E56" w:rsidRDefault="00615113" w:rsidP="002B55B7">
            <w:pPr>
              <w:numPr>
                <w:ilvl w:val="12"/>
                <w:numId w:val="0"/>
              </w:numPr>
              <w:ind w:left="142"/>
              <w:rPr>
                <w:rFonts w:ascii="Times New Roman" w:hAnsi="Times New Roman" w:cs="Times New Roman"/>
                <w:color w:val="000000"/>
                <w:sz w:val="20"/>
                <w:szCs w:val="20"/>
              </w:rPr>
            </w:pPr>
            <w:r w:rsidRPr="004A5E56">
              <w:rPr>
                <w:rFonts w:ascii="Times New Roman" w:hAnsi="Times New Roman" w:cs="Times New Roman"/>
                <w:color w:val="000000"/>
                <w:sz w:val="20"/>
                <w:szCs w:val="20"/>
              </w:rPr>
              <w:t>transporta līdzekļi</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7,1</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-22,0</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5,9</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8,6</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0,6</w:t>
            </w:r>
          </w:p>
        </w:tc>
      </w:tr>
      <w:tr w:rsidR="00615113" w:rsidRPr="004A5E56" w:rsidTr="00FB5D7B">
        <w:trPr>
          <w:jc w:val="center"/>
        </w:trPr>
        <w:tc>
          <w:tcPr>
            <w:tcW w:w="2744" w:type="dxa"/>
          </w:tcPr>
          <w:p w:rsidR="00615113" w:rsidRPr="004A5E56" w:rsidRDefault="00615113" w:rsidP="002B55B7">
            <w:pPr>
              <w:numPr>
                <w:ilvl w:val="12"/>
                <w:numId w:val="0"/>
              </w:numPr>
              <w:ind w:firstLine="142"/>
              <w:rPr>
                <w:rFonts w:ascii="Times New Roman" w:hAnsi="Times New Roman" w:cs="Times New Roman"/>
                <w:color w:val="000000"/>
                <w:sz w:val="20"/>
                <w:szCs w:val="20"/>
              </w:rPr>
            </w:pPr>
            <w:r w:rsidRPr="004A5E56">
              <w:rPr>
                <w:rFonts w:ascii="Times New Roman" w:hAnsi="Times New Roman" w:cs="Times New Roman"/>
                <w:color w:val="000000"/>
                <w:sz w:val="20"/>
                <w:szCs w:val="20"/>
              </w:rPr>
              <w:t>pārējās preces</w:t>
            </w:r>
          </w:p>
        </w:tc>
        <w:tc>
          <w:tcPr>
            <w:tcW w:w="96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8,7</w:t>
            </w:r>
          </w:p>
        </w:tc>
        <w:tc>
          <w:tcPr>
            <w:tcW w:w="129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-16,7</w:t>
            </w:r>
          </w:p>
        </w:tc>
        <w:tc>
          <w:tcPr>
            <w:tcW w:w="1073"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8,5</w:t>
            </w:r>
          </w:p>
        </w:tc>
        <w:tc>
          <w:tcPr>
            <w:tcW w:w="1370"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27,1</w:t>
            </w:r>
          </w:p>
        </w:tc>
        <w:tc>
          <w:tcPr>
            <w:tcW w:w="1211" w:type="dxa"/>
            <w:vAlign w:val="bottom"/>
          </w:tcPr>
          <w:p w:rsidR="00615113" w:rsidRPr="004A5E56" w:rsidRDefault="00615113" w:rsidP="002B55B7">
            <w:pPr>
              <w:jc w:val="center"/>
              <w:rPr>
                <w:rFonts w:ascii="Times New Roman" w:hAnsi="Times New Roman" w:cs="Times New Roman"/>
                <w:color w:val="000000"/>
                <w:sz w:val="20"/>
                <w:szCs w:val="20"/>
              </w:rPr>
            </w:pPr>
            <w:r w:rsidRPr="004A5E56">
              <w:rPr>
                <w:rFonts w:ascii="Times New Roman" w:hAnsi="Times New Roman" w:cs="Times New Roman"/>
                <w:color w:val="000000"/>
                <w:sz w:val="20"/>
                <w:szCs w:val="20"/>
              </w:rPr>
              <w:t>2,3</w:t>
            </w:r>
          </w:p>
        </w:tc>
      </w:tr>
    </w:tbl>
    <w:p w:rsidR="00615113" w:rsidRDefault="00615113" w:rsidP="00847DE5">
      <w:pPr>
        <w:spacing w:after="240" w:line="240" w:lineRule="auto"/>
        <w:ind w:right="-142"/>
        <w:rPr>
          <w:rFonts w:ascii="Times New Roman" w:hAnsi="Times New Roman" w:cs="Times New Roman"/>
          <w:sz w:val="20"/>
          <w:szCs w:val="20"/>
        </w:rPr>
      </w:pPr>
      <w:r w:rsidRPr="00F67A5B">
        <w:rPr>
          <w:rFonts w:ascii="Times New Roman" w:hAnsi="Times New Roman" w:cs="Times New Roman"/>
          <w:sz w:val="20"/>
          <w:szCs w:val="20"/>
        </w:rPr>
        <w:t xml:space="preserve">Avots: </w:t>
      </w:r>
      <w:r>
        <w:rPr>
          <w:rFonts w:ascii="Times New Roman" w:hAnsi="Times New Roman" w:cs="Times New Roman"/>
          <w:sz w:val="20"/>
          <w:szCs w:val="20"/>
        </w:rPr>
        <w:t>Centrālā Statistikas pārvalde</w:t>
      </w:r>
    </w:p>
    <w:p w:rsidR="00961CD6" w:rsidRPr="00B907AC" w:rsidRDefault="00615113" w:rsidP="00B907AC">
      <w:pPr>
        <w:spacing w:after="0" w:line="240" w:lineRule="auto"/>
        <w:ind w:firstLine="567"/>
        <w:jc w:val="both"/>
        <w:rPr>
          <w:rFonts w:ascii="Times New Roman" w:hAnsi="Times New Roman" w:cs="Times New Roman"/>
          <w:sz w:val="26"/>
          <w:szCs w:val="26"/>
        </w:rPr>
      </w:pPr>
      <w:r>
        <w:rPr>
          <w:rFonts w:ascii="Times New Roman" w:hAnsi="Times New Roman" w:cs="Times New Roman"/>
          <w:color w:val="000000"/>
          <w:sz w:val="26"/>
          <w:szCs w:val="26"/>
        </w:rPr>
        <w:t xml:space="preserve">2010.gadā </w:t>
      </w:r>
      <w:r w:rsidRPr="00890A4E">
        <w:rPr>
          <w:rFonts w:ascii="Times New Roman" w:hAnsi="Times New Roman" w:cs="Times New Roman"/>
          <w:color w:val="000000"/>
          <w:sz w:val="26"/>
          <w:szCs w:val="26"/>
        </w:rPr>
        <w:t>Latvij</w:t>
      </w:r>
      <w:r>
        <w:rPr>
          <w:rFonts w:ascii="Times New Roman" w:hAnsi="Times New Roman" w:cs="Times New Roman"/>
          <w:color w:val="000000"/>
          <w:sz w:val="26"/>
          <w:szCs w:val="26"/>
        </w:rPr>
        <w:t>a</w:t>
      </w:r>
      <w:r w:rsidRPr="00890A4E">
        <w:rPr>
          <w:rFonts w:ascii="Times New Roman" w:hAnsi="Times New Roman" w:cs="Times New Roman"/>
          <w:color w:val="000000"/>
          <w:sz w:val="26"/>
          <w:szCs w:val="26"/>
        </w:rPr>
        <w:t xml:space="preserve"> eksportēja preces uz </w:t>
      </w:r>
      <w:r w:rsidRPr="00890A4E">
        <w:rPr>
          <w:rFonts w:ascii="Times New Roman" w:hAnsi="Times New Roman" w:cs="Times New Roman"/>
          <w:bCs/>
          <w:color w:val="000000"/>
          <w:sz w:val="26"/>
          <w:szCs w:val="26"/>
        </w:rPr>
        <w:t>179</w:t>
      </w:r>
      <w:r w:rsidRPr="00890A4E">
        <w:rPr>
          <w:rFonts w:ascii="Times New Roman" w:hAnsi="Times New Roman" w:cs="Times New Roman"/>
          <w:color w:val="000000"/>
          <w:sz w:val="26"/>
          <w:szCs w:val="26"/>
        </w:rPr>
        <w:t xml:space="preserve"> dažādām valstīm (uz 20 valstīm 89%).</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Lielākais </w:t>
      </w:r>
      <w:r w:rsidRPr="004C3887">
        <w:rPr>
          <w:rFonts w:ascii="Times New Roman" w:hAnsi="Times New Roman" w:cs="Times New Roman"/>
          <w:sz w:val="26"/>
          <w:szCs w:val="26"/>
        </w:rPr>
        <w:t xml:space="preserve">Latvijas tirdzniecības un eksporta partneris ir </w:t>
      </w:r>
      <w:r>
        <w:rPr>
          <w:rFonts w:ascii="Times New Roman" w:hAnsi="Times New Roman" w:cs="Times New Roman"/>
          <w:sz w:val="26"/>
          <w:szCs w:val="26"/>
        </w:rPr>
        <w:t>Eiropas Savienības valstis</w:t>
      </w:r>
      <w:r w:rsidRPr="004C3887">
        <w:rPr>
          <w:rFonts w:ascii="Times New Roman" w:hAnsi="Times New Roman" w:cs="Times New Roman"/>
          <w:sz w:val="26"/>
          <w:szCs w:val="26"/>
        </w:rPr>
        <w:t xml:space="preserve"> </w:t>
      </w:r>
      <w:r>
        <w:rPr>
          <w:rFonts w:ascii="Times New Roman" w:hAnsi="Times New Roman" w:cs="Times New Roman"/>
          <w:sz w:val="26"/>
          <w:szCs w:val="26"/>
        </w:rPr>
        <w:t>(</w:t>
      </w:r>
      <w:r w:rsidR="00565CDB">
        <w:rPr>
          <w:rFonts w:ascii="Times New Roman" w:hAnsi="Times New Roman" w:cs="Times New Roman"/>
          <w:sz w:val="26"/>
          <w:szCs w:val="26"/>
        </w:rPr>
        <w:t xml:space="preserve">turpmāk – </w:t>
      </w:r>
      <w:r>
        <w:rPr>
          <w:rFonts w:ascii="Times New Roman" w:hAnsi="Times New Roman" w:cs="Times New Roman"/>
          <w:sz w:val="26"/>
          <w:szCs w:val="26"/>
        </w:rPr>
        <w:t>ES)</w:t>
      </w:r>
      <w:r w:rsidRPr="004C3887">
        <w:rPr>
          <w:rFonts w:ascii="Times New Roman" w:hAnsi="Times New Roman" w:cs="Times New Roman"/>
          <w:sz w:val="26"/>
          <w:szCs w:val="26"/>
        </w:rPr>
        <w:t xml:space="preserve">. </w:t>
      </w:r>
    </w:p>
    <w:p w:rsidR="00961CD6" w:rsidRDefault="00961CD6" w:rsidP="002B55B7">
      <w:pPr>
        <w:pStyle w:val="BodyText2"/>
        <w:spacing w:after="0" w:line="240" w:lineRule="auto"/>
        <w:jc w:val="center"/>
        <w:rPr>
          <w:b/>
          <w:bCs/>
          <w:color w:val="000000"/>
          <w:sz w:val="22"/>
          <w:szCs w:val="22"/>
          <w:lang w:val="lv-LV"/>
        </w:rPr>
      </w:pPr>
    </w:p>
    <w:p w:rsidR="00961CD6" w:rsidRDefault="00961CD6" w:rsidP="002B55B7">
      <w:pPr>
        <w:pStyle w:val="BodyText2"/>
        <w:spacing w:after="0" w:line="240" w:lineRule="auto"/>
        <w:jc w:val="center"/>
        <w:rPr>
          <w:b/>
          <w:bCs/>
          <w:color w:val="000000"/>
          <w:sz w:val="22"/>
          <w:szCs w:val="22"/>
          <w:lang w:val="lv-LV"/>
        </w:rPr>
      </w:pPr>
    </w:p>
    <w:p w:rsidR="00D54D2A" w:rsidRPr="00D54D2A" w:rsidRDefault="00D54D2A" w:rsidP="002B55B7">
      <w:pPr>
        <w:pStyle w:val="BodyText2"/>
        <w:spacing w:after="0" w:line="240" w:lineRule="auto"/>
        <w:jc w:val="center"/>
        <w:rPr>
          <w:b/>
          <w:bCs/>
          <w:color w:val="000000"/>
          <w:sz w:val="22"/>
          <w:szCs w:val="22"/>
          <w:lang w:val="lv-LV"/>
        </w:rPr>
      </w:pPr>
      <w:r w:rsidRPr="00D54D2A">
        <w:rPr>
          <w:b/>
          <w:bCs/>
          <w:color w:val="000000"/>
          <w:sz w:val="22"/>
          <w:szCs w:val="22"/>
          <w:lang w:val="lv-LV"/>
        </w:rPr>
        <w:lastRenderedPageBreak/>
        <w:t>Latvijas preču eksporta struktūra pa valstu grupām</w:t>
      </w:r>
    </w:p>
    <w:p w:rsidR="00D54D2A" w:rsidRPr="00D54D2A" w:rsidRDefault="00D54D2A" w:rsidP="00351055">
      <w:pPr>
        <w:spacing w:after="120" w:line="240" w:lineRule="auto"/>
        <w:jc w:val="center"/>
        <w:rPr>
          <w:rFonts w:ascii="Times New Roman" w:hAnsi="Times New Roman" w:cs="Times New Roman"/>
        </w:rPr>
      </w:pPr>
      <w:r w:rsidRPr="00D54D2A">
        <w:rPr>
          <w:rFonts w:ascii="Times New Roman" w:hAnsi="Times New Roman" w:cs="Times New Roman"/>
        </w:rPr>
        <w:t>(milj. latu)</w:t>
      </w:r>
    </w:p>
    <w:p w:rsidR="00D54D2A" w:rsidRPr="00D54D2A" w:rsidRDefault="00D54D2A" w:rsidP="002B55B7">
      <w:pPr>
        <w:spacing w:after="0" w:line="240" w:lineRule="auto"/>
        <w:ind w:right="-58"/>
        <w:jc w:val="center"/>
        <w:rPr>
          <w:rFonts w:ascii="Times New Roman" w:hAnsi="Times New Roman" w:cs="Times New Roman"/>
        </w:rPr>
      </w:pPr>
      <w:r w:rsidRPr="00D54D2A">
        <w:rPr>
          <w:rFonts w:ascii="Times New Roman" w:hAnsi="Times New Roman" w:cs="Times New Roman"/>
          <w:noProof/>
          <w:color w:val="000000"/>
          <w:lang w:eastAsia="lv-LV"/>
        </w:rPr>
        <w:drawing>
          <wp:inline distT="0" distB="0" distL="0" distR="0">
            <wp:extent cx="4772025" cy="2562225"/>
            <wp:effectExtent l="0" t="0" r="0" b="0"/>
            <wp:docPr id="2"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7E0F" w:rsidRPr="00D54D2A" w:rsidRDefault="00D54D2A" w:rsidP="00847DE5">
      <w:pPr>
        <w:spacing w:after="240" w:line="240" w:lineRule="auto"/>
        <w:ind w:right="-142" w:firstLine="1276"/>
        <w:rPr>
          <w:rFonts w:ascii="Times New Roman" w:hAnsi="Times New Roman" w:cs="Times New Roman"/>
          <w:sz w:val="20"/>
          <w:szCs w:val="20"/>
        </w:rPr>
      </w:pPr>
      <w:r w:rsidRPr="00D54D2A">
        <w:rPr>
          <w:rFonts w:ascii="Times New Roman" w:hAnsi="Times New Roman" w:cs="Times New Roman"/>
          <w:sz w:val="20"/>
          <w:szCs w:val="20"/>
        </w:rPr>
        <w:t>Avot</w:t>
      </w:r>
      <w:r>
        <w:rPr>
          <w:rFonts w:ascii="Times New Roman" w:hAnsi="Times New Roman" w:cs="Times New Roman"/>
          <w:sz w:val="20"/>
          <w:szCs w:val="20"/>
        </w:rPr>
        <w:t>s: Centrālā Statistikas pārvalde</w:t>
      </w:r>
    </w:p>
    <w:p w:rsidR="00A07E0F" w:rsidRDefault="00A07E0F" w:rsidP="002B55B7">
      <w:pPr>
        <w:spacing w:after="0" w:line="240" w:lineRule="auto"/>
        <w:ind w:firstLine="567"/>
        <w:jc w:val="both"/>
        <w:rPr>
          <w:rFonts w:ascii="Times New Roman" w:hAnsi="Times New Roman" w:cs="Times New Roman"/>
          <w:sz w:val="26"/>
          <w:szCs w:val="26"/>
        </w:rPr>
      </w:pPr>
      <w:r w:rsidRPr="004C3887">
        <w:rPr>
          <w:rFonts w:ascii="Times New Roman" w:hAnsi="Times New Roman" w:cs="Times New Roman"/>
          <w:sz w:val="26"/>
          <w:szCs w:val="26"/>
        </w:rPr>
        <w:t>Latvija pievērš īpašu uzmanību ekonomisko attiecību attīstībai ar</w:t>
      </w:r>
      <w:r>
        <w:rPr>
          <w:rFonts w:ascii="Times New Roman" w:hAnsi="Times New Roman" w:cs="Times New Roman"/>
          <w:sz w:val="26"/>
          <w:szCs w:val="26"/>
        </w:rPr>
        <w:t xml:space="preserve"> ES valstīm</w:t>
      </w:r>
      <w:r w:rsidRPr="004C3887">
        <w:rPr>
          <w:rFonts w:ascii="Times New Roman" w:hAnsi="Times New Roman" w:cs="Times New Roman"/>
          <w:sz w:val="26"/>
          <w:szCs w:val="26"/>
        </w:rPr>
        <w:t xml:space="preserve">, NVS valstīm (aktīvs ekonomiskais dialogs tiek uzturēts ar noslēgto ekonomiskās sadarbības līgumu ietvaros izveidoto Starpvaldību komisiju ar Krieviju, Baltkrieviju, Ukrainu, Kazahstānu, Azerbaidžānu, Uzbekistānu starpniecību), kā arī ar Āzijas valstīm </w:t>
      </w:r>
      <w:r>
        <w:rPr>
          <w:rFonts w:ascii="Times New Roman" w:hAnsi="Times New Roman" w:cs="Times New Roman"/>
          <w:sz w:val="26"/>
          <w:szCs w:val="26"/>
        </w:rPr>
        <w:t>–</w:t>
      </w:r>
      <w:r w:rsidRPr="004C3887">
        <w:rPr>
          <w:rFonts w:ascii="Times New Roman" w:hAnsi="Times New Roman" w:cs="Times New Roman"/>
          <w:sz w:val="26"/>
          <w:szCs w:val="26"/>
        </w:rPr>
        <w:t xml:space="preserve"> tirgiem ar lielu potenciālu un strauju ekonomisko izaugsmi (Ķīnu, Indiju, Japānu). </w:t>
      </w:r>
    </w:p>
    <w:p w:rsidR="002B55B7" w:rsidRDefault="002B55B7" w:rsidP="008437FF">
      <w:pPr>
        <w:numPr>
          <w:ilvl w:val="12"/>
          <w:numId w:val="0"/>
        </w:numPr>
        <w:spacing w:after="0" w:line="240" w:lineRule="auto"/>
        <w:ind w:right="-58"/>
        <w:outlineLvl w:val="0"/>
        <w:rPr>
          <w:rFonts w:ascii="Times New Roman" w:hAnsi="Times New Roman" w:cs="Times New Roman"/>
          <w:b/>
          <w:sz w:val="26"/>
          <w:szCs w:val="26"/>
        </w:rPr>
      </w:pPr>
    </w:p>
    <w:p w:rsidR="00615113" w:rsidRPr="00473D3F" w:rsidRDefault="00615113" w:rsidP="002B55B7">
      <w:pPr>
        <w:numPr>
          <w:ilvl w:val="12"/>
          <w:numId w:val="0"/>
        </w:numPr>
        <w:spacing w:after="0" w:line="240" w:lineRule="auto"/>
        <w:ind w:right="-58" w:firstLine="567"/>
        <w:jc w:val="center"/>
        <w:outlineLvl w:val="0"/>
        <w:rPr>
          <w:rFonts w:ascii="Times New Roman" w:hAnsi="Times New Roman" w:cs="Times New Roman"/>
          <w:b/>
          <w:sz w:val="26"/>
          <w:szCs w:val="26"/>
        </w:rPr>
      </w:pPr>
      <w:r w:rsidRPr="00473D3F">
        <w:rPr>
          <w:rFonts w:ascii="Times New Roman" w:hAnsi="Times New Roman" w:cs="Times New Roman"/>
          <w:b/>
          <w:sz w:val="26"/>
          <w:szCs w:val="26"/>
        </w:rPr>
        <w:t>Latvijas preču eksporta struktūra pa valstīm</w:t>
      </w:r>
      <w:r w:rsidR="00531D72">
        <w:rPr>
          <w:rFonts w:ascii="Times New Roman" w:hAnsi="Times New Roman" w:cs="Times New Roman"/>
          <w:b/>
          <w:sz w:val="26"/>
          <w:szCs w:val="26"/>
        </w:rPr>
        <w:t xml:space="preserve"> 2010.gadā</w:t>
      </w:r>
    </w:p>
    <w:p w:rsidR="00615113" w:rsidRPr="00473D3F" w:rsidRDefault="00615113" w:rsidP="002B55B7">
      <w:pPr>
        <w:numPr>
          <w:ilvl w:val="12"/>
          <w:numId w:val="0"/>
        </w:numPr>
        <w:spacing w:after="0" w:line="240" w:lineRule="auto"/>
        <w:ind w:right="-58" w:firstLine="567"/>
        <w:jc w:val="center"/>
        <w:outlineLvl w:val="0"/>
        <w:rPr>
          <w:rFonts w:ascii="Times New Roman" w:hAnsi="Times New Roman" w:cs="Times New Roman"/>
        </w:rPr>
      </w:pPr>
      <w:r w:rsidRPr="00473D3F">
        <w:rPr>
          <w:rFonts w:ascii="Times New Roman" w:hAnsi="Times New Roman" w:cs="Times New Roman"/>
        </w:rPr>
        <w:t>(procentos)</w:t>
      </w:r>
    </w:p>
    <w:p w:rsidR="00615113" w:rsidRDefault="00615113" w:rsidP="00143ADB">
      <w:pPr>
        <w:pStyle w:val="BodyTextIndent"/>
      </w:pPr>
      <w:r>
        <w:rPr>
          <w:noProof/>
          <w:lang w:eastAsia="lv-LV"/>
        </w:rPr>
        <w:drawing>
          <wp:inline distT="0" distB="0" distL="0" distR="0">
            <wp:extent cx="5172075" cy="30289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7DE5" w:rsidRDefault="00847DE5" w:rsidP="00847DE5">
      <w:pPr>
        <w:spacing w:after="240" w:line="240" w:lineRule="auto"/>
        <w:ind w:right="-142" w:firstLine="1276"/>
        <w:rPr>
          <w:rFonts w:ascii="Times New Roman" w:hAnsi="Times New Roman" w:cs="Times New Roman"/>
          <w:sz w:val="20"/>
          <w:szCs w:val="20"/>
        </w:rPr>
      </w:pPr>
    </w:p>
    <w:p w:rsidR="00847DE5" w:rsidRPr="00D54D2A" w:rsidRDefault="00847DE5" w:rsidP="00847DE5">
      <w:pPr>
        <w:spacing w:after="240" w:line="240" w:lineRule="auto"/>
        <w:ind w:right="-142" w:firstLine="1276"/>
        <w:rPr>
          <w:rFonts w:ascii="Times New Roman" w:hAnsi="Times New Roman" w:cs="Times New Roman"/>
          <w:sz w:val="20"/>
          <w:szCs w:val="20"/>
        </w:rPr>
      </w:pPr>
      <w:r w:rsidRPr="00D54D2A">
        <w:rPr>
          <w:rFonts w:ascii="Times New Roman" w:hAnsi="Times New Roman" w:cs="Times New Roman"/>
          <w:sz w:val="20"/>
          <w:szCs w:val="20"/>
        </w:rPr>
        <w:t>Avot</w:t>
      </w:r>
      <w:r>
        <w:rPr>
          <w:rFonts w:ascii="Times New Roman" w:hAnsi="Times New Roman" w:cs="Times New Roman"/>
          <w:sz w:val="20"/>
          <w:szCs w:val="20"/>
        </w:rPr>
        <w:t>s: Centrālā Statistikas pārvalde</w:t>
      </w:r>
    </w:p>
    <w:p w:rsidR="00A07E0F" w:rsidRPr="002B55B7" w:rsidRDefault="00615113" w:rsidP="00351055">
      <w:pPr>
        <w:numPr>
          <w:ilvl w:val="12"/>
          <w:numId w:val="0"/>
        </w:numPr>
        <w:spacing w:after="0" w:line="240" w:lineRule="auto"/>
        <w:ind w:firstLine="567"/>
        <w:jc w:val="both"/>
        <w:outlineLvl w:val="0"/>
        <w:rPr>
          <w:rFonts w:ascii="Times New Roman" w:hAnsi="Times New Roman" w:cs="Times New Roman"/>
          <w:sz w:val="26"/>
          <w:szCs w:val="26"/>
        </w:rPr>
      </w:pPr>
      <w:r w:rsidRPr="00183B98">
        <w:rPr>
          <w:rFonts w:ascii="Times New Roman" w:hAnsi="Times New Roman" w:cs="Times New Roman"/>
          <w:sz w:val="26"/>
          <w:szCs w:val="26"/>
        </w:rPr>
        <w:lastRenderedPageBreak/>
        <w:t xml:space="preserve">Pozitīvais pakalpojumu eksporta saldo 2010. gadā gandrīz nosedza negatīvo preču tirdzniecības bilanci. </w:t>
      </w:r>
      <w:r w:rsidRPr="00834B44">
        <w:rPr>
          <w:rFonts w:ascii="Times New Roman" w:hAnsi="Times New Roman" w:cs="Times New Roman"/>
          <w:sz w:val="26"/>
          <w:szCs w:val="26"/>
        </w:rPr>
        <w:t>Nedaudz vairāk par pusi no pakalpojumu eksporta joprojām sastāda ar pārvadājumiem gūtie ienākumi. Kopumā pārvadājumu eksports ir nedaudz sarucis, ir samazinājušies ienākumi no jūras pārvadājumiem, bet līdzīgos apjomos pieauguši aviopārvadājumi. Tāpat ir sarukuši ienākumi no Latvijā iebraukušajiem tūristiem, ko kompensēja komercdarbības pakalpojumu eksporta pieaugums.</w:t>
      </w:r>
    </w:p>
    <w:p w:rsidR="00D54D2A" w:rsidRDefault="00D54D2A" w:rsidP="002B55B7">
      <w:pPr>
        <w:numPr>
          <w:ilvl w:val="12"/>
          <w:numId w:val="0"/>
        </w:numPr>
        <w:spacing w:after="0" w:line="240" w:lineRule="auto"/>
        <w:outlineLvl w:val="0"/>
        <w:rPr>
          <w:rFonts w:ascii="Times New Roman" w:hAnsi="Times New Roman" w:cs="Times New Roman"/>
          <w:b/>
          <w:color w:val="000000"/>
          <w:sz w:val="26"/>
          <w:szCs w:val="24"/>
        </w:rPr>
      </w:pPr>
    </w:p>
    <w:p w:rsidR="00615113" w:rsidRPr="00A07E0F" w:rsidRDefault="00615113" w:rsidP="00351055">
      <w:pPr>
        <w:numPr>
          <w:ilvl w:val="12"/>
          <w:numId w:val="0"/>
        </w:numPr>
        <w:spacing w:after="120" w:line="240" w:lineRule="auto"/>
        <w:jc w:val="center"/>
        <w:outlineLvl w:val="0"/>
        <w:rPr>
          <w:rFonts w:ascii="Times New Roman" w:hAnsi="Times New Roman" w:cs="Times New Roman"/>
          <w:b/>
          <w:color w:val="000000"/>
          <w:sz w:val="26"/>
          <w:szCs w:val="26"/>
        </w:rPr>
      </w:pPr>
      <w:r w:rsidRPr="00A07E0F">
        <w:rPr>
          <w:rFonts w:ascii="Times New Roman" w:hAnsi="Times New Roman" w:cs="Times New Roman"/>
          <w:b/>
          <w:color w:val="000000"/>
          <w:sz w:val="26"/>
          <w:szCs w:val="26"/>
        </w:rPr>
        <w:t>Pakalpojumu eksports</w:t>
      </w:r>
      <w:r w:rsidRPr="00A07E0F">
        <w:rPr>
          <w:rFonts w:ascii="Times New Roman" w:hAnsi="Times New Roman" w:cs="Times New Roman"/>
          <w:b/>
          <w:color w:val="000000"/>
          <w:sz w:val="26"/>
          <w:szCs w:val="26"/>
        </w:rPr>
        <w:br/>
      </w:r>
      <w:r w:rsidRPr="00351055">
        <w:rPr>
          <w:rFonts w:ascii="Times New Roman" w:hAnsi="Times New Roman" w:cs="Times New Roman"/>
        </w:rPr>
        <w:t>(procentos)</w:t>
      </w:r>
    </w:p>
    <w:tbl>
      <w:tblPr>
        <w:tblStyle w:val="MediumList1-Accent3"/>
        <w:tblW w:w="8802" w:type="dxa"/>
        <w:jc w:val="center"/>
        <w:tblInd w:w="-1422" w:type="dxa"/>
        <w:tblLayout w:type="fixed"/>
        <w:tblLook w:val="0400"/>
      </w:tblPr>
      <w:tblGrid>
        <w:gridCol w:w="2707"/>
        <w:gridCol w:w="1194"/>
        <w:gridCol w:w="1499"/>
        <w:gridCol w:w="1336"/>
        <w:gridCol w:w="2066"/>
      </w:tblGrid>
      <w:tr w:rsidR="00615113" w:rsidRPr="00F67A5B" w:rsidTr="00FB5D7B">
        <w:trPr>
          <w:cnfStyle w:val="000000100000"/>
          <w:trHeight w:val="60"/>
          <w:jc w:val="center"/>
        </w:trPr>
        <w:tc>
          <w:tcPr>
            <w:tcW w:w="2707" w:type="dxa"/>
            <w:tcBorders>
              <w:bottom w:val="nil"/>
            </w:tcBorders>
          </w:tcPr>
          <w:p w:rsidR="00615113" w:rsidRPr="00F67A5B" w:rsidRDefault="00615113" w:rsidP="002B55B7">
            <w:pPr>
              <w:numPr>
                <w:ilvl w:val="12"/>
                <w:numId w:val="0"/>
              </w:numPr>
              <w:jc w:val="center"/>
              <w:rPr>
                <w:rFonts w:ascii="Times New Roman" w:hAnsi="Times New Roman" w:cs="Times New Roman"/>
                <w:color w:val="000000"/>
                <w:sz w:val="20"/>
                <w:szCs w:val="20"/>
              </w:rPr>
            </w:pPr>
          </w:p>
        </w:tc>
        <w:tc>
          <w:tcPr>
            <w:tcW w:w="2693" w:type="dxa"/>
            <w:gridSpan w:val="2"/>
            <w:tcBorders>
              <w:bottom w:val="nil"/>
            </w:tcBorders>
          </w:tcPr>
          <w:p w:rsidR="00615113" w:rsidRPr="00F67A5B" w:rsidRDefault="00615113" w:rsidP="002B55B7">
            <w:pPr>
              <w:numPr>
                <w:ilvl w:val="12"/>
                <w:numId w:val="0"/>
              </w:num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2009</w:t>
            </w:r>
          </w:p>
        </w:tc>
        <w:tc>
          <w:tcPr>
            <w:tcW w:w="3402" w:type="dxa"/>
            <w:gridSpan w:val="2"/>
            <w:tcBorders>
              <w:bottom w:val="nil"/>
            </w:tcBorders>
          </w:tcPr>
          <w:p w:rsidR="00615113" w:rsidRPr="00F67A5B" w:rsidRDefault="00615113" w:rsidP="002B55B7">
            <w:pPr>
              <w:numPr>
                <w:ilvl w:val="12"/>
                <w:numId w:val="0"/>
              </w:num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2010. gada janvāris-septembris</w:t>
            </w:r>
          </w:p>
        </w:tc>
      </w:tr>
      <w:tr w:rsidR="00615113" w:rsidRPr="00F67A5B" w:rsidTr="00FB5D7B">
        <w:trPr>
          <w:trHeight w:val="153"/>
          <w:jc w:val="center"/>
        </w:trPr>
        <w:tc>
          <w:tcPr>
            <w:tcW w:w="2707" w:type="dxa"/>
            <w:tcBorders>
              <w:top w:val="nil"/>
              <w:bottom w:val="nil"/>
            </w:tcBorders>
            <w:vAlign w:val="center"/>
          </w:tcPr>
          <w:p w:rsidR="00615113" w:rsidRPr="00F67A5B" w:rsidRDefault="00615113" w:rsidP="002B55B7">
            <w:pPr>
              <w:numPr>
                <w:ilvl w:val="12"/>
                <w:numId w:val="0"/>
              </w:numPr>
              <w:jc w:val="center"/>
              <w:rPr>
                <w:rFonts w:ascii="Times New Roman" w:hAnsi="Times New Roman" w:cs="Times New Roman"/>
                <w:color w:val="000000"/>
                <w:sz w:val="20"/>
                <w:szCs w:val="20"/>
              </w:rPr>
            </w:pPr>
          </w:p>
        </w:tc>
        <w:tc>
          <w:tcPr>
            <w:tcW w:w="1194" w:type="dxa"/>
            <w:tcBorders>
              <w:top w:val="nil"/>
              <w:bottom w:val="nil"/>
            </w:tcBorders>
            <w:vAlign w:val="center"/>
          </w:tcPr>
          <w:p w:rsidR="00615113" w:rsidRPr="00F67A5B" w:rsidRDefault="00615113" w:rsidP="002B55B7">
            <w:pPr>
              <w:numPr>
                <w:ilvl w:val="12"/>
                <w:numId w:val="0"/>
              </w:num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struktūra</w:t>
            </w:r>
          </w:p>
        </w:tc>
        <w:tc>
          <w:tcPr>
            <w:tcW w:w="1499" w:type="dxa"/>
            <w:tcBorders>
              <w:top w:val="nil"/>
              <w:bottom w:val="nil"/>
            </w:tcBorders>
            <w:vAlign w:val="center"/>
          </w:tcPr>
          <w:p w:rsidR="00615113" w:rsidRPr="00F67A5B" w:rsidRDefault="00615113" w:rsidP="002B55B7">
            <w:pPr>
              <w:numPr>
                <w:ilvl w:val="12"/>
                <w:numId w:val="0"/>
              </w:num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izmaiņas pret iepriekšējo gadu</w:t>
            </w:r>
          </w:p>
        </w:tc>
        <w:tc>
          <w:tcPr>
            <w:tcW w:w="1336" w:type="dxa"/>
            <w:tcBorders>
              <w:top w:val="nil"/>
              <w:bottom w:val="nil"/>
            </w:tcBorders>
            <w:vAlign w:val="center"/>
          </w:tcPr>
          <w:p w:rsidR="00615113" w:rsidRPr="00F67A5B" w:rsidRDefault="00615113" w:rsidP="002B55B7">
            <w:pPr>
              <w:numPr>
                <w:ilvl w:val="12"/>
                <w:numId w:val="0"/>
              </w:num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struktūra</w:t>
            </w:r>
          </w:p>
        </w:tc>
        <w:tc>
          <w:tcPr>
            <w:tcW w:w="2066" w:type="dxa"/>
            <w:tcBorders>
              <w:top w:val="nil"/>
              <w:bottom w:val="nil"/>
            </w:tcBorders>
            <w:vAlign w:val="center"/>
          </w:tcPr>
          <w:p w:rsidR="00615113" w:rsidRPr="00F67A5B" w:rsidRDefault="00615113" w:rsidP="002B55B7">
            <w:pPr>
              <w:numPr>
                <w:ilvl w:val="12"/>
                <w:numId w:val="0"/>
              </w:num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izmaiņas pret iepriekšējā gada attiecīgo periodu</w:t>
            </w:r>
          </w:p>
        </w:tc>
      </w:tr>
      <w:tr w:rsidR="00615113" w:rsidRPr="00F67A5B" w:rsidTr="00FB5D7B">
        <w:trPr>
          <w:cnfStyle w:val="000000100000"/>
          <w:jc w:val="center"/>
        </w:trPr>
        <w:tc>
          <w:tcPr>
            <w:tcW w:w="2707" w:type="dxa"/>
            <w:tcBorders>
              <w:top w:val="single" w:sz="8" w:space="0" w:color="9BBB59" w:themeColor="accent3"/>
            </w:tcBorders>
          </w:tcPr>
          <w:p w:rsidR="00615113" w:rsidRPr="00F67A5B" w:rsidRDefault="00615113" w:rsidP="002B55B7">
            <w:pPr>
              <w:numPr>
                <w:ilvl w:val="12"/>
                <w:numId w:val="0"/>
              </w:numPr>
              <w:rPr>
                <w:rFonts w:ascii="Times New Roman" w:hAnsi="Times New Roman" w:cs="Times New Roman"/>
                <w:b/>
                <w:color w:val="000000"/>
                <w:sz w:val="20"/>
                <w:szCs w:val="20"/>
              </w:rPr>
            </w:pPr>
            <w:r w:rsidRPr="00F67A5B">
              <w:rPr>
                <w:rFonts w:ascii="Times New Roman" w:hAnsi="Times New Roman" w:cs="Times New Roman"/>
                <w:b/>
                <w:color w:val="000000"/>
                <w:sz w:val="20"/>
                <w:szCs w:val="20"/>
              </w:rPr>
              <w:t>Pakalpojumi – pavisam</w:t>
            </w:r>
          </w:p>
        </w:tc>
        <w:tc>
          <w:tcPr>
            <w:tcW w:w="1194" w:type="dxa"/>
            <w:tcBorders>
              <w:top w:val="single" w:sz="8" w:space="0" w:color="9BBB59" w:themeColor="accent3"/>
            </w:tcBorders>
            <w:vAlign w:val="bottom"/>
          </w:tcPr>
          <w:p w:rsidR="00615113" w:rsidRPr="00F67A5B" w:rsidRDefault="00615113" w:rsidP="002B55B7">
            <w:pPr>
              <w:jc w:val="center"/>
              <w:rPr>
                <w:rFonts w:ascii="Times New Roman" w:hAnsi="Times New Roman" w:cs="Times New Roman"/>
                <w:b/>
                <w:bCs/>
                <w:color w:val="000000"/>
                <w:sz w:val="20"/>
                <w:szCs w:val="20"/>
              </w:rPr>
            </w:pPr>
            <w:r w:rsidRPr="00F67A5B">
              <w:rPr>
                <w:rFonts w:ascii="Times New Roman" w:hAnsi="Times New Roman" w:cs="Times New Roman"/>
                <w:b/>
                <w:bCs/>
                <w:color w:val="000000"/>
                <w:sz w:val="20"/>
                <w:szCs w:val="20"/>
              </w:rPr>
              <w:t>100</w:t>
            </w:r>
          </w:p>
        </w:tc>
        <w:tc>
          <w:tcPr>
            <w:tcW w:w="1499" w:type="dxa"/>
            <w:tcBorders>
              <w:top w:val="single" w:sz="8" w:space="0" w:color="9BBB59" w:themeColor="accent3"/>
            </w:tcBorders>
            <w:vAlign w:val="bottom"/>
          </w:tcPr>
          <w:p w:rsidR="00615113" w:rsidRPr="00F67A5B" w:rsidRDefault="00615113" w:rsidP="002B55B7">
            <w:pPr>
              <w:jc w:val="center"/>
              <w:rPr>
                <w:rFonts w:ascii="Times New Roman" w:hAnsi="Times New Roman" w:cs="Times New Roman"/>
                <w:b/>
                <w:bCs/>
                <w:color w:val="000000"/>
                <w:sz w:val="20"/>
                <w:szCs w:val="20"/>
              </w:rPr>
            </w:pPr>
            <w:r w:rsidRPr="00F67A5B">
              <w:rPr>
                <w:rFonts w:ascii="Times New Roman" w:hAnsi="Times New Roman" w:cs="Times New Roman"/>
                <w:b/>
                <w:bCs/>
                <w:color w:val="000000"/>
                <w:sz w:val="20"/>
                <w:szCs w:val="20"/>
              </w:rPr>
              <w:t>-10,7</w:t>
            </w:r>
          </w:p>
        </w:tc>
        <w:tc>
          <w:tcPr>
            <w:tcW w:w="1336" w:type="dxa"/>
            <w:tcBorders>
              <w:top w:val="single" w:sz="8" w:space="0" w:color="9BBB59" w:themeColor="accent3"/>
            </w:tcBorders>
            <w:vAlign w:val="bottom"/>
          </w:tcPr>
          <w:p w:rsidR="00615113" w:rsidRPr="00F67A5B" w:rsidRDefault="00615113" w:rsidP="002B55B7">
            <w:pPr>
              <w:jc w:val="center"/>
              <w:rPr>
                <w:rFonts w:ascii="Times New Roman" w:hAnsi="Times New Roman" w:cs="Times New Roman"/>
                <w:b/>
                <w:color w:val="000000"/>
                <w:sz w:val="20"/>
                <w:szCs w:val="20"/>
              </w:rPr>
            </w:pPr>
            <w:r w:rsidRPr="00F67A5B">
              <w:rPr>
                <w:rFonts w:ascii="Times New Roman" w:hAnsi="Times New Roman" w:cs="Times New Roman"/>
                <w:b/>
                <w:color w:val="000000"/>
                <w:sz w:val="20"/>
                <w:szCs w:val="20"/>
              </w:rPr>
              <w:t>100</w:t>
            </w:r>
          </w:p>
        </w:tc>
        <w:tc>
          <w:tcPr>
            <w:tcW w:w="2066" w:type="dxa"/>
            <w:tcBorders>
              <w:top w:val="single" w:sz="8" w:space="0" w:color="9BBB59" w:themeColor="accent3"/>
            </w:tcBorders>
            <w:vAlign w:val="bottom"/>
          </w:tcPr>
          <w:p w:rsidR="00615113" w:rsidRPr="00F67A5B" w:rsidRDefault="00615113" w:rsidP="002B55B7">
            <w:pPr>
              <w:jc w:val="center"/>
              <w:rPr>
                <w:rFonts w:ascii="Times New Roman" w:hAnsi="Times New Roman" w:cs="Times New Roman"/>
                <w:b/>
                <w:color w:val="000000"/>
                <w:sz w:val="20"/>
                <w:szCs w:val="20"/>
              </w:rPr>
            </w:pPr>
            <w:r w:rsidRPr="00F67A5B">
              <w:rPr>
                <w:rFonts w:ascii="Times New Roman" w:hAnsi="Times New Roman" w:cs="Times New Roman"/>
                <w:b/>
                <w:color w:val="000000"/>
                <w:sz w:val="20"/>
                <w:szCs w:val="20"/>
              </w:rPr>
              <w:t>-0,2</w:t>
            </w:r>
          </w:p>
        </w:tc>
      </w:tr>
      <w:tr w:rsidR="00615113" w:rsidRPr="00F67A5B" w:rsidTr="00FB5D7B">
        <w:trPr>
          <w:jc w:val="center"/>
        </w:trPr>
        <w:tc>
          <w:tcPr>
            <w:tcW w:w="2707" w:type="dxa"/>
          </w:tcPr>
          <w:p w:rsidR="00615113" w:rsidRPr="00F67A5B" w:rsidRDefault="00615113" w:rsidP="002B55B7">
            <w:pPr>
              <w:numPr>
                <w:ilvl w:val="12"/>
                <w:numId w:val="0"/>
              </w:numPr>
              <w:ind w:firstLine="113"/>
              <w:rPr>
                <w:rFonts w:ascii="Times New Roman" w:hAnsi="Times New Roman" w:cs="Times New Roman"/>
                <w:color w:val="000000"/>
                <w:sz w:val="20"/>
                <w:szCs w:val="20"/>
              </w:rPr>
            </w:pPr>
            <w:r w:rsidRPr="00F67A5B">
              <w:rPr>
                <w:rFonts w:ascii="Times New Roman" w:hAnsi="Times New Roman" w:cs="Times New Roman"/>
                <w:color w:val="000000"/>
                <w:sz w:val="20"/>
                <w:szCs w:val="20"/>
              </w:rPr>
              <w:t>tai skaitā:</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p>
        </w:tc>
        <w:tc>
          <w:tcPr>
            <w:tcW w:w="1499" w:type="dxa"/>
            <w:vAlign w:val="bottom"/>
          </w:tcPr>
          <w:p w:rsidR="00615113" w:rsidRPr="00F67A5B" w:rsidRDefault="00615113" w:rsidP="002B55B7">
            <w:pPr>
              <w:jc w:val="center"/>
              <w:rPr>
                <w:rFonts w:ascii="Times New Roman" w:hAnsi="Times New Roman" w:cs="Times New Roman"/>
                <w:bCs/>
                <w:color w:val="000000"/>
                <w:sz w:val="20"/>
                <w:szCs w:val="20"/>
              </w:rPr>
            </w:pP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p>
        </w:tc>
      </w:tr>
      <w:tr w:rsidR="00615113" w:rsidRPr="00F67A5B" w:rsidTr="00FB5D7B">
        <w:trPr>
          <w:cnfStyle w:val="000000100000"/>
          <w:jc w:val="center"/>
        </w:trPr>
        <w:tc>
          <w:tcPr>
            <w:tcW w:w="2707" w:type="dxa"/>
          </w:tcPr>
          <w:p w:rsidR="00615113" w:rsidRPr="00F67A5B" w:rsidRDefault="00615113" w:rsidP="002B55B7">
            <w:pPr>
              <w:numPr>
                <w:ilvl w:val="12"/>
                <w:numId w:val="0"/>
              </w:numPr>
              <w:ind w:firstLine="180"/>
              <w:rPr>
                <w:rFonts w:ascii="Times New Roman" w:hAnsi="Times New Roman" w:cs="Times New Roman"/>
                <w:color w:val="000000"/>
                <w:sz w:val="20"/>
                <w:szCs w:val="20"/>
              </w:rPr>
            </w:pPr>
            <w:r w:rsidRPr="00F67A5B">
              <w:rPr>
                <w:rFonts w:ascii="Times New Roman" w:hAnsi="Times New Roman" w:cs="Times New Roman"/>
                <w:color w:val="000000"/>
                <w:sz w:val="20"/>
                <w:szCs w:val="20"/>
              </w:rPr>
              <w:t>Pārvadājumi</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50,6</w:t>
            </w:r>
          </w:p>
        </w:tc>
        <w:tc>
          <w:tcPr>
            <w:tcW w:w="1499"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-10,9</w:t>
            </w: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50,3</w:t>
            </w: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-2,6</w:t>
            </w:r>
          </w:p>
        </w:tc>
      </w:tr>
      <w:tr w:rsidR="00615113" w:rsidRPr="00F67A5B" w:rsidTr="00FB5D7B">
        <w:trPr>
          <w:jc w:val="center"/>
        </w:trPr>
        <w:tc>
          <w:tcPr>
            <w:tcW w:w="2707" w:type="dxa"/>
          </w:tcPr>
          <w:p w:rsidR="00615113" w:rsidRPr="00F67A5B" w:rsidRDefault="00615113" w:rsidP="002B55B7">
            <w:pPr>
              <w:numPr>
                <w:ilvl w:val="12"/>
                <w:numId w:val="0"/>
              </w:numPr>
              <w:ind w:firstLine="360"/>
              <w:rPr>
                <w:rFonts w:ascii="Times New Roman" w:hAnsi="Times New Roman" w:cs="Times New Roman"/>
                <w:color w:val="000000"/>
                <w:sz w:val="20"/>
                <w:szCs w:val="20"/>
              </w:rPr>
            </w:pPr>
            <w:r w:rsidRPr="00F67A5B">
              <w:rPr>
                <w:rFonts w:ascii="Times New Roman" w:hAnsi="Times New Roman" w:cs="Times New Roman"/>
                <w:color w:val="000000"/>
                <w:sz w:val="20"/>
                <w:szCs w:val="20"/>
              </w:rPr>
              <w:t>– jūras transports</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17,9</w:t>
            </w:r>
          </w:p>
        </w:tc>
        <w:tc>
          <w:tcPr>
            <w:tcW w:w="1499"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-3,4</w:t>
            </w: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15,5</w:t>
            </w: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-16,8</w:t>
            </w:r>
          </w:p>
        </w:tc>
      </w:tr>
      <w:tr w:rsidR="00615113" w:rsidRPr="00F67A5B" w:rsidTr="00FB5D7B">
        <w:trPr>
          <w:cnfStyle w:val="000000100000"/>
          <w:jc w:val="center"/>
        </w:trPr>
        <w:tc>
          <w:tcPr>
            <w:tcW w:w="2707" w:type="dxa"/>
          </w:tcPr>
          <w:p w:rsidR="00615113" w:rsidRPr="00F67A5B" w:rsidRDefault="00615113" w:rsidP="002B55B7">
            <w:pPr>
              <w:numPr>
                <w:ilvl w:val="12"/>
                <w:numId w:val="0"/>
              </w:numPr>
              <w:ind w:firstLine="360"/>
              <w:rPr>
                <w:rFonts w:ascii="Times New Roman" w:hAnsi="Times New Roman" w:cs="Times New Roman"/>
                <w:color w:val="000000"/>
                <w:sz w:val="20"/>
                <w:szCs w:val="20"/>
              </w:rPr>
            </w:pPr>
            <w:r w:rsidRPr="00F67A5B">
              <w:rPr>
                <w:rFonts w:ascii="Times New Roman" w:hAnsi="Times New Roman" w:cs="Times New Roman"/>
                <w:color w:val="000000"/>
                <w:sz w:val="20"/>
                <w:szCs w:val="20"/>
              </w:rPr>
              <w:t>– gaisa transports</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8,3</w:t>
            </w:r>
          </w:p>
        </w:tc>
        <w:tc>
          <w:tcPr>
            <w:tcW w:w="1499"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-7,6</w:t>
            </w: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10,0</w:t>
            </w: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18,2</w:t>
            </w:r>
          </w:p>
        </w:tc>
      </w:tr>
      <w:tr w:rsidR="00615113" w:rsidRPr="00F67A5B" w:rsidTr="00FB5D7B">
        <w:trPr>
          <w:jc w:val="center"/>
        </w:trPr>
        <w:tc>
          <w:tcPr>
            <w:tcW w:w="2707" w:type="dxa"/>
          </w:tcPr>
          <w:p w:rsidR="00615113" w:rsidRPr="00F67A5B" w:rsidRDefault="00615113" w:rsidP="002B55B7">
            <w:pPr>
              <w:numPr>
                <w:ilvl w:val="12"/>
                <w:numId w:val="0"/>
              </w:numPr>
              <w:ind w:firstLine="360"/>
              <w:rPr>
                <w:rFonts w:ascii="Times New Roman" w:hAnsi="Times New Roman" w:cs="Times New Roman"/>
                <w:color w:val="000000"/>
                <w:sz w:val="20"/>
                <w:szCs w:val="20"/>
              </w:rPr>
            </w:pPr>
            <w:r w:rsidRPr="00F67A5B">
              <w:rPr>
                <w:rFonts w:ascii="Times New Roman" w:hAnsi="Times New Roman" w:cs="Times New Roman"/>
                <w:color w:val="000000"/>
                <w:sz w:val="20"/>
                <w:szCs w:val="20"/>
              </w:rPr>
              <w:t>– pārējais transports</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24,5</w:t>
            </w:r>
          </w:p>
        </w:tc>
        <w:tc>
          <w:tcPr>
            <w:tcW w:w="1499"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-16,7</w:t>
            </w: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24,9</w:t>
            </w: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1,0</w:t>
            </w:r>
          </w:p>
        </w:tc>
      </w:tr>
      <w:tr w:rsidR="00615113" w:rsidRPr="00F67A5B" w:rsidTr="00FB5D7B">
        <w:trPr>
          <w:cnfStyle w:val="000000100000"/>
          <w:jc w:val="center"/>
        </w:trPr>
        <w:tc>
          <w:tcPr>
            <w:tcW w:w="2707" w:type="dxa"/>
          </w:tcPr>
          <w:p w:rsidR="00615113" w:rsidRPr="00F67A5B" w:rsidRDefault="00615113" w:rsidP="002B55B7">
            <w:pPr>
              <w:numPr>
                <w:ilvl w:val="12"/>
                <w:numId w:val="0"/>
              </w:numPr>
              <w:ind w:firstLine="180"/>
              <w:rPr>
                <w:rFonts w:ascii="Times New Roman" w:hAnsi="Times New Roman" w:cs="Times New Roman"/>
                <w:color w:val="000000"/>
                <w:sz w:val="20"/>
                <w:szCs w:val="20"/>
              </w:rPr>
            </w:pPr>
            <w:r w:rsidRPr="00F67A5B">
              <w:rPr>
                <w:rFonts w:ascii="Times New Roman" w:hAnsi="Times New Roman" w:cs="Times New Roman"/>
                <w:color w:val="000000"/>
                <w:sz w:val="20"/>
                <w:szCs w:val="20"/>
              </w:rPr>
              <w:t>Ceļojumi</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18,8</w:t>
            </w:r>
          </w:p>
        </w:tc>
        <w:tc>
          <w:tcPr>
            <w:tcW w:w="1499"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-5,4</w:t>
            </w: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17,6</w:t>
            </w: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-9,2</w:t>
            </w:r>
          </w:p>
        </w:tc>
      </w:tr>
      <w:tr w:rsidR="00615113" w:rsidRPr="00F67A5B" w:rsidTr="00FB5D7B">
        <w:trPr>
          <w:jc w:val="center"/>
        </w:trPr>
        <w:tc>
          <w:tcPr>
            <w:tcW w:w="2707" w:type="dxa"/>
          </w:tcPr>
          <w:p w:rsidR="00615113" w:rsidRPr="00F67A5B" w:rsidRDefault="00615113" w:rsidP="002B55B7">
            <w:pPr>
              <w:numPr>
                <w:ilvl w:val="12"/>
                <w:numId w:val="0"/>
              </w:numPr>
              <w:ind w:right="-158" w:firstLine="180"/>
              <w:rPr>
                <w:rFonts w:ascii="Times New Roman" w:hAnsi="Times New Roman" w:cs="Times New Roman"/>
                <w:color w:val="000000"/>
                <w:sz w:val="20"/>
                <w:szCs w:val="20"/>
              </w:rPr>
            </w:pPr>
            <w:r w:rsidRPr="00F67A5B">
              <w:rPr>
                <w:rFonts w:ascii="Times New Roman" w:hAnsi="Times New Roman" w:cs="Times New Roman"/>
                <w:color w:val="000000"/>
                <w:sz w:val="20"/>
                <w:szCs w:val="20"/>
              </w:rPr>
              <w:t>Komercdarbības pakalpojumi</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29,6</w:t>
            </w:r>
          </w:p>
        </w:tc>
        <w:tc>
          <w:tcPr>
            <w:tcW w:w="1499"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-13,0</w:t>
            </w: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30,8</w:t>
            </w: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10,1</w:t>
            </w:r>
          </w:p>
        </w:tc>
      </w:tr>
      <w:tr w:rsidR="00615113" w:rsidRPr="00F67A5B" w:rsidTr="00FB5D7B">
        <w:trPr>
          <w:cnfStyle w:val="000000100000"/>
          <w:jc w:val="center"/>
        </w:trPr>
        <w:tc>
          <w:tcPr>
            <w:tcW w:w="2707" w:type="dxa"/>
          </w:tcPr>
          <w:p w:rsidR="00615113" w:rsidRPr="00F67A5B" w:rsidRDefault="00615113" w:rsidP="002B55B7">
            <w:pPr>
              <w:pStyle w:val="ListParagraph"/>
              <w:ind w:left="30"/>
              <w:rPr>
                <w:rFonts w:ascii="Times New Roman" w:hAnsi="Times New Roman" w:cs="Times New Roman"/>
                <w:sz w:val="20"/>
                <w:szCs w:val="20"/>
              </w:rPr>
            </w:pPr>
            <w:r w:rsidRPr="00F67A5B">
              <w:rPr>
                <w:rFonts w:ascii="Times New Roman" w:hAnsi="Times New Roman" w:cs="Times New Roman"/>
                <w:sz w:val="20"/>
                <w:szCs w:val="20"/>
              </w:rPr>
              <w:t>Pārējie pakalpojumi</w:t>
            </w:r>
          </w:p>
        </w:tc>
        <w:tc>
          <w:tcPr>
            <w:tcW w:w="1194"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1,1</w:t>
            </w:r>
          </w:p>
        </w:tc>
        <w:tc>
          <w:tcPr>
            <w:tcW w:w="1499"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-21,1</w:t>
            </w:r>
          </w:p>
        </w:tc>
        <w:tc>
          <w:tcPr>
            <w:tcW w:w="133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1,2</w:t>
            </w:r>
          </w:p>
        </w:tc>
        <w:tc>
          <w:tcPr>
            <w:tcW w:w="2066" w:type="dxa"/>
            <w:vAlign w:val="bottom"/>
          </w:tcPr>
          <w:p w:rsidR="00615113" w:rsidRPr="00F67A5B" w:rsidRDefault="00615113" w:rsidP="002B55B7">
            <w:pPr>
              <w:jc w:val="center"/>
              <w:rPr>
                <w:rFonts w:ascii="Times New Roman" w:hAnsi="Times New Roman" w:cs="Times New Roman"/>
                <w:color w:val="000000"/>
                <w:sz w:val="20"/>
                <w:szCs w:val="20"/>
              </w:rPr>
            </w:pPr>
            <w:r w:rsidRPr="00F67A5B">
              <w:rPr>
                <w:rFonts w:ascii="Times New Roman" w:hAnsi="Times New Roman" w:cs="Times New Roman"/>
                <w:color w:val="000000"/>
                <w:sz w:val="20"/>
                <w:szCs w:val="20"/>
              </w:rPr>
              <w:t>7,3</w:t>
            </w:r>
          </w:p>
        </w:tc>
      </w:tr>
    </w:tbl>
    <w:p w:rsidR="00615113" w:rsidRPr="00F67A5B" w:rsidRDefault="00615113" w:rsidP="002B55B7">
      <w:pPr>
        <w:spacing w:after="0" w:line="240" w:lineRule="auto"/>
        <w:ind w:right="-142" w:firstLine="284"/>
        <w:rPr>
          <w:rFonts w:ascii="Times New Roman" w:hAnsi="Times New Roman" w:cs="Times New Roman"/>
          <w:sz w:val="20"/>
          <w:szCs w:val="20"/>
        </w:rPr>
      </w:pPr>
      <w:r w:rsidRPr="00F67A5B">
        <w:rPr>
          <w:rFonts w:ascii="Times New Roman" w:hAnsi="Times New Roman" w:cs="Times New Roman"/>
          <w:sz w:val="20"/>
          <w:szCs w:val="20"/>
        </w:rPr>
        <w:t>Avots: Latvijas Banka</w:t>
      </w:r>
    </w:p>
    <w:p w:rsidR="000277D0" w:rsidRPr="004C3887" w:rsidRDefault="000277D0" w:rsidP="002B55B7">
      <w:pPr>
        <w:spacing w:after="0" w:line="240" w:lineRule="auto"/>
        <w:jc w:val="both"/>
        <w:rPr>
          <w:rFonts w:ascii="Times New Roman" w:hAnsi="Times New Roman" w:cs="Times New Roman"/>
          <w:sz w:val="26"/>
          <w:szCs w:val="26"/>
        </w:rPr>
      </w:pPr>
    </w:p>
    <w:p w:rsidR="004B631A" w:rsidRPr="00EA2BED" w:rsidRDefault="000277D0" w:rsidP="004B631A">
      <w:pPr>
        <w:pStyle w:val="ListParagraph"/>
        <w:numPr>
          <w:ilvl w:val="0"/>
          <w:numId w:val="42"/>
        </w:numPr>
        <w:spacing w:after="0" w:line="240" w:lineRule="auto"/>
        <w:jc w:val="both"/>
        <w:rPr>
          <w:rFonts w:ascii="Times New Roman" w:hAnsi="Times New Roman" w:cs="Times New Roman"/>
          <w:b/>
          <w:sz w:val="26"/>
          <w:szCs w:val="26"/>
        </w:rPr>
      </w:pPr>
      <w:r w:rsidRPr="00372D82">
        <w:rPr>
          <w:rFonts w:ascii="Times New Roman" w:hAnsi="Times New Roman" w:cs="Times New Roman"/>
          <w:b/>
          <w:sz w:val="26"/>
          <w:szCs w:val="26"/>
        </w:rPr>
        <w:t>Būtiskākās problēmas un šķēršļi eksportā</w:t>
      </w:r>
    </w:p>
    <w:p w:rsidR="00EA2BED" w:rsidRDefault="000F4F7C" w:rsidP="004B631A">
      <w:pPr>
        <w:spacing w:after="0" w:line="240" w:lineRule="auto"/>
        <w:ind w:firstLine="567"/>
        <w:jc w:val="both"/>
        <w:rPr>
          <w:rFonts w:ascii="Times New Roman" w:hAnsi="Times New Roman" w:cs="Times New Roman"/>
          <w:color w:val="000000" w:themeColor="text1"/>
          <w:sz w:val="26"/>
          <w:szCs w:val="26"/>
        </w:rPr>
      </w:pPr>
      <w:r w:rsidRPr="004B631A">
        <w:rPr>
          <w:rFonts w:ascii="Times New Roman" w:hAnsi="Times New Roman" w:cs="Times New Roman"/>
          <w:color w:val="000000" w:themeColor="text1"/>
          <w:sz w:val="26"/>
          <w:szCs w:val="26"/>
        </w:rPr>
        <w:t xml:space="preserve">Latvijas uzņēmumu konkurētspēju </w:t>
      </w:r>
      <w:r w:rsidR="006A6D9A" w:rsidRPr="004B631A">
        <w:rPr>
          <w:rFonts w:ascii="Times New Roman" w:hAnsi="Times New Roman" w:cs="Times New Roman"/>
          <w:color w:val="000000" w:themeColor="text1"/>
          <w:sz w:val="26"/>
          <w:szCs w:val="26"/>
        </w:rPr>
        <w:t>lielā mērā ietekmē zemā produktivitāte, k</w:t>
      </w:r>
      <w:r w:rsidR="009E1083" w:rsidRPr="004B631A">
        <w:rPr>
          <w:rFonts w:ascii="Times New Roman" w:hAnsi="Times New Roman" w:cs="Times New Roman"/>
          <w:color w:val="000000" w:themeColor="text1"/>
          <w:sz w:val="26"/>
          <w:szCs w:val="26"/>
        </w:rPr>
        <w:t xml:space="preserve">o ietekmē </w:t>
      </w:r>
      <w:r w:rsidR="00326E4B" w:rsidRPr="004B631A">
        <w:rPr>
          <w:rFonts w:ascii="Times New Roman" w:hAnsi="Times New Roman" w:cs="Times New Roman"/>
          <w:color w:val="000000" w:themeColor="text1"/>
          <w:sz w:val="26"/>
          <w:szCs w:val="26"/>
        </w:rPr>
        <w:t>izmantot</w:t>
      </w:r>
      <w:r w:rsidR="009E1083" w:rsidRPr="004B631A">
        <w:rPr>
          <w:rFonts w:ascii="Times New Roman" w:hAnsi="Times New Roman" w:cs="Times New Roman"/>
          <w:color w:val="000000" w:themeColor="text1"/>
          <w:sz w:val="26"/>
          <w:szCs w:val="26"/>
        </w:rPr>
        <w:t>ās</w:t>
      </w:r>
      <w:r w:rsidR="00326E4B" w:rsidRPr="004B631A">
        <w:rPr>
          <w:rFonts w:ascii="Times New Roman" w:hAnsi="Times New Roman" w:cs="Times New Roman"/>
          <w:color w:val="000000" w:themeColor="text1"/>
          <w:sz w:val="26"/>
          <w:szCs w:val="26"/>
        </w:rPr>
        <w:t xml:space="preserve"> </w:t>
      </w:r>
      <w:r w:rsidR="00741754" w:rsidRPr="004B631A">
        <w:rPr>
          <w:rFonts w:ascii="Times New Roman" w:hAnsi="Times New Roman" w:cs="Times New Roman"/>
          <w:color w:val="000000" w:themeColor="text1"/>
          <w:sz w:val="26"/>
          <w:szCs w:val="26"/>
        </w:rPr>
        <w:t>tehnoloģij</w:t>
      </w:r>
      <w:r w:rsidR="009E1083" w:rsidRPr="004B631A">
        <w:rPr>
          <w:rFonts w:ascii="Times New Roman" w:hAnsi="Times New Roman" w:cs="Times New Roman"/>
          <w:color w:val="000000" w:themeColor="text1"/>
          <w:sz w:val="26"/>
          <w:szCs w:val="26"/>
        </w:rPr>
        <w:t>as</w:t>
      </w:r>
      <w:r w:rsidR="00741754" w:rsidRPr="004B631A">
        <w:rPr>
          <w:rFonts w:ascii="Times New Roman" w:hAnsi="Times New Roman" w:cs="Times New Roman"/>
          <w:color w:val="000000" w:themeColor="text1"/>
          <w:sz w:val="26"/>
          <w:szCs w:val="26"/>
        </w:rPr>
        <w:t xml:space="preserve"> un ražošanas darba organizācija</w:t>
      </w:r>
      <w:r w:rsidR="006A6D9A" w:rsidRPr="004B631A">
        <w:rPr>
          <w:rFonts w:ascii="Times New Roman" w:hAnsi="Times New Roman" w:cs="Times New Roman"/>
          <w:color w:val="000000" w:themeColor="text1"/>
          <w:sz w:val="26"/>
          <w:szCs w:val="26"/>
        </w:rPr>
        <w:t xml:space="preserve"> attiecībā uz </w:t>
      </w:r>
      <w:r w:rsidR="00EA75B3" w:rsidRPr="004B631A">
        <w:rPr>
          <w:rFonts w:ascii="Times New Roman" w:hAnsi="Times New Roman" w:cs="Times New Roman"/>
          <w:color w:val="000000" w:themeColor="text1"/>
          <w:sz w:val="26"/>
          <w:szCs w:val="26"/>
        </w:rPr>
        <w:t>ražošanas procesa vadīb</w:t>
      </w:r>
      <w:r w:rsidR="00110BCC" w:rsidRPr="004B631A">
        <w:rPr>
          <w:rFonts w:ascii="Times New Roman" w:hAnsi="Times New Roman" w:cs="Times New Roman"/>
          <w:color w:val="000000" w:themeColor="text1"/>
          <w:sz w:val="26"/>
          <w:szCs w:val="26"/>
        </w:rPr>
        <w:t xml:space="preserve">u un cilvēkresursu pārvaldīšanu. </w:t>
      </w:r>
      <w:r w:rsidR="004B631A" w:rsidRPr="004B631A">
        <w:rPr>
          <w:rFonts w:ascii="Times New Roman" w:hAnsi="Times New Roman" w:cs="Times New Roman"/>
          <w:sz w:val="26"/>
          <w:szCs w:val="26"/>
        </w:rPr>
        <w:t>Produktivitāte apstrādes rūpniecībā Latvijā sastāda vien aptuveni ¼ daļu no vidējā ES-27 līmeņa (2009.gadā 27,5%).</w:t>
      </w:r>
      <w:r w:rsidR="004B631A">
        <w:rPr>
          <w:rFonts w:ascii="Times New Roman" w:hAnsi="Times New Roman" w:cs="Times New Roman"/>
          <w:sz w:val="26"/>
          <w:szCs w:val="26"/>
        </w:rPr>
        <w:t xml:space="preserve"> </w:t>
      </w:r>
      <w:r w:rsidR="002B2076">
        <w:rPr>
          <w:rFonts w:ascii="Times New Roman" w:hAnsi="Times New Roman" w:cs="Times New Roman"/>
          <w:sz w:val="26"/>
          <w:szCs w:val="26"/>
        </w:rPr>
        <w:t>2009.gadā</w:t>
      </w:r>
      <w:r w:rsidR="004B631A" w:rsidRPr="004B631A">
        <w:rPr>
          <w:rFonts w:ascii="Times New Roman" w:hAnsi="Times New Roman" w:cs="Times New Roman"/>
          <w:sz w:val="26"/>
          <w:szCs w:val="26"/>
        </w:rPr>
        <w:t xml:space="preserve"> apstrādes rūpniecības produktivitāte Latvijā pieauga straujāk nekā ES-2</w:t>
      </w:r>
      <w:r w:rsidR="002B2076">
        <w:rPr>
          <w:rFonts w:ascii="Times New Roman" w:hAnsi="Times New Roman" w:cs="Times New Roman"/>
          <w:sz w:val="26"/>
          <w:szCs w:val="26"/>
        </w:rPr>
        <w:t>7 valstīs, tomēr</w:t>
      </w:r>
      <w:r w:rsidR="004B631A">
        <w:rPr>
          <w:rFonts w:ascii="Times New Roman" w:hAnsi="Times New Roman" w:cs="Times New Roman"/>
          <w:sz w:val="26"/>
          <w:szCs w:val="26"/>
        </w:rPr>
        <w:t xml:space="preserve"> jāņem vērā, </w:t>
      </w:r>
      <w:r w:rsidR="00D5322C">
        <w:rPr>
          <w:rFonts w:ascii="Times New Roman" w:hAnsi="Times New Roman" w:cs="Times New Roman"/>
          <w:sz w:val="26"/>
          <w:szCs w:val="26"/>
        </w:rPr>
        <w:t>ka to</w:t>
      </w:r>
      <w:r w:rsidR="002B2076">
        <w:rPr>
          <w:rFonts w:ascii="Times New Roman" w:hAnsi="Times New Roman" w:cs="Times New Roman"/>
          <w:sz w:val="26"/>
          <w:szCs w:val="26"/>
        </w:rPr>
        <w:t>, galvenokārt,</w:t>
      </w:r>
      <w:r w:rsidR="004B631A" w:rsidRPr="004B631A">
        <w:rPr>
          <w:rFonts w:ascii="Times New Roman" w:hAnsi="Times New Roman" w:cs="Times New Roman"/>
          <w:sz w:val="26"/>
          <w:szCs w:val="26"/>
        </w:rPr>
        <w:t xml:space="preserve"> noteica darbinieku masveida atlaišana, kas bija straujāka nekā ražošanas apjomu sarukums. </w:t>
      </w:r>
      <w:r w:rsidR="004208A8" w:rsidRPr="004B631A">
        <w:rPr>
          <w:rFonts w:ascii="Times New Roman" w:hAnsi="Times New Roman" w:cs="Times New Roman"/>
          <w:color w:val="000000" w:themeColor="text1"/>
          <w:sz w:val="26"/>
          <w:szCs w:val="26"/>
        </w:rPr>
        <w:t>L</w:t>
      </w:r>
      <w:r w:rsidRPr="004B631A">
        <w:rPr>
          <w:rFonts w:ascii="Times New Roman" w:hAnsi="Times New Roman" w:cs="Times New Roman"/>
          <w:color w:val="000000" w:themeColor="text1"/>
          <w:sz w:val="26"/>
          <w:szCs w:val="26"/>
        </w:rPr>
        <w:t xml:space="preserve">īdz ar izaugsmes atjaunošanos </w:t>
      </w:r>
      <w:r w:rsidR="006A6D9A" w:rsidRPr="004B631A">
        <w:rPr>
          <w:rFonts w:ascii="Times New Roman" w:hAnsi="Times New Roman" w:cs="Times New Roman"/>
          <w:color w:val="000000" w:themeColor="text1"/>
          <w:sz w:val="26"/>
          <w:szCs w:val="26"/>
        </w:rPr>
        <w:t xml:space="preserve">ārējos tirgos tieši produktivitātes kāpumam būs izšķiroša nozīme </w:t>
      </w:r>
      <w:r w:rsidR="004208A8" w:rsidRPr="004B631A">
        <w:rPr>
          <w:rFonts w:ascii="Times New Roman" w:hAnsi="Times New Roman" w:cs="Times New Roman"/>
          <w:color w:val="000000" w:themeColor="text1"/>
          <w:sz w:val="26"/>
          <w:szCs w:val="26"/>
        </w:rPr>
        <w:t>Latvijas uzņēmumu konkurētspēj</w:t>
      </w:r>
      <w:r w:rsidR="006A6D9A" w:rsidRPr="004B631A">
        <w:rPr>
          <w:rFonts w:ascii="Times New Roman" w:hAnsi="Times New Roman" w:cs="Times New Roman"/>
          <w:color w:val="000000" w:themeColor="text1"/>
          <w:sz w:val="26"/>
          <w:szCs w:val="26"/>
        </w:rPr>
        <w:t xml:space="preserve">ā. </w:t>
      </w:r>
    </w:p>
    <w:p w:rsidR="00EA2BED" w:rsidRDefault="004208A8" w:rsidP="004B631A">
      <w:pPr>
        <w:spacing w:after="0" w:line="240" w:lineRule="auto"/>
        <w:ind w:firstLine="567"/>
        <w:jc w:val="both"/>
        <w:rPr>
          <w:rFonts w:ascii="Times New Roman" w:hAnsi="Times New Roman" w:cs="Times New Roman"/>
          <w:color w:val="000000" w:themeColor="text1"/>
          <w:sz w:val="26"/>
          <w:szCs w:val="26"/>
        </w:rPr>
      </w:pPr>
      <w:r w:rsidRPr="004B631A">
        <w:rPr>
          <w:rFonts w:ascii="Times New Roman" w:hAnsi="Times New Roman" w:cs="Times New Roman"/>
          <w:color w:val="000000" w:themeColor="text1"/>
          <w:sz w:val="26"/>
          <w:szCs w:val="26"/>
        </w:rPr>
        <w:t xml:space="preserve"> </w:t>
      </w:r>
    </w:p>
    <w:tbl>
      <w:tblPr>
        <w:tblW w:w="5000" w:type="pct"/>
        <w:tblCellMar>
          <w:left w:w="0" w:type="dxa"/>
          <w:right w:w="0" w:type="dxa"/>
        </w:tblCellMar>
        <w:tblLook w:val="04A0"/>
      </w:tblPr>
      <w:tblGrid>
        <w:gridCol w:w="8721"/>
      </w:tblGrid>
      <w:tr w:rsidR="00EA2BED" w:rsidTr="00EA2BED">
        <w:tc>
          <w:tcPr>
            <w:tcW w:w="2499" w:type="pct"/>
            <w:tcBorders>
              <w:top w:val="single" w:sz="12" w:space="0" w:color="8DB3E2"/>
              <w:left w:val="nil"/>
              <w:bottom w:val="single" w:sz="12" w:space="0" w:color="8DB3E2"/>
              <w:right w:val="nil"/>
            </w:tcBorders>
            <w:shd w:val="clear" w:color="auto" w:fill="D3DFEE"/>
            <w:tcMar>
              <w:top w:w="0" w:type="dxa"/>
              <w:left w:w="108" w:type="dxa"/>
              <w:bottom w:w="0" w:type="dxa"/>
              <w:right w:w="108" w:type="dxa"/>
            </w:tcMar>
            <w:vAlign w:val="center"/>
            <w:hideMark/>
          </w:tcPr>
          <w:p w:rsidR="00EA2BED" w:rsidRDefault="00EA2BED">
            <w:pPr>
              <w:pStyle w:val="BodyTextIndent2"/>
              <w:spacing w:before="60"/>
              <w:ind w:left="232"/>
              <w:rPr>
                <w:rFonts w:ascii="Garamond" w:hAnsi="Garamond"/>
                <w:b/>
                <w:bCs/>
                <w:spacing w:val="-2"/>
                <w:sz w:val="18"/>
                <w:szCs w:val="18"/>
              </w:rPr>
            </w:pPr>
            <w:r>
              <w:rPr>
                <w:rFonts w:ascii="Garamond" w:hAnsi="Garamond"/>
                <w:b/>
                <w:bCs/>
                <w:sz w:val="20"/>
                <w:szCs w:val="20"/>
              </w:rPr>
              <w:t xml:space="preserve">Produktivitātes līmenis apstrādes rūpniecībā ES dalībvalstīs 2009.gadā </w:t>
            </w:r>
            <w:r>
              <w:rPr>
                <w:rFonts w:ascii="Garamond" w:hAnsi="Garamond"/>
                <w:sz w:val="18"/>
                <w:szCs w:val="18"/>
              </w:rPr>
              <w:t>(ES-27 = 100)</w:t>
            </w:r>
          </w:p>
        </w:tc>
      </w:tr>
      <w:tr w:rsidR="00EA2BED" w:rsidTr="00EA2BED">
        <w:trPr>
          <w:trHeight w:val="2947"/>
        </w:trPr>
        <w:tc>
          <w:tcPr>
            <w:tcW w:w="2499" w:type="pct"/>
            <w:tcBorders>
              <w:top w:val="nil"/>
              <w:left w:val="nil"/>
              <w:bottom w:val="single" w:sz="12" w:space="0" w:color="8DB3E2"/>
              <w:right w:val="nil"/>
            </w:tcBorders>
            <w:tcMar>
              <w:top w:w="0" w:type="dxa"/>
              <w:left w:w="108" w:type="dxa"/>
              <w:bottom w:w="0" w:type="dxa"/>
              <w:right w:w="108" w:type="dxa"/>
            </w:tcMar>
            <w:hideMark/>
          </w:tcPr>
          <w:p w:rsidR="00EA2BED" w:rsidRDefault="00EA2BED">
            <w:pPr>
              <w:pStyle w:val="9pirmstab3"/>
              <w:spacing w:after="0"/>
              <w:ind w:right="-2"/>
              <w:jc w:val="left"/>
              <w:rPr>
                <w:rFonts w:ascii="Garamond" w:hAnsi="Garamond"/>
                <w:b/>
                <w:bCs/>
                <w:spacing w:val="-2"/>
                <w:sz w:val="12"/>
                <w:szCs w:val="12"/>
              </w:rPr>
            </w:pPr>
            <w:r>
              <w:rPr>
                <w:b/>
                <w:bCs/>
                <w:noProof/>
                <w:spacing w:val="-2"/>
                <w:lang w:eastAsia="lv-LV"/>
              </w:rPr>
              <w:drawing>
                <wp:inline distT="0" distB="0" distL="0" distR="0">
                  <wp:extent cx="5305425" cy="1885950"/>
                  <wp:effectExtent l="19050" t="0" r="9525" b="0"/>
                  <wp:docPr id="9" name="Object 16" descr="cid:image009.png@01CBD76B.3EAE8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descr="cid:image009.png@01CBD76B.3EAE8B90"/>
                          <pic:cNvPicPr>
                            <a:picLocks noChangeAspect="1" noChangeArrowheads="1"/>
                          </pic:cNvPicPr>
                        </pic:nvPicPr>
                        <pic:blipFill>
                          <a:blip r:embed="rId12" r:link="rId13" cstate="print"/>
                          <a:srcRect/>
                          <a:stretch>
                            <a:fillRect/>
                          </a:stretch>
                        </pic:blipFill>
                        <pic:spPr bwMode="auto">
                          <a:xfrm>
                            <a:off x="0" y="0"/>
                            <a:ext cx="5305425" cy="1885950"/>
                          </a:xfrm>
                          <a:prstGeom prst="rect">
                            <a:avLst/>
                          </a:prstGeom>
                          <a:noFill/>
                          <a:ln w="9525">
                            <a:noFill/>
                            <a:miter lim="800000"/>
                            <a:headEnd/>
                            <a:tailEnd/>
                          </a:ln>
                        </pic:spPr>
                      </pic:pic>
                    </a:graphicData>
                  </a:graphic>
                </wp:inline>
              </w:drawing>
            </w:r>
          </w:p>
        </w:tc>
      </w:tr>
    </w:tbl>
    <w:p w:rsidR="00EA2BED" w:rsidRPr="004B631A" w:rsidRDefault="00EA2BED" w:rsidP="00EA2BED">
      <w:pPr>
        <w:spacing w:after="0" w:line="240" w:lineRule="auto"/>
        <w:jc w:val="both"/>
        <w:rPr>
          <w:rFonts w:ascii="Times New Roman" w:hAnsi="Times New Roman" w:cs="Times New Roman"/>
          <w:sz w:val="26"/>
          <w:szCs w:val="26"/>
        </w:rPr>
      </w:pPr>
    </w:p>
    <w:p w:rsidR="008437FF" w:rsidRPr="00143ADB" w:rsidRDefault="008437FF" w:rsidP="00E55B73">
      <w:pPr>
        <w:pStyle w:val="NormalWeb"/>
        <w:spacing w:before="0" w:beforeAutospacing="0" w:after="0" w:afterAutospacing="0"/>
        <w:ind w:firstLine="567"/>
        <w:jc w:val="both"/>
        <w:rPr>
          <w:color w:val="000000" w:themeColor="text1"/>
          <w:sz w:val="26"/>
          <w:szCs w:val="26"/>
        </w:rPr>
      </w:pPr>
      <w:r w:rsidRPr="00110BCC">
        <w:rPr>
          <w:color w:val="000000" w:themeColor="text1"/>
          <w:sz w:val="26"/>
          <w:szCs w:val="26"/>
        </w:rPr>
        <w:lastRenderedPageBreak/>
        <w:t xml:space="preserve">Arī Latvijas uzņēmumu maksātspējas problēmas un apgrozāmo līdzekļu trūkums </w:t>
      </w:r>
      <w:r>
        <w:rPr>
          <w:color w:val="000000" w:themeColor="text1"/>
          <w:sz w:val="26"/>
          <w:szCs w:val="26"/>
        </w:rPr>
        <w:t xml:space="preserve">ierobežo </w:t>
      </w:r>
      <w:r w:rsidRPr="00110BCC">
        <w:rPr>
          <w:color w:val="000000" w:themeColor="text1"/>
          <w:sz w:val="26"/>
          <w:szCs w:val="26"/>
        </w:rPr>
        <w:t>uzņēmumu attīstību un paplašināšanos eksporta tirgos, radot nepieciešamību pēc ilgtermiņa ārējās finansēšanas. Savukārt, banku kreditēšanas politika ir izteikti piesardzīga</w:t>
      </w:r>
      <w:r w:rsidR="00011297">
        <w:rPr>
          <w:color w:val="000000" w:themeColor="text1"/>
          <w:sz w:val="26"/>
          <w:szCs w:val="26"/>
        </w:rPr>
        <w:t xml:space="preserve"> un </w:t>
      </w:r>
      <w:r w:rsidR="002B2076">
        <w:rPr>
          <w:color w:val="000000" w:themeColor="text1"/>
          <w:sz w:val="26"/>
          <w:szCs w:val="26"/>
        </w:rPr>
        <w:t>orientēta uz</w:t>
      </w:r>
      <w:r w:rsidR="00E55B73">
        <w:rPr>
          <w:color w:val="000000" w:themeColor="text1"/>
          <w:sz w:val="26"/>
          <w:szCs w:val="26"/>
        </w:rPr>
        <w:t xml:space="preserve"> uzņēmumi</w:t>
      </w:r>
      <w:r w:rsidR="002B2076">
        <w:rPr>
          <w:color w:val="000000" w:themeColor="text1"/>
          <w:sz w:val="26"/>
          <w:szCs w:val="26"/>
        </w:rPr>
        <w:t>em</w:t>
      </w:r>
      <w:r w:rsidR="00E55B73">
        <w:rPr>
          <w:color w:val="000000" w:themeColor="text1"/>
          <w:sz w:val="26"/>
          <w:szCs w:val="26"/>
        </w:rPr>
        <w:t>, kas jau stabili darbojas eksporta tirgos.</w:t>
      </w:r>
    </w:p>
    <w:p w:rsidR="008501CE" w:rsidRDefault="00204AFA" w:rsidP="00D1084B">
      <w:pPr>
        <w:spacing w:after="0" w:line="240" w:lineRule="auto"/>
        <w:ind w:firstLine="567"/>
        <w:jc w:val="both"/>
        <w:rPr>
          <w:rFonts w:ascii="Times New Roman" w:eastAsiaTheme="minorHAnsi" w:hAnsi="Times New Roman" w:cs="Times New Roman"/>
          <w:sz w:val="24"/>
          <w:szCs w:val="24"/>
          <w:lang w:eastAsia="lv-LV"/>
        </w:rPr>
      </w:pPr>
      <w:r w:rsidRPr="008437FF">
        <w:rPr>
          <w:rFonts w:ascii="Times New Roman" w:hAnsi="Times New Roman" w:cs="Times New Roman"/>
          <w:sz w:val="26"/>
          <w:szCs w:val="26"/>
        </w:rPr>
        <w:t xml:space="preserve">Latvijas uzņēmēju </w:t>
      </w:r>
      <w:r w:rsidR="00110BCC" w:rsidRPr="008437FF">
        <w:rPr>
          <w:rFonts w:ascii="Times New Roman" w:hAnsi="Times New Roman" w:cs="Times New Roman"/>
          <w:sz w:val="26"/>
          <w:szCs w:val="26"/>
        </w:rPr>
        <w:t>eksporta iespējas</w:t>
      </w:r>
      <w:r w:rsidR="00E812DC" w:rsidRPr="008437FF">
        <w:rPr>
          <w:rFonts w:ascii="Times New Roman" w:hAnsi="Times New Roman" w:cs="Times New Roman"/>
          <w:sz w:val="26"/>
          <w:szCs w:val="26"/>
        </w:rPr>
        <w:t xml:space="preserve"> ietekmē</w:t>
      </w:r>
      <w:r w:rsidR="009E1083" w:rsidRPr="008437FF">
        <w:rPr>
          <w:rFonts w:ascii="Times New Roman" w:hAnsi="Times New Roman" w:cs="Times New Roman"/>
          <w:sz w:val="26"/>
          <w:szCs w:val="26"/>
        </w:rPr>
        <w:t xml:space="preserve"> arī</w:t>
      </w:r>
      <w:r w:rsidR="00E812DC" w:rsidRPr="008437FF">
        <w:rPr>
          <w:rFonts w:ascii="Times New Roman" w:hAnsi="Times New Roman" w:cs="Times New Roman"/>
          <w:sz w:val="26"/>
          <w:szCs w:val="26"/>
        </w:rPr>
        <w:t xml:space="preserve"> </w:t>
      </w:r>
      <w:r w:rsidRPr="008437FF">
        <w:rPr>
          <w:rFonts w:ascii="Times New Roman" w:hAnsi="Times New Roman" w:cs="Times New Roman"/>
          <w:sz w:val="26"/>
          <w:szCs w:val="26"/>
        </w:rPr>
        <w:t xml:space="preserve">importējošās valsts ekonomiski politiskā un tiesiskā vide. </w:t>
      </w:r>
      <w:r w:rsidR="00DD3F50" w:rsidRPr="008437FF">
        <w:rPr>
          <w:rFonts w:ascii="Times New Roman" w:hAnsi="Times New Roman" w:cs="Times New Roman"/>
          <w:sz w:val="26"/>
          <w:szCs w:val="26"/>
        </w:rPr>
        <w:t>ES iekšējā tirgū, kurā darbojas arī Latvija</w:t>
      </w:r>
      <w:r w:rsidR="000D18CB" w:rsidRPr="008437FF">
        <w:rPr>
          <w:rFonts w:ascii="Times New Roman" w:hAnsi="Times New Roman" w:cs="Times New Roman"/>
          <w:sz w:val="26"/>
          <w:szCs w:val="26"/>
        </w:rPr>
        <w:t>s eksportētāji</w:t>
      </w:r>
      <w:r w:rsidR="00DD3F50" w:rsidRPr="008437FF">
        <w:rPr>
          <w:rFonts w:ascii="Times New Roman" w:hAnsi="Times New Roman" w:cs="Times New Roman"/>
          <w:sz w:val="26"/>
          <w:szCs w:val="26"/>
        </w:rPr>
        <w:t xml:space="preserve">, ir nodrošināta brīva preču, pakalpojumu, personu un kapitāla kustība. </w:t>
      </w:r>
      <w:r w:rsidRPr="008437FF">
        <w:rPr>
          <w:rFonts w:ascii="Times New Roman" w:hAnsi="Times New Roman" w:cs="Times New Roman"/>
          <w:sz w:val="26"/>
          <w:szCs w:val="26"/>
        </w:rPr>
        <w:t>Šobrīd ar tirdzniecības barjerām (</w:t>
      </w:r>
      <w:r w:rsidR="000D18CB" w:rsidRPr="008437FF">
        <w:rPr>
          <w:rFonts w:ascii="Times New Roman" w:hAnsi="Times New Roman" w:cs="Times New Roman"/>
          <w:sz w:val="26"/>
          <w:szCs w:val="26"/>
        </w:rPr>
        <w:t>tarifu un</w:t>
      </w:r>
      <w:r w:rsidRPr="008437FF">
        <w:rPr>
          <w:rFonts w:ascii="Times New Roman" w:hAnsi="Times New Roman" w:cs="Times New Roman"/>
          <w:sz w:val="26"/>
          <w:szCs w:val="26"/>
        </w:rPr>
        <w:t xml:space="preserve"> netarifu)</w:t>
      </w:r>
      <w:r w:rsidR="009E1083" w:rsidRPr="008437FF">
        <w:rPr>
          <w:rFonts w:ascii="Times New Roman" w:hAnsi="Times New Roman" w:cs="Times New Roman"/>
          <w:sz w:val="26"/>
          <w:szCs w:val="26"/>
        </w:rPr>
        <w:t xml:space="preserve"> visu valstu </w:t>
      </w:r>
      <w:r w:rsidRPr="008437FF">
        <w:rPr>
          <w:rFonts w:ascii="Times New Roman" w:hAnsi="Times New Roman" w:cs="Times New Roman"/>
          <w:sz w:val="26"/>
          <w:szCs w:val="26"/>
        </w:rPr>
        <w:t xml:space="preserve"> eksportētāji saskaras </w:t>
      </w:r>
      <w:r w:rsidR="00DD3F50" w:rsidRPr="008437FF">
        <w:rPr>
          <w:rFonts w:ascii="Times New Roman" w:hAnsi="Times New Roman" w:cs="Times New Roman"/>
          <w:sz w:val="26"/>
          <w:szCs w:val="26"/>
        </w:rPr>
        <w:t>trešo valstu tirgos, kur p</w:t>
      </w:r>
      <w:r w:rsidR="00C5514C" w:rsidRPr="008437FF">
        <w:rPr>
          <w:rFonts w:ascii="Times New Roman" w:hAnsi="Times New Roman" w:cs="Times New Roman"/>
          <w:sz w:val="26"/>
          <w:szCs w:val="26"/>
        </w:rPr>
        <w:t xml:space="preserve">asaules ekonomiskās lejupslīdes ietekmē ir pieaudzis </w:t>
      </w:r>
      <w:r w:rsidR="000D18CB" w:rsidRPr="008437FF">
        <w:rPr>
          <w:rFonts w:ascii="Times New Roman" w:hAnsi="Times New Roman" w:cs="Times New Roman"/>
          <w:sz w:val="26"/>
          <w:szCs w:val="26"/>
        </w:rPr>
        <w:t xml:space="preserve">šo valstu </w:t>
      </w:r>
      <w:r w:rsidR="00C5514C" w:rsidRPr="008437FF">
        <w:rPr>
          <w:rFonts w:ascii="Times New Roman" w:hAnsi="Times New Roman" w:cs="Times New Roman"/>
          <w:sz w:val="26"/>
          <w:szCs w:val="26"/>
        </w:rPr>
        <w:t>ieviesto protekcionisma pasākumu u</w:t>
      </w:r>
      <w:r w:rsidR="00DD3F50" w:rsidRPr="008437FF">
        <w:rPr>
          <w:rFonts w:ascii="Times New Roman" w:hAnsi="Times New Roman" w:cs="Times New Roman"/>
          <w:sz w:val="26"/>
          <w:szCs w:val="26"/>
        </w:rPr>
        <w:t>n tirdzniecības barjeru skaits.</w:t>
      </w:r>
      <w:r w:rsidR="009E1083" w:rsidRPr="008437FF">
        <w:rPr>
          <w:rFonts w:ascii="Times New Roman" w:hAnsi="Times New Roman" w:cs="Times New Roman"/>
          <w:sz w:val="26"/>
          <w:szCs w:val="26"/>
        </w:rPr>
        <w:t xml:space="preserve"> Trešo valstu eksporta tirgos identificētās tirdzniecības barjeras tiek risinātas gan ES Kopējās tirdzniecības politikas ietvaros, gan divpusējā līmenī tiekoties ar attiecīgo valstu </w:t>
      </w:r>
      <w:r w:rsidR="009E1083" w:rsidRPr="00E55B73">
        <w:rPr>
          <w:rFonts w:ascii="Times New Roman" w:hAnsi="Times New Roman" w:cs="Times New Roman"/>
          <w:sz w:val="26"/>
          <w:szCs w:val="26"/>
        </w:rPr>
        <w:t>pārstāvjiem</w:t>
      </w:r>
      <w:r w:rsidR="009E1083" w:rsidRPr="00E55B73">
        <w:rPr>
          <w:rFonts w:ascii="Times New Roman" w:hAnsi="Times New Roman" w:cs="Times New Roman"/>
          <w:b/>
          <w:sz w:val="26"/>
          <w:szCs w:val="26"/>
        </w:rPr>
        <w:t xml:space="preserve"> </w:t>
      </w:r>
      <w:r w:rsidR="009E1083" w:rsidRPr="00E55B73">
        <w:rPr>
          <w:rFonts w:ascii="Times New Roman" w:hAnsi="Times New Roman" w:cs="Times New Roman"/>
          <w:sz w:val="26"/>
          <w:szCs w:val="26"/>
        </w:rPr>
        <w:t>(</w:t>
      </w:r>
      <w:r w:rsidR="005558AC">
        <w:rPr>
          <w:rFonts w:ascii="Times New Roman" w:hAnsi="Times New Roman" w:cs="Times New Roman"/>
          <w:sz w:val="26"/>
          <w:szCs w:val="26"/>
        </w:rPr>
        <w:t xml:space="preserve">t.sk., </w:t>
      </w:r>
      <w:r w:rsidR="009E1083" w:rsidRPr="00E55B73">
        <w:rPr>
          <w:rFonts w:ascii="Times New Roman" w:hAnsi="Times New Roman" w:cs="Times New Roman"/>
          <w:sz w:val="26"/>
          <w:szCs w:val="26"/>
        </w:rPr>
        <w:t xml:space="preserve">Starpvaldību komisiju un Apvienoto komiteju ietvaros). </w:t>
      </w:r>
      <w:r w:rsidR="008437FF" w:rsidRPr="00E55B73">
        <w:rPr>
          <w:rFonts w:ascii="Times New Roman" w:hAnsi="Times New Roman" w:cs="Times New Roman"/>
          <w:sz w:val="26"/>
          <w:szCs w:val="26"/>
        </w:rPr>
        <w:t xml:space="preserve">Tā, piemēram, </w:t>
      </w:r>
      <w:r w:rsidR="00D1084B">
        <w:rPr>
          <w:rFonts w:ascii="Times New Roman" w:eastAsiaTheme="minorHAnsi" w:hAnsi="Times New Roman" w:cs="Times New Roman"/>
          <w:sz w:val="26"/>
          <w:szCs w:val="26"/>
          <w:lang w:eastAsia="lv-LV"/>
        </w:rPr>
        <w:t>g</w:t>
      </w:r>
      <w:r w:rsidR="00E55B73" w:rsidRPr="00E55B73">
        <w:rPr>
          <w:rFonts w:ascii="Times New Roman" w:eastAsiaTheme="minorHAnsi" w:hAnsi="Times New Roman" w:cs="Times New Roman"/>
          <w:sz w:val="26"/>
          <w:szCs w:val="26"/>
          <w:lang w:eastAsia="lv-LV"/>
        </w:rPr>
        <w:t xml:space="preserve">atavojoties </w:t>
      </w:r>
      <w:r w:rsidR="00E55B73" w:rsidRPr="00D1084B">
        <w:rPr>
          <w:rFonts w:ascii="Times New Roman" w:eastAsiaTheme="minorHAnsi" w:hAnsi="Times New Roman" w:cs="Times New Roman"/>
          <w:sz w:val="26"/>
          <w:szCs w:val="26"/>
          <w:lang w:eastAsia="lv-LV"/>
        </w:rPr>
        <w:t xml:space="preserve">kārtējai </w:t>
      </w:r>
      <w:r w:rsidR="00E55B73" w:rsidRPr="00D1084B">
        <w:rPr>
          <w:rFonts w:ascii="Times New Roman" w:eastAsiaTheme="minorHAnsi" w:hAnsi="Times New Roman" w:cs="Times New Roman"/>
          <w:bCs/>
          <w:sz w:val="26"/>
          <w:szCs w:val="26"/>
          <w:lang w:eastAsia="lv-LV"/>
        </w:rPr>
        <w:t xml:space="preserve">Latvijas – Baltkrievijas Starpvaldību komisijas sēdei </w:t>
      </w:r>
      <w:r w:rsidR="00E55B73" w:rsidRPr="00D1084B">
        <w:rPr>
          <w:rFonts w:ascii="Times New Roman" w:eastAsiaTheme="minorHAnsi" w:hAnsi="Times New Roman" w:cs="Times New Roman"/>
          <w:sz w:val="26"/>
          <w:szCs w:val="26"/>
          <w:lang w:eastAsia="lv-LV"/>
        </w:rPr>
        <w:t>no Latvijas uzņēmējiem tika saņemta informācija par problēmām attiecībā uz sertifikācijas un</w:t>
      </w:r>
      <w:r w:rsidR="00E55B73" w:rsidRPr="00E55B73">
        <w:rPr>
          <w:rFonts w:ascii="Times New Roman" w:eastAsiaTheme="minorHAnsi" w:hAnsi="Times New Roman" w:cs="Times New Roman"/>
          <w:sz w:val="26"/>
          <w:szCs w:val="26"/>
          <w:lang w:eastAsia="lv-LV"/>
        </w:rPr>
        <w:t xml:space="preserve"> atbilstības novērtēšanas procesu. Lai pārrunātu šos </w:t>
      </w:r>
      <w:proofErr w:type="spellStart"/>
      <w:r w:rsidR="00E55B73" w:rsidRPr="00E55B73">
        <w:rPr>
          <w:rFonts w:ascii="Times New Roman" w:eastAsiaTheme="minorHAnsi" w:hAnsi="Times New Roman" w:cs="Times New Roman"/>
          <w:sz w:val="26"/>
          <w:szCs w:val="26"/>
          <w:lang w:eastAsia="lv-LV"/>
        </w:rPr>
        <w:t>problēmjautājumus</w:t>
      </w:r>
      <w:proofErr w:type="spellEnd"/>
      <w:r w:rsidR="00E55B73" w:rsidRPr="00E55B73">
        <w:rPr>
          <w:rFonts w:ascii="Times New Roman" w:eastAsiaTheme="minorHAnsi" w:hAnsi="Times New Roman" w:cs="Times New Roman"/>
          <w:sz w:val="26"/>
          <w:szCs w:val="26"/>
          <w:lang w:eastAsia="lv-LV"/>
        </w:rPr>
        <w:t>, kā arī sadarbības paplašināšanas iespējas, 2010.gada 23.se</w:t>
      </w:r>
      <w:r w:rsidR="00D1084B">
        <w:rPr>
          <w:rFonts w:ascii="Times New Roman" w:eastAsiaTheme="minorHAnsi" w:hAnsi="Times New Roman" w:cs="Times New Roman"/>
          <w:sz w:val="26"/>
          <w:szCs w:val="26"/>
          <w:lang w:eastAsia="lv-LV"/>
        </w:rPr>
        <w:t xml:space="preserve">ptembrī </w:t>
      </w:r>
      <w:r w:rsidR="00EE3314">
        <w:rPr>
          <w:rFonts w:ascii="Times New Roman" w:eastAsiaTheme="minorHAnsi" w:hAnsi="Times New Roman" w:cs="Times New Roman"/>
          <w:sz w:val="26"/>
          <w:szCs w:val="26"/>
          <w:lang w:eastAsia="lv-LV"/>
        </w:rPr>
        <w:t xml:space="preserve">tika organizēta </w:t>
      </w:r>
      <w:r w:rsidR="00E55B73" w:rsidRPr="00E55B73">
        <w:rPr>
          <w:rFonts w:ascii="Times New Roman" w:eastAsiaTheme="minorHAnsi" w:hAnsi="Times New Roman" w:cs="Times New Roman"/>
          <w:sz w:val="26"/>
          <w:szCs w:val="26"/>
          <w:lang w:eastAsia="lv-LV"/>
        </w:rPr>
        <w:t>ekonomikas ministra A. Kampara un Baltkrievijas Republikas Standartizācijas, metroloģijas un sertifikācijas valsts k</w:t>
      </w:r>
      <w:r w:rsidR="00D1084B">
        <w:rPr>
          <w:rFonts w:ascii="Times New Roman" w:eastAsiaTheme="minorHAnsi" w:hAnsi="Times New Roman" w:cs="Times New Roman"/>
          <w:sz w:val="26"/>
          <w:szCs w:val="26"/>
          <w:lang w:eastAsia="lv-LV"/>
        </w:rPr>
        <w:t>omitejas priekšsēdētāja V.</w:t>
      </w:r>
      <w:r w:rsidR="00E55B73" w:rsidRPr="00E55B73">
        <w:rPr>
          <w:rFonts w:ascii="Times New Roman" w:eastAsiaTheme="minorHAnsi" w:hAnsi="Times New Roman" w:cs="Times New Roman"/>
          <w:sz w:val="26"/>
          <w:szCs w:val="26"/>
          <w:lang w:eastAsia="lv-LV"/>
        </w:rPr>
        <w:t xml:space="preserve"> </w:t>
      </w:r>
      <w:proofErr w:type="spellStart"/>
      <w:r w:rsidR="00E55B73" w:rsidRPr="00E55B73">
        <w:rPr>
          <w:rFonts w:ascii="Times New Roman" w:eastAsiaTheme="minorHAnsi" w:hAnsi="Times New Roman" w:cs="Times New Roman"/>
          <w:sz w:val="26"/>
          <w:szCs w:val="26"/>
          <w:lang w:eastAsia="lv-LV"/>
        </w:rPr>
        <w:t>Koreškova</w:t>
      </w:r>
      <w:proofErr w:type="spellEnd"/>
      <w:r w:rsidR="00E55B73" w:rsidRPr="00E55B73">
        <w:rPr>
          <w:rFonts w:ascii="Times New Roman" w:eastAsiaTheme="minorHAnsi" w:hAnsi="Times New Roman" w:cs="Times New Roman"/>
          <w:sz w:val="26"/>
          <w:szCs w:val="26"/>
          <w:lang w:eastAsia="lv-LV"/>
        </w:rPr>
        <w:t xml:space="preserve"> tikšanos, kuras laikā </w:t>
      </w:r>
      <w:r w:rsidR="003A7B8D">
        <w:rPr>
          <w:rFonts w:ascii="Times New Roman" w:eastAsiaTheme="minorHAnsi" w:hAnsi="Times New Roman" w:cs="Times New Roman"/>
          <w:sz w:val="26"/>
          <w:szCs w:val="26"/>
          <w:lang w:eastAsia="lv-LV"/>
        </w:rPr>
        <w:t xml:space="preserve">puses </w:t>
      </w:r>
      <w:r w:rsidR="00E55B73" w:rsidRPr="00E55B73">
        <w:rPr>
          <w:rFonts w:ascii="Times New Roman" w:eastAsiaTheme="minorHAnsi" w:hAnsi="Times New Roman" w:cs="Times New Roman"/>
          <w:sz w:val="26"/>
          <w:szCs w:val="26"/>
          <w:lang w:eastAsia="lv-LV"/>
        </w:rPr>
        <w:t>vienojās par esošo sadarbības problēmu risinājumiem.</w:t>
      </w:r>
      <w:r w:rsidR="00E55B73" w:rsidRPr="00E55B73">
        <w:rPr>
          <w:rFonts w:ascii="Times New Roman" w:eastAsiaTheme="minorHAnsi" w:hAnsi="Times New Roman" w:cs="Times New Roman"/>
          <w:sz w:val="24"/>
          <w:szCs w:val="24"/>
          <w:lang w:eastAsia="lv-LV"/>
        </w:rPr>
        <w:t xml:space="preserve"> </w:t>
      </w:r>
    </w:p>
    <w:p w:rsidR="00D1084B" w:rsidRPr="00D1084B" w:rsidRDefault="00D1084B" w:rsidP="00D1084B">
      <w:pPr>
        <w:spacing w:after="0" w:line="240" w:lineRule="auto"/>
        <w:ind w:firstLine="567"/>
        <w:jc w:val="both"/>
        <w:rPr>
          <w:rFonts w:ascii="Times New Roman" w:eastAsiaTheme="minorHAnsi" w:hAnsi="Times New Roman" w:cs="Times New Roman"/>
          <w:sz w:val="24"/>
          <w:szCs w:val="24"/>
          <w:lang w:eastAsia="lv-LV"/>
        </w:rPr>
      </w:pPr>
    </w:p>
    <w:p w:rsidR="004F10E3" w:rsidRPr="00372D82" w:rsidRDefault="004F10E3" w:rsidP="00372D82">
      <w:pPr>
        <w:pStyle w:val="ListParagraph"/>
        <w:numPr>
          <w:ilvl w:val="0"/>
          <w:numId w:val="42"/>
        </w:numPr>
        <w:tabs>
          <w:tab w:val="left" w:pos="284"/>
        </w:tabs>
        <w:spacing w:after="120" w:line="240" w:lineRule="auto"/>
        <w:jc w:val="both"/>
        <w:rPr>
          <w:rFonts w:ascii="Times New Roman" w:hAnsi="Times New Roman" w:cs="Times New Roman"/>
          <w:b/>
          <w:sz w:val="26"/>
          <w:szCs w:val="26"/>
        </w:rPr>
      </w:pPr>
      <w:r w:rsidRPr="00372D82">
        <w:rPr>
          <w:rFonts w:ascii="Times New Roman" w:hAnsi="Times New Roman" w:cs="Times New Roman"/>
          <w:b/>
          <w:sz w:val="26"/>
          <w:szCs w:val="26"/>
        </w:rPr>
        <w:t>Eksporta veicināšanā iesaistīto institūciju – Ekonomikas ministrijas, LIAA, Latvijas Ārējo ekonomisko pārstāvniecību, vēstniecību – atbildība un uzdevumi</w:t>
      </w:r>
    </w:p>
    <w:p w:rsidR="00857E45" w:rsidRPr="00351055" w:rsidRDefault="004F10E3" w:rsidP="00351055">
      <w:pPr>
        <w:pStyle w:val="BodyTextIndent"/>
        <w:spacing w:after="60"/>
        <w:rPr>
          <w:sz w:val="26"/>
          <w:szCs w:val="26"/>
        </w:rPr>
      </w:pPr>
      <w:r w:rsidRPr="00351055">
        <w:rPr>
          <w:b/>
          <w:sz w:val="26"/>
          <w:szCs w:val="26"/>
        </w:rPr>
        <w:t>Ekonomikas ministrija</w:t>
      </w:r>
      <w:r w:rsidRPr="00351055">
        <w:rPr>
          <w:sz w:val="26"/>
          <w:szCs w:val="26"/>
        </w:rPr>
        <w:t xml:space="preserve"> izstrādā un īsteno Latvijas ārējo ekonomisko politiku, kuras mērķis ir labvēlīgu eksporta un importa proporciju stimulēšana un Latvijas komercsabiedrību konkurētspējas veicin</w:t>
      </w:r>
      <w:r w:rsidR="00857E45" w:rsidRPr="00351055">
        <w:rPr>
          <w:sz w:val="26"/>
          <w:szCs w:val="26"/>
        </w:rPr>
        <w:t>āšana</w:t>
      </w:r>
      <w:r w:rsidR="009E1083">
        <w:rPr>
          <w:sz w:val="26"/>
          <w:szCs w:val="26"/>
        </w:rPr>
        <w:t>, t.sk.</w:t>
      </w:r>
      <w:r w:rsidR="00857E45" w:rsidRPr="00351055">
        <w:rPr>
          <w:sz w:val="26"/>
          <w:szCs w:val="26"/>
        </w:rPr>
        <w:t xml:space="preserve"> ārvalstu tirgos, </w:t>
      </w:r>
      <w:r w:rsidR="000A2464" w:rsidRPr="00351055">
        <w:rPr>
          <w:sz w:val="26"/>
          <w:szCs w:val="26"/>
        </w:rPr>
        <w:t xml:space="preserve">paredzot </w:t>
      </w:r>
      <w:r w:rsidRPr="00351055">
        <w:rPr>
          <w:sz w:val="26"/>
          <w:szCs w:val="26"/>
        </w:rPr>
        <w:t xml:space="preserve">līgumtiesisko nodrošinājumu Eiropas Savienības </w:t>
      </w:r>
      <w:r w:rsidR="00857E45" w:rsidRPr="00351055">
        <w:rPr>
          <w:sz w:val="26"/>
          <w:szCs w:val="26"/>
        </w:rPr>
        <w:t xml:space="preserve">un nacionālajā </w:t>
      </w:r>
      <w:r w:rsidRPr="00351055">
        <w:rPr>
          <w:sz w:val="26"/>
          <w:szCs w:val="26"/>
        </w:rPr>
        <w:t>līmenī</w:t>
      </w:r>
      <w:r w:rsidR="00857E45" w:rsidRPr="00351055">
        <w:rPr>
          <w:sz w:val="26"/>
          <w:szCs w:val="26"/>
        </w:rPr>
        <w:t xml:space="preserve">, kā arī </w:t>
      </w:r>
      <w:r w:rsidR="009E1083">
        <w:rPr>
          <w:sz w:val="26"/>
          <w:szCs w:val="26"/>
        </w:rPr>
        <w:t>uzņēmumu konkurētspējas veicināšanas un finanšu pieejamības veicināšanas atbalsta instrumentu izstrādi</w:t>
      </w:r>
      <w:r w:rsidRPr="00351055">
        <w:rPr>
          <w:sz w:val="26"/>
          <w:szCs w:val="26"/>
        </w:rPr>
        <w:t>.</w:t>
      </w:r>
    </w:p>
    <w:p w:rsidR="004F10E3" w:rsidRPr="00351055" w:rsidRDefault="004F10E3" w:rsidP="00351055">
      <w:pPr>
        <w:spacing w:after="60" w:line="240" w:lineRule="auto"/>
        <w:ind w:firstLine="720"/>
        <w:jc w:val="both"/>
        <w:rPr>
          <w:rFonts w:ascii="Times New Roman" w:hAnsi="Times New Roman" w:cs="Times New Roman"/>
          <w:sz w:val="26"/>
          <w:szCs w:val="26"/>
        </w:rPr>
      </w:pPr>
      <w:r w:rsidRPr="00351055">
        <w:rPr>
          <w:rFonts w:ascii="Times New Roman" w:hAnsi="Times New Roman" w:cs="Times New Roman"/>
          <w:sz w:val="26"/>
          <w:szCs w:val="26"/>
        </w:rPr>
        <w:t xml:space="preserve">Ekonomikas ministrija ir atbildīga par eksporta veicināšanas politikas veidošanu, savukārt, </w:t>
      </w:r>
      <w:r w:rsidRPr="00351055">
        <w:rPr>
          <w:rFonts w:ascii="Times New Roman" w:hAnsi="Times New Roman" w:cs="Times New Roman"/>
          <w:b/>
          <w:sz w:val="26"/>
          <w:szCs w:val="26"/>
        </w:rPr>
        <w:t>Latvijas Investīciju un attīstības aģentūra</w:t>
      </w:r>
      <w:r w:rsidR="00B017E0" w:rsidRPr="00351055">
        <w:rPr>
          <w:rFonts w:ascii="Times New Roman" w:hAnsi="Times New Roman" w:cs="Times New Roman"/>
          <w:sz w:val="26"/>
          <w:szCs w:val="26"/>
        </w:rPr>
        <w:t xml:space="preserve"> </w:t>
      </w:r>
      <w:r w:rsidRPr="00351055">
        <w:rPr>
          <w:rFonts w:ascii="Times New Roman" w:hAnsi="Times New Roman" w:cs="Times New Roman"/>
          <w:sz w:val="26"/>
          <w:szCs w:val="26"/>
        </w:rPr>
        <w:t>(turpmāk – LIAA) (t.sk. Latvijas ārējās ekonomiskās pārstāvniecības) īsteno šo politiku, sniedzot Latvijas komersantiem tiešos eksporta atbalsta pakalpojumus</w:t>
      </w:r>
      <w:r w:rsidR="009E1083">
        <w:rPr>
          <w:rFonts w:ascii="Times New Roman" w:hAnsi="Times New Roman" w:cs="Times New Roman"/>
          <w:sz w:val="26"/>
          <w:szCs w:val="26"/>
        </w:rPr>
        <w:t>, nodrošinot uzņēmumu konkurētspējas atbalsta instrumentu pieejamību</w:t>
      </w:r>
      <w:r w:rsidRPr="00351055">
        <w:rPr>
          <w:rFonts w:ascii="Times New Roman" w:hAnsi="Times New Roman" w:cs="Times New Roman"/>
          <w:sz w:val="26"/>
          <w:szCs w:val="26"/>
        </w:rPr>
        <w:t>. Šobrīd Latvijas komercsabiedrību eksportspējas palielināšanai ir nodrošināts pilns tiešo eksporta atbalsta pakalpojumu klāsts līdzīgi kā citās attīstītajās valstīs.</w:t>
      </w:r>
    </w:p>
    <w:p w:rsidR="004F10E3" w:rsidRPr="00351055" w:rsidRDefault="004F10E3" w:rsidP="00351055">
      <w:pPr>
        <w:spacing w:after="60" w:line="240" w:lineRule="auto"/>
        <w:ind w:firstLine="720"/>
        <w:jc w:val="both"/>
        <w:rPr>
          <w:rFonts w:ascii="Times New Roman" w:hAnsi="Times New Roman" w:cs="Times New Roman"/>
          <w:bCs/>
          <w:sz w:val="26"/>
          <w:szCs w:val="26"/>
        </w:rPr>
      </w:pPr>
      <w:r w:rsidRPr="00351055">
        <w:rPr>
          <w:rFonts w:ascii="Times New Roman" w:hAnsi="Times New Roman" w:cs="Times New Roman"/>
          <w:sz w:val="26"/>
          <w:szCs w:val="26"/>
        </w:rPr>
        <w:t xml:space="preserve">Padziļinātu atbalstu ārvalstīs Latvijas komersantiem sniedz 10 </w:t>
      </w:r>
      <w:r w:rsidRPr="00351055">
        <w:rPr>
          <w:rFonts w:ascii="Times New Roman" w:hAnsi="Times New Roman" w:cs="Times New Roman"/>
          <w:b/>
          <w:sz w:val="26"/>
          <w:szCs w:val="26"/>
        </w:rPr>
        <w:t>Latvijas ārējās ekonomiskās pārstāvniecības</w:t>
      </w:r>
      <w:r w:rsidR="00351055" w:rsidRPr="00351055">
        <w:rPr>
          <w:rFonts w:ascii="Times New Roman" w:hAnsi="Times New Roman" w:cs="Times New Roman"/>
          <w:sz w:val="26"/>
          <w:szCs w:val="26"/>
        </w:rPr>
        <w:t xml:space="preserve"> </w:t>
      </w:r>
      <w:r w:rsidR="00351055">
        <w:rPr>
          <w:rFonts w:ascii="Times New Roman" w:hAnsi="Times New Roman" w:cs="Times New Roman"/>
          <w:sz w:val="26"/>
          <w:szCs w:val="26"/>
        </w:rPr>
        <w:t>(turpmāk – Pārstāvniecības)</w:t>
      </w:r>
      <w:r w:rsidRPr="00351055">
        <w:rPr>
          <w:rFonts w:ascii="Times New Roman" w:hAnsi="Times New Roman" w:cs="Times New Roman"/>
          <w:sz w:val="26"/>
          <w:szCs w:val="26"/>
        </w:rPr>
        <w:t xml:space="preserve">, kuru darbs </w:t>
      </w:r>
      <w:r w:rsidRPr="00351055">
        <w:rPr>
          <w:rFonts w:ascii="Times New Roman" w:hAnsi="Times New Roman" w:cs="Times New Roman"/>
          <w:bCs/>
          <w:sz w:val="26"/>
          <w:szCs w:val="26"/>
        </w:rPr>
        <w:t xml:space="preserve">ir fokusēts uz precīzu, komercsabiedrību vajadzībām atbilstošu atbalstu. Lai atbalsts būtu racionāls un ar maksimālu efektivitāti, komercsabiedrību vajadzības un eksportspēja tiek izvērtēta LIAA birojā Rīgā, sniedzot komercsabiedrībām </w:t>
      </w:r>
      <w:r w:rsidRPr="00351055">
        <w:rPr>
          <w:rFonts w:ascii="Times New Roman" w:hAnsi="Times New Roman" w:cs="Times New Roman"/>
          <w:bCs/>
          <w:sz w:val="26"/>
          <w:szCs w:val="26"/>
        </w:rPr>
        <w:lastRenderedPageBreak/>
        <w:t xml:space="preserve">konsultācijas un nepieciešamo atbalstu, lai sagatavotos eksporta aktivitātēm ārvalstīs un  Pārstāvniecību resursi tiktu izmantoti ar vislielāko atdevi. </w:t>
      </w:r>
    </w:p>
    <w:p w:rsidR="004F10E3" w:rsidRPr="00351055" w:rsidRDefault="004F10E3" w:rsidP="00351055">
      <w:pPr>
        <w:spacing w:after="60" w:line="240" w:lineRule="auto"/>
        <w:ind w:firstLine="720"/>
        <w:jc w:val="both"/>
        <w:rPr>
          <w:rFonts w:ascii="Times New Roman" w:hAnsi="Times New Roman" w:cs="Times New Roman"/>
          <w:bCs/>
          <w:sz w:val="26"/>
          <w:szCs w:val="26"/>
        </w:rPr>
      </w:pPr>
      <w:r w:rsidRPr="00351055">
        <w:rPr>
          <w:rFonts w:ascii="Times New Roman" w:hAnsi="Times New Roman" w:cs="Times New Roman"/>
          <w:bCs/>
          <w:sz w:val="26"/>
          <w:szCs w:val="26"/>
        </w:rPr>
        <w:t xml:space="preserve">Latvijas ārējās ekonomiskās pārstāvniecības un LIAA pakalpojumus komersantiem nodrošina pēc </w:t>
      </w:r>
      <w:r w:rsidRPr="00351055">
        <w:rPr>
          <w:rFonts w:ascii="Times New Roman" w:hAnsi="Times New Roman" w:cs="Times New Roman"/>
          <w:b/>
          <w:bCs/>
          <w:i/>
          <w:sz w:val="26"/>
          <w:szCs w:val="26"/>
        </w:rPr>
        <w:t>„vienas pieturas aģentūras”</w:t>
      </w:r>
      <w:r w:rsidRPr="00351055">
        <w:rPr>
          <w:rFonts w:ascii="Times New Roman" w:hAnsi="Times New Roman" w:cs="Times New Roman"/>
          <w:b/>
          <w:bCs/>
          <w:sz w:val="26"/>
          <w:szCs w:val="26"/>
        </w:rPr>
        <w:t xml:space="preserve"> </w:t>
      </w:r>
      <w:r w:rsidRPr="00351055">
        <w:rPr>
          <w:rFonts w:ascii="Times New Roman" w:hAnsi="Times New Roman" w:cs="Times New Roman"/>
          <w:bCs/>
          <w:sz w:val="26"/>
          <w:szCs w:val="26"/>
        </w:rPr>
        <w:t>principa:</w:t>
      </w:r>
      <w:r w:rsidR="00986264" w:rsidRPr="00351055">
        <w:rPr>
          <w:rFonts w:ascii="Times New Roman" w:hAnsi="Times New Roman" w:cs="Times New Roman"/>
          <w:bCs/>
          <w:sz w:val="26"/>
          <w:szCs w:val="26"/>
        </w:rPr>
        <w:t xml:space="preserve"> </w:t>
      </w:r>
      <w:r w:rsidRPr="00351055">
        <w:rPr>
          <w:rFonts w:ascii="Times New Roman" w:hAnsi="Times New Roman" w:cs="Times New Roman"/>
          <w:sz w:val="26"/>
          <w:szCs w:val="26"/>
        </w:rPr>
        <w:t xml:space="preserve">uzņēmējiem, meklējot biznesa partnerus ārvalstīs, ir </w:t>
      </w:r>
      <w:r w:rsidR="00986264" w:rsidRPr="00351055">
        <w:rPr>
          <w:rFonts w:ascii="Times New Roman" w:hAnsi="Times New Roman" w:cs="Times New Roman"/>
          <w:sz w:val="26"/>
          <w:szCs w:val="26"/>
        </w:rPr>
        <w:t xml:space="preserve">pieejama </w:t>
      </w:r>
      <w:r w:rsidRPr="00351055">
        <w:rPr>
          <w:rFonts w:ascii="Times New Roman" w:hAnsi="Times New Roman" w:cs="Times New Roman"/>
          <w:sz w:val="26"/>
          <w:szCs w:val="26"/>
        </w:rPr>
        <w:t xml:space="preserve">stabila, ātra, rīcībspējīga atbalsta sistēma: </w:t>
      </w:r>
      <w:r w:rsidRPr="00351055">
        <w:rPr>
          <w:rFonts w:ascii="Times New Roman" w:hAnsi="Times New Roman" w:cs="Times New Roman"/>
          <w:i/>
          <w:sz w:val="26"/>
          <w:szCs w:val="26"/>
        </w:rPr>
        <w:t xml:space="preserve">komersants – LIAA </w:t>
      </w:r>
      <w:r w:rsidR="00986264" w:rsidRPr="00351055">
        <w:rPr>
          <w:rFonts w:ascii="Times New Roman" w:hAnsi="Times New Roman" w:cs="Times New Roman"/>
          <w:i/>
          <w:sz w:val="26"/>
          <w:szCs w:val="26"/>
        </w:rPr>
        <w:t>–</w:t>
      </w:r>
      <w:r w:rsidRPr="00351055">
        <w:rPr>
          <w:rFonts w:ascii="Times New Roman" w:hAnsi="Times New Roman" w:cs="Times New Roman"/>
          <w:i/>
          <w:sz w:val="26"/>
          <w:szCs w:val="26"/>
        </w:rPr>
        <w:t xml:space="preserve"> Pārstāvniecība</w:t>
      </w:r>
      <w:r w:rsidR="00986264" w:rsidRPr="00351055">
        <w:rPr>
          <w:rFonts w:ascii="Times New Roman" w:hAnsi="Times New Roman" w:cs="Times New Roman"/>
          <w:bCs/>
          <w:sz w:val="26"/>
          <w:szCs w:val="26"/>
        </w:rPr>
        <w:t>. U</w:t>
      </w:r>
      <w:r w:rsidR="00986264" w:rsidRPr="00351055">
        <w:rPr>
          <w:rFonts w:ascii="Times New Roman" w:hAnsi="Times New Roman" w:cs="Times New Roman"/>
          <w:sz w:val="26"/>
          <w:szCs w:val="26"/>
        </w:rPr>
        <w:t>zņēmumi vienuviet</w:t>
      </w:r>
      <w:r w:rsidRPr="00351055">
        <w:rPr>
          <w:rFonts w:ascii="Times New Roman" w:hAnsi="Times New Roman" w:cs="Times New Roman"/>
          <w:sz w:val="26"/>
          <w:szCs w:val="26"/>
        </w:rPr>
        <w:t xml:space="preserve"> var saņemt ne tikai </w:t>
      </w:r>
      <w:r w:rsidR="00986264" w:rsidRPr="00351055">
        <w:rPr>
          <w:rFonts w:ascii="Times New Roman" w:hAnsi="Times New Roman" w:cs="Times New Roman"/>
          <w:sz w:val="26"/>
          <w:szCs w:val="26"/>
        </w:rPr>
        <w:t xml:space="preserve">visu nepieciešamo </w:t>
      </w:r>
      <w:r w:rsidRPr="00351055">
        <w:rPr>
          <w:rFonts w:ascii="Times New Roman" w:hAnsi="Times New Roman" w:cs="Times New Roman"/>
          <w:sz w:val="26"/>
          <w:szCs w:val="26"/>
        </w:rPr>
        <w:t xml:space="preserve">atbalstu biznesa partneru meklēšanā, bet arī  informāciju par uzņēmuma dibināšanu, eksporta jautājumiem, inovācijām, jaunākajām tehnoloģijām, Eiropas Savienības struktūrfondu atbalsta programmām un citiem finanšu instrumentiem uzņēmējdarbības veicināšanai, kā arī atbalstu stratēģisko un finanšu investoru piesaistē. </w:t>
      </w:r>
    </w:p>
    <w:p w:rsidR="00284CBA" w:rsidRPr="00351055" w:rsidRDefault="004F10E3" w:rsidP="00351055">
      <w:pPr>
        <w:pStyle w:val="BodyTextIndent"/>
        <w:spacing w:after="60"/>
        <w:rPr>
          <w:sz w:val="26"/>
          <w:szCs w:val="26"/>
        </w:rPr>
      </w:pPr>
      <w:r w:rsidRPr="00351055">
        <w:rPr>
          <w:sz w:val="26"/>
          <w:szCs w:val="26"/>
        </w:rPr>
        <w:t xml:space="preserve">Nozīmīgs instruments Latvijas ekonomisko interešu pārstāvēšanā ārvalstīs ir </w:t>
      </w:r>
      <w:r w:rsidRPr="00351055">
        <w:rPr>
          <w:b/>
          <w:bCs/>
          <w:sz w:val="26"/>
          <w:szCs w:val="26"/>
        </w:rPr>
        <w:t>Latvijas Republikas</w:t>
      </w:r>
      <w:r w:rsidRPr="00351055">
        <w:rPr>
          <w:b/>
          <w:sz w:val="26"/>
          <w:szCs w:val="26"/>
        </w:rPr>
        <w:t xml:space="preserve"> vēstniecības</w:t>
      </w:r>
      <w:r w:rsidRPr="00351055">
        <w:rPr>
          <w:sz w:val="26"/>
          <w:szCs w:val="26"/>
        </w:rPr>
        <w:t xml:space="preserve"> ārvalstīs. Vēstniecību galvenās funkcijas ir politekonomisko attiecību uzturēšana valsts līmenī, sadarbība daudzpusējos formātos un politiskais lob</w:t>
      </w:r>
      <w:r w:rsidR="009E1083">
        <w:rPr>
          <w:sz w:val="26"/>
          <w:szCs w:val="26"/>
        </w:rPr>
        <w:t>ijs problēmjautājumu risināšanā</w:t>
      </w:r>
      <w:r w:rsidRPr="00351055">
        <w:rPr>
          <w:sz w:val="26"/>
          <w:szCs w:val="26"/>
        </w:rPr>
        <w:t>.  Valstīs, kur</w:t>
      </w:r>
      <w:r w:rsidR="009E1083">
        <w:rPr>
          <w:sz w:val="26"/>
          <w:szCs w:val="26"/>
        </w:rPr>
        <w:t>ās</w:t>
      </w:r>
      <w:r w:rsidRPr="00351055">
        <w:rPr>
          <w:sz w:val="26"/>
          <w:szCs w:val="26"/>
        </w:rPr>
        <w:t xml:space="preserve"> nav atvērta</w:t>
      </w:r>
      <w:r w:rsidR="009E1083">
        <w:rPr>
          <w:sz w:val="26"/>
          <w:szCs w:val="26"/>
        </w:rPr>
        <w:t>s</w:t>
      </w:r>
      <w:r w:rsidRPr="00351055">
        <w:rPr>
          <w:sz w:val="26"/>
          <w:szCs w:val="26"/>
        </w:rPr>
        <w:t xml:space="preserve"> Latvijas ārējā ekonomiskā pārstāvniecība</w:t>
      </w:r>
      <w:r w:rsidR="009E1083">
        <w:rPr>
          <w:sz w:val="26"/>
          <w:szCs w:val="26"/>
        </w:rPr>
        <w:t>s</w:t>
      </w:r>
      <w:r w:rsidRPr="00351055">
        <w:rPr>
          <w:sz w:val="26"/>
          <w:szCs w:val="26"/>
        </w:rPr>
        <w:t>, saņemot atbalstu no Ekonomikas ministrijas un</w:t>
      </w:r>
      <w:r w:rsidR="00274947" w:rsidRPr="00351055">
        <w:rPr>
          <w:sz w:val="26"/>
          <w:szCs w:val="26"/>
        </w:rPr>
        <w:t xml:space="preserve"> LIAA</w:t>
      </w:r>
      <w:r w:rsidRPr="00351055">
        <w:rPr>
          <w:sz w:val="26"/>
          <w:szCs w:val="26"/>
        </w:rPr>
        <w:t xml:space="preserve">, atbalstu komersantiem sniedz vēstniecība. </w:t>
      </w:r>
      <w:r w:rsidR="009E1083">
        <w:rPr>
          <w:sz w:val="26"/>
          <w:szCs w:val="26"/>
        </w:rPr>
        <w:t>Jāatzīmē, ka n</w:t>
      </w:r>
      <w:r w:rsidR="009E1083" w:rsidRPr="00351055">
        <w:rPr>
          <w:sz w:val="26"/>
          <w:szCs w:val="26"/>
        </w:rPr>
        <w:t>evienā no 35 vēstniecībām ārvalstīs atsevišķs diplomāts nestrādā tikai ar ekonomiskajiem jautājumiem. Latvijas Republikas vēstniecību diplomāti nevar nodrošināt padziļinātu eksportētāju atbalstu un pilnu laiku veltīt komercsabiedrību interešu jautājumiem, jo to pamatfunkcija ir politisko jautājumu un arī citu nozaru interešu pārstāvēšanā ārvalstīs (izglītība, kult</w:t>
      </w:r>
      <w:r w:rsidR="009E1083">
        <w:rPr>
          <w:sz w:val="26"/>
          <w:szCs w:val="26"/>
        </w:rPr>
        <w:t>ūra, konsulārie jautājumi u.c.). S</w:t>
      </w:r>
      <w:r w:rsidR="00F97E4B" w:rsidRPr="00C52C20">
        <w:rPr>
          <w:sz w:val="26"/>
          <w:szCs w:val="26"/>
        </w:rPr>
        <w:t xml:space="preserve">adarbība starp </w:t>
      </w:r>
      <w:r w:rsidR="003C2067" w:rsidRPr="00C52C20">
        <w:rPr>
          <w:sz w:val="26"/>
          <w:szCs w:val="26"/>
        </w:rPr>
        <w:t>Ekonomikas mini</w:t>
      </w:r>
      <w:r w:rsidR="00C52C20">
        <w:rPr>
          <w:sz w:val="26"/>
          <w:szCs w:val="26"/>
        </w:rPr>
        <w:t>striju, LIAA, Pārstāvniecībām,</w:t>
      </w:r>
      <w:r w:rsidR="003C2067" w:rsidRPr="00C52C20">
        <w:rPr>
          <w:sz w:val="26"/>
          <w:szCs w:val="26"/>
        </w:rPr>
        <w:t xml:space="preserve"> </w:t>
      </w:r>
      <w:r w:rsidR="00C52C20" w:rsidRPr="00C52C20">
        <w:rPr>
          <w:sz w:val="26"/>
          <w:szCs w:val="26"/>
        </w:rPr>
        <w:t>Ārlietu ministriju</w:t>
      </w:r>
      <w:r w:rsidR="00C52C20">
        <w:rPr>
          <w:sz w:val="26"/>
          <w:szCs w:val="26"/>
        </w:rPr>
        <w:t xml:space="preserve"> un</w:t>
      </w:r>
      <w:r w:rsidR="00C52C20" w:rsidRPr="00C52C20">
        <w:rPr>
          <w:sz w:val="26"/>
          <w:szCs w:val="26"/>
        </w:rPr>
        <w:t xml:space="preserve"> </w:t>
      </w:r>
      <w:r w:rsidR="003C2067" w:rsidRPr="00C52C20">
        <w:rPr>
          <w:sz w:val="26"/>
          <w:szCs w:val="26"/>
        </w:rPr>
        <w:t>La</w:t>
      </w:r>
      <w:r w:rsidR="00C52C20">
        <w:rPr>
          <w:sz w:val="26"/>
          <w:szCs w:val="26"/>
        </w:rPr>
        <w:t>tvijas Republikas vēstniecībām</w:t>
      </w:r>
      <w:r w:rsidR="003C2067" w:rsidRPr="00C52C20">
        <w:rPr>
          <w:sz w:val="26"/>
          <w:szCs w:val="26"/>
        </w:rPr>
        <w:t xml:space="preserve"> </w:t>
      </w:r>
      <w:r w:rsidR="00A56563" w:rsidRPr="00C52C20">
        <w:rPr>
          <w:sz w:val="26"/>
          <w:szCs w:val="26"/>
        </w:rPr>
        <w:t xml:space="preserve">ir </w:t>
      </w:r>
      <w:r w:rsidR="004E6ED6" w:rsidRPr="00C52C20">
        <w:rPr>
          <w:sz w:val="26"/>
          <w:szCs w:val="26"/>
        </w:rPr>
        <w:t xml:space="preserve">vērtējama pozitīvi </w:t>
      </w:r>
      <w:r w:rsidR="00A56563" w:rsidRPr="00C52C20">
        <w:rPr>
          <w:sz w:val="26"/>
          <w:szCs w:val="26"/>
        </w:rPr>
        <w:t xml:space="preserve">un </w:t>
      </w:r>
      <w:r w:rsidR="00E818B3" w:rsidRPr="00C52C20">
        <w:rPr>
          <w:sz w:val="26"/>
          <w:szCs w:val="26"/>
        </w:rPr>
        <w:t xml:space="preserve">tiek īstenota </w:t>
      </w:r>
      <w:r w:rsidR="003C2067" w:rsidRPr="00C52C20">
        <w:rPr>
          <w:i/>
          <w:sz w:val="26"/>
          <w:szCs w:val="26"/>
        </w:rPr>
        <w:t xml:space="preserve">„Starpresoru vienošanās par sadarbību starp Latvijas Republikas Ekonomikas ministriju, Latvijas Republikas Ārlietu ministriju un Latvijas Investīciju un attīstības aģentūru, pārstāvot Latvijas ekonomiskās intereses ārvalstīs” </w:t>
      </w:r>
      <w:r w:rsidR="003C2067" w:rsidRPr="00C52C20">
        <w:rPr>
          <w:sz w:val="26"/>
          <w:szCs w:val="26"/>
        </w:rPr>
        <w:t>ietvaros</w:t>
      </w:r>
      <w:r w:rsidR="007A17BC" w:rsidRPr="00C52C20">
        <w:rPr>
          <w:sz w:val="26"/>
          <w:szCs w:val="26"/>
        </w:rPr>
        <w:t>.</w:t>
      </w:r>
    </w:p>
    <w:p w:rsidR="002B55B7" w:rsidRPr="007A17BC" w:rsidRDefault="002B55B7" w:rsidP="00143ADB">
      <w:pPr>
        <w:pStyle w:val="BodyTextIndent"/>
      </w:pPr>
    </w:p>
    <w:p w:rsidR="00AF54D7" w:rsidRPr="00372D82" w:rsidRDefault="00316970" w:rsidP="00372D82">
      <w:pPr>
        <w:pStyle w:val="ListParagraph"/>
        <w:numPr>
          <w:ilvl w:val="0"/>
          <w:numId w:val="42"/>
        </w:numPr>
        <w:tabs>
          <w:tab w:val="left" w:pos="284"/>
        </w:tabs>
        <w:spacing w:after="120" w:line="240" w:lineRule="auto"/>
        <w:jc w:val="both"/>
        <w:rPr>
          <w:rFonts w:ascii="Times New Roman" w:hAnsi="Times New Roman" w:cs="Times New Roman"/>
          <w:b/>
          <w:sz w:val="26"/>
          <w:szCs w:val="26"/>
        </w:rPr>
      </w:pPr>
      <w:r w:rsidRPr="00372D82">
        <w:rPr>
          <w:rFonts w:ascii="Times New Roman" w:hAnsi="Times New Roman" w:cs="Times New Roman"/>
          <w:b/>
          <w:sz w:val="26"/>
          <w:szCs w:val="26"/>
        </w:rPr>
        <w:t xml:space="preserve">Instrumenti eksporta veicināšanas mērķu sasniegšanai, </w:t>
      </w:r>
      <w:r w:rsidR="000277D0" w:rsidRPr="00372D82">
        <w:rPr>
          <w:rFonts w:ascii="Times New Roman" w:hAnsi="Times New Roman" w:cs="Times New Roman"/>
          <w:b/>
          <w:sz w:val="26"/>
          <w:szCs w:val="26"/>
        </w:rPr>
        <w:t xml:space="preserve">2011.gadā plānotie pasākumi </w:t>
      </w:r>
      <w:r w:rsidR="00F00258" w:rsidRPr="00372D82">
        <w:rPr>
          <w:rFonts w:ascii="Times New Roman" w:hAnsi="Times New Roman" w:cs="Times New Roman"/>
          <w:b/>
          <w:sz w:val="26"/>
          <w:szCs w:val="26"/>
        </w:rPr>
        <w:t>un sasniedzami</w:t>
      </w:r>
      <w:r w:rsidR="00E3255E" w:rsidRPr="00372D82">
        <w:rPr>
          <w:rFonts w:ascii="Times New Roman" w:hAnsi="Times New Roman" w:cs="Times New Roman"/>
          <w:b/>
          <w:sz w:val="26"/>
          <w:szCs w:val="26"/>
        </w:rPr>
        <w:t>e</w:t>
      </w:r>
      <w:r w:rsidR="00F00258" w:rsidRPr="00372D82">
        <w:rPr>
          <w:rFonts w:ascii="Times New Roman" w:hAnsi="Times New Roman" w:cs="Times New Roman"/>
          <w:b/>
          <w:sz w:val="26"/>
          <w:szCs w:val="26"/>
        </w:rPr>
        <w:t xml:space="preserve"> rezultāti (rādītāji, kas raksturo ieguvumus tautsaimniecībai)</w:t>
      </w:r>
    </w:p>
    <w:p w:rsidR="00316970" w:rsidRPr="00316970" w:rsidRDefault="000C3498" w:rsidP="003979F2">
      <w:pPr>
        <w:tabs>
          <w:tab w:val="left" w:pos="284"/>
        </w:tabs>
        <w:spacing w:afterLines="60" w:line="240" w:lineRule="auto"/>
        <w:ind w:firstLine="567"/>
        <w:jc w:val="both"/>
        <w:rPr>
          <w:rFonts w:ascii="Times New Roman" w:hAnsi="Times New Roman" w:cs="Times New Roman"/>
          <w:sz w:val="26"/>
          <w:szCs w:val="26"/>
        </w:rPr>
      </w:pPr>
      <w:r>
        <w:rPr>
          <w:rFonts w:ascii="Times New Roman" w:hAnsi="Times New Roman" w:cs="Times New Roman"/>
          <w:sz w:val="26"/>
          <w:szCs w:val="26"/>
        </w:rPr>
        <w:t>Eksporta veicināšana</w:t>
      </w:r>
      <w:r w:rsidR="00316970" w:rsidRPr="00316970">
        <w:rPr>
          <w:rFonts w:ascii="Times New Roman" w:hAnsi="Times New Roman" w:cs="Times New Roman"/>
          <w:sz w:val="26"/>
          <w:szCs w:val="26"/>
        </w:rPr>
        <w:t>s mērķu sasniegšanu</w:t>
      </w:r>
      <w:r w:rsidR="00A07E0F">
        <w:rPr>
          <w:rFonts w:ascii="Times New Roman" w:hAnsi="Times New Roman" w:cs="Times New Roman"/>
          <w:sz w:val="26"/>
          <w:szCs w:val="26"/>
        </w:rPr>
        <w:t xml:space="preserve"> </w:t>
      </w:r>
      <w:r w:rsidR="00966B1D">
        <w:rPr>
          <w:rFonts w:ascii="Times New Roman" w:hAnsi="Times New Roman" w:cs="Times New Roman"/>
          <w:sz w:val="26"/>
          <w:szCs w:val="26"/>
        </w:rPr>
        <w:t xml:space="preserve">un Latvijas uzņēmēju konkurētspēju ārējos tirgos </w:t>
      </w:r>
      <w:r w:rsidR="00A07E0F">
        <w:rPr>
          <w:rFonts w:ascii="Times New Roman" w:hAnsi="Times New Roman" w:cs="Times New Roman"/>
          <w:sz w:val="26"/>
          <w:szCs w:val="26"/>
        </w:rPr>
        <w:t>sekmē</w:t>
      </w:r>
      <w:r w:rsidR="00316970" w:rsidRPr="00316970">
        <w:rPr>
          <w:rFonts w:ascii="Times New Roman" w:hAnsi="Times New Roman" w:cs="Times New Roman"/>
          <w:sz w:val="26"/>
          <w:szCs w:val="26"/>
        </w:rPr>
        <w:t>:</w:t>
      </w:r>
    </w:p>
    <w:p w:rsidR="009E1083" w:rsidRDefault="009E1083" w:rsidP="00110BCC">
      <w:pPr>
        <w:pStyle w:val="ListParagraph"/>
        <w:numPr>
          <w:ilvl w:val="0"/>
          <w:numId w:val="7"/>
        </w:numPr>
        <w:spacing w:after="20" w:line="240" w:lineRule="auto"/>
        <w:ind w:left="851" w:hanging="284"/>
        <w:contextualSpacing w:val="0"/>
        <w:jc w:val="both"/>
        <w:rPr>
          <w:rFonts w:ascii="Times New Roman" w:hAnsi="Times New Roman"/>
          <w:sz w:val="26"/>
          <w:szCs w:val="26"/>
        </w:rPr>
      </w:pPr>
      <w:r>
        <w:rPr>
          <w:rFonts w:ascii="Times New Roman" w:hAnsi="Times New Roman"/>
          <w:sz w:val="26"/>
          <w:szCs w:val="26"/>
        </w:rPr>
        <w:t>uzņēmumu konkurētspējas veicināšanas atbalsta aktivitāšu ieviešana;</w:t>
      </w:r>
    </w:p>
    <w:p w:rsidR="009E1083" w:rsidRDefault="009E1083" w:rsidP="00110BCC">
      <w:pPr>
        <w:pStyle w:val="ListParagraph"/>
        <w:numPr>
          <w:ilvl w:val="0"/>
          <w:numId w:val="7"/>
        </w:numPr>
        <w:spacing w:after="20" w:line="240" w:lineRule="auto"/>
        <w:ind w:left="851" w:hanging="284"/>
        <w:contextualSpacing w:val="0"/>
        <w:jc w:val="both"/>
        <w:rPr>
          <w:rFonts w:ascii="Times New Roman" w:hAnsi="Times New Roman"/>
          <w:sz w:val="26"/>
          <w:szCs w:val="26"/>
        </w:rPr>
      </w:pPr>
      <w:r>
        <w:rPr>
          <w:rFonts w:ascii="Times New Roman" w:hAnsi="Times New Roman"/>
          <w:sz w:val="26"/>
          <w:szCs w:val="26"/>
        </w:rPr>
        <w:t>finanšu pieejamības veicināšanas instrumentu ieviešana;</w:t>
      </w:r>
    </w:p>
    <w:p w:rsidR="009E1083" w:rsidRPr="009E1083" w:rsidRDefault="009E1083" w:rsidP="00110BCC">
      <w:pPr>
        <w:pStyle w:val="ListParagraph"/>
        <w:numPr>
          <w:ilvl w:val="0"/>
          <w:numId w:val="7"/>
        </w:numPr>
        <w:spacing w:after="20" w:line="240" w:lineRule="auto"/>
        <w:ind w:left="851" w:hanging="284"/>
        <w:contextualSpacing w:val="0"/>
        <w:jc w:val="both"/>
        <w:rPr>
          <w:rFonts w:ascii="Times New Roman" w:hAnsi="Times New Roman"/>
          <w:sz w:val="26"/>
          <w:szCs w:val="26"/>
        </w:rPr>
      </w:pPr>
      <w:r>
        <w:rPr>
          <w:rFonts w:ascii="Times New Roman" w:hAnsi="Times New Roman"/>
          <w:sz w:val="26"/>
          <w:szCs w:val="26"/>
        </w:rPr>
        <w:t>tiešo eksporta atbalsta pakalpojumu nodrošināšana;</w:t>
      </w:r>
    </w:p>
    <w:p w:rsidR="00143ADB" w:rsidRPr="00143ADB" w:rsidRDefault="00AD6ED0" w:rsidP="00110BCC">
      <w:pPr>
        <w:pStyle w:val="ListParagraph"/>
        <w:numPr>
          <w:ilvl w:val="0"/>
          <w:numId w:val="7"/>
        </w:numPr>
        <w:spacing w:after="20" w:line="240" w:lineRule="auto"/>
        <w:ind w:left="851" w:hanging="284"/>
        <w:contextualSpacing w:val="0"/>
        <w:jc w:val="both"/>
        <w:rPr>
          <w:rFonts w:ascii="Times New Roman" w:hAnsi="Times New Roman"/>
          <w:sz w:val="26"/>
          <w:szCs w:val="26"/>
        </w:rPr>
      </w:pPr>
      <w:r w:rsidRPr="00143ADB">
        <w:rPr>
          <w:rFonts w:ascii="Times New Roman" w:hAnsi="Times New Roman" w:cs="Times New Roman"/>
          <w:sz w:val="26"/>
          <w:szCs w:val="26"/>
        </w:rPr>
        <w:t>līgumtiesiskais nodrošinājums ES līmenī (</w:t>
      </w:r>
      <w:r w:rsidR="00316970" w:rsidRPr="00143ADB">
        <w:rPr>
          <w:rFonts w:ascii="Times New Roman" w:hAnsi="Times New Roman" w:cs="Times New Roman"/>
          <w:sz w:val="26"/>
          <w:szCs w:val="26"/>
        </w:rPr>
        <w:t>daudzpusējais virziens Pasaules Tirdzniecības organizācijas ietvaros</w:t>
      </w:r>
      <w:r w:rsidR="00274947" w:rsidRPr="00143ADB">
        <w:rPr>
          <w:rFonts w:ascii="Times New Roman" w:hAnsi="Times New Roman" w:cs="Times New Roman"/>
          <w:sz w:val="26"/>
          <w:szCs w:val="26"/>
        </w:rPr>
        <w:t xml:space="preserve"> </w:t>
      </w:r>
      <w:r w:rsidR="00274947" w:rsidRPr="00143ADB">
        <w:rPr>
          <w:rFonts w:ascii="Times New Roman" w:hAnsi="Times New Roman" w:cs="Times New Roman"/>
          <w:i/>
          <w:sz w:val="26"/>
          <w:szCs w:val="26"/>
        </w:rPr>
        <w:t>–</w:t>
      </w:r>
      <w:r w:rsidRPr="00143ADB">
        <w:rPr>
          <w:rFonts w:ascii="Times New Roman" w:hAnsi="Times New Roman" w:cs="Times New Roman"/>
          <w:sz w:val="26"/>
          <w:szCs w:val="26"/>
        </w:rPr>
        <w:t xml:space="preserve"> Dohas raunda sarunas par visaptverošu tirdzniecības barjeru samazināšanu</w:t>
      </w:r>
      <w:r w:rsidR="00316970" w:rsidRPr="00143ADB">
        <w:rPr>
          <w:rFonts w:ascii="Times New Roman" w:hAnsi="Times New Roman" w:cs="Times New Roman"/>
          <w:sz w:val="26"/>
          <w:szCs w:val="26"/>
        </w:rPr>
        <w:t xml:space="preserve">, </w:t>
      </w:r>
      <w:r w:rsidRPr="00143ADB">
        <w:rPr>
          <w:rFonts w:ascii="Times New Roman" w:hAnsi="Times New Roman" w:cs="Times New Roman"/>
          <w:sz w:val="26"/>
          <w:szCs w:val="26"/>
        </w:rPr>
        <w:t xml:space="preserve">kandidātvalstu iestāšanās procesi (Krievija, Baltkrievija, Kazahstāna); </w:t>
      </w:r>
      <w:r w:rsidR="00316970" w:rsidRPr="00143ADB">
        <w:rPr>
          <w:rFonts w:ascii="Times New Roman" w:hAnsi="Times New Roman" w:cs="Times New Roman"/>
          <w:sz w:val="26"/>
          <w:szCs w:val="26"/>
        </w:rPr>
        <w:t>divpusējais virziens</w:t>
      </w:r>
      <w:r w:rsidR="00274947" w:rsidRPr="00143ADB">
        <w:rPr>
          <w:rFonts w:ascii="Times New Roman" w:hAnsi="Times New Roman" w:cs="Times New Roman"/>
          <w:sz w:val="26"/>
          <w:szCs w:val="26"/>
        </w:rPr>
        <w:t xml:space="preserve"> </w:t>
      </w:r>
      <w:r w:rsidR="00274947" w:rsidRPr="00143ADB">
        <w:rPr>
          <w:rFonts w:ascii="Times New Roman" w:hAnsi="Times New Roman" w:cs="Times New Roman"/>
          <w:i/>
          <w:sz w:val="26"/>
          <w:szCs w:val="26"/>
        </w:rPr>
        <w:t>–</w:t>
      </w:r>
      <w:r w:rsidR="00316970" w:rsidRPr="00143ADB">
        <w:rPr>
          <w:rFonts w:ascii="Times New Roman" w:hAnsi="Times New Roman" w:cs="Times New Roman"/>
          <w:sz w:val="26"/>
          <w:szCs w:val="26"/>
        </w:rPr>
        <w:t xml:space="preserve">  ES brīvās tirdzniecības līgumi, tirdzniecības un regulatorie dialogi);</w:t>
      </w:r>
    </w:p>
    <w:p w:rsidR="00143ADB" w:rsidRPr="00143ADB" w:rsidRDefault="00316970" w:rsidP="00110BCC">
      <w:pPr>
        <w:pStyle w:val="ListParagraph"/>
        <w:numPr>
          <w:ilvl w:val="0"/>
          <w:numId w:val="7"/>
        </w:numPr>
        <w:spacing w:after="20" w:line="240" w:lineRule="auto"/>
        <w:ind w:left="851" w:hanging="284"/>
        <w:contextualSpacing w:val="0"/>
        <w:jc w:val="both"/>
        <w:rPr>
          <w:rFonts w:ascii="Times New Roman" w:hAnsi="Times New Roman"/>
          <w:sz w:val="26"/>
          <w:szCs w:val="26"/>
        </w:rPr>
      </w:pPr>
      <w:r w:rsidRPr="00143ADB">
        <w:rPr>
          <w:rFonts w:ascii="Times New Roman" w:hAnsi="Times New Roman" w:cs="Times New Roman"/>
          <w:sz w:val="26"/>
          <w:szCs w:val="26"/>
        </w:rPr>
        <w:lastRenderedPageBreak/>
        <w:t>l</w:t>
      </w:r>
      <w:r w:rsidR="00AD6ED0" w:rsidRPr="00143ADB">
        <w:rPr>
          <w:rFonts w:ascii="Times New Roman" w:hAnsi="Times New Roman" w:cs="Times New Roman"/>
          <w:sz w:val="26"/>
          <w:szCs w:val="26"/>
        </w:rPr>
        <w:t>īgumtiesiskais  nodrošinājums</w:t>
      </w:r>
      <w:r w:rsidRPr="00143ADB">
        <w:rPr>
          <w:rFonts w:ascii="Times New Roman" w:hAnsi="Times New Roman" w:cs="Times New Roman"/>
          <w:sz w:val="26"/>
          <w:szCs w:val="26"/>
        </w:rPr>
        <w:t xml:space="preserve"> nacionālajā līmenī </w:t>
      </w:r>
      <w:r w:rsidRPr="00143ADB">
        <w:rPr>
          <w:rFonts w:ascii="Times New Roman" w:hAnsi="Times New Roman"/>
          <w:bCs/>
          <w:sz w:val="26"/>
          <w:szCs w:val="26"/>
        </w:rPr>
        <w:t>(</w:t>
      </w:r>
      <w:r w:rsidRPr="00143ADB">
        <w:rPr>
          <w:rFonts w:ascii="Times New Roman" w:hAnsi="Times New Roman"/>
          <w:sz w:val="26"/>
          <w:szCs w:val="26"/>
        </w:rPr>
        <w:t>divpusējo ekonomiskās sadarbības līgumu slē</w:t>
      </w:r>
      <w:r w:rsidR="00AD6ED0" w:rsidRPr="00143ADB">
        <w:rPr>
          <w:rFonts w:ascii="Times New Roman" w:hAnsi="Times New Roman"/>
          <w:sz w:val="26"/>
          <w:szCs w:val="26"/>
        </w:rPr>
        <w:t>gšana</w:t>
      </w:r>
      <w:r w:rsidRPr="00143ADB">
        <w:rPr>
          <w:rFonts w:ascii="Times New Roman" w:hAnsi="Times New Roman"/>
          <w:sz w:val="26"/>
          <w:szCs w:val="26"/>
        </w:rPr>
        <w:t xml:space="preserve"> un to ietvaros izveidoto starpvaldību k</w:t>
      </w:r>
      <w:r w:rsidR="009E1083">
        <w:rPr>
          <w:rFonts w:ascii="Times New Roman" w:hAnsi="Times New Roman"/>
          <w:sz w:val="26"/>
          <w:szCs w:val="26"/>
        </w:rPr>
        <w:t>omisiju darbības nodrošināšana).</w:t>
      </w:r>
      <w:r w:rsidRPr="00143ADB">
        <w:rPr>
          <w:rFonts w:ascii="Times New Roman" w:hAnsi="Times New Roman" w:cs="Times New Roman"/>
          <w:sz w:val="26"/>
          <w:szCs w:val="26"/>
        </w:rPr>
        <w:t xml:space="preserve"> </w:t>
      </w:r>
    </w:p>
    <w:p w:rsidR="009E1083" w:rsidRDefault="009E1083" w:rsidP="003979F2">
      <w:pPr>
        <w:pStyle w:val="BodyTextIndent2"/>
        <w:spacing w:afterLines="60" w:line="240" w:lineRule="auto"/>
        <w:ind w:left="0" w:firstLine="567"/>
        <w:jc w:val="both"/>
        <w:rPr>
          <w:sz w:val="26"/>
          <w:szCs w:val="26"/>
        </w:rPr>
      </w:pPr>
    </w:p>
    <w:p w:rsidR="0013701E" w:rsidRDefault="00723151" w:rsidP="003979F2">
      <w:pPr>
        <w:pStyle w:val="BodyTextIndent2"/>
        <w:spacing w:afterLines="60" w:line="240" w:lineRule="auto"/>
        <w:ind w:left="0" w:firstLine="567"/>
        <w:jc w:val="both"/>
        <w:rPr>
          <w:sz w:val="26"/>
          <w:szCs w:val="26"/>
        </w:rPr>
      </w:pPr>
      <w:r>
        <w:rPr>
          <w:sz w:val="26"/>
          <w:szCs w:val="26"/>
        </w:rPr>
        <w:t xml:space="preserve">Līdz ar to, </w:t>
      </w:r>
      <w:r w:rsidR="00EE2CC8" w:rsidRPr="00CC412F">
        <w:rPr>
          <w:i/>
          <w:sz w:val="26"/>
          <w:szCs w:val="26"/>
        </w:rPr>
        <w:t>Latvijas preču un pakalpojumu eksporta veicināšanas un ārvalstu investīciju piesaistes pasākumu plāna</w:t>
      </w:r>
      <w:r w:rsidR="00EE2CC8" w:rsidRPr="004C3887">
        <w:rPr>
          <w:sz w:val="26"/>
          <w:szCs w:val="26"/>
        </w:rPr>
        <w:t xml:space="preserve"> ietvaros 2011.gadā</w:t>
      </w:r>
      <w:r w:rsidR="00876360">
        <w:rPr>
          <w:sz w:val="26"/>
          <w:szCs w:val="26"/>
        </w:rPr>
        <w:t xml:space="preserve"> tiek</w:t>
      </w:r>
      <w:r w:rsidR="0013701E">
        <w:rPr>
          <w:sz w:val="26"/>
          <w:szCs w:val="26"/>
        </w:rPr>
        <w:t>:</w:t>
      </w:r>
    </w:p>
    <w:p w:rsidR="00011297" w:rsidRPr="009E1083" w:rsidRDefault="00011297" w:rsidP="00011297">
      <w:pPr>
        <w:pStyle w:val="BodyTextIndent2"/>
        <w:numPr>
          <w:ilvl w:val="0"/>
          <w:numId w:val="3"/>
        </w:numPr>
        <w:spacing w:after="20" w:line="240" w:lineRule="auto"/>
        <w:ind w:left="851" w:hanging="284"/>
        <w:jc w:val="both"/>
        <w:rPr>
          <w:bCs/>
          <w:sz w:val="26"/>
          <w:szCs w:val="26"/>
        </w:rPr>
      </w:pPr>
      <w:r w:rsidRPr="00143ADB">
        <w:rPr>
          <w:sz w:val="26"/>
          <w:szCs w:val="26"/>
        </w:rPr>
        <w:t>sniegts</w:t>
      </w:r>
      <w:r w:rsidRPr="00143ADB">
        <w:rPr>
          <w:b/>
          <w:sz w:val="26"/>
          <w:szCs w:val="26"/>
        </w:rPr>
        <w:t xml:space="preserve"> </w:t>
      </w:r>
      <w:r w:rsidRPr="009E1083">
        <w:rPr>
          <w:sz w:val="26"/>
          <w:szCs w:val="26"/>
        </w:rPr>
        <w:t>atbalsts ES struktūrfondu aktivitāšu ietvaros</w:t>
      </w:r>
      <w:r w:rsidRPr="00143ADB">
        <w:rPr>
          <w:sz w:val="26"/>
          <w:szCs w:val="26"/>
        </w:rPr>
        <w:t xml:space="preserve"> uzņēmēju konkurētspējas veicināšanai </w:t>
      </w:r>
      <w:r>
        <w:rPr>
          <w:sz w:val="26"/>
          <w:szCs w:val="26"/>
        </w:rPr>
        <w:t xml:space="preserve">- </w:t>
      </w:r>
      <w:r w:rsidRPr="00143ADB">
        <w:rPr>
          <w:sz w:val="26"/>
          <w:szCs w:val="26"/>
        </w:rPr>
        <w:t>jaunu produktu un tehnoloģiju izstrāde</w:t>
      </w:r>
      <w:r>
        <w:rPr>
          <w:sz w:val="26"/>
          <w:szCs w:val="26"/>
        </w:rPr>
        <w:t>i</w:t>
      </w:r>
      <w:r w:rsidRPr="00143ADB">
        <w:rPr>
          <w:sz w:val="26"/>
          <w:szCs w:val="26"/>
        </w:rPr>
        <w:t xml:space="preserve"> un ieviešana</w:t>
      </w:r>
      <w:r>
        <w:rPr>
          <w:sz w:val="26"/>
          <w:szCs w:val="26"/>
        </w:rPr>
        <w:t>i</w:t>
      </w:r>
      <w:r w:rsidRPr="00143ADB">
        <w:rPr>
          <w:sz w:val="26"/>
          <w:szCs w:val="26"/>
        </w:rPr>
        <w:t xml:space="preserve"> ražošanā</w:t>
      </w:r>
      <w:r>
        <w:rPr>
          <w:sz w:val="26"/>
          <w:szCs w:val="26"/>
        </w:rPr>
        <w:t xml:space="preserve"> (no 2009.gadā atbalstītajiem 46 projektiem vēl tiek ieviesti </w:t>
      </w:r>
      <w:r w:rsidRPr="000C7636">
        <w:rPr>
          <w:sz w:val="26"/>
          <w:szCs w:val="26"/>
        </w:rPr>
        <w:t>28</w:t>
      </w:r>
      <w:r>
        <w:t xml:space="preserve"> </w:t>
      </w:r>
      <w:r w:rsidRPr="000C7636">
        <w:rPr>
          <w:sz w:val="26"/>
          <w:szCs w:val="26"/>
        </w:rPr>
        <w:t>par kopējo summu 6</w:t>
      </w:r>
      <w:r>
        <w:rPr>
          <w:sz w:val="26"/>
          <w:szCs w:val="26"/>
        </w:rPr>
        <w:t>,</w:t>
      </w:r>
      <w:r w:rsidRPr="000C7636">
        <w:rPr>
          <w:sz w:val="26"/>
          <w:szCs w:val="26"/>
        </w:rPr>
        <w:t>1</w:t>
      </w:r>
      <w:r>
        <w:rPr>
          <w:sz w:val="26"/>
          <w:szCs w:val="26"/>
        </w:rPr>
        <w:t>7 milj.</w:t>
      </w:r>
      <w:r w:rsidRPr="000C7636">
        <w:rPr>
          <w:sz w:val="26"/>
          <w:szCs w:val="26"/>
        </w:rPr>
        <w:t xml:space="preserve"> LVL</w:t>
      </w:r>
      <w:r>
        <w:rPr>
          <w:sz w:val="26"/>
          <w:szCs w:val="26"/>
        </w:rPr>
        <w:t>)</w:t>
      </w:r>
      <w:r w:rsidRPr="00143ADB">
        <w:rPr>
          <w:sz w:val="26"/>
          <w:szCs w:val="26"/>
        </w:rPr>
        <w:t>, augstas p</w:t>
      </w:r>
      <w:r>
        <w:rPr>
          <w:sz w:val="26"/>
          <w:szCs w:val="26"/>
        </w:rPr>
        <w:t>ievienotās vērtības investīciju projektu ieviešanai (</w:t>
      </w:r>
      <w:r w:rsidRPr="000C7636">
        <w:rPr>
          <w:sz w:val="26"/>
          <w:szCs w:val="26"/>
        </w:rPr>
        <w:t>2010.g</w:t>
      </w:r>
      <w:r w:rsidR="0064504D">
        <w:rPr>
          <w:sz w:val="26"/>
          <w:szCs w:val="26"/>
        </w:rPr>
        <w:t xml:space="preserve">adā </w:t>
      </w:r>
      <w:r w:rsidR="00912204">
        <w:rPr>
          <w:sz w:val="26"/>
          <w:szCs w:val="26"/>
        </w:rPr>
        <w:t xml:space="preserve">ir noslēgts 31 līgums, </w:t>
      </w:r>
      <w:r w:rsidRPr="000C7636">
        <w:rPr>
          <w:sz w:val="26"/>
          <w:szCs w:val="26"/>
        </w:rPr>
        <w:t xml:space="preserve">kuru ietvaros tiks piešķirts atbalsts 71,6 milj. </w:t>
      </w:r>
      <w:r>
        <w:rPr>
          <w:sz w:val="26"/>
          <w:szCs w:val="26"/>
        </w:rPr>
        <w:t>LVL</w:t>
      </w:r>
      <w:r w:rsidRPr="000C7636">
        <w:rPr>
          <w:sz w:val="26"/>
          <w:szCs w:val="26"/>
        </w:rPr>
        <w:t xml:space="preserve"> jaunu ražotņu  izveidei</w:t>
      </w:r>
      <w:r>
        <w:rPr>
          <w:sz w:val="26"/>
          <w:szCs w:val="26"/>
        </w:rPr>
        <w:t xml:space="preserve"> līdz 2013.gadam),  kompetences centru projektu ieviešanai (</w:t>
      </w:r>
      <w:r w:rsidR="004B631A">
        <w:rPr>
          <w:sz w:val="26"/>
          <w:szCs w:val="26"/>
        </w:rPr>
        <w:t>i</w:t>
      </w:r>
      <w:r w:rsidRPr="000C7636">
        <w:rPr>
          <w:sz w:val="26"/>
          <w:szCs w:val="26"/>
        </w:rPr>
        <w:t xml:space="preserve">r apstiprināti 5 </w:t>
      </w:r>
      <w:r w:rsidRPr="00011297">
        <w:rPr>
          <w:bCs/>
          <w:sz w:val="26"/>
          <w:szCs w:val="26"/>
        </w:rPr>
        <w:t>kompetences centri</w:t>
      </w:r>
      <w:r w:rsidRPr="000C7636">
        <w:rPr>
          <w:sz w:val="26"/>
          <w:szCs w:val="26"/>
        </w:rPr>
        <w:t>, kuri līdz 2015.gad</w:t>
      </w:r>
      <w:r w:rsidR="00A376DF">
        <w:rPr>
          <w:sz w:val="26"/>
          <w:szCs w:val="26"/>
        </w:rPr>
        <w:t>am saņems atbalstu 31 milj. LVL</w:t>
      </w:r>
      <w:r w:rsidRPr="000C7636">
        <w:rPr>
          <w:sz w:val="26"/>
          <w:szCs w:val="26"/>
        </w:rPr>
        <w:t xml:space="preserve"> apjomā</w:t>
      </w:r>
      <w:r>
        <w:rPr>
          <w:sz w:val="26"/>
          <w:szCs w:val="26"/>
        </w:rPr>
        <w:t xml:space="preserve">), nodarbināto apmācībām nozaru ietvaros </w:t>
      </w:r>
      <w:r w:rsidR="004B631A">
        <w:rPr>
          <w:sz w:val="26"/>
          <w:szCs w:val="26"/>
        </w:rPr>
        <w:t>(</w:t>
      </w:r>
      <w:r>
        <w:rPr>
          <w:sz w:val="26"/>
          <w:szCs w:val="26"/>
        </w:rPr>
        <w:t xml:space="preserve">2010.gadā piešķirts </w:t>
      </w:r>
      <w:r w:rsidRPr="000C7636">
        <w:rPr>
          <w:sz w:val="26"/>
          <w:szCs w:val="26"/>
        </w:rPr>
        <w:t xml:space="preserve">atbalsts 15 milj. </w:t>
      </w:r>
      <w:r>
        <w:rPr>
          <w:sz w:val="26"/>
          <w:szCs w:val="26"/>
        </w:rPr>
        <w:t>LVL</w:t>
      </w:r>
      <w:r w:rsidR="0064504D">
        <w:rPr>
          <w:sz w:val="26"/>
          <w:szCs w:val="26"/>
        </w:rPr>
        <w:t>. P</w:t>
      </w:r>
      <w:r w:rsidRPr="000C7636">
        <w:rPr>
          <w:sz w:val="26"/>
          <w:szCs w:val="26"/>
        </w:rPr>
        <w:t>rojektu ietvaros nākamos trīs gadus visās nozīmīgākajās rūpniecības nozarēs tiks apmācīti 16000 darbinieki darbam ar modernām tehnoloģijām 760 uzņēmumos</w:t>
      </w:r>
      <w:r>
        <w:rPr>
          <w:sz w:val="26"/>
          <w:szCs w:val="26"/>
        </w:rPr>
        <w:t xml:space="preserve"> u.c.</w:t>
      </w:r>
      <w:r w:rsidR="00912204">
        <w:rPr>
          <w:sz w:val="26"/>
          <w:szCs w:val="26"/>
        </w:rPr>
        <w:t>).</w:t>
      </w:r>
      <w:r>
        <w:rPr>
          <w:sz w:val="26"/>
          <w:szCs w:val="26"/>
        </w:rPr>
        <w:t xml:space="preserve"> Š.g. 7.martā noslēgsies projektu pieņemšana aktivitātē „Jaunu produktu un tehnoloģiju izstrāde un ieviešana ražošanā” ar pieejamo finansējumu 37 milj.</w:t>
      </w:r>
      <w:r w:rsidR="00A376DF">
        <w:rPr>
          <w:sz w:val="26"/>
          <w:szCs w:val="26"/>
        </w:rPr>
        <w:t xml:space="preserve"> </w:t>
      </w:r>
      <w:r>
        <w:rPr>
          <w:sz w:val="26"/>
          <w:szCs w:val="26"/>
        </w:rPr>
        <w:t xml:space="preserve">LVL; </w:t>
      </w:r>
    </w:p>
    <w:p w:rsidR="00011297" w:rsidRPr="00011297" w:rsidRDefault="00011297" w:rsidP="00011297">
      <w:pPr>
        <w:pStyle w:val="BodyTextIndent2"/>
        <w:numPr>
          <w:ilvl w:val="0"/>
          <w:numId w:val="3"/>
        </w:numPr>
        <w:spacing w:after="20" w:line="240" w:lineRule="auto"/>
        <w:ind w:left="851" w:hanging="284"/>
        <w:jc w:val="both"/>
        <w:rPr>
          <w:rStyle w:val="Emphasis"/>
          <w:bCs/>
          <w:i w:val="0"/>
          <w:iCs w:val="0"/>
          <w:sz w:val="26"/>
          <w:szCs w:val="26"/>
        </w:rPr>
      </w:pPr>
      <w:r>
        <w:rPr>
          <w:rStyle w:val="Strong"/>
          <w:b w:val="0"/>
          <w:sz w:val="26"/>
          <w:szCs w:val="26"/>
        </w:rPr>
        <w:t xml:space="preserve">veicināta </w:t>
      </w:r>
      <w:r w:rsidRPr="009E1083">
        <w:rPr>
          <w:rStyle w:val="Strong"/>
          <w:b w:val="0"/>
          <w:sz w:val="26"/>
          <w:szCs w:val="26"/>
        </w:rPr>
        <w:t xml:space="preserve">finanšu </w:t>
      </w:r>
      <w:r>
        <w:rPr>
          <w:rStyle w:val="Strong"/>
          <w:b w:val="0"/>
          <w:sz w:val="26"/>
          <w:szCs w:val="26"/>
        </w:rPr>
        <w:t xml:space="preserve">pieejamība uzņēmējiem īstenojot ES struktūrfondu programmas - </w:t>
      </w:r>
      <w:r w:rsidRPr="00AE51D2">
        <w:rPr>
          <w:rStyle w:val="Strong"/>
          <w:b w:val="0"/>
          <w:sz w:val="26"/>
          <w:szCs w:val="26"/>
        </w:rPr>
        <w:t>aizdevumi k</w:t>
      </w:r>
      <w:r w:rsidRPr="00143ADB">
        <w:rPr>
          <w:rStyle w:val="Strong"/>
          <w:b w:val="0"/>
          <w:sz w:val="26"/>
          <w:szCs w:val="26"/>
        </w:rPr>
        <w:t>omersantiem investīcijām un apgrozāmajiem līdzekļiem</w:t>
      </w:r>
      <w:r>
        <w:rPr>
          <w:rStyle w:val="Strong"/>
          <w:b w:val="0"/>
          <w:sz w:val="26"/>
          <w:szCs w:val="26"/>
        </w:rPr>
        <w:t xml:space="preserve"> (</w:t>
      </w:r>
      <w:r w:rsidR="00E73CF6">
        <w:rPr>
          <w:rStyle w:val="Strong"/>
          <w:b w:val="0"/>
          <w:sz w:val="26"/>
          <w:szCs w:val="26"/>
        </w:rPr>
        <w:t xml:space="preserve">ir noslēgti 32 aizdevumu līgumi par 30,5 milj. LVL, </w:t>
      </w:r>
      <w:r>
        <w:rPr>
          <w:rStyle w:val="Strong"/>
          <w:b w:val="0"/>
          <w:sz w:val="26"/>
          <w:szCs w:val="26"/>
        </w:rPr>
        <w:t>pieejamais finansējums</w:t>
      </w:r>
      <w:r w:rsidR="00AE6CBC">
        <w:rPr>
          <w:rStyle w:val="Strong"/>
          <w:b w:val="0"/>
          <w:sz w:val="26"/>
          <w:szCs w:val="26"/>
        </w:rPr>
        <w:t xml:space="preserve"> </w:t>
      </w:r>
      <w:r w:rsidR="00AE6CBC">
        <w:rPr>
          <w:rStyle w:val="Emphasis"/>
          <w:i w:val="0"/>
          <w:sz w:val="26"/>
          <w:szCs w:val="26"/>
        </w:rPr>
        <w:t>–</w:t>
      </w:r>
      <w:r>
        <w:rPr>
          <w:rStyle w:val="Strong"/>
          <w:b w:val="0"/>
          <w:sz w:val="26"/>
          <w:szCs w:val="26"/>
        </w:rPr>
        <w:t xml:space="preserve"> 28 milj.</w:t>
      </w:r>
      <w:r w:rsidR="00A376DF">
        <w:rPr>
          <w:rStyle w:val="Strong"/>
          <w:b w:val="0"/>
          <w:sz w:val="26"/>
          <w:szCs w:val="26"/>
        </w:rPr>
        <w:t xml:space="preserve"> </w:t>
      </w:r>
      <w:r>
        <w:rPr>
          <w:rStyle w:val="Strong"/>
          <w:b w:val="0"/>
          <w:sz w:val="26"/>
          <w:szCs w:val="26"/>
        </w:rPr>
        <w:t>LVL)</w:t>
      </w:r>
      <w:r w:rsidRPr="00143ADB">
        <w:rPr>
          <w:rStyle w:val="Strong"/>
          <w:b w:val="0"/>
          <w:sz w:val="26"/>
          <w:szCs w:val="26"/>
        </w:rPr>
        <w:t xml:space="preserve">, </w:t>
      </w:r>
      <w:r>
        <w:rPr>
          <w:rStyle w:val="Emphasis"/>
          <w:i w:val="0"/>
          <w:sz w:val="26"/>
          <w:szCs w:val="26"/>
        </w:rPr>
        <w:t>aizdevumi</w:t>
      </w:r>
      <w:r w:rsidRPr="00143ADB">
        <w:rPr>
          <w:rStyle w:val="Emphasis"/>
          <w:i w:val="0"/>
          <w:sz w:val="26"/>
          <w:szCs w:val="26"/>
        </w:rPr>
        <w:t xml:space="preserve"> sīko (</w:t>
      </w:r>
      <w:proofErr w:type="spellStart"/>
      <w:r w:rsidRPr="00143ADB">
        <w:rPr>
          <w:rStyle w:val="Emphasis"/>
          <w:i w:val="0"/>
          <w:sz w:val="26"/>
          <w:szCs w:val="26"/>
        </w:rPr>
        <w:t>mikro</w:t>
      </w:r>
      <w:proofErr w:type="spellEnd"/>
      <w:r w:rsidRPr="00143ADB">
        <w:rPr>
          <w:rStyle w:val="Emphasis"/>
          <w:i w:val="0"/>
          <w:sz w:val="26"/>
          <w:szCs w:val="26"/>
        </w:rPr>
        <w:t>), mazo un vidējo komersantu un lauksaimniecības pakalpojumu kooperatīvo sabiedrību attīstības veicināšanai</w:t>
      </w:r>
      <w:r>
        <w:rPr>
          <w:rStyle w:val="Emphasis"/>
          <w:i w:val="0"/>
          <w:sz w:val="26"/>
          <w:szCs w:val="26"/>
        </w:rPr>
        <w:t xml:space="preserve"> (</w:t>
      </w:r>
      <w:r w:rsidR="00E73CF6">
        <w:rPr>
          <w:rStyle w:val="Emphasis"/>
          <w:i w:val="0"/>
          <w:sz w:val="26"/>
          <w:szCs w:val="26"/>
        </w:rPr>
        <w:t xml:space="preserve">izsniegti aizdevumi par 10 milj. LVL, </w:t>
      </w:r>
      <w:r>
        <w:rPr>
          <w:rStyle w:val="Emphasis"/>
          <w:i w:val="0"/>
          <w:sz w:val="26"/>
          <w:szCs w:val="26"/>
        </w:rPr>
        <w:t>pieejamais finansējums – 132 milj.</w:t>
      </w:r>
      <w:r w:rsidR="00A376DF">
        <w:rPr>
          <w:rStyle w:val="Emphasis"/>
          <w:i w:val="0"/>
          <w:sz w:val="26"/>
          <w:szCs w:val="26"/>
        </w:rPr>
        <w:t xml:space="preserve"> </w:t>
      </w:r>
      <w:r>
        <w:rPr>
          <w:rStyle w:val="Emphasis"/>
          <w:i w:val="0"/>
          <w:sz w:val="26"/>
          <w:szCs w:val="26"/>
        </w:rPr>
        <w:t>LVL)</w:t>
      </w:r>
      <w:r w:rsidRPr="00143ADB">
        <w:rPr>
          <w:rStyle w:val="Emphasis"/>
          <w:i w:val="0"/>
          <w:sz w:val="26"/>
          <w:szCs w:val="26"/>
        </w:rPr>
        <w:t>,</w:t>
      </w:r>
      <w:r>
        <w:rPr>
          <w:rStyle w:val="Emphasis"/>
          <w:i w:val="0"/>
          <w:sz w:val="26"/>
          <w:szCs w:val="26"/>
        </w:rPr>
        <w:t xml:space="preserve"> garantijas investīcijām un apgrozāmajiem līdzekļiem (</w:t>
      </w:r>
      <w:r w:rsidR="00E73CF6">
        <w:rPr>
          <w:rStyle w:val="Emphasis"/>
          <w:i w:val="0"/>
          <w:sz w:val="26"/>
          <w:szCs w:val="26"/>
        </w:rPr>
        <w:t>noslēgti 518 līgumi par 68,9 milj. LVL, iespēja uzņemties saistības vēl par 60 milj. LVL</w:t>
      </w:r>
      <w:r>
        <w:rPr>
          <w:rStyle w:val="Emphasis"/>
          <w:i w:val="0"/>
          <w:sz w:val="26"/>
          <w:szCs w:val="26"/>
        </w:rPr>
        <w:t>),  eksporta debitoru risku apdrošināšana (finansējums – 20 milj. LVL),</w:t>
      </w:r>
      <w:r w:rsidRPr="00143ADB">
        <w:rPr>
          <w:rStyle w:val="Strong"/>
          <w:b w:val="0"/>
          <w:sz w:val="26"/>
          <w:szCs w:val="26"/>
        </w:rPr>
        <w:t xml:space="preserve"> ES eksporta kompensācijas lauksaimniecības produktu </w:t>
      </w:r>
      <w:r w:rsidRPr="004B631A">
        <w:rPr>
          <w:rStyle w:val="Strong"/>
          <w:b w:val="0"/>
          <w:sz w:val="26"/>
          <w:szCs w:val="26"/>
        </w:rPr>
        <w:t>eksportētājiem</w:t>
      </w:r>
      <w:r w:rsidR="001F1049" w:rsidRPr="004B631A">
        <w:rPr>
          <w:rStyle w:val="Strong"/>
          <w:b w:val="0"/>
          <w:sz w:val="26"/>
          <w:szCs w:val="26"/>
        </w:rPr>
        <w:t xml:space="preserve"> (</w:t>
      </w:r>
      <w:r w:rsidR="00300EF1">
        <w:rPr>
          <w:rStyle w:val="Strong"/>
          <w:b w:val="0"/>
          <w:sz w:val="26"/>
          <w:szCs w:val="26"/>
        </w:rPr>
        <w:t xml:space="preserve">pieejamais </w:t>
      </w:r>
      <w:r w:rsidR="001F1049" w:rsidRPr="004B631A">
        <w:rPr>
          <w:rStyle w:val="Strong"/>
          <w:b w:val="0"/>
          <w:sz w:val="26"/>
          <w:szCs w:val="26"/>
        </w:rPr>
        <w:t>finansējums</w:t>
      </w:r>
      <w:r w:rsidR="00300EF1">
        <w:rPr>
          <w:rStyle w:val="Emphasis"/>
          <w:i w:val="0"/>
          <w:sz w:val="26"/>
          <w:szCs w:val="26"/>
        </w:rPr>
        <w:t xml:space="preserve">– </w:t>
      </w:r>
      <w:r w:rsidR="001F1049" w:rsidRPr="004B631A">
        <w:rPr>
          <w:rStyle w:val="Strong"/>
          <w:b w:val="0"/>
          <w:sz w:val="26"/>
          <w:szCs w:val="26"/>
        </w:rPr>
        <w:t xml:space="preserve"> 800 </w:t>
      </w:r>
      <w:r w:rsidR="0064504D">
        <w:rPr>
          <w:rStyle w:val="Strong"/>
          <w:b w:val="0"/>
          <w:sz w:val="26"/>
          <w:szCs w:val="26"/>
        </w:rPr>
        <w:t>tūkst.</w:t>
      </w:r>
      <w:r w:rsidR="001F1049" w:rsidRPr="004B631A">
        <w:rPr>
          <w:rStyle w:val="Strong"/>
          <w:b w:val="0"/>
          <w:sz w:val="26"/>
          <w:szCs w:val="26"/>
        </w:rPr>
        <w:t xml:space="preserve"> LVL)</w:t>
      </w:r>
      <w:r w:rsidRPr="004B631A">
        <w:rPr>
          <w:rStyle w:val="Emphasis"/>
          <w:i w:val="0"/>
          <w:sz w:val="26"/>
          <w:szCs w:val="26"/>
        </w:rPr>
        <w:t>;</w:t>
      </w:r>
      <w:r w:rsidRPr="00143ADB">
        <w:rPr>
          <w:rStyle w:val="Emphasis"/>
          <w:i w:val="0"/>
          <w:sz w:val="26"/>
          <w:szCs w:val="26"/>
        </w:rPr>
        <w:t xml:space="preserve"> </w:t>
      </w:r>
    </w:p>
    <w:p w:rsidR="009E1083" w:rsidRPr="009E1083" w:rsidRDefault="009E1083" w:rsidP="009E1083">
      <w:pPr>
        <w:pStyle w:val="BodyTextIndent2"/>
        <w:numPr>
          <w:ilvl w:val="0"/>
          <w:numId w:val="3"/>
        </w:numPr>
        <w:spacing w:after="20" w:line="240" w:lineRule="auto"/>
        <w:ind w:left="851" w:hanging="284"/>
        <w:jc w:val="both"/>
        <w:rPr>
          <w:bCs/>
          <w:sz w:val="26"/>
          <w:szCs w:val="26"/>
        </w:rPr>
      </w:pPr>
      <w:r>
        <w:rPr>
          <w:sz w:val="26"/>
          <w:szCs w:val="26"/>
        </w:rPr>
        <w:t>ieviesta ES struktūrfondu programma e</w:t>
      </w:r>
      <w:r w:rsidRPr="00691F8B">
        <w:rPr>
          <w:sz w:val="26"/>
          <w:szCs w:val="26"/>
        </w:rPr>
        <w:t>ksporta debitoru riska apdrošināšana</w:t>
      </w:r>
      <w:r>
        <w:rPr>
          <w:sz w:val="26"/>
          <w:szCs w:val="26"/>
        </w:rPr>
        <w:t>i – Latvijas Garantiju aģentūras sniegtā eksporta debitoru apdrošināšana ļauj</w:t>
      </w:r>
      <w:r w:rsidRPr="00691F8B">
        <w:rPr>
          <w:sz w:val="26"/>
          <w:szCs w:val="26"/>
        </w:rPr>
        <w:t xml:space="preserve"> uzņēmumiem palielināt kopējo eksporta apjomu (sevišķi uz valstīm ar augstu riska pakāpi), paplašināt eksporta tirgus (NVS reģions, strauji augošās ekonomikas u.c.), kā arī nostiprināties esošajos tirgos. Pi</w:t>
      </w:r>
      <w:r>
        <w:rPr>
          <w:sz w:val="26"/>
          <w:szCs w:val="26"/>
        </w:rPr>
        <w:t>eejamais finansējums – 20 milj. LVL;</w:t>
      </w:r>
    </w:p>
    <w:p w:rsidR="009E1083" w:rsidRPr="009E1083" w:rsidRDefault="009E1083" w:rsidP="009E1083">
      <w:pPr>
        <w:pStyle w:val="BodyTextIndent2"/>
        <w:numPr>
          <w:ilvl w:val="0"/>
          <w:numId w:val="3"/>
        </w:numPr>
        <w:spacing w:after="20" w:line="240" w:lineRule="auto"/>
        <w:ind w:left="851" w:hanging="284"/>
        <w:jc w:val="both"/>
        <w:rPr>
          <w:bCs/>
          <w:sz w:val="26"/>
          <w:szCs w:val="26"/>
        </w:rPr>
      </w:pPr>
      <w:r>
        <w:rPr>
          <w:sz w:val="26"/>
          <w:szCs w:val="26"/>
        </w:rPr>
        <w:t xml:space="preserve">ieviesta ES struktūrfondu programma </w:t>
      </w:r>
      <w:r w:rsidRPr="007E69C0">
        <w:rPr>
          <w:sz w:val="26"/>
          <w:szCs w:val="26"/>
        </w:rPr>
        <w:t xml:space="preserve">„Ārējo tirgu apgūšana </w:t>
      </w:r>
      <w:r>
        <w:rPr>
          <w:sz w:val="26"/>
          <w:szCs w:val="26"/>
        </w:rPr>
        <w:t>–</w:t>
      </w:r>
      <w:r w:rsidRPr="007E69C0">
        <w:rPr>
          <w:sz w:val="26"/>
          <w:szCs w:val="26"/>
        </w:rPr>
        <w:t xml:space="preserve"> ārējais mārketings”</w:t>
      </w:r>
      <w:r w:rsidRPr="00837A61">
        <w:rPr>
          <w:sz w:val="26"/>
          <w:szCs w:val="26"/>
        </w:rPr>
        <w:t xml:space="preserve"> </w:t>
      </w:r>
      <w:r>
        <w:rPr>
          <w:sz w:val="26"/>
          <w:szCs w:val="26"/>
        </w:rPr>
        <w:t>–</w:t>
      </w:r>
      <w:r w:rsidRPr="001F4BBF">
        <w:rPr>
          <w:sz w:val="26"/>
          <w:szCs w:val="26"/>
        </w:rPr>
        <w:t xml:space="preserve"> </w:t>
      </w:r>
      <w:r>
        <w:rPr>
          <w:sz w:val="26"/>
          <w:szCs w:val="26"/>
        </w:rPr>
        <w:t xml:space="preserve"> </w:t>
      </w:r>
      <w:r w:rsidRPr="00837A61">
        <w:rPr>
          <w:sz w:val="26"/>
          <w:szCs w:val="26"/>
        </w:rPr>
        <w:t>atbalsts uzņēmumu dalībai izstādēs, kontaktbiržās, tirdzniecības misijās, semināros un konferencēs</w:t>
      </w:r>
      <w:r>
        <w:rPr>
          <w:sz w:val="26"/>
          <w:szCs w:val="26"/>
        </w:rPr>
        <w:t>.</w:t>
      </w:r>
      <w:r w:rsidRPr="00837A61">
        <w:rPr>
          <w:sz w:val="26"/>
          <w:szCs w:val="26"/>
        </w:rPr>
        <w:t xml:space="preserve">  </w:t>
      </w:r>
      <w:r w:rsidRPr="001F4BBF">
        <w:rPr>
          <w:sz w:val="26"/>
          <w:szCs w:val="26"/>
        </w:rPr>
        <w:t>Pieejamais finansējums</w:t>
      </w:r>
      <w:r>
        <w:rPr>
          <w:sz w:val="26"/>
          <w:szCs w:val="26"/>
        </w:rPr>
        <w:t xml:space="preserve"> – 6 milj. </w:t>
      </w:r>
      <w:r w:rsidRPr="001F4BBF">
        <w:rPr>
          <w:sz w:val="26"/>
          <w:szCs w:val="26"/>
        </w:rPr>
        <w:t>LVL</w:t>
      </w:r>
      <w:r>
        <w:rPr>
          <w:sz w:val="26"/>
          <w:szCs w:val="26"/>
        </w:rPr>
        <w:t>;</w:t>
      </w:r>
    </w:p>
    <w:p w:rsidR="009E1083" w:rsidRPr="009E1083" w:rsidRDefault="009E1083" w:rsidP="009E1083">
      <w:pPr>
        <w:pStyle w:val="BodyTextIndent2"/>
        <w:numPr>
          <w:ilvl w:val="0"/>
          <w:numId w:val="3"/>
        </w:numPr>
        <w:spacing w:after="20" w:line="240" w:lineRule="auto"/>
        <w:ind w:left="851" w:hanging="284"/>
        <w:jc w:val="both"/>
        <w:rPr>
          <w:bCs/>
          <w:sz w:val="26"/>
          <w:szCs w:val="26"/>
        </w:rPr>
      </w:pPr>
      <w:r w:rsidRPr="009E1083">
        <w:rPr>
          <w:sz w:val="26"/>
          <w:szCs w:val="26"/>
        </w:rPr>
        <w:t xml:space="preserve">„Ārējo tirgu apgūšana </w:t>
      </w:r>
      <w:r w:rsidRPr="009E1083">
        <w:rPr>
          <w:i/>
          <w:sz w:val="26"/>
          <w:szCs w:val="26"/>
        </w:rPr>
        <w:t>–</w:t>
      </w:r>
      <w:r w:rsidRPr="009E1083">
        <w:rPr>
          <w:sz w:val="26"/>
          <w:szCs w:val="26"/>
        </w:rPr>
        <w:t xml:space="preserve"> nozaru starptautiskās konkurētspējas  stiprināšana” – atbalsts uzņēmumu nacionālajiem stendiem svarīgākajās </w:t>
      </w:r>
      <w:r w:rsidRPr="009E1083">
        <w:rPr>
          <w:sz w:val="26"/>
          <w:szCs w:val="26"/>
        </w:rPr>
        <w:lastRenderedPageBreak/>
        <w:t>nozaru izstādēs. 2011.</w:t>
      </w:r>
      <w:r>
        <w:rPr>
          <w:sz w:val="26"/>
          <w:szCs w:val="26"/>
        </w:rPr>
        <w:t>gadām</w:t>
      </w:r>
      <w:r w:rsidRPr="009E1083">
        <w:rPr>
          <w:sz w:val="26"/>
          <w:szCs w:val="26"/>
        </w:rPr>
        <w:t xml:space="preserve"> LIAA rīkos Latvijas uzņēmumu </w:t>
      </w:r>
      <w:r w:rsidRPr="009E1083">
        <w:rPr>
          <w:rStyle w:val="Strong"/>
          <w:b w:val="0"/>
          <w:sz w:val="26"/>
          <w:szCs w:val="26"/>
        </w:rPr>
        <w:t>nacionālos stendus</w:t>
      </w:r>
      <w:r w:rsidRPr="009E1083">
        <w:rPr>
          <w:b/>
          <w:sz w:val="26"/>
          <w:szCs w:val="26"/>
        </w:rPr>
        <w:t xml:space="preserve"> </w:t>
      </w:r>
      <w:r w:rsidRPr="009E1083">
        <w:rPr>
          <w:sz w:val="26"/>
          <w:szCs w:val="26"/>
        </w:rPr>
        <w:t>11 starptautiskajās nozaru izstādēs</w:t>
      </w:r>
      <w:r w:rsidRPr="009E1083">
        <w:rPr>
          <w:b/>
          <w:sz w:val="26"/>
          <w:szCs w:val="26"/>
        </w:rPr>
        <w:t xml:space="preserve"> </w:t>
      </w:r>
      <w:r w:rsidRPr="009E1083">
        <w:rPr>
          <w:sz w:val="26"/>
          <w:szCs w:val="26"/>
        </w:rPr>
        <w:t xml:space="preserve">ārvalstīs.  Finansējums līdzšinējiem un jaunajiem eksporta pakalpojumiem piesaistīts no Eiropas Reģionālā attīstības fonda Ārējo tirgu apgūšanas atbalsta programmas projekta „Nozaru nacionālie stendi starptautiskajās izstādēs ārvalstīs un eksporta konsultācijas” ietvaros </w:t>
      </w:r>
      <w:r w:rsidR="00011297">
        <w:rPr>
          <w:sz w:val="26"/>
          <w:szCs w:val="26"/>
        </w:rPr>
        <w:t>p</w:t>
      </w:r>
      <w:r w:rsidR="00011297" w:rsidRPr="001F4BBF">
        <w:rPr>
          <w:sz w:val="26"/>
          <w:szCs w:val="26"/>
        </w:rPr>
        <w:t>ieejamais finansējums</w:t>
      </w:r>
      <w:r w:rsidR="00011297">
        <w:rPr>
          <w:sz w:val="26"/>
          <w:szCs w:val="26"/>
        </w:rPr>
        <w:t xml:space="preserve">  </w:t>
      </w:r>
      <w:r w:rsidR="00300EF1">
        <w:rPr>
          <w:rStyle w:val="Emphasis"/>
          <w:i w:val="0"/>
          <w:sz w:val="26"/>
          <w:szCs w:val="26"/>
        </w:rPr>
        <w:t xml:space="preserve">– </w:t>
      </w:r>
      <w:r w:rsidRPr="009E1083">
        <w:rPr>
          <w:sz w:val="26"/>
          <w:szCs w:val="26"/>
        </w:rPr>
        <w:t>1,5 milj. LVL</w:t>
      </w:r>
      <w:r>
        <w:rPr>
          <w:sz w:val="26"/>
          <w:szCs w:val="26"/>
        </w:rPr>
        <w:t>;</w:t>
      </w:r>
    </w:p>
    <w:p w:rsidR="009E1083" w:rsidRPr="009E1083" w:rsidRDefault="009E1083" w:rsidP="009E1083">
      <w:pPr>
        <w:pStyle w:val="BodyTextIndent2"/>
        <w:numPr>
          <w:ilvl w:val="0"/>
          <w:numId w:val="3"/>
        </w:numPr>
        <w:spacing w:after="20" w:line="240" w:lineRule="auto"/>
        <w:ind w:left="851" w:hanging="284"/>
        <w:jc w:val="both"/>
        <w:rPr>
          <w:bCs/>
          <w:sz w:val="26"/>
          <w:szCs w:val="26"/>
        </w:rPr>
      </w:pPr>
      <w:r>
        <w:rPr>
          <w:rStyle w:val="Strong"/>
          <w:b w:val="0"/>
          <w:sz w:val="26"/>
          <w:szCs w:val="26"/>
        </w:rPr>
        <w:t xml:space="preserve">nodrošināta 10 Latvijas Ārējo ekonomisko pārstāvniecību darbība un paredzēts </w:t>
      </w:r>
      <w:r w:rsidRPr="009E1083">
        <w:rPr>
          <w:rStyle w:val="Strong"/>
          <w:b w:val="0"/>
          <w:sz w:val="26"/>
          <w:szCs w:val="26"/>
        </w:rPr>
        <w:t>atvērta 4 jaunas Latvijas Ārējās ekonomiskās pārstāvniecības</w:t>
      </w:r>
      <w:r>
        <w:rPr>
          <w:rStyle w:val="Strong"/>
          <w:sz w:val="26"/>
          <w:szCs w:val="26"/>
        </w:rPr>
        <w:t xml:space="preserve">, </w:t>
      </w:r>
      <w:r w:rsidRPr="009E1083">
        <w:rPr>
          <w:rStyle w:val="Strong"/>
          <w:b w:val="0"/>
          <w:sz w:val="26"/>
          <w:szCs w:val="26"/>
        </w:rPr>
        <w:t>izmantojot</w:t>
      </w:r>
      <w:r>
        <w:rPr>
          <w:rStyle w:val="Strong"/>
          <w:sz w:val="26"/>
          <w:szCs w:val="26"/>
        </w:rPr>
        <w:t xml:space="preserve"> </w:t>
      </w:r>
      <w:r>
        <w:rPr>
          <w:rStyle w:val="Strong"/>
          <w:b w:val="0"/>
          <w:sz w:val="26"/>
          <w:szCs w:val="26"/>
        </w:rPr>
        <w:t xml:space="preserve">ES struktūrfondu programmas </w:t>
      </w:r>
      <w:r w:rsidRPr="009E1083">
        <w:rPr>
          <w:sz w:val="26"/>
          <w:szCs w:val="26"/>
        </w:rPr>
        <w:t xml:space="preserve">„Ārējo tirgu apgūšana </w:t>
      </w:r>
      <w:r w:rsidRPr="009E1083">
        <w:rPr>
          <w:i/>
          <w:sz w:val="26"/>
          <w:szCs w:val="26"/>
        </w:rPr>
        <w:t>–</w:t>
      </w:r>
      <w:r w:rsidRPr="009E1083">
        <w:rPr>
          <w:sz w:val="26"/>
          <w:szCs w:val="26"/>
        </w:rPr>
        <w:t xml:space="preserve"> nozaru starptautiskās konkurētspējas  stiprināšana”</w:t>
      </w:r>
      <w:r>
        <w:rPr>
          <w:sz w:val="26"/>
          <w:szCs w:val="26"/>
        </w:rPr>
        <w:t xml:space="preserve"> finansējumu;</w:t>
      </w:r>
    </w:p>
    <w:p w:rsidR="009E1083" w:rsidRPr="009E1083" w:rsidRDefault="009E1083" w:rsidP="009E1083">
      <w:pPr>
        <w:pStyle w:val="BodyTextIndent2"/>
        <w:numPr>
          <w:ilvl w:val="0"/>
          <w:numId w:val="3"/>
        </w:numPr>
        <w:spacing w:after="20" w:line="240" w:lineRule="auto"/>
        <w:ind w:left="851" w:hanging="284"/>
        <w:jc w:val="both"/>
        <w:rPr>
          <w:bCs/>
          <w:sz w:val="26"/>
          <w:szCs w:val="26"/>
        </w:rPr>
      </w:pPr>
      <w:r w:rsidRPr="003C2905">
        <w:rPr>
          <w:sz w:val="26"/>
          <w:szCs w:val="26"/>
        </w:rPr>
        <w:t xml:space="preserve">nodrošināti </w:t>
      </w:r>
      <w:r w:rsidRPr="009E1083">
        <w:rPr>
          <w:sz w:val="26"/>
          <w:szCs w:val="26"/>
        </w:rPr>
        <w:t xml:space="preserve">tiešie eksporta atbalsta pakalpojumi </w:t>
      </w:r>
      <w:r w:rsidRPr="003C2905">
        <w:rPr>
          <w:sz w:val="26"/>
          <w:szCs w:val="26"/>
        </w:rPr>
        <w:t xml:space="preserve">uzņēmējiem: ienākošo </w:t>
      </w:r>
      <w:r w:rsidRPr="00866249">
        <w:rPr>
          <w:sz w:val="26"/>
          <w:szCs w:val="26"/>
        </w:rPr>
        <w:t>eksporta projektu un pieprasījumu apstrāde un virzība</w:t>
      </w:r>
      <w:r>
        <w:rPr>
          <w:sz w:val="26"/>
          <w:szCs w:val="26"/>
        </w:rPr>
        <w:t xml:space="preserve"> (</w:t>
      </w:r>
      <w:r w:rsidRPr="003C2905">
        <w:rPr>
          <w:sz w:val="26"/>
          <w:szCs w:val="26"/>
        </w:rPr>
        <w:t>450 projek</w:t>
      </w:r>
      <w:r>
        <w:rPr>
          <w:sz w:val="26"/>
          <w:szCs w:val="26"/>
        </w:rPr>
        <w:t>ti/prognozētais apjoms 15 milj. </w:t>
      </w:r>
      <w:r w:rsidRPr="003C2905">
        <w:rPr>
          <w:sz w:val="26"/>
          <w:szCs w:val="26"/>
        </w:rPr>
        <w:t>LVL)</w:t>
      </w:r>
      <w:r>
        <w:rPr>
          <w:sz w:val="26"/>
          <w:szCs w:val="26"/>
        </w:rPr>
        <w:t xml:space="preserve">, </w:t>
      </w:r>
      <w:r w:rsidRPr="003C2905">
        <w:rPr>
          <w:rStyle w:val="Strong"/>
          <w:b w:val="0"/>
          <w:sz w:val="26"/>
          <w:szCs w:val="26"/>
        </w:rPr>
        <w:t xml:space="preserve">konsultācijas par LIAA pakalpojumiem un atbalstu eksportam (500 uzņēmēji), konsultācijas par ārvalstu tirgiem un sadarbības partneru meklēšana (300 uzņēmēji), individuālo biznesa vizīšu organizēšana (80 vizītes), biznesa forumu organizēšana (5 forumi), tirdzniecības  misijas (misiju skaits </w:t>
      </w:r>
      <w:r w:rsidRPr="00435525">
        <w:rPr>
          <w:i/>
          <w:sz w:val="26"/>
          <w:szCs w:val="26"/>
        </w:rPr>
        <w:t>–</w:t>
      </w:r>
      <w:r>
        <w:rPr>
          <w:i/>
          <w:sz w:val="26"/>
          <w:szCs w:val="26"/>
        </w:rPr>
        <w:t xml:space="preserve"> </w:t>
      </w:r>
      <w:r w:rsidRPr="003C2905">
        <w:rPr>
          <w:rStyle w:val="Strong"/>
          <w:b w:val="0"/>
          <w:sz w:val="26"/>
          <w:szCs w:val="26"/>
        </w:rPr>
        <w:t>20 misijas/120 uzņēmēji), semināri par ārējiem tirgiem (10 semināri/500 uzņēmēji);</w:t>
      </w:r>
      <w:r w:rsidRPr="003C2905">
        <w:rPr>
          <w:sz w:val="28"/>
          <w:szCs w:val="28"/>
        </w:rPr>
        <w:t xml:space="preserve"> </w:t>
      </w:r>
      <w:r w:rsidRPr="003C2905">
        <w:rPr>
          <w:sz w:val="26"/>
          <w:szCs w:val="26"/>
        </w:rPr>
        <w:t xml:space="preserve">atbalsts dalībai starptautiskajās izstādēs (izņemot nacionālos stendus) (10 izstādes/50 uzņēmēji); nozaru tirgus apskatu/ziņojumu gatavošana (20 tirgus apskati/ziņojumi); nodrošināta vienotā Eiropas biznesa atbalsta tīkla Latvijā darbība, </w:t>
      </w:r>
      <w:r>
        <w:rPr>
          <w:sz w:val="26"/>
          <w:szCs w:val="26"/>
        </w:rPr>
        <w:t xml:space="preserve">kā arī </w:t>
      </w:r>
      <w:r w:rsidRPr="003C2905">
        <w:rPr>
          <w:sz w:val="26"/>
          <w:szCs w:val="26"/>
        </w:rPr>
        <w:t>biznesa sadarbības piedāvājumu izvietošana LIAA informatīvajā portālā EXIM</w:t>
      </w:r>
      <w:r>
        <w:rPr>
          <w:sz w:val="26"/>
          <w:szCs w:val="26"/>
        </w:rPr>
        <w:t>;</w:t>
      </w:r>
    </w:p>
    <w:p w:rsidR="009E1083" w:rsidRPr="00143ADB" w:rsidRDefault="009E1083" w:rsidP="009E1083">
      <w:pPr>
        <w:pStyle w:val="BodyTextIndent2"/>
        <w:numPr>
          <w:ilvl w:val="0"/>
          <w:numId w:val="3"/>
        </w:numPr>
        <w:spacing w:after="20" w:line="240" w:lineRule="auto"/>
        <w:ind w:left="851" w:hanging="284"/>
        <w:jc w:val="both"/>
        <w:rPr>
          <w:rStyle w:val="Emphasis"/>
          <w:bCs/>
          <w:i w:val="0"/>
          <w:iCs w:val="0"/>
          <w:sz w:val="26"/>
          <w:szCs w:val="26"/>
        </w:rPr>
      </w:pPr>
      <w:r>
        <w:rPr>
          <w:sz w:val="26"/>
          <w:szCs w:val="26"/>
        </w:rPr>
        <w:t>n</w:t>
      </w:r>
      <w:r w:rsidRPr="00132792">
        <w:rPr>
          <w:sz w:val="26"/>
          <w:szCs w:val="26"/>
        </w:rPr>
        <w:t xml:space="preserve">odrošināta </w:t>
      </w:r>
      <w:r w:rsidRPr="009E1083">
        <w:rPr>
          <w:sz w:val="26"/>
          <w:szCs w:val="26"/>
        </w:rPr>
        <w:t>iespēja Latvijas uzņēmējiem izmantot valsts politisko atbalstu ekonomiskās sadarbības izveidē</w:t>
      </w:r>
      <w:r w:rsidRPr="00132792">
        <w:rPr>
          <w:sz w:val="26"/>
          <w:szCs w:val="26"/>
        </w:rPr>
        <w:t xml:space="preserve">, </w:t>
      </w:r>
      <w:r>
        <w:rPr>
          <w:sz w:val="26"/>
          <w:szCs w:val="26"/>
        </w:rPr>
        <w:t xml:space="preserve">t.sk., </w:t>
      </w:r>
      <w:r w:rsidRPr="00132792">
        <w:rPr>
          <w:sz w:val="26"/>
          <w:szCs w:val="26"/>
        </w:rPr>
        <w:t>piedaloties valsts augstāko amatpersonu ārvalstu vizītēs</w:t>
      </w:r>
      <w:r>
        <w:rPr>
          <w:sz w:val="26"/>
          <w:szCs w:val="26"/>
        </w:rPr>
        <w:t xml:space="preserve">, kā arī ienākošajās vizītēs  </w:t>
      </w:r>
      <w:r w:rsidRPr="008A41DD">
        <w:rPr>
          <w:sz w:val="26"/>
          <w:szCs w:val="26"/>
        </w:rPr>
        <w:t>(</w:t>
      </w:r>
      <w:r>
        <w:rPr>
          <w:sz w:val="26"/>
          <w:szCs w:val="26"/>
        </w:rPr>
        <w:t>organizējot uzņēmēju biznesa forumus vizīšu ietvaros);</w:t>
      </w:r>
    </w:p>
    <w:p w:rsidR="008A41DD" w:rsidRPr="009E1083" w:rsidRDefault="008A41DD" w:rsidP="00110BCC">
      <w:pPr>
        <w:pStyle w:val="ListParagraph"/>
        <w:numPr>
          <w:ilvl w:val="0"/>
          <w:numId w:val="3"/>
        </w:numPr>
        <w:spacing w:after="20" w:line="240" w:lineRule="auto"/>
        <w:ind w:left="851" w:hanging="284"/>
        <w:contextualSpacing w:val="0"/>
        <w:jc w:val="both"/>
        <w:rPr>
          <w:rStyle w:val="Strong"/>
          <w:rFonts w:ascii="Times New Roman" w:hAnsi="Times New Roman" w:cs="Times New Roman"/>
          <w:b w:val="0"/>
          <w:sz w:val="26"/>
          <w:szCs w:val="26"/>
        </w:rPr>
      </w:pPr>
      <w:r w:rsidRPr="009E1083">
        <w:rPr>
          <w:rFonts w:ascii="Times New Roman" w:hAnsi="Times New Roman" w:cs="Times New Roman"/>
          <w:color w:val="000000"/>
          <w:sz w:val="26"/>
          <w:szCs w:val="26"/>
        </w:rPr>
        <w:t xml:space="preserve">veidoti labvēlīgi tirdzniecības nosacījumi ES kopējās tirdzniecības politikas ietvaros </w:t>
      </w:r>
      <w:r w:rsidR="009E1083" w:rsidRPr="009E1083">
        <w:rPr>
          <w:rFonts w:ascii="Times New Roman" w:hAnsi="Times New Roman" w:cs="Times New Roman"/>
          <w:color w:val="000000"/>
          <w:sz w:val="26"/>
          <w:szCs w:val="26"/>
        </w:rPr>
        <w:t xml:space="preserve">un </w:t>
      </w:r>
      <w:r w:rsidR="00723151" w:rsidRPr="009E1083">
        <w:rPr>
          <w:rStyle w:val="Strong"/>
          <w:rFonts w:ascii="Times New Roman" w:hAnsi="Times New Roman" w:cs="Times New Roman"/>
          <w:b w:val="0"/>
          <w:sz w:val="26"/>
          <w:szCs w:val="26"/>
        </w:rPr>
        <w:t>turpinātas sarunas par</w:t>
      </w:r>
      <w:r w:rsidR="00723151" w:rsidRPr="009E1083">
        <w:rPr>
          <w:rStyle w:val="Strong"/>
          <w:rFonts w:ascii="Times New Roman" w:hAnsi="Times New Roman" w:cs="Times New Roman"/>
          <w:sz w:val="26"/>
          <w:szCs w:val="26"/>
        </w:rPr>
        <w:t xml:space="preserve"> </w:t>
      </w:r>
      <w:r w:rsidRPr="009E1083">
        <w:rPr>
          <w:rStyle w:val="Strong"/>
          <w:rFonts w:ascii="Times New Roman" w:hAnsi="Times New Roman" w:cs="Times New Roman"/>
          <w:b w:val="0"/>
          <w:sz w:val="26"/>
          <w:szCs w:val="26"/>
        </w:rPr>
        <w:t>divpusējās ekonomiskās sadarbības līgum</w:t>
      </w:r>
      <w:r w:rsidR="00723151" w:rsidRPr="009E1083">
        <w:rPr>
          <w:rStyle w:val="Strong"/>
          <w:rFonts w:ascii="Times New Roman" w:hAnsi="Times New Roman" w:cs="Times New Roman"/>
          <w:b w:val="0"/>
          <w:sz w:val="26"/>
          <w:szCs w:val="26"/>
        </w:rPr>
        <w:t>u noslēgšanu</w:t>
      </w:r>
      <w:r w:rsidRPr="009E1083">
        <w:rPr>
          <w:rStyle w:val="Strong"/>
          <w:rFonts w:ascii="Times New Roman" w:hAnsi="Times New Roman" w:cs="Times New Roman"/>
          <w:sz w:val="26"/>
          <w:szCs w:val="26"/>
        </w:rPr>
        <w:t xml:space="preserve"> </w:t>
      </w:r>
      <w:r w:rsidRPr="009E1083">
        <w:rPr>
          <w:rStyle w:val="Strong"/>
          <w:rFonts w:ascii="Times New Roman" w:hAnsi="Times New Roman" w:cs="Times New Roman"/>
          <w:b w:val="0"/>
          <w:sz w:val="26"/>
          <w:szCs w:val="26"/>
        </w:rPr>
        <w:t>(ar Krievijas reģioniem –</w:t>
      </w:r>
      <w:r w:rsidR="00762624" w:rsidRPr="009E1083">
        <w:rPr>
          <w:rStyle w:val="Strong"/>
          <w:rFonts w:ascii="Times New Roman" w:hAnsi="Times New Roman" w:cs="Times New Roman"/>
          <w:b w:val="0"/>
          <w:sz w:val="26"/>
          <w:szCs w:val="26"/>
        </w:rPr>
        <w:t xml:space="preserve"> </w:t>
      </w:r>
      <w:r w:rsidRPr="009E1083">
        <w:rPr>
          <w:rStyle w:val="Strong"/>
          <w:rFonts w:ascii="Times New Roman" w:hAnsi="Times New Roman" w:cs="Times New Roman"/>
          <w:b w:val="0"/>
          <w:sz w:val="26"/>
          <w:szCs w:val="26"/>
        </w:rPr>
        <w:t>Jaroslavļu, Kirovu, Baškortostānu</w:t>
      </w:r>
      <w:r w:rsidR="00723151" w:rsidRPr="009E1083">
        <w:rPr>
          <w:rStyle w:val="Strong"/>
          <w:rFonts w:ascii="Times New Roman" w:hAnsi="Times New Roman" w:cs="Times New Roman"/>
          <w:b w:val="0"/>
          <w:sz w:val="26"/>
          <w:szCs w:val="26"/>
        </w:rPr>
        <w:t>, Ivanovu</w:t>
      </w:r>
      <w:r w:rsidRPr="009E1083">
        <w:rPr>
          <w:rStyle w:val="Strong"/>
          <w:rFonts w:ascii="Times New Roman" w:hAnsi="Times New Roman" w:cs="Times New Roman"/>
          <w:b w:val="0"/>
          <w:sz w:val="26"/>
          <w:szCs w:val="26"/>
        </w:rPr>
        <w:t>) un organizētas starpvaldību komisiju sēdes</w:t>
      </w:r>
      <w:r w:rsidRPr="009E1083">
        <w:rPr>
          <w:rStyle w:val="Strong"/>
          <w:rFonts w:ascii="Times New Roman" w:hAnsi="Times New Roman" w:cs="Times New Roman"/>
          <w:sz w:val="26"/>
          <w:szCs w:val="26"/>
        </w:rPr>
        <w:t xml:space="preserve"> </w:t>
      </w:r>
      <w:r w:rsidRPr="009E1083">
        <w:rPr>
          <w:rStyle w:val="Strong"/>
          <w:rFonts w:ascii="Times New Roman" w:hAnsi="Times New Roman" w:cs="Times New Roman"/>
          <w:b w:val="0"/>
          <w:sz w:val="26"/>
          <w:szCs w:val="26"/>
        </w:rPr>
        <w:t>(ar Krieviju, Azerbaidžānu, Kazahstān</w:t>
      </w:r>
      <w:r w:rsidR="009E1083">
        <w:rPr>
          <w:rStyle w:val="Strong"/>
          <w:rFonts w:ascii="Times New Roman" w:hAnsi="Times New Roman" w:cs="Times New Roman"/>
          <w:b w:val="0"/>
          <w:sz w:val="26"/>
          <w:szCs w:val="26"/>
        </w:rPr>
        <w:t>u, Ukrainu, Ķīnu, Baltkrieviju).</w:t>
      </w:r>
    </w:p>
    <w:p w:rsidR="009E1083" w:rsidRDefault="009E1083" w:rsidP="00013042">
      <w:pPr>
        <w:spacing w:after="60" w:line="240" w:lineRule="auto"/>
        <w:ind w:firstLine="567"/>
        <w:jc w:val="both"/>
        <w:rPr>
          <w:rFonts w:ascii="Times New Roman" w:hAnsi="Times New Roman" w:cs="Times New Roman"/>
          <w:sz w:val="26"/>
          <w:szCs w:val="26"/>
        </w:rPr>
      </w:pPr>
    </w:p>
    <w:p w:rsidR="00772267" w:rsidRDefault="00772267" w:rsidP="00772267">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Kopumā vērtējot, iepriekšminēto instrumentu piemērošanas rezultatīvie rādītāji ir izdalāmi un analizējami pēc to sasniegšanas termiņa – noslēdzoties konkrētajam gadam, vidējā un ilgtermiņā. </w:t>
      </w:r>
    </w:p>
    <w:p w:rsidR="000E6F71" w:rsidRDefault="00013042" w:rsidP="00CE63C6">
      <w:pPr>
        <w:spacing w:after="60" w:line="240" w:lineRule="auto"/>
        <w:ind w:firstLine="567"/>
        <w:jc w:val="both"/>
        <w:rPr>
          <w:rFonts w:ascii="Times New Roman" w:hAnsi="Times New Roman" w:cs="Times New Roman"/>
          <w:sz w:val="26"/>
          <w:szCs w:val="26"/>
        </w:rPr>
      </w:pPr>
      <w:r w:rsidRPr="00AA22F7">
        <w:rPr>
          <w:rFonts w:ascii="Times New Roman" w:hAnsi="Times New Roman" w:cs="Times New Roman"/>
          <w:sz w:val="26"/>
          <w:szCs w:val="26"/>
        </w:rPr>
        <w:t xml:space="preserve">Ekonomikas ministrijas īstenotās aktivitātes līgumtiesiskās bāzes paplašināšanā </w:t>
      </w:r>
      <w:r w:rsidR="00CE63C6">
        <w:rPr>
          <w:rFonts w:ascii="Times New Roman" w:hAnsi="Times New Roman" w:cs="Times New Roman"/>
          <w:sz w:val="26"/>
          <w:szCs w:val="26"/>
        </w:rPr>
        <w:t xml:space="preserve">atstās ilgtermiņā pozitīvu ietekmi uz eksporta apjomu pieauguma veicināšanu. Savukārt, ietekme no tiešo atbalsta pakalpojumu sniegšanas un </w:t>
      </w:r>
      <w:r w:rsidR="00CE63C6" w:rsidRPr="00772267">
        <w:rPr>
          <w:rFonts w:ascii="Times New Roman" w:hAnsi="Times New Roman" w:cs="Times New Roman"/>
          <w:sz w:val="26"/>
          <w:szCs w:val="26"/>
        </w:rPr>
        <w:t xml:space="preserve">ES struktūrfondu </w:t>
      </w:r>
      <w:r w:rsidR="00E279C7">
        <w:rPr>
          <w:rFonts w:ascii="Times New Roman" w:hAnsi="Times New Roman" w:cs="Times New Roman"/>
          <w:sz w:val="26"/>
          <w:szCs w:val="26"/>
        </w:rPr>
        <w:t xml:space="preserve">līdzfinansētajām </w:t>
      </w:r>
      <w:r w:rsidR="00CE63C6" w:rsidRPr="00772267">
        <w:rPr>
          <w:rFonts w:ascii="Times New Roman" w:hAnsi="Times New Roman" w:cs="Times New Roman"/>
          <w:sz w:val="26"/>
          <w:szCs w:val="26"/>
        </w:rPr>
        <w:t>atbalsta programmām</w:t>
      </w:r>
      <w:r w:rsidR="00CE63C6">
        <w:rPr>
          <w:rFonts w:ascii="Times New Roman" w:hAnsi="Times New Roman" w:cs="Times New Roman"/>
          <w:sz w:val="26"/>
          <w:szCs w:val="26"/>
        </w:rPr>
        <w:t xml:space="preserve"> var </w:t>
      </w:r>
      <w:r w:rsidR="009E1083">
        <w:rPr>
          <w:rFonts w:ascii="Times New Roman" w:hAnsi="Times New Roman" w:cs="Times New Roman"/>
          <w:sz w:val="26"/>
          <w:szCs w:val="26"/>
        </w:rPr>
        <w:t>būt</w:t>
      </w:r>
      <w:r w:rsidR="00CE63C6">
        <w:rPr>
          <w:rFonts w:ascii="Times New Roman" w:hAnsi="Times New Roman" w:cs="Times New Roman"/>
          <w:sz w:val="26"/>
          <w:szCs w:val="26"/>
        </w:rPr>
        <w:t xml:space="preserve"> jūtama </w:t>
      </w:r>
      <w:r w:rsidR="00E279C7">
        <w:rPr>
          <w:rFonts w:ascii="Times New Roman" w:hAnsi="Times New Roman" w:cs="Times New Roman"/>
          <w:sz w:val="26"/>
          <w:szCs w:val="26"/>
        </w:rPr>
        <w:t xml:space="preserve">arī </w:t>
      </w:r>
      <w:r w:rsidR="00CE63C6">
        <w:rPr>
          <w:rFonts w:ascii="Times New Roman" w:hAnsi="Times New Roman" w:cs="Times New Roman"/>
          <w:sz w:val="26"/>
          <w:szCs w:val="26"/>
        </w:rPr>
        <w:t xml:space="preserve">tikai pēc gada vai vēlāk, kad tiek noslēgti sadarbības līgumi un nodrošināti </w:t>
      </w:r>
      <w:r w:rsidR="00E279C7">
        <w:rPr>
          <w:rFonts w:ascii="Times New Roman" w:hAnsi="Times New Roman" w:cs="Times New Roman"/>
          <w:sz w:val="26"/>
          <w:szCs w:val="26"/>
        </w:rPr>
        <w:t>konkrēti eksporta apjomi.</w:t>
      </w:r>
      <w:r w:rsidR="00CE63C6">
        <w:rPr>
          <w:rFonts w:ascii="Times New Roman" w:hAnsi="Times New Roman" w:cs="Times New Roman"/>
          <w:sz w:val="26"/>
          <w:szCs w:val="26"/>
        </w:rPr>
        <w:t xml:space="preserve"> </w:t>
      </w:r>
    </w:p>
    <w:p w:rsidR="00013042" w:rsidRPr="00AA22F7" w:rsidRDefault="000E6F71" w:rsidP="00CE63C6">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Ekonomikas ministrijas </w:t>
      </w:r>
      <w:proofErr w:type="spellStart"/>
      <w:r>
        <w:rPr>
          <w:rFonts w:ascii="Times New Roman" w:hAnsi="Times New Roman" w:cs="Times New Roman"/>
          <w:sz w:val="26"/>
          <w:szCs w:val="26"/>
        </w:rPr>
        <w:t>pārziņā</w:t>
      </w:r>
      <w:proofErr w:type="spellEnd"/>
      <w:r>
        <w:rPr>
          <w:rFonts w:ascii="Times New Roman" w:hAnsi="Times New Roman" w:cs="Times New Roman"/>
          <w:sz w:val="26"/>
          <w:szCs w:val="26"/>
        </w:rPr>
        <w:t xml:space="preserve"> esošo ES struktūrfondu programmu īstenošanas rezultātā paredzēts sasniegt augsto un vidēji augsto tehnoloģiju </w:t>
      </w:r>
      <w:r>
        <w:rPr>
          <w:rFonts w:ascii="Times New Roman" w:hAnsi="Times New Roman" w:cs="Times New Roman"/>
          <w:sz w:val="26"/>
          <w:szCs w:val="26"/>
        </w:rPr>
        <w:lastRenderedPageBreak/>
        <w:t xml:space="preserve">īpatsvaru apstrādes rūpniecībā – 18,5% (bāzes vērtība 2007.gadā- 14,3%), kā arī augsto tehnoloģiju īpatsvaru eksportā </w:t>
      </w:r>
      <w:r w:rsidR="00EA2BED">
        <w:rPr>
          <w:rFonts w:ascii="Times New Roman" w:hAnsi="Times New Roman" w:cs="Times New Roman"/>
          <w:sz w:val="26"/>
          <w:szCs w:val="26"/>
        </w:rPr>
        <w:t xml:space="preserve">– </w:t>
      </w:r>
      <w:r>
        <w:rPr>
          <w:rFonts w:ascii="Times New Roman" w:hAnsi="Times New Roman" w:cs="Times New Roman"/>
          <w:sz w:val="26"/>
          <w:szCs w:val="26"/>
        </w:rPr>
        <w:t>10% (bāzes vērtība 2007.gadā- 5,8%).</w:t>
      </w:r>
    </w:p>
    <w:p w:rsidR="00DE2BF8" w:rsidRDefault="00772267" w:rsidP="00DE2BF8">
      <w:pPr>
        <w:spacing w:after="0" w:line="240" w:lineRule="auto"/>
        <w:ind w:firstLine="567"/>
        <w:jc w:val="both"/>
        <w:rPr>
          <w:rFonts w:ascii="Times New Roman" w:hAnsi="Times New Roman" w:cs="Times New Roman"/>
          <w:color w:val="000000"/>
          <w:sz w:val="26"/>
          <w:szCs w:val="26"/>
        </w:rPr>
      </w:pPr>
      <w:r w:rsidRPr="00772267">
        <w:rPr>
          <w:rFonts w:ascii="Times New Roman" w:hAnsi="Times New Roman" w:cs="Times New Roman"/>
          <w:sz w:val="26"/>
          <w:szCs w:val="26"/>
        </w:rPr>
        <w:t xml:space="preserve">Attiecībā uz LIAA īstenoto tiešo eksporta atbalstu pasākumu ietekmi uz tautsaimniecību, jāatzīmē, ka 2010.gadā LIAA apstrādāto eksporta projektu prognozētais īstenošanas apjoms ir 15 milj. LVL. </w:t>
      </w:r>
      <w:r w:rsidRPr="00772267">
        <w:rPr>
          <w:rFonts w:ascii="Times New Roman" w:hAnsi="Times New Roman" w:cs="Times New Roman"/>
          <w:color w:val="000000"/>
          <w:sz w:val="26"/>
          <w:szCs w:val="26"/>
        </w:rPr>
        <w:t xml:space="preserve"> </w:t>
      </w:r>
    </w:p>
    <w:p w:rsidR="00DE2BF8" w:rsidRPr="00DE2BF8" w:rsidRDefault="00DE2BF8" w:rsidP="00DE2BF8">
      <w:pPr>
        <w:spacing w:after="0" w:line="240" w:lineRule="auto"/>
        <w:ind w:firstLine="567"/>
        <w:jc w:val="both"/>
        <w:rPr>
          <w:rFonts w:ascii="Times New Roman" w:hAnsi="Times New Roman" w:cs="Times New Roman"/>
          <w:color w:val="000000"/>
          <w:sz w:val="26"/>
          <w:szCs w:val="26"/>
        </w:rPr>
      </w:pPr>
    </w:p>
    <w:p w:rsidR="00372D82" w:rsidRPr="00372D82" w:rsidRDefault="00372D82" w:rsidP="00DE2BF8">
      <w:pPr>
        <w:pStyle w:val="ListParagraph"/>
        <w:keepNext/>
        <w:numPr>
          <w:ilvl w:val="0"/>
          <w:numId w:val="42"/>
        </w:numPr>
        <w:tabs>
          <w:tab w:val="left" w:pos="284"/>
        </w:tabs>
        <w:spacing w:after="0" w:line="240" w:lineRule="auto"/>
        <w:jc w:val="both"/>
        <w:rPr>
          <w:rFonts w:ascii="Times New Roman" w:hAnsi="Times New Roman" w:cs="Times New Roman"/>
          <w:b/>
          <w:sz w:val="26"/>
          <w:szCs w:val="26"/>
        </w:rPr>
      </w:pPr>
      <w:r w:rsidRPr="00372D82">
        <w:rPr>
          <w:rFonts w:ascii="Times New Roman" w:hAnsi="Times New Roman" w:cs="Times New Roman"/>
          <w:b/>
          <w:sz w:val="26"/>
          <w:szCs w:val="26"/>
        </w:rPr>
        <w:t>Šķēršļi ārvalstu investīciju piesaistei, pasākumi to novēršanai un 2011.gadā plānotie pasākumi ārvalstu investīciju piesaistei</w:t>
      </w:r>
    </w:p>
    <w:p w:rsidR="00372D82" w:rsidRDefault="00372D82" w:rsidP="00DE2BF8">
      <w:pPr>
        <w:keepN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Pieņemot lēmumu par investīciju izvietošanu konkrētā valstī investors izvērtē vairākus faktorus, gan valstu makroekonomiskos rādītājus, gan uzņēmējdarbības vidi (birokrātisko procedūru vienkāršību), atbilstošas kvalifikācijas darbaspēka pieejamību, tirgus potenciālu, nepieciešamās infrastruktūras pieejamību, pieejamos atbalsta instrumentus un stimulus. Latvijas vājas puses un šķēršļi ārvalstu tiešo investīciju (turpmāk – ĀTI) piesaistīšanā ir saitīti ar:</w:t>
      </w:r>
    </w:p>
    <w:p w:rsidR="00372D82" w:rsidRDefault="00372D82" w:rsidP="00DE2BF8">
      <w:pPr>
        <w:pStyle w:val="ListParagraph"/>
        <w:numPr>
          <w:ilvl w:val="0"/>
          <w:numId w:val="22"/>
        </w:numPr>
        <w:spacing w:after="0" w:line="240" w:lineRule="auto"/>
        <w:ind w:left="993" w:hanging="284"/>
        <w:jc w:val="both"/>
        <w:rPr>
          <w:rFonts w:ascii="Times New Roman" w:eastAsia="Times New Roman" w:hAnsi="Times New Roman"/>
          <w:bCs/>
          <w:sz w:val="26"/>
          <w:szCs w:val="26"/>
        </w:rPr>
      </w:pPr>
      <w:r>
        <w:rPr>
          <w:rFonts w:ascii="Times New Roman" w:eastAsia="Times New Roman" w:hAnsi="Times New Roman"/>
          <w:bCs/>
          <w:sz w:val="26"/>
          <w:szCs w:val="26"/>
        </w:rPr>
        <w:t>nepieciešamību uzlabot u</w:t>
      </w:r>
      <w:r w:rsidRPr="002223B5">
        <w:rPr>
          <w:rFonts w:ascii="Times New Roman" w:eastAsia="Times New Roman" w:hAnsi="Times New Roman"/>
          <w:bCs/>
          <w:sz w:val="26"/>
          <w:szCs w:val="26"/>
        </w:rPr>
        <w:t>zņēmējdarbības vid</w:t>
      </w:r>
      <w:r>
        <w:rPr>
          <w:rFonts w:ascii="Times New Roman" w:eastAsia="Times New Roman" w:hAnsi="Times New Roman"/>
          <w:bCs/>
          <w:sz w:val="26"/>
          <w:szCs w:val="26"/>
        </w:rPr>
        <w:t>i - novēršot laikietilpīgas birokrātiskā</w:t>
      </w:r>
      <w:r w:rsidRPr="002223B5">
        <w:rPr>
          <w:rFonts w:ascii="Times New Roman" w:eastAsia="Times New Roman" w:hAnsi="Times New Roman"/>
          <w:bCs/>
          <w:sz w:val="26"/>
          <w:szCs w:val="26"/>
        </w:rPr>
        <w:t>s procedūras</w:t>
      </w:r>
      <w:r>
        <w:rPr>
          <w:rFonts w:ascii="Times New Roman" w:eastAsia="Times New Roman" w:hAnsi="Times New Roman"/>
          <w:bCs/>
          <w:sz w:val="26"/>
          <w:szCs w:val="26"/>
        </w:rPr>
        <w:t>, piemēram būvniecības saskaņošanas procedūras;</w:t>
      </w:r>
      <w:r w:rsidRPr="002223B5">
        <w:rPr>
          <w:rFonts w:ascii="Times New Roman" w:eastAsia="Times New Roman" w:hAnsi="Times New Roman"/>
          <w:bCs/>
          <w:sz w:val="26"/>
          <w:szCs w:val="26"/>
        </w:rPr>
        <w:t xml:space="preserve"> </w:t>
      </w:r>
      <w:r>
        <w:rPr>
          <w:rFonts w:ascii="Times New Roman" w:eastAsia="Times New Roman" w:hAnsi="Times New Roman"/>
          <w:bCs/>
          <w:sz w:val="26"/>
          <w:szCs w:val="26"/>
        </w:rPr>
        <w:t>nodrošinot darba tiesisko attiecību elastību;</w:t>
      </w:r>
    </w:p>
    <w:p w:rsidR="00372D82" w:rsidRPr="00C65A86" w:rsidRDefault="00372D82" w:rsidP="00372D82">
      <w:pPr>
        <w:pStyle w:val="ListParagraph"/>
        <w:numPr>
          <w:ilvl w:val="0"/>
          <w:numId w:val="22"/>
        </w:numPr>
        <w:spacing w:after="0" w:line="240" w:lineRule="auto"/>
        <w:ind w:left="993" w:hanging="284"/>
        <w:jc w:val="both"/>
        <w:rPr>
          <w:rFonts w:ascii="Times New Roman" w:eastAsia="Times New Roman" w:hAnsi="Times New Roman"/>
          <w:sz w:val="26"/>
          <w:szCs w:val="26"/>
        </w:rPr>
      </w:pPr>
      <w:r>
        <w:rPr>
          <w:rFonts w:ascii="Times New Roman" w:eastAsia="Times New Roman" w:hAnsi="Times New Roman"/>
          <w:bCs/>
          <w:sz w:val="26"/>
          <w:szCs w:val="26"/>
        </w:rPr>
        <w:t xml:space="preserve">darbaspēka profesionālās kvalifikācijas atbilstību investoru vajadzībām un elastīgām iespējām īsā termiņā sagatavot nepieciešamos speciālistus; </w:t>
      </w:r>
    </w:p>
    <w:p w:rsidR="00372D82" w:rsidRPr="00E27E5A" w:rsidRDefault="00372D82" w:rsidP="00372D82">
      <w:pPr>
        <w:pStyle w:val="ListParagraph"/>
        <w:numPr>
          <w:ilvl w:val="0"/>
          <w:numId w:val="22"/>
        </w:numPr>
        <w:spacing w:after="0" w:line="240" w:lineRule="auto"/>
        <w:ind w:left="993" w:hanging="284"/>
        <w:jc w:val="both"/>
        <w:rPr>
          <w:rFonts w:ascii="Times New Roman" w:eastAsia="Times New Roman" w:hAnsi="Times New Roman"/>
          <w:sz w:val="26"/>
          <w:szCs w:val="26"/>
        </w:rPr>
      </w:pPr>
      <w:r>
        <w:rPr>
          <w:rFonts w:ascii="Times New Roman" w:eastAsia="Times New Roman" w:hAnsi="Times New Roman"/>
          <w:bCs/>
          <w:sz w:val="26"/>
          <w:szCs w:val="26"/>
        </w:rPr>
        <w:t>nepieciešamās infrastruktūras pieejamību, izmaksām un laiku to nodrošināšanai;</w:t>
      </w:r>
    </w:p>
    <w:p w:rsidR="00372D82" w:rsidRPr="00E27E5A" w:rsidRDefault="00372D82" w:rsidP="00372D82">
      <w:pPr>
        <w:pStyle w:val="ListParagraph"/>
        <w:numPr>
          <w:ilvl w:val="0"/>
          <w:numId w:val="22"/>
        </w:numPr>
        <w:spacing w:after="0" w:line="240" w:lineRule="auto"/>
        <w:ind w:left="993" w:hanging="284"/>
        <w:jc w:val="both"/>
        <w:rPr>
          <w:rFonts w:ascii="Times New Roman" w:eastAsia="Times New Roman" w:hAnsi="Times New Roman"/>
          <w:sz w:val="26"/>
          <w:szCs w:val="26"/>
        </w:rPr>
      </w:pPr>
      <w:r>
        <w:rPr>
          <w:rFonts w:ascii="Times New Roman" w:eastAsia="Times New Roman" w:hAnsi="Times New Roman"/>
          <w:bCs/>
          <w:sz w:val="26"/>
          <w:szCs w:val="26"/>
        </w:rPr>
        <w:t>publiskā sektora, tai skaitā pašvaldību ieinteresētību ĀTI piesaistē un visu pušu saskaņotu rīcību;</w:t>
      </w:r>
    </w:p>
    <w:p w:rsidR="00372D82" w:rsidRPr="002223B5" w:rsidRDefault="00372D82" w:rsidP="00372D82">
      <w:pPr>
        <w:pStyle w:val="ListParagraph"/>
        <w:numPr>
          <w:ilvl w:val="0"/>
          <w:numId w:val="22"/>
        </w:numPr>
        <w:spacing w:after="0" w:line="240" w:lineRule="auto"/>
        <w:ind w:left="993" w:hanging="284"/>
        <w:jc w:val="both"/>
        <w:rPr>
          <w:rFonts w:ascii="Times New Roman" w:eastAsia="Times New Roman" w:hAnsi="Times New Roman"/>
          <w:sz w:val="26"/>
          <w:szCs w:val="26"/>
        </w:rPr>
      </w:pPr>
      <w:r>
        <w:rPr>
          <w:rFonts w:ascii="Times New Roman" w:eastAsia="Times New Roman" w:hAnsi="Times New Roman"/>
          <w:bCs/>
          <w:sz w:val="26"/>
          <w:szCs w:val="26"/>
        </w:rPr>
        <w:t>investīciju stimulu pieejamību.</w:t>
      </w:r>
    </w:p>
    <w:p w:rsidR="00372D82" w:rsidRPr="00BC79E3" w:rsidRDefault="00372D82" w:rsidP="00372D82">
      <w:pPr>
        <w:spacing w:after="0" w:line="240" w:lineRule="auto"/>
        <w:jc w:val="both"/>
        <w:rPr>
          <w:rFonts w:ascii="Times New Roman" w:hAnsi="Times New Roman"/>
          <w:bCs/>
          <w:sz w:val="26"/>
          <w:szCs w:val="26"/>
        </w:rPr>
      </w:pPr>
    </w:p>
    <w:p w:rsidR="00372D82" w:rsidRPr="00E221C3" w:rsidRDefault="00372D82" w:rsidP="00372D8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Lai īstenotu vienotu ā</w:t>
      </w:r>
      <w:r w:rsidRPr="00E221C3">
        <w:rPr>
          <w:rFonts w:ascii="Times New Roman" w:hAnsi="Times New Roman" w:cs="Times New Roman"/>
          <w:sz w:val="26"/>
          <w:szCs w:val="26"/>
        </w:rPr>
        <w:t>rvalstu tiešo investīciju piesaistes</w:t>
      </w:r>
      <w:r>
        <w:rPr>
          <w:rFonts w:ascii="Times New Roman" w:hAnsi="Times New Roman" w:cs="Times New Roman"/>
          <w:sz w:val="26"/>
          <w:szCs w:val="26"/>
        </w:rPr>
        <w:t xml:space="preserve"> politiku tiek gatavots ĀTI</w:t>
      </w:r>
      <w:r w:rsidRPr="00E221C3">
        <w:rPr>
          <w:rFonts w:ascii="Times New Roman" w:hAnsi="Times New Roman" w:cs="Times New Roman"/>
          <w:sz w:val="26"/>
          <w:szCs w:val="26"/>
        </w:rPr>
        <w:t xml:space="preserve"> </w:t>
      </w:r>
      <w:r>
        <w:rPr>
          <w:rFonts w:ascii="Times New Roman" w:hAnsi="Times New Roman" w:cs="Times New Roman"/>
          <w:sz w:val="26"/>
          <w:szCs w:val="26"/>
        </w:rPr>
        <w:t xml:space="preserve">piesaistes </w:t>
      </w:r>
      <w:r w:rsidRPr="00E221C3">
        <w:rPr>
          <w:rFonts w:ascii="Times New Roman" w:hAnsi="Times New Roman" w:cs="Times New Roman"/>
          <w:sz w:val="26"/>
          <w:szCs w:val="26"/>
        </w:rPr>
        <w:t>stratēģijas projekts un rīcības plāns</w:t>
      </w:r>
      <w:r>
        <w:rPr>
          <w:rFonts w:ascii="Times New Roman" w:hAnsi="Times New Roman" w:cs="Times New Roman"/>
          <w:sz w:val="26"/>
          <w:szCs w:val="26"/>
        </w:rPr>
        <w:t>, kas</w:t>
      </w:r>
      <w:r w:rsidRPr="00E221C3">
        <w:rPr>
          <w:rFonts w:ascii="Times New Roman" w:hAnsi="Times New Roman" w:cs="Times New Roman"/>
          <w:sz w:val="26"/>
          <w:szCs w:val="26"/>
        </w:rPr>
        <w:t xml:space="preserve"> šobrīd tiek pilnveidots sadarbībā ar visiem stratēģijas īstenošanā iesaistītajiem dalībniekiem. </w:t>
      </w:r>
      <w:r>
        <w:rPr>
          <w:rFonts w:ascii="Times New Roman" w:hAnsi="Times New Roman" w:cs="Times New Roman"/>
          <w:sz w:val="26"/>
          <w:szCs w:val="26"/>
        </w:rPr>
        <w:t xml:space="preserve">ĀTI </w:t>
      </w:r>
      <w:r w:rsidRPr="00E221C3">
        <w:rPr>
          <w:rFonts w:ascii="Times New Roman" w:hAnsi="Times New Roman" w:cs="Times New Roman"/>
          <w:sz w:val="26"/>
          <w:szCs w:val="26"/>
        </w:rPr>
        <w:t xml:space="preserve">piesaistes stratēģijā tiks </w:t>
      </w:r>
      <w:r>
        <w:rPr>
          <w:rFonts w:ascii="Times New Roman" w:hAnsi="Times New Roman" w:cs="Times New Roman"/>
          <w:sz w:val="26"/>
          <w:szCs w:val="26"/>
        </w:rPr>
        <w:t>noteikti</w:t>
      </w:r>
      <w:r w:rsidRPr="00E221C3">
        <w:rPr>
          <w:rFonts w:ascii="Times New Roman" w:hAnsi="Times New Roman" w:cs="Times New Roman"/>
          <w:sz w:val="26"/>
          <w:szCs w:val="26"/>
        </w:rPr>
        <w:t xml:space="preserve"> rīcības virzieni, ar mērķi sakārtot un pilnveidot ārvalstu investīciju piesaistē būtiskās jomas, kā arī rīcības plāns </w:t>
      </w:r>
      <w:proofErr w:type="spellStart"/>
      <w:r>
        <w:rPr>
          <w:rFonts w:ascii="Times New Roman" w:hAnsi="Times New Roman" w:cs="Times New Roman"/>
          <w:sz w:val="26"/>
          <w:szCs w:val="26"/>
        </w:rPr>
        <w:t>proaktīvas</w:t>
      </w:r>
      <w:proofErr w:type="spellEnd"/>
      <w:r>
        <w:rPr>
          <w:rFonts w:ascii="Times New Roman" w:hAnsi="Times New Roman" w:cs="Times New Roman"/>
          <w:sz w:val="26"/>
          <w:szCs w:val="26"/>
        </w:rPr>
        <w:t xml:space="preserve"> investīciju piesaistīšanas </w:t>
      </w:r>
      <w:r w:rsidRPr="00E221C3">
        <w:rPr>
          <w:rFonts w:ascii="Times New Roman" w:hAnsi="Times New Roman" w:cs="Times New Roman"/>
          <w:sz w:val="26"/>
          <w:szCs w:val="26"/>
        </w:rPr>
        <w:t>īstenošanai 2011.gadā un turpmākajos gados, tai skaitā</w:t>
      </w:r>
      <w:r>
        <w:rPr>
          <w:rFonts w:ascii="Times New Roman" w:hAnsi="Times New Roman" w:cs="Times New Roman"/>
          <w:sz w:val="26"/>
          <w:szCs w:val="26"/>
        </w:rPr>
        <w:t>,</w:t>
      </w:r>
      <w:r w:rsidRPr="00E221C3">
        <w:rPr>
          <w:rFonts w:ascii="Times New Roman" w:hAnsi="Times New Roman" w:cs="Times New Roman"/>
          <w:sz w:val="26"/>
          <w:szCs w:val="26"/>
        </w:rPr>
        <w:t xml:space="preserve"> tiks nodrošināta:</w:t>
      </w:r>
    </w:p>
    <w:p w:rsidR="00372D82" w:rsidRDefault="00372D82" w:rsidP="00372D82">
      <w:pPr>
        <w:pStyle w:val="ListParagraph"/>
        <w:numPr>
          <w:ilvl w:val="0"/>
          <w:numId w:val="23"/>
        </w:numPr>
        <w:spacing w:after="0" w:line="240" w:lineRule="auto"/>
        <w:ind w:left="709" w:hanging="283"/>
        <w:jc w:val="both"/>
        <w:rPr>
          <w:rFonts w:ascii="Times New Roman" w:hAnsi="Times New Roman" w:cs="Times New Roman"/>
          <w:sz w:val="26"/>
          <w:szCs w:val="26"/>
        </w:rPr>
      </w:pPr>
      <w:r w:rsidRPr="009E1083">
        <w:rPr>
          <w:rFonts w:ascii="Times New Roman" w:hAnsi="Times New Roman" w:cs="Times New Roman"/>
          <w:sz w:val="26"/>
          <w:szCs w:val="26"/>
        </w:rPr>
        <w:t>uzņēmējdarbības vides uzlabošana</w:t>
      </w:r>
      <w:r>
        <w:rPr>
          <w:rFonts w:ascii="Times New Roman" w:hAnsi="Times New Roman" w:cs="Times New Roman"/>
          <w:sz w:val="26"/>
          <w:szCs w:val="26"/>
        </w:rPr>
        <w:t>, īstenojot</w:t>
      </w:r>
      <w:r w:rsidRPr="0098731A">
        <w:rPr>
          <w:rFonts w:ascii="Times New Roman" w:hAnsi="Times New Roman" w:cs="Times New Roman"/>
          <w:sz w:val="26"/>
          <w:szCs w:val="26"/>
        </w:rPr>
        <w:t xml:space="preserve"> </w:t>
      </w:r>
      <w:r>
        <w:rPr>
          <w:rFonts w:ascii="Times New Roman" w:hAnsi="Times New Roman" w:cs="Times New Roman"/>
          <w:sz w:val="26"/>
          <w:szCs w:val="26"/>
        </w:rPr>
        <w:t>U</w:t>
      </w:r>
      <w:r w:rsidRPr="0098731A">
        <w:rPr>
          <w:rFonts w:ascii="Times New Roman" w:hAnsi="Times New Roman" w:cs="Times New Roman"/>
          <w:sz w:val="26"/>
          <w:szCs w:val="26"/>
        </w:rPr>
        <w:t xml:space="preserve">zņēmējdarbības </w:t>
      </w:r>
      <w:r>
        <w:rPr>
          <w:rFonts w:ascii="Times New Roman" w:hAnsi="Times New Roman" w:cs="Times New Roman"/>
          <w:sz w:val="26"/>
          <w:szCs w:val="26"/>
        </w:rPr>
        <w:t xml:space="preserve">vides uzlabošanas pasākumu plānu 2011.gadam, t.sk. iesniedzot jauno Būvniecības likumprojektu, sagatavots izvērtējums un priekšlikumi  </w:t>
      </w:r>
      <w:r w:rsidRPr="0098731A">
        <w:rPr>
          <w:rFonts w:ascii="Times New Roman" w:hAnsi="Times New Roman" w:cs="Times New Roman"/>
          <w:sz w:val="26"/>
          <w:szCs w:val="26"/>
        </w:rPr>
        <w:t xml:space="preserve">darba </w:t>
      </w:r>
      <w:r>
        <w:rPr>
          <w:rFonts w:ascii="Times New Roman" w:hAnsi="Times New Roman" w:cs="Times New Roman"/>
          <w:sz w:val="26"/>
          <w:szCs w:val="26"/>
        </w:rPr>
        <w:t xml:space="preserve">tiesisko </w:t>
      </w:r>
      <w:r w:rsidRPr="0098731A">
        <w:rPr>
          <w:rFonts w:ascii="Times New Roman" w:hAnsi="Times New Roman" w:cs="Times New Roman"/>
          <w:sz w:val="26"/>
          <w:szCs w:val="26"/>
        </w:rPr>
        <w:t>attiecību elastības veicināšana</w:t>
      </w:r>
      <w:r>
        <w:rPr>
          <w:rFonts w:ascii="Times New Roman" w:hAnsi="Times New Roman" w:cs="Times New Roman"/>
          <w:sz w:val="26"/>
          <w:szCs w:val="26"/>
        </w:rPr>
        <w:t xml:space="preserve">s iespējām; </w:t>
      </w:r>
    </w:p>
    <w:p w:rsidR="00372D82" w:rsidRDefault="00372D82" w:rsidP="00372D82">
      <w:pPr>
        <w:pStyle w:val="ListParagraph"/>
        <w:numPr>
          <w:ilvl w:val="0"/>
          <w:numId w:val="23"/>
        </w:numPr>
        <w:spacing w:after="0" w:line="240" w:lineRule="auto"/>
        <w:ind w:left="709" w:hanging="283"/>
        <w:jc w:val="both"/>
        <w:rPr>
          <w:rFonts w:ascii="Times New Roman" w:hAnsi="Times New Roman" w:cs="Times New Roman"/>
          <w:sz w:val="26"/>
          <w:szCs w:val="26"/>
        </w:rPr>
      </w:pPr>
      <w:r w:rsidRPr="009E1083">
        <w:rPr>
          <w:rFonts w:ascii="Times New Roman" w:hAnsi="Times New Roman" w:cs="Times New Roman"/>
          <w:sz w:val="26"/>
          <w:szCs w:val="26"/>
        </w:rPr>
        <w:t>izglītības sistēmas atbilstības darba tirgus vajadzībām pilnveidošana</w:t>
      </w:r>
      <w:r w:rsidRPr="00BB70AB">
        <w:rPr>
          <w:rFonts w:ascii="Times New Roman" w:hAnsi="Times New Roman" w:cs="Times New Roman"/>
          <w:sz w:val="26"/>
          <w:szCs w:val="26"/>
        </w:rPr>
        <w:t>, tai skaitā profesionālās izglītības kvalitātes nodrošināšanas,</w:t>
      </w:r>
      <w:r>
        <w:rPr>
          <w:rFonts w:ascii="Times New Roman" w:hAnsi="Times New Roman" w:cs="Times New Roman"/>
          <w:sz w:val="26"/>
          <w:szCs w:val="26"/>
        </w:rPr>
        <w:t xml:space="preserve"> </w:t>
      </w:r>
      <w:r w:rsidRPr="00BB70AB">
        <w:rPr>
          <w:rFonts w:ascii="Times New Roman" w:hAnsi="Times New Roman" w:cs="Times New Roman"/>
          <w:sz w:val="26"/>
          <w:szCs w:val="26"/>
        </w:rPr>
        <w:t>augstākās izglītības programmu elastības un atbilstība</w:t>
      </w:r>
      <w:r>
        <w:rPr>
          <w:rFonts w:ascii="Times New Roman" w:hAnsi="Times New Roman" w:cs="Times New Roman"/>
          <w:sz w:val="26"/>
          <w:szCs w:val="26"/>
        </w:rPr>
        <w:t>s</w:t>
      </w:r>
      <w:r w:rsidRPr="00BB70AB">
        <w:rPr>
          <w:rFonts w:ascii="Times New Roman" w:hAnsi="Times New Roman" w:cs="Times New Roman"/>
          <w:sz w:val="26"/>
          <w:szCs w:val="26"/>
        </w:rPr>
        <w:t xml:space="preserve"> darba devēju vajadzībām</w:t>
      </w:r>
      <w:r>
        <w:rPr>
          <w:rFonts w:ascii="Times New Roman" w:hAnsi="Times New Roman" w:cs="Times New Roman"/>
          <w:sz w:val="26"/>
          <w:szCs w:val="26"/>
        </w:rPr>
        <w:t xml:space="preserve"> </w:t>
      </w:r>
      <w:r w:rsidRPr="00BB70AB">
        <w:rPr>
          <w:rFonts w:ascii="Times New Roman" w:hAnsi="Times New Roman" w:cs="Times New Roman"/>
          <w:sz w:val="26"/>
          <w:szCs w:val="26"/>
        </w:rPr>
        <w:t>jautājumu</w:t>
      </w:r>
      <w:r>
        <w:rPr>
          <w:rFonts w:ascii="Times New Roman" w:hAnsi="Times New Roman" w:cs="Times New Roman"/>
          <w:sz w:val="26"/>
          <w:szCs w:val="26"/>
        </w:rPr>
        <w:t xml:space="preserve"> risināšana</w:t>
      </w:r>
      <w:r w:rsidRPr="00BB70AB">
        <w:rPr>
          <w:rFonts w:ascii="Times New Roman" w:hAnsi="Times New Roman" w:cs="Times New Roman"/>
          <w:sz w:val="26"/>
          <w:szCs w:val="26"/>
        </w:rPr>
        <w:t xml:space="preserve">, </w:t>
      </w:r>
      <w:r>
        <w:rPr>
          <w:rFonts w:ascii="Times New Roman" w:hAnsi="Times New Roman" w:cs="Times New Roman"/>
          <w:sz w:val="26"/>
          <w:szCs w:val="26"/>
        </w:rPr>
        <w:t xml:space="preserve">atbalsta nodrošināšana </w:t>
      </w:r>
      <w:r w:rsidRPr="00BB70AB">
        <w:rPr>
          <w:rFonts w:ascii="Times New Roman" w:hAnsi="Times New Roman" w:cs="Times New Roman"/>
          <w:sz w:val="26"/>
          <w:szCs w:val="26"/>
        </w:rPr>
        <w:t>darbinieku apmā</w:t>
      </w:r>
      <w:r>
        <w:rPr>
          <w:rFonts w:ascii="Times New Roman" w:hAnsi="Times New Roman" w:cs="Times New Roman"/>
          <w:sz w:val="26"/>
          <w:szCs w:val="26"/>
        </w:rPr>
        <w:t>cībā</w:t>
      </w:r>
      <w:r w:rsidRPr="00BB70AB">
        <w:rPr>
          <w:rFonts w:ascii="Times New Roman" w:hAnsi="Times New Roman" w:cs="Times New Roman"/>
          <w:sz w:val="26"/>
          <w:szCs w:val="26"/>
        </w:rPr>
        <w:t xml:space="preserve">m </w:t>
      </w:r>
      <w:r>
        <w:rPr>
          <w:rFonts w:ascii="Times New Roman" w:hAnsi="Times New Roman" w:cs="Times New Roman"/>
          <w:sz w:val="26"/>
          <w:szCs w:val="26"/>
        </w:rPr>
        <w:t xml:space="preserve">ES </w:t>
      </w:r>
      <w:r w:rsidRPr="00BB70AB">
        <w:rPr>
          <w:rFonts w:ascii="Times New Roman" w:hAnsi="Times New Roman" w:cs="Times New Roman"/>
          <w:sz w:val="26"/>
          <w:szCs w:val="26"/>
        </w:rPr>
        <w:t>strukt</w:t>
      </w:r>
      <w:r>
        <w:rPr>
          <w:rFonts w:ascii="Times New Roman" w:hAnsi="Times New Roman" w:cs="Times New Roman"/>
          <w:sz w:val="26"/>
          <w:szCs w:val="26"/>
        </w:rPr>
        <w:t xml:space="preserve">ūrfondu programmu ietvaros. </w:t>
      </w:r>
      <w:r w:rsidRPr="00604F31">
        <w:rPr>
          <w:rFonts w:ascii="Times New Roman" w:hAnsi="Times New Roman" w:cs="Times New Roman"/>
          <w:sz w:val="26"/>
          <w:szCs w:val="26"/>
        </w:rPr>
        <w:t xml:space="preserve">2011.gadā plānots </w:t>
      </w:r>
      <w:r w:rsidRPr="009355EB">
        <w:rPr>
          <w:rFonts w:ascii="Times New Roman" w:hAnsi="Times New Roman" w:cs="Times New Roman"/>
          <w:sz w:val="26"/>
          <w:szCs w:val="26"/>
        </w:rPr>
        <w:t xml:space="preserve">palielināt darba devēju lomu </w:t>
      </w:r>
      <w:r>
        <w:rPr>
          <w:rFonts w:ascii="Times New Roman" w:hAnsi="Times New Roman" w:cs="Times New Roman"/>
          <w:sz w:val="26"/>
          <w:szCs w:val="26"/>
        </w:rPr>
        <w:t xml:space="preserve">profesionālās izglītības, kā arī </w:t>
      </w:r>
      <w:r w:rsidRPr="009355EB">
        <w:rPr>
          <w:rFonts w:ascii="Times New Roman" w:hAnsi="Times New Roman" w:cs="Times New Roman"/>
          <w:sz w:val="26"/>
          <w:szCs w:val="26"/>
        </w:rPr>
        <w:t xml:space="preserve">profesionālo augstākās izglītības studiju programmu izstrādē, studiju rezultātu formulēšanā un programmu atbilstības novērtēšanā, kā arī iesaistīt darba devējus studiju </w:t>
      </w:r>
      <w:r w:rsidRPr="009355EB">
        <w:rPr>
          <w:rFonts w:ascii="Times New Roman" w:hAnsi="Times New Roman" w:cs="Times New Roman"/>
          <w:sz w:val="26"/>
          <w:szCs w:val="26"/>
        </w:rPr>
        <w:lastRenderedPageBreak/>
        <w:t>rezultātu pārbaudē</w:t>
      </w:r>
      <w:r>
        <w:rPr>
          <w:rFonts w:ascii="Times New Roman" w:hAnsi="Times New Roman" w:cs="Times New Roman"/>
          <w:sz w:val="26"/>
          <w:szCs w:val="26"/>
        </w:rPr>
        <w:t>; īstenot profesionālās izglītības iestāžu optimizācijas plānu;</w:t>
      </w:r>
    </w:p>
    <w:p w:rsidR="00372D82" w:rsidRDefault="00372D82" w:rsidP="00372D82">
      <w:pPr>
        <w:pStyle w:val="ListParagraph"/>
        <w:numPr>
          <w:ilvl w:val="0"/>
          <w:numId w:val="23"/>
        </w:numPr>
        <w:spacing w:after="0" w:line="240" w:lineRule="auto"/>
        <w:ind w:left="709" w:hanging="284"/>
        <w:jc w:val="both"/>
        <w:rPr>
          <w:rFonts w:ascii="Times New Roman" w:hAnsi="Times New Roman" w:cs="Times New Roman"/>
          <w:sz w:val="26"/>
          <w:szCs w:val="26"/>
        </w:rPr>
      </w:pPr>
      <w:r w:rsidRPr="009E1083">
        <w:rPr>
          <w:rFonts w:ascii="Times New Roman" w:hAnsi="Times New Roman" w:cs="Times New Roman"/>
          <w:sz w:val="26"/>
          <w:szCs w:val="26"/>
        </w:rPr>
        <w:t>ar uzņēmējdarbību saistītas infrastruktūras pieejamības jautājumu risināšana</w:t>
      </w:r>
      <w:r w:rsidRPr="00BB70AB">
        <w:rPr>
          <w:rFonts w:ascii="Times New Roman" w:hAnsi="Times New Roman" w:cs="Times New Roman"/>
          <w:sz w:val="26"/>
          <w:szCs w:val="26"/>
        </w:rPr>
        <w:t>, tai skaitā jautājumi saistīti ar fiziskās infr</w:t>
      </w:r>
      <w:r>
        <w:rPr>
          <w:rFonts w:ascii="Times New Roman" w:hAnsi="Times New Roman" w:cs="Times New Roman"/>
          <w:sz w:val="26"/>
          <w:szCs w:val="26"/>
        </w:rPr>
        <w:t xml:space="preserve">astruktūras tīklu nodrošināšanu (ceļi, elektrības pieslēgumi) un pašvaldības līdzdalību ĀTI piesaistīšanā. Tiks sagatavoti priekšlikumi elektroenerģijas pieslēgumu nodrošināšanai, pašvaldību ieinteresētības veicināšanai uzņēmējdarbības attīstībā to teritorijā;  </w:t>
      </w:r>
    </w:p>
    <w:p w:rsidR="00372D82" w:rsidRDefault="00372D82" w:rsidP="00372D82">
      <w:pPr>
        <w:pStyle w:val="ListParagraph"/>
        <w:numPr>
          <w:ilvl w:val="0"/>
          <w:numId w:val="23"/>
        </w:numPr>
        <w:spacing w:after="0" w:line="240" w:lineRule="auto"/>
        <w:ind w:left="709" w:hanging="283"/>
        <w:jc w:val="both"/>
        <w:rPr>
          <w:rFonts w:ascii="Times New Roman" w:hAnsi="Times New Roman" w:cs="Times New Roman"/>
          <w:sz w:val="26"/>
          <w:szCs w:val="26"/>
        </w:rPr>
      </w:pPr>
      <w:r w:rsidRPr="009E1083">
        <w:rPr>
          <w:rFonts w:ascii="Times New Roman" w:hAnsi="Times New Roman" w:cs="Times New Roman"/>
          <w:sz w:val="26"/>
          <w:szCs w:val="26"/>
        </w:rPr>
        <w:t>esošo investīciju stimulu pilnveidošana</w:t>
      </w:r>
      <w:r w:rsidRPr="00206386">
        <w:rPr>
          <w:rFonts w:ascii="Times New Roman" w:hAnsi="Times New Roman" w:cs="Times New Roman"/>
          <w:sz w:val="26"/>
          <w:szCs w:val="26"/>
        </w:rPr>
        <w:t xml:space="preserve">, tai skaitā </w:t>
      </w:r>
      <w:r>
        <w:rPr>
          <w:rFonts w:ascii="Times New Roman" w:hAnsi="Times New Roman" w:cs="Times New Roman"/>
          <w:sz w:val="26"/>
          <w:szCs w:val="26"/>
        </w:rPr>
        <w:t xml:space="preserve">ES struktūrfondu atbalsta saņemšana uzņēmuma izveidei vai modernizācijai, </w:t>
      </w:r>
      <w:r w:rsidRPr="00206386">
        <w:rPr>
          <w:rFonts w:ascii="Times New Roman" w:hAnsi="Times New Roman" w:cs="Times New Roman"/>
          <w:sz w:val="26"/>
          <w:szCs w:val="26"/>
        </w:rPr>
        <w:t xml:space="preserve">atalgojumu granti, īpaši augstas kvalifikācijas darba vietu radīšanai, granti apmācībām </w:t>
      </w:r>
      <w:r>
        <w:rPr>
          <w:rFonts w:ascii="Times New Roman" w:hAnsi="Times New Roman" w:cs="Times New Roman"/>
          <w:sz w:val="26"/>
          <w:szCs w:val="26"/>
        </w:rPr>
        <w:t xml:space="preserve">nodarbinātajiem </w:t>
      </w:r>
      <w:r w:rsidRPr="00206386">
        <w:rPr>
          <w:rFonts w:ascii="Times New Roman" w:hAnsi="Times New Roman" w:cs="Times New Roman"/>
          <w:sz w:val="26"/>
          <w:szCs w:val="26"/>
        </w:rPr>
        <w:t>jaunradīt</w:t>
      </w:r>
      <w:r>
        <w:rPr>
          <w:rFonts w:ascii="Times New Roman" w:hAnsi="Times New Roman" w:cs="Times New Roman"/>
          <w:sz w:val="26"/>
          <w:szCs w:val="26"/>
        </w:rPr>
        <w:t xml:space="preserve">ajās darba vietās. Līdz 01.04.2011. tiks sagatavoti priekšlikumi nepieciešamajiem stimuliem investoru piesaistei. </w:t>
      </w:r>
    </w:p>
    <w:p w:rsidR="00372D82" w:rsidRPr="00E221C3" w:rsidRDefault="00372D82" w:rsidP="00372D82">
      <w:pPr>
        <w:pStyle w:val="ListParagraph"/>
        <w:numPr>
          <w:ilvl w:val="0"/>
          <w:numId w:val="23"/>
        </w:numPr>
        <w:spacing w:after="0" w:line="240" w:lineRule="auto"/>
        <w:ind w:left="709" w:hanging="283"/>
        <w:jc w:val="both"/>
        <w:rPr>
          <w:rFonts w:ascii="Times New Roman" w:hAnsi="Times New Roman" w:cs="Times New Roman"/>
          <w:sz w:val="26"/>
          <w:szCs w:val="26"/>
        </w:rPr>
      </w:pPr>
      <w:r w:rsidRPr="009E1083">
        <w:rPr>
          <w:rFonts w:ascii="Times New Roman" w:hAnsi="Times New Roman" w:cs="Times New Roman"/>
          <w:sz w:val="26"/>
          <w:szCs w:val="26"/>
        </w:rPr>
        <w:t xml:space="preserve">Lielo un stratēģiski nozīmīgo investīciju projektu koordinācijas padomes </w:t>
      </w:r>
      <w:r w:rsidRPr="00E221C3">
        <w:rPr>
          <w:rFonts w:ascii="Times New Roman" w:hAnsi="Times New Roman" w:cs="Times New Roman"/>
          <w:sz w:val="26"/>
          <w:szCs w:val="26"/>
        </w:rPr>
        <w:t>darbība, lai novērstu šķēršļus konkrētu i</w:t>
      </w:r>
      <w:r>
        <w:rPr>
          <w:rFonts w:ascii="Times New Roman" w:hAnsi="Times New Roman" w:cs="Times New Roman"/>
          <w:sz w:val="26"/>
          <w:szCs w:val="26"/>
        </w:rPr>
        <w:t xml:space="preserve">nvestīciju projektu īstenošanai, kā arī </w:t>
      </w:r>
      <w:r w:rsidRPr="00E221C3">
        <w:rPr>
          <w:rFonts w:ascii="Times New Roman" w:hAnsi="Times New Roman" w:cs="Times New Roman"/>
          <w:sz w:val="26"/>
          <w:szCs w:val="26"/>
        </w:rPr>
        <w:t>kopumā uzlab</w:t>
      </w:r>
      <w:r>
        <w:rPr>
          <w:rFonts w:ascii="Times New Roman" w:hAnsi="Times New Roman" w:cs="Times New Roman"/>
          <w:sz w:val="26"/>
          <w:szCs w:val="26"/>
        </w:rPr>
        <w:t>otu investīciju vidi;</w:t>
      </w:r>
      <w:r w:rsidRPr="00754AC9">
        <w:rPr>
          <w:rFonts w:ascii="Times New Roman" w:hAnsi="Times New Roman" w:cs="Times New Roman"/>
          <w:sz w:val="26"/>
          <w:szCs w:val="26"/>
        </w:rPr>
        <w:t xml:space="preserve"> </w:t>
      </w:r>
      <w:r w:rsidRPr="009E1083">
        <w:rPr>
          <w:rFonts w:ascii="Times New Roman" w:hAnsi="Times New Roman" w:cs="Times New Roman"/>
          <w:sz w:val="26"/>
          <w:szCs w:val="26"/>
        </w:rPr>
        <w:t>POLARIS procesa ieviešana</w:t>
      </w:r>
      <w:r w:rsidRPr="00E221C3">
        <w:rPr>
          <w:rFonts w:ascii="Times New Roman" w:hAnsi="Times New Roman" w:cs="Times New Roman"/>
          <w:sz w:val="26"/>
          <w:szCs w:val="26"/>
        </w:rPr>
        <w:t xml:space="preserve">, paredzot vienotu un saskaņotu ministriju, pašvaldību, infrastruktūras uzņēmumu un valsts iestāžu rīcību stratēģiski nozīmīgu vietējo un ārvalstu tiešo investīciju projektu īstenošanā, kā arī privātā un akadēmiskā sektora pārstāvju līdzdalību. Galvenā koordinatora loma šai procesā ir LIAA; </w:t>
      </w:r>
    </w:p>
    <w:p w:rsidR="00372D82" w:rsidRDefault="00372D82" w:rsidP="00372D82">
      <w:pPr>
        <w:pStyle w:val="ListParagraph"/>
        <w:numPr>
          <w:ilvl w:val="0"/>
          <w:numId w:val="23"/>
        </w:numPr>
        <w:spacing w:after="120" w:line="240" w:lineRule="auto"/>
        <w:ind w:left="709" w:hanging="284"/>
        <w:jc w:val="both"/>
        <w:rPr>
          <w:rFonts w:ascii="Times New Roman" w:hAnsi="Times New Roman" w:cs="Times New Roman"/>
          <w:sz w:val="26"/>
          <w:szCs w:val="26"/>
        </w:rPr>
      </w:pPr>
      <w:r>
        <w:rPr>
          <w:rFonts w:ascii="Times New Roman" w:hAnsi="Times New Roman" w:cs="Times New Roman"/>
          <w:sz w:val="26"/>
          <w:szCs w:val="26"/>
        </w:rPr>
        <w:t xml:space="preserve">LIAA un Pārstāvniecību aktīva potenciālo investoru uzrunāšana dažādos forumos, tiešās vizītes pie investoriem; </w:t>
      </w:r>
    </w:p>
    <w:p w:rsidR="00372D82" w:rsidRDefault="00372D82" w:rsidP="00372D82">
      <w:pPr>
        <w:pStyle w:val="ListParagraph"/>
        <w:numPr>
          <w:ilvl w:val="0"/>
          <w:numId w:val="23"/>
        </w:numPr>
        <w:spacing w:after="120" w:line="240" w:lineRule="auto"/>
        <w:ind w:left="709" w:hanging="284"/>
        <w:jc w:val="both"/>
        <w:rPr>
          <w:rFonts w:ascii="Times New Roman" w:hAnsi="Times New Roman" w:cs="Times New Roman"/>
          <w:sz w:val="26"/>
          <w:szCs w:val="26"/>
        </w:rPr>
      </w:pPr>
      <w:r>
        <w:rPr>
          <w:rFonts w:ascii="Times New Roman" w:hAnsi="Times New Roman" w:cs="Times New Roman"/>
          <w:sz w:val="26"/>
          <w:szCs w:val="26"/>
        </w:rPr>
        <w:t>informatīvo materiālu sagatavošana par perspektīvajām nozarēm, investīciju iespējām Latvijā;</w:t>
      </w:r>
    </w:p>
    <w:p w:rsidR="0098731A" w:rsidRPr="00DE2BF8" w:rsidRDefault="00372D82" w:rsidP="00DE2BF8">
      <w:pPr>
        <w:pStyle w:val="ListParagraph"/>
        <w:numPr>
          <w:ilvl w:val="0"/>
          <w:numId w:val="23"/>
        </w:numPr>
        <w:spacing w:after="120" w:line="240" w:lineRule="auto"/>
        <w:ind w:left="709" w:hanging="284"/>
        <w:jc w:val="both"/>
        <w:rPr>
          <w:rFonts w:ascii="Times New Roman" w:hAnsi="Times New Roman" w:cs="Times New Roman"/>
          <w:sz w:val="26"/>
          <w:szCs w:val="26"/>
        </w:rPr>
      </w:pPr>
      <w:r>
        <w:rPr>
          <w:rFonts w:ascii="Times New Roman" w:hAnsi="Times New Roman" w:cs="Times New Roman"/>
          <w:sz w:val="26"/>
          <w:szCs w:val="26"/>
        </w:rPr>
        <w:t>potenciālo investoru vizīšu organizēšana uz Latviju.</w:t>
      </w:r>
    </w:p>
    <w:p w:rsidR="006035B0" w:rsidRPr="00E221C3" w:rsidRDefault="006035B0" w:rsidP="002B55B7">
      <w:pPr>
        <w:spacing w:after="0" w:line="240" w:lineRule="auto"/>
        <w:jc w:val="both"/>
        <w:rPr>
          <w:rFonts w:ascii="Times New Roman" w:hAnsi="Times New Roman" w:cs="Times New Roman"/>
          <w:b/>
          <w:sz w:val="26"/>
          <w:szCs w:val="26"/>
        </w:rPr>
      </w:pPr>
    </w:p>
    <w:p w:rsidR="00683B2F" w:rsidRPr="00372D82" w:rsidRDefault="00912130" w:rsidP="00372D82">
      <w:pPr>
        <w:pStyle w:val="ListParagraph"/>
        <w:numPr>
          <w:ilvl w:val="0"/>
          <w:numId w:val="42"/>
        </w:numPr>
        <w:tabs>
          <w:tab w:val="left" w:pos="284"/>
        </w:tabs>
        <w:spacing w:after="120" w:line="240" w:lineRule="auto"/>
        <w:jc w:val="both"/>
        <w:rPr>
          <w:rFonts w:ascii="Times New Roman" w:hAnsi="Times New Roman" w:cs="Times New Roman"/>
          <w:b/>
          <w:sz w:val="26"/>
          <w:szCs w:val="26"/>
        </w:rPr>
      </w:pPr>
      <w:r w:rsidRPr="00372D82">
        <w:rPr>
          <w:rFonts w:ascii="Times New Roman" w:hAnsi="Times New Roman" w:cs="Times New Roman"/>
          <w:b/>
          <w:sz w:val="26"/>
          <w:szCs w:val="26"/>
        </w:rPr>
        <w:t>Kā paredzēts izvērtēt e</w:t>
      </w:r>
      <w:r w:rsidR="00261410" w:rsidRPr="00372D82">
        <w:rPr>
          <w:rFonts w:ascii="Times New Roman" w:hAnsi="Times New Roman" w:cs="Times New Roman"/>
          <w:b/>
          <w:sz w:val="26"/>
          <w:szCs w:val="26"/>
        </w:rPr>
        <w:t>ksporta veicināšanai paredzētā administratīvā resursa (konsultācij</w:t>
      </w:r>
      <w:r w:rsidRPr="00372D82">
        <w:rPr>
          <w:rFonts w:ascii="Times New Roman" w:hAnsi="Times New Roman" w:cs="Times New Roman"/>
          <w:b/>
          <w:sz w:val="26"/>
          <w:szCs w:val="26"/>
        </w:rPr>
        <w:t>as, semināri utt.) efektivitāti</w:t>
      </w:r>
      <w:r w:rsidR="00772267" w:rsidRPr="00372D82">
        <w:rPr>
          <w:rFonts w:ascii="Times New Roman" w:hAnsi="Times New Roman" w:cs="Times New Roman"/>
          <w:b/>
          <w:sz w:val="26"/>
          <w:szCs w:val="26"/>
        </w:rPr>
        <w:t>*</w:t>
      </w:r>
    </w:p>
    <w:p w:rsidR="00372D82" w:rsidRPr="00372D82" w:rsidRDefault="00A07E0F" w:rsidP="00372D82">
      <w:pPr>
        <w:spacing w:after="60" w:line="240" w:lineRule="auto"/>
        <w:ind w:firstLine="567"/>
        <w:jc w:val="both"/>
        <w:rPr>
          <w:rFonts w:ascii="Times New Roman" w:hAnsi="Times New Roman" w:cs="Times New Roman"/>
          <w:sz w:val="26"/>
          <w:szCs w:val="26"/>
        </w:rPr>
      </w:pPr>
      <w:r w:rsidRPr="00DD0D00">
        <w:rPr>
          <w:rFonts w:ascii="Times New Roman" w:hAnsi="Times New Roman" w:cs="Times New Roman"/>
          <w:sz w:val="26"/>
          <w:szCs w:val="26"/>
        </w:rPr>
        <w:t>Ekonomikas m</w:t>
      </w:r>
      <w:r w:rsidR="00912130" w:rsidRPr="00DD0D00">
        <w:rPr>
          <w:rFonts w:ascii="Times New Roman" w:hAnsi="Times New Roman" w:cs="Times New Roman"/>
          <w:sz w:val="26"/>
          <w:szCs w:val="26"/>
        </w:rPr>
        <w:t xml:space="preserve">inistrija regulāri veic </w:t>
      </w:r>
      <w:r w:rsidR="00E435EC" w:rsidRPr="00DD0D00">
        <w:rPr>
          <w:rFonts w:ascii="Times New Roman" w:hAnsi="Times New Roman" w:cs="Times New Roman"/>
          <w:sz w:val="26"/>
          <w:szCs w:val="26"/>
        </w:rPr>
        <w:t>administratīvā resursa</w:t>
      </w:r>
      <w:r w:rsidR="00E435EC">
        <w:rPr>
          <w:rFonts w:ascii="Times New Roman" w:hAnsi="Times New Roman" w:cs="Times New Roman"/>
          <w:sz w:val="26"/>
          <w:szCs w:val="26"/>
        </w:rPr>
        <w:t xml:space="preserve"> (LIAA)</w:t>
      </w:r>
      <w:r w:rsidR="00E435EC" w:rsidRPr="00DD0D00">
        <w:rPr>
          <w:rFonts w:ascii="Times New Roman" w:hAnsi="Times New Roman" w:cs="Times New Roman"/>
          <w:sz w:val="26"/>
          <w:szCs w:val="26"/>
        </w:rPr>
        <w:t xml:space="preserve"> darbības izvērtēšanu </w:t>
      </w:r>
      <w:r w:rsidR="00912130" w:rsidRPr="00DD0D00">
        <w:rPr>
          <w:rFonts w:ascii="Times New Roman" w:hAnsi="Times New Roman" w:cs="Times New Roman"/>
          <w:sz w:val="26"/>
          <w:szCs w:val="26"/>
        </w:rPr>
        <w:t>eksporta veicināšanas</w:t>
      </w:r>
      <w:r w:rsidR="00E435EC">
        <w:rPr>
          <w:rFonts w:ascii="Times New Roman" w:hAnsi="Times New Roman" w:cs="Times New Roman"/>
          <w:sz w:val="26"/>
          <w:szCs w:val="26"/>
        </w:rPr>
        <w:t xml:space="preserve"> jomā</w:t>
      </w:r>
      <w:r w:rsidR="00912130" w:rsidRPr="00DD0D00">
        <w:rPr>
          <w:rFonts w:ascii="Times New Roman" w:hAnsi="Times New Roman" w:cs="Times New Roman"/>
          <w:sz w:val="26"/>
          <w:szCs w:val="26"/>
        </w:rPr>
        <w:t>, ba</w:t>
      </w:r>
      <w:r w:rsidR="00EB6C37" w:rsidRPr="00DD0D00">
        <w:rPr>
          <w:rFonts w:ascii="Times New Roman" w:hAnsi="Times New Roman" w:cs="Times New Roman"/>
          <w:sz w:val="26"/>
          <w:szCs w:val="26"/>
        </w:rPr>
        <w:t>lstoties uz konkrētiem un izmērā</w:t>
      </w:r>
      <w:r w:rsidR="00912130" w:rsidRPr="00DD0D00">
        <w:rPr>
          <w:rFonts w:ascii="Times New Roman" w:hAnsi="Times New Roman" w:cs="Times New Roman"/>
          <w:sz w:val="26"/>
          <w:szCs w:val="26"/>
        </w:rPr>
        <w:t>miem sasniedzamajiem rezultatīv</w:t>
      </w:r>
      <w:r w:rsidR="00EB6C37" w:rsidRPr="00DD0D00">
        <w:rPr>
          <w:rFonts w:ascii="Times New Roman" w:hAnsi="Times New Roman" w:cs="Times New Roman"/>
          <w:sz w:val="26"/>
          <w:szCs w:val="26"/>
        </w:rPr>
        <w:t>ajiem</w:t>
      </w:r>
      <w:r w:rsidR="00912130" w:rsidRPr="00DD0D00">
        <w:rPr>
          <w:rFonts w:ascii="Times New Roman" w:hAnsi="Times New Roman" w:cs="Times New Roman"/>
          <w:sz w:val="26"/>
          <w:szCs w:val="26"/>
        </w:rPr>
        <w:t xml:space="preserve"> rādītājiem, kas ir noteikti </w:t>
      </w:r>
      <w:r w:rsidR="003B126D" w:rsidRPr="00DD0D00">
        <w:rPr>
          <w:rFonts w:ascii="Times New Roman" w:hAnsi="Times New Roman" w:cs="Times New Roman"/>
          <w:sz w:val="26"/>
          <w:szCs w:val="26"/>
        </w:rPr>
        <w:t>LIAA</w:t>
      </w:r>
      <w:r w:rsidR="00BB19E6" w:rsidRPr="00DD0D00">
        <w:rPr>
          <w:rFonts w:ascii="Times New Roman" w:hAnsi="Times New Roman" w:cs="Times New Roman"/>
          <w:sz w:val="26"/>
          <w:szCs w:val="26"/>
        </w:rPr>
        <w:t xml:space="preserve"> (t.sk. </w:t>
      </w:r>
      <w:r w:rsidR="00912130" w:rsidRPr="00DD0D00">
        <w:rPr>
          <w:rFonts w:ascii="Times New Roman" w:hAnsi="Times New Roman" w:cs="Times New Roman"/>
          <w:sz w:val="26"/>
          <w:szCs w:val="26"/>
        </w:rPr>
        <w:t>Latvijas Ārēj</w:t>
      </w:r>
      <w:r w:rsidR="00BB19E6" w:rsidRPr="00DD0D00">
        <w:rPr>
          <w:rFonts w:ascii="Times New Roman" w:hAnsi="Times New Roman" w:cs="Times New Roman"/>
          <w:sz w:val="26"/>
          <w:szCs w:val="26"/>
        </w:rPr>
        <w:t>o</w:t>
      </w:r>
      <w:r w:rsidR="00912130" w:rsidRPr="00DD0D00">
        <w:rPr>
          <w:rFonts w:ascii="Times New Roman" w:hAnsi="Times New Roman" w:cs="Times New Roman"/>
          <w:sz w:val="26"/>
          <w:szCs w:val="26"/>
        </w:rPr>
        <w:t xml:space="preserve"> ekonomisk</w:t>
      </w:r>
      <w:r w:rsidR="00BB19E6" w:rsidRPr="00DD0D00">
        <w:rPr>
          <w:rFonts w:ascii="Times New Roman" w:hAnsi="Times New Roman" w:cs="Times New Roman"/>
          <w:sz w:val="26"/>
          <w:szCs w:val="26"/>
        </w:rPr>
        <w:t>o</w:t>
      </w:r>
      <w:r w:rsidR="00912130" w:rsidRPr="00DD0D00">
        <w:rPr>
          <w:rFonts w:ascii="Times New Roman" w:hAnsi="Times New Roman" w:cs="Times New Roman"/>
          <w:sz w:val="26"/>
          <w:szCs w:val="26"/>
        </w:rPr>
        <w:t xml:space="preserve"> pārstāvniecī</w:t>
      </w:r>
      <w:r w:rsidR="00BB19E6" w:rsidRPr="00DD0D00">
        <w:rPr>
          <w:rFonts w:ascii="Times New Roman" w:hAnsi="Times New Roman" w:cs="Times New Roman"/>
          <w:sz w:val="26"/>
          <w:szCs w:val="26"/>
        </w:rPr>
        <w:t>bu)</w:t>
      </w:r>
      <w:r w:rsidR="00912130" w:rsidRPr="00DD0D00">
        <w:rPr>
          <w:rFonts w:ascii="Times New Roman" w:hAnsi="Times New Roman" w:cs="Times New Roman"/>
          <w:sz w:val="26"/>
          <w:szCs w:val="26"/>
        </w:rPr>
        <w:t xml:space="preserve"> ikgadēj</w:t>
      </w:r>
      <w:r w:rsidR="003B126D" w:rsidRPr="00DD0D00">
        <w:rPr>
          <w:rFonts w:ascii="Times New Roman" w:hAnsi="Times New Roman" w:cs="Times New Roman"/>
          <w:sz w:val="26"/>
          <w:szCs w:val="26"/>
        </w:rPr>
        <w:t>ā</w:t>
      </w:r>
      <w:r w:rsidR="00912130" w:rsidRPr="00DD0D00">
        <w:rPr>
          <w:rFonts w:ascii="Times New Roman" w:hAnsi="Times New Roman" w:cs="Times New Roman"/>
          <w:sz w:val="26"/>
          <w:szCs w:val="26"/>
        </w:rPr>
        <w:t xml:space="preserve"> darba plān</w:t>
      </w:r>
      <w:r w:rsidR="003B126D" w:rsidRPr="00DD0D00">
        <w:rPr>
          <w:rFonts w:ascii="Times New Roman" w:hAnsi="Times New Roman" w:cs="Times New Roman"/>
          <w:sz w:val="26"/>
          <w:szCs w:val="26"/>
        </w:rPr>
        <w:t>ā, izvērtējot to atbilstību plānotajam</w:t>
      </w:r>
      <w:r w:rsidR="00372D82">
        <w:rPr>
          <w:rFonts w:ascii="Times New Roman" w:hAnsi="Times New Roman" w:cs="Times New Roman"/>
          <w:sz w:val="26"/>
          <w:szCs w:val="26"/>
        </w:rPr>
        <w:t>.</w:t>
      </w:r>
    </w:p>
    <w:p w:rsidR="00B94EA6" w:rsidRDefault="00372D82" w:rsidP="00372D82">
      <w:pPr>
        <w:pStyle w:val="ListParagraph"/>
        <w:spacing w:after="0" w:line="240" w:lineRule="auto"/>
        <w:ind w:left="0"/>
        <w:jc w:val="both"/>
        <w:rPr>
          <w:rFonts w:ascii="Times New Roman" w:hAnsi="Times New Roman" w:cs="Times New Roman"/>
        </w:rPr>
      </w:pPr>
      <w:r>
        <w:rPr>
          <w:rFonts w:ascii="Times New Roman" w:hAnsi="Times New Roman" w:cs="Times New Roman"/>
        </w:rPr>
        <w:t>*</w:t>
      </w:r>
      <w:r w:rsidRPr="00372D82">
        <w:rPr>
          <w:rFonts w:ascii="Times New Roman" w:hAnsi="Times New Roman" w:cs="Times New Roman"/>
        </w:rPr>
        <w:t xml:space="preserve">Skatīt </w:t>
      </w:r>
      <w:r w:rsidR="00DE2BF8">
        <w:rPr>
          <w:rFonts w:ascii="Times New Roman" w:hAnsi="Times New Roman" w:cs="Times New Roman"/>
        </w:rPr>
        <w:t xml:space="preserve">informāciju </w:t>
      </w:r>
      <w:r w:rsidRPr="00372D82">
        <w:rPr>
          <w:rFonts w:ascii="Times New Roman" w:hAnsi="Times New Roman" w:cs="Times New Roman"/>
        </w:rPr>
        <w:t>arī pie 4.punkta.</w:t>
      </w:r>
    </w:p>
    <w:p w:rsidR="00EA2BED" w:rsidRDefault="00EA2BED" w:rsidP="002B55B7">
      <w:pPr>
        <w:spacing w:after="0" w:line="240" w:lineRule="auto"/>
        <w:jc w:val="center"/>
        <w:rPr>
          <w:rFonts w:ascii="Times New Roman" w:hAnsi="Times New Roman" w:cs="Times New Roman"/>
          <w:b/>
          <w:sz w:val="26"/>
          <w:szCs w:val="26"/>
        </w:rPr>
      </w:pPr>
    </w:p>
    <w:p w:rsidR="00E221C3" w:rsidRPr="00E221C3" w:rsidRDefault="00E221C3" w:rsidP="002B55B7">
      <w:pPr>
        <w:spacing w:after="0" w:line="240" w:lineRule="auto"/>
        <w:jc w:val="center"/>
        <w:rPr>
          <w:rFonts w:ascii="Times New Roman" w:hAnsi="Times New Roman" w:cs="Times New Roman"/>
          <w:b/>
          <w:sz w:val="26"/>
          <w:szCs w:val="26"/>
        </w:rPr>
      </w:pPr>
      <w:r w:rsidRPr="00E221C3">
        <w:rPr>
          <w:rFonts w:ascii="Times New Roman" w:hAnsi="Times New Roman" w:cs="Times New Roman"/>
          <w:b/>
          <w:sz w:val="26"/>
          <w:szCs w:val="26"/>
        </w:rPr>
        <w:t xml:space="preserve">II. Informācija par loģistikas sektora </w:t>
      </w:r>
      <w:r w:rsidR="009E1083" w:rsidRPr="00E221C3">
        <w:rPr>
          <w:rFonts w:ascii="Times New Roman" w:hAnsi="Times New Roman" w:cs="Times New Roman"/>
          <w:b/>
          <w:sz w:val="26"/>
          <w:szCs w:val="26"/>
        </w:rPr>
        <w:t xml:space="preserve">eksporta un </w:t>
      </w:r>
      <w:r w:rsidRPr="00E221C3">
        <w:rPr>
          <w:rFonts w:ascii="Times New Roman" w:hAnsi="Times New Roman" w:cs="Times New Roman"/>
          <w:b/>
          <w:sz w:val="26"/>
          <w:szCs w:val="26"/>
        </w:rPr>
        <w:t>attīstības vei</w:t>
      </w:r>
      <w:r w:rsidR="00F7083D">
        <w:rPr>
          <w:rFonts w:ascii="Times New Roman" w:hAnsi="Times New Roman" w:cs="Times New Roman"/>
          <w:b/>
          <w:sz w:val="26"/>
          <w:szCs w:val="26"/>
        </w:rPr>
        <w:t>cināšanas pasākumiem 2011.</w:t>
      </w:r>
      <w:r w:rsidR="00143ADB">
        <w:rPr>
          <w:rFonts w:ascii="Times New Roman" w:hAnsi="Times New Roman" w:cs="Times New Roman"/>
          <w:b/>
          <w:sz w:val="26"/>
          <w:szCs w:val="26"/>
        </w:rPr>
        <w:t>gadā</w:t>
      </w:r>
    </w:p>
    <w:p w:rsidR="00E221C3" w:rsidRPr="00E221C3" w:rsidRDefault="00E221C3" w:rsidP="002B55B7">
      <w:pPr>
        <w:spacing w:after="0" w:line="240" w:lineRule="auto"/>
        <w:jc w:val="both"/>
        <w:rPr>
          <w:rFonts w:ascii="Times New Roman" w:hAnsi="Times New Roman" w:cs="Times New Roman"/>
          <w:sz w:val="26"/>
          <w:szCs w:val="26"/>
        </w:rPr>
      </w:pPr>
    </w:p>
    <w:p w:rsidR="00E221C3" w:rsidRDefault="00E221C3" w:rsidP="00143ADB">
      <w:pPr>
        <w:spacing w:after="120" w:line="240" w:lineRule="auto"/>
        <w:jc w:val="both"/>
        <w:rPr>
          <w:rFonts w:ascii="Times New Roman" w:hAnsi="Times New Roman" w:cs="Times New Roman"/>
          <w:sz w:val="26"/>
          <w:szCs w:val="26"/>
          <w:u w:val="single"/>
        </w:rPr>
      </w:pPr>
      <w:r w:rsidRPr="00E221C3">
        <w:rPr>
          <w:rFonts w:ascii="Times New Roman" w:hAnsi="Times New Roman" w:cs="Times New Roman"/>
          <w:sz w:val="26"/>
          <w:szCs w:val="26"/>
          <w:u w:val="single"/>
        </w:rPr>
        <w:t xml:space="preserve">Muita, robežšķērsošana, </w:t>
      </w:r>
      <w:r w:rsidR="009E1083">
        <w:rPr>
          <w:rFonts w:ascii="Times New Roman" w:hAnsi="Times New Roman" w:cs="Times New Roman"/>
          <w:sz w:val="26"/>
          <w:szCs w:val="26"/>
          <w:u w:val="single"/>
        </w:rPr>
        <w:t>administratīvo prasību vienkāršošana</w:t>
      </w:r>
      <w:r>
        <w:rPr>
          <w:rFonts w:ascii="Times New Roman" w:hAnsi="Times New Roman" w:cs="Times New Roman"/>
          <w:sz w:val="26"/>
          <w:szCs w:val="26"/>
          <w:u w:val="single"/>
        </w:rPr>
        <w:t>:</w:t>
      </w:r>
    </w:p>
    <w:p w:rsidR="002B55B7" w:rsidRDefault="009E1083" w:rsidP="009E1083">
      <w:pPr>
        <w:numPr>
          <w:ilvl w:val="0"/>
          <w:numId w:val="15"/>
        </w:numPr>
        <w:tabs>
          <w:tab w:val="clear" w:pos="720"/>
        </w:tabs>
        <w:spacing w:after="120" w:line="240" w:lineRule="auto"/>
        <w:ind w:left="0" w:firstLine="567"/>
        <w:jc w:val="both"/>
        <w:rPr>
          <w:rFonts w:ascii="Times New Roman" w:hAnsi="Times New Roman" w:cs="Times New Roman"/>
          <w:sz w:val="26"/>
          <w:szCs w:val="26"/>
        </w:rPr>
      </w:pPr>
      <w:r w:rsidRPr="009E1083">
        <w:rPr>
          <w:rFonts w:ascii="Times New Roman" w:hAnsi="Times New Roman" w:cs="Times New Roman"/>
          <w:sz w:val="26"/>
          <w:szCs w:val="26"/>
        </w:rPr>
        <w:t>a</w:t>
      </w:r>
      <w:r w:rsidR="0007372E" w:rsidRPr="009E1083">
        <w:rPr>
          <w:rFonts w:ascii="Times New Roman" w:hAnsi="Times New Roman" w:cs="Times New Roman"/>
          <w:sz w:val="26"/>
          <w:szCs w:val="26"/>
        </w:rPr>
        <w:t>dministratīvo prasību vienkāršošana</w:t>
      </w:r>
      <w:r>
        <w:rPr>
          <w:rFonts w:ascii="Times New Roman" w:hAnsi="Times New Roman" w:cs="Times New Roman"/>
          <w:b/>
          <w:sz w:val="26"/>
          <w:szCs w:val="26"/>
        </w:rPr>
        <w:t xml:space="preserve"> - </w:t>
      </w:r>
      <w:r w:rsidRPr="009E1083">
        <w:rPr>
          <w:rFonts w:ascii="Times New Roman" w:hAnsi="Times New Roman" w:cs="Times New Roman"/>
          <w:sz w:val="26"/>
          <w:szCs w:val="26"/>
        </w:rPr>
        <w:t>n</w:t>
      </w:r>
      <w:r w:rsidR="00E221C3" w:rsidRPr="009E1083">
        <w:rPr>
          <w:rFonts w:ascii="Times New Roman" w:hAnsi="Times New Roman" w:cs="Times New Roman"/>
          <w:sz w:val="26"/>
          <w:szCs w:val="26"/>
        </w:rPr>
        <w:t>epieciešams turpināt vienk</w:t>
      </w:r>
      <w:r w:rsidR="0007372E" w:rsidRPr="009E1083">
        <w:rPr>
          <w:rFonts w:ascii="Times New Roman" w:hAnsi="Times New Roman" w:cs="Times New Roman"/>
          <w:sz w:val="26"/>
          <w:szCs w:val="26"/>
        </w:rPr>
        <w:t xml:space="preserve">āršot administratīvās prasības </w:t>
      </w:r>
      <w:r w:rsidR="00E221C3" w:rsidRPr="009E1083">
        <w:rPr>
          <w:rFonts w:ascii="Times New Roman" w:hAnsi="Times New Roman" w:cs="Times New Roman"/>
          <w:sz w:val="26"/>
          <w:szCs w:val="26"/>
        </w:rPr>
        <w:t>saistībā ar pievienotās vērtības nodokļa piemērošanu preču piegādēm iekšzemē. Latvijas Ostu, tranz</w:t>
      </w:r>
      <w:r w:rsidR="00274947" w:rsidRPr="009E1083">
        <w:rPr>
          <w:rFonts w:ascii="Times New Roman" w:hAnsi="Times New Roman" w:cs="Times New Roman"/>
          <w:sz w:val="26"/>
          <w:szCs w:val="26"/>
        </w:rPr>
        <w:t>īta un loģistikas padomes 2011.</w:t>
      </w:r>
      <w:r w:rsidR="00E221C3" w:rsidRPr="009E1083">
        <w:rPr>
          <w:rFonts w:ascii="Times New Roman" w:hAnsi="Times New Roman" w:cs="Times New Roman"/>
          <w:sz w:val="26"/>
          <w:szCs w:val="26"/>
        </w:rPr>
        <w:t xml:space="preserve">gada 12. janvāra sēdē tika izskatīts jautājums „Par attaisnojuma dokumentu izmantošanu preču piegādēs iekšzemē” un pieņemts lēmums </w:t>
      </w:r>
      <w:r w:rsidR="0007372E" w:rsidRPr="009E1083">
        <w:rPr>
          <w:rFonts w:ascii="Times New Roman" w:hAnsi="Times New Roman" w:cs="Times New Roman"/>
          <w:sz w:val="26"/>
          <w:szCs w:val="26"/>
        </w:rPr>
        <w:t>Finanšu ministrijai</w:t>
      </w:r>
      <w:r w:rsidR="00E221C3" w:rsidRPr="009E1083">
        <w:rPr>
          <w:rFonts w:ascii="Times New Roman" w:hAnsi="Times New Roman" w:cs="Times New Roman"/>
          <w:sz w:val="26"/>
          <w:szCs w:val="26"/>
        </w:rPr>
        <w:t xml:space="preserve"> kopīgi ar Valsts ieņēmumu dienestu sagatavot nepieciešamos grozījumus </w:t>
      </w:r>
      <w:r w:rsidR="0007372E" w:rsidRPr="009E1083">
        <w:rPr>
          <w:rFonts w:ascii="Times New Roman" w:hAnsi="Times New Roman" w:cs="Times New Roman"/>
          <w:sz w:val="26"/>
          <w:szCs w:val="26"/>
        </w:rPr>
        <w:lastRenderedPageBreak/>
        <w:t xml:space="preserve">Ministru kabineta noteikumos Nr.585 „Noteikumi par grāmatvedības kārtošanu un organizāciju” </w:t>
      </w:r>
      <w:r w:rsidR="00E221C3" w:rsidRPr="009E1083">
        <w:rPr>
          <w:rFonts w:ascii="Times New Roman" w:hAnsi="Times New Roman" w:cs="Times New Roman"/>
          <w:sz w:val="26"/>
          <w:szCs w:val="26"/>
        </w:rPr>
        <w:t>iesniegšanai Ministru kabine</w:t>
      </w:r>
      <w:r>
        <w:rPr>
          <w:rFonts w:ascii="Times New Roman" w:hAnsi="Times New Roman" w:cs="Times New Roman"/>
          <w:sz w:val="26"/>
          <w:szCs w:val="26"/>
        </w:rPr>
        <w:t>tā līdz 2011. gada marta beigām;</w:t>
      </w:r>
    </w:p>
    <w:p w:rsidR="009E1083" w:rsidRPr="009E1083" w:rsidRDefault="009E1083" w:rsidP="009E1083">
      <w:pPr>
        <w:numPr>
          <w:ilvl w:val="0"/>
          <w:numId w:val="15"/>
        </w:numPr>
        <w:tabs>
          <w:tab w:val="clear" w:pos="720"/>
        </w:tabs>
        <w:spacing w:after="12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2011.gada 1.janvārī stājās spēkā grozījumi likumā „Par pievienotās vērtības nodokli”, kas regulē fiskālā pārstāvja darbību. 2011.gadā plānots izvērtēt ieviestā regulējuma efektivitāti un izvērtēt iespējamos uzlabojumus;</w:t>
      </w:r>
    </w:p>
    <w:p w:rsidR="00E221C3" w:rsidRPr="009E1083" w:rsidRDefault="009E1083" w:rsidP="009E1083">
      <w:pPr>
        <w:numPr>
          <w:ilvl w:val="0"/>
          <w:numId w:val="15"/>
        </w:numPr>
        <w:tabs>
          <w:tab w:val="clear" w:pos="72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r</w:t>
      </w:r>
      <w:r w:rsidR="00E221C3" w:rsidRPr="009E1083">
        <w:rPr>
          <w:rFonts w:ascii="Times New Roman" w:hAnsi="Times New Roman" w:cs="Times New Roman"/>
          <w:sz w:val="26"/>
          <w:szCs w:val="26"/>
        </w:rPr>
        <w:t>indu regulēšana</w:t>
      </w:r>
      <w:r w:rsidRPr="009E1083">
        <w:rPr>
          <w:rFonts w:ascii="Times New Roman" w:hAnsi="Times New Roman" w:cs="Times New Roman"/>
          <w:sz w:val="26"/>
          <w:szCs w:val="26"/>
        </w:rPr>
        <w:t xml:space="preserve"> </w:t>
      </w:r>
      <w:r>
        <w:rPr>
          <w:rFonts w:ascii="Times New Roman" w:hAnsi="Times New Roman" w:cs="Times New Roman"/>
          <w:sz w:val="26"/>
          <w:szCs w:val="26"/>
        </w:rPr>
        <w:t>- l</w:t>
      </w:r>
      <w:r w:rsidR="0075389F" w:rsidRPr="009E1083">
        <w:rPr>
          <w:rFonts w:ascii="Times New Roman" w:hAnsi="Times New Roman" w:cs="Times New Roman"/>
          <w:sz w:val="26"/>
          <w:szCs w:val="26"/>
        </w:rPr>
        <w:t xml:space="preserve">ai uzlabotu situāciju ar kravu transportlīdzekļu kustību pāri Latvijas – Krievijas robežai un mazinātu rindu veidošanos, </w:t>
      </w:r>
      <w:r w:rsidR="00E221C3" w:rsidRPr="009E1083">
        <w:rPr>
          <w:rFonts w:ascii="Times New Roman" w:hAnsi="Times New Roman" w:cs="Times New Roman"/>
          <w:sz w:val="26"/>
          <w:szCs w:val="26"/>
        </w:rPr>
        <w:t>Iekšlietu ministrija kopīgi ar Valsts robežsardzi ir sagatavojusi informatīvo ziņojumu „Par transportlīdzekļu rindu jautājumu uz Latvijas – Krievijas robežas”, kas ir izsludināts Vals</w:t>
      </w:r>
      <w:r w:rsidR="00F7083D" w:rsidRPr="009E1083">
        <w:rPr>
          <w:rFonts w:ascii="Times New Roman" w:hAnsi="Times New Roman" w:cs="Times New Roman"/>
          <w:sz w:val="26"/>
          <w:szCs w:val="26"/>
        </w:rPr>
        <w:t>ts sekretāru sanāksmē, š.g. 17.</w:t>
      </w:r>
      <w:r w:rsidR="00E221C3" w:rsidRPr="009E1083">
        <w:rPr>
          <w:rFonts w:ascii="Times New Roman" w:hAnsi="Times New Roman" w:cs="Times New Roman"/>
          <w:sz w:val="26"/>
          <w:szCs w:val="26"/>
        </w:rPr>
        <w:t>februārī (VSS-167)</w:t>
      </w:r>
      <w:r w:rsidR="0075389F" w:rsidRPr="009E1083">
        <w:rPr>
          <w:rFonts w:ascii="Times New Roman" w:hAnsi="Times New Roman" w:cs="Times New Roman"/>
          <w:sz w:val="26"/>
          <w:szCs w:val="26"/>
        </w:rPr>
        <w:t>.</w:t>
      </w:r>
      <w:r w:rsidR="00E221C3" w:rsidRPr="009E1083">
        <w:rPr>
          <w:rFonts w:ascii="Times New Roman" w:hAnsi="Times New Roman" w:cs="Times New Roman"/>
          <w:sz w:val="26"/>
          <w:szCs w:val="26"/>
        </w:rPr>
        <w:t xml:space="preserve"> </w:t>
      </w:r>
      <w:r>
        <w:rPr>
          <w:rFonts w:ascii="Times New Roman" w:hAnsi="Times New Roman" w:cs="Times New Roman"/>
          <w:sz w:val="26"/>
          <w:szCs w:val="26"/>
        </w:rPr>
        <w:t xml:space="preserve">Informatīvajam ziņojumam pievienotais Ministru kabineta protokollēmums paredz risināt jautājumu par </w:t>
      </w:r>
      <w:r w:rsidRPr="009E1083">
        <w:rPr>
          <w:rFonts w:ascii="Times New Roman" w:hAnsi="Times New Roman" w:cs="Times New Roman"/>
          <w:sz w:val="26"/>
          <w:szCs w:val="26"/>
        </w:rPr>
        <w:t>kravas transportlīdzekļu rindas valsts robežas šķērsošanai organizēšanas kārtību</w:t>
      </w:r>
      <w:r>
        <w:rPr>
          <w:rFonts w:ascii="Times New Roman" w:hAnsi="Times New Roman" w:cs="Times New Roman"/>
          <w:sz w:val="26"/>
          <w:szCs w:val="26"/>
        </w:rPr>
        <w:t>.</w:t>
      </w:r>
    </w:p>
    <w:p w:rsidR="00616909" w:rsidRDefault="00616909" w:rsidP="002B55B7">
      <w:pPr>
        <w:spacing w:after="0" w:line="240" w:lineRule="auto"/>
        <w:jc w:val="both"/>
        <w:rPr>
          <w:rFonts w:ascii="Times New Roman" w:hAnsi="Times New Roman" w:cs="Times New Roman"/>
          <w:sz w:val="26"/>
          <w:szCs w:val="26"/>
          <w:u w:val="single"/>
        </w:rPr>
      </w:pPr>
    </w:p>
    <w:p w:rsidR="00E221C3" w:rsidRPr="00E221C3" w:rsidRDefault="00E221C3" w:rsidP="009E1083">
      <w:pPr>
        <w:spacing w:after="120" w:line="240" w:lineRule="auto"/>
        <w:jc w:val="both"/>
        <w:rPr>
          <w:rFonts w:ascii="Times New Roman" w:hAnsi="Times New Roman" w:cs="Times New Roman"/>
          <w:sz w:val="26"/>
          <w:szCs w:val="26"/>
          <w:u w:val="single"/>
        </w:rPr>
      </w:pPr>
      <w:r w:rsidRPr="00E221C3">
        <w:rPr>
          <w:rFonts w:ascii="Times New Roman" w:hAnsi="Times New Roman" w:cs="Times New Roman"/>
          <w:sz w:val="26"/>
          <w:szCs w:val="26"/>
          <w:u w:val="single"/>
        </w:rPr>
        <w:t>Publicitāte, starptautiskās aktivitātes</w:t>
      </w:r>
      <w:r>
        <w:rPr>
          <w:rFonts w:ascii="Times New Roman" w:hAnsi="Times New Roman" w:cs="Times New Roman"/>
          <w:sz w:val="26"/>
          <w:szCs w:val="26"/>
          <w:u w:val="single"/>
        </w:rPr>
        <w:t>:</w:t>
      </w:r>
    </w:p>
    <w:p w:rsidR="00E221C3" w:rsidRPr="00E221C3" w:rsidRDefault="00143ADB" w:rsidP="00143ADB">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2011.</w:t>
      </w:r>
      <w:r w:rsidR="00E221C3" w:rsidRPr="00E221C3">
        <w:rPr>
          <w:rFonts w:ascii="Times New Roman" w:hAnsi="Times New Roman" w:cs="Times New Roman"/>
          <w:sz w:val="26"/>
          <w:szCs w:val="26"/>
        </w:rPr>
        <w:t>gadā transporta un loģistikas nozares uzņēmumi, lai veicinātu savu piedāvāto pakalpojumu atpazīstamību un izmantošanu plāno piedalīties 4-5 starptautiskās nozares izstādēs, NVS un  ES valstīs. Dalība izstādēs tiek organizēta ar Latvijas Ostu, tranzīta un loģistikas padomes sekretariāta – informācijas centra atbalstu. Uzņēmumi izstādē piedalās kopējā Latvijas nacionālajā stendā</w:t>
      </w:r>
      <w:r w:rsidR="009E1083">
        <w:rPr>
          <w:rFonts w:ascii="Times New Roman" w:hAnsi="Times New Roman" w:cs="Times New Roman"/>
          <w:sz w:val="26"/>
          <w:szCs w:val="26"/>
        </w:rPr>
        <w:t>:</w:t>
      </w:r>
    </w:p>
    <w:p w:rsidR="00E221C3" w:rsidRDefault="00143ADB" w:rsidP="009E1083">
      <w:pPr>
        <w:pStyle w:val="ListParagraph"/>
        <w:numPr>
          <w:ilvl w:val="0"/>
          <w:numId w:val="35"/>
        </w:numPr>
        <w:spacing w:after="60" w:line="240" w:lineRule="auto"/>
        <w:ind w:left="284" w:hanging="284"/>
        <w:jc w:val="both"/>
        <w:rPr>
          <w:rFonts w:ascii="Times New Roman" w:hAnsi="Times New Roman" w:cs="Times New Roman"/>
          <w:sz w:val="26"/>
          <w:szCs w:val="26"/>
        </w:rPr>
      </w:pPr>
      <w:r w:rsidRPr="009E1083">
        <w:rPr>
          <w:rFonts w:ascii="Times New Roman" w:hAnsi="Times New Roman" w:cs="Times New Roman"/>
          <w:sz w:val="26"/>
          <w:szCs w:val="26"/>
        </w:rPr>
        <w:t>2011.gada 26.-29.</w:t>
      </w:r>
      <w:r w:rsidR="00E221C3" w:rsidRPr="009E1083">
        <w:rPr>
          <w:rFonts w:ascii="Times New Roman" w:hAnsi="Times New Roman" w:cs="Times New Roman"/>
          <w:sz w:val="26"/>
          <w:szCs w:val="26"/>
        </w:rPr>
        <w:t xml:space="preserve">aprīlī Maskavā notiks izstāde </w:t>
      </w:r>
      <w:r w:rsidR="00E221C3" w:rsidRPr="009E1083">
        <w:rPr>
          <w:rFonts w:ascii="Times New Roman" w:hAnsi="Times New Roman" w:cs="Times New Roman"/>
          <w:i/>
          <w:iCs/>
          <w:sz w:val="26"/>
          <w:szCs w:val="26"/>
        </w:rPr>
        <w:t>TransRussia 2011</w:t>
      </w:r>
      <w:r w:rsidR="00E221C3" w:rsidRPr="009E1083">
        <w:rPr>
          <w:rFonts w:ascii="Times New Roman" w:hAnsi="Times New Roman" w:cs="Times New Roman"/>
          <w:sz w:val="26"/>
          <w:szCs w:val="26"/>
        </w:rPr>
        <w:t>, kurā Latvijas nacionālajā stendā plāno piedalīties 25 uzņēmumi, Krievija ir viens no būtiskākajiem Latvijas transporta uzņēmumu sa</w:t>
      </w:r>
      <w:r w:rsidR="009E1083">
        <w:rPr>
          <w:rFonts w:ascii="Times New Roman" w:hAnsi="Times New Roman" w:cs="Times New Roman"/>
          <w:sz w:val="26"/>
          <w:szCs w:val="26"/>
        </w:rPr>
        <w:t>darbības partneriem NVS valstīs;</w:t>
      </w:r>
    </w:p>
    <w:p w:rsidR="009E1083" w:rsidRDefault="009E1083" w:rsidP="009E1083">
      <w:pPr>
        <w:pStyle w:val="ListParagraph"/>
        <w:numPr>
          <w:ilvl w:val="0"/>
          <w:numId w:val="35"/>
        </w:numPr>
        <w:spacing w:after="6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2011.gada 10.-13.</w:t>
      </w:r>
      <w:r w:rsidRPr="00E221C3">
        <w:rPr>
          <w:rFonts w:ascii="Times New Roman" w:hAnsi="Times New Roman" w:cs="Times New Roman"/>
          <w:sz w:val="26"/>
          <w:szCs w:val="26"/>
        </w:rPr>
        <w:t xml:space="preserve">maijā Minhenē notiks pasaulē lielākā starptautiskā transporta un loģistikas izstāde </w:t>
      </w:r>
      <w:r w:rsidRPr="00E221C3">
        <w:rPr>
          <w:rFonts w:ascii="Times New Roman" w:hAnsi="Times New Roman" w:cs="Times New Roman"/>
          <w:i/>
          <w:iCs/>
          <w:sz w:val="26"/>
          <w:szCs w:val="26"/>
        </w:rPr>
        <w:t>Transport&amp;Logistics 2011</w:t>
      </w:r>
      <w:r w:rsidRPr="00E221C3">
        <w:rPr>
          <w:rFonts w:ascii="Times New Roman" w:hAnsi="Times New Roman" w:cs="Times New Roman"/>
          <w:sz w:val="26"/>
          <w:szCs w:val="26"/>
        </w:rPr>
        <w:t>, kurā piedalīsies ostas, VAS ”Latvijas dzelzceļš” un uzņēmumi</w:t>
      </w:r>
      <w:r>
        <w:rPr>
          <w:rFonts w:ascii="Times New Roman" w:hAnsi="Times New Roman" w:cs="Times New Roman"/>
          <w:sz w:val="26"/>
          <w:szCs w:val="26"/>
        </w:rPr>
        <w:t>;</w:t>
      </w:r>
    </w:p>
    <w:p w:rsidR="009E1083" w:rsidRDefault="009E1083" w:rsidP="009E1083">
      <w:pPr>
        <w:pStyle w:val="ListParagraph"/>
        <w:numPr>
          <w:ilvl w:val="0"/>
          <w:numId w:val="35"/>
        </w:numPr>
        <w:spacing w:after="6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s</w:t>
      </w:r>
      <w:r w:rsidRPr="00E221C3">
        <w:rPr>
          <w:rFonts w:ascii="Times New Roman" w:hAnsi="Times New Roman" w:cs="Times New Roman"/>
          <w:sz w:val="26"/>
          <w:szCs w:val="26"/>
        </w:rPr>
        <w:t>eptembrī Latvijas ostas un lielākie transporta uzņēmumi piedalīsies izstādē „</w:t>
      </w:r>
      <w:r w:rsidRPr="00E221C3">
        <w:rPr>
          <w:rFonts w:ascii="Times New Roman" w:hAnsi="Times New Roman" w:cs="Times New Roman"/>
          <w:i/>
          <w:iCs/>
          <w:sz w:val="26"/>
          <w:szCs w:val="26"/>
        </w:rPr>
        <w:t>Transit – TransKazakhstan 2011</w:t>
      </w:r>
      <w:r w:rsidRPr="00E221C3">
        <w:rPr>
          <w:rFonts w:ascii="Times New Roman" w:hAnsi="Times New Roman" w:cs="Times New Roman"/>
          <w:sz w:val="26"/>
          <w:szCs w:val="26"/>
        </w:rPr>
        <w:t>”, Kazahstānā</w:t>
      </w:r>
      <w:r>
        <w:rPr>
          <w:rFonts w:ascii="Times New Roman" w:hAnsi="Times New Roman" w:cs="Times New Roman"/>
          <w:sz w:val="26"/>
          <w:szCs w:val="26"/>
        </w:rPr>
        <w:t>;</w:t>
      </w:r>
    </w:p>
    <w:p w:rsidR="009E1083" w:rsidRPr="009E1083" w:rsidRDefault="009E1083" w:rsidP="009E1083">
      <w:pPr>
        <w:pStyle w:val="ListParagraph"/>
        <w:numPr>
          <w:ilvl w:val="0"/>
          <w:numId w:val="35"/>
        </w:numPr>
        <w:spacing w:after="60" w:line="240" w:lineRule="auto"/>
        <w:ind w:left="284" w:hanging="284"/>
        <w:jc w:val="both"/>
        <w:rPr>
          <w:rFonts w:ascii="Times New Roman" w:hAnsi="Times New Roman" w:cs="Times New Roman"/>
          <w:sz w:val="26"/>
          <w:szCs w:val="26"/>
        </w:rPr>
      </w:pPr>
      <w:r w:rsidRPr="00E221C3">
        <w:rPr>
          <w:rFonts w:ascii="Times New Roman" w:hAnsi="Times New Roman" w:cs="Times New Roman"/>
          <w:sz w:val="26"/>
          <w:szCs w:val="26"/>
        </w:rPr>
        <w:t>oktobrī Latvijas ostas un lielākie transporta uzņēmumi piedalīsies izstādē „</w:t>
      </w:r>
      <w:r w:rsidRPr="00E221C3">
        <w:rPr>
          <w:rFonts w:ascii="Times New Roman" w:hAnsi="Times New Roman" w:cs="Times New Roman"/>
          <w:i/>
          <w:iCs/>
          <w:sz w:val="26"/>
          <w:szCs w:val="26"/>
        </w:rPr>
        <w:t>Transports un Loģistika 2011</w:t>
      </w:r>
      <w:r w:rsidRPr="00E221C3">
        <w:rPr>
          <w:rFonts w:ascii="Times New Roman" w:hAnsi="Times New Roman" w:cs="Times New Roman"/>
          <w:sz w:val="26"/>
          <w:szCs w:val="26"/>
        </w:rPr>
        <w:t>”, Baltkrievijā</w:t>
      </w:r>
      <w:r>
        <w:rPr>
          <w:rFonts w:ascii="Times New Roman" w:hAnsi="Times New Roman" w:cs="Times New Roman"/>
          <w:sz w:val="26"/>
          <w:szCs w:val="26"/>
        </w:rPr>
        <w:t>.</w:t>
      </w:r>
    </w:p>
    <w:p w:rsidR="00E221C3" w:rsidRPr="00E221C3" w:rsidRDefault="00E221C3" w:rsidP="00143ADB">
      <w:pPr>
        <w:spacing w:after="60" w:line="240" w:lineRule="auto"/>
        <w:ind w:firstLine="567"/>
        <w:jc w:val="both"/>
        <w:rPr>
          <w:rFonts w:ascii="Times New Roman" w:hAnsi="Times New Roman" w:cs="Times New Roman"/>
          <w:sz w:val="26"/>
          <w:szCs w:val="26"/>
        </w:rPr>
      </w:pPr>
      <w:r w:rsidRPr="00E221C3">
        <w:rPr>
          <w:rFonts w:ascii="Times New Roman" w:hAnsi="Times New Roman" w:cs="Times New Roman"/>
          <w:sz w:val="26"/>
          <w:szCs w:val="26"/>
        </w:rPr>
        <w:t>Eksporta veicin</w:t>
      </w:r>
      <w:r w:rsidR="00143ADB">
        <w:rPr>
          <w:rFonts w:ascii="Times New Roman" w:hAnsi="Times New Roman" w:cs="Times New Roman"/>
          <w:sz w:val="26"/>
          <w:szCs w:val="26"/>
        </w:rPr>
        <w:t>āšanas mērķu sasniegšanai 2011.</w:t>
      </w:r>
      <w:r w:rsidRPr="00E221C3">
        <w:rPr>
          <w:rFonts w:ascii="Times New Roman" w:hAnsi="Times New Roman" w:cs="Times New Roman"/>
          <w:sz w:val="26"/>
          <w:szCs w:val="26"/>
        </w:rPr>
        <w:t xml:space="preserve">gadā tiek plānotas uzstāšanās starptautiskajās konferencēs, dalība tirdzniecības misijās, ienākošās un izejošās Latvijas un ārvalstu speciālistu vizītēs, publikācijas starptautiskos izdevumos. Notiek darbs ar ārvalstu vēstniecībām Latvijā un informācijas izplatīšana caur Latvijas vēstniecībām ārvalstīs, gatavojot katrai noteiktai auditorijai konkrētu piedāvājumu. </w:t>
      </w:r>
    </w:p>
    <w:p w:rsidR="00E221C3" w:rsidRPr="00E221C3" w:rsidRDefault="00E221C3" w:rsidP="00143ADB">
      <w:pPr>
        <w:spacing w:after="60" w:line="240" w:lineRule="auto"/>
        <w:ind w:firstLine="567"/>
        <w:jc w:val="both"/>
        <w:rPr>
          <w:rFonts w:ascii="Times New Roman" w:hAnsi="Times New Roman" w:cs="Times New Roman"/>
          <w:sz w:val="26"/>
          <w:szCs w:val="26"/>
        </w:rPr>
      </w:pPr>
      <w:r w:rsidRPr="00E221C3">
        <w:rPr>
          <w:rFonts w:ascii="Times New Roman" w:hAnsi="Times New Roman" w:cs="Times New Roman"/>
          <w:sz w:val="26"/>
          <w:szCs w:val="26"/>
        </w:rPr>
        <w:t xml:space="preserve">Šobrīd notiek aktīvs darbs ar Turciju, lai konteinervilcienam „Zubr” piesaistītu jaunas kravas. Ukrainas Dzelzceļa administrācija ir pievienojusies „Zubr” projektam un plānots, ka vilciens nākotnē konteineru kravas nogādās uz/no Odesas un Iļjičevskas ostām. Notiek sarunas ar Ukrainas un Baltkrievijas kolēģiem par jaunu kravu piesaistīšanu. Interesi par kravu nogādāšanu uz/no Skandināvijas izrāda Turcija. Šā gada marta vidū Rīgā notiks sarunas ar Turcijas </w:t>
      </w:r>
      <w:r w:rsidRPr="00E221C3">
        <w:rPr>
          <w:rFonts w:ascii="Times New Roman" w:hAnsi="Times New Roman" w:cs="Times New Roman"/>
          <w:sz w:val="26"/>
          <w:szCs w:val="26"/>
        </w:rPr>
        <w:lastRenderedPageBreak/>
        <w:t>Transporta ministrijas amatpersonām par sadarbību kravu satiksmē no Turcijas uz Baltijas reģionu. Jaunu kravu piesaistē aktīvi strādā arī Rīgas brīvosta gan ar Turcijas, gan Zviedrijas partneriem. Nozares svarīgākie jautājumi tiek pārrunāti Starpvaldību komisiju sēdēs.</w:t>
      </w:r>
    </w:p>
    <w:p w:rsidR="00E221C3" w:rsidRPr="00E221C3" w:rsidRDefault="00E221C3" w:rsidP="00143ADB">
      <w:pPr>
        <w:spacing w:after="60" w:line="240" w:lineRule="auto"/>
        <w:ind w:firstLine="567"/>
        <w:jc w:val="both"/>
        <w:rPr>
          <w:rFonts w:ascii="Times New Roman" w:hAnsi="Times New Roman" w:cs="Times New Roman"/>
          <w:sz w:val="26"/>
          <w:szCs w:val="26"/>
        </w:rPr>
      </w:pPr>
      <w:r w:rsidRPr="00E221C3">
        <w:rPr>
          <w:rFonts w:ascii="Times New Roman" w:hAnsi="Times New Roman" w:cs="Times New Roman"/>
          <w:sz w:val="26"/>
          <w:szCs w:val="26"/>
        </w:rPr>
        <w:t xml:space="preserve">Tāpat notiek sadarbība ar Ķīnu, ar mērķi pagarināt konteinervilciena „Baltica Transit” maršrutu līdz Ķīnai un nodrošināt to ar kravām virzienā uz Latviju. </w:t>
      </w:r>
    </w:p>
    <w:p w:rsidR="00E221C3" w:rsidRPr="00E221C3" w:rsidRDefault="00143ADB" w:rsidP="00143ADB">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2010.</w:t>
      </w:r>
      <w:r w:rsidR="00E221C3" w:rsidRPr="00E221C3">
        <w:rPr>
          <w:rFonts w:ascii="Times New Roman" w:hAnsi="Times New Roman" w:cs="Times New Roman"/>
          <w:sz w:val="26"/>
          <w:szCs w:val="26"/>
        </w:rPr>
        <w:t>gada nogalē darbu ir uzsācis konteinervilciens „Rīgas Ekspresis”, kurš kravas konteineros nogādā no Latvijas uz Maskavu un atpakaļ.</w:t>
      </w:r>
    </w:p>
    <w:p w:rsidR="00F468CB" w:rsidRDefault="00F468CB" w:rsidP="002B55B7">
      <w:pPr>
        <w:spacing w:after="0" w:line="240" w:lineRule="auto"/>
        <w:jc w:val="both"/>
        <w:rPr>
          <w:rFonts w:ascii="Times New Roman" w:hAnsi="Times New Roman" w:cs="Times New Roman"/>
          <w:sz w:val="26"/>
          <w:szCs w:val="26"/>
        </w:rPr>
      </w:pPr>
    </w:p>
    <w:p w:rsidR="00EB15B5" w:rsidRPr="00E221C3" w:rsidRDefault="003B68F0" w:rsidP="002B55B7">
      <w:pPr>
        <w:spacing w:after="0" w:line="240" w:lineRule="auto"/>
        <w:jc w:val="center"/>
        <w:rPr>
          <w:rFonts w:ascii="Times New Roman" w:hAnsi="Times New Roman" w:cs="Times New Roman"/>
          <w:b/>
          <w:sz w:val="26"/>
          <w:szCs w:val="26"/>
        </w:rPr>
      </w:pPr>
      <w:r w:rsidRPr="00E221C3">
        <w:rPr>
          <w:rFonts w:ascii="Times New Roman" w:hAnsi="Times New Roman" w:cs="Times New Roman"/>
          <w:b/>
          <w:sz w:val="26"/>
          <w:szCs w:val="26"/>
        </w:rPr>
        <w:t>II</w:t>
      </w:r>
      <w:r w:rsidR="00E221C3" w:rsidRPr="00E221C3">
        <w:rPr>
          <w:rFonts w:ascii="Times New Roman" w:hAnsi="Times New Roman" w:cs="Times New Roman"/>
          <w:b/>
          <w:sz w:val="26"/>
          <w:szCs w:val="26"/>
        </w:rPr>
        <w:t>I</w:t>
      </w:r>
      <w:r w:rsidRPr="00E221C3">
        <w:rPr>
          <w:rFonts w:ascii="Times New Roman" w:hAnsi="Times New Roman" w:cs="Times New Roman"/>
          <w:b/>
          <w:sz w:val="26"/>
          <w:szCs w:val="26"/>
        </w:rPr>
        <w:t xml:space="preserve">. </w:t>
      </w:r>
      <w:r w:rsidR="00EB15B5" w:rsidRPr="00E221C3">
        <w:rPr>
          <w:rFonts w:ascii="Times New Roman" w:hAnsi="Times New Roman" w:cs="Times New Roman"/>
          <w:b/>
          <w:sz w:val="26"/>
          <w:szCs w:val="26"/>
        </w:rPr>
        <w:t>Informācija par izglītības eksportu</w:t>
      </w:r>
    </w:p>
    <w:p w:rsidR="00EB15B5" w:rsidRPr="003B68F0" w:rsidRDefault="00EB15B5" w:rsidP="002B55B7">
      <w:pPr>
        <w:autoSpaceDE w:val="0"/>
        <w:autoSpaceDN w:val="0"/>
        <w:adjustRightInd w:val="0"/>
        <w:spacing w:after="0" w:line="240" w:lineRule="auto"/>
        <w:jc w:val="both"/>
        <w:rPr>
          <w:rFonts w:ascii="Times New Roman" w:hAnsi="Times New Roman" w:cs="Times New Roman"/>
          <w:b/>
          <w:i/>
          <w:color w:val="2A2A2A"/>
          <w:sz w:val="26"/>
          <w:szCs w:val="26"/>
        </w:rPr>
      </w:pPr>
      <w:r w:rsidRPr="003B68F0">
        <w:rPr>
          <w:rStyle w:val="Emphasis"/>
          <w:rFonts w:ascii="Times New Roman" w:hAnsi="Times New Roman" w:cs="Times New Roman"/>
          <w:i w:val="0"/>
          <w:color w:val="000000"/>
          <w:sz w:val="26"/>
          <w:szCs w:val="26"/>
        </w:rPr>
        <w:tab/>
      </w:r>
      <w:r w:rsidRPr="003B68F0">
        <w:rPr>
          <w:rFonts w:ascii="Times New Roman" w:hAnsi="Times New Roman" w:cs="Times New Roman"/>
          <w:b/>
          <w:i/>
          <w:color w:val="2A2A2A"/>
          <w:sz w:val="26"/>
          <w:szCs w:val="26"/>
        </w:rPr>
        <w:t xml:space="preserve"> </w:t>
      </w:r>
    </w:p>
    <w:p w:rsidR="00EB15B5" w:rsidRPr="003B68F0" w:rsidRDefault="00EB15B5" w:rsidP="00F7083D">
      <w:pPr>
        <w:pStyle w:val="ListParagraph"/>
        <w:numPr>
          <w:ilvl w:val="0"/>
          <w:numId w:val="10"/>
        </w:numPr>
        <w:tabs>
          <w:tab w:val="left" w:pos="284"/>
        </w:tabs>
        <w:spacing w:after="120" w:line="240" w:lineRule="auto"/>
        <w:ind w:left="0" w:firstLine="0"/>
        <w:contextualSpacing w:val="0"/>
        <w:jc w:val="both"/>
        <w:rPr>
          <w:rFonts w:ascii="Times New Roman" w:hAnsi="Times New Roman" w:cs="Times New Roman"/>
          <w:b/>
          <w:bCs/>
          <w:sz w:val="26"/>
          <w:szCs w:val="26"/>
        </w:rPr>
      </w:pPr>
      <w:r w:rsidRPr="003B68F0">
        <w:rPr>
          <w:rFonts w:ascii="Times New Roman" w:hAnsi="Times New Roman" w:cs="Times New Roman"/>
          <w:b/>
          <w:bCs/>
          <w:sz w:val="26"/>
          <w:szCs w:val="26"/>
        </w:rPr>
        <w:t>Kādi ir augstākās izglītības eksporta mērķi, galvenie pakalpojumu veidi, atbildīgās institūcijas?</w:t>
      </w:r>
    </w:p>
    <w:p w:rsidR="00EB15B5" w:rsidRPr="003B68F0" w:rsidRDefault="00EB15B5" w:rsidP="00F7083D">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Augstākās izglītības eksporta mērķi ir veicināt Latvijas augstākās izglītības konkurētspēju un internacionalizāciju, piesaistīt ārvalstu studentus un pasniedzējus, sekmēt starptautisko sadarbību kopumā. Latvijas a</w:t>
      </w:r>
      <w:r w:rsidRPr="003B68F0">
        <w:rPr>
          <w:rFonts w:ascii="Times New Roman" w:hAnsi="Times New Roman" w:cs="Times New Roman"/>
          <w:bCs/>
          <w:sz w:val="26"/>
          <w:szCs w:val="26"/>
        </w:rPr>
        <w:t xml:space="preserve">ugstākās izglītības internacionalizācijas un eksportspējas veicināšanas pasākumi ir </w:t>
      </w:r>
      <w:r w:rsidRPr="003B68F0">
        <w:rPr>
          <w:rFonts w:ascii="Times New Roman" w:hAnsi="Times New Roman" w:cs="Times New Roman"/>
          <w:sz w:val="26"/>
          <w:szCs w:val="26"/>
        </w:rPr>
        <w:t xml:space="preserve">atspoguļoti </w:t>
      </w:r>
      <w:r w:rsidRPr="009E1083">
        <w:rPr>
          <w:rFonts w:ascii="Times New Roman" w:hAnsi="Times New Roman" w:cs="Times New Roman"/>
          <w:b/>
          <w:sz w:val="26"/>
          <w:szCs w:val="26"/>
        </w:rPr>
        <w:t>„Pasākumu plānā nepieciešamajām reformām augstākajā izglītībā un zinātnē 2010.–2012.gadam”</w:t>
      </w:r>
      <w:r w:rsidRPr="003B68F0">
        <w:rPr>
          <w:rFonts w:ascii="Times New Roman" w:hAnsi="Times New Roman" w:cs="Times New Roman"/>
          <w:sz w:val="26"/>
          <w:szCs w:val="26"/>
        </w:rPr>
        <w:t xml:space="preserve"> (Ministru kabineta 2010.gada 5.augusta rīkojums Nr.458). Saskaņā ar minēto plānu Latvijas augstākās izglītības eksportspējas veicināšana ir viens no četriem rīcības virzieniem Latvijas augstākās izglītības starptautiskās konkurētspējas paaugstināšanai. </w:t>
      </w:r>
    </w:p>
    <w:p w:rsidR="00EB15B5" w:rsidRPr="003B68F0" w:rsidRDefault="00EB15B5" w:rsidP="00F7083D">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 xml:space="preserve">Saskaņā ar Informatīvo ziņojumu „Par nepieciešamajām strukturālajām reformām augstākajā izglītībā un zinātnē Latvijas starptautiskās konkurētspējas paaugstināšanai” (apstiprināts </w:t>
      </w:r>
      <w:r w:rsidR="00274947" w:rsidRPr="00E221C3">
        <w:rPr>
          <w:rFonts w:ascii="Times New Roman" w:hAnsi="Times New Roman" w:cs="Times New Roman"/>
          <w:sz w:val="26"/>
          <w:szCs w:val="26"/>
        </w:rPr>
        <w:t xml:space="preserve">Ministru kabineta </w:t>
      </w:r>
      <w:r w:rsidRPr="003B68F0">
        <w:rPr>
          <w:rFonts w:ascii="Times New Roman" w:hAnsi="Times New Roman" w:cs="Times New Roman"/>
          <w:sz w:val="26"/>
          <w:szCs w:val="26"/>
        </w:rPr>
        <w:t xml:space="preserve">2010.gada 12.janvārī) 2015.gadā ir jāsasniedz sekojošs rezultatīvais rādītājs – augstākās izglītības kvalifikācijas studijām iebraukušo studentu īpatsvars sasniedz vairāk kā 10% </w:t>
      </w:r>
      <w:r w:rsidR="0075389F">
        <w:rPr>
          <w:rFonts w:ascii="Times New Roman" w:hAnsi="Times New Roman" w:cs="Times New Roman"/>
          <w:sz w:val="26"/>
          <w:szCs w:val="26"/>
        </w:rPr>
        <w:t xml:space="preserve">no </w:t>
      </w:r>
      <w:r w:rsidRPr="003B68F0">
        <w:rPr>
          <w:rFonts w:ascii="Times New Roman" w:hAnsi="Times New Roman" w:cs="Times New Roman"/>
          <w:sz w:val="26"/>
          <w:szCs w:val="26"/>
        </w:rPr>
        <w:t>visiem Latvijas augstākās izglītības institūciju studentiem.</w:t>
      </w:r>
    </w:p>
    <w:p w:rsidR="00EB15B5" w:rsidRPr="003B68F0" w:rsidRDefault="00EB15B5" w:rsidP="00F7083D">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Kā galvenos augstākās izglītības pakalpojumu veidus var minēt:</w:t>
      </w:r>
    </w:p>
    <w:p w:rsidR="00EB15B5" w:rsidRPr="003B68F0" w:rsidRDefault="00F7083D" w:rsidP="009E1083">
      <w:pPr>
        <w:numPr>
          <w:ilvl w:val="0"/>
          <w:numId w:val="36"/>
        </w:numPr>
        <w:spacing w:after="2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s</w:t>
      </w:r>
      <w:r w:rsidR="00EB15B5" w:rsidRPr="003B68F0">
        <w:rPr>
          <w:rFonts w:ascii="Times New Roman" w:hAnsi="Times New Roman" w:cs="Times New Roman"/>
          <w:sz w:val="26"/>
          <w:szCs w:val="26"/>
        </w:rPr>
        <w:t>tudiju programmu piedāvājumu angļu valodā un citās svešvalodās;</w:t>
      </w:r>
    </w:p>
    <w:p w:rsidR="00EB15B5" w:rsidRPr="003B68F0" w:rsidRDefault="00F7083D" w:rsidP="009E1083">
      <w:pPr>
        <w:numPr>
          <w:ilvl w:val="0"/>
          <w:numId w:val="36"/>
        </w:numPr>
        <w:spacing w:after="2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k</w:t>
      </w:r>
      <w:r w:rsidR="00EB15B5" w:rsidRPr="003B68F0">
        <w:rPr>
          <w:rFonts w:ascii="Times New Roman" w:hAnsi="Times New Roman" w:cs="Times New Roman"/>
          <w:sz w:val="26"/>
          <w:szCs w:val="26"/>
        </w:rPr>
        <w:t>opēju studiju programmu īstenošanu ar ārvalstu augstskolām un kopēju grādu un kvalifikāciju piešķiršanu;</w:t>
      </w:r>
    </w:p>
    <w:p w:rsidR="00EB15B5" w:rsidRPr="003B68F0" w:rsidRDefault="00F7083D" w:rsidP="009E1083">
      <w:pPr>
        <w:numPr>
          <w:ilvl w:val="0"/>
          <w:numId w:val="36"/>
        </w:numPr>
        <w:spacing w:after="2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s</w:t>
      </w:r>
      <w:r w:rsidR="00EB15B5" w:rsidRPr="003B68F0">
        <w:rPr>
          <w:rFonts w:ascii="Times New Roman" w:hAnsi="Times New Roman" w:cs="Times New Roman"/>
          <w:sz w:val="26"/>
          <w:szCs w:val="26"/>
        </w:rPr>
        <w:t>tipendiju piešķiršanu ārvalstu studentiem, pētniekiem un mācībspēkiem divpusējo un trīspusējo starpvaldību līgumu ietvaros;</w:t>
      </w:r>
    </w:p>
    <w:p w:rsidR="00EB15B5" w:rsidRPr="003B68F0" w:rsidRDefault="00F7083D" w:rsidP="009E1083">
      <w:pPr>
        <w:numPr>
          <w:ilvl w:val="0"/>
          <w:numId w:val="36"/>
        </w:numPr>
        <w:spacing w:after="2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d</w:t>
      </w:r>
      <w:r w:rsidR="00EB15B5" w:rsidRPr="003B68F0">
        <w:rPr>
          <w:rFonts w:ascii="Times New Roman" w:hAnsi="Times New Roman" w:cs="Times New Roman"/>
          <w:sz w:val="26"/>
          <w:szCs w:val="26"/>
        </w:rPr>
        <w:t xml:space="preserve">alības nodrošināšanu </w:t>
      </w:r>
      <w:r w:rsidR="00274947">
        <w:rPr>
          <w:rFonts w:ascii="Times New Roman" w:hAnsi="Times New Roman" w:cs="Times New Roman"/>
          <w:sz w:val="26"/>
          <w:szCs w:val="26"/>
        </w:rPr>
        <w:t xml:space="preserve">ES </w:t>
      </w:r>
      <w:r w:rsidR="00EB15B5" w:rsidRPr="003B68F0">
        <w:rPr>
          <w:rFonts w:ascii="Times New Roman" w:hAnsi="Times New Roman" w:cs="Times New Roman"/>
          <w:sz w:val="26"/>
          <w:szCs w:val="26"/>
        </w:rPr>
        <w:t>izglītības programmās un starptautiskos pasākumos.</w:t>
      </w:r>
    </w:p>
    <w:p w:rsidR="009E1083" w:rsidRDefault="009E1083" w:rsidP="00F7083D">
      <w:pPr>
        <w:spacing w:after="60" w:line="240" w:lineRule="auto"/>
        <w:ind w:firstLine="567"/>
        <w:jc w:val="both"/>
        <w:rPr>
          <w:rFonts w:ascii="Times New Roman" w:hAnsi="Times New Roman" w:cs="Times New Roman"/>
          <w:bCs/>
          <w:sz w:val="26"/>
          <w:szCs w:val="26"/>
        </w:rPr>
      </w:pPr>
    </w:p>
    <w:p w:rsidR="00EB15B5" w:rsidRPr="003B68F0" w:rsidRDefault="00EB15B5" w:rsidP="00F7083D">
      <w:pPr>
        <w:spacing w:after="60" w:line="240" w:lineRule="auto"/>
        <w:ind w:firstLine="567"/>
        <w:jc w:val="both"/>
        <w:rPr>
          <w:rFonts w:ascii="Times New Roman" w:hAnsi="Times New Roman" w:cs="Times New Roman"/>
          <w:bCs/>
          <w:sz w:val="26"/>
          <w:szCs w:val="26"/>
        </w:rPr>
      </w:pPr>
      <w:r w:rsidRPr="003B68F0">
        <w:rPr>
          <w:rFonts w:ascii="Times New Roman" w:hAnsi="Times New Roman" w:cs="Times New Roman"/>
          <w:bCs/>
          <w:sz w:val="26"/>
          <w:szCs w:val="26"/>
        </w:rPr>
        <w:t>Atbildīgās un iesaistītās institūcijas:</w:t>
      </w:r>
      <w:r w:rsidR="009E1083">
        <w:rPr>
          <w:rFonts w:ascii="Times New Roman" w:hAnsi="Times New Roman" w:cs="Times New Roman"/>
          <w:bCs/>
          <w:sz w:val="26"/>
          <w:szCs w:val="26"/>
        </w:rPr>
        <w:t xml:space="preserve"> </w:t>
      </w:r>
      <w:r w:rsidRPr="003B68F0">
        <w:rPr>
          <w:rFonts w:ascii="Times New Roman" w:hAnsi="Times New Roman" w:cs="Times New Roman"/>
          <w:bCs/>
          <w:sz w:val="26"/>
          <w:szCs w:val="26"/>
        </w:rPr>
        <w:t xml:space="preserve">Izglītības un zinātnes ministrija, Kultūras ministrija, Zemkopības ministrija, Veselības ministrija, Ārlietu ministrija, Rektoru padome, </w:t>
      </w:r>
      <w:r w:rsidRPr="003B68F0">
        <w:rPr>
          <w:rFonts w:ascii="Times New Roman" w:hAnsi="Times New Roman" w:cs="Times New Roman"/>
          <w:sz w:val="26"/>
          <w:szCs w:val="26"/>
        </w:rPr>
        <w:t>Akadēmiskās informācijas centrs, Augstākās izglītības kvalitātes novērtēšanas centrs, Valsts izglītības attīstības aģentūra, augstskolas.</w:t>
      </w:r>
    </w:p>
    <w:p w:rsidR="00EB15B5" w:rsidRPr="003B68F0" w:rsidRDefault="00EB15B5" w:rsidP="002B55B7">
      <w:pPr>
        <w:tabs>
          <w:tab w:val="left" w:pos="360"/>
        </w:tabs>
        <w:spacing w:after="0" w:line="240" w:lineRule="auto"/>
        <w:jc w:val="both"/>
        <w:rPr>
          <w:rFonts w:ascii="Times New Roman" w:hAnsi="Times New Roman" w:cs="Times New Roman"/>
          <w:bCs/>
          <w:sz w:val="26"/>
          <w:szCs w:val="26"/>
        </w:rPr>
      </w:pPr>
      <w:r w:rsidRPr="003B68F0">
        <w:rPr>
          <w:rFonts w:ascii="Times New Roman" w:hAnsi="Times New Roman" w:cs="Times New Roman"/>
          <w:bCs/>
          <w:sz w:val="26"/>
          <w:szCs w:val="26"/>
        </w:rPr>
        <w:tab/>
      </w:r>
      <w:r w:rsidRPr="003B68F0">
        <w:rPr>
          <w:rFonts w:ascii="Times New Roman" w:hAnsi="Times New Roman" w:cs="Times New Roman"/>
          <w:bCs/>
          <w:sz w:val="26"/>
          <w:szCs w:val="26"/>
        </w:rPr>
        <w:tab/>
      </w:r>
    </w:p>
    <w:p w:rsidR="00EB15B5" w:rsidRDefault="00EB15B5" w:rsidP="00F7083D">
      <w:pPr>
        <w:pStyle w:val="ListParagraph"/>
        <w:numPr>
          <w:ilvl w:val="0"/>
          <w:numId w:val="10"/>
        </w:numPr>
        <w:tabs>
          <w:tab w:val="left" w:pos="284"/>
        </w:tabs>
        <w:spacing w:after="120" w:line="240" w:lineRule="auto"/>
        <w:ind w:left="0" w:firstLine="0"/>
        <w:contextualSpacing w:val="0"/>
        <w:jc w:val="both"/>
        <w:rPr>
          <w:rFonts w:ascii="Times New Roman" w:hAnsi="Times New Roman" w:cs="Times New Roman"/>
          <w:b/>
          <w:bCs/>
          <w:sz w:val="26"/>
          <w:szCs w:val="26"/>
        </w:rPr>
      </w:pPr>
      <w:r w:rsidRPr="003B68F0">
        <w:rPr>
          <w:rFonts w:ascii="Times New Roman" w:hAnsi="Times New Roman" w:cs="Times New Roman"/>
          <w:b/>
          <w:bCs/>
          <w:sz w:val="26"/>
          <w:szCs w:val="26"/>
        </w:rPr>
        <w:t>Kāda ir pašreizējā situācija augstākās izglītības eksporta jomā?</w:t>
      </w:r>
    </w:p>
    <w:p w:rsidR="00EB15B5" w:rsidRPr="00F7083D" w:rsidRDefault="00EB15B5" w:rsidP="00F7083D">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lastRenderedPageBreak/>
        <w:t xml:space="preserve">Globalizācijas ietekmē arvien vairāk studentu mācās ārpus savas valsts. Dati </w:t>
      </w:r>
      <w:r w:rsidRPr="00F7083D">
        <w:rPr>
          <w:rFonts w:ascii="Times New Roman" w:hAnsi="Times New Roman" w:cs="Times New Roman"/>
          <w:sz w:val="26"/>
          <w:szCs w:val="26"/>
        </w:rPr>
        <w:t>liecina, ka pēdējo 10 gadu laikā studentu skaits pasaulē pieaudzis par 41%. Tajā pašā laikā no kopējā studentu skaita ārzemēs studē maz – tikai 1,8%</w:t>
      </w:r>
      <w:r w:rsidRPr="00F7083D">
        <w:rPr>
          <w:rFonts w:ascii="Times New Roman" w:hAnsi="Times New Roman" w:cs="Times New Roman"/>
          <w:b/>
          <w:sz w:val="26"/>
          <w:szCs w:val="26"/>
        </w:rPr>
        <w:t xml:space="preserve"> </w:t>
      </w:r>
      <w:r w:rsidR="00695A50">
        <w:rPr>
          <w:rFonts w:ascii="Times New Roman" w:hAnsi="Times New Roman" w:cs="Times New Roman"/>
          <w:sz w:val="26"/>
          <w:szCs w:val="26"/>
        </w:rPr>
        <w:t>(Latvijā 2010./2011.ak.g. – 1,9</w:t>
      </w:r>
      <w:r w:rsidRPr="00F7083D">
        <w:rPr>
          <w:rFonts w:ascii="Times New Roman" w:hAnsi="Times New Roman" w:cs="Times New Roman"/>
          <w:sz w:val="26"/>
          <w:szCs w:val="26"/>
        </w:rPr>
        <w:t>%).</w:t>
      </w:r>
      <w:r w:rsidRPr="00F7083D">
        <w:rPr>
          <w:rFonts w:ascii="Times New Roman" w:hAnsi="Times New Roman" w:cs="Times New Roman"/>
          <w:b/>
          <w:sz w:val="26"/>
          <w:szCs w:val="26"/>
        </w:rPr>
        <w:t xml:space="preserve"> </w:t>
      </w:r>
      <w:r w:rsidRPr="00F7083D">
        <w:rPr>
          <w:rFonts w:ascii="Times New Roman" w:hAnsi="Times New Roman" w:cs="Times New Roman"/>
          <w:sz w:val="26"/>
          <w:szCs w:val="26"/>
        </w:rPr>
        <w:t>Skaitliski visvairāk ārzemju studentu ir no Ķīnas, Indijas un Dienvidkorejas. Savukārt valstu konkurencē par starptautiskajiem studentiem pārliecinoši dominē 6 valstis (67% no ārvalstu studentiem), no tām pirmais trijnieks ir ASV, Lielbritānija un Francija.</w:t>
      </w:r>
    </w:p>
    <w:p w:rsidR="00EB15B5" w:rsidRPr="00F7083D" w:rsidRDefault="00EB15B5" w:rsidP="00F7083D">
      <w:pPr>
        <w:spacing w:after="60" w:line="240" w:lineRule="auto"/>
        <w:ind w:firstLine="567"/>
        <w:jc w:val="both"/>
        <w:rPr>
          <w:rFonts w:ascii="Times New Roman" w:hAnsi="Times New Roman" w:cs="Times New Roman"/>
          <w:sz w:val="26"/>
          <w:szCs w:val="26"/>
        </w:rPr>
      </w:pPr>
      <w:r w:rsidRPr="00F7083D">
        <w:rPr>
          <w:rFonts w:ascii="Times New Roman" w:hAnsi="Times New Roman" w:cs="Times New Roman"/>
          <w:sz w:val="26"/>
          <w:szCs w:val="26"/>
        </w:rPr>
        <w:t xml:space="preserve">Latvijas augstskolās un koledžās </w:t>
      </w:r>
      <w:r w:rsidRPr="009E1083">
        <w:rPr>
          <w:rFonts w:ascii="Times New Roman" w:hAnsi="Times New Roman" w:cs="Times New Roman"/>
          <w:b/>
          <w:sz w:val="26"/>
          <w:szCs w:val="26"/>
        </w:rPr>
        <w:t xml:space="preserve">šobrīd studē 1949 ārvalstu studenti no </w:t>
      </w:r>
      <w:r w:rsidRPr="009E1083">
        <w:rPr>
          <w:rFonts w:ascii="Times New Roman" w:hAnsi="Times New Roman" w:cs="Times New Roman"/>
          <w:b/>
          <w:bCs/>
          <w:sz w:val="26"/>
          <w:szCs w:val="26"/>
        </w:rPr>
        <w:t>62 pasaules valstīm</w:t>
      </w:r>
      <w:r w:rsidRPr="009E1083">
        <w:rPr>
          <w:rFonts w:ascii="Times New Roman" w:hAnsi="Times New Roman" w:cs="Times New Roman"/>
          <w:b/>
          <w:sz w:val="26"/>
          <w:szCs w:val="26"/>
        </w:rPr>
        <w:t>, kas ir par 234 studentiem vairāk, nekā iepriekšējā studiju gadā</w:t>
      </w:r>
      <w:r w:rsidRPr="00F7083D">
        <w:rPr>
          <w:rFonts w:ascii="Times New Roman" w:hAnsi="Times New Roman" w:cs="Times New Roman"/>
          <w:sz w:val="26"/>
          <w:szCs w:val="26"/>
        </w:rPr>
        <w:t>. Jāatzīmē, ka kopējais studējošo skaits šajā studiju gadā salīdzinājumā ar iepriekšējo gadu ir samazinājies par 8%, savukārt ārvalstu  studentu skaits un</w:t>
      </w:r>
      <w:r w:rsidR="00843E36" w:rsidRPr="00F7083D">
        <w:rPr>
          <w:rFonts w:ascii="Times New Roman" w:hAnsi="Times New Roman" w:cs="Times New Roman"/>
          <w:sz w:val="26"/>
          <w:szCs w:val="26"/>
        </w:rPr>
        <w:t>,</w:t>
      </w:r>
      <w:r w:rsidRPr="00F7083D">
        <w:rPr>
          <w:rFonts w:ascii="Times New Roman" w:hAnsi="Times New Roman" w:cs="Times New Roman"/>
          <w:sz w:val="26"/>
          <w:szCs w:val="26"/>
        </w:rPr>
        <w:t xml:space="preserve"> līdz ar to</w:t>
      </w:r>
      <w:r w:rsidR="00843E36" w:rsidRPr="00F7083D">
        <w:rPr>
          <w:rFonts w:ascii="Times New Roman" w:hAnsi="Times New Roman" w:cs="Times New Roman"/>
          <w:sz w:val="26"/>
          <w:szCs w:val="26"/>
        </w:rPr>
        <w:t>,</w:t>
      </w:r>
      <w:r w:rsidRPr="00F7083D">
        <w:rPr>
          <w:rFonts w:ascii="Times New Roman" w:hAnsi="Times New Roman" w:cs="Times New Roman"/>
          <w:sz w:val="26"/>
          <w:szCs w:val="26"/>
        </w:rPr>
        <w:t xml:space="preserve"> arī īpatsvars kopējā s</w:t>
      </w:r>
      <w:r w:rsidR="00843E36" w:rsidRPr="00F7083D">
        <w:rPr>
          <w:rFonts w:ascii="Times New Roman" w:hAnsi="Times New Roman" w:cs="Times New Roman"/>
          <w:sz w:val="26"/>
          <w:szCs w:val="26"/>
        </w:rPr>
        <w:t>tudentu skaitā ir palielinājies.</w:t>
      </w:r>
    </w:p>
    <w:p w:rsidR="003B68F0" w:rsidRPr="009E1083" w:rsidRDefault="00EB15B5" w:rsidP="00F7083D">
      <w:pPr>
        <w:spacing w:after="60" w:line="240" w:lineRule="auto"/>
        <w:ind w:firstLine="567"/>
        <w:jc w:val="both"/>
        <w:rPr>
          <w:rFonts w:ascii="Times New Roman" w:hAnsi="Times New Roman" w:cs="Times New Roman"/>
          <w:b/>
          <w:sz w:val="26"/>
          <w:szCs w:val="26"/>
        </w:rPr>
      </w:pPr>
      <w:r w:rsidRPr="009E1083">
        <w:rPr>
          <w:rFonts w:ascii="Times New Roman" w:hAnsi="Times New Roman" w:cs="Times New Roman"/>
          <w:b/>
          <w:sz w:val="26"/>
          <w:szCs w:val="26"/>
        </w:rPr>
        <w:t>Jāatzīmē, ka ārvalstu studentu skaits Latvijā pēdējo piecu g</w:t>
      </w:r>
      <w:r w:rsidR="00695A50" w:rsidRPr="009E1083">
        <w:rPr>
          <w:rFonts w:ascii="Times New Roman" w:hAnsi="Times New Roman" w:cs="Times New Roman"/>
          <w:b/>
          <w:sz w:val="26"/>
          <w:szCs w:val="26"/>
        </w:rPr>
        <w:t>adu laikā pieaug vidēji par 6%-</w:t>
      </w:r>
      <w:r w:rsidRPr="009E1083">
        <w:rPr>
          <w:rFonts w:ascii="Times New Roman" w:hAnsi="Times New Roman" w:cs="Times New Roman"/>
          <w:b/>
          <w:sz w:val="26"/>
          <w:szCs w:val="26"/>
        </w:rPr>
        <w:t xml:space="preserve">8% gadā un to īpatsvars šobrīd veido gandrīz 2% no  kopējā studentu skaita. </w:t>
      </w:r>
    </w:p>
    <w:p w:rsidR="00EB15B5" w:rsidRPr="00F7083D" w:rsidRDefault="00EB15B5" w:rsidP="00F7083D">
      <w:pPr>
        <w:pStyle w:val="BodyTextIndent"/>
        <w:spacing w:after="60"/>
        <w:rPr>
          <w:sz w:val="26"/>
          <w:szCs w:val="26"/>
        </w:rPr>
      </w:pPr>
      <w:r w:rsidRPr="00F7083D">
        <w:rPr>
          <w:sz w:val="26"/>
          <w:szCs w:val="26"/>
        </w:rPr>
        <w:t>Latvijas augstskolu studentiem ir iespējas saņemt speciālās stipendijas, grantus un cita veida ārvalstu piedāvājumus, kas veicina studentu mobilitāti.  Ārvalstu augstskolās studējošajiem arī ir iespējas saņemt studiju kredītu.</w:t>
      </w:r>
    </w:p>
    <w:p w:rsidR="00EB15B5" w:rsidRPr="00F7083D" w:rsidRDefault="00EB15B5" w:rsidP="00F7083D">
      <w:pPr>
        <w:spacing w:after="60" w:line="240" w:lineRule="auto"/>
        <w:ind w:firstLine="567"/>
        <w:jc w:val="both"/>
        <w:rPr>
          <w:rFonts w:ascii="Times New Roman" w:hAnsi="Times New Roman" w:cs="Times New Roman"/>
          <w:sz w:val="26"/>
          <w:szCs w:val="26"/>
        </w:rPr>
      </w:pPr>
      <w:r w:rsidRPr="00F7083D">
        <w:rPr>
          <w:rFonts w:ascii="Times New Roman" w:hAnsi="Times New Roman" w:cs="Times New Roman"/>
          <w:sz w:val="26"/>
          <w:szCs w:val="26"/>
        </w:rPr>
        <w:t>Kopumā ņemot, augstskolu starptautiskā sadarbība attīstās pietiekoši labi. Plašāka starptautiskā sadarbība ir universitātēm, tomēr starptautiskā sadarbība turpina pieaugt arī juridisko personu dibinātajām augstskolām, kā arī koledžām.</w:t>
      </w:r>
    </w:p>
    <w:p w:rsidR="00EB15B5" w:rsidRPr="00F7083D" w:rsidRDefault="00EB15B5" w:rsidP="00F7083D">
      <w:pPr>
        <w:spacing w:after="60" w:line="240" w:lineRule="auto"/>
        <w:ind w:firstLine="567"/>
        <w:jc w:val="both"/>
        <w:rPr>
          <w:rFonts w:ascii="Times New Roman" w:hAnsi="Times New Roman" w:cs="Times New Roman"/>
          <w:sz w:val="26"/>
          <w:szCs w:val="26"/>
        </w:rPr>
      </w:pPr>
      <w:r w:rsidRPr="00F7083D">
        <w:rPr>
          <w:rFonts w:ascii="Times New Roman" w:hAnsi="Times New Roman" w:cs="Times New Roman"/>
          <w:sz w:val="26"/>
          <w:szCs w:val="26"/>
        </w:rPr>
        <w:t xml:space="preserve">Pēdējos gados strauji palielinās noslēgto sadarbības </w:t>
      </w:r>
      <w:smartTag w:uri="schemas-tilde-lv/tildestengine" w:element="veidnes">
        <w:smartTagPr>
          <w:attr w:name="text" w:val="līgumu"/>
          <w:attr w:name="id" w:val="-1"/>
          <w:attr w:name="baseform" w:val="līgum|s"/>
        </w:smartTagPr>
        <w:r w:rsidRPr="00F7083D">
          <w:rPr>
            <w:rFonts w:ascii="Times New Roman" w:hAnsi="Times New Roman" w:cs="Times New Roman"/>
            <w:sz w:val="26"/>
            <w:szCs w:val="26"/>
          </w:rPr>
          <w:t>līgumu</w:t>
        </w:r>
      </w:smartTag>
      <w:r w:rsidRPr="00F7083D">
        <w:rPr>
          <w:rFonts w:ascii="Times New Roman" w:hAnsi="Times New Roman" w:cs="Times New Roman"/>
          <w:sz w:val="26"/>
          <w:szCs w:val="26"/>
        </w:rPr>
        <w:t xml:space="preserve"> skaits ar ārvalstu augstskolām (pēdējo trīs gadu laikā tas ir dubultojies). 2010./2011.studiju gadā augstākās izglītības institūcijas ir noslēgušas 1300 starptautiskos līgumus par līdzdalību starptautiskajās programmās un projektos. </w:t>
      </w:r>
    </w:p>
    <w:p w:rsidR="00EB15B5" w:rsidRPr="00F7083D" w:rsidRDefault="00EB15B5" w:rsidP="00F7083D">
      <w:pPr>
        <w:spacing w:after="60" w:line="240" w:lineRule="auto"/>
        <w:ind w:firstLine="567"/>
        <w:jc w:val="both"/>
        <w:rPr>
          <w:rFonts w:ascii="Times New Roman" w:hAnsi="Times New Roman" w:cs="Times New Roman"/>
          <w:sz w:val="26"/>
          <w:szCs w:val="26"/>
        </w:rPr>
      </w:pPr>
      <w:r w:rsidRPr="00F7083D">
        <w:rPr>
          <w:rFonts w:ascii="Times New Roman" w:hAnsi="Times New Roman" w:cs="Times New Roman"/>
          <w:sz w:val="26"/>
          <w:szCs w:val="26"/>
        </w:rPr>
        <w:t xml:space="preserve">Vislielākais ārvalstu studentu skaits 2010./2011.ak.g. ir no </w:t>
      </w:r>
      <w:r w:rsidRPr="00F7083D">
        <w:rPr>
          <w:rFonts w:ascii="Times New Roman" w:hAnsi="Times New Roman" w:cs="Times New Roman"/>
          <w:bCs/>
          <w:sz w:val="26"/>
          <w:szCs w:val="26"/>
        </w:rPr>
        <w:t>Krievijas</w:t>
      </w:r>
      <w:r w:rsidRPr="00F7083D">
        <w:rPr>
          <w:rFonts w:ascii="Times New Roman" w:hAnsi="Times New Roman" w:cs="Times New Roman"/>
          <w:sz w:val="26"/>
          <w:szCs w:val="26"/>
        </w:rPr>
        <w:t xml:space="preserve"> (358 students jeb 18% no kopējā ārvalstu studentu skaita), </w:t>
      </w:r>
      <w:r w:rsidRPr="00F7083D">
        <w:rPr>
          <w:rFonts w:ascii="Times New Roman" w:hAnsi="Times New Roman" w:cs="Times New Roman"/>
          <w:bCs/>
          <w:sz w:val="26"/>
          <w:szCs w:val="26"/>
        </w:rPr>
        <w:t>Lietuvas</w:t>
      </w:r>
      <w:r w:rsidR="00695A50">
        <w:rPr>
          <w:rFonts w:ascii="Times New Roman" w:hAnsi="Times New Roman" w:cs="Times New Roman"/>
          <w:sz w:val="26"/>
          <w:szCs w:val="26"/>
        </w:rPr>
        <w:t xml:space="preserve"> (231;</w:t>
      </w:r>
      <w:r w:rsidRPr="00F7083D">
        <w:rPr>
          <w:rFonts w:ascii="Times New Roman" w:hAnsi="Times New Roman" w:cs="Times New Roman"/>
          <w:sz w:val="26"/>
          <w:szCs w:val="26"/>
        </w:rPr>
        <w:t xml:space="preserve"> 12%), </w:t>
      </w:r>
      <w:r w:rsidRPr="00F7083D">
        <w:rPr>
          <w:rFonts w:ascii="Times New Roman" w:hAnsi="Times New Roman" w:cs="Times New Roman"/>
          <w:bCs/>
          <w:sz w:val="26"/>
          <w:szCs w:val="26"/>
        </w:rPr>
        <w:t>Ukrainas</w:t>
      </w:r>
      <w:r w:rsidR="00695A50">
        <w:rPr>
          <w:rFonts w:ascii="Times New Roman" w:hAnsi="Times New Roman" w:cs="Times New Roman"/>
          <w:sz w:val="26"/>
          <w:szCs w:val="26"/>
        </w:rPr>
        <w:t xml:space="preserve"> (215;</w:t>
      </w:r>
      <w:r w:rsidRPr="00F7083D">
        <w:rPr>
          <w:rFonts w:ascii="Times New Roman" w:hAnsi="Times New Roman" w:cs="Times New Roman"/>
          <w:sz w:val="26"/>
          <w:szCs w:val="26"/>
        </w:rPr>
        <w:t xml:space="preserve"> 11%), </w:t>
      </w:r>
      <w:r w:rsidRPr="00F7083D">
        <w:rPr>
          <w:rFonts w:ascii="Times New Roman" w:hAnsi="Times New Roman" w:cs="Times New Roman"/>
          <w:bCs/>
          <w:sz w:val="26"/>
          <w:szCs w:val="26"/>
        </w:rPr>
        <w:t>Vācijas</w:t>
      </w:r>
      <w:r w:rsidR="00695A50">
        <w:rPr>
          <w:rFonts w:ascii="Times New Roman" w:hAnsi="Times New Roman" w:cs="Times New Roman"/>
          <w:sz w:val="26"/>
          <w:szCs w:val="26"/>
        </w:rPr>
        <w:t xml:space="preserve"> (152;</w:t>
      </w:r>
      <w:r w:rsidRPr="00F7083D">
        <w:rPr>
          <w:rFonts w:ascii="Times New Roman" w:hAnsi="Times New Roman" w:cs="Times New Roman"/>
          <w:sz w:val="26"/>
          <w:szCs w:val="26"/>
        </w:rPr>
        <w:t xml:space="preserve"> 8%), </w:t>
      </w:r>
      <w:r w:rsidRPr="00F7083D">
        <w:rPr>
          <w:rFonts w:ascii="Times New Roman" w:hAnsi="Times New Roman" w:cs="Times New Roman"/>
          <w:bCs/>
          <w:sz w:val="26"/>
          <w:szCs w:val="26"/>
        </w:rPr>
        <w:t>Gruzijas</w:t>
      </w:r>
      <w:r w:rsidRPr="00F7083D">
        <w:rPr>
          <w:rFonts w:ascii="Times New Roman" w:hAnsi="Times New Roman" w:cs="Times New Roman"/>
          <w:sz w:val="26"/>
          <w:szCs w:val="26"/>
        </w:rPr>
        <w:t xml:space="preserve"> (96</w:t>
      </w:r>
      <w:r w:rsidR="00695A50">
        <w:rPr>
          <w:rFonts w:ascii="Times New Roman" w:hAnsi="Times New Roman" w:cs="Times New Roman"/>
          <w:sz w:val="26"/>
          <w:szCs w:val="26"/>
        </w:rPr>
        <w:t>;</w:t>
      </w:r>
      <w:r w:rsidRPr="00F7083D">
        <w:rPr>
          <w:rFonts w:ascii="Times New Roman" w:hAnsi="Times New Roman" w:cs="Times New Roman"/>
          <w:sz w:val="26"/>
          <w:szCs w:val="26"/>
        </w:rPr>
        <w:t xml:space="preserve"> 5%).</w:t>
      </w:r>
    </w:p>
    <w:p w:rsidR="00EB15B5" w:rsidRPr="00F7083D" w:rsidRDefault="00EB15B5" w:rsidP="00F7083D">
      <w:pPr>
        <w:spacing w:after="60" w:line="240" w:lineRule="auto"/>
        <w:ind w:firstLine="567"/>
        <w:jc w:val="both"/>
        <w:rPr>
          <w:rFonts w:ascii="Times New Roman" w:hAnsi="Times New Roman" w:cs="Times New Roman"/>
          <w:sz w:val="26"/>
          <w:szCs w:val="26"/>
        </w:rPr>
      </w:pPr>
      <w:r w:rsidRPr="00F7083D">
        <w:rPr>
          <w:rFonts w:ascii="Times New Roman" w:hAnsi="Times New Roman" w:cs="Times New Roman"/>
          <w:sz w:val="26"/>
          <w:szCs w:val="26"/>
        </w:rPr>
        <w:t xml:space="preserve">Statistikas dati liecina, ka 2010./2011.akadēmiskajā gadā 53% no kopējā ārvalstu studentu skaita studiju valoda ir angļu valoda (tie ir vairāk kā 1000 valsts augstskolu ārvalstu studenti),  savukārt privātajās augstskolās un koledžās studē 920 ārvalstnieki (47% no kopējā studentu skaita), kuru studiju valoda ir krievu valoda. </w:t>
      </w:r>
    </w:p>
    <w:p w:rsidR="00EB15B5" w:rsidRPr="00F7083D" w:rsidRDefault="00EB15B5" w:rsidP="00F7083D">
      <w:pPr>
        <w:spacing w:after="60" w:line="240" w:lineRule="auto"/>
        <w:ind w:firstLine="567"/>
        <w:jc w:val="both"/>
        <w:rPr>
          <w:rFonts w:ascii="Times New Roman" w:hAnsi="Times New Roman" w:cs="Times New Roman"/>
          <w:sz w:val="26"/>
          <w:szCs w:val="26"/>
        </w:rPr>
      </w:pPr>
      <w:r w:rsidRPr="00F7083D">
        <w:rPr>
          <w:rFonts w:ascii="Times New Roman" w:hAnsi="Times New Roman" w:cs="Times New Roman"/>
          <w:sz w:val="26"/>
          <w:szCs w:val="26"/>
        </w:rPr>
        <w:t xml:space="preserve">Studenti no Eiropas Savienības valstīm sastāda apmēram 45% no kopējā ārvalstu studentu skaita, pie tam pēdējos pāris gados to īpatsvars ir strauji pieaudzis. </w:t>
      </w:r>
    </w:p>
    <w:p w:rsidR="00EB15B5" w:rsidRPr="00F7083D" w:rsidRDefault="00EB15B5" w:rsidP="00F7083D">
      <w:pPr>
        <w:spacing w:after="60" w:line="240" w:lineRule="auto"/>
        <w:ind w:firstLine="567"/>
        <w:jc w:val="both"/>
        <w:rPr>
          <w:rFonts w:ascii="Times New Roman" w:hAnsi="Times New Roman" w:cs="Times New Roman"/>
          <w:bCs/>
          <w:sz w:val="26"/>
          <w:szCs w:val="26"/>
        </w:rPr>
      </w:pPr>
      <w:r w:rsidRPr="00F7083D">
        <w:rPr>
          <w:rFonts w:ascii="Times New Roman" w:hAnsi="Times New Roman" w:cs="Times New Roman"/>
          <w:sz w:val="26"/>
          <w:szCs w:val="26"/>
        </w:rPr>
        <w:t xml:space="preserve">Vispopulārākās ārvalstu studentu vidū ir medicīnas, inženierzinātņu un </w:t>
      </w:r>
      <w:r w:rsidRPr="00F7083D">
        <w:rPr>
          <w:rFonts w:ascii="Times New Roman" w:hAnsi="Times New Roman" w:cs="Times New Roman"/>
          <w:bCs/>
          <w:sz w:val="26"/>
          <w:szCs w:val="26"/>
        </w:rPr>
        <w:t>sociālo zinātņu studiju programmas.</w:t>
      </w:r>
    </w:p>
    <w:p w:rsidR="00EB15B5" w:rsidRDefault="00EB15B5" w:rsidP="00F7083D">
      <w:pPr>
        <w:spacing w:after="60" w:line="240" w:lineRule="auto"/>
        <w:ind w:firstLine="567"/>
        <w:jc w:val="both"/>
        <w:rPr>
          <w:rFonts w:ascii="Times New Roman" w:hAnsi="Times New Roman" w:cs="Times New Roman"/>
          <w:sz w:val="26"/>
          <w:szCs w:val="26"/>
        </w:rPr>
      </w:pPr>
      <w:r w:rsidRPr="00F7083D">
        <w:rPr>
          <w:rFonts w:ascii="Times New Roman" w:hAnsi="Times New Roman" w:cs="Times New Roman"/>
          <w:sz w:val="26"/>
          <w:szCs w:val="26"/>
        </w:rPr>
        <w:t>Spēja piesaistīt ārvalstu studentus, to skaitā Rietumeiropas valstu studentus, ir ne vien instruments, ar kura palīdzību augstskolas var mēģināt izvairīties no prognozētās demogrāfiskās bedres radītajām problēmām, bet tas ir arī augstāko izglītības iestāžu zināms prestiža jautājums.</w:t>
      </w:r>
    </w:p>
    <w:p w:rsidR="003979F2" w:rsidRPr="00F7083D" w:rsidRDefault="003979F2" w:rsidP="00F7083D">
      <w:pPr>
        <w:spacing w:after="60" w:line="240" w:lineRule="auto"/>
        <w:ind w:firstLine="567"/>
        <w:jc w:val="both"/>
        <w:rPr>
          <w:rFonts w:ascii="Times New Roman" w:hAnsi="Times New Roman" w:cs="Times New Roman"/>
          <w:sz w:val="26"/>
          <w:szCs w:val="26"/>
        </w:rPr>
      </w:pPr>
    </w:p>
    <w:p w:rsidR="003B68F0" w:rsidRPr="003B68F0" w:rsidRDefault="003B68F0" w:rsidP="002B55B7">
      <w:pPr>
        <w:spacing w:after="0" w:line="240" w:lineRule="auto"/>
        <w:ind w:firstLine="720"/>
        <w:jc w:val="both"/>
        <w:rPr>
          <w:rStyle w:val="Emphasis"/>
          <w:rFonts w:ascii="Times New Roman" w:hAnsi="Times New Roman" w:cs="Times New Roman"/>
          <w:b/>
          <w:bCs/>
          <w:sz w:val="26"/>
          <w:szCs w:val="26"/>
        </w:rPr>
      </w:pPr>
    </w:p>
    <w:p w:rsidR="00EB15B5" w:rsidRPr="00E71B6A" w:rsidRDefault="00EB15B5" w:rsidP="00695A50">
      <w:pPr>
        <w:pStyle w:val="ListParagraph"/>
        <w:numPr>
          <w:ilvl w:val="0"/>
          <w:numId w:val="10"/>
        </w:numPr>
        <w:tabs>
          <w:tab w:val="left" w:pos="426"/>
        </w:tabs>
        <w:spacing w:after="120" w:line="240" w:lineRule="auto"/>
        <w:ind w:left="0" w:firstLine="0"/>
        <w:jc w:val="both"/>
        <w:rPr>
          <w:rFonts w:ascii="Times New Roman" w:hAnsi="Times New Roman" w:cs="Times New Roman"/>
          <w:b/>
          <w:bCs/>
          <w:sz w:val="26"/>
          <w:szCs w:val="26"/>
        </w:rPr>
      </w:pPr>
      <w:r w:rsidRPr="00E71B6A">
        <w:rPr>
          <w:rFonts w:ascii="Times New Roman" w:hAnsi="Times New Roman" w:cs="Times New Roman"/>
          <w:b/>
          <w:bCs/>
          <w:sz w:val="26"/>
          <w:szCs w:val="26"/>
        </w:rPr>
        <w:lastRenderedPageBreak/>
        <w:t>Kādas problēmas, šķēršļi ir augstākās izglītības eksporta sekmēšanā?</w:t>
      </w:r>
    </w:p>
    <w:p w:rsidR="00EB15B5" w:rsidRPr="003B68F0" w:rsidRDefault="00EB15B5" w:rsidP="00695A50">
      <w:pPr>
        <w:spacing w:after="60" w:line="240" w:lineRule="auto"/>
        <w:ind w:firstLine="567"/>
        <w:jc w:val="both"/>
        <w:outlineLvl w:val="0"/>
        <w:rPr>
          <w:rFonts w:ascii="Times New Roman" w:hAnsi="Times New Roman" w:cs="Times New Roman"/>
          <w:sz w:val="26"/>
          <w:szCs w:val="26"/>
        </w:rPr>
      </w:pPr>
      <w:r w:rsidRPr="003B68F0">
        <w:rPr>
          <w:rFonts w:ascii="Times New Roman" w:hAnsi="Times New Roman" w:cs="Times New Roman"/>
          <w:sz w:val="26"/>
          <w:szCs w:val="26"/>
        </w:rPr>
        <w:t>Valsts līmenī galvenais šķērslis efektīvam izglītības eksportam Latvijā ir atsevišķi normatīvie akti, kas regulē vīzu un uzturēšanās atļauju iegūšanu trešo valstu pilsoņiem.</w:t>
      </w:r>
    </w:p>
    <w:p w:rsidR="00EB15B5" w:rsidRPr="003B68F0" w:rsidRDefault="00EB15B5" w:rsidP="00695A50">
      <w:pPr>
        <w:spacing w:after="60" w:line="240" w:lineRule="auto"/>
        <w:ind w:firstLine="567"/>
        <w:jc w:val="both"/>
        <w:outlineLvl w:val="0"/>
        <w:rPr>
          <w:rFonts w:ascii="Times New Roman" w:hAnsi="Times New Roman" w:cs="Times New Roman"/>
          <w:sz w:val="26"/>
          <w:szCs w:val="26"/>
        </w:rPr>
      </w:pPr>
      <w:r w:rsidRPr="003B68F0">
        <w:rPr>
          <w:rFonts w:ascii="Times New Roman" w:hAnsi="Times New Roman" w:cs="Times New Roman"/>
          <w:sz w:val="26"/>
          <w:szCs w:val="26"/>
        </w:rPr>
        <w:t>Kopš Latvijas pievienošanās Šengenas līgumam 2007.gada 21.decembrī Latvijas robežas ir kļuvušas arī par Šengenas telpas ārējām robežām, ir paaugstinājušās prasības vīzu un uzturēšanās atļauju izsniegšanai un arī kļuvusi sarežģītāka un ilgstošāka dokumentu izskatīšana. Tas sarežģī vīzu, uzturēšanās atļauju izsniegšanu to valstu pilsoņiem, kurās nav Latvijas diplomātisko pārstāvniecību. Īpaši drošības pasākumi attiecas uz tādām valstīm kā Ēģiptes Arābu Republika, Indonēzija, Irāka, Irāna, Kenijas Republika, Šrilankas Demokrātiskā Sociālistiskā Republika, Somālija, Sudāna, Nigērija, Maroka, Tunisija, u.c. Bet tajā pašā laikā drošības faktors mums kā valstij (ņemot vērā visus Iekšlietu ministrijas paustos apsvērumus vairākās sanāksmēs, kurās apspriesta augstākās izglītības telpas internacionalizācija) ir ļoti svarīgs. Runājot par studentiem, kas iebrauc Latvijā, mēs ļoti bieži nevaram izvērtēt, kādi ir viņu patiesie iebraukšanas motīvi.</w:t>
      </w:r>
    </w:p>
    <w:p w:rsidR="00EB15B5" w:rsidRPr="003B68F0" w:rsidRDefault="00EB15B5" w:rsidP="00695A50">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 xml:space="preserve">Tā kā Latvija Boloņas procesa kontekstā ir apņēmusies likvidēt šķēršļus studentu, augstskolu mācībspēku un pētnieku mobilitātei, īpaši svarīgi ir risināt termiņuzturēšanās atļauju problēmas. Tas skar ne tikai Latvijas augstskolu sadarbību ar augstskolām Latvijai prioritārajās valstīs Eiropas kaimiņu politikas ietvaros (Gruzija, Moldova, Baltkrievija), bet arī Eiropas-Āzijas valstu sadarbības virzienā. </w:t>
      </w:r>
    </w:p>
    <w:p w:rsidR="00EB15B5" w:rsidRPr="003B68F0" w:rsidRDefault="00EB15B5" w:rsidP="00695A50">
      <w:pPr>
        <w:autoSpaceDE w:val="0"/>
        <w:autoSpaceDN w:val="0"/>
        <w:adjustRightInd w:val="0"/>
        <w:spacing w:after="60" w:line="240" w:lineRule="auto"/>
        <w:ind w:firstLine="567"/>
        <w:jc w:val="both"/>
        <w:rPr>
          <w:rFonts w:ascii="Times New Roman" w:hAnsi="Times New Roman" w:cs="Times New Roman"/>
          <w:color w:val="000000"/>
          <w:sz w:val="26"/>
          <w:szCs w:val="26"/>
          <w:lang w:eastAsia="lv-LV"/>
        </w:rPr>
      </w:pPr>
      <w:r w:rsidRPr="003B68F0">
        <w:rPr>
          <w:rFonts w:ascii="Times New Roman" w:hAnsi="Times New Roman" w:cs="Times New Roman"/>
          <w:color w:val="000000"/>
          <w:sz w:val="26"/>
          <w:szCs w:val="26"/>
          <w:lang w:eastAsia="lv-LV"/>
        </w:rPr>
        <w:t xml:space="preserve">Viens no piemēriem ir Imigrācijas likuma 23.panta pirmā daļas 10.punkts, kas nosaka, ka termiņuzturēšanās atļauju Imigrācijas likumā noteiktajā kārtībā ārzemniekam ir tiesības pieprasīt uz Latvijas Republikā akreditētas izglītības iestādes audzēkņa vai pilna laika studenta mācību laiku, bet ne ilgāk kā uz vienu gadu. Šā panta piektā daļa paredz, ka pēc 10.punktā minētā termiņa beigām ārzemnieks var atkārtoti pieprasīt uzturēšanās atļauju, ja šajos punktos minētais uzturēšanās atļaujas pieprasīšanas pamats joprojām pastāv. No minētās normas var secināt, ka termiņuzturēšanās atļauju sakarā ar studēšanu var piešķirt tikai tiem studējošajiem, kas ir pilna laika studenti. Tātad, ja persona vēlas studēt Latvijā nepilna laika studijās, tad viņam uz Imigrācijas likuma 23.panta pirmās daļas 10.punktā noteiktā pamata termiņuzturēšanās atļauju nevar izdot un šādas atļaujas izsniegšana viņam tiek atteikta. </w:t>
      </w:r>
    </w:p>
    <w:p w:rsidR="00EB15B5" w:rsidRPr="003B68F0" w:rsidRDefault="00EB15B5" w:rsidP="00695A50">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Uzskatām, ka valsts līmenī jāturpina risināt jautājums par to, kā novērst administratīvos un juridiskos šķēršļus trešo valstu studentu piesaistei Latvijā. IZM jau ir sagatavojusi priekšlikumus nepieciešamo grozījumu veikšanai spēkā esošajos normatīvajos aktos.</w:t>
      </w:r>
    </w:p>
    <w:p w:rsidR="00EB15B5" w:rsidRPr="003B68F0" w:rsidRDefault="00EB15B5" w:rsidP="00695A50">
      <w:pPr>
        <w:autoSpaceDE w:val="0"/>
        <w:autoSpaceDN w:val="0"/>
        <w:adjustRightInd w:val="0"/>
        <w:spacing w:after="60" w:line="240" w:lineRule="auto"/>
        <w:ind w:firstLine="567"/>
        <w:jc w:val="both"/>
        <w:rPr>
          <w:rFonts w:ascii="Times New Roman" w:hAnsi="Times New Roman" w:cs="Times New Roman"/>
          <w:sz w:val="26"/>
          <w:szCs w:val="26"/>
        </w:rPr>
      </w:pPr>
      <w:r w:rsidRPr="009E1083">
        <w:rPr>
          <w:rFonts w:ascii="Times New Roman" w:hAnsi="Times New Roman" w:cs="Times New Roman"/>
          <w:sz w:val="26"/>
          <w:szCs w:val="26"/>
        </w:rPr>
        <w:t xml:space="preserve">Arī </w:t>
      </w:r>
      <w:r w:rsidRPr="003B68F0">
        <w:rPr>
          <w:rFonts w:ascii="Times New Roman" w:hAnsi="Times New Roman" w:cs="Times New Roman"/>
          <w:sz w:val="26"/>
          <w:szCs w:val="26"/>
          <w:u w:val="single"/>
        </w:rPr>
        <w:t>augstskolu līmenī</w:t>
      </w:r>
      <w:r w:rsidRPr="003B68F0">
        <w:rPr>
          <w:rFonts w:ascii="Times New Roman" w:hAnsi="Times New Roman" w:cs="Times New Roman"/>
          <w:sz w:val="26"/>
          <w:szCs w:val="26"/>
        </w:rPr>
        <w:t xml:space="preserve"> pastāv atsevišķi šķēršļi efektīvam izglītības eksportam. </w:t>
      </w:r>
    </w:p>
    <w:p w:rsidR="00EB15B5" w:rsidRPr="003B68F0" w:rsidRDefault="00EB15B5" w:rsidP="00695A50">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 xml:space="preserve">Lai piesaistītu ārvalstu studentus, jābūt augstai mūsu augstskolu piedāvāto studiju programmu kvalitātei, atbilstošai videi, kurā notiek studijas, kā arī skaidriem izglītības eksporta nosacījumiem. Pašu augstskolu atbildībā ir jautājums par kvalitatīvu studiju programmu piedāvājumu svešvalodās, atbilstošu </w:t>
      </w:r>
      <w:r w:rsidRPr="003B68F0">
        <w:rPr>
          <w:rFonts w:ascii="Times New Roman" w:hAnsi="Times New Roman" w:cs="Times New Roman"/>
          <w:sz w:val="26"/>
          <w:szCs w:val="26"/>
        </w:rPr>
        <w:lastRenderedPageBreak/>
        <w:t>studiju vides nodrošinājumu ārvalstu studentiem (studentu serviss, dienesta viesnīcas, palīdzība dokumentu kārtošanā, apdrošināšana, brīvas komunikācijas iespējas u.tml.). Ne visām a</w:t>
      </w:r>
      <w:r w:rsidRPr="003B68F0">
        <w:rPr>
          <w:rFonts w:ascii="Times New Roman" w:hAnsi="Times New Roman" w:cs="Times New Roman"/>
          <w:color w:val="000000"/>
          <w:sz w:val="26"/>
          <w:szCs w:val="26"/>
        </w:rPr>
        <w:t xml:space="preserve">ugstskolām ir izstrādāta sava starptautiskās sadarbības stratēģija, skaidri definēti mērķi un noteiktas mērķa valstis, apzinot savu piedāvājumu, izceļot konkurētspējīgās priekšrocības un ieskicējot ceļus, pa kuriem ejot, izdosies sasniegt mērķi. Augstskolām sadarbībā ar valsts institūcijām aktīvāk pašām jāpievērš </w:t>
      </w:r>
      <w:r w:rsidRPr="003B68F0">
        <w:rPr>
          <w:rFonts w:ascii="Times New Roman" w:hAnsi="Times New Roman" w:cs="Times New Roman"/>
          <w:sz w:val="26"/>
          <w:szCs w:val="26"/>
        </w:rPr>
        <w:t>uzmanība augstskolas pozicionēšanai ārvalstīs, jāveido partnerattiecības ar citām Latvijas augstskolām un kopīgi jāattīsta Latvijas izglītības telpas zīmols, lai veicinātu mūsu augstskolu atpazīstamību.</w:t>
      </w:r>
    </w:p>
    <w:p w:rsidR="00EB15B5" w:rsidRDefault="00EB15B5" w:rsidP="00695A50">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Lai stimulētu augstskolas aktīvāk piesaistīt ārvalstu studentus, šobrīd Izglītības un zinātnes ministrijas sagatavotajā Informatīvā ziņojuma projektā „Par uz rezultatīvajiem rādītājiem orientētu augstākās izglītības un zinātnes finansēšanas modeli un priekšlikumiem plāna ietvaros paredzētās valsts augstākās izglītības institucionālās reformas un augstākās izglītības un zinātnes pārvaldības modeļa reformas sekmīgai īstenošanai” kā viens no augstākās izglītības institūcijas konkurētspējas raksturlielumiem, kas tiktu ņemts vērā piešķirot papildus valsts budžeta finansējumu, varētu būt ārvalstu studentu skaita īpatsvars katrā augstskolā. Līdz ar to augstskolas spēja piesaistīt ārvalstu studentus tiešā veidā ietekmēs augstskolai piešķirto papildu valsts finansējumu.</w:t>
      </w:r>
    </w:p>
    <w:p w:rsidR="002B55B7" w:rsidRPr="003B68F0" w:rsidRDefault="002B55B7" w:rsidP="002B55B7">
      <w:pPr>
        <w:spacing w:after="0" w:line="240" w:lineRule="auto"/>
        <w:jc w:val="both"/>
        <w:rPr>
          <w:rFonts w:ascii="Times New Roman" w:hAnsi="Times New Roman" w:cs="Times New Roman"/>
          <w:b/>
          <w:caps/>
          <w:sz w:val="26"/>
          <w:szCs w:val="26"/>
        </w:rPr>
      </w:pPr>
    </w:p>
    <w:p w:rsidR="00EB15B5" w:rsidRPr="00E71B6A" w:rsidRDefault="00EB15B5" w:rsidP="00695A50">
      <w:pPr>
        <w:pStyle w:val="ListParagraph"/>
        <w:numPr>
          <w:ilvl w:val="0"/>
          <w:numId w:val="10"/>
        </w:numPr>
        <w:tabs>
          <w:tab w:val="left" w:pos="284"/>
        </w:tabs>
        <w:spacing w:after="120" w:line="240" w:lineRule="auto"/>
        <w:ind w:left="0" w:firstLine="0"/>
        <w:jc w:val="both"/>
        <w:rPr>
          <w:rFonts w:ascii="Times New Roman" w:hAnsi="Times New Roman" w:cs="Times New Roman"/>
          <w:b/>
          <w:bCs/>
          <w:sz w:val="26"/>
          <w:szCs w:val="26"/>
        </w:rPr>
      </w:pPr>
      <w:r w:rsidRPr="00E71B6A">
        <w:rPr>
          <w:rFonts w:ascii="Times New Roman" w:hAnsi="Times New Roman" w:cs="Times New Roman"/>
          <w:b/>
          <w:bCs/>
          <w:sz w:val="26"/>
          <w:szCs w:val="26"/>
        </w:rPr>
        <w:t>Kādi pasākumi un sasniedzamie rezultāti plānoti 2011.gadam?</w:t>
      </w:r>
    </w:p>
    <w:p w:rsidR="00EB15B5" w:rsidRPr="003B68F0" w:rsidRDefault="00EB15B5" w:rsidP="003979F2">
      <w:pPr>
        <w:spacing w:afterLines="60" w:line="240" w:lineRule="auto"/>
        <w:ind w:firstLine="568"/>
        <w:jc w:val="both"/>
        <w:rPr>
          <w:rFonts w:ascii="Times New Roman" w:hAnsi="Times New Roman" w:cs="Times New Roman"/>
          <w:sz w:val="26"/>
          <w:szCs w:val="26"/>
        </w:rPr>
      </w:pPr>
      <w:r w:rsidRPr="003B68F0">
        <w:rPr>
          <w:rFonts w:ascii="Times New Roman" w:hAnsi="Times New Roman" w:cs="Times New Roman"/>
          <w:sz w:val="26"/>
          <w:szCs w:val="26"/>
        </w:rPr>
        <w:t>„Pasākumu plānā nepieciešamajām reformām augstākajā izglītībā un zinātnē 2010.–2012.gadam” (turpmāk – pasākumu plāns) ietvertie pasākumi tiek īstenoti sekojošos darbības virzienos:</w:t>
      </w:r>
    </w:p>
    <w:p w:rsidR="00EB15B5" w:rsidRPr="003B68F0" w:rsidRDefault="00EB15B5" w:rsidP="006F2914">
      <w:pPr>
        <w:numPr>
          <w:ilvl w:val="0"/>
          <w:numId w:val="2"/>
        </w:numPr>
        <w:spacing w:after="20" w:line="240" w:lineRule="auto"/>
        <w:ind w:left="924" w:hanging="357"/>
        <w:jc w:val="both"/>
        <w:rPr>
          <w:rFonts w:ascii="Times New Roman" w:eastAsia="SimSun" w:hAnsi="Times New Roman" w:cs="Times New Roman"/>
          <w:color w:val="000000"/>
          <w:sz w:val="26"/>
          <w:szCs w:val="26"/>
          <w:lang w:eastAsia="zh-CN"/>
        </w:rPr>
      </w:pPr>
      <w:r w:rsidRPr="003B68F0">
        <w:rPr>
          <w:rFonts w:ascii="Times New Roman" w:eastAsia="SimSun" w:hAnsi="Times New Roman" w:cs="Times New Roman"/>
          <w:color w:val="000000"/>
          <w:sz w:val="26"/>
          <w:szCs w:val="26"/>
          <w:lang w:eastAsia="zh-CN"/>
        </w:rPr>
        <w:t>divpusēju līgumu slēgšana ar trešajām valstīm par augstākās izglītības dokumentu un studijās iegūto grādu un kvalifikāciju atzīšanu;</w:t>
      </w:r>
    </w:p>
    <w:p w:rsidR="00EB15B5" w:rsidRPr="003B68F0" w:rsidRDefault="00EB15B5" w:rsidP="006F2914">
      <w:pPr>
        <w:numPr>
          <w:ilvl w:val="0"/>
          <w:numId w:val="2"/>
        </w:numPr>
        <w:spacing w:after="20" w:line="240" w:lineRule="auto"/>
        <w:ind w:left="924" w:hanging="357"/>
        <w:jc w:val="both"/>
        <w:rPr>
          <w:rFonts w:ascii="Times New Roman" w:eastAsia="SimSun" w:hAnsi="Times New Roman" w:cs="Times New Roman"/>
          <w:color w:val="000000"/>
          <w:sz w:val="26"/>
          <w:szCs w:val="26"/>
          <w:lang w:eastAsia="zh-CN"/>
        </w:rPr>
      </w:pPr>
      <w:r w:rsidRPr="003B68F0">
        <w:rPr>
          <w:rFonts w:ascii="Times New Roman" w:eastAsia="SimSun" w:hAnsi="Times New Roman" w:cs="Times New Roman"/>
          <w:color w:val="000000"/>
          <w:sz w:val="26"/>
          <w:szCs w:val="26"/>
          <w:lang w:eastAsia="zh-CN"/>
        </w:rPr>
        <w:t xml:space="preserve">Latvijas dalība starptautiskajos pasākumos ASEM </w:t>
      </w:r>
      <w:r w:rsidRPr="003B68F0">
        <w:rPr>
          <w:rFonts w:ascii="Times New Roman" w:hAnsi="Times New Roman" w:cs="Times New Roman"/>
          <w:color w:val="000000"/>
          <w:sz w:val="26"/>
          <w:szCs w:val="26"/>
        </w:rPr>
        <w:t xml:space="preserve">(Asia-Europe Meeting) </w:t>
      </w:r>
      <w:r w:rsidRPr="003B68F0">
        <w:rPr>
          <w:rFonts w:ascii="Times New Roman" w:eastAsia="SimSun" w:hAnsi="Times New Roman" w:cs="Times New Roman"/>
          <w:color w:val="000000"/>
          <w:sz w:val="26"/>
          <w:szCs w:val="26"/>
          <w:lang w:eastAsia="zh-CN"/>
        </w:rPr>
        <w:t>izglītības forumā;</w:t>
      </w:r>
    </w:p>
    <w:p w:rsidR="00EB15B5" w:rsidRPr="003B68F0" w:rsidRDefault="00EB15B5" w:rsidP="006F2914">
      <w:pPr>
        <w:numPr>
          <w:ilvl w:val="0"/>
          <w:numId w:val="2"/>
        </w:numPr>
        <w:spacing w:after="20" w:line="240" w:lineRule="auto"/>
        <w:ind w:left="924" w:hanging="357"/>
        <w:jc w:val="both"/>
        <w:rPr>
          <w:rFonts w:ascii="Times New Roman" w:hAnsi="Times New Roman" w:cs="Times New Roman"/>
          <w:color w:val="000000"/>
          <w:sz w:val="26"/>
          <w:szCs w:val="26"/>
        </w:rPr>
      </w:pPr>
      <w:r w:rsidRPr="003B68F0">
        <w:rPr>
          <w:rFonts w:ascii="Times New Roman" w:hAnsi="Times New Roman" w:cs="Times New Roman"/>
          <w:sz w:val="26"/>
          <w:szCs w:val="26"/>
        </w:rPr>
        <w:t xml:space="preserve">konsultatīva un informatīva atbalsta sniegšana Latvijas augstskolām dalībai starptautiskajās izglītības izstādēs un </w:t>
      </w:r>
      <w:r w:rsidRPr="003B68F0">
        <w:rPr>
          <w:rFonts w:ascii="Times New Roman" w:hAnsi="Times New Roman" w:cs="Times New Roman"/>
          <w:color w:val="000000"/>
          <w:sz w:val="26"/>
          <w:szCs w:val="26"/>
        </w:rPr>
        <w:t>starptautiskajos mobilitātes veicināšanas tīklos;</w:t>
      </w:r>
    </w:p>
    <w:p w:rsidR="00EB15B5" w:rsidRPr="003B68F0" w:rsidRDefault="00EB15B5" w:rsidP="006F2914">
      <w:pPr>
        <w:numPr>
          <w:ilvl w:val="0"/>
          <w:numId w:val="2"/>
        </w:numPr>
        <w:spacing w:after="20" w:line="240" w:lineRule="auto"/>
        <w:ind w:left="924" w:hanging="357"/>
        <w:jc w:val="both"/>
        <w:rPr>
          <w:rFonts w:ascii="Times New Roman" w:hAnsi="Times New Roman" w:cs="Times New Roman"/>
          <w:sz w:val="26"/>
          <w:szCs w:val="26"/>
        </w:rPr>
      </w:pPr>
      <w:r w:rsidRPr="003B68F0">
        <w:rPr>
          <w:rFonts w:ascii="Times New Roman" w:hAnsi="Times New Roman" w:cs="Times New Roman"/>
          <w:sz w:val="26"/>
          <w:szCs w:val="26"/>
        </w:rPr>
        <w:t xml:space="preserve">stipendiju nodrošināšana ārvalstu studentiem </w:t>
      </w:r>
      <w:r w:rsidRPr="003B68F0">
        <w:rPr>
          <w:rFonts w:ascii="Times New Roman" w:hAnsi="Times New Roman" w:cs="Times New Roman"/>
          <w:color w:val="000000"/>
          <w:sz w:val="26"/>
          <w:szCs w:val="26"/>
        </w:rPr>
        <w:t>pētniekiem un mācībspēkiem</w:t>
      </w:r>
      <w:r w:rsidRPr="003B68F0">
        <w:rPr>
          <w:rFonts w:ascii="Times New Roman" w:hAnsi="Times New Roman" w:cs="Times New Roman"/>
          <w:sz w:val="26"/>
          <w:szCs w:val="26"/>
        </w:rPr>
        <w:t xml:space="preserve"> starptautisko divpusējo un trīspusējo starpvaldību un starpministriju līgumu ietvaros.</w:t>
      </w:r>
    </w:p>
    <w:p w:rsidR="00EB15B5" w:rsidRPr="003B68F0" w:rsidRDefault="00EB15B5" w:rsidP="003979F2">
      <w:pPr>
        <w:spacing w:afterLines="60" w:line="240" w:lineRule="auto"/>
        <w:ind w:firstLine="568"/>
        <w:jc w:val="both"/>
        <w:rPr>
          <w:rFonts w:ascii="Times New Roman" w:hAnsi="Times New Roman" w:cs="Times New Roman"/>
          <w:sz w:val="26"/>
          <w:szCs w:val="26"/>
        </w:rPr>
      </w:pPr>
      <w:r w:rsidRPr="003B68F0">
        <w:rPr>
          <w:rFonts w:ascii="Times New Roman" w:hAnsi="Times New Roman" w:cs="Times New Roman"/>
          <w:sz w:val="26"/>
          <w:szCs w:val="26"/>
        </w:rPr>
        <w:t>Plānots, ka Pasākumu plānā iekļauto aktivitāšu</w:t>
      </w:r>
      <w:r w:rsidRPr="003B68F0">
        <w:rPr>
          <w:rFonts w:ascii="Times New Roman" w:eastAsia="SimSun" w:hAnsi="Times New Roman" w:cs="Times New Roman"/>
          <w:color w:val="000000"/>
          <w:sz w:val="26"/>
          <w:szCs w:val="26"/>
          <w:lang w:eastAsia="zh-CN"/>
        </w:rPr>
        <w:t xml:space="preserve"> īstenošanas rezultātā palielināsies Latvijas augstākās izglītības eksporta iespējas, veicinot sadarbību ne tikai ar Eiropas, bet arī ar Āzijas reģiona valstīm. </w:t>
      </w:r>
      <w:r w:rsidRPr="003B68F0">
        <w:rPr>
          <w:rFonts w:ascii="Times New Roman" w:hAnsi="Times New Roman" w:cs="Times New Roman"/>
          <w:color w:val="000000"/>
          <w:sz w:val="26"/>
          <w:szCs w:val="26"/>
        </w:rPr>
        <w:t xml:space="preserve">Tiek prognozēts, ka šo pasākumu rezultātā </w:t>
      </w:r>
      <w:r w:rsidRPr="003B68F0">
        <w:rPr>
          <w:rFonts w:ascii="Times New Roman" w:hAnsi="Times New Roman" w:cs="Times New Roman"/>
          <w:b/>
          <w:sz w:val="26"/>
          <w:szCs w:val="26"/>
        </w:rPr>
        <w:t>ārvalstu studentu īpatsvars Latvijā 2013.gadā būs pieaudzis līdz 3 % no kopējā studentu skaita</w:t>
      </w:r>
      <w:r w:rsidRPr="003B68F0">
        <w:rPr>
          <w:rFonts w:ascii="Times New Roman" w:hAnsi="Times New Roman" w:cs="Times New Roman"/>
          <w:sz w:val="26"/>
          <w:szCs w:val="26"/>
        </w:rPr>
        <w:t>.</w:t>
      </w:r>
    </w:p>
    <w:p w:rsidR="00EB15B5" w:rsidRPr="003B68F0" w:rsidRDefault="00EB15B5" w:rsidP="003979F2">
      <w:pPr>
        <w:spacing w:afterLines="60" w:line="240" w:lineRule="auto"/>
        <w:ind w:firstLine="568"/>
        <w:jc w:val="both"/>
        <w:rPr>
          <w:rFonts w:ascii="Times New Roman" w:hAnsi="Times New Roman" w:cs="Times New Roman"/>
          <w:sz w:val="26"/>
          <w:szCs w:val="26"/>
        </w:rPr>
      </w:pPr>
      <w:r w:rsidRPr="003B68F0">
        <w:rPr>
          <w:rFonts w:ascii="Times New Roman" w:hAnsi="Times New Roman" w:cs="Times New Roman"/>
          <w:i/>
          <w:sz w:val="26"/>
          <w:szCs w:val="26"/>
        </w:rPr>
        <w:t>Īstenojot pasākumu plāna pirmo darbības virzienu</w:t>
      </w:r>
      <w:r w:rsidRPr="003B68F0">
        <w:rPr>
          <w:rFonts w:ascii="Times New Roman" w:hAnsi="Times New Roman" w:cs="Times New Roman"/>
          <w:sz w:val="26"/>
          <w:szCs w:val="26"/>
        </w:rPr>
        <w:t>, 2011. gadā IZM plāno noslēgt sekojošus līgumus, kuru projektu virzība uzsākta jau 2010.gadā:</w:t>
      </w:r>
    </w:p>
    <w:p w:rsidR="00EB15B5" w:rsidRPr="003B68F0" w:rsidRDefault="006F2914" w:rsidP="006F2914">
      <w:pPr>
        <w:numPr>
          <w:ilvl w:val="0"/>
          <w:numId w:val="1"/>
        </w:numPr>
        <w:spacing w:after="2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lastRenderedPageBreak/>
        <w:t>LR</w:t>
      </w:r>
      <w:r w:rsidR="00EB15B5" w:rsidRPr="003B68F0">
        <w:rPr>
          <w:rFonts w:ascii="Times New Roman" w:hAnsi="Times New Roman" w:cs="Times New Roman"/>
          <w:sz w:val="26"/>
          <w:szCs w:val="26"/>
        </w:rPr>
        <w:t xml:space="preserve"> valdības un </w:t>
      </w:r>
      <w:r w:rsidR="00EB15B5" w:rsidRPr="003B68F0">
        <w:rPr>
          <w:rFonts w:ascii="Times New Roman" w:hAnsi="Times New Roman" w:cs="Times New Roman"/>
          <w:b/>
          <w:sz w:val="26"/>
          <w:szCs w:val="26"/>
        </w:rPr>
        <w:t>Marokas</w:t>
      </w:r>
      <w:r w:rsidR="00EB15B5" w:rsidRPr="003B68F0">
        <w:rPr>
          <w:rFonts w:ascii="Times New Roman" w:hAnsi="Times New Roman" w:cs="Times New Roman"/>
          <w:sz w:val="26"/>
          <w:szCs w:val="26"/>
        </w:rPr>
        <w:t xml:space="preserve"> Karalistes valdības līguma projekts par sadarbību kultūrā, izglītībā, zinātnē un sportā (līguma projekts nosūtīts ĀM pārsūtīšanai Marokas pusei);</w:t>
      </w:r>
    </w:p>
    <w:p w:rsidR="00EB15B5" w:rsidRPr="003B68F0" w:rsidRDefault="00EB15B5" w:rsidP="006F2914">
      <w:pPr>
        <w:numPr>
          <w:ilvl w:val="0"/>
          <w:numId w:val="1"/>
        </w:numPr>
        <w:spacing w:after="20" w:line="240" w:lineRule="auto"/>
        <w:ind w:left="851" w:hanging="284"/>
        <w:jc w:val="both"/>
        <w:rPr>
          <w:rFonts w:ascii="Times New Roman" w:hAnsi="Times New Roman" w:cs="Times New Roman"/>
          <w:sz w:val="26"/>
          <w:szCs w:val="26"/>
        </w:rPr>
      </w:pPr>
      <w:r w:rsidRPr="003B68F0">
        <w:rPr>
          <w:rFonts w:ascii="Times New Roman" w:hAnsi="Times New Roman" w:cs="Times New Roman"/>
          <w:sz w:val="26"/>
          <w:szCs w:val="26"/>
        </w:rPr>
        <w:t>LR valdības un</w:t>
      </w:r>
      <w:r w:rsidRPr="003B68F0">
        <w:rPr>
          <w:rFonts w:ascii="Times New Roman" w:hAnsi="Times New Roman" w:cs="Times New Roman"/>
          <w:b/>
          <w:sz w:val="26"/>
          <w:szCs w:val="26"/>
        </w:rPr>
        <w:t xml:space="preserve"> Malaizijas</w:t>
      </w:r>
      <w:r w:rsidRPr="003B68F0">
        <w:rPr>
          <w:rFonts w:ascii="Times New Roman" w:hAnsi="Times New Roman" w:cs="Times New Roman"/>
          <w:sz w:val="26"/>
          <w:szCs w:val="26"/>
        </w:rPr>
        <w:t xml:space="preserve"> valdības līguma projekts augstākās izglītības jomā;</w:t>
      </w:r>
    </w:p>
    <w:p w:rsidR="00EB15B5" w:rsidRPr="003B68F0" w:rsidRDefault="006F2914" w:rsidP="006F2914">
      <w:pPr>
        <w:numPr>
          <w:ilvl w:val="0"/>
          <w:numId w:val="1"/>
        </w:numPr>
        <w:spacing w:after="2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LR</w:t>
      </w:r>
      <w:r w:rsidR="00EB15B5" w:rsidRPr="003B68F0">
        <w:rPr>
          <w:rFonts w:ascii="Times New Roman" w:hAnsi="Times New Roman" w:cs="Times New Roman"/>
          <w:sz w:val="26"/>
          <w:szCs w:val="26"/>
        </w:rPr>
        <w:t xml:space="preserve"> valdības un </w:t>
      </w:r>
      <w:r w:rsidR="00EB15B5" w:rsidRPr="003B68F0">
        <w:rPr>
          <w:rFonts w:ascii="Times New Roman" w:hAnsi="Times New Roman" w:cs="Times New Roman"/>
          <w:b/>
          <w:sz w:val="26"/>
          <w:szCs w:val="26"/>
        </w:rPr>
        <w:t>Pakistānas</w:t>
      </w:r>
      <w:r w:rsidR="00EB15B5" w:rsidRPr="003B68F0">
        <w:rPr>
          <w:rFonts w:ascii="Times New Roman" w:hAnsi="Times New Roman" w:cs="Times New Roman"/>
          <w:sz w:val="26"/>
          <w:szCs w:val="26"/>
        </w:rPr>
        <w:t xml:space="preserve"> </w:t>
      </w:r>
      <w:r w:rsidR="00EB15B5" w:rsidRPr="003B68F0">
        <w:rPr>
          <w:rFonts w:ascii="Times New Roman" w:hAnsi="Times New Roman" w:cs="Times New Roman"/>
          <w:b/>
          <w:sz w:val="26"/>
          <w:szCs w:val="26"/>
        </w:rPr>
        <w:t>Islama Republikas</w:t>
      </w:r>
      <w:r w:rsidR="00EB15B5" w:rsidRPr="003B68F0">
        <w:rPr>
          <w:rFonts w:ascii="Times New Roman" w:hAnsi="Times New Roman" w:cs="Times New Roman"/>
          <w:sz w:val="26"/>
          <w:szCs w:val="26"/>
        </w:rPr>
        <w:t xml:space="preserve"> valdības saprašanās memoranda par sadarbību augstākās izglītības un zinātnes jomā projekts (no ĀM saņemti Pakistānas puses precizējumi);</w:t>
      </w:r>
    </w:p>
    <w:p w:rsidR="00EB15B5" w:rsidRPr="003B68F0" w:rsidRDefault="006F2914" w:rsidP="006F2914">
      <w:pPr>
        <w:numPr>
          <w:ilvl w:val="0"/>
          <w:numId w:val="1"/>
        </w:numPr>
        <w:spacing w:after="2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LR</w:t>
      </w:r>
      <w:r w:rsidR="00EB15B5" w:rsidRPr="003B68F0">
        <w:rPr>
          <w:rFonts w:ascii="Times New Roman" w:hAnsi="Times New Roman" w:cs="Times New Roman"/>
          <w:sz w:val="26"/>
          <w:szCs w:val="26"/>
        </w:rPr>
        <w:t xml:space="preserve"> valdības  un</w:t>
      </w:r>
      <w:r w:rsidR="00EB15B5" w:rsidRPr="003B68F0">
        <w:rPr>
          <w:rFonts w:ascii="Times New Roman" w:hAnsi="Times New Roman" w:cs="Times New Roman"/>
          <w:b/>
          <w:sz w:val="26"/>
          <w:szCs w:val="26"/>
        </w:rPr>
        <w:t xml:space="preserve"> Gruzijas </w:t>
      </w:r>
      <w:r w:rsidR="00EB15B5" w:rsidRPr="003B68F0">
        <w:rPr>
          <w:rFonts w:ascii="Times New Roman" w:hAnsi="Times New Roman" w:cs="Times New Roman"/>
          <w:sz w:val="26"/>
          <w:szCs w:val="26"/>
        </w:rPr>
        <w:t>valdības līguma projekts par sadarbību izglītības un zinātnes jomā;</w:t>
      </w:r>
    </w:p>
    <w:p w:rsidR="00EB15B5" w:rsidRPr="003B68F0" w:rsidRDefault="006F2914" w:rsidP="006F2914">
      <w:pPr>
        <w:numPr>
          <w:ilvl w:val="0"/>
          <w:numId w:val="1"/>
        </w:numPr>
        <w:spacing w:after="2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LR</w:t>
      </w:r>
      <w:r w:rsidR="00EB15B5" w:rsidRPr="003B68F0">
        <w:rPr>
          <w:rFonts w:ascii="Times New Roman" w:hAnsi="Times New Roman" w:cs="Times New Roman"/>
          <w:sz w:val="26"/>
          <w:szCs w:val="26"/>
        </w:rPr>
        <w:t xml:space="preserve"> valdības  un </w:t>
      </w:r>
      <w:r w:rsidR="00EB15B5" w:rsidRPr="003B68F0">
        <w:rPr>
          <w:rFonts w:ascii="Times New Roman" w:hAnsi="Times New Roman" w:cs="Times New Roman"/>
          <w:b/>
          <w:sz w:val="26"/>
          <w:szCs w:val="26"/>
        </w:rPr>
        <w:t>Slovēnijas</w:t>
      </w:r>
      <w:r w:rsidR="00EB15B5" w:rsidRPr="003B68F0">
        <w:rPr>
          <w:rFonts w:ascii="Times New Roman" w:hAnsi="Times New Roman" w:cs="Times New Roman"/>
          <w:sz w:val="26"/>
          <w:szCs w:val="26"/>
        </w:rPr>
        <w:t xml:space="preserve"> Republikas valdības līgums par sadarbību zinātnē un tehnoloģijā (plānots nosūtīt Slovēnijas pusei līdz šī gada novembrim);</w:t>
      </w:r>
    </w:p>
    <w:p w:rsidR="00EB15B5" w:rsidRPr="003B68F0" w:rsidRDefault="00EB15B5" w:rsidP="006F2914">
      <w:pPr>
        <w:numPr>
          <w:ilvl w:val="0"/>
          <w:numId w:val="1"/>
        </w:numPr>
        <w:spacing w:after="20" w:line="240" w:lineRule="auto"/>
        <w:ind w:left="851" w:hanging="284"/>
        <w:jc w:val="both"/>
        <w:rPr>
          <w:rFonts w:ascii="Times New Roman" w:hAnsi="Times New Roman" w:cs="Times New Roman"/>
          <w:sz w:val="26"/>
          <w:szCs w:val="26"/>
        </w:rPr>
      </w:pPr>
      <w:r w:rsidRPr="003B68F0">
        <w:rPr>
          <w:rFonts w:ascii="Times New Roman" w:hAnsi="Times New Roman" w:cs="Times New Roman"/>
          <w:sz w:val="26"/>
          <w:szCs w:val="26"/>
        </w:rPr>
        <w:t xml:space="preserve">Kultūras un izglītības sadarbības programmas starp Latvijas Republikas valdību un </w:t>
      </w:r>
      <w:r w:rsidRPr="003B68F0">
        <w:rPr>
          <w:rFonts w:ascii="Times New Roman" w:hAnsi="Times New Roman" w:cs="Times New Roman"/>
          <w:b/>
          <w:sz w:val="26"/>
          <w:szCs w:val="26"/>
        </w:rPr>
        <w:t>Polijas</w:t>
      </w:r>
      <w:r w:rsidRPr="003B68F0">
        <w:rPr>
          <w:rFonts w:ascii="Times New Roman" w:hAnsi="Times New Roman" w:cs="Times New Roman"/>
          <w:sz w:val="26"/>
          <w:szCs w:val="26"/>
        </w:rPr>
        <w:t xml:space="preserve"> Republikas valdību no 2010.-2013.gadam projekts;</w:t>
      </w:r>
    </w:p>
    <w:p w:rsidR="00EB15B5" w:rsidRPr="003B68F0" w:rsidRDefault="00EB15B5" w:rsidP="006F2914">
      <w:pPr>
        <w:numPr>
          <w:ilvl w:val="0"/>
          <w:numId w:val="1"/>
        </w:numPr>
        <w:spacing w:after="20" w:line="240" w:lineRule="auto"/>
        <w:ind w:left="851" w:hanging="284"/>
        <w:jc w:val="both"/>
        <w:rPr>
          <w:rFonts w:ascii="Times New Roman" w:hAnsi="Times New Roman" w:cs="Times New Roman"/>
          <w:sz w:val="26"/>
          <w:szCs w:val="26"/>
        </w:rPr>
      </w:pPr>
      <w:r w:rsidRPr="003B68F0">
        <w:rPr>
          <w:rFonts w:ascii="Times New Roman" w:hAnsi="Times New Roman" w:cs="Times New Roman"/>
          <w:b/>
          <w:sz w:val="26"/>
          <w:szCs w:val="26"/>
        </w:rPr>
        <w:t>Korejas</w:t>
      </w:r>
      <w:r w:rsidRPr="003B68F0">
        <w:rPr>
          <w:rFonts w:ascii="Times New Roman" w:hAnsi="Times New Roman" w:cs="Times New Roman"/>
          <w:sz w:val="26"/>
          <w:szCs w:val="26"/>
        </w:rPr>
        <w:t xml:space="preserve"> Republikas valdības un Latvijas Republikas valdības kultūras līguma projekts;</w:t>
      </w:r>
    </w:p>
    <w:p w:rsidR="00EB15B5" w:rsidRPr="003B68F0" w:rsidRDefault="006F2914" w:rsidP="006F2914">
      <w:pPr>
        <w:numPr>
          <w:ilvl w:val="0"/>
          <w:numId w:val="1"/>
        </w:numPr>
        <w:spacing w:after="2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LR</w:t>
      </w:r>
      <w:r w:rsidR="00EB15B5" w:rsidRPr="003B68F0">
        <w:rPr>
          <w:rFonts w:ascii="Times New Roman" w:hAnsi="Times New Roman" w:cs="Times New Roman"/>
          <w:sz w:val="26"/>
          <w:szCs w:val="26"/>
        </w:rPr>
        <w:t xml:space="preserve"> valdības </w:t>
      </w:r>
      <w:r w:rsidR="00EB15B5" w:rsidRPr="003B68F0">
        <w:rPr>
          <w:rFonts w:ascii="Times New Roman" w:hAnsi="Times New Roman" w:cs="Times New Roman"/>
          <w:b/>
          <w:sz w:val="26"/>
          <w:szCs w:val="26"/>
        </w:rPr>
        <w:t>Argentīnas</w:t>
      </w:r>
      <w:r w:rsidR="00EB15B5" w:rsidRPr="003B68F0">
        <w:rPr>
          <w:rFonts w:ascii="Times New Roman" w:hAnsi="Times New Roman" w:cs="Times New Roman"/>
          <w:sz w:val="26"/>
          <w:szCs w:val="26"/>
        </w:rPr>
        <w:t xml:space="preserve"> Republikas valdības līgums par sadarbību kultūrā un izglītībā projektu;</w:t>
      </w:r>
    </w:p>
    <w:p w:rsidR="00EB15B5" w:rsidRPr="003B68F0" w:rsidRDefault="00EB15B5" w:rsidP="006F2914">
      <w:pPr>
        <w:numPr>
          <w:ilvl w:val="0"/>
          <w:numId w:val="1"/>
        </w:numPr>
        <w:spacing w:after="20" w:line="240" w:lineRule="auto"/>
        <w:ind w:left="851" w:hanging="284"/>
        <w:jc w:val="both"/>
        <w:rPr>
          <w:rFonts w:ascii="Times New Roman" w:hAnsi="Times New Roman" w:cs="Times New Roman"/>
          <w:sz w:val="26"/>
          <w:szCs w:val="26"/>
        </w:rPr>
      </w:pPr>
      <w:r w:rsidRPr="003B68F0">
        <w:rPr>
          <w:rFonts w:ascii="Times New Roman" w:hAnsi="Times New Roman" w:cs="Times New Roman"/>
          <w:sz w:val="26"/>
          <w:szCs w:val="26"/>
        </w:rPr>
        <w:t xml:space="preserve">LR IZM un </w:t>
      </w:r>
      <w:r w:rsidRPr="003B68F0">
        <w:rPr>
          <w:rFonts w:ascii="Times New Roman" w:hAnsi="Times New Roman" w:cs="Times New Roman"/>
          <w:b/>
          <w:sz w:val="26"/>
          <w:szCs w:val="26"/>
        </w:rPr>
        <w:t>Kazahstānas Republikas Izglītības un zinātnes ministrijas</w:t>
      </w:r>
      <w:r w:rsidRPr="003B68F0">
        <w:rPr>
          <w:rFonts w:ascii="Times New Roman" w:hAnsi="Times New Roman" w:cs="Times New Roman"/>
          <w:sz w:val="26"/>
          <w:szCs w:val="26"/>
        </w:rPr>
        <w:t xml:space="preserve"> līgums par sadarbību izglītības jomā.</w:t>
      </w:r>
    </w:p>
    <w:p w:rsidR="00EB15B5" w:rsidRDefault="00EB15B5" w:rsidP="006F2914">
      <w:pPr>
        <w:numPr>
          <w:ilvl w:val="0"/>
          <w:numId w:val="1"/>
        </w:numPr>
        <w:spacing w:after="60" w:line="240" w:lineRule="auto"/>
        <w:ind w:left="851" w:hanging="284"/>
        <w:jc w:val="both"/>
        <w:rPr>
          <w:rFonts w:ascii="Times New Roman" w:hAnsi="Times New Roman" w:cs="Times New Roman"/>
          <w:sz w:val="26"/>
          <w:szCs w:val="26"/>
        </w:rPr>
      </w:pPr>
      <w:r w:rsidRPr="003B68F0">
        <w:rPr>
          <w:rFonts w:ascii="Times New Roman" w:hAnsi="Times New Roman" w:cs="Times New Roman"/>
          <w:sz w:val="26"/>
          <w:szCs w:val="26"/>
        </w:rPr>
        <w:t xml:space="preserve">Ievadītas sarunas ar </w:t>
      </w:r>
      <w:r w:rsidRPr="003B68F0">
        <w:rPr>
          <w:rFonts w:ascii="Times New Roman" w:hAnsi="Times New Roman" w:cs="Times New Roman"/>
          <w:b/>
          <w:sz w:val="26"/>
          <w:szCs w:val="26"/>
        </w:rPr>
        <w:t>Čehiju</w:t>
      </w:r>
      <w:r w:rsidRPr="003B68F0">
        <w:rPr>
          <w:rFonts w:ascii="Times New Roman" w:hAnsi="Times New Roman" w:cs="Times New Roman"/>
          <w:sz w:val="26"/>
          <w:szCs w:val="26"/>
        </w:rPr>
        <w:t xml:space="preserve"> par jauna līguma noslēgšanu (esošais līgums beigsies 2011.gadā. Tas ir būtiski, jo tieši ar Čehiju līguma ietvaros noris aktīva studentu apmaiņa.</w:t>
      </w:r>
    </w:p>
    <w:p w:rsidR="00EB15B5" w:rsidRPr="003B68F0" w:rsidRDefault="00EB15B5" w:rsidP="003979F2">
      <w:pPr>
        <w:spacing w:afterLines="60" w:line="240" w:lineRule="auto"/>
        <w:ind w:firstLine="709"/>
        <w:jc w:val="both"/>
        <w:rPr>
          <w:rFonts w:ascii="Times New Roman" w:hAnsi="Times New Roman" w:cs="Times New Roman"/>
          <w:sz w:val="26"/>
          <w:szCs w:val="26"/>
        </w:rPr>
      </w:pPr>
      <w:r w:rsidRPr="003B68F0">
        <w:rPr>
          <w:rFonts w:ascii="Times New Roman" w:hAnsi="Times New Roman" w:cs="Times New Roman"/>
          <w:bCs/>
          <w:i/>
          <w:sz w:val="26"/>
          <w:szCs w:val="26"/>
        </w:rPr>
        <w:t xml:space="preserve">Īstenojot pasākumu plāna 2.darbības virzienu – </w:t>
      </w:r>
      <w:r w:rsidRPr="003B68F0">
        <w:rPr>
          <w:rFonts w:ascii="Times New Roman" w:hAnsi="Times New Roman" w:cs="Times New Roman"/>
          <w:bCs/>
          <w:sz w:val="26"/>
          <w:szCs w:val="26"/>
        </w:rPr>
        <w:t xml:space="preserve">dalību </w:t>
      </w:r>
      <w:r w:rsidRPr="003B68F0">
        <w:rPr>
          <w:rFonts w:ascii="Times New Roman" w:eastAsia="SimSun" w:hAnsi="Times New Roman" w:cs="Times New Roman"/>
          <w:color w:val="000000"/>
          <w:sz w:val="26"/>
          <w:szCs w:val="26"/>
          <w:lang w:eastAsia="zh-CN"/>
        </w:rPr>
        <w:t>starptautiskajos pasākumos ASEM izglītības forumā</w:t>
      </w:r>
      <w:r w:rsidRPr="003B68F0">
        <w:rPr>
          <w:rFonts w:ascii="Times New Roman" w:eastAsia="SimSun" w:hAnsi="Times New Roman" w:cs="Times New Roman"/>
          <w:b/>
          <w:color w:val="000000"/>
          <w:sz w:val="26"/>
          <w:szCs w:val="26"/>
          <w:lang w:eastAsia="zh-CN"/>
        </w:rPr>
        <w:t>,</w:t>
      </w:r>
      <w:r w:rsidRPr="003B68F0">
        <w:rPr>
          <w:rFonts w:ascii="Times New Roman" w:hAnsi="Times New Roman" w:cs="Times New Roman"/>
          <w:b/>
          <w:bCs/>
          <w:sz w:val="26"/>
          <w:szCs w:val="26"/>
        </w:rPr>
        <w:t xml:space="preserve"> plānots, ka 2011.gada maijā Latvija piedalīsies </w:t>
      </w:r>
      <w:r w:rsidRPr="003B68F0">
        <w:rPr>
          <w:rFonts w:ascii="Times New Roman" w:hAnsi="Times New Roman" w:cs="Times New Roman"/>
          <w:b/>
          <w:color w:val="000000"/>
          <w:sz w:val="26"/>
          <w:szCs w:val="26"/>
        </w:rPr>
        <w:t>ASEM izglītības ministru konferencē Dānijā,</w:t>
      </w:r>
      <w:r w:rsidRPr="003B68F0">
        <w:rPr>
          <w:rFonts w:ascii="Times New Roman" w:hAnsi="Times New Roman" w:cs="Times New Roman"/>
          <w:color w:val="000000"/>
          <w:sz w:val="26"/>
          <w:szCs w:val="26"/>
        </w:rPr>
        <w:t xml:space="preserve"> Kopenhāgenā, kuras laikā tiks pieņemts</w:t>
      </w:r>
      <w:r w:rsidRPr="003B68F0">
        <w:rPr>
          <w:rFonts w:ascii="Times New Roman" w:hAnsi="Times New Roman" w:cs="Times New Roman"/>
          <w:sz w:val="26"/>
          <w:szCs w:val="26"/>
        </w:rPr>
        <w:t xml:space="preserve"> lēmums par to, vai Latvija 2015.gadā būs ASEM izglītības ministru konferences norises vieta. Sakarā ar to, ka 2015.gada 1.pusgadā ir plānota Latvijas prezidentūra Eiropas Savienībā, šādas konferences organizēšana veicinās Latvijas valsts un augstākās izglītības atpazīstamību pasaulē un dos iespēju piesaistīt vairāk ārvalstu studentu studijām Latvijas augstākās izglītības iestādēs. </w:t>
      </w:r>
    </w:p>
    <w:p w:rsidR="00EB15B5" w:rsidRPr="00E71B6A" w:rsidRDefault="00EB15B5" w:rsidP="003979F2">
      <w:pPr>
        <w:autoSpaceDE w:val="0"/>
        <w:autoSpaceDN w:val="0"/>
        <w:adjustRightInd w:val="0"/>
        <w:spacing w:afterLines="60" w:line="240" w:lineRule="auto"/>
        <w:ind w:firstLine="567"/>
        <w:jc w:val="both"/>
        <w:rPr>
          <w:rFonts w:ascii="Times New Roman" w:hAnsi="Times New Roman" w:cs="Times New Roman"/>
          <w:sz w:val="26"/>
          <w:szCs w:val="26"/>
        </w:rPr>
      </w:pPr>
      <w:r w:rsidRPr="003B68F0">
        <w:rPr>
          <w:rFonts w:ascii="Times New Roman" w:eastAsia="SimSun" w:hAnsi="Times New Roman" w:cs="Times New Roman"/>
          <w:color w:val="000000"/>
          <w:sz w:val="26"/>
          <w:szCs w:val="26"/>
          <w:lang w:eastAsia="zh-CN"/>
        </w:rPr>
        <w:t xml:space="preserve">Veicinot sadarbību ar </w:t>
      </w:r>
      <w:r w:rsidRPr="003B68F0">
        <w:rPr>
          <w:rFonts w:ascii="Times New Roman" w:eastAsia="SimSun" w:hAnsi="Times New Roman" w:cs="Times New Roman"/>
          <w:sz w:val="26"/>
          <w:szCs w:val="26"/>
        </w:rPr>
        <w:t>Āzijas valstīm un turpinot dalību starptautiskajos pasākumos ASEM izglītības forumā</w:t>
      </w:r>
      <w:r w:rsidRPr="003B68F0">
        <w:rPr>
          <w:rFonts w:ascii="Times New Roman" w:eastAsia="SimSun" w:hAnsi="Times New Roman" w:cs="Times New Roman"/>
          <w:caps/>
          <w:color w:val="000000"/>
          <w:sz w:val="26"/>
          <w:szCs w:val="26"/>
          <w:lang w:eastAsia="zh-CN"/>
        </w:rPr>
        <w:t xml:space="preserve"> </w:t>
      </w:r>
      <w:r w:rsidRPr="003B68F0">
        <w:rPr>
          <w:rFonts w:ascii="Times New Roman" w:eastAsia="SimSun" w:hAnsi="Times New Roman" w:cs="Times New Roman"/>
          <w:color w:val="000000"/>
          <w:sz w:val="26"/>
          <w:szCs w:val="26"/>
          <w:lang w:eastAsia="zh-CN"/>
        </w:rPr>
        <w:t>līdz š.g. 11.februārim ir plānots iesniegt projekta iesniegumu Eiropas Sociāla Fonda apakšaktivitātē 1.2.2.3.2</w:t>
      </w:r>
      <w:r w:rsidRPr="003B68F0">
        <w:rPr>
          <w:rFonts w:ascii="Times New Roman" w:hAnsi="Times New Roman" w:cs="Times New Roman"/>
          <w:color w:val="000000"/>
          <w:sz w:val="26"/>
          <w:szCs w:val="26"/>
          <w:lang w:eastAsia="lv-LV"/>
        </w:rPr>
        <w:t xml:space="preserve"> „Atbalsts izglītības pētījumiem” </w:t>
      </w:r>
      <w:r w:rsidRPr="003B68F0">
        <w:rPr>
          <w:rFonts w:ascii="Times New Roman" w:eastAsia="SimSun" w:hAnsi="Times New Roman" w:cs="Times New Roman"/>
          <w:color w:val="000000"/>
          <w:sz w:val="26"/>
          <w:szCs w:val="26"/>
          <w:lang w:eastAsia="zh-CN"/>
        </w:rPr>
        <w:t>par Latvijas dalību ASEM LLL HUB 2. 2.</w:t>
      </w:r>
      <w:r w:rsidRPr="003B68F0">
        <w:rPr>
          <w:rFonts w:ascii="Times New Roman" w:eastAsia="SimSun" w:hAnsi="Times New Roman" w:cs="Times New Roman"/>
          <w:i/>
          <w:color w:val="000000"/>
          <w:sz w:val="26"/>
          <w:szCs w:val="26"/>
          <w:lang w:eastAsia="zh-CN"/>
        </w:rPr>
        <w:t>Competence development as workplace learning</w:t>
      </w:r>
      <w:r w:rsidRPr="003B68F0">
        <w:rPr>
          <w:rFonts w:ascii="Times New Roman" w:eastAsia="SimSun" w:hAnsi="Times New Roman" w:cs="Times New Roman"/>
          <w:color w:val="000000"/>
          <w:sz w:val="26"/>
          <w:szCs w:val="26"/>
          <w:lang w:eastAsia="zh-CN"/>
        </w:rPr>
        <w:t xml:space="preserve"> un 4.</w:t>
      </w:r>
      <w:r w:rsidRPr="003B68F0">
        <w:rPr>
          <w:rFonts w:ascii="Times New Roman" w:eastAsia="SimSun" w:hAnsi="Times New Roman" w:cs="Times New Roman"/>
          <w:i/>
          <w:color w:val="000000"/>
          <w:sz w:val="26"/>
          <w:szCs w:val="26"/>
          <w:lang w:eastAsia="zh-CN"/>
        </w:rPr>
        <w:t>National strategies of Lifelong Learning with regard to citizens' motivation and barriers against continuing education and training</w:t>
      </w:r>
      <w:r w:rsidRPr="003B68F0">
        <w:rPr>
          <w:rFonts w:ascii="Times New Roman" w:eastAsia="SimSun" w:hAnsi="Times New Roman" w:cs="Times New Roman"/>
          <w:color w:val="000000"/>
          <w:sz w:val="26"/>
          <w:szCs w:val="26"/>
          <w:lang w:eastAsia="zh-CN"/>
        </w:rPr>
        <w:t xml:space="preserve"> tīklā.</w:t>
      </w:r>
    </w:p>
    <w:p w:rsidR="00EB15B5" w:rsidRPr="003B68F0" w:rsidRDefault="00EB15B5" w:rsidP="003979F2">
      <w:pPr>
        <w:spacing w:afterLines="60" w:line="240" w:lineRule="auto"/>
        <w:ind w:firstLine="567"/>
        <w:jc w:val="both"/>
        <w:rPr>
          <w:rFonts w:ascii="Times New Roman" w:hAnsi="Times New Roman" w:cs="Times New Roman"/>
          <w:color w:val="000000"/>
          <w:sz w:val="26"/>
          <w:szCs w:val="26"/>
        </w:rPr>
      </w:pPr>
      <w:r w:rsidRPr="003B68F0">
        <w:rPr>
          <w:rFonts w:ascii="Times New Roman" w:hAnsi="Times New Roman" w:cs="Times New Roman"/>
          <w:bCs/>
          <w:i/>
          <w:sz w:val="26"/>
          <w:szCs w:val="26"/>
        </w:rPr>
        <w:t xml:space="preserve">Īstenojot pasākumu plāna 3.darbības virzienu </w:t>
      </w:r>
      <w:r w:rsidRPr="003B68F0">
        <w:rPr>
          <w:rFonts w:ascii="Times New Roman" w:hAnsi="Times New Roman" w:cs="Times New Roman"/>
          <w:i/>
          <w:sz w:val="26"/>
          <w:szCs w:val="26"/>
        </w:rPr>
        <w:t xml:space="preserve">- </w:t>
      </w:r>
      <w:r w:rsidRPr="003B68F0">
        <w:rPr>
          <w:rFonts w:ascii="Times New Roman" w:hAnsi="Times New Roman" w:cs="Times New Roman"/>
          <w:sz w:val="26"/>
          <w:szCs w:val="26"/>
        </w:rPr>
        <w:t xml:space="preserve">konsultatīva un informatīva atbalsta sniegšanu Latvijas augstskolām dalībai starptautiskajās izglītības izstādēs un </w:t>
      </w:r>
      <w:r w:rsidRPr="003B68F0">
        <w:rPr>
          <w:rFonts w:ascii="Times New Roman" w:hAnsi="Times New Roman" w:cs="Times New Roman"/>
          <w:color w:val="000000"/>
          <w:sz w:val="26"/>
          <w:szCs w:val="26"/>
        </w:rPr>
        <w:t xml:space="preserve">starptautiskajos mobilitātes veicināšanas tīklos, 2011.gadā Akadēmiskās </w:t>
      </w:r>
      <w:r w:rsidRPr="003B68F0">
        <w:rPr>
          <w:rFonts w:ascii="Times New Roman" w:hAnsi="Times New Roman" w:cs="Times New Roman"/>
          <w:color w:val="000000"/>
          <w:sz w:val="26"/>
          <w:szCs w:val="26"/>
        </w:rPr>
        <w:lastRenderedPageBreak/>
        <w:t xml:space="preserve">informācijas centrs ir ieplānojis Latvijas dalību vairākās starptautiskās izglītības izstādēs. </w:t>
      </w:r>
    </w:p>
    <w:p w:rsidR="00EB15B5" w:rsidRPr="003B68F0" w:rsidRDefault="00EB15B5" w:rsidP="006F2914">
      <w:pPr>
        <w:spacing w:after="20" w:line="240" w:lineRule="auto"/>
        <w:ind w:firstLine="567"/>
        <w:jc w:val="both"/>
        <w:rPr>
          <w:rFonts w:ascii="Times New Roman" w:hAnsi="Times New Roman" w:cs="Times New Roman"/>
          <w:b/>
          <w:sz w:val="26"/>
          <w:szCs w:val="26"/>
        </w:rPr>
      </w:pPr>
      <w:r w:rsidRPr="003B68F0">
        <w:rPr>
          <w:rFonts w:ascii="Times New Roman" w:hAnsi="Times New Roman" w:cs="Times New Roman"/>
          <w:sz w:val="26"/>
          <w:szCs w:val="26"/>
        </w:rPr>
        <w:t xml:space="preserve">Apkopojot informāciju par valstīm, no kurām Latvijas augstskolas vēlētos piesaistīt studentus un samērojot to ar iespējamo finansējumu, izstāžu plāniem, valstīm, kurās Eiropas Komisija atbalsta izstāžu rīkošanu, valstīm, kuras ir terora draudu sarakstā, valstīm, kurās ir vēstniecības, </w:t>
      </w:r>
      <w:r w:rsidR="006F2914">
        <w:rPr>
          <w:rFonts w:ascii="Times New Roman" w:hAnsi="Times New Roman" w:cs="Times New Roman"/>
          <w:b/>
          <w:sz w:val="26"/>
          <w:szCs w:val="26"/>
        </w:rPr>
        <w:t>2011.gada 1.</w:t>
      </w:r>
      <w:r w:rsidRPr="003B68F0">
        <w:rPr>
          <w:rFonts w:ascii="Times New Roman" w:hAnsi="Times New Roman" w:cs="Times New Roman"/>
          <w:b/>
          <w:sz w:val="26"/>
          <w:szCs w:val="26"/>
        </w:rPr>
        <w:t>pusgadā  ar</w:t>
      </w:r>
      <w:r w:rsidRPr="003B68F0">
        <w:rPr>
          <w:rFonts w:ascii="Times New Roman" w:hAnsi="Times New Roman" w:cs="Times New Roman"/>
          <w:sz w:val="26"/>
          <w:szCs w:val="26"/>
        </w:rPr>
        <w:t xml:space="preserve"> </w:t>
      </w:r>
      <w:r w:rsidRPr="003B68F0">
        <w:rPr>
          <w:rFonts w:ascii="Times New Roman" w:hAnsi="Times New Roman" w:cs="Times New Roman"/>
          <w:b/>
          <w:sz w:val="26"/>
          <w:szCs w:val="26"/>
        </w:rPr>
        <w:t>nacionālo stendu „Study in Latvia</w:t>
      </w:r>
      <w:r w:rsidRPr="003B68F0">
        <w:rPr>
          <w:rFonts w:ascii="Times New Roman" w:hAnsi="Times New Roman" w:cs="Times New Roman"/>
          <w:sz w:val="26"/>
          <w:szCs w:val="26"/>
        </w:rPr>
        <w:t xml:space="preserve">” </w:t>
      </w:r>
      <w:r w:rsidRPr="003B68F0">
        <w:rPr>
          <w:rFonts w:ascii="Times New Roman" w:hAnsi="Times New Roman" w:cs="Times New Roman"/>
          <w:b/>
          <w:sz w:val="26"/>
          <w:szCs w:val="26"/>
        </w:rPr>
        <w:t xml:space="preserve">ir plānots piedalīties sekojošās valstīs un pilsētās: </w:t>
      </w:r>
    </w:p>
    <w:p w:rsidR="00EB15B5" w:rsidRPr="006F2914" w:rsidRDefault="006F2914" w:rsidP="006F2914">
      <w:pPr>
        <w:pStyle w:val="ListParagraph"/>
        <w:numPr>
          <w:ilvl w:val="0"/>
          <w:numId w:val="30"/>
        </w:numPr>
        <w:spacing w:after="2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Krievijā - Kazaņā 10.</w:t>
      </w:r>
      <w:r w:rsidR="00EB15B5" w:rsidRPr="006F2914">
        <w:rPr>
          <w:rFonts w:ascii="Times New Roman" w:hAnsi="Times New Roman" w:cs="Times New Roman"/>
          <w:sz w:val="26"/>
          <w:szCs w:val="26"/>
        </w:rPr>
        <w:t xml:space="preserve">februārī un Sanktpēterburgā 13.februārī; </w:t>
      </w:r>
    </w:p>
    <w:p w:rsidR="00EB15B5" w:rsidRPr="006F2914" w:rsidRDefault="006F2914" w:rsidP="006F2914">
      <w:pPr>
        <w:pStyle w:val="ListParagraph"/>
        <w:numPr>
          <w:ilvl w:val="0"/>
          <w:numId w:val="30"/>
        </w:numPr>
        <w:spacing w:after="2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Ķīnā - Honkongā 12.-13.</w:t>
      </w:r>
      <w:r w:rsidR="00EB15B5" w:rsidRPr="006F2914">
        <w:rPr>
          <w:rFonts w:ascii="Times New Roman" w:hAnsi="Times New Roman" w:cs="Times New Roman"/>
          <w:sz w:val="26"/>
          <w:szCs w:val="26"/>
        </w:rPr>
        <w:t>martā (</w:t>
      </w:r>
      <w:r w:rsidR="00EB15B5" w:rsidRPr="006F2914">
        <w:rPr>
          <w:rFonts w:ascii="Times New Roman" w:hAnsi="Times New Roman" w:cs="Times New Roman"/>
          <w:i/>
          <w:sz w:val="26"/>
          <w:szCs w:val="26"/>
        </w:rPr>
        <w:t>European Higher education fair</w:t>
      </w:r>
      <w:r w:rsidR="00EB15B5" w:rsidRPr="006F2914">
        <w:rPr>
          <w:rFonts w:ascii="Times New Roman" w:hAnsi="Times New Roman" w:cs="Times New Roman"/>
          <w:sz w:val="26"/>
          <w:szCs w:val="26"/>
        </w:rPr>
        <w:t xml:space="preserve">); </w:t>
      </w:r>
    </w:p>
    <w:p w:rsidR="00EB15B5" w:rsidRPr="006F2914" w:rsidRDefault="00EB15B5" w:rsidP="006F2914">
      <w:pPr>
        <w:pStyle w:val="ListParagraph"/>
        <w:numPr>
          <w:ilvl w:val="0"/>
          <w:numId w:val="30"/>
        </w:numPr>
        <w:spacing w:after="20" w:line="240" w:lineRule="auto"/>
        <w:ind w:left="851" w:hanging="284"/>
        <w:jc w:val="both"/>
        <w:rPr>
          <w:rFonts w:ascii="Times New Roman" w:hAnsi="Times New Roman" w:cs="Times New Roman"/>
          <w:sz w:val="26"/>
          <w:szCs w:val="26"/>
        </w:rPr>
      </w:pPr>
      <w:r w:rsidRPr="006F2914">
        <w:rPr>
          <w:rFonts w:ascii="Times New Roman" w:hAnsi="Times New Roman" w:cs="Times New Roman"/>
          <w:sz w:val="26"/>
          <w:szCs w:val="26"/>
        </w:rPr>
        <w:t>Turcijā - Stam</w:t>
      </w:r>
      <w:r w:rsidR="006F2914">
        <w:rPr>
          <w:rFonts w:ascii="Times New Roman" w:hAnsi="Times New Roman" w:cs="Times New Roman"/>
          <w:sz w:val="26"/>
          <w:szCs w:val="26"/>
        </w:rPr>
        <w:t>bulā 19.-20.martā un Izmirā 22.</w:t>
      </w:r>
      <w:r w:rsidRPr="006F2914">
        <w:rPr>
          <w:rFonts w:ascii="Times New Roman" w:hAnsi="Times New Roman" w:cs="Times New Roman"/>
          <w:sz w:val="26"/>
          <w:szCs w:val="26"/>
        </w:rPr>
        <w:t xml:space="preserve">martā; </w:t>
      </w:r>
    </w:p>
    <w:p w:rsidR="00EB15B5" w:rsidRPr="006F2914" w:rsidRDefault="006F2914" w:rsidP="006F2914">
      <w:pPr>
        <w:pStyle w:val="ListParagraph"/>
        <w:numPr>
          <w:ilvl w:val="0"/>
          <w:numId w:val="30"/>
        </w:numPr>
        <w:spacing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Kazahstānā - 22.</w:t>
      </w:r>
      <w:r w:rsidR="00EB15B5" w:rsidRPr="006F2914">
        <w:rPr>
          <w:rFonts w:ascii="Times New Roman" w:hAnsi="Times New Roman" w:cs="Times New Roman"/>
          <w:sz w:val="26"/>
          <w:szCs w:val="26"/>
        </w:rPr>
        <w:t>aprīlī.</w:t>
      </w:r>
    </w:p>
    <w:p w:rsidR="00D54D2A" w:rsidRPr="003B68F0" w:rsidRDefault="00D54D2A" w:rsidP="002B55B7">
      <w:pPr>
        <w:spacing w:after="0" w:line="240" w:lineRule="auto"/>
        <w:ind w:left="357" w:firstLine="357"/>
        <w:jc w:val="both"/>
        <w:rPr>
          <w:rFonts w:ascii="Times New Roman" w:hAnsi="Times New Roman" w:cs="Times New Roman"/>
          <w:sz w:val="26"/>
          <w:szCs w:val="26"/>
        </w:rPr>
      </w:pPr>
    </w:p>
    <w:p w:rsidR="00EB15B5" w:rsidRPr="003B68F0" w:rsidRDefault="00EB15B5" w:rsidP="006F2914">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Kā turpinājums Izglītības un zinātnes ministrijas noslēgtajam sadarbības līgumam ar Liaoningas provinci Ķīnā, šobrīd ir saņemts ielūgums piedalīties izglītības izstādēs, ko atbalsta Liaoningas provinces izglītības departaments, trīs lielākajās province</w:t>
      </w:r>
      <w:r w:rsidR="006F2914">
        <w:rPr>
          <w:rFonts w:ascii="Times New Roman" w:hAnsi="Times New Roman" w:cs="Times New Roman"/>
          <w:sz w:val="26"/>
          <w:szCs w:val="26"/>
        </w:rPr>
        <w:t>s pilsētās no šā gada 10. – 17.</w:t>
      </w:r>
      <w:r w:rsidRPr="003B68F0">
        <w:rPr>
          <w:rFonts w:ascii="Times New Roman" w:hAnsi="Times New Roman" w:cs="Times New Roman"/>
          <w:sz w:val="26"/>
          <w:szCs w:val="26"/>
        </w:rPr>
        <w:t>jūlijam.</w:t>
      </w:r>
    </w:p>
    <w:p w:rsidR="00EB15B5" w:rsidRPr="003B68F0" w:rsidRDefault="00EB15B5" w:rsidP="006F2914">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Izplatīšanai izstādēs tiks gatavoti informatīvie bukleti par visām studiju jomām un programmām, kā arī informācija, kas pieejama internetā.</w:t>
      </w:r>
    </w:p>
    <w:p w:rsidR="00EB15B5" w:rsidRPr="003B68F0" w:rsidRDefault="00EB15B5" w:rsidP="006F2914">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Lai veicinātu augstākās izglītības eksportu, 2011.gadā Akadēmiskās informācijas centrs turpinās:</w:t>
      </w:r>
    </w:p>
    <w:p w:rsidR="00EB15B5" w:rsidRPr="003B68F0" w:rsidRDefault="00EB15B5" w:rsidP="009E1083">
      <w:pPr>
        <w:pStyle w:val="ListParagraph"/>
        <w:numPr>
          <w:ilvl w:val="0"/>
          <w:numId w:val="37"/>
        </w:numPr>
        <w:tabs>
          <w:tab w:val="left" w:pos="709"/>
          <w:tab w:val="left" w:pos="1080"/>
        </w:tabs>
        <w:autoSpaceDE w:val="0"/>
        <w:autoSpaceDN w:val="0"/>
        <w:adjustRightInd w:val="0"/>
        <w:spacing w:after="20" w:line="240" w:lineRule="auto"/>
        <w:ind w:left="709" w:hanging="142"/>
        <w:contextualSpacing w:val="0"/>
        <w:jc w:val="both"/>
        <w:rPr>
          <w:rFonts w:ascii="Times New Roman" w:hAnsi="Times New Roman" w:cs="Times New Roman"/>
          <w:color w:val="000000"/>
          <w:sz w:val="26"/>
          <w:szCs w:val="26"/>
        </w:rPr>
      </w:pPr>
      <w:r w:rsidRPr="003B68F0">
        <w:rPr>
          <w:rFonts w:ascii="Times New Roman" w:hAnsi="Times New Roman" w:cs="Times New Roman"/>
          <w:sz w:val="26"/>
          <w:szCs w:val="26"/>
        </w:rPr>
        <w:t>uzturēt interneta mājas lapu</w:t>
      </w:r>
      <w:r w:rsidRPr="003B68F0">
        <w:rPr>
          <w:rFonts w:ascii="Times New Roman" w:hAnsi="Times New Roman" w:cs="Times New Roman"/>
          <w:bCs/>
          <w:color w:val="000000"/>
          <w:sz w:val="26"/>
          <w:szCs w:val="26"/>
        </w:rPr>
        <w:t xml:space="preserve"> </w:t>
      </w:r>
      <w:hyperlink r:id="rId14" w:history="1">
        <w:r w:rsidRPr="003B68F0">
          <w:rPr>
            <w:rStyle w:val="Hyperlink"/>
            <w:rFonts w:ascii="Times New Roman" w:hAnsi="Times New Roman" w:cs="Times New Roman"/>
            <w:sz w:val="26"/>
            <w:szCs w:val="26"/>
          </w:rPr>
          <w:t>www.studyinlatvia.lv</w:t>
        </w:r>
      </w:hyperlink>
      <w:r w:rsidRPr="003B68F0">
        <w:rPr>
          <w:rFonts w:ascii="Times New Roman" w:hAnsi="Times New Roman" w:cs="Times New Roman"/>
          <w:sz w:val="26"/>
          <w:szCs w:val="26"/>
        </w:rPr>
        <w:t xml:space="preserve"> ārvalstu interesentiem par studiju iespējām Latvijā un </w:t>
      </w:r>
      <w:r w:rsidRPr="003B68F0">
        <w:rPr>
          <w:rFonts w:ascii="Times New Roman" w:hAnsi="Times New Roman" w:cs="Times New Roman"/>
          <w:bCs/>
          <w:color w:val="000000"/>
          <w:sz w:val="26"/>
          <w:szCs w:val="26"/>
        </w:rPr>
        <w:t>Latvijas augstākās izglītības institūciju piedāvāto studiju programmu svešvalodās aprakstiem</w:t>
      </w:r>
      <w:r w:rsidRPr="003B68F0">
        <w:rPr>
          <w:rFonts w:ascii="Times New Roman" w:hAnsi="Times New Roman" w:cs="Times New Roman"/>
          <w:sz w:val="26"/>
          <w:szCs w:val="26"/>
        </w:rPr>
        <w:t>;</w:t>
      </w:r>
    </w:p>
    <w:p w:rsidR="00EB15B5" w:rsidRPr="003B68F0" w:rsidRDefault="00EB15B5" w:rsidP="009E1083">
      <w:pPr>
        <w:pStyle w:val="ListParagraph"/>
        <w:numPr>
          <w:ilvl w:val="0"/>
          <w:numId w:val="37"/>
        </w:numPr>
        <w:tabs>
          <w:tab w:val="left" w:pos="709"/>
          <w:tab w:val="left" w:pos="1080"/>
        </w:tabs>
        <w:autoSpaceDE w:val="0"/>
        <w:autoSpaceDN w:val="0"/>
        <w:adjustRightInd w:val="0"/>
        <w:spacing w:after="20" w:line="240" w:lineRule="auto"/>
        <w:ind w:left="709" w:hanging="142"/>
        <w:contextualSpacing w:val="0"/>
        <w:jc w:val="both"/>
        <w:rPr>
          <w:rFonts w:ascii="Times New Roman" w:hAnsi="Times New Roman" w:cs="Times New Roman"/>
          <w:color w:val="000000"/>
          <w:sz w:val="26"/>
          <w:szCs w:val="26"/>
        </w:rPr>
      </w:pPr>
      <w:r w:rsidRPr="003B68F0">
        <w:rPr>
          <w:rFonts w:ascii="Times New Roman" w:hAnsi="Times New Roman" w:cs="Times New Roman"/>
          <w:color w:val="000000"/>
          <w:sz w:val="26"/>
          <w:szCs w:val="26"/>
        </w:rPr>
        <w:t>izstrādāt labas prakses vadlīnijas augstākās izglītības institūcijām ārvalstu studentu iebraukšanas organizēšanai Latvijā;</w:t>
      </w:r>
    </w:p>
    <w:p w:rsidR="00EB15B5" w:rsidRPr="003B68F0" w:rsidRDefault="00EB15B5" w:rsidP="009E1083">
      <w:pPr>
        <w:pStyle w:val="ListParagraph"/>
        <w:numPr>
          <w:ilvl w:val="0"/>
          <w:numId w:val="37"/>
        </w:numPr>
        <w:tabs>
          <w:tab w:val="left" w:pos="709"/>
          <w:tab w:val="left" w:pos="1080"/>
        </w:tabs>
        <w:autoSpaceDE w:val="0"/>
        <w:autoSpaceDN w:val="0"/>
        <w:adjustRightInd w:val="0"/>
        <w:spacing w:after="20" w:line="240" w:lineRule="auto"/>
        <w:ind w:left="709" w:hanging="142"/>
        <w:contextualSpacing w:val="0"/>
        <w:jc w:val="both"/>
        <w:rPr>
          <w:rFonts w:ascii="Times New Roman" w:hAnsi="Times New Roman" w:cs="Times New Roman"/>
          <w:color w:val="000000"/>
          <w:sz w:val="26"/>
          <w:szCs w:val="26"/>
        </w:rPr>
      </w:pPr>
      <w:r w:rsidRPr="003B68F0">
        <w:rPr>
          <w:rFonts w:ascii="Times New Roman" w:hAnsi="Times New Roman" w:cs="Times New Roman"/>
          <w:color w:val="000000"/>
          <w:sz w:val="26"/>
          <w:szCs w:val="26"/>
        </w:rPr>
        <w:t>gatavot informatīvos materiālus par studiju iespējām Latvijā izplatīšanai starptautiskās un ārvalstu augstākās izglītības izstādēs;</w:t>
      </w:r>
    </w:p>
    <w:p w:rsidR="00EB15B5" w:rsidRPr="003B68F0" w:rsidRDefault="00EB15B5" w:rsidP="009E1083">
      <w:pPr>
        <w:pStyle w:val="ListParagraph"/>
        <w:numPr>
          <w:ilvl w:val="0"/>
          <w:numId w:val="37"/>
        </w:numPr>
        <w:tabs>
          <w:tab w:val="left" w:pos="709"/>
          <w:tab w:val="left" w:pos="1080"/>
        </w:tabs>
        <w:autoSpaceDE w:val="0"/>
        <w:autoSpaceDN w:val="0"/>
        <w:adjustRightInd w:val="0"/>
        <w:spacing w:after="20" w:line="240" w:lineRule="auto"/>
        <w:ind w:left="709" w:hanging="142"/>
        <w:contextualSpacing w:val="0"/>
        <w:jc w:val="both"/>
        <w:rPr>
          <w:rFonts w:ascii="Times New Roman" w:hAnsi="Times New Roman" w:cs="Times New Roman"/>
          <w:color w:val="000000"/>
          <w:sz w:val="26"/>
          <w:szCs w:val="26"/>
        </w:rPr>
      </w:pPr>
      <w:r w:rsidRPr="003B68F0">
        <w:rPr>
          <w:rFonts w:ascii="Times New Roman" w:hAnsi="Times New Roman" w:cs="Times New Roman"/>
          <w:color w:val="000000"/>
          <w:sz w:val="26"/>
          <w:szCs w:val="26"/>
        </w:rPr>
        <w:t xml:space="preserve">koordinēt augstskolu resursu izmantošanu dalībai ārvalstu un starptautiskās izglītības izstādēs un nodrošināt nacionālo augstākās izglītības stendu </w:t>
      </w:r>
      <w:r w:rsidRPr="003B68F0">
        <w:rPr>
          <w:rFonts w:ascii="Times New Roman" w:hAnsi="Times New Roman" w:cs="Times New Roman"/>
          <w:sz w:val="26"/>
          <w:szCs w:val="26"/>
        </w:rPr>
        <w:t>„Study in Latvia”</w:t>
      </w:r>
      <w:r w:rsidRPr="003B68F0">
        <w:rPr>
          <w:rFonts w:ascii="Times New Roman" w:hAnsi="Times New Roman" w:cs="Times New Roman"/>
          <w:color w:val="000000"/>
          <w:sz w:val="26"/>
          <w:szCs w:val="26"/>
        </w:rPr>
        <w:t xml:space="preserve"> dalībai šajās izstādēs un dalībai starptautiskajos mobilitātes veicināšanas tīklos.</w:t>
      </w:r>
    </w:p>
    <w:p w:rsidR="00EB15B5" w:rsidRPr="003B68F0" w:rsidRDefault="00EB15B5" w:rsidP="006F2914">
      <w:pPr>
        <w:spacing w:after="60" w:line="240" w:lineRule="auto"/>
        <w:jc w:val="both"/>
        <w:rPr>
          <w:rFonts w:ascii="Times New Roman" w:hAnsi="Times New Roman" w:cs="Times New Roman"/>
          <w:i/>
          <w:sz w:val="26"/>
          <w:szCs w:val="26"/>
        </w:rPr>
      </w:pPr>
    </w:p>
    <w:p w:rsidR="00EB15B5" w:rsidRPr="003B68F0" w:rsidRDefault="00EB15B5" w:rsidP="006F2914">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i/>
          <w:sz w:val="26"/>
          <w:szCs w:val="26"/>
        </w:rPr>
        <w:t>Īstenojot 4.darbības virzienu</w:t>
      </w:r>
      <w:r w:rsidRPr="003B68F0">
        <w:rPr>
          <w:rFonts w:ascii="Times New Roman" w:hAnsi="Times New Roman" w:cs="Times New Roman"/>
          <w:sz w:val="26"/>
          <w:szCs w:val="26"/>
        </w:rPr>
        <w:t xml:space="preserve"> – stipendiju nodrošināšanu ārvalstu studentiem, </w:t>
      </w:r>
      <w:r w:rsidRPr="003B68F0">
        <w:rPr>
          <w:rFonts w:ascii="Times New Roman" w:hAnsi="Times New Roman" w:cs="Times New Roman"/>
          <w:color w:val="000000"/>
          <w:sz w:val="26"/>
          <w:szCs w:val="26"/>
        </w:rPr>
        <w:t>pētniekiem un mācībspēkiem</w:t>
      </w:r>
      <w:r w:rsidRPr="003B68F0">
        <w:rPr>
          <w:rFonts w:ascii="Times New Roman" w:hAnsi="Times New Roman" w:cs="Times New Roman"/>
          <w:sz w:val="26"/>
          <w:szCs w:val="26"/>
        </w:rPr>
        <w:t>, Valsts izglītības attīstības aģentūrai ir nodotas funkcijas, kas paredz nodrošināt šīs stipendijas</w:t>
      </w:r>
      <w:r w:rsidRPr="003B68F0">
        <w:rPr>
          <w:rFonts w:ascii="Times New Roman" w:hAnsi="Times New Roman" w:cs="Times New Roman"/>
          <w:b/>
          <w:sz w:val="26"/>
          <w:szCs w:val="26"/>
        </w:rPr>
        <w:t xml:space="preserve"> </w:t>
      </w:r>
      <w:r w:rsidRPr="003B68F0">
        <w:rPr>
          <w:rFonts w:ascii="Times New Roman" w:hAnsi="Times New Roman" w:cs="Times New Roman"/>
          <w:sz w:val="26"/>
          <w:szCs w:val="26"/>
        </w:rPr>
        <w:t>starptautisko divpusējo un trīspusējo starpvaldību un starpministriju līgumu ietvaros. Tas dos iespēju aktivizēt stipendiju piešķiršanu un palielināt to apjomu.</w:t>
      </w:r>
    </w:p>
    <w:p w:rsidR="00EB15B5" w:rsidRPr="003B68F0" w:rsidRDefault="00EB15B5" w:rsidP="006F2914">
      <w:pPr>
        <w:spacing w:after="60" w:line="240" w:lineRule="auto"/>
        <w:ind w:firstLine="567"/>
        <w:jc w:val="both"/>
        <w:rPr>
          <w:rFonts w:ascii="Times New Roman" w:hAnsi="Times New Roman" w:cs="Times New Roman"/>
          <w:sz w:val="26"/>
          <w:szCs w:val="26"/>
        </w:rPr>
      </w:pPr>
      <w:r w:rsidRPr="003B68F0">
        <w:rPr>
          <w:rFonts w:ascii="Times New Roman" w:hAnsi="Times New Roman" w:cs="Times New Roman"/>
          <w:sz w:val="26"/>
          <w:szCs w:val="26"/>
        </w:rPr>
        <w:t xml:space="preserve">Saskaņā ar „Pasākumu plānā nepieciešamajām reformām augstākajā izglītībā un zinātnē 2010.–2012.gadam” 2011.gadā ir paredzēts nodrošināt 78 stipendijas, tajā skaitā 20 stipendijas dalībai starptautiskajās vasaras skolās. </w:t>
      </w:r>
    </w:p>
    <w:p w:rsidR="00EB15B5" w:rsidRPr="003B68F0" w:rsidRDefault="00EB15B5" w:rsidP="006F2914">
      <w:pPr>
        <w:autoSpaceDE w:val="0"/>
        <w:autoSpaceDN w:val="0"/>
        <w:adjustRightInd w:val="0"/>
        <w:spacing w:after="60" w:line="240" w:lineRule="auto"/>
        <w:ind w:firstLine="567"/>
        <w:jc w:val="both"/>
        <w:rPr>
          <w:rFonts w:ascii="Times New Roman" w:hAnsi="Times New Roman" w:cs="Times New Roman"/>
          <w:color w:val="000000"/>
          <w:sz w:val="26"/>
          <w:szCs w:val="26"/>
          <w:lang w:eastAsia="lv-LV"/>
        </w:rPr>
      </w:pPr>
      <w:r w:rsidRPr="003B68F0">
        <w:rPr>
          <w:rFonts w:ascii="Times New Roman" w:hAnsi="Times New Roman" w:cs="Times New Roman"/>
          <w:color w:val="000000"/>
          <w:sz w:val="26"/>
          <w:szCs w:val="26"/>
          <w:lang w:eastAsia="lv-LV"/>
        </w:rPr>
        <w:t xml:space="preserve">Papildus informējam, ka </w:t>
      </w:r>
      <w:r w:rsidRPr="00C858A7">
        <w:rPr>
          <w:rFonts w:ascii="Times New Roman" w:hAnsi="Times New Roman" w:cs="Times New Roman"/>
          <w:b/>
          <w:color w:val="000000"/>
          <w:sz w:val="26"/>
          <w:szCs w:val="26"/>
          <w:lang w:eastAsia="lv-LV"/>
        </w:rPr>
        <w:t xml:space="preserve">no </w:t>
      </w:r>
      <w:r w:rsidR="00C858A7" w:rsidRPr="00C858A7">
        <w:rPr>
          <w:rFonts w:ascii="Times New Roman" w:hAnsi="Times New Roman" w:cs="Times New Roman"/>
          <w:b/>
          <w:color w:val="000000"/>
          <w:sz w:val="26"/>
          <w:szCs w:val="26"/>
          <w:lang w:eastAsia="lv-LV"/>
        </w:rPr>
        <w:t xml:space="preserve">ES </w:t>
      </w:r>
      <w:r w:rsidRPr="00C858A7">
        <w:rPr>
          <w:rFonts w:ascii="Times New Roman" w:hAnsi="Times New Roman" w:cs="Times New Roman"/>
          <w:b/>
          <w:color w:val="000000"/>
          <w:sz w:val="26"/>
          <w:szCs w:val="26"/>
          <w:lang w:eastAsia="lv-LV"/>
        </w:rPr>
        <w:t xml:space="preserve">struktūrfondiem augstākās izglītības eksporta veicināšanai </w:t>
      </w:r>
      <w:r w:rsidRPr="003B68F0">
        <w:rPr>
          <w:rFonts w:ascii="Times New Roman" w:hAnsi="Times New Roman" w:cs="Times New Roman"/>
          <w:color w:val="000000"/>
          <w:sz w:val="26"/>
          <w:szCs w:val="26"/>
          <w:lang w:eastAsia="lv-LV"/>
        </w:rPr>
        <w:t>2011.gadā atbalsts plānots:</w:t>
      </w:r>
    </w:p>
    <w:p w:rsidR="00EB15B5" w:rsidRPr="003B68F0" w:rsidRDefault="00E71B6A" w:rsidP="006F2914">
      <w:pPr>
        <w:autoSpaceDE w:val="0"/>
        <w:autoSpaceDN w:val="0"/>
        <w:adjustRightInd w:val="0"/>
        <w:spacing w:after="60" w:line="240" w:lineRule="auto"/>
        <w:ind w:left="567"/>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lastRenderedPageBreak/>
        <w:t xml:space="preserve">1) </w:t>
      </w:r>
      <w:r w:rsidR="00EB15B5" w:rsidRPr="003B68F0">
        <w:rPr>
          <w:rFonts w:ascii="Times New Roman" w:hAnsi="Times New Roman" w:cs="Times New Roman"/>
          <w:color w:val="000000"/>
          <w:sz w:val="26"/>
          <w:szCs w:val="26"/>
          <w:lang w:eastAsia="lv-LV"/>
        </w:rPr>
        <w:t xml:space="preserve">1.1.2.2.1. apakšaktivitātes „Studiju programmu satura un īstenošanas uzlabošana un akadēmiskā personāla kompetences pilnveidošana”  ietvaros. </w:t>
      </w:r>
    </w:p>
    <w:p w:rsidR="00EB15B5" w:rsidRPr="003B68F0" w:rsidRDefault="00EB15B5" w:rsidP="006F2914">
      <w:pPr>
        <w:autoSpaceDE w:val="0"/>
        <w:autoSpaceDN w:val="0"/>
        <w:adjustRightInd w:val="0"/>
        <w:spacing w:after="60" w:line="240" w:lineRule="auto"/>
        <w:ind w:left="567"/>
        <w:jc w:val="both"/>
        <w:rPr>
          <w:rFonts w:ascii="Times New Roman" w:hAnsi="Times New Roman" w:cs="Times New Roman"/>
          <w:color w:val="000000"/>
          <w:sz w:val="26"/>
          <w:szCs w:val="26"/>
          <w:lang w:eastAsia="lv-LV"/>
        </w:rPr>
      </w:pPr>
      <w:r w:rsidRPr="003B68F0">
        <w:rPr>
          <w:rFonts w:ascii="Times New Roman" w:hAnsi="Times New Roman" w:cs="Times New Roman"/>
          <w:color w:val="000000"/>
          <w:sz w:val="26"/>
          <w:szCs w:val="26"/>
          <w:lang w:eastAsia="lv-LV"/>
        </w:rPr>
        <w:t>2010.gada 16.novembrī pieņemti Ministru kabineta noteikumi Nr.1058 „Noteikumi par darbības programmas „Cilvēkresursi un nodarbinātība” papildinājuma 1.1.2.2.1.apakšaktivitātes „Studiju programmu satura un īstenošanas uzlabošana un akadēmiskā personāla kompetences pilnveidošana” pirmo projektu iesniegumu atlases kārtu”. 2011.gadā ir uzsākta pirmā projektu iesniegumu atlases kārta, kurā atbalsts paredzēts studiju kvalitātes un efektivitātes uzlabošanai, nodrošinot studiju programmu kvalitātes, resursu, pietiekamības un ilgtspējas starptautisku izvērtēšanu un sagatavojot priekšlikumus turpmākai augstākās izglītības pilnveidei, attīstībai, resursu efektīvai izmantošanai un finansēšanai no valsts budžeta. Projekta iesnieguma iesniegšanas termiņš: 2011.gada 1.marts.</w:t>
      </w:r>
    </w:p>
    <w:p w:rsidR="00EB15B5" w:rsidRPr="003B68F0" w:rsidRDefault="00EB15B5" w:rsidP="006F2914">
      <w:pPr>
        <w:autoSpaceDE w:val="0"/>
        <w:autoSpaceDN w:val="0"/>
        <w:adjustRightInd w:val="0"/>
        <w:spacing w:after="60" w:line="240" w:lineRule="auto"/>
        <w:ind w:left="567"/>
        <w:jc w:val="both"/>
        <w:rPr>
          <w:rFonts w:ascii="Times New Roman" w:hAnsi="Times New Roman" w:cs="Times New Roman"/>
          <w:color w:val="000000"/>
          <w:sz w:val="26"/>
          <w:szCs w:val="26"/>
          <w:lang w:eastAsia="lv-LV"/>
        </w:rPr>
      </w:pPr>
      <w:r w:rsidRPr="003B68F0">
        <w:rPr>
          <w:rFonts w:ascii="Times New Roman" w:hAnsi="Times New Roman" w:cs="Times New Roman"/>
          <w:color w:val="000000"/>
          <w:sz w:val="26"/>
          <w:szCs w:val="26"/>
          <w:lang w:eastAsia="lv-LV"/>
        </w:rPr>
        <w:t>Ņemot vērā, ka 1.1.2.2.1.apakšaktivitātes otrā projektu iesniegumu atlases kārta ir atkarīga no pirmās projektu iesniegumu atlases kārtas rezultātiem, plānots, ka MK noteikumi 1.1.2.2.1.apakšaktivitātes otrās projektu iesniegumu atlases kārtai tiks virzīti apstiprināšanai 2012.gada 1.ceturksnī.</w:t>
      </w:r>
    </w:p>
    <w:p w:rsidR="00EB15B5" w:rsidRPr="003B68F0" w:rsidRDefault="00EB15B5" w:rsidP="006F2914">
      <w:pPr>
        <w:autoSpaceDE w:val="0"/>
        <w:autoSpaceDN w:val="0"/>
        <w:adjustRightInd w:val="0"/>
        <w:spacing w:after="60" w:line="240" w:lineRule="auto"/>
        <w:ind w:left="567"/>
        <w:jc w:val="both"/>
        <w:rPr>
          <w:rFonts w:ascii="Times New Roman" w:hAnsi="Times New Roman" w:cs="Times New Roman"/>
          <w:color w:val="000000"/>
          <w:sz w:val="26"/>
          <w:szCs w:val="26"/>
          <w:lang w:eastAsia="lv-LV"/>
        </w:rPr>
      </w:pPr>
      <w:r w:rsidRPr="003B68F0">
        <w:rPr>
          <w:rFonts w:ascii="Times New Roman" w:hAnsi="Times New Roman" w:cs="Times New Roman"/>
          <w:color w:val="000000"/>
          <w:sz w:val="26"/>
          <w:szCs w:val="26"/>
          <w:lang w:eastAsia="lv-LV"/>
        </w:rPr>
        <w:t>Atbilstoši Darbības programmas „Cilvēkresursi un nodarbinātība” papildinājumam, 1.1.2.2.1.apakšaktivitātes otrajā projektu iesniegumu atlases kārtā plānots atbalsts studiju programmu pilnveide atbilstoši tautsaimniecības vajadzībām sadarbībā ar darba devējiem, jaunu studiju programmu un kursu, īpaši starpaugstskolu un starpdisciplināru studiju programmu un kursu, izstrāde, kā arī studiju programmu vai kursu izstrāde kādā no Eiropas Savienības valodām augstākās izglītības konkurētspējas un eksportspējas veicināšanai, tajā skaitā attīstot un ieviešot inovatīvu pieredzi attīstot e-studiju risinājumus modernizējot un palielinot studiju intelektuālos resursus, vienlaikus sekmējot augstākās izglītības resursu konsolidāciju un studiju programmu vai kursu skaitu optimizēšanu, novēršot to pārklāšanos. Akadēmiskā personāla, tajā skaitā, koledžu pasniedzēju kvalifikācijas paaugstināšanu, stažējoties uzņēmumos, citās augstākās izglītības vai zinātniskajās institūcijās.</w:t>
      </w:r>
    </w:p>
    <w:p w:rsidR="00EB15B5" w:rsidRPr="003B68F0" w:rsidRDefault="00EB15B5" w:rsidP="006F2914">
      <w:pPr>
        <w:autoSpaceDE w:val="0"/>
        <w:autoSpaceDN w:val="0"/>
        <w:adjustRightInd w:val="0"/>
        <w:spacing w:after="60" w:line="240" w:lineRule="auto"/>
        <w:ind w:left="567"/>
        <w:jc w:val="both"/>
        <w:rPr>
          <w:rFonts w:ascii="Times New Roman" w:hAnsi="Times New Roman" w:cs="Times New Roman"/>
          <w:color w:val="000000"/>
          <w:sz w:val="26"/>
          <w:szCs w:val="26"/>
          <w:lang w:eastAsia="lv-LV"/>
        </w:rPr>
      </w:pPr>
      <w:r w:rsidRPr="003B68F0">
        <w:rPr>
          <w:rFonts w:ascii="Times New Roman" w:hAnsi="Times New Roman" w:cs="Times New Roman"/>
          <w:color w:val="000000"/>
          <w:sz w:val="26"/>
          <w:szCs w:val="26"/>
          <w:lang w:eastAsia="lv-LV"/>
        </w:rPr>
        <w:t>2) 3.1.2.1.1.apakšaktivitātes „Augstākās izglītības iestāžu telpu un iekārtu modernizēšana studiju programmu kvalitātes uzlabošanai, tajā skaitā nodrošinot izglītības programmu apgūšanas iespējas arī personām ar funkcionāliem traucējumiem” ietvaros.</w:t>
      </w:r>
    </w:p>
    <w:p w:rsidR="00EB15B5" w:rsidRPr="003B68F0" w:rsidRDefault="00EB15B5" w:rsidP="006F2914">
      <w:pPr>
        <w:autoSpaceDE w:val="0"/>
        <w:autoSpaceDN w:val="0"/>
        <w:adjustRightInd w:val="0"/>
        <w:spacing w:after="60" w:line="240" w:lineRule="auto"/>
        <w:ind w:left="567"/>
        <w:jc w:val="both"/>
        <w:rPr>
          <w:rFonts w:ascii="Times New Roman" w:hAnsi="Times New Roman" w:cs="Times New Roman"/>
          <w:color w:val="000000"/>
          <w:sz w:val="26"/>
          <w:szCs w:val="26"/>
          <w:lang w:eastAsia="lv-LV"/>
        </w:rPr>
      </w:pPr>
      <w:r w:rsidRPr="003B68F0">
        <w:rPr>
          <w:rFonts w:ascii="Times New Roman" w:hAnsi="Times New Roman" w:cs="Times New Roman"/>
          <w:color w:val="000000"/>
          <w:sz w:val="26"/>
          <w:szCs w:val="26"/>
          <w:lang w:eastAsia="lv-LV"/>
        </w:rPr>
        <w:t>2011.gadā jau tiek īstenoti 30 projekti un 1 projekta īstenošana šogad vēl tiks uzsākta. 2011.gada valsts budžetā augstskolu infrastruktūras projektu īsten</w:t>
      </w:r>
      <w:r w:rsidR="00274947">
        <w:rPr>
          <w:rFonts w:ascii="Times New Roman" w:hAnsi="Times New Roman" w:cs="Times New Roman"/>
          <w:color w:val="000000"/>
          <w:sz w:val="26"/>
          <w:szCs w:val="26"/>
          <w:lang w:eastAsia="lv-LV"/>
        </w:rPr>
        <w:t>ošanai piešķirti 15 624 125 LVL</w:t>
      </w:r>
      <w:r w:rsidRPr="003B68F0">
        <w:rPr>
          <w:rFonts w:ascii="Times New Roman" w:hAnsi="Times New Roman" w:cs="Times New Roman"/>
          <w:color w:val="000000"/>
          <w:sz w:val="26"/>
          <w:szCs w:val="26"/>
          <w:lang w:eastAsia="lv-LV"/>
        </w:rPr>
        <w:t>.</w:t>
      </w:r>
    </w:p>
    <w:p w:rsidR="00EB15B5" w:rsidRPr="00D50DF7" w:rsidRDefault="00EB15B5" w:rsidP="006F2914">
      <w:pPr>
        <w:spacing w:after="0" w:line="240" w:lineRule="auto"/>
        <w:ind w:left="567"/>
        <w:jc w:val="both"/>
        <w:rPr>
          <w:bCs/>
          <w:i/>
          <w:sz w:val="26"/>
          <w:szCs w:val="26"/>
        </w:rPr>
      </w:pPr>
    </w:p>
    <w:p w:rsidR="00CE619D" w:rsidRPr="00CE619D" w:rsidRDefault="00E221C3" w:rsidP="00695A50">
      <w:pPr>
        <w:keepNext/>
        <w:tabs>
          <w:tab w:val="left" w:pos="8647"/>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IV</w:t>
      </w:r>
      <w:r w:rsidR="00CE619D">
        <w:rPr>
          <w:rFonts w:ascii="Times New Roman" w:hAnsi="Times New Roman" w:cs="Times New Roman"/>
          <w:b/>
          <w:sz w:val="26"/>
          <w:szCs w:val="26"/>
        </w:rPr>
        <w:t xml:space="preserve">. </w:t>
      </w:r>
      <w:r w:rsidR="00CE619D" w:rsidRPr="00CE619D">
        <w:rPr>
          <w:rFonts w:ascii="Times New Roman" w:hAnsi="Times New Roman" w:cs="Times New Roman"/>
          <w:b/>
          <w:sz w:val="26"/>
          <w:szCs w:val="26"/>
        </w:rPr>
        <w:t>Informācija par veselības aprūpes pakalpojumu eksportu</w:t>
      </w:r>
    </w:p>
    <w:p w:rsidR="00CE619D" w:rsidRPr="00CE619D" w:rsidRDefault="00CE619D" w:rsidP="00695A50">
      <w:pPr>
        <w:keepNext/>
        <w:spacing w:after="0" w:line="240" w:lineRule="auto"/>
        <w:jc w:val="both"/>
        <w:rPr>
          <w:rFonts w:ascii="Times New Roman" w:hAnsi="Times New Roman" w:cs="Times New Roman"/>
          <w:sz w:val="26"/>
          <w:szCs w:val="26"/>
        </w:rPr>
      </w:pPr>
    </w:p>
    <w:p w:rsidR="00CE619D" w:rsidRPr="00CE619D" w:rsidRDefault="00CE619D" w:rsidP="00695A50">
      <w:pPr>
        <w:pStyle w:val="ListParagraph"/>
        <w:keepNext/>
        <w:numPr>
          <w:ilvl w:val="0"/>
          <w:numId w:val="11"/>
        </w:numPr>
        <w:tabs>
          <w:tab w:val="left" w:pos="284"/>
        </w:tabs>
        <w:spacing w:after="120" w:line="240" w:lineRule="auto"/>
        <w:ind w:left="0" w:firstLine="0"/>
        <w:contextualSpacing w:val="0"/>
        <w:jc w:val="both"/>
        <w:rPr>
          <w:rFonts w:ascii="Times New Roman" w:hAnsi="Times New Roman" w:cs="Times New Roman"/>
          <w:b/>
          <w:sz w:val="26"/>
          <w:szCs w:val="26"/>
        </w:rPr>
      </w:pPr>
      <w:r w:rsidRPr="00CE619D">
        <w:rPr>
          <w:rFonts w:ascii="Times New Roman" w:hAnsi="Times New Roman" w:cs="Times New Roman"/>
          <w:b/>
          <w:sz w:val="26"/>
          <w:szCs w:val="26"/>
        </w:rPr>
        <w:t>Kādi ir veselības aprūpes pakalpojumu eksporta mērķi, galvenie pakalpojumu veidi, atbildīgās institūcijas?</w:t>
      </w:r>
    </w:p>
    <w:p w:rsidR="00CE619D" w:rsidRPr="00CE619D" w:rsidRDefault="00CE619D" w:rsidP="002B55B7">
      <w:pPr>
        <w:spacing w:after="0" w:line="240" w:lineRule="auto"/>
        <w:rPr>
          <w:rFonts w:ascii="Times New Roman" w:hAnsi="Times New Roman" w:cs="Times New Roman"/>
          <w:sz w:val="26"/>
          <w:szCs w:val="26"/>
        </w:rPr>
      </w:pPr>
      <w:r w:rsidRPr="00CE619D">
        <w:rPr>
          <w:rFonts w:ascii="Times New Roman" w:hAnsi="Times New Roman" w:cs="Times New Roman"/>
          <w:sz w:val="26"/>
          <w:szCs w:val="26"/>
        </w:rPr>
        <w:t>Veselības aprūpes pakalpojumu eksporta mērķis ir veicināt:</w:t>
      </w:r>
    </w:p>
    <w:p w:rsidR="00CE619D" w:rsidRPr="00CE619D" w:rsidRDefault="00CE619D" w:rsidP="006F2914">
      <w:pPr>
        <w:pStyle w:val="ListParagraph"/>
        <w:numPr>
          <w:ilvl w:val="0"/>
          <w:numId w:val="12"/>
        </w:numPr>
        <w:spacing w:after="20" w:line="240" w:lineRule="auto"/>
        <w:ind w:left="714" w:hanging="357"/>
        <w:jc w:val="both"/>
        <w:rPr>
          <w:rFonts w:ascii="Times New Roman" w:hAnsi="Times New Roman" w:cs="Times New Roman"/>
          <w:sz w:val="26"/>
          <w:szCs w:val="26"/>
        </w:rPr>
      </w:pPr>
      <w:r w:rsidRPr="00CE619D">
        <w:rPr>
          <w:rFonts w:ascii="Times New Roman" w:hAnsi="Times New Roman" w:cs="Times New Roman"/>
          <w:sz w:val="26"/>
          <w:szCs w:val="26"/>
        </w:rPr>
        <w:lastRenderedPageBreak/>
        <w:t>ārvalstu finanšu līdzekļu piesaisti veselības aprūpes nozarei valstī;</w:t>
      </w:r>
    </w:p>
    <w:p w:rsidR="00CE619D" w:rsidRPr="00CE619D" w:rsidRDefault="00CE619D" w:rsidP="006F2914">
      <w:pPr>
        <w:pStyle w:val="ListParagraph"/>
        <w:numPr>
          <w:ilvl w:val="0"/>
          <w:numId w:val="12"/>
        </w:numPr>
        <w:spacing w:after="20" w:line="240" w:lineRule="auto"/>
        <w:ind w:left="714" w:hanging="357"/>
        <w:jc w:val="both"/>
        <w:rPr>
          <w:rFonts w:ascii="Times New Roman" w:hAnsi="Times New Roman" w:cs="Times New Roman"/>
          <w:sz w:val="26"/>
          <w:szCs w:val="26"/>
        </w:rPr>
      </w:pPr>
      <w:r w:rsidRPr="00CE619D">
        <w:rPr>
          <w:rFonts w:ascii="Times New Roman" w:hAnsi="Times New Roman" w:cs="Times New Roman"/>
          <w:sz w:val="26"/>
          <w:szCs w:val="26"/>
        </w:rPr>
        <w:t>veselības aprūpes pakalpojumu sniedzēju konkurēt spējas attīstību;</w:t>
      </w:r>
    </w:p>
    <w:p w:rsidR="00CE619D" w:rsidRPr="00CE619D" w:rsidRDefault="00CE619D" w:rsidP="006F2914">
      <w:pPr>
        <w:pStyle w:val="ListParagraph"/>
        <w:numPr>
          <w:ilvl w:val="0"/>
          <w:numId w:val="12"/>
        </w:numPr>
        <w:spacing w:after="20" w:line="240" w:lineRule="auto"/>
        <w:ind w:left="714" w:hanging="357"/>
        <w:jc w:val="both"/>
        <w:rPr>
          <w:rFonts w:ascii="Times New Roman" w:hAnsi="Times New Roman" w:cs="Times New Roman"/>
          <w:sz w:val="26"/>
          <w:szCs w:val="26"/>
        </w:rPr>
      </w:pPr>
      <w:r w:rsidRPr="00CE619D">
        <w:rPr>
          <w:rFonts w:ascii="Times New Roman" w:hAnsi="Times New Roman" w:cs="Times New Roman"/>
          <w:sz w:val="26"/>
          <w:szCs w:val="26"/>
        </w:rPr>
        <w:t>cilvēkresursu attīstību un piesaisti vietējam darba tirgum.</w:t>
      </w:r>
    </w:p>
    <w:p w:rsidR="00CE619D" w:rsidRPr="00CE619D" w:rsidRDefault="00CE619D" w:rsidP="002B55B7">
      <w:pPr>
        <w:spacing w:after="0" w:line="240" w:lineRule="auto"/>
        <w:ind w:left="720"/>
        <w:jc w:val="both"/>
        <w:rPr>
          <w:rFonts w:ascii="Times New Roman" w:hAnsi="Times New Roman" w:cs="Times New Roman"/>
          <w:sz w:val="26"/>
          <w:szCs w:val="26"/>
        </w:rPr>
      </w:pPr>
    </w:p>
    <w:p w:rsidR="00CE619D" w:rsidRPr="00CE619D" w:rsidRDefault="00CE619D" w:rsidP="002B55B7">
      <w:pPr>
        <w:spacing w:after="0" w:line="240" w:lineRule="auto"/>
        <w:jc w:val="both"/>
        <w:rPr>
          <w:rFonts w:ascii="Times New Roman" w:hAnsi="Times New Roman" w:cs="Times New Roman"/>
          <w:sz w:val="26"/>
          <w:szCs w:val="26"/>
        </w:rPr>
      </w:pPr>
      <w:r w:rsidRPr="00CE619D">
        <w:rPr>
          <w:rFonts w:ascii="Times New Roman" w:hAnsi="Times New Roman" w:cs="Times New Roman"/>
          <w:sz w:val="26"/>
          <w:szCs w:val="26"/>
        </w:rPr>
        <w:t>Galvenie pakalpoju</w:t>
      </w:r>
      <w:r w:rsidR="00D54D2A">
        <w:rPr>
          <w:rFonts w:ascii="Times New Roman" w:hAnsi="Times New Roman" w:cs="Times New Roman"/>
          <w:sz w:val="26"/>
          <w:szCs w:val="26"/>
        </w:rPr>
        <w:t>mu</w:t>
      </w:r>
      <w:r w:rsidRPr="00CE619D">
        <w:rPr>
          <w:rFonts w:ascii="Times New Roman" w:hAnsi="Times New Roman" w:cs="Times New Roman"/>
          <w:sz w:val="26"/>
          <w:szCs w:val="26"/>
        </w:rPr>
        <w:t xml:space="preserve"> veidi:</w:t>
      </w:r>
    </w:p>
    <w:p w:rsidR="00CE619D" w:rsidRPr="00CE619D" w:rsidRDefault="00CE619D" w:rsidP="00741754">
      <w:pPr>
        <w:pStyle w:val="ListParagraph"/>
        <w:numPr>
          <w:ilvl w:val="0"/>
          <w:numId w:val="13"/>
        </w:numPr>
        <w:spacing w:after="0" w:line="240" w:lineRule="auto"/>
        <w:jc w:val="both"/>
        <w:rPr>
          <w:rFonts w:ascii="Times New Roman" w:hAnsi="Times New Roman" w:cs="Times New Roman"/>
          <w:sz w:val="26"/>
          <w:szCs w:val="26"/>
        </w:rPr>
      </w:pPr>
      <w:r w:rsidRPr="00CE619D">
        <w:rPr>
          <w:rFonts w:ascii="Times New Roman" w:hAnsi="Times New Roman" w:cs="Times New Roman"/>
          <w:sz w:val="26"/>
          <w:szCs w:val="26"/>
        </w:rPr>
        <w:t>specializētie veselības aprūpes pakalpojumi;</w:t>
      </w:r>
    </w:p>
    <w:p w:rsidR="00CE619D" w:rsidRPr="00CE619D" w:rsidRDefault="00CE619D" w:rsidP="00741754">
      <w:pPr>
        <w:pStyle w:val="ListParagraph"/>
        <w:numPr>
          <w:ilvl w:val="0"/>
          <w:numId w:val="13"/>
        </w:numPr>
        <w:spacing w:after="0" w:line="240" w:lineRule="auto"/>
        <w:jc w:val="both"/>
        <w:rPr>
          <w:rFonts w:ascii="Times New Roman" w:hAnsi="Times New Roman" w:cs="Times New Roman"/>
          <w:sz w:val="26"/>
          <w:szCs w:val="26"/>
        </w:rPr>
      </w:pPr>
      <w:r w:rsidRPr="00CE619D">
        <w:rPr>
          <w:rFonts w:ascii="Times New Roman" w:hAnsi="Times New Roman" w:cs="Times New Roman"/>
          <w:sz w:val="26"/>
          <w:szCs w:val="26"/>
        </w:rPr>
        <w:t>veselības aprūpes jomā nodarbināto cilvēkresursu profesionālā izglītošana.</w:t>
      </w:r>
    </w:p>
    <w:p w:rsidR="00CE619D" w:rsidRPr="00CE619D" w:rsidRDefault="00CE619D" w:rsidP="002B55B7">
      <w:pPr>
        <w:spacing w:after="0" w:line="240" w:lineRule="auto"/>
        <w:jc w:val="both"/>
        <w:rPr>
          <w:rFonts w:ascii="Times New Roman" w:hAnsi="Times New Roman" w:cs="Times New Roman"/>
          <w:sz w:val="26"/>
          <w:szCs w:val="26"/>
        </w:rPr>
      </w:pPr>
    </w:p>
    <w:p w:rsidR="00CE619D" w:rsidRPr="00CE619D" w:rsidRDefault="00CE619D" w:rsidP="002B55B7">
      <w:pPr>
        <w:spacing w:after="0" w:line="240" w:lineRule="auto"/>
        <w:jc w:val="both"/>
        <w:rPr>
          <w:rFonts w:ascii="Times New Roman" w:hAnsi="Times New Roman" w:cs="Times New Roman"/>
          <w:sz w:val="26"/>
          <w:szCs w:val="26"/>
        </w:rPr>
      </w:pPr>
      <w:r w:rsidRPr="00CE619D">
        <w:rPr>
          <w:rFonts w:ascii="Times New Roman" w:hAnsi="Times New Roman" w:cs="Times New Roman"/>
          <w:sz w:val="26"/>
          <w:szCs w:val="26"/>
        </w:rPr>
        <w:t>Atbildīgās institūcijas:</w:t>
      </w:r>
    </w:p>
    <w:p w:rsidR="00CE619D" w:rsidRPr="00CE619D" w:rsidRDefault="00CE619D" w:rsidP="006F2914">
      <w:pPr>
        <w:pStyle w:val="ListParagraph"/>
        <w:numPr>
          <w:ilvl w:val="0"/>
          <w:numId w:val="14"/>
        </w:numPr>
        <w:spacing w:after="20" w:line="240" w:lineRule="auto"/>
        <w:ind w:left="714" w:hanging="357"/>
        <w:rPr>
          <w:rFonts w:ascii="Times New Roman" w:hAnsi="Times New Roman" w:cs="Times New Roman"/>
          <w:sz w:val="26"/>
          <w:szCs w:val="26"/>
        </w:rPr>
      </w:pPr>
      <w:r w:rsidRPr="00CE619D">
        <w:rPr>
          <w:rFonts w:ascii="Times New Roman" w:hAnsi="Times New Roman" w:cs="Times New Roman"/>
          <w:sz w:val="26"/>
          <w:szCs w:val="26"/>
        </w:rPr>
        <w:t>Veselības ministrija, kā nozares politikas veidotāja;</w:t>
      </w:r>
    </w:p>
    <w:p w:rsidR="00CE619D" w:rsidRPr="00CE619D" w:rsidRDefault="00CE619D" w:rsidP="006F2914">
      <w:pPr>
        <w:pStyle w:val="ListParagraph"/>
        <w:numPr>
          <w:ilvl w:val="0"/>
          <w:numId w:val="14"/>
        </w:numPr>
        <w:spacing w:after="20" w:line="240" w:lineRule="auto"/>
        <w:ind w:left="714" w:hanging="357"/>
        <w:rPr>
          <w:rFonts w:ascii="Times New Roman" w:hAnsi="Times New Roman" w:cs="Times New Roman"/>
          <w:sz w:val="26"/>
          <w:szCs w:val="26"/>
        </w:rPr>
      </w:pPr>
      <w:r w:rsidRPr="00CE619D">
        <w:rPr>
          <w:rFonts w:ascii="Times New Roman" w:hAnsi="Times New Roman" w:cs="Times New Roman"/>
          <w:sz w:val="26"/>
          <w:szCs w:val="26"/>
        </w:rPr>
        <w:t>vietējās pašvaldības veselības aprūpes  pakalpojumu pieejamības jautājumā;</w:t>
      </w:r>
    </w:p>
    <w:p w:rsidR="00CE619D" w:rsidRPr="00CE619D" w:rsidRDefault="00CE619D" w:rsidP="006F2914">
      <w:pPr>
        <w:pStyle w:val="ListParagraph"/>
        <w:numPr>
          <w:ilvl w:val="0"/>
          <w:numId w:val="14"/>
        </w:numPr>
        <w:spacing w:after="20" w:line="240" w:lineRule="auto"/>
        <w:ind w:left="714" w:hanging="357"/>
        <w:rPr>
          <w:rFonts w:ascii="Times New Roman" w:hAnsi="Times New Roman" w:cs="Times New Roman"/>
          <w:sz w:val="26"/>
          <w:szCs w:val="26"/>
        </w:rPr>
      </w:pPr>
      <w:r w:rsidRPr="00CE619D">
        <w:rPr>
          <w:rFonts w:ascii="Times New Roman" w:hAnsi="Times New Roman" w:cs="Times New Roman"/>
          <w:sz w:val="26"/>
          <w:szCs w:val="26"/>
        </w:rPr>
        <w:t>Veselības inspekcija veselības aprūpes  pakalpojuma kvalitātes jomā;</w:t>
      </w:r>
    </w:p>
    <w:p w:rsidR="00CE619D" w:rsidRPr="00CE619D" w:rsidRDefault="00CE619D" w:rsidP="006F2914">
      <w:pPr>
        <w:pStyle w:val="ListParagraph"/>
        <w:numPr>
          <w:ilvl w:val="0"/>
          <w:numId w:val="14"/>
        </w:numPr>
        <w:spacing w:after="20" w:line="240" w:lineRule="auto"/>
        <w:ind w:left="714" w:hanging="357"/>
        <w:rPr>
          <w:rFonts w:ascii="Times New Roman" w:hAnsi="Times New Roman" w:cs="Times New Roman"/>
          <w:sz w:val="26"/>
          <w:szCs w:val="26"/>
        </w:rPr>
      </w:pPr>
      <w:r w:rsidRPr="00CE619D">
        <w:rPr>
          <w:rFonts w:ascii="Times New Roman" w:hAnsi="Times New Roman" w:cs="Times New Roman"/>
          <w:sz w:val="26"/>
          <w:szCs w:val="26"/>
        </w:rPr>
        <w:t>Veselības norēķinu centrs un Veselības ekonomikas centrs veselības aprūpes pakalpojumu cenu  veidošanā.</w:t>
      </w:r>
    </w:p>
    <w:p w:rsidR="00E221C3" w:rsidRDefault="00CE619D" w:rsidP="002B55B7">
      <w:pPr>
        <w:spacing w:after="0" w:line="240" w:lineRule="auto"/>
        <w:jc w:val="both"/>
        <w:rPr>
          <w:rFonts w:ascii="Times New Roman" w:hAnsi="Times New Roman" w:cs="Times New Roman"/>
          <w:sz w:val="26"/>
          <w:szCs w:val="26"/>
        </w:rPr>
      </w:pPr>
      <w:r w:rsidRPr="00CE619D">
        <w:rPr>
          <w:rFonts w:ascii="Times New Roman" w:hAnsi="Times New Roman" w:cs="Times New Roman"/>
          <w:sz w:val="26"/>
          <w:szCs w:val="26"/>
        </w:rPr>
        <w:t xml:space="preserve">  </w:t>
      </w:r>
    </w:p>
    <w:p w:rsidR="00E221C3" w:rsidRPr="00CE619D" w:rsidRDefault="00E221C3" w:rsidP="002B55B7">
      <w:pPr>
        <w:spacing w:after="0" w:line="240" w:lineRule="auto"/>
        <w:jc w:val="both"/>
        <w:rPr>
          <w:rFonts w:ascii="Times New Roman" w:hAnsi="Times New Roman" w:cs="Times New Roman"/>
          <w:sz w:val="26"/>
          <w:szCs w:val="26"/>
        </w:rPr>
      </w:pPr>
    </w:p>
    <w:p w:rsidR="00CE619D" w:rsidRPr="00382392" w:rsidRDefault="00CE619D" w:rsidP="00695A50">
      <w:pPr>
        <w:pStyle w:val="ListParagraph"/>
        <w:numPr>
          <w:ilvl w:val="0"/>
          <w:numId w:val="11"/>
        </w:numPr>
        <w:tabs>
          <w:tab w:val="left" w:pos="284"/>
        </w:tabs>
        <w:spacing w:after="120" w:line="240" w:lineRule="auto"/>
        <w:ind w:left="0" w:firstLine="0"/>
        <w:jc w:val="both"/>
        <w:rPr>
          <w:rFonts w:ascii="Times New Roman" w:hAnsi="Times New Roman" w:cs="Times New Roman"/>
          <w:b/>
          <w:sz w:val="26"/>
          <w:szCs w:val="26"/>
        </w:rPr>
      </w:pPr>
      <w:r w:rsidRPr="00382392">
        <w:rPr>
          <w:rFonts w:ascii="Times New Roman" w:hAnsi="Times New Roman" w:cs="Times New Roman"/>
          <w:b/>
          <w:sz w:val="26"/>
          <w:szCs w:val="26"/>
        </w:rPr>
        <w:t>Kāda ir pašreizējā situācija veselības aprūpes pakalpojumu eksporta jomā?</w:t>
      </w:r>
    </w:p>
    <w:p w:rsidR="00CE619D" w:rsidRPr="00CE619D" w:rsidRDefault="00CE619D" w:rsidP="006F2914">
      <w:pPr>
        <w:spacing w:after="60" w:line="240" w:lineRule="auto"/>
        <w:ind w:firstLine="567"/>
        <w:jc w:val="both"/>
        <w:rPr>
          <w:rFonts w:ascii="Times New Roman" w:hAnsi="Times New Roman" w:cs="Times New Roman"/>
          <w:bCs/>
          <w:sz w:val="26"/>
          <w:szCs w:val="26"/>
        </w:rPr>
      </w:pPr>
      <w:r w:rsidRPr="00CE619D">
        <w:rPr>
          <w:rFonts w:ascii="Times New Roman" w:hAnsi="Times New Roman" w:cs="Times New Roman"/>
          <w:sz w:val="26"/>
          <w:szCs w:val="26"/>
        </w:rPr>
        <w:t>Šobrīd Ministru kabineta 2006.gada 19.decembra noteikumi Nr.1046 „Veselības aprūpes organizēšanas un finansēšanas kārtība” (turpmāk – Noteikumi) nosaka veselības aprūpes organizēšanas un finansēšanas kārtību, to ārstniecības pakalpojumu veidus un apjomus, kuri tiek apmaksāti no valsts budžeta un pakalpojuma saņēmēja līdzekļiem. Tajā skaitā Noteikumi nosaka k</w:t>
      </w:r>
      <w:r w:rsidRPr="00CE619D">
        <w:rPr>
          <w:rFonts w:ascii="Times New Roman" w:hAnsi="Times New Roman" w:cs="Times New Roman"/>
          <w:bCs/>
          <w:sz w:val="26"/>
          <w:szCs w:val="26"/>
        </w:rPr>
        <w:t>ārtību, kādā Eiropas Savienības, Eiropas Ekonomiskās Zonas dalībvalstu un Šveices sociālā nodrošinājuma sistēmas ietvaros apdrošinātās personas saņem veselības aprūpes pakalpojumus Latvijas Republikā. 2010.gadā Noteikumos ir veikti grozījumi, kas nosaka, ka</w:t>
      </w:r>
      <w:r w:rsidRPr="00CE619D">
        <w:rPr>
          <w:rFonts w:ascii="Times New Roman" w:hAnsi="Times New Roman" w:cs="Times New Roman"/>
          <w:sz w:val="26"/>
          <w:szCs w:val="26"/>
        </w:rPr>
        <w:t xml:space="preserve"> </w:t>
      </w:r>
      <w:r w:rsidRPr="00CE619D">
        <w:rPr>
          <w:rFonts w:ascii="Times New Roman" w:hAnsi="Times New Roman" w:cs="Times New Roman"/>
          <w:i/>
          <w:sz w:val="26"/>
          <w:szCs w:val="26"/>
        </w:rPr>
        <w:t>ārstniecības iestādes norēķinus par pakalpojuma sniegšanu personām</w:t>
      </w:r>
      <w:r w:rsidRPr="00CE619D">
        <w:rPr>
          <w:rFonts w:ascii="Times New Roman" w:hAnsi="Times New Roman" w:cs="Times New Roman"/>
          <w:sz w:val="26"/>
          <w:szCs w:val="26"/>
        </w:rPr>
        <w:t>, kuras ir</w:t>
      </w:r>
      <w:r w:rsidRPr="00CE619D">
        <w:rPr>
          <w:rFonts w:ascii="Times New Roman" w:hAnsi="Times New Roman" w:cs="Times New Roman"/>
          <w:bCs/>
          <w:sz w:val="26"/>
          <w:szCs w:val="26"/>
        </w:rPr>
        <w:t xml:space="preserve"> Eiropas Savienības, Eiropas Ekonomiskās Zonas dalībvalstu un Šveices sociālā nodrošinājuma sistēmas ietvaros apdrošinātas, </w:t>
      </w:r>
      <w:r w:rsidRPr="00CE619D">
        <w:rPr>
          <w:rFonts w:ascii="Times New Roman" w:hAnsi="Times New Roman" w:cs="Times New Roman"/>
          <w:bCs/>
          <w:i/>
          <w:sz w:val="26"/>
          <w:szCs w:val="26"/>
        </w:rPr>
        <w:t>saņem pēc faktiski veiktā darba</w:t>
      </w:r>
      <w:r w:rsidRPr="00CE619D">
        <w:rPr>
          <w:rFonts w:ascii="Times New Roman" w:hAnsi="Times New Roman" w:cs="Times New Roman"/>
          <w:sz w:val="26"/>
          <w:szCs w:val="26"/>
        </w:rPr>
        <w:t xml:space="preserve">, t.i., nauda </w:t>
      </w:r>
      <w:r w:rsidRPr="00CE619D">
        <w:rPr>
          <w:rFonts w:ascii="Times New Roman" w:hAnsi="Times New Roman" w:cs="Times New Roman"/>
          <w:bCs/>
          <w:sz w:val="26"/>
          <w:szCs w:val="26"/>
        </w:rPr>
        <w:t xml:space="preserve">seko pacientam un tas kalpo kā motivējošs faktors ārstniecības iestādēm piesaistot klientus no citām ES dalībvalstīm. </w:t>
      </w:r>
    </w:p>
    <w:p w:rsidR="00C858A7" w:rsidRPr="00CE619D" w:rsidRDefault="00CE619D" w:rsidP="006F2914">
      <w:pPr>
        <w:spacing w:after="60" w:line="240" w:lineRule="auto"/>
        <w:ind w:firstLine="567"/>
        <w:jc w:val="both"/>
        <w:rPr>
          <w:rFonts w:ascii="Times New Roman" w:hAnsi="Times New Roman" w:cs="Times New Roman"/>
          <w:bCs/>
          <w:sz w:val="26"/>
          <w:szCs w:val="26"/>
        </w:rPr>
      </w:pPr>
      <w:r w:rsidRPr="00CE619D">
        <w:rPr>
          <w:rFonts w:ascii="Times New Roman" w:hAnsi="Times New Roman" w:cs="Times New Roman"/>
          <w:bCs/>
          <w:sz w:val="26"/>
          <w:szCs w:val="26"/>
        </w:rPr>
        <w:t>2010.gadā, apvienojoties vairākām privātām sabiedrībām, kuras nodarbojas ar ārstniecību, ir izveidota sabiedrība „Medicīnas tūrisma centrs”, kas uzsācis plašu mārketinga darbību, sadarbojoties gan ar komersantiem, gan vietējām pašvaldībām. Šajā ietvarā uzsākta aktīva medicīnas tūrisma popularizēšanas kampaņa ārvalstīs. Diemžēl, šobrīd nav pieejami konkrēti dati par ārvalstu klientiem sniegto pakalpojumu apjomiem. Pēc informācijas, ko veselības ministrijai sniedza Medicīnas tūrisma centra pārstāvis, nav iespējams minēt konkrētus rādītāj</w:t>
      </w:r>
      <w:r w:rsidR="006F2914">
        <w:rPr>
          <w:rFonts w:ascii="Times New Roman" w:hAnsi="Times New Roman" w:cs="Times New Roman"/>
          <w:bCs/>
          <w:sz w:val="26"/>
          <w:szCs w:val="26"/>
        </w:rPr>
        <w:t>us pār ārvalstu klientiem 2010.</w:t>
      </w:r>
      <w:r w:rsidRPr="00CE619D">
        <w:rPr>
          <w:rFonts w:ascii="Times New Roman" w:hAnsi="Times New Roman" w:cs="Times New Roman"/>
          <w:bCs/>
          <w:sz w:val="26"/>
          <w:szCs w:val="26"/>
        </w:rPr>
        <w:t>gadā sniegtajiem veselības aprūpes pakalpojumiem, jo sniegtie pakalpojumi sadalās pa Centrā ietilpstošajiem pakalpojuma sniedzējiem un šāda informācija netiek apkopota. Vienlaikus Centra pārstāvis atzīmē stabilu, pakāpenisku ārvalstu klientu skaita pieaugumu.</w:t>
      </w:r>
    </w:p>
    <w:p w:rsidR="00CE619D" w:rsidRPr="00CE619D" w:rsidRDefault="00CE619D" w:rsidP="009E1083">
      <w:pPr>
        <w:autoSpaceDE w:val="0"/>
        <w:autoSpaceDN w:val="0"/>
        <w:adjustRightInd w:val="0"/>
        <w:spacing w:after="60" w:line="240" w:lineRule="auto"/>
        <w:ind w:firstLine="567"/>
        <w:jc w:val="both"/>
        <w:rPr>
          <w:rFonts w:ascii="Times New Roman" w:hAnsi="Times New Roman" w:cs="Times New Roman"/>
          <w:color w:val="000000"/>
          <w:sz w:val="26"/>
          <w:szCs w:val="26"/>
        </w:rPr>
      </w:pPr>
      <w:r w:rsidRPr="00CE619D">
        <w:rPr>
          <w:rFonts w:ascii="Times New Roman" w:hAnsi="Times New Roman" w:cs="Times New Roman"/>
          <w:bCs/>
          <w:sz w:val="26"/>
          <w:szCs w:val="26"/>
        </w:rPr>
        <w:lastRenderedPageBreak/>
        <w:tab/>
      </w:r>
      <w:r w:rsidRPr="00CE619D">
        <w:rPr>
          <w:rFonts w:ascii="Times New Roman" w:hAnsi="Times New Roman" w:cs="Times New Roman"/>
          <w:sz w:val="26"/>
          <w:szCs w:val="26"/>
        </w:rPr>
        <w:t xml:space="preserve">Veselības ministrijas padotības iestāde Rīgas Stradiņa universitāte (turpmāk –  RSU) </w:t>
      </w:r>
      <w:r w:rsidRPr="00CE619D">
        <w:rPr>
          <w:rFonts w:ascii="Times New Roman" w:hAnsi="Times New Roman" w:cs="Times New Roman"/>
          <w:color w:val="000000"/>
          <w:sz w:val="26"/>
          <w:szCs w:val="26"/>
        </w:rPr>
        <w:t>jau 20 gadus realizē studiju programmas ārvalstu studentiem angļu valodā.</w:t>
      </w:r>
      <w:r w:rsidRPr="00CE619D">
        <w:rPr>
          <w:rFonts w:ascii="Times New Roman" w:hAnsi="Times New Roman" w:cs="Times New Roman"/>
          <w:sz w:val="26"/>
          <w:szCs w:val="26"/>
        </w:rPr>
        <w:t xml:space="preserve"> </w:t>
      </w:r>
      <w:r w:rsidRPr="00CE619D">
        <w:rPr>
          <w:rFonts w:ascii="Times New Roman" w:hAnsi="Times New Roman" w:cs="Times New Roman"/>
          <w:color w:val="000000"/>
          <w:sz w:val="26"/>
          <w:szCs w:val="26"/>
        </w:rPr>
        <w:t xml:space="preserve">RSU patlaban pilna laika studiju programmās </w:t>
      </w:r>
      <w:r w:rsidRPr="00CE619D">
        <w:rPr>
          <w:rFonts w:ascii="Times New Roman" w:hAnsi="Times New Roman" w:cs="Times New Roman"/>
          <w:i/>
          <w:color w:val="000000"/>
          <w:sz w:val="26"/>
          <w:szCs w:val="26"/>
        </w:rPr>
        <w:t>medicīnā un stomatoloģijā</w:t>
      </w:r>
      <w:r w:rsidRPr="00CE619D">
        <w:rPr>
          <w:rFonts w:ascii="Times New Roman" w:hAnsi="Times New Roman" w:cs="Times New Roman"/>
          <w:color w:val="000000"/>
          <w:sz w:val="26"/>
          <w:szCs w:val="26"/>
        </w:rPr>
        <w:t xml:space="preserve"> studē ap 250 ārvalstnieku no sekojošām valstīm: Amerikas Savienotajām Valstīm, Francijas, Igaunijas, Itālijas, Izraēlas, Kanādas, Lielbritānijas, Nīderlandes, Nigērijas, Norvēģijas, Polija, Somijas, Šrilankas, Vācijas, Zviedrijas. Vairāk kā puse  studentu ir no Zviedrijas un Norvēģijas. </w:t>
      </w:r>
    </w:p>
    <w:p w:rsidR="00CE619D" w:rsidRPr="00CE619D" w:rsidRDefault="00CE619D" w:rsidP="009E1083">
      <w:pPr>
        <w:autoSpaceDE w:val="0"/>
        <w:autoSpaceDN w:val="0"/>
        <w:adjustRightInd w:val="0"/>
        <w:spacing w:after="60" w:line="240" w:lineRule="auto"/>
        <w:ind w:firstLine="567"/>
        <w:jc w:val="both"/>
        <w:rPr>
          <w:rFonts w:ascii="Times New Roman" w:hAnsi="Times New Roman" w:cs="Times New Roman"/>
          <w:color w:val="000000"/>
          <w:sz w:val="26"/>
          <w:szCs w:val="26"/>
        </w:rPr>
      </w:pPr>
      <w:r w:rsidRPr="00CE619D">
        <w:rPr>
          <w:rFonts w:ascii="Times New Roman" w:hAnsi="Times New Roman" w:cs="Times New Roman"/>
          <w:color w:val="000000"/>
          <w:sz w:val="26"/>
          <w:szCs w:val="26"/>
        </w:rPr>
        <w:t>Šajā mācību gādā plānojams, ka RSU 15 ārvalstu studenti iegūs izglītību apliecinošus dokumentus. Pilna laika studiju programmās  RSU kopumā 2010/2011. mācību gadā studē 380 ārvalstu studenti. Ņemot vērā, ka viena ārvalstu studējošā</w:t>
      </w:r>
      <w:r w:rsidR="00274947">
        <w:rPr>
          <w:rFonts w:ascii="Times New Roman" w:hAnsi="Times New Roman" w:cs="Times New Roman"/>
          <w:color w:val="000000"/>
          <w:sz w:val="26"/>
          <w:szCs w:val="26"/>
        </w:rPr>
        <w:t xml:space="preserve"> izmaksas gadā sastāda  5 860 LVL</w:t>
      </w:r>
      <w:r w:rsidRPr="00CE619D">
        <w:rPr>
          <w:rFonts w:ascii="Times New Roman" w:hAnsi="Times New Roman" w:cs="Times New Roman"/>
          <w:color w:val="000000"/>
          <w:sz w:val="26"/>
          <w:szCs w:val="26"/>
        </w:rPr>
        <w:t>, kopējie RSU ieņēmumi mācību g</w:t>
      </w:r>
      <w:r w:rsidR="006F2914">
        <w:rPr>
          <w:rFonts w:ascii="Times New Roman" w:hAnsi="Times New Roman" w:cs="Times New Roman"/>
          <w:color w:val="000000"/>
          <w:sz w:val="26"/>
          <w:szCs w:val="26"/>
        </w:rPr>
        <w:t>ada laikā rēķināmi 2 225 </w:t>
      </w:r>
      <w:r w:rsidR="00274947">
        <w:rPr>
          <w:rFonts w:ascii="Times New Roman" w:hAnsi="Times New Roman" w:cs="Times New Roman"/>
          <w:color w:val="000000"/>
          <w:sz w:val="26"/>
          <w:szCs w:val="26"/>
        </w:rPr>
        <w:t>660</w:t>
      </w:r>
      <w:r w:rsidR="006F2914">
        <w:rPr>
          <w:rFonts w:ascii="Times New Roman" w:hAnsi="Times New Roman" w:cs="Times New Roman"/>
          <w:color w:val="000000"/>
          <w:sz w:val="26"/>
          <w:szCs w:val="26"/>
        </w:rPr>
        <w:t> </w:t>
      </w:r>
      <w:r w:rsidR="00274947">
        <w:rPr>
          <w:rFonts w:ascii="Times New Roman" w:hAnsi="Times New Roman" w:cs="Times New Roman"/>
          <w:color w:val="000000"/>
          <w:sz w:val="26"/>
          <w:szCs w:val="26"/>
        </w:rPr>
        <w:t>LVL</w:t>
      </w:r>
      <w:r w:rsidRPr="00CE619D">
        <w:rPr>
          <w:rFonts w:ascii="Times New Roman" w:hAnsi="Times New Roman" w:cs="Times New Roman"/>
          <w:color w:val="000000"/>
          <w:sz w:val="26"/>
          <w:szCs w:val="26"/>
        </w:rPr>
        <w:t xml:space="preserve"> apmērā.</w:t>
      </w:r>
    </w:p>
    <w:p w:rsidR="00CE619D" w:rsidRPr="00CE619D" w:rsidRDefault="00CE619D" w:rsidP="009E1083">
      <w:pPr>
        <w:autoSpaceDE w:val="0"/>
        <w:autoSpaceDN w:val="0"/>
        <w:adjustRightInd w:val="0"/>
        <w:spacing w:after="60" w:line="240" w:lineRule="auto"/>
        <w:ind w:firstLine="567"/>
        <w:jc w:val="both"/>
        <w:rPr>
          <w:rFonts w:ascii="Times New Roman" w:hAnsi="Times New Roman" w:cs="Times New Roman"/>
          <w:color w:val="000000"/>
          <w:sz w:val="26"/>
          <w:szCs w:val="26"/>
        </w:rPr>
      </w:pPr>
      <w:r w:rsidRPr="00CE619D">
        <w:rPr>
          <w:rFonts w:ascii="Times New Roman" w:hAnsi="Times New Roman" w:cs="Times New Roman"/>
          <w:color w:val="000000"/>
          <w:sz w:val="26"/>
          <w:szCs w:val="26"/>
        </w:rPr>
        <w:t>Savukārt</w:t>
      </w:r>
      <w:r w:rsidR="00D54D2A">
        <w:rPr>
          <w:rFonts w:ascii="Times New Roman" w:hAnsi="Times New Roman" w:cs="Times New Roman"/>
          <w:color w:val="000000"/>
          <w:sz w:val="26"/>
          <w:szCs w:val="26"/>
        </w:rPr>
        <w:t>,</w:t>
      </w:r>
      <w:r w:rsidRPr="00CE619D">
        <w:rPr>
          <w:rFonts w:ascii="Times New Roman" w:hAnsi="Times New Roman" w:cs="Times New Roman"/>
          <w:color w:val="000000"/>
          <w:sz w:val="26"/>
          <w:szCs w:val="26"/>
        </w:rPr>
        <w:t xml:space="preserve"> uzturoties valstī un par uzturēšanos tērējot tikai pēc Centrālās statistikas pārvaldes datiem aprēķinātos iztikas minimuma patēriņa groza</w:t>
      </w:r>
      <w:r w:rsidR="00274947">
        <w:rPr>
          <w:rFonts w:ascii="Times New Roman" w:hAnsi="Times New Roman" w:cs="Times New Roman"/>
          <w:color w:val="000000"/>
          <w:sz w:val="26"/>
          <w:szCs w:val="26"/>
        </w:rPr>
        <w:t xml:space="preserve"> izdevumus, kas šobrīd ir 171 LVL</w:t>
      </w:r>
      <w:r w:rsidRPr="00CE619D">
        <w:rPr>
          <w:rFonts w:ascii="Times New Roman" w:hAnsi="Times New Roman" w:cs="Times New Roman"/>
          <w:color w:val="000000"/>
          <w:sz w:val="26"/>
          <w:szCs w:val="26"/>
        </w:rPr>
        <w:t xml:space="preserve"> mēnesī, viens studējošais gada laikā L</w:t>
      </w:r>
      <w:r w:rsidR="006F2914">
        <w:rPr>
          <w:rFonts w:ascii="Times New Roman" w:hAnsi="Times New Roman" w:cs="Times New Roman"/>
          <w:color w:val="000000"/>
          <w:sz w:val="26"/>
          <w:szCs w:val="26"/>
        </w:rPr>
        <w:t>atvijā kā minimums tērē 2 </w:t>
      </w:r>
      <w:r w:rsidR="00274947">
        <w:rPr>
          <w:rFonts w:ascii="Times New Roman" w:hAnsi="Times New Roman" w:cs="Times New Roman"/>
          <w:color w:val="000000"/>
          <w:sz w:val="26"/>
          <w:szCs w:val="26"/>
        </w:rPr>
        <w:t>052 LVL</w:t>
      </w:r>
      <w:r w:rsidRPr="00CE619D">
        <w:rPr>
          <w:rFonts w:ascii="Times New Roman" w:hAnsi="Times New Roman" w:cs="Times New Roman"/>
          <w:color w:val="000000"/>
          <w:sz w:val="26"/>
          <w:szCs w:val="26"/>
        </w:rPr>
        <w:t>.</w:t>
      </w:r>
    </w:p>
    <w:p w:rsidR="00CE619D" w:rsidRPr="00CE619D" w:rsidRDefault="00CE619D" w:rsidP="006F2914">
      <w:pPr>
        <w:autoSpaceDE w:val="0"/>
        <w:autoSpaceDN w:val="0"/>
        <w:adjustRightInd w:val="0"/>
        <w:spacing w:after="60" w:line="240" w:lineRule="auto"/>
        <w:ind w:firstLine="567"/>
        <w:jc w:val="both"/>
        <w:rPr>
          <w:rFonts w:ascii="Times New Roman" w:hAnsi="Times New Roman" w:cs="Times New Roman"/>
          <w:sz w:val="26"/>
          <w:szCs w:val="26"/>
        </w:rPr>
      </w:pPr>
      <w:r w:rsidRPr="00CE619D">
        <w:rPr>
          <w:rFonts w:ascii="Times New Roman" w:hAnsi="Times New Roman" w:cs="Times New Roman"/>
          <w:sz w:val="26"/>
          <w:szCs w:val="26"/>
        </w:rPr>
        <w:t xml:space="preserve">2010.gada 24.septembrī Baltijas valstu premjerministru tikšanās laikā tika izveidota jauna </w:t>
      </w:r>
      <w:r w:rsidRPr="00CE619D">
        <w:rPr>
          <w:rFonts w:ascii="Times New Roman" w:hAnsi="Times New Roman" w:cs="Times New Roman"/>
          <w:i/>
          <w:sz w:val="26"/>
          <w:szCs w:val="26"/>
        </w:rPr>
        <w:t>Baltijas Ministru padomes Veselības jautājumu darba grupa</w:t>
      </w:r>
      <w:r w:rsidRPr="00CE619D">
        <w:rPr>
          <w:rFonts w:ascii="Times New Roman" w:hAnsi="Times New Roman" w:cs="Times New Roman"/>
          <w:sz w:val="26"/>
          <w:szCs w:val="26"/>
        </w:rPr>
        <w:t xml:space="preserve"> (Task Force on Health), kurai tika uzdots risināt vairākus jautājumus, t.sk., iespēju izveidot kopīgus specializētus medicīnas centrus efektīvākai Baltijas valstu rīcībā esošo profesionālo iemaņu izmantošanai. Rezultātā 2010.gada nogalē un 2011.gada pirmajās nedēļās notikušas vairākas sanāksmes, kurās eksperti pulcējās, lai risinātu kopīgās sadarbības jautājumu un noteiktu to pakalpojumu veidus, kurus visefektīvāk izmanot savstarpējās sadarbības ietvarā.</w:t>
      </w:r>
    </w:p>
    <w:p w:rsidR="00CE619D" w:rsidRPr="00CE619D" w:rsidRDefault="00CE619D" w:rsidP="006F2914">
      <w:pPr>
        <w:autoSpaceDE w:val="0"/>
        <w:autoSpaceDN w:val="0"/>
        <w:adjustRightInd w:val="0"/>
        <w:spacing w:after="60" w:line="240" w:lineRule="auto"/>
        <w:ind w:firstLine="567"/>
        <w:jc w:val="both"/>
        <w:rPr>
          <w:rFonts w:ascii="Times New Roman" w:hAnsi="Times New Roman" w:cs="Times New Roman"/>
          <w:sz w:val="26"/>
          <w:szCs w:val="26"/>
        </w:rPr>
      </w:pPr>
      <w:r w:rsidRPr="00CE619D">
        <w:rPr>
          <w:rFonts w:ascii="Times New Roman" w:hAnsi="Times New Roman" w:cs="Times New Roman"/>
          <w:sz w:val="26"/>
          <w:szCs w:val="26"/>
        </w:rPr>
        <w:t>Plānots 2011.gadā izveidot katrā no Baltijas valstīm vismaz vienu specializēto centru, kurš sniegtu veselības aprūpes pakalpojumus visām Baltijas valstīm.</w:t>
      </w:r>
    </w:p>
    <w:p w:rsidR="00CE619D" w:rsidRPr="00CE619D" w:rsidRDefault="00CE619D" w:rsidP="006F2914">
      <w:pPr>
        <w:autoSpaceDE w:val="0"/>
        <w:autoSpaceDN w:val="0"/>
        <w:adjustRightInd w:val="0"/>
        <w:spacing w:after="60" w:line="240" w:lineRule="auto"/>
        <w:ind w:firstLine="567"/>
        <w:jc w:val="both"/>
        <w:rPr>
          <w:rFonts w:ascii="Times New Roman" w:hAnsi="Times New Roman" w:cs="Times New Roman"/>
          <w:sz w:val="26"/>
          <w:szCs w:val="26"/>
        </w:rPr>
      </w:pPr>
      <w:r w:rsidRPr="00CE619D">
        <w:rPr>
          <w:rFonts w:ascii="Times New Roman" w:hAnsi="Times New Roman" w:cs="Times New Roman"/>
          <w:sz w:val="26"/>
          <w:szCs w:val="26"/>
        </w:rPr>
        <w:t xml:space="preserve">2010.gadā notika intensīva sadarbība </w:t>
      </w:r>
      <w:r w:rsidRPr="00CE619D">
        <w:rPr>
          <w:rFonts w:ascii="Times New Roman" w:hAnsi="Times New Roman" w:cs="Times New Roman"/>
          <w:i/>
          <w:sz w:val="26"/>
          <w:szCs w:val="26"/>
        </w:rPr>
        <w:t xml:space="preserve">Latvijas - Igaunijas pierobežas darba grupas </w:t>
      </w:r>
      <w:r w:rsidRPr="00CE619D">
        <w:rPr>
          <w:rFonts w:ascii="Times New Roman" w:hAnsi="Times New Roman" w:cs="Times New Roman"/>
          <w:sz w:val="26"/>
          <w:szCs w:val="26"/>
        </w:rPr>
        <w:t>ietvaros. Viens no šīs darba grup</w:t>
      </w:r>
      <w:r w:rsidR="006F2914">
        <w:rPr>
          <w:rFonts w:ascii="Times New Roman" w:hAnsi="Times New Roman" w:cs="Times New Roman"/>
          <w:sz w:val="26"/>
          <w:szCs w:val="26"/>
        </w:rPr>
        <w:t>as uzdevumiem bija definēts kā „</w:t>
      </w:r>
      <w:r w:rsidRPr="00CE619D">
        <w:rPr>
          <w:rFonts w:ascii="Times New Roman" w:hAnsi="Times New Roman" w:cs="Times New Roman"/>
          <w:sz w:val="26"/>
          <w:szCs w:val="26"/>
        </w:rPr>
        <w:t xml:space="preserve">Pārrobežu </w:t>
      </w:r>
      <w:r w:rsidR="006F2914">
        <w:rPr>
          <w:rFonts w:ascii="Times New Roman" w:hAnsi="Times New Roman" w:cs="Times New Roman"/>
          <w:sz w:val="26"/>
          <w:szCs w:val="26"/>
        </w:rPr>
        <w:t>medicīnas pakalpojumu sniegšana”</w:t>
      </w:r>
      <w:r w:rsidRPr="00CE619D">
        <w:rPr>
          <w:rFonts w:ascii="Times New Roman" w:hAnsi="Times New Roman" w:cs="Times New Roman"/>
          <w:sz w:val="26"/>
          <w:szCs w:val="26"/>
        </w:rPr>
        <w:t>. Tās ietvaros, Latvija uzrunāja Igauniju, piedāvājot Latvijas mikroķirurgu pakalpojumus Igaunijas iedzīvotājiem. Pašlaik Igaunijas eksperti analizē un izvērtē izteikto piedāvājumu.</w:t>
      </w:r>
    </w:p>
    <w:p w:rsidR="00CE619D" w:rsidRPr="00CE619D" w:rsidRDefault="00CE619D" w:rsidP="002B55B7">
      <w:pPr>
        <w:autoSpaceDE w:val="0"/>
        <w:autoSpaceDN w:val="0"/>
        <w:adjustRightInd w:val="0"/>
        <w:spacing w:after="0" w:line="240" w:lineRule="auto"/>
        <w:ind w:firstLine="360"/>
        <w:jc w:val="both"/>
        <w:rPr>
          <w:rFonts w:ascii="Times New Roman" w:hAnsi="Times New Roman" w:cs="Times New Roman"/>
          <w:sz w:val="26"/>
          <w:szCs w:val="26"/>
        </w:rPr>
      </w:pPr>
    </w:p>
    <w:p w:rsidR="00CE619D" w:rsidRPr="00382392" w:rsidRDefault="00CE619D" w:rsidP="006F2914">
      <w:pPr>
        <w:pStyle w:val="ListParagraph"/>
        <w:numPr>
          <w:ilvl w:val="0"/>
          <w:numId w:val="11"/>
        </w:numPr>
        <w:tabs>
          <w:tab w:val="left" w:pos="284"/>
        </w:tabs>
        <w:spacing w:after="120" w:line="240" w:lineRule="auto"/>
        <w:ind w:left="0" w:firstLine="0"/>
        <w:jc w:val="both"/>
        <w:rPr>
          <w:rFonts w:ascii="Times New Roman" w:hAnsi="Times New Roman" w:cs="Times New Roman"/>
          <w:b/>
          <w:sz w:val="26"/>
          <w:szCs w:val="26"/>
        </w:rPr>
      </w:pPr>
      <w:r w:rsidRPr="00382392">
        <w:rPr>
          <w:rFonts w:ascii="Times New Roman" w:hAnsi="Times New Roman" w:cs="Times New Roman"/>
          <w:b/>
          <w:sz w:val="26"/>
          <w:szCs w:val="26"/>
        </w:rPr>
        <w:t>Kādas problēmas, šķēršļi veselības aprūpes pakalpojumu eksporta jomā?</w:t>
      </w:r>
    </w:p>
    <w:p w:rsidR="00CE619D" w:rsidRPr="00CE619D" w:rsidRDefault="00CE619D" w:rsidP="002B55B7">
      <w:pPr>
        <w:spacing w:after="0" w:line="240" w:lineRule="auto"/>
        <w:jc w:val="both"/>
        <w:rPr>
          <w:rFonts w:ascii="Times New Roman" w:hAnsi="Times New Roman" w:cs="Times New Roman"/>
          <w:sz w:val="26"/>
          <w:szCs w:val="26"/>
        </w:rPr>
      </w:pPr>
      <w:r w:rsidRPr="00CE619D">
        <w:rPr>
          <w:rFonts w:ascii="Times New Roman" w:hAnsi="Times New Roman" w:cs="Times New Roman"/>
          <w:i/>
          <w:sz w:val="26"/>
          <w:szCs w:val="26"/>
        </w:rPr>
        <w:tab/>
      </w:r>
      <w:r w:rsidRPr="00CE619D">
        <w:rPr>
          <w:rFonts w:ascii="Times New Roman" w:hAnsi="Times New Roman" w:cs="Times New Roman"/>
          <w:sz w:val="26"/>
          <w:szCs w:val="26"/>
        </w:rPr>
        <w:t>Par problēmām un šķēršļiem veselības aprūpes pakalpojuma eksporta jomā uzskatāmi iepriekšējās sadarbības pieredzes trūkums, nenoformējies pastāvīgo sadarbības partneru loks, nepilnīgi izmantotas savstarpējo komunikāciju iespējas, kā arī atsevišķas nepilnības normatīvo aktu jomā.</w:t>
      </w:r>
    </w:p>
    <w:p w:rsidR="00CE619D" w:rsidRPr="00CE619D" w:rsidRDefault="00CE619D" w:rsidP="002B55B7">
      <w:pPr>
        <w:spacing w:after="0" w:line="240" w:lineRule="auto"/>
        <w:jc w:val="both"/>
        <w:rPr>
          <w:rFonts w:ascii="Times New Roman" w:hAnsi="Times New Roman" w:cs="Times New Roman"/>
          <w:sz w:val="26"/>
          <w:szCs w:val="26"/>
        </w:rPr>
      </w:pPr>
    </w:p>
    <w:p w:rsidR="00CE619D" w:rsidRPr="00CE619D" w:rsidRDefault="00CE619D" w:rsidP="002B55B7">
      <w:pPr>
        <w:spacing w:after="0" w:line="240" w:lineRule="auto"/>
        <w:jc w:val="both"/>
        <w:rPr>
          <w:rFonts w:ascii="Times New Roman" w:hAnsi="Times New Roman" w:cs="Times New Roman"/>
          <w:sz w:val="26"/>
          <w:szCs w:val="26"/>
        </w:rPr>
      </w:pPr>
    </w:p>
    <w:p w:rsidR="00CE619D" w:rsidRPr="00382392" w:rsidRDefault="00CE619D" w:rsidP="006F2914">
      <w:pPr>
        <w:pStyle w:val="ListParagraph"/>
        <w:numPr>
          <w:ilvl w:val="0"/>
          <w:numId w:val="11"/>
        </w:numPr>
        <w:tabs>
          <w:tab w:val="left" w:pos="284"/>
        </w:tabs>
        <w:spacing w:after="120" w:line="240" w:lineRule="auto"/>
        <w:ind w:left="0" w:firstLine="0"/>
        <w:jc w:val="both"/>
        <w:rPr>
          <w:rFonts w:ascii="Times New Roman" w:hAnsi="Times New Roman" w:cs="Times New Roman"/>
          <w:b/>
          <w:sz w:val="26"/>
          <w:szCs w:val="26"/>
        </w:rPr>
      </w:pPr>
      <w:r w:rsidRPr="00382392">
        <w:rPr>
          <w:rFonts w:ascii="Times New Roman" w:hAnsi="Times New Roman" w:cs="Times New Roman"/>
          <w:b/>
          <w:sz w:val="26"/>
          <w:szCs w:val="26"/>
        </w:rPr>
        <w:t>Kādi pasākumi un sasniedzamie rezultāti plānoti 2011.gadam?</w:t>
      </w:r>
    </w:p>
    <w:p w:rsidR="00CE619D" w:rsidRPr="00CE619D" w:rsidRDefault="00CE619D" w:rsidP="006F2914">
      <w:pPr>
        <w:spacing w:after="60" w:line="240" w:lineRule="auto"/>
        <w:jc w:val="both"/>
        <w:rPr>
          <w:rFonts w:ascii="Times New Roman" w:hAnsi="Times New Roman" w:cs="Times New Roman"/>
          <w:sz w:val="26"/>
          <w:szCs w:val="26"/>
        </w:rPr>
      </w:pPr>
      <w:r w:rsidRPr="00CE619D">
        <w:rPr>
          <w:rFonts w:ascii="Times New Roman" w:hAnsi="Times New Roman" w:cs="Times New Roman"/>
          <w:sz w:val="26"/>
          <w:szCs w:val="26"/>
        </w:rPr>
        <w:t>2011.gadā ir paredzētas šādas aktivitātes:</w:t>
      </w:r>
    </w:p>
    <w:p w:rsidR="00CE619D" w:rsidRPr="006F2914" w:rsidRDefault="00CE619D" w:rsidP="006F2914">
      <w:pPr>
        <w:pStyle w:val="ListParagraph"/>
        <w:numPr>
          <w:ilvl w:val="0"/>
          <w:numId w:val="29"/>
        </w:numPr>
        <w:spacing w:after="20" w:line="240" w:lineRule="auto"/>
        <w:ind w:left="714" w:hanging="357"/>
        <w:contextualSpacing w:val="0"/>
        <w:jc w:val="both"/>
        <w:rPr>
          <w:rFonts w:ascii="Times New Roman" w:hAnsi="Times New Roman" w:cs="Times New Roman"/>
          <w:sz w:val="26"/>
          <w:szCs w:val="26"/>
        </w:rPr>
      </w:pPr>
      <w:r w:rsidRPr="006F2914">
        <w:rPr>
          <w:rFonts w:ascii="Times New Roman" w:hAnsi="Times New Roman" w:cs="Times New Roman"/>
          <w:sz w:val="26"/>
          <w:szCs w:val="26"/>
        </w:rPr>
        <w:t xml:space="preserve">savstarpēji noteiktu specializēto medicīnas centru  izveidošana starp Baltijas valstīm efektīvu profesionālo iemaņu izmantošanai. Plānots </w:t>
      </w:r>
      <w:r w:rsidRPr="006F2914">
        <w:rPr>
          <w:rFonts w:ascii="Times New Roman" w:hAnsi="Times New Roman" w:cs="Times New Roman"/>
          <w:sz w:val="26"/>
          <w:szCs w:val="26"/>
        </w:rPr>
        <w:lastRenderedPageBreak/>
        <w:t>2011.gadā izveidot katrā Baltijas valstī vismaz vienu specializēto centru, kurš sniegtu veselības aprūpes pakalpojumus visām Baltijas valstīm;</w:t>
      </w:r>
    </w:p>
    <w:p w:rsidR="00CE619D" w:rsidRPr="006F2914" w:rsidRDefault="00CE619D" w:rsidP="006F2914">
      <w:pPr>
        <w:pStyle w:val="ListParagraph"/>
        <w:numPr>
          <w:ilvl w:val="0"/>
          <w:numId w:val="29"/>
        </w:numPr>
        <w:spacing w:after="20" w:line="240" w:lineRule="auto"/>
        <w:ind w:left="714" w:hanging="357"/>
        <w:contextualSpacing w:val="0"/>
        <w:jc w:val="both"/>
        <w:rPr>
          <w:rFonts w:ascii="Times New Roman" w:hAnsi="Times New Roman" w:cs="Times New Roman"/>
          <w:sz w:val="26"/>
          <w:szCs w:val="26"/>
        </w:rPr>
      </w:pPr>
      <w:r w:rsidRPr="006F2914">
        <w:rPr>
          <w:rFonts w:ascii="Times New Roman" w:hAnsi="Times New Roman" w:cs="Times New Roman"/>
          <w:sz w:val="26"/>
          <w:szCs w:val="26"/>
        </w:rPr>
        <w:t>neatliekamās medicīniskās palīdzības organizēšana Baltijas valstu pierobežu teritorijās;</w:t>
      </w:r>
    </w:p>
    <w:p w:rsidR="00CE619D" w:rsidRPr="006F2914" w:rsidRDefault="00CE619D" w:rsidP="006F2914">
      <w:pPr>
        <w:pStyle w:val="ListParagraph"/>
        <w:numPr>
          <w:ilvl w:val="0"/>
          <w:numId w:val="29"/>
        </w:numPr>
        <w:spacing w:after="20" w:line="240" w:lineRule="auto"/>
        <w:ind w:left="714" w:hanging="357"/>
        <w:contextualSpacing w:val="0"/>
        <w:jc w:val="both"/>
        <w:rPr>
          <w:rFonts w:ascii="Times New Roman" w:hAnsi="Times New Roman" w:cs="Times New Roman"/>
          <w:sz w:val="26"/>
          <w:szCs w:val="26"/>
        </w:rPr>
      </w:pPr>
      <w:r w:rsidRPr="006F2914">
        <w:rPr>
          <w:rFonts w:ascii="Times New Roman" w:hAnsi="Times New Roman" w:cs="Times New Roman"/>
          <w:sz w:val="26"/>
          <w:szCs w:val="26"/>
        </w:rPr>
        <w:t>efektīvas funkcionējošas cilvēku orgānu transplantācijas sistēmas izveide Baltijas valstīs;</w:t>
      </w:r>
    </w:p>
    <w:p w:rsidR="00CE619D" w:rsidRPr="006F2914" w:rsidRDefault="00CE619D" w:rsidP="006F2914">
      <w:pPr>
        <w:pStyle w:val="ListParagraph"/>
        <w:numPr>
          <w:ilvl w:val="0"/>
          <w:numId w:val="29"/>
        </w:numPr>
        <w:spacing w:after="20" w:line="240" w:lineRule="auto"/>
        <w:ind w:left="714" w:hanging="357"/>
        <w:contextualSpacing w:val="0"/>
        <w:jc w:val="both"/>
        <w:rPr>
          <w:rFonts w:ascii="Times New Roman" w:hAnsi="Times New Roman" w:cs="Times New Roman"/>
          <w:sz w:val="26"/>
          <w:szCs w:val="26"/>
        </w:rPr>
      </w:pPr>
      <w:r w:rsidRPr="006F2914">
        <w:rPr>
          <w:rFonts w:ascii="Times New Roman" w:hAnsi="Times New Roman" w:cs="Times New Roman"/>
          <w:sz w:val="26"/>
          <w:szCs w:val="26"/>
        </w:rPr>
        <w:t>pilnveidot dienas stacionāru aprūpi ārstniecības iestādēs un prasības darba organizācijai tajos;</w:t>
      </w:r>
    </w:p>
    <w:p w:rsidR="00CE619D" w:rsidRPr="006F2914" w:rsidRDefault="00CE619D" w:rsidP="006F2914">
      <w:pPr>
        <w:pStyle w:val="ListParagraph"/>
        <w:numPr>
          <w:ilvl w:val="0"/>
          <w:numId w:val="29"/>
        </w:numPr>
        <w:spacing w:after="20" w:line="240" w:lineRule="auto"/>
        <w:ind w:left="714" w:hanging="357"/>
        <w:contextualSpacing w:val="0"/>
        <w:jc w:val="both"/>
        <w:rPr>
          <w:rFonts w:ascii="Times New Roman" w:hAnsi="Times New Roman" w:cs="Times New Roman"/>
          <w:sz w:val="26"/>
          <w:szCs w:val="26"/>
        </w:rPr>
      </w:pPr>
      <w:r w:rsidRPr="006F2914">
        <w:rPr>
          <w:rFonts w:ascii="Times New Roman" w:hAnsi="Times New Roman" w:cs="Times New Roman"/>
          <w:sz w:val="26"/>
          <w:szCs w:val="26"/>
        </w:rPr>
        <w:t>veikt stacionāro ārstniecības iestāžu darba kvalitātes kritēriju un sniedzamo pakalpojumu izvērtēšanu;</w:t>
      </w:r>
    </w:p>
    <w:p w:rsidR="00CE619D" w:rsidRPr="006F2914" w:rsidRDefault="00CE619D" w:rsidP="006F2914">
      <w:pPr>
        <w:pStyle w:val="ListParagraph"/>
        <w:numPr>
          <w:ilvl w:val="0"/>
          <w:numId w:val="29"/>
        </w:numPr>
        <w:spacing w:after="20" w:line="240" w:lineRule="auto"/>
        <w:ind w:left="714" w:hanging="357"/>
        <w:contextualSpacing w:val="0"/>
        <w:jc w:val="both"/>
        <w:rPr>
          <w:rFonts w:ascii="Times New Roman" w:hAnsi="Times New Roman" w:cs="Times New Roman"/>
          <w:sz w:val="26"/>
          <w:szCs w:val="26"/>
        </w:rPr>
      </w:pPr>
      <w:r w:rsidRPr="006F2914">
        <w:rPr>
          <w:rFonts w:ascii="Times New Roman" w:hAnsi="Times New Roman" w:cs="Times New Roman"/>
          <w:color w:val="000000"/>
          <w:sz w:val="26"/>
          <w:szCs w:val="26"/>
        </w:rPr>
        <w:t xml:space="preserve">studiju programmas ārvalstu studentiem realizācija </w:t>
      </w:r>
      <w:r w:rsidRPr="006F2914">
        <w:rPr>
          <w:rFonts w:ascii="Times New Roman" w:hAnsi="Times New Roman" w:cs="Times New Roman"/>
          <w:sz w:val="26"/>
          <w:szCs w:val="26"/>
        </w:rPr>
        <w:t xml:space="preserve">Rīgas Stradiņa universitātē (plānots, ka izglītību apliecinošus dokumentus RSU 2011.gadā iegūs 15 ārvalstu studenti). </w:t>
      </w:r>
    </w:p>
    <w:p w:rsidR="00EB15B5" w:rsidRDefault="00EB15B5" w:rsidP="002B55B7">
      <w:pPr>
        <w:spacing w:after="0" w:line="240" w:lineRule="auto"/>
      </w:pPr>
    </w:p>
    <w:p w:rsidR="004320C8" w:rsidRPr="004C3887" w:rsidRDefault="004320C8" w:rsidP="002B55B7">
      <w:pPr>
        <w:tabs>
          <w:tab w:val="left" w:pos="7088"/>
        </w:tabs>
        <w:spacing w:after="0" w:line="240" w:lineRule="auto"/>
        <w:jc w:val="both"/>
        <w:rPr>
          <w:rFonts w:ascii="Times New Roman" w:hAnsi="Times New Roman" w:cs="Times New Roman"/>
          <w:sz w:val="26"/>
          <w:szCs w:val="26"/>
        </w:rPr>
      </w:pPr>
    </w:p>
    <w:p w:rsidR="0054194B" w:rsidRDefault="00803092" w:rsidP="002B55B7">
      <w:pPr>
        <w:tabs>
          <w:tab w:val="left" w:pos="708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Ekonomikas ministrs                                                                              A.Kampars</w:t>
      </w:r>
    </w:p>
    <w:p w:rsidR="00803092" w:rsidRDefault="00803092" w:rsidP="002B55B7">
      <w:pPr>
        <w:pStyle w:val="EnvelopeReturn"/>
        <w:tabs>
          <w:tab w:val="left" w:pos="7088"/>
        </w:tabs>
        <w:rPr>
          <w:rFonts w:ascii="Times New Roman" w:hAnsi="Times New Roman" w:cs="Times New Roman"/>
          <w:color w:val="000000"/>
          <w:sz w:val="26"/>
          <w:szCs w:val="26"/>
        </w:rPr>
      </w:pPr>
    </w:p>
    <w:p w:rsidR="002E592E" w:rsidRPr="004C3887" w:rsidRDefault="002E592E" w:rsidP="002B55B7">
      <w:pPr>
        <w:pStyle w:val="EnvelopeReturn"/>
        <w:tabs>
          <w:tab w:val="left" w:pos="7088"/>
        </w:tabs>
        <w:rPr>
          <w:rFonts w:ascii="Times New Roman" w:hAnsi="Times New Roman" w:cs="Times New Roman"/>
          <w:color w:val="000000"/>
          <w:sz w:val="26"/>
          <w:szCs w:val="26"/>
        </w:rPr>
      </w:pPr>
      <w:r w:rsidRPr="004C3887">
        <w:rPr>
          <w:rFonts w:ascii="Times New Roman" w:hAnsi="Times New Roman" w:cs="Times New Roman"/>
          <w:color w:val="000000"/>
          <w:sz w:val="26"/>
          <w:szCs w:val="26"/>
        </w:rPr>
        <w:t xml:space="preserve">Vīza: </w:t>
      </w:r>
    </w:p>
    <w:p w:rsidR="002E592E" w:rsidRPr="004C3887" w:rsidRDefault="002E592E" w:rsidP="006F2914">
      <w:pPr>
        <w:pStyle w:val="EnvelopeReturn"/>
        <w:rPr>
          <w:rFonts w:ascii="Times New Roman" w:hAnsi="Times New Roman" w:cs="Times New Roman"/>
          <w:sz w:val="26"/>
          <w:szCs w:val="26"/>
        </w:rPr>
      </w:pPr>
      <w:r w:rsidRPr="004C3887">
        <w:rPr>
          <w:rFonts w:ascii="Times New Roman" w:hAnsi="Times New Roman" w:cs="Times New Roman"/>
          <w:color w:val="000000"/>
          <w:sz w:val="26"/>
          <w:szCs w:val="26"/>
        </w:rPr>
        <w:t>Valsts sekretārs</w:t>
      </w:r>
      <w:r w:rsidRPr="004C3887">
        <w:rPr>
          <w:rFonts w:ascii="Times New Roman" w:hAnsi="Times New Roman" w:cs="Times New Roman"/>
          <w:color w:val="000000"/>
          <w:sz w:val="26"/>
          <w:szCs w:val="26"/>
        </w:rPr>
        <w:tab/>
      </w:r>
      <w:r w:rsidR="006F2914">
        <w:rPr>
          <w:rFonts w:ascii="Times New Roman" w:hAnsi="Times New Roman" w:cs="Times New Roman"/>
          <w:color w:val="000000"/>
          <w:sz w:val="26"/>
          <w:szCs w:val="26"/>
        </w:rPr>
        <w:t xml:space="preserve"> </w:t>
      </w:r>
      <w:r w:rsidR="006F2914">
        <w:rPr>
          <w:rFonts w:ascii="Times New Roman" w:hAnsi="Times New Roman" w:cs="Times New Roman"/>
          <w:color w:val="000000"/>
          <w:sz w:val="26"/>
          <w:szCs w:val="26"/>
        </w:rPr>
        <w:tab/>
      </w:r>
      <w:r w:rsidR="006F2914">
        <w:rPr>
          <w:rFonts w:ascii="Times New Roman" w:hAnsi="Times New Roman" w:cs="Times New Roman"/>
          <w:color w:val="000000"/>
          <w:sz w:val="26"/>
          <w:szCs w:val="26"/>
        </w:rPr>
        <w:tab/>
      </w:r>
      <w:r w:rsidR="006F2914">
        <w:rPr>
          <w:rFonts w:ascii="Times New Roman" w:hAnsi="Times New Roman" w:cs="Times New Roman"/>
          <w:color w:val="000000"/>
          <w:sz w:val="26"/>
          <w:szCs w:val="26"/>
        </w:rPr>
        <w:tab/>
      </w:r>
      <w:r w:rsidR="006F2914">
        <w:rPr>
          <w:rFonts w:ascii="Times New Roman" w:hAnsi="Times New Roman" w:cs="Times New Roman"/>
          <w:color w:val="000000"/>
          <w:sz w:val="26"/>
          <w:szCs w:val="26"/>
        </w:rPr>
        <w:tab/>
      </w:r>
      <w:r w:rsidR="006F2914">
        <w:rPr>
          <w:rFonts w:ascii="Times New Roman" w:hAnsi="Times New Roman" w:cs="Times New Roman"/>
          <w:color w:val="000000"/>
          <w:sz w:val="26"/>
          <w:szCs w:val="26"/>
        </w:rPr>
        <w:tab/>
      </w:r>
      <w:r w:rsidR="006F2914">
        <w:rPr>
          <w:rFonts w:ascii="Times New Roman" w:hAnsi="Times New Roman" w:cs="Times New Roman"/>
          <w:color w:val="000000"/>
          <w:sz w:val="26"/>
          <w:szCs w:val="26"/>
        </w:rPr>
        <w:tab/>
      </w:r>
      <w:r w:rsidR="006F2914">
        <w:rPr>
          <w:rFonts w:ascii="Times New Roman" w:hAnsi="Times New Roman" w:cs="Times New Roman"/>
          <w:color w:val="000000"/>
          <w:sz w:val="26"/>
          <w:szCs w:val="26"/>
        </w:rPr>
        <w:tab/>
        <w:t xml:space="preserve">    </w:t>
      </w:r>
      <w:r w:rsidRPr="004C3887">
        <w:rPr>
          <w:rFonts w:ascii="Times New Roman" w:hAnsi="Times New Roman" w:cs="Times New Roman"/>
          <w:color w:val="000000"/>
          <w:sz w:val="26"/>
          <w:szCs w:val="26"/>
        </w:rPr>
        <w:t xml:space="preserve">     J.Pūce</w:t>
      </w:r>
    </w:p>
    <w:p w:rsidR="002E592E" w:rsidRDefault="002E592E" w:rsidP="002B55B7">
      <w:pPr>
        <w:spacing w:after="0" w:line="240" w:lineRule="auto"/>
        <w:rPr>
          <w:rFonts w:ascii="Times New Roman" w:hAnsi="Times New Roman" w:cs="Times New Roman"/>
          <w:sz w:val="26"/>
          <w:szCs w:val="26"/>
        </w:rPr>
      </w:pPr>
    </w:p>
    <w:p w:rsidR="00495D0C" w:rsidRPr="004C3887" w:rsidRDefault="00495D0C" w:rsidP="002B55B7">
      <w:pPr>
        <w:spacing w:after="0" w:line="240" w:lineRule="auto"/>
        <w:rPr>
          <w:rFonts w:ascii="Times New Roman" w:hAnsi="Times New Roman" w:cs="Times New Roman"/>
          <w:sz w:val="26"/>
          <w:szCs w:val="26"/>
        </w:rPr>
      </w:pPr>
    </w:p>
    <w:p w:rsidR="00200615" w:rsidRDefault="00200615" w:rsidP="002B55B7">
      <w:pPr>
        <w:spacing w:after="0" w:line="240" w:lineRule="auto"/>
        <w:rPr>
          <w:rFonts w:ascii="Times New Roman" w:hAnsi="Times New Roman" w:cs="Times New Roman"/>
          <w:sz w:val="26"/>
          <w:szCs w:val="26"/>
        </w:rPr>
      </w:pPr>
    </w:p>
    <w:p w:rsidR="00803092" w:rsidRDefault="00803092" w:rsidP="002B55B7">
      <w:pPr>
        <w:spacing w:after="0" w:line="240" w:lineRule="auto"/>
        <w:rPr>
          <w:rFonts w:ascii="Times New Roman" w:hAnsi="Times New Roman" w:cs="Times New Roman"/>
          <w:sz w:val="26"/>
          <w:szCs w:val="26"/>
        </w:rPr>
      </w:pPr>
    </w:p>
    <w:p w:rsidR="00803092" w:rsidRDefault="00803092" w:rsidP="002B55B7">
      <w:pPr>
        <w:spacing w:after="0" w:line="240" w:lineRule="auto"/>
        <w:rPr>
          <w:rFonts w:ascii="Times New Roman" w:hAnsi="Times New Roman" w:cs="Times New Roman"/>
          <w:sz w:val="26"/>
          <w:szCs w:val="26"/>
        </w:rPr>
      </w:pPr>
    </w:p>
    <w:p w:rsidR="00803092" w:rsidRPr="004C3887" w:rsidRDefault="00803092" w:rsidP="002B55B7">
      <w:pPr>
        <w:spacing w:after="0" w:line="240" w:lineRule="auto"/>
        <w:rPr>
          <w:rFonts w:ascii="Times New Roman" w:hAnsi="Times New Roman" w:cs="Times New Roman"/>
          <w:sz w:val="26"/>
          <w:szCs w:val="26"/>
        </w:rPr>
      </w:pPr>
    </w:p>
    <w:p w:rsidR="002E592E" w:rsidRPr="00A11BAC" w:rsidRDefault="00A57A62" w:rsidP="002B55B7">
      <w:pPr>
        <w:spacing w:after="0" w:line="240" w:lineRule="auto"/>
        <w:rPr>
          <w:rFonts w:ascii="Times New Roman" w:hAnsi="Times New Roman" w:cs="Times New Roman"/>
        </w:rPr>
      </w:pPr>
      <w:r>
        <w:rPr>
          <w:rFonts w:ascii="Times New Roman" w:hAnsi="Times New Roman" w:cs="Times New Roman"/>
        </w:rPr>
        <w:t>01.03</w:t>
      </w:r>
      <w:r w:rsidR="002E592E" w:rsidRPr="00A11BAC">
        <w:rPr>
          <w:rFonts w:ascii="Times New Roman" w:hAnsi="Times New Roman" w:cs="Times New Roman"/>
        </w:rPr>
        <w:t xml:space="preserve">.2011. </w:t>
      </w:r>
      <w:r w:rsidR="003979F2">
        <w:rPr>
          <w:rFonts w:ascii="Times New Roman" w:hAnsi="Times New Roman" w:cs="Times New Roman"/>
        </w:rPr>
        <w:t>0</w:t>
      </w:r>
      <w:r w:rsidR="00B37F93">
        <w:rPr>
          <w:rFonts w:ascii="Times New Roman" w:hAnsi="Times New Roman" w:cs="Times New Roman"/>
        </w:rPr>
        <w:t>9</w:t>
      </w:r>
      <w:r w:rsidR="002E592E" w:rsidRPr="00A11BAC">
        <w:rPr>
          <w:rFonts w:ascii="Times New Roman" w:hAnsi="Times New Roman" w:cs="Times New Roman"/>
        </w:rPr>
        <w:t>:</w:t>
      </w:r>
      <w:r>
        <w:rPr>
          <w:rFonts w:ascii="Times New Roman" w:hAnsi="Times New Roman" w:cs="Times New Roman"/>
        </w:rPr>
        <w:t>10</w:t>
      </w:r>
    </w:p>
    <w:p w:rsidR="00803092" w:rsidRDefault="003979F2" w:rsidP="002B55B7">
      <w:pPr>
        <w:spacing w:after="0" w:line="240" w:lineRule="auto"/>
        <w:rPr>
          <w:rFonts w:ascii="Times New Roman" w:hAnsi="Times New Roman" w:cs="Times New Roman"/>
        </w:rPr>
      </w:pPr>
      <w:r>
        <w:rPr>
          <w:rFonts w:ascii="Times New Roman" w:hAnsi="Times New Roman" w:cs="Times New Roman"/>
        </w:rPr>
        <w:t>6 052</w:t>
      </w:r>
    </w:p>
    <w:p w:rsidR="002E592E" w:rsidRPr="00A11BAC" w:rsidRDefault="002E592E" w:rsidP="002B55B7">
      <w:pPr>
        <w:spacing w:after="0" w:line="240" w:lineRule="auto"/>
        <w:rPr>
          <w:rFonts w:ascii="Times New Roman" w:hAnsi="Times New Roman" w:cs="Times New Roman"/>
        </w:rPr>
      </w:pPr>
      <w:r w:rsidRPr="00A11BAC">
        <w:rPr>
          <w:rFonts w:ascii="Times New Roman" w:hAnsi="Times New Roman" w:cs="Times New Roman"/>
        </w:rPr>
        <w:t>I.Ozoliņa, 67013138</w:t>
      </w:r>
    </w:p>
    <w:p w:rsidR="00175246" w:rsidRPr="00A11BAC" w:rsidRDefault="00520F1A" w:rsidP="002B55B7">
      <w:pPr>
        <w:spacing w:after="0" w:line="240" w:lineRule="auto"/>
        <w:rPr>
          <w:rFonts w:ascii="Times New Roman" w:hAnsi="Times New Roman" w:cs="Times New Roman"/>
        </w:rPr>
      </w:pPr>
      <w:hyperlink r:id="rId15" w:history="1">
        <w:r w:rsidR="002E592E" w:rsidRPr="00A11BAC">
          <w:rPr>
            <w:rStyle w:val="Hyperlink"/>
            <w:rFonts w:ascii="Times New Roman" w:hAnsi="Times New Roman" w:cs="Times New Roman"/>
          </w:rPr>
          <w:t>Iveta.Ozolina@em.gov.lv</w:t>
        </w:r>
      </w:hyperlink>
    </w:p>
    <w:sectPr w:rsidR="00175246" w:rsidRPr="00A11BAC" w:rsidSect="00143ADB">
      <w:headerReference w:type="even" r:id="rId16"/>
      <w:headerReference w:type="default" r:id="rId17"/>
      <w:footerReference w:type="default" r:id="rId18"/>
      <w:pgSz w:w="11906" w:h="16838"/>
      <w:pgMar w:top="1440" w:right="1700" w:bottom="14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3A" w:rsidRDefault="00DE1D3A" w:rsidP="00A442C3">
      <w:pPr>
        <w:spacing w:after="0" w:line="240" w:lineRule="auto"/>
      </w:pPr>
      <w:r>
        <w:separator/>
      </w:r>
    </w:p>
  </w:endnote>
  <w:endnote w:type="continuationSeparator" w:id="0">
    <w:p w:rsidR="00DE1D3A" w:rsidRDefault="00DE1D3A" w:rsidP="00A44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BA"/>
    <w:family w:val="swiss"/>
    <w:pitch w:val="variable"/>
    <w:sig w:usb0="20000287" w:usb1="00000000" w:usb2="0000000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9563"/>
      <w:docPartObj>
        <w:docPartGallery w:val="Page Numbers (Bottom of Page)"/>
        <w:docPartUnique/>
      </w:docPartObj>
    </w:sdtPr>
    <w:sdtEndPr>
      <w:rPr>
        <w:rFonts w:ascii="Times New Roman" w:hAnsi="Times New Roman" w:cs="Times New Roman"/>
      </w:rPr>
    </w:sdtEndPr>
    <w:sdtContent>
      <w:p w:rsidR="004B631A" w:rsidRDefault="00520F1A">
        <w:pPr>
          <w:pStyle w:val="Footer"/>
          <w:jc w:val="right"/>
        </w:pPr>
      </w:p>
    </w:sdtContent>
  </w:sdt>
  <w:p w:rsidR="004B631A" w:rsidRDefault="004B6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3A" w:rsidRDefault="00DE1D3A" w:rsidP="00A442C3">
      <w:pPr>
        <w:spacing w:after="0" w:line="240" w:lineRule="auto"/>
      </w:pPr>
      <w:r>
        <w:separator/>
      </w:r>
    </w:p>
  </w:footnote>
  <w:footnote w:type="continuationSeparator" w:id="0">
    <w:p w:rsidR="00DE1D3A" w:rsidRDefault="00DE1D3A" w:rsidP="00A44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1A" w:rsidRPr="00E13808" w:rsidRDefault="004B631A">
    <w:pPr>
      <w:pBdr>
        <w:bottom w:val="single" w:sz="6" w:space="1" w:color="auto"/>
      </w:pBdr>
      <w:tabs>
        <w:tab w:val="right" w:pos="9270"/>
      </w:tabs>
      <w:rPr>
        <w:rStyle w:val="PageNumber"/>
        <w:rFonts w:ascii="Garamond" w:hAnsi="Garamond"/>
        <w:b/>
        <w:i/>
        <w:sz w:val="20"/>
        <w:szCs w:val="20"/>
      </w:rPr>
    </w:pPr>
    <w:r w:rsidRPr="00E13808">
      <w:rPr>
        <w:rFonts w:ascii="Garamond" w:hAnsi="Garamond"/>
        <w:b/>
        <w:i/>
        <w:sz w:val="20"/>
        <w:szCs w:val="20"/>
      </w:rPr>
      <w:t>–</w:t>
    </w:r>
    <w:r w:rsidRPr="00E13808">
      <w:rPr>
        <w:rStyle w:val="PageNumber"/>
        <w:rFonts w:ascii="Garamond" w:hAnsi="Garamond"/>
        <w:b/>
        <w:sz w:val="20"/>
        <w:szCs w:val="20"/>
      </w:rPr>
      <w:t xml:space="preserve"> </w:t>
    </w:r>
    <w:r w:rsidR="00520F1A" w:rsidRPr="00E13808">
      <w:rPr>
        <w:rStyle w:val="PageNumber"/>
        <w:rFonts w:ascii="Garamond" w:hAnsi="Garamond"/>
        <w:b/>
        <w:i/>
        <w:sz w:val="20"/>
        <w:szCs w:val="20"/>
      </w:rPr>
      <w:fldChar w:fldCharType="begin"/>
    </w:r>
    <w:r w:rsidRPr="00E13808">
      <w:rPr>
        <w:rStyle w:val="PageNumber"/>
        <w:rFonts w:ascii="Garamond" w:hAnsi="Garamond"/>
        <w:b/>
        <w:sz w:val="20"/>
        <w:szCs w:val="20"/>
      </w:rPr>
      <w:instrText xml:space="preserve"> PAGE </w:instrText>
    </w:r>
    <w:r w:rsidR="00520F1A" w:rsidRPr="00E13808">
      <w:rPr>
        <w:rStyle w:val="PageNumber"/>
        <w:rFonts w:ascii="Garamond" w:hAnsi="Garamond"/>
        <w:b/>
        <w:i/>
        <w:sz w:val="20"/>
        <w:szCs w:val="20"/>
      </w:rPr>
      <w:fldChar w:fldCharType="separate"/>
    </w:r>
    <w:r>
      <w:rPr>
        <w:rStyle w:val="PageNumber"/>
        <w:rFonts w:ascii="Garamond" w:hAnsi="Garamond"/>
        <w:b/>
        <w:noProof/>
        <w:sz w:val="20"/>
        <w:szCs w:val="20"/>
      </w:rPr>
      <w:t>24</w:t>
    </w:r>
    <w:r w:rsidR="00520F1A" w:rsidRPr="00E13808">
      <w:rPr>
        <w:rStyle w:val="PageNumber"/>
        <w:rFonts w:ascii="Garamond" w:hAnsi="Garamond"/>
        <w:b/>
        <w:i/>
        <w:sz w:val="20"/>
        <w:szCs w:val="20"/>
      </w:rPr>
      <w:fldChar w:fldCharType="end"/>
    </w:r>
    <w:r w:rsidRPr="00E13808">
      <w:rPr>
        <w:rStyle w:val="PageNumber"/>
        <w:rFonts w:ascii="Garamond" w:hAnsi="Garamond"/>
        <w:b/>
        <w:sz w:val="20"/>
        <w:szCs w:val="20"/>
      </w:rPr>
      <w:t xml:space="preserve"> –</w:t>
    </w:r>
    <w:r w:rsidRPr="00E13808">
      <w:rPr>
        <w:rStyle w:val="PageNumber"/>
        <w:rFonts w:ascii="Garamond" w:hAnsi="Garamond"/>
        <w:b/>
        <w:sz w:val="20"/>
        <w:szCs w:val="20"/>
      </w:rPr>
      <w:tab/>
    </w:r>
    <w:r w:rsidRPr="00E13808">
      <w:rPr>
        <w:rFonts w:ascii="Garamond" w:hAnsi="Garamond"/>
        <w:b/>
        <w:i/>
        <w:sz w:val="20"/>
        <w:szCs w:val="20"/>
      </w:rPr>
      <w:t xml:space="preserve">3. </w:t>
    </w:r>
    <w:r w:rsidRPr="00E13808">
      <w:rPr>
        <w:rFonts w:ascii="Garamond" w:hAnsi="Garamond"/>
        <w:b/>
        <w:i/>
        <w:color w:val="000000"/>
        <w:sz w:val="20"/>
        <w:szCs w:val="20"/>
      </w:rPr>
      <w:t>Izaugsme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83130"/>
      <w:docPartObj>
        <w:docPartGallery w:val="Page Numbers (Top of Page)"/>
        <w:docPartUnique/>
      </w:docPartObj>
    </w:sdtPr>
    <w:sdtEndPr>
      <w:rPr>
        <w:rFonts w:ascii="Times New Roman" w:hAnsi="Times New Roman" w:cs="Times New Roman"/>
        <w:sz w:val="24"/>
        <w:szCs w:val="24"/>
      </w:rPr>
    </w:sdtEndPr>
    <w:sdtContent>
      <w:p w:rsidR="004B631A" w:rsidRDefault="00520F1A">
        <w:pPr>
          <w:pStyle w:val="Header"/>
          <w:jc w:val="center"/>
        </w:pPr>
        <w:r w:rsidRPr="00424D18">
          <w:rPr>
            <w:rFonts w:ascii="Times New Roman" w:hAnsi="Times New Roman" w:cs="Times New Roman"/>
            <w:sz w:val="24"/>
            <w:szCs w:val="24"/>
          </w:rPr>
          <w:fldChar w:fldCharType="begin"/>
        </w:r>
        <w:r w:rsidR="004B631A" w:rsidRPr="00424D18">
          <w:rPr>
            <w:rFonts w:ascii="Times New Roman" w:hAnsi="Times New Roman" w:cs="Times New Roman"/>
            <w:sz w:val="24"/>
            <w:szCs w:val="24"/>
          </w:rPr>
          <w:instrText xml:space="preserve"> PAGE   \* MERGEFORMAT </w:instrText>
        </w:r>
        <w:r w:rsidRPr="00424D18">
          <w:rPr>
            <w:rFonts w:ascii="Times New Roman" w:hAnsi="Times New Roman" w:cs="Times New Roman"/>
            <w:sz w:val="24"/>
            <w:szCs w:val="24"/>
          </w:rPr>
          <w:fldChar w:fldCharType="separate"/>
        </w:r>
        <w:r w:rsidR="00A57A62">
          <w:rPr>
            <w:rFonts w:ascii="Times New Roman" w:hAnsi="Times New Roman" w:cs="Times New Roman"/>
            <w:noProof/>
            <w:sz w:val="24"/>
            <w:szCs w:val="24"/>
          </w:rPr>
          <w:t>21</w:t>
        </w:r>
        <w:r w:rsidRPr="00424D18">
          <w:rPr>
            <w:rFonts w:ascii="Times New Roman" w:hAnsi="Times New Roman" w:cs="Times New Roman"/>
            <w:sz w:val="24"/>
            <w:szCs w:val="24"/>
          </w:rPr>
          <w:fldChar w:fldCharType="end"/>
        </w:r>
      </w:p>
    </w:sdtContent>
  </w:sdt>
  <w:p w:rsidR="004B631A" w:rsidRDefault="004B6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018"/>
    <w:multiLevelType w:val="hybridMultilevel"/>
    <w:tmpl w:val="9EB4F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C837D7"/>
    <w:multiLevelType w:val="hybridMultilevel"/>
    <w:tmpl w:val="01A2FA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8C7766F"/>
    <w:multiLevelType w:val="hybridMultilevel"/>
    <w:tmpl w:val="ACC8D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3A0074"/>
    <w:multiLevelType w:val="hybridMultilevel"/>
    <w:tmpl w:val="6BF6184A"/>
    <w:lvl w:ilvl="0" w:tplc="68D64B6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601AF6"/>
    <w:multiLevelType w:val="hybridMultilevel"/>
    <w:tmpl w:val="16FAFD26"/>
    <w:lvl w:ilvl="0" w:tplc="E8E0790E">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D7B4DCE"/>
    <w:multiLevelType w:val="hybridMultilevel"/>
    <w:tmpl w:val="34CC01B4"/>
    <w:lvl w:ilvl="0" w:tplc="BC34BDF8">
      <w:start w:val="1"/>
      <w:numFmt w:val="bullet"/>
      <w:lvlText w:val=""/>
      <w:lvlJc w:val="left"/>
      <w:pPr>
        <w:tabs>
          <w:tab w:val="num" w:pos="720"/>
        </w:tabs>
        <w:ind w:left="720" w:hanging="360"/>
      </w:pPr>
      <w:rPr>
        <w:rFonts w:ascii="Wingdings" w:hAnsi="Wingdings" w:hint="default"/>
      </w:rPr>
    </w:lvl>
    <w:lvl w:ilvl="1" w:tplc="7F901D7C">
      <w:start w:val="1"/>
      <w:numFmt w:val="bullet"/>
      <w:lvlText w:val=""/>
      <w:lvlJc w:val="left"/>
      <w:pPr>
        <w:tabs>
          <w:tab w:val="num" w:pos="1440"/>
        </w:tabs>
        <w:ind w:left="1440" w:hanging="360"/>
      </w:pPr>
      <w:rPr>
        <w:rFonts w:ascii="Wingdings" w:hAnsi="Wingdings" w:hint="default"/>
      </w:rPr>
    </w:lvl>
    <w:lvl w:ilvl="2" w:tplc="8BE07B06">
      <w:start w:val="1"/>
      <w:numFmt w:val="decimal"/>
      <w:lvlText w:val="%3."/>
      <w:lvlJc w:val="left"/>
      <w:pPr>
        <w:tabs>
          <w:tab w:val="num" w:pos="2160"/>
        </w:tabs>
        <w:ind w:left="2160" w:hanging="360"/>
      </w:pPr>
    </w:lvl>
    <w:lvl w:ilvl="3" w:tplc="37284416">
      <w:start w:val="1"/>
      <w:numFmt w:val="decimal"/>
      <w:lvlText w:val="%4."/>
      <w:lvlJc w:val="left"/>
      <w:pPr>
        <w:tabs>
          <w:tab w:val="num" w:pos="2880"/>
        </w:tabs>
        <w:ind w:left="2880" w:hanging="360"/>
      </w:pPr>
    </w:lvl>
    <w:lvl w:ilvl="4" w:tplc="7804CF0C">
      <w:start w:val="1"/>
      <w:numFmt w:val="decimal"/>
      <w:lvlText w:val="%5."/>
      <w:lvlJc w:val="left"/>
      <w:pPr>
        <w:tabs>
          <w:tab w:val="num" w:pos="3600"/>
        </w:tabs>
        <w:ind w:left="3600" w:hanging="360"/>
      </w:pPr>
    </w:lvl>
    <w:lvl w:ilvl="5" w:tplc="9BF8E2BC">
      <w:start w:val="1"/>
      <w:numFmt w:val="decimal"/>
      <w:lvlText w:val="%6."/>
      <w:lvlJc w:val="left"/>
      <w:pPr>
        <w:tabs>
          <w:tab w:val="num" w:pos="4320"/>
        </w:tabs>
        <w:ind w:left="4320" w:hanging="360"/>
      </w:pPr>
    </w:lvl>
    <w:lvl w:ilvl="6" w:tplc="E93E7DB6">
      <w:start w:val="1"/>
      <w:numFmt w:val="decimal"/>
      <w:lvlText w:val="%7."/>
      <w:lvlJc w:val="left"/>
      <w:pPr>
        <w:tabs>
          <w:tab w:val="num" w:pos="5040"/>
        </w:tabs>
        <w:ind w:left="5040" w:hanging="360"/>
      </w:pPr>
    </w:lvl>
    <w:lvl w:ilvl="7" w:tplc="108C50D6">
      <w:start w:val="1"/>
      <w:numFmt w:val="decimal"/>
      <w:lvlText w:val="%8."/>
      <w:lvlJc w:val="left"/>
      <w:pPr>
        <w:tabs>
          <w:tab w:val="num" w:pos="5760"/>
        </w:tabs>
        <w:ind w:left="5760" w:hanging="360"/>
      </w:pPr>
    </w:lvl>
    <w:lvl w:ilvl="8" w:tplc="A0686134">
      <w:start w:val="1"/>
      <w:numFmt w:val="decimal"/>
      <w:lvlText w:val="%9."/>
      <w:lvlJc w:val="left"/>
      <w:pPr>
        <w:tabs>
          <w:tab w:val="num" w:pos="6480"/>
        </w:tabs>
        <w:ind w:left="6480" w:hanging="360"/>
      </w:pPr>
    </w:lvl>
  </w:abstractNum>
  <w:abstractNum w:abstractNumId="6">
    <w:nsid w:val="0F1847C2"/>
    <w:multiLevelType w:val="hybridMultilevel"/>
    <w:tmpl w:val="C4964E76"/>
    <w:lvl w:ilvl="0" w:tplc="C6B0C85A">
      <w:start w:val="2"/>
      <w:numFmt w:val="bullet"/>
      <w:lvlText w:val="-"/>
      <w:lvlJc w:val="left"/>
      <w:pPr>
        <w:tabs>
          <w:tab w:val="num" w:pos="720"/>
        </w:tabs>
        <w:ind w:left="720" w:hanging="360"/>
      </w:pPr>
      <w:rPr>
        <w:rFonts w:ascii="Arial" w:eastAsia="Times New Roman" w:hAnsi="Arial" w:cs="Aria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10E963C6"/>
    <w:multiLevelType w:val="hybridMultilevel"/>
    <w:tmpl w:val="F538FD1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13FA12C8"/>
    <w:multiLevelType w:val="hybridMultilevel"/>
    <w:tmpl w:val="61D23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469476D"/>
    <w:multiLevelType w:val="hybridMultilevel"/>
    <w:tmpl w:val="C50E39D6"/>
    <w:lvl w:ilvl="0" w:tplc="24E0F576">
      <w:start w:val="1"/>
      <w:numFmt w:val="decimal"/>
      <w:lvlText w:val="%1."/>
      <w:lvlJc w:val="left"/>
      <w:pPr>
        <w:tabs>
          <w:tab w:val="num" w:pos="720"/>
        </w:tabs>
        <w:ind w:left="720" w:hanging="360"/>
      </w:pPr>
    </w:lvl>
    <w:lvl w:ilvl="1" w:tplc="3C82CA78">
      <w:start w:val="1"/>
      <w:numFmt w:val="decimal"/>
      <w:lvlText w:val="%2."/>
      <w:lvlJc w:val="left"/>
      <w:pPr>
        <w:tabs>
          <w:tab w:val="num" w:pos="1440"/>
        </w:tabs>
        <w:ind w:left="1440" w:hanging="360"/>
      </w:pPr>
    </w:lvl>
    <w:lvl w:ilvl="2" w:tplc="04260001">
      <w:start w:val="1"/>
      <w:numFmt w:val="bullet"/>
      <w:lvlText w:val=""/>
      <w:lvlJc w:val="left"/>
      <w:pPr>
        <w:tabs>
          <w:tab w:val="num" w:pos="2160"/>
        </w:tabs>
        <w:ind w:left="2160" w:hanging="360"/>
      </w:pPr>
      <w:rPr>
        <w:rFonts w:ascii="Symbol" w:hAnsi="Symbol" w:hint="default"/>
      </w:rPr>
    </w:lvl>
    <w:lvl w:ilvl="3" w:tplc="F90E1180" w:tentative="1">
      <w:start w:val="1"/>
      <w:numFmt w:val="decimal"/>
      <w:lvlText w:val="%4."/>
      <w:lvlJc w:val="left"/>
      <w:pPr>
        <w:tabs>
          <w:tab w:val="num" w:pos="2880"/>
        </w:tabs>
        <w:ind w:left="2880" w:hanging="360"/>
      </w:pPr>
    </w:lvl>
    <w:lvl w:ilvl="4" w:tplc="B99ADFFA" w:tentative="1">
      <w:start w:val="1"/>
      <w:numFmt w:val="decimal"/>
      <w:lvlText w:val="%5."/>
      <w:lvlJc w:val="left"/>
      <w:pPr>
        <w:tabs>
          <w:tab w:val="num" w:pos="3600"/>
        </w:tabs>
        <w:ind w:left="3600" w:hanging="360"/>
      </w:pPr>
    </w:lvl>
    <w:lvl w:ilvl="5" w:tplc="3CCA9F52" w:tentative="1">
      <w:start w:val="1"/>
      <w:numFmt w:val="decimal"/>
      <w:lvlText w:val="%6."/>
      <w:lvlJc w:val="left"/>
      <w:pPr>
        <w:tabs>
          <w:tab w:val="num" w:pos="4320"/>
        </w:tabs>
        <w:ind w:left="4320" w:hanging="360"/>
      </w:pPr>
    </w:lvl>
    <w:lvl w:ilvl="6" w:tplc="B352F786" w:tentative="1">
      <w:start w:val="1"/>
      <w:numFmt w:val="decimal"/>
      <w:lvlText w:val="%7."/>
      <w:lvlJc w:val="left"/>
      <w:pPr>
        <w:tabs>
          <w:tab w:val="num" w:pos="5040"/>
        </w:tabs>
        <w:ind w:left="5040" w:hanging="360"/>
      </w:pPr>
    </w:lvl>
    <w:lvl w:ilvl="7" w:tplc="84C84F5C" w:tentative="1">
      <w:start w:val="1"/>
      <w:numFmt w:val="decimal"/>
      <w:lvlText w:val="%8."/>
      <w:lvlJc w:val="left"/>
      <w:pPr>
        <w:tabs>
          <w:tab w:val="num" w:pos="5760"/>
        </w:tabs>
        <w:ind w:left="5760" w:hanging="360"/>
      </w:pPr>
    </w:lvl>
    <w:lvl w:ilvl="8" w:tplc="FBCC57A8" w:tentative="1">
      <w:start w:val="1"/>
      <w:numFmt w:val="decimal"/>
      <w:lvlText w:val="%9."/>
      <w:lvlJc w:val="left"/>
      <w:pPr>
        <w:tabs>
          <w:tab w:val="num" w:pos="6480"/>
        </w:tabs>
        <w:ind w:left="6480" w:hanging="360"/>
      </w:pPr>
    </w:lvl>
  </w:abstractNum>
  <w:abstractNum w:abstractNumId="10">
    <w:nsid w:val="14745047"/>
    <w:multiLevelType w:val="hybridMultilevel"/>
    <w:tmpl w:val="C1D6DB9C"/>
    <w:lvl w:ilvl="0" w:tplc="29ECB41A">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14930D92"/>
    <w:multiLevelType w:val="hybridMultilevel"/>
    <w:tmpl w:val="AEF0A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4C75DE1"/>
    <w:multiLevelType w:val="hybridMultilevel"/>
    <w:tmpl w:val="97762A16"/>
    <w:lvl w:ilvl="0" w:tplc="FA90317A">
      <w:start w:val="1"/>
      <w:numFmt w:val="bullet"/>
      <w:lvlText w:val=""/>
      <w:lvlJc w:val="left"/>
      <w:pPr>
        <w:tabs>
          <w:tab w:val="num" w:pos="720"/>
        </w:tabs>
        <w:ind w:left="720" w:hanging="360"/>
      </w:pPr>
      <w:rPr>
        <w:rFonts w:ascii="Wingdings" w:hAnsi="Wingdings" w:hint="default"/>
      </w:rPr>
    </w:lvl>
    <w:lvl w:ilvl="1" w:tplc="97C4DC16">
      <w:start w:val="1"/>
      <w:numFmt w:val="bullet"/>
      <w:lvlText w:val=""/>
      <w:lvlJc w:val="left"/>
      <w:pPr>
        <w:tabs>
          <w:tab w:val="num" w:pos="1440"/>
        </w:tabs>
        <w:ind w:left="1440" w:hanging="360"/>
      </w:pPr>
      <w:rPr>
        <w:rFonts w:ascii="Wingdings" w:hAnsi="Wingdings" w:hint="default"/>
      </w:rPr>
    </w:lvl>
    <w:lvl w:ilvl="2" w:tplc="F54283DC">
      <w:start w:val="2882"/>
      <w:numFmt w:val="bullet"/>
      <w:lvlText w:val=""/>
      <w:lvlJc w:val="left"/>
      <w:pPr>
        <w:tabs>
          <w:tab w:val="num" w:pos="2160"/>
        </w:tabs>
        <w:ind w:left="2160" w:hanging="360"/>
      </w:pPr>
      <w:rPr>
        <w:rFonts w:ascii="Wingdings" w:hAnsi="Wingdings" w:hint="default"/>
      </w:rPr>
    </w:lvl>
    <w:lvl w:ilvl="3" w:tplc="F00E0CCC">
      <w:start w:val="1"/>
      <w:numFmt w:val="decimal"/>
      <w:lvlText w:val="%4."/>
      <w:lvlJc w:val="left"/>
      <w:pPr>
        <w:tabs>
          <w:tab w:val="num" w:pos="2880"/>
        </w:tabs>
        <w:ind w:left="2880" w:hanging="360"/>
      </w:pPr>
    </w:lvl>
    <w:lvl w:ilvl="4" w:tplc="42843E40">
      <w:start w:val="1"/>
      <w:numFmt w:val="decimal"/>
      <w:lvlText w:val="%5."/>
      <w:lvlJc w:val="left"/>
      <w:pPr>
        <w:tabs>
          <w:tab w:val="num" w:pos="3600"/>
        </w:tabs>
        <w:ind w:left="3600" w:hanging="360"/>
      </w:pPr>
    </w:lvl>
    <w:lvl w:ilvl="5" w:tplc="71E01FE8">
      <w:start w:val="1"/>
      <w:numFmt w:val="decimal"/>
      <w:lvlText w:val="%6."/>
      <w:lvlJc w:val="left"/>
      <w:pPr>
        <w:tabs>
          <w:tab w:val="num" w:pos="4320"/>
        </w:tabs>
        <w:ind w:left="4320" w:hanging="360"/>
      </w:pPr>
    </w:lvl>
    <w:lvl w:ilvl="6" w:tplc="73421DC4">
      <w:start w:val="1"/>
      <w:numFmt w:val="decimal"/>
      <w:lvlText w:val="%7."/>
      <w:lvlJc w:val="left"/>
      <w:pPr>
        <w:tabs>
          <w:tab w:val="num" w:pos="5040"/>
        </w:tabs>
        <w:ind w:left="5040" w:hanging="360"/>
      </w:pPr>
    </w:lvl>
    <w:lvl w:ilvl="7" w:tplc="5A72189E">
      <w:start w:val="1"/>
      <w:numFmt w:val="decimal"/>
      <w:lvlText w:val="%8."/>
      <w:lvlJc w:val="left"/>
      <w:pPr>
        <w:tabs>
          <w:tab w:val="num" w:pos="5760"/>
        </w:tabs>
        <w:ind w:left="5760" w:hanging="360"/>
      </w:pPr>
    </w:lvl>
    <w:lvl w:ilvl="8" w:tplc="EB5E2EB2">
      <w:start w:val="1"/>
      <w:numFmt w:val="decimal"/>
      <w:lvlText w:val="%9."/>
      <w:lvlJc w:val="left"/>
      <w:pPr>
        <w:tabs>
          <w:tab w:val="num" w:pos="6480"/>
        </w:tabs>
        <w:ind w:left="6480" w:hanging="360"/>
      </w:pPr>
    </w:lvl>
  </w:abstractNum>
  <w:abstractNum w:abstractNumId="13">
    <w:nsid w:val="19017120"/>
    <w:multiLevelType w:val="hybridMultilevel"/>
    <w:tmpl w:val="61D0EB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CE06218"/>
    <w:multiLevelType w:val="hybridMultilevel"/>
    <w:tmpl w:val="C622B4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1FAF44D8"/>
    <w:multiLevelType w:val="hybridMultilevel"/>
    <w:tmpl w:val="8F6CBD08"/>
    <w:lvl w:ilvl="0" w:tplc="E8E0790E">
      <w:start w:val="3"/>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24DB2507"/>
    <w:multiLevelType w:val="hybridMultilevel"/>
    <w:tmpl w:val="4E9E55FE"/>
    <w:lvl w:ilvl="0" w:tplc="15A6FBCA">
      <w:start w:val="5"/>
      <w:numFmt w:val="bullet"/>
      <w:lvlText w:val="-"/>
      <w:lvlJc w:val="left"/>
      <w:pPr>
        <w:ind w:left="1287" w:hanging="360"/>
      </w:pPr>
      <w:rPr>
        <w:rFonts w:ascii="Times New Roman" w:eastAsia="Times New Roman" w:hAnsi="Times New Roman" w:cs="Times New Roman" w:hint="default"/>
        <w:i w:val="0"/>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2679250D"/>
    <w:multiLevelType w:val="hybridMultilevel"/>
    <w:tmpl w:val="1D468E1A"/>
    <w:lvl w:ilvl="0" w:tplc="886AB8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DFC4B37"/>
    <w:multiLevelType w:val="hybridMultilevel"/>
    <w:tmpl w:val="A97431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E0E0C29"/>
    <w:multiLevelType w:val="hybridMultilevel"/>
    <w:tmpl w:val="66CAC410"/>
    <w:lvl w:ilvl="0" w:tplc="024EA194">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nsid w:val="300D286A"/>
    <w:multiLevelType w:val="hybridMultilevel"/>
    <w:tmpl w:val="4A5CFC64"/>
    <w:lvl w:ilvl="0" w:tplc="9EEE8D7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nsid w:val="32F109F8"/>
    <w:multiLevelType w:val="hybridMultilevel"/>
    <w:tmpl w:val="299499A6"/>
    <w:lvl w:ilvl="0" w:tplc="24E0F576">
      <w:start w:val="1"/>
      <w:numFmt w:val="decimal"/>
      <w:lvlText w:val="%1."/>
      <w:lvlJc w:val="left"/>
      <w:pPr>
        <w:tabs>
          <w:tab w:val="num" w:pos="720"/>
        </w:tabs>
        <w:ind w:left="720" w:hanging="360"/>
      </w:pPr>
    </w:lvl>
    <w:lvl w:ilvl="1" w:tplc="3C82CA78">
      <w:start w:val="1"/>
      <w:numFmt w:val="decimal"/>
      <w:lvlText w:val="%2."/>
      <w:lvlJc w:val="left"/>
      <w:pPr>
        <w:tabs>
          <w:tab w:val="num" w:pos="1440"/>
        </w:tabs>
        <w:ind w:left="1440" w:hanging="360"/>
      </w:pPr>
    </w:lvl>
    <w:lvl w:ilvl="2" w:tplc="12802AA2">
      <w:start w:val="1742"/>
      <w:numFmt w:val="bullet"/>
      <w:lvlText w:val=""/>
      <w:lvlJc w:val="left"/>
      <w:pPr>
        <w:tabs>
          <w:tab w:val="num" w:pos="2160"/>
        </w:tabs>
        <w:ind w:left="2160" w:hanging="360"/>
      </w:pPr>
      <w:rPr>
        <w:rFonts w:ascii="Wingdings" w:hAnsi="Wingdings" w:hint="default"/>
      </w:rPr>
    </w:lvl>
    <w:lvl w:ilvl="3" w:tplc="F90E1180" w:tentative="1">
      <w:start w:val="1"/>
      <w:numFmt w:val="decimal"/>
      <w:lvlText w:val="%4."/>
      <w:lvlJc w:val="left"/>
      <w:pPr>
        <w:tabs>
          <w:tab w:val="num" w:pos="2880"/>
        </w:tabs>
        <w:ind w:left="2880" w:hanging="360"/>
      </w:pPr>
    </w:lvl>
    <w:lvl w:ilvl="4" w:tplc="B99ADFFA" w:tentative="1">
      <w:start w:val="1"/>
      <w:numFmt w:val="decimal"/>
      <w:lvlText w:val="%5."/>
      <w:lvlJc w:val="left"/>
      <w:pPr>
        <w:tabs>
          <w:tab w:val="num" w:pos="3600"/>
        </w:tabs>
        <w:ind w:left="3600" w:hanging="360"/>
      </w:pPr>
    </w:lvl>
    <w:lvl w:ilvl="5" w:tplc="3CCA9F52" w:tentative="1">
      <w:start w:val="1"/>
      <w:numFmt w:val="decimal"/>
      <w:lvlText w:val="%6."/>
      <w:lvlJc w:val="left"/>
      <w:pPr>
        <w:tabs>
          <w:tab w:val="num" w:pos="4320"/>
        </w:tabs>
        <w:ind w:left="4320" w:hanging="360"/>
      </w:pPr>
    </w:lvl>
    <w:lvl w:ilvl="6" w:tplc="B352F786" w:tentative="1">
      <w:start w:val="1"/>
      <w:numFmt w:val="decimal"/>
      <w:lvlText w:val="%7."/>
      <w:lvlJc w:val="left"/>
      <w:pPr>
        <w:tabs>
          <w:tab w:val="num" w:pos="5040"/>
        </w:tabs>
        <w:ind w:left="5040" w:hanging="360"/>
      </w:pPr>
    </w:lvl>
    <w:lvl w:ilvl="7" w:tplc="84C84F5C" w:tentative="1">
      <w:start w:val="1"/>
      <w:numFmt w:val="decimal"/>
      <w:lvlText w:val="%8."/>
      <w:lvlJc w:val="left"/>
      <w:pPr>
        <w:tabs>
          <w:tab w:val="num" w:pos="5760"/>
        </w:tabs>
        <w:ind w:left="5760" w:hanging="360"/>
      </w:pPr>
    </w:lvl>
    <w:lvl w:ilvl="8" w:tplc="FBCC57A8" w:tentative="1">
      <w:start w:val="1"/>
      <w:numFmt w:val="decimal"/>
      <w:lvlText w:val="%9."/>
      <w:lvlJc w:val="left"/>
      <w:pPr>
        <w:tabs>
          <w:tab w:val="num" w:pos="6480"/>
        </w:tabs>
        <w:ind w:left="6480" w:hanging="360"/>
      </w:pPr>
    </w:lvl>
  </w:abstractNum>
  <w:abstractNum w:abstractNumId="22">
    <w:nsid w:val="334C2EC2"/>
    <w:multiLevelType w:val="hybridMultilevel"/>
    <w:tmpl w:val="F6F49504"/>
    <w:lvl w:ilvl="0" w:tplc="15A6FBCA">
      <w:start w:val="5"/>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6C02CD1"/>
    <w:multiLevelType w:val="hybridMultilevel"/>
    <w:tmpl w:val="3760D5AC"/>
    <w:lvl w:ilvl="0" w:tplc="DB4C935C">
      <w:start w:val="1"/>
      <w:numFmt w:val="bullet"/>
      <w:lvlText w:val=""/>
      <w:lvlJc w:val="left"/>
      <w:pPr>
        <w:tabs>
          <w:tab w:val="num" w:pos="720"/>
        </w:tabs>
        <w:ind w:left="720" w:hanging="360"/>
      </w:pPr>
      <w:rPr>
        <w:rFonts w:ascii="Wingdings" w:hAnsi="Wingdings" w:hint="default"/>
      </w:rPr>
    </w:lvl>
    <w:lvl w:ilvl="1" w:tplc="CDFAAA28">
      <w:start w:val="1"/>
      <w:numFmt w:val="bullet"/>
      <w:lvlText w:val=""/>
      <w:lvlJc w:val="left"/>
      <w:pPr>
        <w:tabs>
          <w:tab w:val="num" w:pos="1440"/>
        </w:tabs>
        <w:ind w:left="1440" w:hanging="360"/>
      </w:pPr>
      <w:rPr>
        <w:rFonts w:ascii="Wingdings" w:hAnsi="Wingdings" w:hint="default"/>
      </w:rPr>
    </w:lvl>
    <w:lvl w:ilvl="2" w:tplc="6A54969C">
      <w:start w:val="1"/>
      <w:numFmt w:val="decimal"/>
      <w:lvlText w:val="%3."/>
      <w:lvlJc w:val="left"/>
      <w:pPr>
        <w:tabs>
          <w:tab w:val="num" w:pos="2160"/>
        </w:tabs>
        <w:ind w:left="2160" w:hanging="360"/>
      </w:pPr>
    </w:lvl>
    <w:lvl w:ilvl="3" w:tplc="5FDA9DFC">
      <w:start w:val="1"/>
      <w:numFmt w:val="decimal"/>
      <w:lvlText w:val="%4."/>
      <w:lvlJc w:val="left"/>
      <w:pPr>
        <w:tabs>
          <w:tab w:val="num" w:pos="2880"/>
        </w:tabs>
        <w:ind w:left="2880" w:hanging="360"/>
      </w:pPr>
    </w:lvl>
    <w:lvl w:ilvl="4" w:tplc="75BADBB0">
      <w:start w:val="1"/>
      <w:numFmt w:val="decimal"/>
      <w:lvlText w:val="%5."/>
      <w:lvlJc w:val="left"/>
      <w:pPr>
        <w:tabs>
          <w:tab w:val="num" w:pos="3600"/>
        </w:tabs>
        <w:ind w:left="3600" w:hanging="360"/>
      </w:pPr>
    </w:lvl>
    <w:lvl w:ilvl="5" w:tplc="6A06EA7A">
      <w:start w:val="1"/>
      <w:numFmt w:val="decimal"/>
      <w:lvlText w:val="%6."/>
      <w:lvlJc w:val="left"/>
      <w:pPr>
        <w:tabs>
          <w:tab w:val="num" w:pos="4320"/>
        </w:tabs>
        <w:ind w:left="4320" w:hanging="360"/>
      </w:pPr>
    </w:lvl>
    <w:lvl w:ilvl="6" w:tplc="0F244940">
      <w:start w:val="1"/>
      <w:numFmt w:val="decimal"/>
      <w:lvlText w:val="%7."/>
      <w:lvlJc w:val="left"/>
      <w:pPr>
        <w:tabs>
          <w:tab w:val="num" w:pos="5040"/>
        </w:tabs>
        <w:ind w:left="5040" w:hanging="360"/>
      </w:pPr>
    </w:lvl>
    <w:lvl w:ilvl="7" w:tplc="731ED250">
      <w:start w:val="1"/>
      <w:numFmt w:val="decimal"/>
      <w:lvlText w:val="%8."/>
      <w:lvlJc w:val="left"/>
      <w:pPr>
        <w:tabs>
          <w:tab w:val="num" w:pos="5760"/>
        </w:tabs>
        <w:ind w:left="5760" w:hanging="360"/>
      </w:pPr>
    </w:lvl>
    <w:lvl w:ilvl="8" w:tplc="C7B631D2">
      <w:start w:val="1"/>
      <w:numFmt w:val="decimal"/>
      <w:lvlText w:val="%9."/>
      <w:lvlJc w:val="left"/>
      <w:pPr>
        <w:tabs>
          <w:tab w:val="num" w:pos="6480"/>
        </w:tabs>
        <w:ind w:left="6480" w:hanging="360"/>
      </w:pPr>
    </w:lvl>
  </w:abstractNum>
  <w:abstractNum w:abstractNumId="24">
    <w:nsid w:val="38A25FA0"/>
    <w:multiLevelType w:val="hybridMultilevel"/>
    <w:tmpl w:val="A04C010C"/>
    <w:lvl w:ilvl="0" w:tplc="B2225DBE">
      <w:start w:val="6"/>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5CC633C"/>
    <w:multiLevelType w:val="hybridMultilevel"/>
    <w:tmpl w:val="60C4A3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484A1360"/>
    <w:multiLevelType w:val="hybridMultilevel"/>
    <w:tmpl w:val="1E3066D2"/>
    <w:lvl w:ilvl="0" w:tplc="E8E0790E">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49B1466A"/>
    <w:multiLevelType w:val="hybridMultilevel"/>
    <w:tmpl w:val="443AF65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nsid w:val="4ABE114C"/>
    <w:multiLevelType w:val="hybridMultilevel"/>
    <w:tmpl w:val="84E6DB46"/>
    <w:lvl w:ilvl="0" w:tplc="1BBAF6B2">
      <w:start w:val="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D404617"/>
    <w:multiLevelType w:val="hybridMultilevel"/>
    <w:tmpl w:val="64B8745C"/>
    <w:lvl w:ilvl="0" w:tplc="8AA6726E">
      <w:start w:val="1"/>
      <w:numFmt w:val="bullet"/>
      <w:lvlText w:val=""/>
      <w:lvlJc w:val="left"/>
      <w:pPr>
        <w:tabs>
          <w:tab w:val="num" w:pos="720"/>
        </w:tabs>
        <w:ind w:left="720" w:hanging="360"/>
      </w:pPr>
      <w:rPr>
        <w:rFonts w:ascii="Wingdings" w:hAnsi="Wingdings" w:hint="default"/>
      </w:rPr>
    </w:lvl>
    <w:lvl w:ilvl="1" w:tplc="6298B89C">
      <w:start w:val="1"/>
      <w:numFmt w:val="bullet"/>
      <w:lvlText w:val=""/>
      <w:lvlJc w:val="left"/>
      <w:pPr>
        <w:tabs>
          <w:tab w:val="num" w:pos="1440"/>
        </w:tabs>
        <w:ind w:left="1440" w:hanging="360"/>
      </w:pPr>
      <w:rPr>
        <w:rFonts w:ascii="Wingdings" w:hAnsi="Wingdings" w:hint="default"/>
      </w:rPr>
    </w:lvl>
    <w:lvl w:ilvl="2" w:tplc="C17C5466">
      <w:start w:val="1"/>
      <w:numFmt w:val="decimal"/>
      <w:lvlText w:val="%3."/>
      <w:lvlJc w:val="left"/>
      <w:pPr>
        <w:tabs>
          <w:tab w:val="num" w:pos="2160"/>
        </w:tabs>
        <w:ind w:left="2160" w:hanging="360"/>
      </w:pPr>
    </w:lvl>
    <w:lvl w:ilvl="3" w:tplc="680E56A0">
      <w:start w:val="1"/>
      <w:numFmt w:val="decimal"/>
      <w:lvlText w:val="%4."/>
      <w:lvlJc w:val="left"/>
      <w:pPr>
        <w:tabs>
          <w:tab w:val="num" w:pos="2880"/>
        </w:tabs>
        <w:ind w:left="2880" w:hanging="360"/>
      </w:pPr>
    </w:lvl>
    <w:lvl w:ilvl="4" w:tplc="B7945262">
      <w:start w:val="1"/>
      <w:numFmt w:val="decimal"/>
      <w:lvlText w:val="%5."/>
      <w:lvlJc w:val="left"/>
      <w:pPr>
        <w:tabs>
          <w:tab w:val="num" w:pos="3600"/>
        </w:tabs>
        <w:ind w:left="3600" w:hanging="360"/>
      </w:pPr>
    </w:lvl>
    <w:lvl w:ilvl="5" w:tplc="CDF02BD8">
      <w:start w:val="1"/>
      <w:numFmt w:val="decimal"/>
      <w:lvlText w:val="%6."/>
      <w:lvlJc w:val="left"/>
      <w:pPr>
        <w:tabs>
          <w:tab w:val="num" w:pos="4320"/>
        </w:tabs>
        <w:ind w:left="4320" w:hanging="360"/>
      </w:pPr>
    </w:lvl>
    <w:lvl w:ilvl="6" w:tplc="5A6EAEC2">
      <w:start w:val="1"/>
      <w:numFmt w:val="decimal"/>
      <w:lvlText w:val="%7."/>
      <w:lvlJc w:val="left"/>
      <w:pPr>
        <w:tabs>
          <w:tab w:val="num" w:pos="5040"/>
        </w:tabs>
        <w:ind w:left="5040" w:hanging="360"/>
      </w:pPr>
    </w:lvl>
    <w:lvl w:ilvl="7" w:tplc="D1902144">
      <w:start w:val="1"/>
      <w:numFmt w:val="decimal"/>
      <w:lvlText w:val="%8."/>
      <w:lvlJc w:val="left"/>
      <w:pPr>
        <w:tabs>
          <w:tab w:val="num" w:pos="5760"/>
        </w:tabs>
        <w:ind w:left="5760" w:hanging="360"/>
      </w:pPr>
    </w:lvl>
    <w:lvl w:ilvl="8" w:tplc="9A38FFC2">
      <w:start w:val="1"/>
      <w:numFmt w:val="decimal"/>
      <w:lvlText w:val="%9."/>
      <w:lvlJc w:val="left"/>
      <w:pPr>
        <w:tabs>
          <w:tab w:val="num" w:pos="6480"/>
        </w:tabs>
        <w:ind w:left="6480" w:hanging="360"/>
      </w:pPr>
    </w:lvl>
  </w:abstractNum>
  <w:abstractNum w:abstractNumId="30">
    <w:nsid w:val="4E11257C"/>
    <w:multiLevelType w:val="hybridMultilevel"/>
    <w:tmpl w:val="CFC8EA7E"/>
    <w:lvl w:ilvl="0" w:tplc="29ECB41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1711640"/>
    <w:multiLevelType w:val="hybridMultilevel"/>
    <w:tmpl w:val="7A965E02"/>
    <w:lvl w:ilvl="0" w:tplc="7EB0C0CC">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592C3DFD"/>
    <w:multiLevelType w:val="hybridMultilevel"/>
    <w:tmpl w:val="9864BBF4"/>
    <w:lvl w:ilvl="0" w:tplc="59CA056E">
      <w:start w:val="1"/>
      <w:numFmt w:val="decimal"/>
      <w:lvlText w:val="%1)"/>
      <w:lvlJc w:val="left"/>
      <w:pPr>
        <w:ind w:left="928" w:hanging="360"/>
      </w:pPr>
      <w:rPr>
        <w:rFonts w:eastAsia="Calibri" w:hint="default"/>
        <w:color w:val="auto"/>
        <w:u w:val="none"/>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nsid w:val="5BD369AF"/>
    <w:multiLevelType w:val="hybridMultilevel"/>
    <w:tmpl w:val="48C2B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D2F259E"/>
    <w:multiLevelType w:val="hybridMultilevel"/>
    <w:tmpl w:val="1F74E8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32A0326"/>
    <w:multiLevelType w:val="hybridMultilevel"/>
    <w:tmpl w:val="CB4CB40A"/>
    <w:lvl w:ilvl="0" w:tplc="29ECB41A">
      <w:start w:val="3"/>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6">
    <w:nsid w:val="651B7785"/>
    <w:multiLevelType w:val="hybridMultilevel"/>
    <w:tmpl w:val="FB18653E"/>
    <w:lvl w:ilvl="0" w:tplc="04260001">
      <w:start w:val="1"/>
      <w:numFmt w:val="bullet"/>
      <w:lvlText w:val=""/>
      <w:lvlJc w:val="left"/>
      <w:pPr>
        <w:ind w:left="1146"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nsid w:val="7002512C"/>
    <w:multiLevelType w:val="hybridMultilevel"/>
    <w:tmpl w:val="AE4C2C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C155E0"/>
    <w:multiLevelType w:val="hybridMultilevel"/>
    <w:tmpl w:val="1478B334"/>
    <w:lvl w:ilvl="0" w:tplc="E042E476">
      <w:start w:val="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8A763F9"/>
    <w:multiLevelType w:val="hybridMultilevel"/>
    <w:tmpl w:val="0BE6F3C8"/>
    <w:lvl w:ilvl="0" w:tplc="ED382D5A">
      <w:start w:val="1"/>
      <w:numFmt w:val="bullet"/>
      <w:lvlText w:val=""/>
      <w:lvlJc w:val="left"/>
      <w:pPr>
        <w:tabs>
          <w:tab w:val="num" w:pos="720"/>
        </w:tabs>
        <w:ind w:left="720" w:hanging="360"/>
      </w:pPr>
      <w:rPr>
        <w:rFonts w:ascii="Wingdings" w:hAnsi="Wingdings" w:hint="default"/>
      </w:rPr>
    </w:lvl>
    <w:lvl w:ilvl="1" w:tplc="52DE5E54">
      <w:start w:val="1"/>
      <w:numFmt w:val="bullet"/>
      <w:lvlText w:val=""/>
      <w:lvlJc w:val="left"/>
      <w:pPr>
        <w:tabs>
          <w:tab w:val="num" w:pos="1440"/>
        </w:tabs>
        <w:ind w:left="1440" w:hanging="360"/>
      </w:pPr>
      <w:rPr>
        <w:rFonts w:ascii="Wingdings" w:hAnsi="Wingdings" w:hint="default"/>
      </w:rPr>
    </w:lvl>
    <w:lvl w:ilvl="2" w:tplc="3846592E">
      <w:start w:val="1"/>
      <w:numFmt w:val="decimal"/>
      <w:lvlText w:val="%3."/>
      <w:lvlJc w:val="left"/>
      <w:pPr>
        <w:tabs>
          <w:tab w:val="num" w:pos="2160"/>
        </w:tabs>
        <w:ind w:left="2160" w:hanging="360"/>
      </w:pPr>
    </w:lvl>
    <w:lvl w:ilvl="3" w:tplc="B43A9A4A">
      <w:start w:val="1"/>
      <w:numFmt w:val="decimal"/>
      <w:lvlText w:val="%4."/>
      <w:lvlJc w:val="left"/>
      <w:pPr>
        <w:tabs>
          <w:tab w:val="num" w:pos="2880"/>
        </w:tabs>
        <w:ind w:left="2880" w:hanging="360"/>
      </w:pPr>
    </w:lvl>
    <w:lvl w:ilvl="4" w:tplc="8EEC793C">
      <w:start w:val="1"/>
      <w:numFmt w:val="decimal"/>
      <w:lvlText w:val="%5."/>
      <w:lvlJc w:val="left"/>
      <w:pPr>
        <w:tabs>
          <w:tab w:val="num" w:pos="3600"/>
        </w:tabs>
        <w:ind w:left="3600" w:hanging="360"/>
      </w:pPr>
    </w:lvl>
    <w:lvl w:ilvl="5" w:tplc="713699AE">
      <w:start w:val="1"/>
      <w:numFmt w:val="decimal"/>
      <w:lvlText w:val="%6."/>
      <w:lvlJc w:val="left"/>
      <w:pPr>
        <w:tabs>
          <w:tab w:val="num" w:pos="4320"/>
        </w:tabs>
        <w:ind w:left="4320" w:hanging="360"/>
      </w:pPr>
    </w:lvl>
    <w:lvl w:ilvl="6" w:tplc="0EF07124">
      <w:start w:val="1"/>
      <w:numFmt w:val="decimal"/>
      <w:lvlText w:val="%7."/>
      <w:lvlJc w:val="left"/>
      <w:pPr>
        <w:tabs>
          <w:tab w:val="num" w:pos="5040"/>
        </w:tabs>
        <w:ind w:left="5040" w:hanging="360"/>
      </w:pPr>
    </w:lvl>
    <w:lvl w:ilvl="7" w:tplc="F3DAA854">
      <w:start w:val="1"/>
      <w:numFmt w:val="decimal"/>
      <w:lvlText w:val="%8."/>
      <w:lvlJc w:val="left"/>
      <w:pPr>
        <w:tabs>
          <w:tab w:val="num" w:pos="5760"/>
        </w:tabs>
        <w:ind w:left="5760" w:hanging="360"/>
      </w:pPr>
    </w:lvl>
    <w:lvl w:ilvl="8" w:tplc="47143DDE">
      <w:start w:val="1"/>
      <w:numFmt w:val="decimal"/>
      <w:lvlText w:val="%9."/>
      <w:lvlJc w:val="left"/>
      <w:pPr>
        <w:tabs>
          <w:tab w:val="num" w:pos="6480"/>
        </w:tabs>
        <w:ind w:left="6480" w:hanging="360"/>
      </w:pPr>
    </w:lvl>
  </w:abstractNum>
  <w:abstractNum w:abstractNumId="40">
    <w:nsid w:val="7926692A"/>
    <w:multiLevelType w:val="hybridMultilevel"/>
    <w:tmpl w:val="9474BD34"/>
    <w:lvl w:ilvl="0" w:tplc="90220858">
      <w:start w:val="1"/>
      <w:numFmt w:val="bullet"/>
      <w:lvlText w:val=""/>
      <w:lvlJc w:val="left"/>
      <w:pPr>
        <w:ind w:left="1080" w:hanging="360"/>
      </w:pPr>
      <w:rPr>
        <w:rFonts w:ascii="Symbol" w:eastAsia="Calibri"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7C006951"/>
    <w:multiLevelType w:val="hybridMultilevel"/>
    <w:tmpl w:val="13C27528"/>
    <w:lvl w:ilvl="0" w:tplc="04260003">
      <w:start w:val="1"/>
      <w:numFmt w:val="bullet"/>
      <w:lvlText w:val="o"/>
      <w:lvlJc w:val="left"/>
      <w:pPr>
        <w:ind w:left="720" w:hanging="360"/>
      </w:pPr>
      <w:rPr>
        <w:rFonts w:ascii="Courier New" w:hAnsi="Courier New"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E6C55D0"/>
    <w:multiLevelType w:val="hybridMultilevel"/>
    <w:tmpl w:val="03D66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2"/>
  </w:num>
  <w:num w:numId="3">
    <w:abstractNumId w:val="28"/>
  </w:num>
  <w:num w:numId="4">
    <w:abstractNumId w:val="34"/>
  </w:num>
  <w:num w:numId="5">
    <w:abstractNumId w:val="30"/>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5"/>
  </w:num>
  <w:num w:numId="9">
    <w:abstractNumId w:val="14"/>
  </w:num>
  <w:num w:numId="10">
    <w:abstractNumId w:val="42"/>
  </w:num>
  <w:num w:numId="11">
    <w:abstractNumId w:val="11"/>
  </w:num>
  <w:num w:numId="12">
    <w:abstractNumId w:val="13"/>
  </w:num>
  <w:num w:numId="13">
    <w:abstractNumId w:val="2"/>
  </w:num>
  <w:num w:numId="14">
    <w:abstractNumId w:va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21"/>
  </w:num>
  <w:num w:numId="25">
    <w:abstractNumId w:val="9"/>
  </w:num>
  <w:num w:numId="26">
    <w:abstractNumId w:val="17"/>
  </w:num>
  <w:num w:numId="27">
    <w:abstractNumId w:val="22"/>
  </w:num>
  <w:num w:numId="28">
    <w:abstractNumId w:val="41"/>
  </w:num>
  <w:num w:numId="29">
    <w:abstractNumId w:val="33"/>
  </w:num>
  <w:num w:numId="30">
    <w:abstractNumId w:val="35"/>
  </w:num>
  <w:num w:numId="31">
    <w:abstractNumId w:val="38"/>
  </w:num>
  <w:num w:numId="32">
    <w:abstractNumId w:val="24"/>
  </w:num>
  <w:num w:numId="33">
    <w:abstractNumId w:val="16"/>
  </w:num>
  <w:num w:numId="34">
    <w:abstractNumId w:val="7"/>
  </w:num>
  <w:num w:numId="35">
    <w:abstractNumId w:val="15"/>
  </w:num>
  <w:num w:numId="36">
    <w:abstractNumId w:val="26"/>
  </w:num>
  <w:num w:numId="37">
    <w:abstractNumId w:val="4"/>
  </w:num>
  <w:num w:numId="38">
    <w:abstractNumId w:val="37"/>
  </w:num>
  <w:num w:numId="39">
    <w:abstractNumId w:val="0"/>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
  </w:num>
  <w:num w:numId="43">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592E"/>
    <w:rsid w:val="000011D6"/>
    <w:rsid w:val="000023E0"/>
    <w:rsid w:val="000047D5"/>
    <w:rsid w:val="00005496"/>
    <w:rsid w:val="00006294"/>
    <w:rsid w:val="00011297"/>
    <w:rsid w:val="00013042"/>
    <w:rsid w:val="00014A67"/>
    <w:rsid w:val="00016675"/>
    <w:rsid w:val="000277D0"/>
    <w:rsid w:val="00045AD7"/>
    <w:rsid w:val="000621EE"/>
    <w:rsid w:val="0007372E"/>
    <w:rsid w:val="000810CB"/>
    <w:rsid w:val="000910CF"/>
    <w:rsid w:val="000961A0"/>
    <w:rsid w:val="000A154A"/>
    <w:rsid w:val="000A2464"/>
    <w:rsid w:val="000A4B9F"/>
    <w:rsid w:val="000A593A"/>
    <w:rsid w:val="000B2217"/>
    <w:rsid w:val="000B6376"/>
    <w:rsid w:val="000B73D0"/>
    <w:rsid w:val="000C3498"/>
    <w:rsid w:val="000D18CB"/>
    <w:rsid w:val="000E6F71"/>
    <w:rsid w:val="000F24C7"/>
    <w:rsid w:val="000F4F7C"/>
    <w:rsid w:val="000F7587"/>
    <w:rsid w:val="0010016A"/>
    <w:rsid w:val="00103FFC"/>
    <w:rsid w:val="00110BCC"/>
    <w:rsid w:val="00127D24"/>
    <w:rsid w:val="00132792"/>
    <w:rsid w:val="0013701E"/>
    <w:rsid w:val="0014271A"/>
    <w:rsid w:val="00143ADB"/>
    <w:rsid w:val="00162244"/>
    <w:rsid w:val="001624D4"/>
    <w:rsid w:val="00163D86"/>
    <w:rsid w:val="00165A02"/>
    <w:rsid w:val="00167338"/>
    <w:rsid w:val="00167C2E"/>
    <w:rsid w:val="00175246"/>
    <w:rsid w:val="001827BC"/>
    <w:rsid w:val="00196CB0"/>
    <w:rsid w:val="001A261B"/>
    <w:rsid w:val="001C36AF"/>
    <w:rsid w:val="001C77F7"/>
    <w:rsid w:val="001D26DB"/>
    <w:rsid w:val="001E1C4F"/>
    <w:rsid w:val="001E4899"/>
    <w:rsid w:val="001E6D31"/>
    <w:rsid w:val="001F1049"/>
    <w:rsid w:val="001F4BBF"/>
    <w:rsid w:val="00200615"/>
    <w:rsid w:val="002024AA"/>
    <w:rsid w:val="00204AFA"/>
    <w:rsid w:val="00206386"/>
    <w:rsid w:val="002223B5"/>
    <w:rsid w:val="00222D89"/>
    <w:rsid w:val="00232D31"/>
    <w:rsid w:val="0024084B"/>
    <w:rsid w:val="00257FDB"/>
    <w:rsid w:val="00261410"/>
    <w:rsid w:val="00263149"/>
    <w:rsid w:val="00274947"/>
    <w:rsid w:val="00284CBA"/>
    <w:rsid w:val="002860A2"/>
    <w:rsid w:val="002A3BE6"/>
    <w:rsid w:val="002A7CF1"/>
    <w:rsid w:val="002B2076"/>
    <w:rsid w:val="002B55B7"/>
    <w:rsid w:val="002B6A90"/>
    <w:rsid w:val="002B6B43"/>
    <w:rsid w:val="002D65F8"/>
    <w:rsid w:val="002E52FC"/>
    <w:rsid w:val="002E592E"/>
    <w:rsid w:val="00300EF1"/>
    <w:rsid w:val="00305A23"/>
    <w:rsid w:val="00306C8C"/>
    <w:rsid w:val="00316970"/>
    <w:rsid w:val="00321339"/>
    <w:rsid w:val="0032439E"/>
    <w:rsid w:val="00326E4B"/>
    <w:rsid w:val="00330015"/>
    <w:rsid w:val="00342759"/>
    <w:rsid w:val="00343B29"/>
    <w:rsid w:val="0034551D"/>
    <w:rsid w:val="00351055"/>
    <w:rsid w:val="00354D2A"/>
    <w:rsid w:val="003559DF"/>
    <w:rsid w:val="003577B3"/>
    <w:rsid w:val="00360A10"/>
    <w:rsid w:val="003627FB"/>
    <w:rsid w:val="0036586D"/>
    <w:rsid w:val="00367554"/>
    <w:rsid w:val="00372D82"/>
    <w:rsid w:val="00382392"/>
    <w:rsid w:val="0039564B"/>
    <w:rsid w:val="0039739F"/>
    <w:rsid w:val="003979F2"/>
    <w:rsid w:val="003A1F1A"/>
    <w:rsid w:val="003A779C"/>
    <w:rsid w:val="003A7B8D"/>
    <w:rsid w:val="003B04E3"/>
    <w:rsid w:val="003B126D"/>
    <w:rsid w:val="003B17C5"/>
    <w:rsid w:val="003B369F"/>
    <w:rsid w:val="003B68F0"/>
    <w:rsid w:val="003B779A"/>
    <w:rsid w:val="003C2067"/>
    <w:rsid w:val="003C2905"/>
    <w:rsid w:val="003D31CA"/>
    <w:rsid w:val="004015EC"/>
    <w:rsid w:val="00417129"/>
    <w:rsid w:val="004208A8"/>
    <w:rsid w:val="00424D18"/>
    <w:rsid w:val="004311A6"/>
    <w:rsid w:val="004320C8"/>
    <w:rsid w:val="00432712"/>
    <w:rsid w:val="00433BCE"/>
    <w:rsid w:val="00433F8F"/>
    <w:rsid w:val="00436A2D"/>
    <w:rsid w:val="00455751"/>
    <w:rsid w:val="00470B69"/>
    <w:rsid w:val="004711AB"/>
    <w:rsid w:val="004728B2"/>
    <w:rsid w:val="004947AA"/>
    <w:rsid w:val="00495D0C"/>
    <w:rsid w:val="0049676F"/>
    <w:rsid w:val="004A05C4"/>
    <w:rsid w:val="004A2DAC"/>
    <w:rsid w:val="004A7F0A"/>
    <w:rsid w:val="004B225C"/>
    <w:rsid w:val="004B5C6F"/>
    <w:rsid w:val="004B631A"/>
    <w:rsid w:val="004C3887"/>
    <w:rsid w:val="004E04B6"/>
    <w:rsid w:val="004E2404"/>
    <w:rsid w:val="004E6ED6"/>
    <w:rsid w:val="004F10E3"/>
    <w:rsid w:val="004F1D09"/>
    <w:rsid w:val="004F393E"/>
    <w:rsid w:val="004F51A9"/>
    <w:rsid w:val="005137C8"/>
    <w:rsid w:val="00514C0F"/>
    <w:rsid w:val="00517DEE"/>
    <w:rsid w:val="00520F1A"/>
    <w:rsid w:val="00530231"/>
    <w:rsid w:val="0053087C"/>
    <w:rsid w:val="00531D72"/>
    <w:rsid w:val="0054061B"/>
    <w:rsid w:val="0054194B"/>
    <w:rsid w:val="005531BB"/>
    <w:rsid w:val="005550A8"/>
    <w:rsid w:val="005558AC"/>
    <w:rsid w:val="005648BC"/>
    <w:rsid w:val="00565CDB"/>
    <w:rsid w:val="005742AD"/>
    <w:rsid w:val="00577E17"/>
    <w:rsid w:val="005868C7"/>
    <w:rsid w:val="005A105A"/>
    <w:rsid w:val="005A3C8F"/>
    <w:rsid w:val="005B0405"/>
    <w:rsid w:val="005B1D1B"/>
    <w:rsid w:val="005B4703"/>
    <w:rsid w:val="005C7207"/>
    <w:rsid w:val="005C7B97"/>
    <w:rsid w:val="005D291C"/>
    <w:rsid w:val="005D5F2E"/>
    <w:rsid w:val="005E0592"/>
    <w:rsid w:val="005E2802"/>
    <w:rsid w:val="005E639C"/>
    <w:rsid w:val="005F1791"/>
    <w:rsid w:val="005F42A7"/>
    <w:rsid w:val="005F4F9A"/>
    <w:rsid w:val="006035B0"/>
    <w:rsid w:val="006044FF"/>
    <w:rsid w:val="00605EF8"/>
    <w:rsid w:val="00615113"/>
    <w:rsid w:val="00615B13"/>
    <w:rsid w:val="00616909"/>
    <w:rsid w:val="00623412"/>
    <w:rsid w:val="0064504D"/>
    <w:rsid w:val="0064658D"/>
    <w:rsid w:val="00666402"/>
    <w:rsid w:val="006738CE"/>
    <w:rsid w:val="00675A95"/>
    <w:rsid w:val="006762A5"/>
    <w:rsid w:val="00683B2F"/>
    <w:rsid w:val="00691F8B"/>
    <w:rsid w:val="00695A50"/>
    <w:rsid w:val="006A6D9A"/>
    <w:rsid w:val="006B01F1"/>
    <w:rsid w:val="006C2A79"/>
    <w:rsid w:val="006D2996"/>
    <w:rsid w:val="006D4624"/>
    <w:rsid w:val="006E49A9"/>
    <w:rsid w:val="006F2914"/>
    <w:rsid w:val="006F7AB4"/>
    <w:rsid w:val="007000F5"/>
    <w:rsid w:val="007013E3"/>
    <w:rsid w:val="00707188"/>
    <w:rsid w:val="00710AF6"/>
    <w:rsid w:val="00712882"/>
    <w:rsid w:val="00715354"/>
    <w:rsid w:val="0071568C"/>
    <w:rsid w:val="00717F95"/>
    <w:rsid w:val="00723151"/>
    <w:rsid w:val="00732866"/>
    <w:rsid w:val="007406EC"/>
    <w:rsid w:val="00741020"/>
    <w:rsid w:val="00741754"/>
    <w:rsid w:val="0075389F"/>
    <w:rsid w:val="00754AC9"/>
    <w:rsid w:val="00762624"/>
    <w:rsid w:val="007704E5"/>
    <w:rsid w:val="00772267"/>
    <w:rsid w:val="00780827"/>
    <w:rsid w:val="00781C53"/>
    <w:rsid w:val="007A17BC"/>
    <w:rsid w:val="007A263E"/>
    <w:rsid w:val="007B1F67"/>
    <w:rsid w:val="007B6CD3"/>
    <w:rsid w:val="007C49E3"/>
    <w:rsid w:val="007D4D15"/>
    <w:rsid w:val="007D534A"/>
    <w:rsid w:val="007E3421"/>
    <w:rsid w:val="007E5E9C"/>
    <w:rsid w:val="007E69C0"/>
    <w:rsid w:val="00803092"/>
    <w:rsid w:val="00805B6B"/>
    <w:rsid w:val="00813B26"/>
    <w:rsid w:val="00826609"/>
    <w:rsid w:val="00831846"/>
    <w:rsid w:val="00831FC6"/>
    <w:rsid w:val="00835C17"/>
    <w:rsid w:val="00835D90"/>
    <w:rsid w:val="00837A61"/>
    <w:rsid w:val="00840D0F"/>
    <w:rsid w:val="008437FF"/>
    <w:rsid w:val="00843A77"/>
    <w:rsid w:val="00843E36"/>
    <w:rsid w:val="00847DE5"/>
    <w:rsid w:val="008501CE"/>
    <w:rsid w:val="008527C8"/>
    <w:rsid w:val="00852B82"/>
    <w:rsid w:val="00857E45"/>
    <w:rsid w:val="00866249"/>
    <w:rsid w:val="00867A3D"/>
    <w:rsid w:val="00876360"/>
    <w:rsid w:val="008825A6"/>
    <w:rsid w:val="00885D0B"/>
    <w:rsid w:val="00894091"/>
    <w:rsid w:val="008A0C89"/>
    <w:rsid w:val="008A41DD"/>
    <w:rsid w:val="008D0B55"/>
    <w:rsid w:val="008D2FD5"/>
    <w:rsid w:val="008E5820"/>
    <w:rsid w:val="008F729D"/>
    <w:rsid w:val="00912130"/>
    <w:rsid w:val="00912204"/>
    <w:rsid w:val="00913BD5"/>
    <w:rsid w:val="0091628E"/>
    <w:rsid w:val="009166B7"/>
    <w:rsid w:val="0092258E"/>
    <w:rsid w:val="009227AE"/>
    <w:rsid w:val="009272C4"/>
    <w:rsid w:val="00937FB7"/>
    <w:rsid w:val="00940D4A"/>
    <w:rsid w:val="00946547"/>
    <w:rsid w:val="00961CD6"/>
    <w:rsid w:val="0096282A"/>
    <w:rsid w:val="00966B1D"/>
    <w:rsid w:val="00985B0D"/>
    <w:rsid w:val="00986264"/>
    <w:rsid w:val="0098731A"/>
    <w:rsid w:val="00993251"/>
    <w:rsid w:val="009A1E0B"/>
    <w:rsid w:val="009A55A0"/>
    <w:rsid w:val="009C55B9"/>
    <w:rsid w:val="009C6463"/>
    <w:rsid w:val="009C7526"/>
    <w:rsid w:val="009D5642"/>
    <w:rsid w:val="009D6218"/>
    <w:rsid w:val="009D78CA"/>
    <w:rsid w:val="009E1083"/>
    <w:rsid w:val="00A07E0F"/>
    <w:rsid w:val="00A11BAC"/>
    <w:rsid w:val="00A1711F"/>
    <w:rsid w:val="00A2407F"/>
    <w:rsid w:val="00A34983"/>
    <w:rsid w:val="00A376DF"/>
    <w:rsid w:val="00A37F02"/>
    <w:rsid w:val="00A43090"/>
    <w:rsid w:val="00A442C3"/>
    <w:rsid w:val="00A56563"/>
    <w:rsid w:val="00A57A62"/>
    <w:rsid w:val="00A67BF1"/>
    <w:rsid w:val="00A84018"/>
    <w:rsid w:val="00A95217"/>
    <w:rsid w:val="00AA22F7"/>
    <w:rsid w:val="00AD2FBC"/>
    <w:rsid w:val="00AD6ED0"/>
    <w:rsid w:val="00AE0F0E"/>
    <w:rsid w:val="00AE51D2"/>
    <w:rsid w:val="00AE6CBC"/>
    <w:rsid w:val="00AE7DA7"/>
    <w:rsid w:val="00AF54D7"/>
    <w:rsid w:val="00AF7CAB"/>
    <w:rsid w:val="00B017E0"/>
    <w:rsid w:val="00B17262"/>
    <w:rsid w:val="00B202BF"/>
    <w:rsid w:val="00B3477E"/>
    <w:rsid w:val="00B35FC4"/>
    <w:rsid w:val="00B36EA9"/>
    <w:rsid w:val="00B37F93"/>
    <w:rsid w:val="00B42BC9"/>
    <w:rsid w:val="00B5086C"/>
    <w:rsid w:val="00B548D1"/>
    <w:rsid w:val="00B633B3"/>
    <w:rsid w:val="00B65352"/>
    <w:rsid w:val="00B8007A"/>
    <w:rsid w:val="00B87560"/>
    <w:rsid w:val="00B907AC"/>
    <w:rsid w:val="00B93F2F"/>
    <w:rsid w:val="00B94EA6"/>
    <w:rsid w:val="00B97934"/>
    <w:rsid w:val="00BA73CF"/>
    <w:rsid w:val="00BB19E6"/>
    <w:rsid w:val="00BB5130"/>
    <w:rsid w:val="00BB70AB"/>
    <w:rsid w:val="00BC27FA"/>
    <w:rsid w:val="00BC293F"/>
    <w:rsid w:val="00BC2C80"/>
    <w:rsid w:val="00BC4900"/>
    <w:rsid w:val="00BC79E3"/>
    <w:rsid w:val="00BD4AB0"/>
    <w:rsid w:val="00BE164C"/>
    <w:rsid w:val="00BE6D87"/>
    <w:rsid w:val="00BE6F3C"/>
    <w:rsid w:val="00BF0755"/>
    <w:rsid w:val="00BF2C62"/>
    <w:rsid w:val="00BF792E"/>
    <w:rsid w:val="00C001C6"/>
    <w:rsid w:val="00C05A14"/>
    <w:rsid w:val="00C078B0"/>
    <w:rsid w:val="00C10B66"/>
    <w:rsid w:val="00C14BAF"/>
    <w:rsid w:val="00C330EE"/>
    <w:rsid w:val="00C413C2"/>
    <w:rsid w:val="00C4344F"/>
    <w:rsid w:val="00C43B79"/>
    <w:rsid w:val="00C51F4D"/>
    <w:rsid w:val="00C52C20"/>
    <w:rsid w:val="00C54257"/>
    <w:rsid w:val="00C5514C"/>
    <w:rsid w:val="00C56D26"/>
    <w:rsid w:val="00C654E7"/>
    <w:rsid w:val="00C65A86"/>
    <w:rsid w:val="00C704F6"/>
    <w:rsid w:val="00C70A7C"/>
    <w:rsid w:val="00C713CD"/>
    <w:rsid w:val="00C72A9F"/>
    <w:rsid w:val="00C738AE"/>
    <w:rsid w:val="00C76566"/>
    <w:rsid w:val="00C76A7D"/>
    <w:rsid w:val="00C80082"/>
    <w:rsid w:val="00C80482"/>
    <w:rsid w:val="00C858A7"/>
    <w:rsid w:val="00C92A43"/>
    <w:rsid w:val="00CB3282"/>
    <w:rsid w:val="00CB3C9A"/>
    <w:rsid w:val="00CB6527"/>
    <w:rsid w:val="00CC00E3"/>
    <w:rsid w:val="00CC2EAB"/>
    <w:rsid w:val="00CC312F"/>
    <w:rsid w:val="00CC412F"/>
    <w:rsid w:val="00CD0A64"/>
    <w:rsid w:val="00CD0C89"/>
    <w:rsid w:val="00CD1331"/>
    <w:rsid w:val="00CD210C"/>
    <w:rsid w:val="00CD433D"/>
    <w:rsid w:val="00CD6242"/>
    <w:rsid w:val="00CE19AD"/>
    <w:rsid w:val="00CE4D93"/>
    <w:rsid w:val="00CE619D"/>
    <w:rsid w:val="00CE63C6"/>
    <w:rsid w:val="00CF5B62"/>
    <w:rsid w:val="00D1084B"/>
    <w:rsid w:val="00D11D45"/>
    <w:rsid w:val="00D14AE3"/>
    <w:rsid w:val="00D166E3"/>
    <w:rsid w:val="00D31A34"/>
    <w:rsid w:val="00D34555"/>
    <w:rsid w:val="00D35E20"/>
    <w:rsid w:val="00D403C4"/>
    <w:rsid w:val="00D44778"/>
    <w:rsid w:val="00D45808"/>
    <w:rsid w:val="00D5322C"/>
    <w:rsid w:val="00D54D2A"/>
    <w:rsid w:val="00D715BF"/>
    <w:rsid w:val="00D72B32"/>
    <w:rsid w:val="00D7350C"/>
    <w:rsid w:val="00D80678"/>
    <w:rsid w:val="00D8161B"/>
    <w:rsid w:val="00D8209A"/>
    <w:rsid w:val="00D86918"/>
    <w:rsid w:val="00DB04C5"/>
    <w:rsid w:val="00DD0D00"/>
    <w:rsid w:val="00DD3F50"/>
    <w:rsid w:val="00DD43C2"/>
    <w:rsid w:val="00DD54FF"/>
    <w:rsid w:val="00DD7AE9"/>
    <w:rsid w:val="00DD7E5E"/>
    <w:rsid w:val="00DE1D3A"/>
    <w:rsid w:val="00DE2BF8"/>
    <w:rsid w:val="00DF2512"/>
    <w:rsid w:val="00E01114"/>
    <w:rsid w:val="00E07863"/>
    <w:rsid w:val="00E221C3"/>
    <w:rsid w:val="00E24AB7"/>
    <w:rsid w:val="00E279C7"/>
    <w:rsid w:val="00E27E5A"/>
    <w:rsid w:val="00E3255E"/>
    <w:rsid w:val="00E435EC"/>
    <w:rsid w:val="00E51572"/>
    <w:rsid w:val="00E5500B"/>
    <w:rsid w:val="00E55B73"/>
    <w:rsid w:val="00E55D93"/>
    <w:rsid w:val="00E66D87"/>
    <w:rsid w:val="00E71B6A"/>
    <w:rsid w:val="00E73CF6"/>
    <w:rsid w:val="00E8048D"/>
    <w:rsid w:val="00E812C7"/>
    <w:rsid w:val="00E812DC"/>
    <w:rsid w:val="00E818B3"/>
    <w:rsid w:val="00E942E2"/>
    <w:rsid w:val="00E95EFD"/>
    <w:rsid w:val="00E9748E"/>
    <w:rsid w:val="00EA0D55"/>
    <w:rsid w:val="00EA2BED"/>
    <w:rsid w:val="00EA75B3"/>
    <w:rsid w:val="00EB15B5"/>
    <w:rsid w:val="00EB28BC"/>
    <w:rsid w:val="00EB3B90"/>
    <w:rsid w:val="00EB620D"/>
    <w:rsid w:val="00EB6C37"/>
    <w:rsid w:val="00EB74B1"/>
    <w:rsid w:val="00EC1B7C"/>
    <w:rsid w:val="00ED03FB"/>
    <w:rsid w:val="00EE2CC8"/>
    <w:rsid w:val="00EE3314"/>
    <w:rsid w:val="00EF2871"/>
    <w:rsid w:val="00EF4E1A"/>
    <w:rsid w:val="00EF7591"/>
    <w:rsid w:val="00F00115"/>
    <w:rsid w:val="00F00258"/>
    <w:rsid w:val="00F02B62"/>
    <w:rsid w:val="00F04392"/>
    <w:rsid w:val="00F156AD"/>
    <w:rsid w:val="00F158D3"/>
    <w:rsid w:val="00F16219"/>
    <w:rsid w:val="00F3207E"/>
    <w:rsid w:val="00F4511C"/>
    <w:rsid w:val="00F45E11"/>
    <w:rsid w:val="00F468CB"/>
    <w:rsid w:val="00F7083D"/>
    <w:rsid w:val="00F72DF1"/>
    <w:rsid w:val="00F7406D"/>
    <w:rsid w:val="00F84C32"/>
    <w:rsid w:val="00F94609"/>
    <w:rsid w:val="00F96833"/>
    <w:rsid w:val="00F97E4B"/>
    <w:rsid w:val="00FA1EA9"/>
    <w:rsid w:val="00FA5A5D"/>
    <w:rsid w:val="00FA6062"/>
    <w:rsid w:val="00FA71D9"/>
    <w:rsid w:val="00FB2259"/>
    <w:rsid w:val="00FB5D7B"/>
    <w:rsid w:val="00FB64EA"/>
    <w:rsid w:val="00FD0CBC"/>
    <w:rsid w:val="00FD1A6A"/>
    <w:rsid w:val="00FF0699"/>
    <w:rsid w:val="00FF08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2E"/>
    <w:rPr>
      <w:rFonts w:ascii="Calibri" w:eastAsia="Calibri" w:hAnsi="Calibri" w:cs="Calibri"/>
    </w:rPr>
  </w:style>
  <w:style w:type="paragraph" w:styleId="Heading2">
    <w:name w:val="heading 2"/>
    <w:basedOn w:val="Heading3"/>
    <w:next w:val="Normal"/>
    <w:link w:val="Heading2Char"/>
    <w:qFormat/>
    <w:rsid w:val="000277D0"/>
    <w:pPr>
      <w:keepNext w:val="0"/>
      <w:keepLines w:val="0"/>
      <w:tabs>
        <w:tab w:val="left" w:pos="720"/>
      </w:tabs>
      <w:autoSpaceDE w:val="0"/>
      <w:autoSpaceDN w:val="0"/>
      <w:adjustRightInd w:val="0"/>
      <w:spacing w:before="0" w:line="240" w:lineRule="auto"/>
      <w:outlineLvl w:val="1"/>
    </w:pPr>
    <w:rPr>
      <w:rFonts w:ascii="Times New Roman" w:eastAsia="Calibri" w:hAnsi="Times New Roman" w:cs="Times New Roman"/>
      <w:bCs w:val="0"/>
      <w:color w:val="000000"/>
      <w:sz w:val="24"/>
      <w:szCs w:val="24"/>
      <w:lang w:eastAsia="lv-LV"/>
    </w:rPr>
  </w:style>
  <w:style w:type="paragraph" w:styleId="Heading3">
    <w:name w:val="heading 3"/>
    <w:basedOn w:val="Normal"/>
    <w:next w:val="Normal"/>
    <w:link w:val="Heading3Char"/>
    <w:uiPriority w:val="9"/>
    <w:semiHidden/>
    <w:unhideWhenUsed/>
    <w:qFormat/>
    <w:rsid w:val="000277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2E592E"/>
    <w:pPr>
      <w:spacing w:after="0" w:line="240" w:lineRule="auto"/>
    </w:pPr>
    <w:rPr>
      <w:rFonts w:ascii="Cambria" w:eastAsia="Times New Roman" w:hAnsi="Cambria" w:cs="Cambria"/>
      <w:sz w:val="20"/>
      <w:szCs w:val="20"/>
    </w:rPr>
  </w:style>
  <w:style w:type="paragraph" w:styleId="Subtitle">
    <w:name w:val="Subtitle"/>
    <w:basedOn w:val="Normal"/>
    <w:link w:val="SubtitleChar"/>
    <w:uiPriority w:val="11"/>
    <w:qFormat/>
    <w:rsid w:val="002E592E"/>
    <w:pPr>
      <w:keepNext/>
      <w:spacing w:before="600" w:after="600" w:line="240" w:lineRule="auto"/>
      <w:ind w:right="4820"/>
    </w:pPr>
    <w:rPr>
      <w:rFonts w:ascii="Times New Roman" w:eastAsiaTheme="minorHAnsi" w:hAnsi="Times New Roman" w:cs="Times New Roman"/>
      <w:b/>
      <w:bCs/>
      <w:sz w:val="26"/>
      <w:szCs w:val="26"/>
      <w:lang w:eastAsia="lv-LV"/>
    </w:rPr>
  </w:style>
  <w:style w:type="character" w:customStyle="1" w:styleId="SubtitleChar">
    <w:name w:val="Subtitle Char"/>
    <w:basedOn w:val="DefaultParagraphFont"/>
    <w:link w:val="Subtitle"/>
    <w:uiPriority w:val="11"/>
    <w:rsid w:val="002E592E"/>
    <w:rPr>
      <w:rFonts w:ascii="Times New Roman" w:hAnsi="Times New Roman" w:cs="Times New Roman"/>
      <w:b/>
      <w:bCs/>
      <w:sz w:val="26"/>
      <w:szCs w:val="26"/>
      <w:lang w:eastAsia="lv-LV"/>
    </w:rPr>
  </w:style>
  <w:style w:type="paragraph" w:styleId="ListParagraph">
    <w:name w:val="List Paragraph"/>
    <w:basedOn w:val="Normal"/>
    <w:uiPriority w:val="34"/>
    <w:qFormat/>
    <w:rsid w:val="002E592E"/>
    <w:pPr>
      <w:ind w:left="720"/>
      <w:contextualSpacing/>
    </w:pPr>
  </w:style>
  <w:style w:type="paragraph" w:styleId="BodyTextIndent">
    <w:name w:val="Body Text Indent"/>
    <w:basedOn w:val="Normal"/>
    <w:link w:val="BodyTextIndentChar"/>
    <w:autoRedefine/>
    <w:rsid w:val="00143ADB"/>
    <w:pPr>
      <w:numPr>
        <w:ilvl w:val="12"/>
      </w:numPr>
      <w:spacing w:after="0" w:line="240" w:lineRule="auto"/>
      <w:ind w:right="-58"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143ADB"/>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rsid w:val="002E592E"/>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2E59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2E592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2E592E"/>
    <w:rPr>
      <w:rFonts w:ascii="Times New Roman" w:eastAsia="Times New Roman" w:hAnsi="Times New Roman" w:cs="Times New Roman"/>
      <w:sz w:val="24"/>
      <w:szCs w:val="24"/>
      <w:lang w:val="en-GB"/>
    </w:rPr>
  </w:style>
  <w:style w:type="table" w:styleId="MediumList1-Accent3">
    <w:name w:val="Medium List 1 Accent 3"/>
    <w:basedOn w:val="TableNormal"/>
    <w:uiPriority w:val="65"/>
    <w:rsid w:val="002E592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2E592E"/>
    <w:rPr>
      <w:rFonts w:cs="Times New Roman"/>
    </w:rPr>
  </w:style>
  <w:style w:type="character" w:styleId="Hyperlink">
    <w:name w:val="Hyperlink"/>
    <w:basedOn w:val="DefaultParagraphFont"/>
    <w:rsid w:val="002E592E"/>
    <w:rPr>
      <w:color w:val="0000FF"/>
      <w:u w:val="single"/>
    </w:rPr>
  </w:style>
  <w:style w:type="character" w:styleId="Emphasis">
    <w:name w:val="Emphasis"/>
    <w:basedOn w:val="DefaultParagraphFont"/>
    <w:uiPriority w:val="20"/>
    <w:qFormat/>
    <w:rsid w:val="002E592E"/>
    <w:rPr>
      <w:i/>
      <w:iCs/>
    </w:rPr>
  </w:style>
  <w:style w:type="character" w:customStyle="1" w:styleId="c1">
    <w:name w:val="c1"/>
    <w:basedOn w:val="DefaultParagraphFont"/>
    <w:rsid w:val="002E592E"/>
  </w:style>
  <w:style w:type="character" w:styleId="Strong">
    <w:name w:val="Strong"/>
    <w:basedOn w:val="DefaultParagraphFont"/>
    <w:uiPriority w:val="22"/>
    <w:qFormat/>
    <w:rsid w:val="002E592E"/>
    <w:rPr>
      <w:b/>
      <w:bCs/>
    </w:rPr>
  </w:style>
  <w:style w:type="paragraph" w:styleId="BalloonText">
    <w:name w:val="Balloon Text"/>
    <w:basedOn w:val="Normal"/>
    <w:link w:val="BalloonTextChar"/>
    <w:uiPriority w:val="99"/>
    <w:semiHidden/>
    <w:unhideWhenUsed/>
    <w:rsid w:val="00C7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7C"/>
    <w:rPr>
      <w:rFonts w:ascii="Tahoma" w:eastAsia="Calibri" w:hAnsi="Tahoma" w:cs="Tahoma"/>
      <w:sz w:val="16"/>
      <w:szCs w:val="16"/>
    </w:rPr>
  </w:style>
  <w:style w:type="paragraph" w:styleId="NormalWeb">
    <w:name w:val="Normal (Web)"/>
    <w:basedOn w:val="Normal"/>
    <w:uiPriority w:val="99"/>
    <w:unhideWhenUsed/>
    <w:rsid w:val="002E52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9pirmstab3">
    <w:name w:val="9_pirms_tab_3"/>
    <w:basedOn w:val="Normal"/>
    <w:uiPriority w:val="99"/>
    <w:rsid w:val="002E52F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line="240" w:lineRule="auto"/>
      <w:jc w:val="center"/>
    </w:pPr>
    <w:rPr>
      <w:rFonts w:ascii="Times New Roman" w:eastAsia="Times New Roman" w:hAnsi="Times New Roman" w:cs="Times New Roman"/>
      <w:color w:val="000000"/>
      <w:sz w:val="18"/>
      <w:szCs w:val="20"/>
    </w:rPr>
  </w:style>
  <w:style w:type="paragraph" w:styleId="Header">
    <w:name w:val="header"/>
    <w:basedOn w:val="Normal"/>
    <w:link w:val="HeaderChar"/>
    <w:uiPriority w:val="99"/>
    <w:unhideWhenUsed/>
    <w:rsid w:val="00D73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50C"/>
    <w:rPr>
      <w:rFonts w:ascii="Calibri" w:eastAsia="Calibri" w:hAnsi="Calibri" w:cs="Calibri"/>
    </w:rPr>
  </w:style>
  <w:style w:type="paragraph" w:styleId="Footer">
    <w:name w:val="footer"/>
    <w:basedOn w:val="Normal"/>
    <w:link w:val="FooterChar"/>
    <w:uiPriority w:val="99"/>
    <w:unhideWhenUsed/>
    <w:rsid w:val="00D735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50C"/>
    <w:rPr>
      <w:rFonts w:ascii="Calibri" w:eastAsia="Calibri" w:hAnsi="Calibri" w:cs="Calibri"/>
    </w:rPr>
  </w:style>
  <w:style w:type="paragraph" w:styleId="FootnoteText">
    <w:name w:val="footnote text"/>
    <w:aliases w:val="Footnote,Fußnote"/>
    <w:basedOn w:val="Normal"/>
    <w:link w:val="FootnoteTextChar"/>
    <w:uiPriority w:val="99"/>
    <w:semiHidden/>
    <w:rsid w:val="00831846"/>
    <w:pPr>
      <w:spacing w:after="0" w:line="240" w:lineRule="auto"/>
      <w:ind w:firstLine="567"/>
      <w:jc w:val="both"/>
    </w:pPr>
    <w:rPr>
      <w:rFonts w:ascii="Times New Roman" w:eastAsia="PMingLiU"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semiHidden/>
    <w:rsid w:val="00831846"/>
    <w:rPr>
      <w:rFonts w:ascii="Times New Roman" w:eastAsia="PMingLiU" w:hAnsi="Times New Roman" w:cs="Times New Roman"/>
      <w:sz w:val="20"/>
      <w:szCs w:val="20"/>
    </w:rPr>
  </w:style>
  <w:style w:type="character" w:styleId="FootnoteReference">
    <w:name w:val="footnote reference"/>
    <w:basedOn w:val="DefaultParagraphFont"/>
    <w:uiPriority w:val="99"/>
    <w:semiHidden/>
    <w:rsid w:val="00831846"/>
    <w:rPr>
      <w:vertAlign w:val="superscript"/>
    </w:rPr>
  </w:style>
  <w:style w:type="character" w:customStyle="1" w:styleId="Heading2Char">
    <w:name w:val="Heading 2 Char"/>
    <w:basedOn w:val="DefaultParagraphFont"/>
    <w:link w:val="Heading2"/>
    <w:uiPriority w:val="9"/>
    <w:rsid w:val="000277D0"/>
    <w:rPr>
      <w:rFonts w:ascii="Times New Roman" w:eastAsia="Calibri" w:hAnsi="Times New Roman" w:cs="Times New Roman"/>
      <w:b/>
      <w:color w:val="000000"/>
      <w:sz w:val="24"/>
      <w:szCs w:val="24"/>
      <w:lang w:eastAsia="lv-LV"/>
    </w:rPr>
  </w:style>
  <w:style w:type="character" w:customStyle="1" w:styleId="Heading3Char">
    <w:name w:val="Heading 3 Char"/>
    <w:basedOn w:val="DefaultParagraphFont"/>
    <w:link w:val="Heading3"/>
    <w:uiPriority w:val="9"/>
    <w:semiHidden/>
    <w:rsid w:val="000277D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10016A"/>
    <w:pPr>
      <w:spacing w:after="120"/>
    </w:pPr>
  </w:style>
  <w:style w:type="character" w:customStyle="1" w:styleId="BodyTextChar">
    <w:name w:val="Body Text Char"/>
    <w:basedOn w:val="DefaultParagraphFont"/>
    <w:link w:val="BodyText"/>
    <w:uiPriority w:val="99"/>
    <w:rsid w:val="0010016A"/>
    <w:rPr>
      <w:rFonts w:ascii="Calibri" w:eastAsia="Calibri" w:hAnsi="Calibri" w:cs="Calibri"/>
    </w:rPr>
  </w:style>
  <w:style w:type="paragraph" w:customStyle="1" w:styleId="Rakstz">
    <w:name w:val="Rakstz."/>
    <w:basedOn w:val="Normal"/>
    <w:semiHidden/>
    <w:rsid w:val="0010016A"/>
    <w:pPr>
      <w:spacing w:after="160" w:line="240" w:lineRule="exact"/>
    </w:pPr>
    <w:rPr>
      <w:rFonts w:ascii="Verdana" w:eastAsia="Times New Roman" w:hAnsi="Verdana" w:cs="Times New Roman"/>
      <w:sz w:val="20"/>
      <w:szCs w:val="20"/>
      <w:lang w:eastAsia="lv-LV"/>
    </w:rPr>
  </w:style>
  <w:style w:type="table" w:customStyle="1" w:styleId="LightShading-Accent11">
    <w:name w:val="Light Shading - Accent 11"/>
    <w:basedOn w:val="TableNormal"/>
    <w:uiPriority w:val="60"/>
    <w:rsid w:val="001C77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2">
    <w:name w:val="Style2"/>
    <w:basedOn w:val="TableNormal"/>
    <w:uiPriority w:val="99"/>
    <w:qFormat/>
    <w:rsid w:val="003D31CA"/>
    <w:pPr>
      <w:spacing w:after="0" w:line="240" w:lineRule="auto"/>
    </w:pPr>
    <w:tblPr>
      <w:tblStyleRowBandSize w:val="1"/>
      <w:tblInd w:w="0" w:type="dxa"/>
      <w:tblCellMar>
        <w:top w:w="0" w:type="dxa"/>
        <w:left w:w="108" w:type="dxa"/>
        <w:bottom w:w="0" w:type="dxa"/>
        <w:right w:w="108" w:type="dxa"/>
      </w:tblCellMar>
    </w:tblPr>
    <w:tblStylePr w:type="band1Horz">
      <w:tblPr/>
      <w:tcPr>
        <w:shd w:val="clear" w:color="auto" w:fill="DDD9C3" w:themeFill="background2" w:themeFillShade="E6"/>
      </w:tcPr>
    </w:tblStylePr>
  </w:style>
  <w:style w:type="paragraph" w:customStyle="1" w:styleId="Taksts11">
    <w:name w:val="Taksts_11"/>
    <w:basedOn w:val="Normal"/>
    <w:rsid w:val="003D31CA"/>
    <w:pPr>
      <w:spacing w:after="0" w:line="240" w:lineRule="auto"/>
      <w:ind w:firstLine="567"/>
      <w:jc w:val="both"/>
    </w:pPr>
    <w:rPr>
      <w:rFonts w:ascii="Times New Roman" w:eastAsia="Times New Roman" w:hAnsi="Times New Roman" w:cs="Times New Roman"/>
      <w:sz w:val="24"/>
      <w:szCs w:val="20"/>
      <w:lang w:val="en-US"/>
    </w:rPr>
  </w:style>
  <w:style w:type="character" w:customStyle="1" w:styleId="longtext1">
    <w:name w:val="long_text1"/>
    <w:basedOn w:val="DefaultParagraphFont"/>
    <w:rsid w:val="00C5514C"/>
  </w:style>
  <w:style w:type="table" w:styleId="LightShading-Accent3">
    <w:name w:val="Light Shading Accent 3"/>
    <w:basedOn w:val="TableNormal"/>
    <w:uiPriority w:val="60"/>
    <w:rsid w:val="00EF4E1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odyTextIndent3">
    <w:name w:val="Body Text Indent 3"/>
    <w:basedOn w:val="Normal"/>
    <w:link w:val="BodyTextIndent3Char"/>
    <w:uiPriority w:val="99"/>
    <w:semiHidden/>
    <w:unhideWhenUsed/>
    <w:rsid w:val="00683B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3B2F"/>
    <w:rPr>
      <w:rFonts w:ascii="Calibri" w:eastAsia="Calibri" w:hAnsi="Calibri" w:cs="Calibri"/>
      <w:sz w:val="16"/>
      <w:szCs w:val="16"/>
    </w:rPr>
  </w:style>
  <w:style w:type="paragraph" w:styleId="EndnoteText">
    <w:name w:val="endnote text"/>
    <w:basedOn w:val="Normal"/>
    <w:link w:val="EndnoteTextChar"/>
    <w:uiPriority w:val="99"/>
    <w:semiHidden/>
    <w:unhideWhenUsed/>
    <w:rsid w:val="002B6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B43"/>
    <w:rPr>
      <w:rFonts w:ascii="Calibri" w:eastAsia="Calibri" w:hAnsi="Calibri" w:cs="Calibri"/>
      <w:sz w:val="20"/>
      <w:szCs w:val="20"/>
    </w:rPr>
  </w:style>
  <w:style w:type="character" w:styleId="EndnoteReference">
    <w:name w:val="endnote reference"/>
    <w:basedOn w:val="DefaultParagraphFont"/>
    <w:uiPriority w:val="99"/>
    <w:semiHidden/>
    <w:unhideWhenUsed/>
    <w:rsid w:val="002B6B43"/>
    <w:rPr>
      <w:vertAlign w:val="superscript"/>
    </w:rPr>
  </w:style>
</w:styles>
</file>

<file path=word/webSettings.xml><?xml version="1.0" encoding="utf-8"?>
<w:webSettings xmlns:r="http://schemas.openxmlformats.org/officeDocument/2006/relationships" xmlns:w="http://schemas.openxmlformats.org/wordprocessingml/2006/main">
  <w:divs>
    <w:div w:id="32118270">
      <w:bodyDiv w:val="1"/>
      <w:marLeft w:val="0"/>
      <w:marRight w:val="0"/>
      <w:marTop w:val="0"/>
      <w:marBottom w:val="0"/>
      <w:divBdr>
        <w:top w:val="none" w:sz="0" w:space="0" w:color="auto"/>
        <w:left w:val="none" w:sz="0" w:space="0" w:color="auto"/>
        <w:bottom w:val="none" w:sz="0" w:space="0" w:color="auto"/>
        <w:right w:val="none" w:sz="0" w:space="0" w:color="auto"/>
      </w:divBdr>
    </w:div>
    <w:div w:id="97065032">
      <w:bodyDiv w:val="1"/>
      <w:marLeft w:val="0"/>
      <w:marRight w:val="0"/>
      <w:marTop w:val="0"/>
      <w:marBottom w:val="0"/>
      <w:divBdr>
        <w:top w:val="none" w:sz="0" w:space="0" w:color="auto"/>
        <w:left w:val="none" w:sz="0" w:space="0" w:color="auto"/>
        <w:bottom w:val="none" w:sz="0" w:space="0" w:color="auto"/>
        <w:right w:val="none" w:sz="0" w:space="0" w:color="auto"/>
      </w:divBdr>
    </w:div>
    <w:div w:id="211504256">
      <w:bodyDiv w:val="1"/>
      <w:marLeft w:val="0"/>
      <w:marRight w:val="0"/>
      <w:marTop w:val="0"/>
      <w:marBottom w:val="0"/>
      <w:divBdr>
        <w:top w:val="none" w:sz="0" w:space="0" w:color="auto"/>
        <w:left w:val="none" w:sz="0" w:space="0" w:color="auto"/>
        <w:bottom w:val="none" w:sz="0" w:space="0" w:color="auto"/>
        <w:right w:val="none" w:sz="0" w:space="0" w:color="auto"/>
      </w:divBdr>
    </w:div>
    <w:div w:id="407310430">
      <w:bodyDiv w:val="1"/>
      <w:marLeft w:val="0"/>
      <w:marRight w:val="0"/>
      <w:marTop w:val="0"/>
      <w:marBottom w:val="0"/>
      <w:divBdr>
        <w:top w:val="none" w:sz="0" w:space="0" w:color="auto"/>
        <w:left w:val="none" w:sz="0" w:space="0" w:color="auto"/>
        <w:bottom w:val="none" w:sz="0" w:space="0" w:color="auto"/>
        <w:right w:val="none" w:sz="0" w:space="0" w:color="auto"/>
      </w:divBdr>
    </w:div>
    <w:div w:id="424422768">
      <w:bodyDiv w:val="1"/>
      <w:marLeft w:val="0"/>
      <w:marRight w:val="0"/>
      <w:marTop w:val="0"/>
      <w:marBottom w:val="0"/>
      <w:divBdr>
        <w:top w:val="none" w:sz="0" w:space="0" w:color="auto"/>
        <w:left w:val="none" w:sz="0" w:space="0" w:color="auto"/>
        <w:bottom w:val="none" w:sz="0" w:space="0" w:color="auto"/>
        <w:right w:val="none" w:sz="0" w:space="0" w:color="auto"/>
      </w:divBdr>
    </w:div>
    <w:div w:id="483006834">
      <w:bodyDiv w:val="1"/>
      <w:marLeft w:val="0"/>
      <w:marRight w:val="0"/>
      <w:marTop w:val="0"/>
      <w:marBottom w:val="0"/>
      <w:divBdr>
        <w:top w:val="none" w:sz="0" w:space="0" w:color="auto"/>
        <w:left w:val="none" w:sz="0" w:space="0" w:color="auto"/>
        <w:bottom w:val="none" w:sz="0" w:space="0" w:color="auto"/>
        <w:right w:val="none" w:sz="0" w:space="0" w:color="auto"/>
      </w:divBdr>
    </w:div>
    <w:div w:id="545800182">
      <w:bodyDiv w:val="1"/>
      <w:marLeft w:val="0"/>
      <w:marRight w:val="0"/>
      <w:marTop w:val="0"/>
      <w:marBottom w:val="0"/>
      <w:divBdr>
        <w:top w:val="none" w:sz="0" w:space="0" w:color="auto"/>
        <w:left w:val="none" w:sz="0" w:space="0" w:color="auto"/>
        <w:bottom w:val="none" w:sz="0" w:space="0" w:color="auto"/>
        <w:right w:val="none" w:sz="0" w:space="0" w:color="auto"/>
      </w:divBdr>
    </w:div>
    <w:div w:id="609123421">
      <w:bodyDiv w:val="1"/>
      <w:marLeft w:val="0"/>
      <w:marRight w:val="0"/>
      <w:marTop w:val="0"/>
      <w:marBottom w:val="0"/>
      <w:divBdr>
        <w:top w:val="none" w:sz="0" w:space="0" w:color="auto"/>
        <w:left w:val="none" w:sz="0" w:space="0" w:color="auto"/>
        <w:bottom w:val="none" w:sz="0" w:space="0" w:color="auto"/>
        <w:right w:val="none" w:sz="0" w:space="0" w:color="auto"/>
      </w:divBdr>
    </w:div>
    <w:div w:id="629211667">
      <w:bodyDiv w:val="1"/>
      <w:marLeft w:val="0"/>
      <w:marRight w:val="0"/>
      <w:marTop w:val="0"/>
      <w:marBottom w:val="0"/>
      <w:divBdr>
        <w:top w:val="none" w:sz="0" w:space="0" w:color="auto"/>
        <w:left w:val="none" w:sz="0" w:space="0" w:color="auto"/>
        <w:bottom w:val="none" w:sz="0" w:space="0" w:color="auto"/>
        <w:right w:val="none" w:sz="0" w:space="0" w:color="auto"/>
      </w:divBdr>
    </w:div>
    <w:div w:id="1112632997">
      <w:bodyDiv w:val="1"/>
      <w:marLeft w:val="0"/>
      <w:marRight w:val="0"/>
      <w:marTop w:val="0"/>
      <w:marBottom w:val="0"/>
      <w:divBdr>
        <w:top w:val="none" w:sz="0" w:space="0" w:color="auto"/>
        <w:left w:val="none" w:sz="0" w:space="0" w:color="auto"/>
        <w:bottom w:val="none" w:sz="0" w:space="0" w:color="auto"/>
        <w:right w:val="none" w:sz="0" w:space="0" w:color="auto"/>
      </w:divBdr>
    </w:div>
    <w:div w:id="1487476277">
      <w:bodyDiv w:val="1"/>
      <w:marLeft w:val="0"/>
      <w:marRight w:val="0"/>
      <w:marTop w:val="0"/>
      <w:marBottom w:val="0"/>
      <w:divBdr>
        <w:top w:val="none" w:sz="0" w:space="0" w:color="auto"/>
        <w:left w:val="none" w:sz="0" w:space="0" w:color="auto"/>
        <w:bottom w:val="none" w:sz="0" w:space="0" w:color="auto"/>
        <w:right w:val="none" w:sz="0" w:space="0" w:color="auto"/>
      </w:divBdr>
    </w:div>
    <w:div w:id="1642611773">
      <w:bodyDiv w:val="1"/>
      <w:marLeft w:val="0"/>
      <w:marRight w:val="0"/>
      <w:marTop w:val="0"/>
      <w:marBottom w:val="0"/>
      <w:divBdr>
        <w:top w:val="none" w:sz="0" w:space="0" w:color="auto"/>
        <w:left w:val="none" w:sz="0" w:space="0" w:color="auto"/>
        <w:bottom w:val="none" w:sz="0" w:space="0" w:color="auto"/>
        <w:right w:val="none" w:sz="0" w:space="0" w:color="auto"/>
      </w:divBdr>
    </w:div>
    <w:div w:id="1713766514">
      <w:bodyDiv w:val="1"/>
      <w:marLeft w:val="0"/>
      <w:marRight w:val="0"/>
      <w:marTop w:val="0"/>
      <w:marBottom w:val="0"/>
      <w:divBdr>
        <w:top w:val="none" w:sz="0" w:space="0" w:color="auto"/>
        <w:left w:val="none" w:sz="0" w:space="0" w:color="auto"/>
        <w:bottom w:val="none" w:sz="0" w:space="0" w:color="auto"/>
        <w:right w:val="none" w:sz="0" w:space="0" w:color="auto"/>
      </w:divBdr>
    </w:div>
    <w:div w:id="1730420512">
      <w:bodyDiv w:val="1"/>
      <w:marLeft w:val="0"/>
      <w:marRight w:val="0"/>
      <w:marTop w:val="0"/>
      <w:marBottom w:val="0"/>
      <w:divBdr>
        <w:top w:val="none" w:sz="0" w:space="0" w:color="auto"/>
        <w:left w:val="none" w:sz="0" w:space="0" w:color="auto"/>
        <w:bottom w:val="none" w:sz="0" w:space="0" w:color="auto"/>
        <w:right w:val="none" w:sz="0" w:space="0" w:color="auto"/>
      </w:divBdr>
    </w:div>
    <w:div w:id="1732339950">
      <w:bodyDiv w:val="1"/>
      <w:marLeft w:val="0"/>
      <w:marRight w:val="0"/>
      <w:marTop w:val="0"/>
      <w:marBottom w:val="0"/>
      <w:divBdr>
        <w:top w:val="none" w:sz="0" w:space="0" w:color="auto"/>
        <w:left w:val="none" w:sz="0" w:space="0" w:color="auto"/>
        <w:bottom w:val="none" w:sz="0" w:space="0" w:color="auto"/>
        <w:right w:val="none" w:sz="0" w:space="0" w:color="auto"/>
      </w:divBdr>
    </w:div>
    <w:div w:id="1742827735">
      <w:bodyDiv w:val="1"/>
      <w:marLeft w:val="0"/>
      <w:marRight w:val="0"/>
      <w:marTop w:val="0"/>
      <w:marBottom w:val="0"/>
      <w:divBdr>
        <w:top w:val="none" w:sz="0" w:space="0" w:color="auto"/>
        <w:left w:val="none" w:sz="0" w:space="0" w:color="auto"/>
        <w:bottom w:val="none" w:sz="0" w:space="0" w:color="auto"/>
        <w:right w:val="none" w:sz="0" w:space="0" w:color="auto"/>
      </w:divBdr>
      <w:divsChild>
        <w:div w:id="600987071">
          <w:marLeft w:val="864"/>
          <w:marRight w:val="0"/>
          <w:marTop w:val="86"/>
          <w:marBottom w:val="0"/>
          <w:divBdr>
            <w:top w:val="none" w:sz="0" w:space="0" w:color="auto"/>
            <w:left w:val="none" w:sz="0" w:space="0" w:color="auto"/>
            <w:bottom w:val="none" w:sz="0" w:space="0" w:color="auto"/>
            <w:right w:val="none" w:sz="0" w:space="0" w:color="auto"/>
          </w:divBdr>
        </w:div>
        <w:div w:id="756171987">
          <w:marLeft w:val="1555"/>
          <w:marRight w:val="0"/>
          <w:marTop w:val="77"/>
          <w:marBottom w:val="0"/>
          <w:divBdr>
            <w:top w:val="none" w:sz="0" w:space="0" w:color="auto"/>
            <w:left w:val="none" w:sz="0" w:space="0" w:color="auto"/>
            <w:bottom w:val="none" w:sz="0" w:space="0" w:color="auto"/>
            <w:right w:val="none" w:sz="0" w:space="0" w:color="auto"/>
          </w:divBdr>
        </w:div>
        <w:div w:id="1911042842">
          <w:marLeft w:val="1555"/>
          <w:marRight w:val="0"/>
          <w:marTop w:val="77"/>
          <w:marBottom w:val="0"/>
          <w:divBdr>
            <w:top w:val="none" w:sz="0" w:space="0" w:color="auto"/>
            <w:left w:val="none" w:sz="0" w:space="0" w:color="auto"/>
            <w:bottom w:val="none" w:sz="0" w:space="0" w:color="auto"/>
            <w:right w:val="none" w:sz="0" w:space="0" w:color="auto"/>
          </w:divBdr>
        </w:div>
        <w:div w:id="130900739">
          <w:marLeft w:val="1555"/>
          <w:marRight w:val="0"/>
          <w:marTop w:val="77"/>
          <w:marBottom w:val="0"/>
          <w:divBdr>
            <w:top w:val="none" w:sz="0" w:space="0" w:color="auto"/>
            <w:left w:val="none" w:sz="0" w:space="0" w:color="auto"/>
            <w:bottom w:val="none" w:sz="0" w:space="0" w:color="auto"/>
            <w:right w:val="none" w:sz="0" w:space="0" w:color="auto"/>
          </w:divBdr>
        </w:div>
        <w:div w:id="268516060">
          <w:marLeft w:val="1555"/>
          <w:marRight w:val="0"/>
          <w:marTop w:val="77"/>
          <w:marBottom w:val="0"/>
          <w:divBdr>
            <w:top w:val="none" w:sz="0" w:space="0" w:color="auto"/>
            <w:left w:val="none" w:sz="0" w:space="0" w:color="auto"/>
            <w:bottom w:val="none" w:sz="0" w:space="0" w:color="auto"/>
            <w:right w:val="none" w:sz="0" w:space="0" w:color="auto"/>
          </w:divBdr>
        </w:div>
        <w:div w:id="623656366">
          <w:marLeft w:val="1555"/>
          <w:marRight w:val="0"/>
          <w:marTop w:val="77"/>
          <w:marBottom w:val="0"/>
          <w:divBdr>
            <w:top w:val="none" w:sz="0" w:space="0" w:color="auto"/>
            <w:left w:val="none" w:sz="0" w:space="0" w:color="auto"/>
            <w:bottom w:val="none" w:sz="0" w:space="0" w:color="auto"/>
            <w:right w:val="none" w:sz="0" w:space="0" w:color="auto"/>
          </w:divBdr>
        </w:div>
      </w:divsChild>
    </w:div>
    <w:div w:id="1748068780">
      <w:bodyDiv w:val="1"/>
      <w:marLeft w:val="0"/>
      <w:marRight w:val="0"/>
      <w:marTop w:val="0"/>
      <w:marBottom w:val="0"/>
      <w:divBdr>
        <w:top w:val="none" w:sz="0" w:space="0" w:color="auto"/>
        <w:left w:val="none" w:sz="0" w:space="0" w:color="auto"/>
        <w:bottom w:val="none" w:sz="0" w:space="0" w:color="auto"/>
        <w:right w:val="none" w:sz="0" w:space="0" w:color="auto"/>
      </w:divBdr>
      <w:divsChild>
        <w:div w:id="595284944">
          <w:marLeft w:val="547"/>
          <w:marRight w:val="0"/>
          <w:marTop w:val="115"/>
          <w:marBottom w:val="0"/>
          <w:divBdr>
            <w:top w:val="none" w:sz="0" w:space="0" w:color="auto"/>
            <w:left w:val="none" w:sz="0" w:space="0" w:color="auto"/>
            <w:bottom w:val="none" w:sz="0" w:space="0" w:color="auto"/>
            <w:right w:val="none" w:sz="0" w:space="0" w:color="auto"/>
          </w:divBdr>
        </w:div>
      </w:divsChild>
    </w:div>
    <w:div w:id="1782454593">
      <w:bodyDiv w:val="1"/>
      <w:marLeft w:val="0"/>
      <w:marRight w:val="0"/>
      <w:marTop w:val="0"/>
      <w:marBottom w:val="0"/>
      <w:divBdr>
        <w:top w:val="none" w:sz="0" w:space="0" w:color="auto"/>
        <w:left w:val="none" w:sz="0" w:space="0" w:color="auto"/>
        <w:bottom w:val="none" w:sz="0" w:space="0" w:color="auto"/>
        <w:right w:val="none" w:sz="0" w:space="0" w:color="auto"/>
      </w:divBdr>
    </w:div>
    <w:div w:id="1790514609">
      <w:bodyDiv w:val="1"/>
      <w:marLeft w:val="0"/>
      <w:marRight w:val="0"/>
      <w:marTop w:val="0"/>
      <w:marBottom w:val="0"/>
      <w:divBdr>
        <w:top w:val="none" w:sz="0" w:space="0" w:color="auto"/>
        <w:left w:val="none" w:sz="0" w:space="0" w:color="auto"/>
        <w:bottom w:val="none" w:sz="0" w:space="0" w:color="auto"/>
        <w:right w:val="none" w:sz="0" w:space="0" w:color="auto"/>
      </w:divBdr>
    </w:div>
    <w:div w:id="1838694889">
      <w:bodyDiv w:val="1"/>
      <w:marLeft w:val="0"/>
      <w:marRight w:val="0"/>
      <w:marTop w:val="0"/>
      <w:marBottom w:val="0"/>
      <w:divBdr>
        <w:top w:val="none" w:sz="0" w:space="0" w:color="auto"/>
        <w:left w:val="none" w:sz="0" w:space="0" w:color="auto"/>
        <w:bottom w:val="none" w:sz="0" w:space="0" w:color="auto"/>
        <w:right w:val="none" w:sz="0" w:space="0" w:color="auto"/>
      </w:divBdr>
    </w:div>
    <w:div w:id="1910772103">
      <w:bodyDiv w:val="1"/>
      <w:marLeft w:val="0"/>
      <w:marRight w:val="0"/>
      <w:marTop w:val="0"/>
      <w:marBottom w:val="0"/>
      <w:divBdr>
        <w:top w:val="none" w:sz="0" w:space="0" w:color="auto"/>
        <w:left w:val="none" w:sz="0" w:space="0" w:color="auto"/>
        <w:bottom w:val="none" w:sz="0" w:space="0" w:color="auto"/>
        <w:right w:val="none" w:sz="0" w:space="0" w:color="auto"/>
      </w:divBdr>
    </w:div>
    <w:div w:id="2027946335">
      <w:bodyDiv w:val="1"/>
      <w:marLeft w:val="0"/>
      <w:marRight w:val="0"/>
      <w:marTop w:val="0"/>
      <w:marBottom w:val="0"/>
      <w:divBdr>
        <w:top w:val="none" w:sz="0" w:space="0" w:color="auto"/>
        <w:left w:val="none" w:sz="0" w:space="0" w:color="auto"/>
        <w:bottom w:val="none" w:sz="0" w:space="0" w:color="auto"/>
        <w:right w:val="none" w:sz="0" w:space="0" w:color="auto"/>
      </w:divBdr>
      <w:divsChild>
        <w:div w:id="95256565">
          <w:marLeft w:val="0"/>
          <w:marRight w:val="0"/>
          <w:marTop w:val="0"/>
          <w:marBottom w:val="0"/>
          <w:divBdr>
            <w:top w:val="none" w:sz="0" w:space="0" w:color="auto"/>
            <w:left w:val="none" w:sz="0" w:space="0" w:color="auto"/>
            <w:bottom w:val="none" w:sz="0" w:space="0" w:color="auto"/>
            <w:right w:val="none" w:sz="0" w:space="0" w:color="auto"/>
          </w:divBdr>
          <w:divsChild>
            <w:div w:id="1034231280">
              <w:marLeft w:val="0"/>
              <w:marRight w:val="0"/>
              <w:marTop w:val="0"/>
              <w:marBottom w:val="0"/>
              <w:divBdr>
                <w:top w:val="none" w:sz="0" w:space="0" w:color="auto"/>
                <w:left w:val="none" w:sz="0" w:space="0" w:color="auto"/>
                <w:bottom w:val="none" w:sz="0" w:space="0" w:color="auto"/>
                <w:right w:val="none" w:sz="0" w:space="0" w:color="auto"/>
              </w:divBdr>
              <w:divsChild>
                <w:div w:id="1913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2615">
      <w:bodyDiv w:val="1"/>
      <w:marLeft w:val="0"/>
      <w:marRight w:val="0"/>
      <w:marTop w:val="0"/>
      <w:marBottom w:val="0"/>
      <w:divBdr>
        <w:top w:val="none" w:sz="0" w:space="0" w:color="auto"/>
        <w:left w:val="none" w:sz="0" w:space="0" w:color="auto"/>
        <w:bottom w:val="none" w:sz="0" w:space="0" w:color="auto"/>
        <w:right w:val="none" w:sz="0" w:space="0" w:color="auto"/>
      </w:divBdr>
      <w:divsChild>
        <w:div w:id="892037464">
          <w:marLeft w:val="0"/>
          <w:marRight w:val="0"/>
          <w:marTop w:val="0"/>
          <w:marBottom w:val="0"/>
          <w:divBdr>
            <w:top w:val="none" w:sz="0" w:space="0" w:color="auto"/>
            <w:left w:val="none" w:sz="0" w:space="0" w:color="auto"/>
            <w:bottom w:val="none" w:sz="0" w:space="0" w:color="auto"/>
            <w:right w:val="none" w:sz="0" w:space="0" w:color="auto"/>
          </w:divBdr>
          <w:divsChild>
            <w:div w:id="1790781387">
              <w:marLeft w:val="0"/>
              <w:marRight w:val="0"/>
              <w:marTop w:val="150"/>
              <w:marBottom w:val="150"/>
              <w:divBdr>
                <w:top w:val="none" w:sz="0" w:space="0" w:color="auto"/>
                <w:left w:val="none" w:sz="0" w:space="0" w:color="auto"/>
                <w:bottom w:val="none" w:sz="0" w:space="0" w:color="auto"/>
                <w:right w:val="none" w:sz="0" w:space="0" w:color="auto"/>
              </w:divBdr>
              <w:divsChild>
                <w:div w:id="807362676">
                  <w:marLeft w:val="0"/>
                  <w:marRight w:val="270"/>
                  <w:marTop w:val="0"/>
                  <w:marBottom w:val="0"/>
                  <w:divBdr>
                    <w:top w:val="none" w:sz="0" w:space="0" w:color="auto"/>
                    <w:left w:val="none" w:sz="0" w:space="0" w:color="auto"/>
                    <w:bottom w:val="none" w:sz="0" w:space="0" w:color="auto"/>
                    <w:right w:val="none" w:sz="0" w:space="0" w:color="auto"/>
                  </w:divBdr>
                  <w:divsChild>
                    <w:div w:id="2080787182">
                      <w:marLeft w:val="0"/>
                      <w:marRight w:val="0"/>
                      <w:marTop w:val="0"/>
                      <w:marBottom w:val="0"/>
                      <w:divBdr>
                        <w:top w:val="none" w:sz="0" w:space="0" w:color="auto"/>
                        <w:left w:val="none" w:sz="0" w:space="0" w:color="auto"/>
                        <w:bottom w:val="none" w:sz="0" w:space="0" w:color="auto"/>
                        <w:right w:val="none" w:sz="0" w:space="0" w:color="auto"/>
                      </w:divBdr>
                      <w:divsChild>
                        <w:div w:id="1123302411">
                          <w:marLeft w:val="0"/>
                          <w:marRight w:val="0"/>
                          <w:marTop w:val="0"/>
                          <w:marBottom w:val="0"/>
                          <w:divBdr>
                            <w:top w:val="none" w:sz="0" w:space="0" w:color="auto"/>
                            <w:left w:val="none" w:sz="0" w:space="0" w:color="auto"/>
                            <w:bottom w:val="none" w:sz="0" w:space="0" w:color="auto"/>
                            <w:right w:val="none" w:sz="0" w:space="0" w:color="auto"/>
                          </w:divBdr>
                          <w:divsChild>
                            <w:div w:id="1013848254">
                              <w:marLeft w:val="0"/>
                              <w:marRight w:val="0"/>
                              <w:marTop w:val="33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cid:image009.png@01CBD76B.3EAE8B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Iveta.Ozolina@em.gov.lv"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tudyinlatvia.l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1451177530025353"/>
          <c:y val="4.5816017182387807E-2"/>
          <c:w val="0.87521137622993361"/>
          <c:h val="0.85080501824491983"/>
        </c:manualLayout>
      </c:layout>
      <c:barChart>
        <c:barDir val="col"/>
        <c:grouping val="stacked"/>
        <c:ser>
          <c:idx val="0"/>
          <c:order val="0"/>
          <c:tx>
            <c:strRef>
              <c:f>Sheet1!$B$1</c:f>
              <c:strCache>
                <c:ptCount val="1"/>
                <c:pt idx="0">
                  <c:v>Preču eksports</c:v>
                </c:pt>
              </c:strCache>
            </c:strRef>
          </c:tx>
          <c:spPr>
            <a:solidFill>
              <a:schemeClr val="accent3">
                <a:lumMod val="75000"/>
              </a:schemeClr>
            </a:solidFill>
            <a:ln w="3175">
              <a:solidFill>
                <a:schemeClr val="tx1"/>
              </a:solidFill>
            </a:ln>
          </c:spPr>
          <c:dLbls>
            <c:dLbl>
              <c:idx val="0"/>
              <c:tx>
                <c:rich>
                  <a:bodyPr/>
                  <a:lstStyle/>
                  <a:p>
                    <a:r>
                      <a:rPr lang="lv-LV"/>
                      <a:t>71%</a:t>
                    </a:r>
                    <a:endParaRPr lang="en-US"/>
                  </a:p>
                </c:rich>
              </c:tx>
              <c:showVal val="1"/>
            </c:dLbl>
            <c:dLbl>
              <c:idx val="1"/>
              <c:tx>
                <c:rich>
                  <a:bodyPr/>
                  <a:lstStyle/>
                  <a:p>
                    <a:r>
                      <a:rPr lang="lv-LV"/>
                      <a:t>70%</a:t>
                    </a:r>
                    <a:endParaRPr lang="en-US"/>
                  </a:p>
                </c:rich>
              </c:tx>
              <c:showVal val="1"/>
            </c:dLbl>
            <c:dLbl>
              <c:idx val="2"/>
              <c:tx>
                <c:rich>
                  <a:bodyPr/>
                  <a:lstStyle/>
                  <a:p>
                    <a:r>
                      <a:rPr lang="lv-LV"/>
                      <a:t>69%</a:t>
                    </a:r>
                    <a:endParaRPr lang="en-US"/>
                  </a:p>
                </c:rich>
              </c:tx>
              <c:showVal val="1"/>
            </c:dLbl>
            <c:dLbl>
              <c:idx val="3"/>
              <c:tx>
                <c:rich>
                  <a:bodyPr/>
                  <a:lstStyle/>
                  <a:p>
                    <a:r>
                      <a:rPr lang="lv-LV"/>
                      <a:t>68%</a:t>
                    </a:r>
                    <a:endParaRPr lang="en-US"/>
                  </a:p>
                </c:rich>
              </c:tx>
              <c:showVal val="1"/>
            </c:dLbl>
            <c:dLbl>
              <c:idx val="4"/>
              <c:tx>
                <c:rich>
                  <a:bodyPr/>
                  <a:lstStyle/>
                  <a:p>
                    <a:r>
                      <a:rPr lang="lv-LV"/>
                      <a:t>66%</a:t>
                    </a:r>
                    <a:endParaRPr lang="en-US"/>
                  </a:p>
                </c:rich>
              </c:tx>
              <c:showVal val="1"/>
            </c:dLbl>
            <c:dLbl>
              <c:idx val="5"/>
              <c:tx>
                <c:rich>
                  <a:bodyPr/>
                  <a:lstStyle/>
                  <a:p>
                    <a:r>
                      <a:rPr lang="lv-LV"/>
                      <a:t>71%</a:t>
                    </a:r>
                    <a:endParaRPr lang="en-US"/>
                  </a:p>
                </c:rich>
              </c:tx>
              <c:showVal val="1"/>
            </c:dLbl>
            <c:showVal val="1"/>
          </c:dLbls>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0">
                  <c:v>3031.2000000000003</c:v>
                </c:pt>
                <c:pt idx="1">
                  <c:v>3431.7999999999997</c:v>
                </c:pt>
                <c:pt idx="2">
                  <c:v>4214.5</c:v>
                </c:pt>
                <c:pt idx="3">
                  <c:v>4587.2</c:v>
                </c:pt>
                <c:pt idx="4">
                  <c:v>3708.2000000000003</c:v>
                </c:pt>
                <c:pt idx="5">
                  <c:v>4800.68</c:v>
                </c:pt>
              </c:numCache>
            </c:numRef>
          </c:val>
        </c:ser>
        <c:ser>
          <c:idx val="1"/>
          <c:order val="1"/>
          <c:tx>
            <c:strRef>
              <c:f>Sheet1!$C$1</c:f>
              <c:strCache>
                <c:ptCount val="1"/>
                <c:pt idx="0">
                  <c:v>Pakalpojumu eksports</c:v>
                </c:pt>
              </c:strCache>
            </c:strRef>
          </c:tx>
          <c:spPr>
            <a:solidFill>
              <a:schemeClr val="bg1">
                <a:lumMod val="85000"/>
              </a:schemeClr>
            </a:solidFill>
            <a:ln w="3175">
              <a:solidFill>
                <a:schemeClr val="tx1"/>
              </a:solidFill>
            </a:ln>
          </c:spPr>
          <c:dLbls>
            <c:dLbl>
              <c:idx val="0"/>
              <c:tx>
                <c:rich>
                  <a:bodyPr/>
                  <a:lstStyle/>
                  <a:p>
                    <a:r>
                      <a:rPr lang="lv-LV"/>
                      <a:t>29%</a:t>
                    </a:r>
                    <a:endParaRPr lang="en-US"/>
                  </a:p>
                </c:rich>
              </c:tx>
              <c:showVal val="1"/>
            </c:dLbl>
            <c:dLbl>
              <c:idx val="1"/>
              <c:tx>
                <c:rich>
                  <a:bodyPr/>
                  <a:lstStyle/>
                  <a:p>
                    <a:r>
                      <a:rPr lang="lv-LV"/>
                      <a:t>30%</a:t>
                    </a:r>
                    <a:endParaRPr lang="en-US"/>
                  </a:p>
                </c:rich>
              </c:tx>
              <c:showVal val="1"/>
            </c:dLbl>
            <c:dLbl>
              <c:idx val="2"/>
              <c:tx>
                <c:rich>
                  <a:bodyPr/>
                  <a:lstStyle/>
                  <a:p>
                    <a:r>
                      <a:rPr lang="lv-LV"/>
                      <a:t>31%</a:t>
                    </a:r>
                    <a:endParaRPr lang="en-US"/>
                  </a:p>
                </c:rich>
              </c:tx>
              <c:showVal val="1"/>
            </c:dLbl>
            <c:dLbl>
              <c:idx val="3"/>
              <c:tx>
                <c:rich>
                  <a:bodyPr/>
                  <a:lstStyle/>
                  <a:p>
                    <a:r>
                      <a:rPr lang="lv-LV"/>
                      <a:t>32%</a:t>
                    </a:r>
                    <a:endParaRPr lang="en-US"/>
                  </a:p>
                </c:rich>
              </c:tx>
              <c:showVal val="1"/>
            </c:dLbl>
            <c:dLbl>
              <c:idx val="4"/>
              <c:tx>
                <c:rich>
                  <a:bodyPr/>
                  <a:lstStyle/>
                  <a:p>
                    <a:r>
                      <a:rPr lang="lv-LV"/>
                      <a:t>34%</a:t>
                    </a:r>
                    <a:endParaRPr lang="en-US"/>
                  </a:p>
                </c:rich>
              </c:tx>
              <c:showVal val="1"/>
            </c:dLbl>
            <c:dLbl>
              <c:idx val="5"/>
              <c:tx>
                <c:rich>
                  <a:bodyPr/>
                  <a:lstStyle/>
                  <a:p>
                    <a:r>
                      <a:rPr lang="lv-LV"/>
                      <a:t>29%</a:t>
                    </a:r>
                    <a:endParaRPr lang="en-US"/>
                  </a:p>
                </c:rich>
              </c:tx>
              <c:showVal val="1"/>
            </c:dLbl>
            <c:showVal val="1"/>
          </c:dLbls>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General</c:formatCode>
                <c:ptCount val="6"/>
                <c:pt idx="0">
                  <c:v>1224.9000000000001</c:v>
                </c:pt>
                <c:pt idx="1">
                  <c:v>1476.7</c:v>
                </c:pt>
                <c:pt idx="2">
                  <c:v>1894.8</c:v>
                </c:pt>
                <c:pt idx="3">
                  <c:v>2169.6999999999998</c:v>
                </c:pt>
                <c:pt idx="4">
                  <c:v>1937.2</c:v>
                </c:pt>
                <c:pt idx="5">
                  <c:v>1932.5</c:v>
                </c:pt>
              </c:numCache>
            </c:numRef>
          </c:val>
        </c:ser>
        <c:gapWidth val="46"/>
        <c:overlap val="100"/>
        <c:axId val="122901632"/>
        <c:axId val="122903168"/>
      </c:barChart>
      <c:catAx>
        <c:axId val="122901632"/>
        <c:scaling>
          <c:orientation val="minMax"/>
        </c:scaling>
        <c:axPos val="b"/>
        <c:numFmt formatCode="General" sourceLinked="1"/>
        <c:tickLblPos val="nextTo"/>
        <c:crossAx val="122903168"/>
        <c:crosses val="autoZero"/>
        <c:auto val="1"/>
        <c:lblAlgn val="ctr"/>
        <c:lblOffset val="100"/>
      </c:catAx>
      <c:valAx>
        <c:axId val="122903168"/>
        <c:scaling>
          <c:orientation val="minMax"/>
        </c:scaling>
        <c:axPos val="l"/>
        <c:numFmt formatCode="General" sourceLinked="1"/>
        <c:tickLblPos val="nextTo"/>
        <c:crossAx val="122901632"/>
        <c:crosses val="autoZero"/>
        <c:crossBetween val="between"/>
      </c:valAx>
    </c:plotArea>
    <c:legend>
      <c:legendPos val="r"/>
      <c:layout>
        <c:manualLayout>
          <c:xMode val="edge"/>
          <c:yMode val="edge"/>
          <c:x val="0.11639892232348878"/>
          <c:y val="7.8604942184084467E-2"/>
          <c:w val="0.37781040983857023"/>
          <c:h val="0.1492430716441869"/>
        </c:manualLayout>
      </c:layout>
    </c:legend>
    <c:plotVisOnly val="1"/>
  </c:chart>
  <c:spPr>
    <a:ln>
      <a:noFill/>
    </a:ln>
  </c:spPr>
  <c:txPr>
    <a:bodyPr/>
    <a:lstStyle/>
    <a:p>
      <a:pPr>
        <a:defRPr sz="1100">
          <a:latin typeface="Times New Roman" pitchFamily="18" charset="0"/>
          <a:cs typeface="Times New Roman" pitchFamily="18" charset="0"/>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155688879149081E-2"/>
          <c:y val="3.4604537987842653E-2"/>
          <c:w val="0.91191726361735059"/>
          <c:h val="0.87277653673401723"/>
        </c:manualLayout>
      </c:layout>
      <c:barChart>
        <c:barDir val="col"/>
        <c:grouping val="stacked"/>
        <c:ser>
          <c:idx val="1"/>
          <c:order val="0"/>
          <c:tx>
            <c:strRef>
              <c:f>Sheet1!$B$2</c:f>
              <c:strCache>
                <c:ptCount val="1"/>
                <c:pt idx="0">
                  <c:v>Ārējā pieprasījuma efekts</c:v>
                </c:pt>
              </c:strCache>
            </c:strRef>
          </c:tx>
          <c:spPr>
            <a:solidFill>
              <a:srgbClr val="FFC000"/>
            </a:solidFill>
            <a:ln w="19050">
              <a:solidFill>
                <a:sysClr val="windowText" lastClr="000000"/>
              </a:solidFill>
              <a:prstDash val="solid"/>
            </a:ln>
          </c:spPr>
          <c:cat>
            <c:strRef>
              <c:f>Sheet1!$C$1:$D$1</c:f>
              <c:strCache>
                <c:ptCount val="2"/>
                <c:pt idx="0">
                  <c:v>2009.g janvāris - septembris</c:v>
                </c:pt>
                <c:pt idx="1">
                  <c:v>2010.g janvāris - septembris</c:v>
                </c:pt>
              </c:strCache>
            </c:strRef>
          </c:cat>
          <c:val>
            <c:numRef>
              <c:f>Sheet1!$C$2:$D$2</c:f>
              <c:numCache>
                <c:formatCode>0.0</c:formatCode>
                <c:ptCount val="2"/>
                <c:pt idx="0">
                  <c:v>-23.459813128179377</c:v>
                </c:pt>
                <c:pt idx="1">
                  <c:v>15.417998717289828</c:v>
                </c:pt>
              </c:numCache>
            </c:numRef>
          </c:val>
        </c:ser>
        <c:ser>
          <c:idx val="0"/>
          <c:order val="1"/>
          <c:tx>
            <c:strRef>
              <c:f>Sheet1!$B$3</c:f>
              <c:strCache>
                <c:ptCount val="1"/>
                <c:pt idx="0">
                  <c:v>Konkurētspējas efekts</c:v>
                </c:pt>
              </c:strCache>
            </c:strRef>
          </c:tx>
          <c:spPr>
            <a:solidFill>
              <a:srgbClr val="C00000"/>
            </a:solidFill>
            <a:ln w="19050">
              <a:solidFill>
                <a:sysClr val="windowText" lastClr="000000"/>
              </a:solidFill>
              <a:prstDash val="solid"/>
            </a:ln>
          </c:spPr>
          <c:cat>
            <c:strRef>
              <c:f>Sheet1!$C$1:$D$1</c:f>
              <c:strCache>
                <c:ptCount val="2"/>
                <c:pt idx="0">
                  <c:v>2009.g janvāris - septembris</c:v>
                </c:pt>
                <c:pt idx="1">
                  <c:v>2010.g janvāris - septembris</c:v>
                </c:pt>
              </c:strCache>
            </c:strRef>
          </c:cat>
          <c:val>
            <c:numRef>
              <c:f>Sheet1!$C$3:$D$3</c:f>
              <c:numCache>
                <c:formatCode>0.0</c:formatCode>
                <c:ptCount val="2"/>
                <c:pt idx="0">
                  <c:v>-2.5805729371533683</c:v>
                </c:pt>
                <c:pt idx="1">
                  <c:v>11.680556683374823</c:v>
                </c:pt>
              </c:numCache>
            </c:numRef>
          </c:val>
        </c:ser>
        <c:gapWidth val="85"/>
        <c:overlap val="100"/>
        <c:axId val="85060224"/>
        <c:axId val="103375232"/>
      </c:barChart>
      <c:catAx>
        <c:axId val="85060224"/>
        <c:scaling>
          <c:orientation val="minMax"/>
        </c:scaling>
        <c:axPos val="b"/>
        <c:majorGridlines/>
        <c:numFmt formatCode="General" sourceLinked="1"/>
        <c:majorTickMark val="cross"/>
        <c:tickLblPos val="low"/>
        <c:spPr>
          <a:noFill/>
          <a:ln w="25400">
            <a:solidFill>
              <a:srgbClr val="000000"/>
            </a:solidFill>
            <a:prstDash val="solid"/>
          </a:ln>
        </c:spPr>
        <c:txPr>
          <a:bodyPr rot="0" vert="horz"/>
          <a:lstStyle/>
          <a:p>
            <a:pPr>
              <a:defRPr sz="1400" b="0"/>
            </a:pPr>
            <a:endParaRPr lang="lv-LV"/>
          </a:p>
        </c:txPr>
        <c:crossAx val="103375232"/>
        <c:crosses val="autoZero"/>
        <c:auto val="1"/>
        <c:lblAlgn val="ctr"/>
        <c:lblOffset val="0"/>
        <c:tickMarkSkip val="1"/>
        <c:noMultiLvlLbl val="1"/>
      </c:catAx>
      <c:valAx>
        <c:axId val="103375232"/>
        <c:scaling>
          <c:orientation val="minMax"/>
          <c:max val="40"/>
        </c:scaling>
        <c:axPos val="l"/>
        <c:numFmt formatCode="0" sourceLinked="0"/>
        <c:majorTickMark val="cross"/>
        <c:tickLblPos val="nextTo"/>
        <c:spPr>
          <a:ln w="19050">
            <a:solidFill>
              <a:srgbClr val="000000"/>
            </a:solidFill>
          </a:ln>
        </c:spPr>
        <c:txPr>
          <a:bodyPr rot="0" vert="horz"/>
          <a:lstStyle/>
          <a:p>
            <a:pPr>
              <a:defRPr sz="1400" b="0"/>
            </a:pPr>
            <a:endParaRPr lang="lv-LV"/>
          </a:p>
        </c:txPr>
        <c:crossAx val="85060224"/>
        <c:crosses val="autoZero"/>
        <c:crossBetween val="between"/>
        <c:majorUnit val="10"/>
      </c:valAx>
      <c:spPr>
        <a:solidFill>
          <a:srgbClr val="FFFFFF"/>
        </a:solidFill>
        <a:ln w="6350">
          <a:noFill/>
        </a:ln>
      </c:spPr>
    </c:plotArea>
    <c:legend>
      <c:legendPos val="b"/>
      <c:layout>
        <c:manualLayout>
          <c:xMode val="edge"/>
          <c:yMode val="edge"/>
          <c:x val="0.55956263075620327"/>
          <c:y val="0.59592184689030669"/>
          <c:w val="0.42777152303891131"/>
          <c:h val="0.22871216063712263"/>
        </c:manualLayout>
      </c:layout>
      <c:txPr>
        <a:bodyPr/>
        <a:lstStyle/>
        <a:p>
          <a:pPr>
            <a:defRPr sz="1400" b="0">
              <a:effectLst/>
            </a:defRPr>
          </a:pPr>
          <a:endParaRPr lang="lv-LV"/>
        </a:p>
      </c:txPr>
    </c:legend>
    <c:plotVisOnly val="1"/>
    <c:dispBlanksAs val="gap"/>
  </c:chart>
  <c:spPr>
    <a:noFill/>
    <a:ln>
      <a:noFill/>
    </a:ln>
  </c:spPr>
  <c:txPr>
    <a:bodyPr/>
    <a:lstStyle/>
    <a:p>
      <a:pPr>
        <a:defRPr sz="1600" b="0" i="0" u="none" strike="noStrike" baseline="0">
          <a:solidFill>
            <a:srgbClr val="000000"/>
          </a:solidFill>
          <a:latin typeface="Calibri" pitchFamily="34" charset="0"/>
          <a:ea typeface="Arial"/>
          <a:cs typeface="Arial"/>
        </a:defRPr>
      </a:pPr>
      <a:endParaRPr lang="lv-L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0.12676056338028169"/>
          <c:y val="2.9390422582719455E-2"/>
          <c:w val="0.87323943661982673"/>
          <c:h val="0.88412611074218139"/>
        </c:manualLayout>
      </c:layout>
      <c:barChart>
        <c:barDir val="col"/>
        <c:grouping val="stacked"/>
        <c:ser>
          <c:idx val="0"/>
          <c:order val="0"/>
          <c:tx>
            <c:strRef>
              <c:f>Sheet1!$A$2</c:f>
              <c:strCache>
                <c:ptCount val="1"/>
                <c:pt idx="0">
                  <c:v>ES-15</c:v>
                </c:pt>
              </c:strCache>
            </c:strRef>
          </c:tx>
          <c:spPr>
            <a:solidFill>
              <a:srgbClr val="9BBB59">
                <a:lumMod val="75000"/>
              </a:srgbClr>
            </a:solidFill>
            <a:ln w="3175">
              <a:solidFill>
                <a:sysClr val="windowText" lastClr="000000"/>
              </a:solidFill>
              <a:prstDash val="solid"/>
            </a:ln>
          </c:spPr>
          <c:dLbls>
            <c:dLbl>
              <c:idx val="0"/>
              <c:tx>
                <c:rich>
                  <a:bodyPr/>
                  <a:lstStyle/>
                  <a:p>
                    <a:r>
                      <a:rPr lang="lv-LV" sz="1100">
                        <a:solidFill>
                          <a:schemeClr val="bg1"/>
                        </a:solidFill>
                      </a:rPr>
                      <a:t>54%</a:t>
                    </a:r>
                  </a:p>
                </c:rich>
              </c:tx>
            </c:dLbl>
            <c:dLbl>
              <c:idx val="1"/>
              <c:tx>
                <c:rich>
                  <a:bodyPr/>
                  <a:lstStyle/>
                  <a:p>
                    <a:r>
                      <a:rPr lang="lv-LV" sz="1100">
                        <a:solidFill>
                          <a:schemeClr val="bg1"/>
                        </a:solidFill>
                      </a:rPr>
                      <a:t>47%</a:t>
                    </a:r>
                  </a:p>
                </c:rich>
              </c:tx>
            </c:dLbl>
            <c:dLbl>
              <c:idx val="2"/>
              <c:tx>
                <c:rich>
                  <a:bodyPr/>
                  <a:lstStyle/>
                  <a:p>
                    <a:r>
                      <a:rPr lang="lv-LV" sz="1100">
                        <a:solidFill>
                          <a:schemeClr val="bg1"/>
                        </a:solidFill>
                      </a:rPr>
                      <a:t>43%</a:t>
                    </a:r>
                  </a:p>
                </c:rich>
              </c:tx>
            </c:dLbl>
            <c:dLbl>
              <c:idx val="3"/>
              <c:tx>
                <c:rich>
                  <a:bodyPr/>
                  <a:lstStyle/>
                  <a:p>
                    <a:r>
                      <a:rPr lang="lv-LV" sz="1100">
                        <a:solidFill>
                          <a:schemeClr val="bg1"/>
                        </a:solidFill>
                      </a:rPr>
                      <a:t>40%</a:t>
                    </a:r>
                  </a:p>
                </c:rich>
              </c:tx>
            </c:dLbl>
            <c:dLbl>
              <c:idx val="4"/>
              <c:tx>
                <c:rich>
                  <a:bodyPr/>
                  <a:lstStyle/>
                  <a:p>
                    <a:r>
                      <a:rPr lang="lv-LV" sz="1100">
                        <a:solidFill>
                          <a:schemeClr val="bg1"/>
                        </a:solidFill>
                      </a:rPr>
                      <a:t>37%</a:t>
                    </a:r>
                  </a:p>
                </c:rich>
              </c:tx>
            </c:dLbl>
            <c:dLbl>
              <c:idx val="5"/>
              <c:tx>
                <c:rich>
                  <a:bodyPr/>
                  <a:lstStyle/>
                  <a:p>
                    <a:r>
                      <a:rPr lang="lv-LV" sz="1100">
                        <a:solidFill>
                          <a:schemeClr val="bg1"/>
                        </a:solidFill>
                      </a:rPr>
                      <a:t>35%</a:t>
                    </a:r>
                  </a:p>
                </c:rich>
              </c:tx>
            </c:dLbl>
            <c:dLbl>
              <c:idx val="6"/>
              <c:tx>
                <c:rich>
                  <a:bodyPr/>
                  <a:lstStyle/>
                  <a:p>
                    <a:r>
                      <a:rPr lang="lv-LV" sz="1100">
                        <a:solidFill>
                          <a:schemeClr val="bg1"/>
                        </a:solidFill>
                      </a:rPr>
                      <a:t>35%</a:t>
                    </a:r>
                  </a:p>
                </c:rich>
              </c:tx>
            </c:dLbl>
            <c:dLbl>
              <c:idx val="7"/>
              <c:tx>
                <c:rich>
                  <a:bodyPr/>
                  <a:lstStyle/>
                  <a:p>
                    <a:r>
                      <a:rPr lang="lv-LV" sz="1100">
                        <a:solidFill>
                          <a:schemeClr val="bg1"/>
                        </a:solidFill>
                      </a:rPr>
                      <a:t>3</a:t>
                    </a:r>
                    <a:r>
                      <a:rPr lang="lv-LV">
                        <a:solidFill>
                          <a:schemeClr val="bg1"/>
                        </a:solidFill>
                      </a:rPr>
                      <a:t>5%</a:t>
                    </a:r>
                    <a:r>
                      <a:rPr lang="lv-LV"/>
                      <a:t> </a:t>
                    </a:r>
                  </a:p>
                </c:rich>
              </c:tx>
            </c:dLbl>
            <c:dLbl>
              <c:idx val="8"/>
              <c:tx>
                <c:rich>
                  <a:bodyPr/>
                  <a:lstStyle/>
                  <a:p>
                    <a:r>
                      <a:rPr lang="lv-LV" sz="1100"/>
                      <a:t>6</a:t>
                    </a:r>
                    <a:r>
                      <a:rPr lang="lv-LV"/>
                      <a:t>2%</a:t>
                    </a:r>
                  </a:p>
                </c:rich>
              </c:tx>
            </c:dLbl>
            <c:dLbl>
              <c:idx val="9"/>
              <c:tx>
                <c:rich>
                  <a:bodyPr/>
                  <a:lstStyle/>
                  <a:p>
                    <a:r>
                      <a:rPr sz="1100"/>
                      <a:t>5</a:t>
                    </a:r>
                    <a:r>
                      <a:t>4%</a:t>
                    </a:r>
                  </a:p>
                </c:rich>
              </c:tx>
            </c:dLbl>
            <c:spPr>
              <a:noFill/>
              <a:ln w="25104">
                <a:noFill/>
              </a:ln>
            </c:spPr>
            <c:txPr>
              <a:bodyPr/>
              <a:lstStyle/>
              <a:p>
                <a:pPr>
                  <a:defRPr sz="1100"/>
                </a:pPr>
                <a:endParaRPr lang="lv-LV"/>
              </a:p>
            </c:txPr>
            <c:showVal val="1"/>
          </c:dLbls>
          <c:cat>
            <c:numRef>
              <c:f>Sheet1!$B$1:$J$1</c:f>
              <c:numCache>
                <c:formatCode>General</c:formatCode>
                <c:ptCount val="7"/>
                <c:pt idx="0">
                  <c:v>2004</c:v>
                </c:pt>
                <c:pt idx="1">
                  <c:v>2005</c:v>
                </c:pt>
                <c:pt idx="2">
                  <c:v>2006</c:v>
                </c:pt>
                <c:pt idx="3">
                  <c:v>2007</c:v>
                </c:pt>
                <c:pt idx="4">
                  <c:v>2008</c:v>
                </c:pt>
                <c:pt idx="5">
                  <c:v>2009</c:v>
                </c:pt>
                <c:pt idx="6">
                  <c:v>2010</c:v>
                </c:pt>
              </c:numCache>
            </c:numRef>
          </c:cat>
          <c:val>
            <c:numRef>
              <c:f>Sheet1!$B$2:$J$2</c:f>
              <c:numCache>
                <c:formatCode>General</c:formatCode>
                <c:ptCount val="7"/>
                <c:pt idx="0">
                  <c:v>1170.5999999999999</c:v>
                </c:pt>
                <c:pt idx="1">
                  <c:v>1364.8</c:v>
                </c:pt>
                <c:pt idx="2">
                  <c:v>1424</c:v>
                </c:pt>
                <c:pt idx="3" formatCode="0">
                  <c:v>1627</c:v>
                </c:pt>
                <c:pt idx="4" formatCode="0">
                  <c:v>1619</c:v>
                </c:pt>
                <c:pt idx="5" formatCode="0">
                  <c:v>1259</c:v>
                </c:pt>
                <c:pt idx="6">
                  <c:v>1628</c:v>
                </c:pt>
              </c:numCache>
            </c:numRef>
          </c:val>
        </c:ser>
        <c:ser>
          <c:idx val="4"/>
          <c:order val="1"/>
          <c:tx>
            <c:strRef>
              <c:f>Sheet1!$A$3</c:f>
              <c:strCache>
                <c:ptCount val="1"/>
                <c:pt idx="0">
                  <c:v>Lietuva un Igaunija</c:v>
                </c:pt>
              </c:strCache>
            </c:strRef>
          </c:tx>
          <c:spPr>
            <a:solidFill>
              <a:sysClr val="window" lastClr="FFFFFF">
                <a:lumMod val="65000"/>
              </a:sysClr>
            </a:solidFill>
            <a:ln w="3175">
              <a:solidFill>
                <a:sysClr val="windowText" lastClr="000000"/>
              </a:solidFill>
              <a:prstDash val="solid"/>
            </a:ln>
          </c:spPr>
          <c:dLbls>
            <c:dLbl>
              <c:idx val="0"/>
              <c:tx>
                <c:rich>
                  <a:bodyPr/>
                  <a:lstStyle/>
                  <a:p>
                    <a:r>
                      <a:rPr lang="lv-LV" sz="1100"/>
                      <a:t>1</a:t>
                    </a:r>
                    <a:r>
                      <a:rPr lang="lv-LV"/>
                      <a:t>8%</a:t>
                    </a:r>
                  </a:p>
                </c:rich>
              </c:tx>
            </c:dLbl>
            <c:dLbl>
              <c:idx val="1"/>
              <c:tx>
                <c:rich>
                  <a:bodyPr/>
                  <a:lstStyle/>
                  <a:p>
                    <a:r>
                      <a:rPr lang="lv-LV" sz="1100"/>
                      <a:t>22%</a:t>
                    </a:r>
                  </a:p>
                </c:rich>
              </c:tx>
            </c:dLbl>
            <c:dLbl>
              <c:idx val="2"/>
              <c:tx>
                <c:rich>
                  <a:bodyPr/>
                  <a:lstStyle/>
                  <a:p>
                    <a:r>
                      <a:rPr lang="lv-LV" sz="1100"/>
                      <a:t>27%</a:t>
                    </a:r>
                  </a:p>
                </c:rich>
              </c:tx>
            </c:dLbl>
            <c:dLbl>
              <c:idx val="3"/>
              <c:tx>
                <c:rich>
                  <a:bodyPr/>
                  <a:lstStyle/>
                  <a:p>
                    <a:r>
                      <a:rPr lang="lv-LV" sz="1100"/>
                      <a:t>30%</a:t>
                    </a:r>
                  </a:p>
                </c:rich>
              </c:tx>
            </c:dLbl>
            <c:dLbl>
              <c:idx val="4"/>
              <c:tx>
                <c:rich>
                  <a:bodyPr/>
                  <a:lstStyle/>
                  <a:p>
                    <a:pPr>
                      <a:defRPr sz="1100"/>
                    </a:pPr>
                    <a:r>
                      <a:rPr lang="lv-LV" sz="1100"/>
                      <a:t>3</a:t>
                    </a:r>
                    <a:r>
                      <a:rPr lang="lv-LV"/>
                      <a:t>1%</a:t>
                    </a:r>
                  </a:p>
                </c:rich>
              </c:tx>
              <c:spPr>
                <a:noFill/>
                <a:ln w="25104">
                  <a:noFill/>
                </a:ln>
              </c:spPr>
            </c:dLbl>
            <c:dLbl>
              <c:idx val="5"/>
              <c:tx>
                <c:rich>
                  <a:bodyPr/>
                  <a:lstStyle/>
                  <a:p>
                    <a:r>
                      <a:rPr lang="lv-LV" sz="1100"/>
                      <a:t>31%</a:t>
                    </a:r>
                  </a:p>
                </c:rich>
              </c:tx>
            </c:dLbl>
            <c:dLbl>
              <c:idx val="6"/>
              <c:tx>
                <c:rich>
                  <a:bodyPr/>
                  <a:lstStyle/>
                  <a:p>
                    <a:r>
                      <a:rPr lang="lv-LV" sz="1100"/>
                      <a:t>29%</a:t>
                    </a:r>
                  </a:p>
                </c:rich>
              </c:tx>
            </c:dLbl>
            <c:dLbl>
              <c:idx val="7"/>
              <c:tx>
                <c:rich>
                  <a:bodyPr/>
                  <a:lstStyle/>
                  <a:p>
                    <a:r>
                      <a:rPr lang="lv-LV" sz="1100"/>
                      <a:t>3</a:t>
                    </a:r>
                    <a:r>
                      <a:rPr lang="lv-LV"/>
                      <a:t>1%</a:t>
                    </a:r>
                  </a:p>
                </c:rich>
              </c:tx>
            </c:dLbl>
            <c:dLbl>
              <c:idx val="8"/>
              <c:tx>
                <c:rich>
                  <a:bodyPr/>
                  <a:lstStyle/>
                  <a:p>
                    <a:r>
                      <a:rPr lang="lv-LV" sz="1100"/>
                      <a:t>1</a:t>
                    </a:r>
                    <a:r>
                      <a:rPr lang="lv-LV"/>
                      <a:t>5%</a:t>
                    </a:r>
                  </a:p>
                </c:rich>
              </c:tx>
            </c:dLbl>
            <c:dLbl>
              <c:idx val="9"/>
              <c:tx>
                <c:rich>
                  <a:bodyPr/>
                  <a:lstStyle/>
                  <a:p>
                    <a:r>
                      <a:rPr sz="1100"/>
                      <a:t>1</a:t>
                    </a:r>
                    <a:r>
                      <a:t>8%</a:t>
                    </a:r>
                  </a:p>
                </c:rich>
              </c:tx>
            </c:dLbl>
            <c:numFmt formatCode="0" sourceLinked="0"/>
            <c:spPr>
              <a:noFill/>
              <a:ln w="25104">
                <a:noFill/>
              </a:ln>
            </c:spPr>
            <c:txPr>
              <a:bodyPr/>
              <a:lstStyle/>
              <a:p>
                <a:pPr>
                  <a:defRPr sz="1100"/>
                </a:pPr>
                <a:endParaRPr lang="lv-LV"/>
              </a:p>
            </c:txPr>
            <c:showVal val="1"/>
          </c:dLbls>
          <c:cat>
            <c:numRef>
              <c:f>Sheet1!$B$1:$J$1</c:f>
              <c:numCache>
                <c:formatCode>General</c:formatCode>
                <c:ptCount val="7"/>
                <c:pt idx="0">
                  <c:v>2004</c:v>
                </c:pt>
                <c:pt idx="1">
                  <c:v>2005</c:v>
                </c:pt>
                <c:pt idx="2">
                  <c:v>2006</c:v>
                </c:pt>
                <c:pt idx="3">
                  <c:v>2007</c:v>
                </c:pt>
                <c:pt idx="4">
                  <c:v>2008</c:v>
                </c:pt>
                <c:pt idx="5">
                  <c:v>2009</c:v>
                </c:pt>
                <c:pt idx="6">
                  <c:v>2010</c:v>
                </c:pt>
              </c:numCache>
            </c:numRef>
          </c:cat>
          <c:val>
            <c:numRef>
              <c:f>Sheet1!$B$3:$J$3</c:f>
              <c:numCache>
                <c:formatCode>General</c:formatCode>
                <c:ptCount val="7"/>
                <c:pt idx="0">
                  <c:v>383.7</c:v>
                </c:pt>
                <c:pt idx="1">
                  <c:v>630.1</c:v>
                </c:pt>
                <c:pt idx="2">
                  <c:v>902</c:v>
                </c:pt>
                <c:pt idx="3" formatCode="0">
                  <c:v>1220.4000000000001</c:v>
                </c:pt>
                <c:pt idx="4" formatCode="0">
                  <c:v>1361</c:v>
                </c:pt>
                <c:pt idx="5" formatCode="0">
                  <c:v>1109</c:v>
                </c:pt>
                <c:pt idx="6">
                  <c:v>1372</c:v>
                </c:pt>
              </c:numCache>
            </c:numRef>
          </c:val>
        </c:ser>
        <c:ser>
          <c:idx val="2"/>
          <c:order val="2"/>
          <c:tx>
            <c:strRef>
              <c:f>Sheet1!$A$4</c:f>
              <c:strCache>
                <c:ptCount val="1"/>
                <c:pt idx="0">
                  <c:v>Pārējās ES valstis</c:v>
                </c:pt>
              </c:strCache>
            </c:strRef>
          </c:tx>
          <c:spPr>
            <a:solidFill>
              <a:srgbClr val="9BBB59">
                <a:lumMod val="60000"/>
                <a:lumOff val="40000"/>
              </a:srgbClr>
            </a:solidFill>
            <a:ln w="3134">
              <a:solidFill>
                <a:sysClr val="windowText" lastClr="000000"/>
              </a:solidFill>
              <a:prstDash val="solid"/>
            </a:ln>
          </c:spPr>
          <c:dLbls>
            <c:dLbl>
              <c:idx val="0"/>
              <c:delete val="1"/>
            </c:dLbl>
            <c:dLbl>
              <c:idx val="1"/>
              <c:delete val="1"/>
            </c:dLbl>
            <c:dLbl>
              <c:idx val="2"/>
              <c:delete val="1"/>
            </c:dLbl>
            <c:dLbl>
              <c:idx val="3"/>
              <c:delete val="1"/>
            </c:dLbl>
            <c:dLbl>
              <c:idx val="4"/>
              <c:delete val="1"/>
            </c:dLbl>
            <c:dLbl>
              <c:idx val="5"/>
              <c:delete val="1"/>
            </c:dLbl>
            <c:dLbl>
              <c:idx val="6"/>
              <c:tx>
                <c:rich>
                  <a:bodyPr/>
                  <a:lstStyle/>
                  <a:p>
                    <a:r>
                      <a:rPr lang="lv-LV" sz="1100"/>
                      <a:t>7</a:t>
                    </a:r>
                    <a:r>
                      <a:rPr lang="lv-LV" sz="889"/>
                      <a:t>%</a:t>
                    </a:r>
                  </a:p>
                </c:rich>
              </c:tx>
            </c:dLbl>
            <c:dLbl>
              <c:idx val="7"/>
              <c:tx>
                <c:rich>
                  <a:bodyPr/>
                  <a:lstStyle/>
                  <a:p>
                    <a:r>
                      <a:rPr lang="lv-LV" sz="1100"/>
                      <a:t>6</a:t>
                    </a:r>
                    <a:r>
                      <a:rPr lang="lv-LV"/>
                      <a:t>%</a:t>
                    </a:r>
                    <a:endParaRPr lang="en-US"/>
                  </a:p>
                </c:rich>
              </c:tx>
              <c:showVal val="1"/>
            </c:dLbl>
            <c:spPr>
              <a:noFill/>
              <a:ln w="25104">
                <a:noFill/>
              </a:ln>
            </c:spPr>
            <c:txPr>
              <a:bodyPr/>
              <a:lstStyle/>
              <a:p>
                <a:pPr>
                  <a:defRPr sz="1100"/>
                </a:pPr>
                <a:endParaRPr lang="lv-LV"/>
              </a:p>
            </c:txPr>
            <c:showVal val="1"/>
          </c:dLbls>
          <c:cat>
            <c:numRef>
              <c:f>Sheet1!$B$1:$J$1</c:f>
              <c:numCache>
                <c:formatCode>General</c:formatCode>
                <c:ptCount val="7"/>
                <c:pt idx="0">
                  <c:v>2004</c:v>
                </c:pt>
                <c:pt idx="1">
                  <c:v>2005</c:v>
                </c:pt>
                <c:pt idx="2">
                  <c:v>2006</c:v>
                </c:pt>
                <c:pt idx="3">
                  <c:v>2007</c:v>
                </c:pt>
                <c:pt idx="4">
                  <c:v>2008</c:v>
                </c:pt>
                <c:pt idx="5">
                  <c:v>2009</c:v>
                </c:pt>
                <c:pt idx="6">
                  <c:v>2010</c:v>
                </c:pt>
              </c:numCache>
            </c:numRef>
          </c:cat>
          <c:val>
            <c:numRef>
              <c:f>Sheet1!$B$4:$J$4</c:f>
              <c:numCache>
                <c:formatCode>General</c:formatCode>
                <c:ptCount val="7"/>
                <c:pt idx="0">
                  <c:v>106.5</c:v>
                </c:pt>
                <c:pt idx="1">
                  <c:v>210.5</c:v>
                </c:pt>
                <c:pt idx="2">
                  <c:v>142</c:v>
                </c:pt>
                <c:pt idx="3" formatCode="0">
                  <c:v>229</c:v>
                </c:pt>
                <c:pt idx="4" formatCode="0">
                  <c:v>265</c:v>
                </c:pt>
                <c:pt idx="5" formatCode="0">
                  <c:v>219</c:v>
                </c:pt>
                <c:pt idx="6">
                  <c:v>328</c:v>
                </c:pt>
              </c:numCache>
            </c:numRef>
          </c:val>
        </c:ser>
        <c:ser>
          <c:idx val="1"/>
          <c:order val="3"/>
          <c:tx>
            <c:strRef>
              <c:f>Sheet1!$A$5</c:f>
              <c:strCache>
                <c:ptCount val="1"/>
                <c:pt idx="0">
                  <c:v>NVS</c:v>
                </c:pt>
              </c:strCache>
            </c:strRef>
          </c:tx>
          <c:spPr>
            <a:solidFill>
              <a:sysClr val="window" lastClr="FFFFFF">
                <a:lumMod val="85000"/>
              </a:sysClr>
            </a:solidFill>
            <a:ln w="3134">
              <a:solidFill>
                <a:sysClr val="windowText" lastClr="000000"/>
              </a:solidFill>
              <a:prstDash val="solid"/>
            </a:ln>
          </c:spPr>
          <c:dLbls>
            <c:dLbl>
              <c:idx val="0"/>
              <c:delete val="1"/>
            </c:dLbl>
            <c:dLbl>
              <c:idx val="1"/>
              <c:tx>
                <c:rich>
                  <a:bodyPr/>
                  <a:lstStyle/>
                  <a:p>
                    <a:r>
                      <a:rPr lang="lv-LV" sz="1100"/>
                      <a:t>1</a:t>
                    </a:r>
                    <a:r>
                      <a:rPr lang="lv-LV"/>
                      <a:t>2%</a:t>
                    </a:r>
                    <a:endParaRPr lang="en-US"/>
                  </a:p>
                </c:rich>
              </c:tx>
              <c:showVal val="1"/>
            </c:dLbl>
            <c:dLbl>
              <c:idx val="2"/>
              <c:tx>
                <c:rich>
                  <a:bodyPr/>
                  <a:lstStyle/>
                  <a:p>
                    <a:r>
                      <a:rPr lang="lv-LV" sz="1100"/>
                      <a:t>14%</a:t>
                    </a:r>
                  </a:p>
                </c:rich>
              </c:tx>
            </c:dLbl>
            <c:dLbl>
              <c:idx val="3"/>
              <c:tx>
                <c:rich>
                  <a:bodyPr/>
                  <a:lstStyle/>
                  <a:p>
                    <a:r>
                      <a:rPr lang="lv-LV" sz="1100"/>
                      <a:t>15%</a:t>
                    </a:r>
                  </a:p>
                </c:rich>
              </c:tx>
            </c:dLbl>
            <c:dLbl>
              <c:idx val="4"/>
              <c:tx>
                <c:rich>
                  <a:bodyPr/>
                  <a:lstStyle/>
                  <a:p>
                    <a:r>
                      <a:rPr lang="lv-LV" sz="1100"/>
                      <a:t>15%</a:t>
                    </a:r>
                  </a:p>
                </c:rich>
              </c:tx>
            </c:dLbl>
            <c:dLbl>
              <c:idx val="5"/>
              <c:tx>
                <c:rich>
                  <a:bodyPr/>
                  <a:lstStyle/>
                  <a:p>
                    <a:r>
                      <a:rPr lang="lv-LV" sz="1100"/>
                      <a:t>14%</a:t>
                    </a:r>
                  </a:p>
                </c:rich>
              </c:tx>
            </c:dLbl>
            <c:dLbl>
              <c:idx val="6"/>
              <c:tx>
                <c:rich>
                  <a:bodyPr/>
                  <a:lstStyle/>
                  <a:p>
                    <a:r>
                      <a:rPr lang="lv-LV" sz="1100"/>
                      <a:t>15%</a:t>
                    </a:r>
                  </a:p>
                </c:rich>
              </c:tx>
            </c:dLbl>
            <c:dLbl>
              <c:idx val="7"/>
              <c:tx>
                <c:rich>
                  <a:bodyPr/>
                  <a:lstStyle/>
                  <a:p>
                    <a:r>
                      <a:rPr lang="lv-LV" sz="1100"/>
                      <a:t>1</a:t>
                    </a:r>
                    <a:r>
                      <a:rPr lang="lv-LV"/>
                      <a:t>4%</a:t>
                    </a:r>
                  </a:p>
                </c:rich>
              </c:tx>
            </c:dLbl>
            <c:dLbl>
              <c:idx val="8"/>
              <c:tx>
                <c:rich>
                  <a:bodyPr/>
                  <a:lstStyle/>
                  <a:p>
                    <a:r>
                      <a:rPr lang="lv-LV" sz="1100"/>
                      <a:t>1</a:t>
                    </a:r>
                    <a:r>
                      <a:rPr lang="lv-LV"/>
                      <a:t>0%</a:t>
                    </a:r>
                  </a:p>
                </c:rich>
              </c:tx>
            </c:dLbl>
            <c:dLbl>
              <c:idx val="9"/>
              <c:tx>
                <c:rich>
                  <a:bodyPr/>
                  <a:lstStyle/>
                  <a:p>
                    <a:r>
                      <a:rPr sz="1100"/>
                      <a:t>1</a:t>
                    </a:r>
                    <a:r>
                      <a:t>2%</a:t>
                    </a:r>
                  </a:p>
                </c:rich>
              </c:tx>
            </c:dLbl>
            <c:spPr>
              <a:noFill/>
              <a:ln w="25104">
                <a:noFill/>
              </a:ln>
            </c:spPr>
            <c:txPr>
              <a:bodyPr/>
              <a:lstStyle/>
              <a:p>
                <a:pPr>
                  <a:defRPr sz="1100"/>
                </a:pPr>
                <a:endParaRPr lang="lv-LV"/>
              </a:p>
            </c:txPr>
            <c:showVal val="1"/>
          </c:dLbls>
          <c:cat>
            <c:numRef>
              <c:f>Sheet1!$B$1:$J$1</c:f>
              <c:numCache>
                <c:formatCode>General</c:formatCode>
                <c:ptCount val="7"/>
                <c:pt idx="0">
                  <c:v>2004</c:v>
                </c:pt>
                <c:pt idx="1">
                  <c:v>2005</c:v>
                </c:pt>
                <c:pt idx="2">
                  <c:v>2006</c:v>
                </c:pt>
                <c:pt idx="3">
                  <c:v>2007</c:v>
                </c:pt>
                <c:pt idx="4">
                  <c:v>2008</c:v>
                </c:pt>
                <c:pt idx="5">
                  <c:v>2009</c:v>
                </c:pt>
                <c:pt idx="6">
                  <c:v>2010</c:v>
                </c:pt>
              </c:numCache>
            </c:numRef>
          </c:cat>
          <c:val>
            <c:numRef>
              <c:f>Sheet1!$B$5:$J$5</c:f>
              <c:numCache>
                <c:formatCode>General</c:formatCode>
                <c:ptCount val="7"/>
                <c:pt idx="0">
                  <c:v>242.8</c:v>
                </c:pt>
                <c:pt idx="1">
                  <c:v>353.7</c:v>
                </c:pt>
                <c:pt idx="2">
                  <c:v>461</c:v>
                </c:pt>
                <c:pt idx="3" formatCode="0">
                  <c:v>586</c:v>
                </c:pt>
                <c:pt idx="4" formatCode="0">
                  <c:v>664</c:v>
                </c:pt>
                <c:pt idx="5" formatCode="0">
                  <c:v>501</c:v>
                </c:pt>
                <c:pt idx="6">
                  <c:v>714</c:v>
                </c:pt>
              </c:numCache>
            </c:numRef>
          </c:val>
        </c:ser>
        <c:ser>
          <c:idx val="3"/>
          <c:order val="4"/>
          <c:tx>
            <c:strRef>
              <c:f>Sheet1!$A$6</c:f>
              <c:strCache>
                <c:ptCount val="1"/>
                <c:pt idx="0">
                  <c:v>Pārējās valstis</c:v>
                </c:pt>
              </c:strCache>
            </c:strRef>
          </c:tx>
          <c:spPr>
            <a:solidFill>
              <a:srgbClr val="9BBB59">
                <a:lumMod val="20000"/>
                <a:lumOff val="80000"/>
              </a:srgbClr>
            </a:solidFill>
            <a:ln w="3134">
              <a:solidFill>
                <a:sysClr val="windowText" lastClr="000000"/>
              </a:solidFill>
              <a:prstDash val="solid"/>
            </a:ln>
          </c:spPr>
          <c:dLbls>
            <c:dLbl>
              <c:idx val="0"/>
              <c:delete val="1"/>
            </c:dLbl>
            <c:dLbl>
              <c:idx val="1"/>
              <c:tx>
                <c:rich>
                  <a:bodyPr/>
                  <a:lstStyle/>
                  <a:p>
                    <a:r>
                      <a:rPr lang="lv-LV" sz="1100"/>
                      <a:t>1</a:t>
                    </a:r>
                    <a:r>
                      <a:rPr lang="lv-LV"/>
                      <a:t>1%</a:t>
                    </a:r>
                    <a:endParaRPr lang="en-US"/>
                  </a:p>
                </c:rich>
              </c:tx>
              <c:showVal val="1"/>
            </c:dLbl>
            <c:dLbl>
              <c:idx val="2"/>
              <c:tx>
                <c:rich>
                  <a:bodyPr/>
                  <a:lstStyle/>
                  <a:p>
                    <a:r>
                      <a:rPr lang="lv-LV" sz="1100"/>
                      <a:t>1</a:t>
                    </a:r>
                    <a:r>
                      <a:rPr lang="lv-LV"/>
                      <a:t>1%</a:t>
                    </a:r>
                    <a:endParaRPr lang="en-US"/>
                  </a:p>
                </c:rich>
              </c:tx>
            </c:dLbl>
            <c:dLbl>
              <c:idx val="3"/>
              <c:tx>
                <c:rich>
                  <a:bodyPr/>
                  <a:lstStyle/>
                  <a:p>
                    <a:r>
                      <a:rPr lang="lv-LV" sz="1100"/>
                      <a:t>9</a:t>
                    </a:r>
                    <a:r>
                      <a:rPr lang="lv-LV" sz="889"/>
                      <a:t>%</a:t>
                    </a:r>
                  </a:p>
                </c:rich>
              </c:tx>
            </c:dLbl>
            <c:dLbl>
              <c:idx val="4"/>
              <c:tx>
                <c:rich>
                  <a:bodyPr/>
                  <a:lstStyle/>
                  <a:p>
                    <a:r>
                      <a:rPr lang="lv-LV" sz="1100"/>
                      <a:t>12%</a:t>
                    </a:r>
                  </a:p>
                </c:rich>
              </c:tx>
            </c:dLbl>
            <c:dLbl>
              <c:idx val="5"/>
              <c:tx>
                <c:rich>
                  <a:bodyPr/>
                  <a:lstStyle/>
                  <a:p>
                    <a:r>
                      <a:rPr lang="lv-LV" sz="1100"/>
                      <a:t>14%</a:t>
                    </a:r>
                  </a:p>
                </c:rich>
              </c:tx>
            </c:dLbl>
            <c:dLbl>
              <c:idx val="6"/>
              <c:tx>
                <c:rich>
                  <a:bodyPr/>
                  <a:lstStyle/>
                  <a:p>
                    <a:r>
                      <a:rPr lang="lv-LV" sz="1100"/>
                      <a:t>14%</a:t>
                    </a:r>
                  </a:p>
                </c:rich>
              </c:tx>
            </c:dLbl>
            <c:dLbl>
              <c:idx val="7"/>
              <c:tx>
                <c:rich>
                  <a:bodyPr/>
                  <a:lstStyle/>
                  <a:p>
                    <a:r>
                      <a:rPr lang="lv-LV" sz="1100"/>
                      <a:t>1</a:t>
                    </a:r>
                    <a:r>
                      <a:rPr lang="lv-LV"/>
                      <a:t>4%</a:t>
                    </a:r>
                  </a:p>
                </c:rich>
              </c:tx>
            </c:dLbl>
            <c:dLbl>
              <c:idx val="8"/>
              <c:tx>
                <c:rich>
                  <a:bodyPr/>
                  <a:lstStyle/>
                  <a:p>
                    <a:r>
                      <a:rPr lang="lv-LV" sz="1100"/>
                      <a:t>1</a:t>
                    </a:r>
                    <a:r>
                      <a:rPr lang="lv-LV"/>
                      <a:t>3%</a:t>
                    </a:r>
                  </a:p>
                </c:rich>
              </c:tx>
            </c:dLbl>
            <c:dLbl>
              <c:idx val="9"/>
              <c:tx>
                <c:rich>
                  <a:bodyPr/>
                  <a:lstStyle/>
                  <a:p>
                    <a:r>
                      <a:rPr sz="1100"/>
                      <a:t>1</a:t>
                    </a:r>
                    <a:r>
                      <a:t>6%</a:t>
                    </a:r>
                  </a:p>
                </c:rich>
              </c:tx>
            </c:dLbl>
            <c:spPr>
              <a:noFill/>
              <a:ln w="25104">
                <a:noFill/>
              </a:ln>
            </c:spPr>
            <c:txPr>
              <a:bodyPr/>
              <a:lstStyle/>
              <a:p>
                <a:pPr>
                  <a:defRPr sz="1100"/>
                </a:pPr>
                <a:endParaRPr lang="lv-LV"/>
              </a:p>
            </c:txPr>
            <c:showVal val="1"/>
          </c:dLbls>
          <c:cat>
            <c:numRef>
              <c:f>Sheet1!$B$1:$J$1</c:f>
              <c:numCache>
                <c:formatCode>General</c:formatCode>
                <c:ptCount val="7"/>
                <c:pt idx="0">
                  <c:v>2004</c:v>
                </c:pt>
                <c:pt idx="1">
                  <c:v>2005</c:v>
                </c:pt>
                <c:pt idx="2">
                  <c:v>2006</c:v>
                </c:pt>
                <c:pt idx="3">
                  <c:v>2007</c:v>
                </c:pt>
                <c:pt idx="4">
                  <c:v>2008</c:v>
                </c:pt>
                <c:pt idx="5">
                  <c:v>2009</c:v>
                </c:pt>
                <c:pt idx="6">
                  <c:v>2010</c:v>
                </c:pt>
              </c:numCache>
            </c:numRef>
          </c:cat>
          <c:val>
            <c:numRef>
              <c:f>Sheet1!$B$6:$J$6</c:f>
              <c:numCache>
                <c:formatCode>General</c:formatCode>
                <c:ptCount val="7"/>
                <c:pt idx="0">
                  <c:v>246.4</c:v>
                </c:pt>
                <c:pt idx="1">
                  <c:v>329.1</c:v>
                </c:pt>
                <c:pt idx="2">
                  <c:v>364</c:v>
                </c:pt>
                <c:pt idx="3" formatCode="0">
                  <c:v>377.2</c:v>
                </c:pt>
                <c:pt idx="4" formatCode="0">
                  <c:v>520</c:v>
                </c:pt>
                <c:pt idx="5" formatCode="0">
                  <c:v>514</c:v>
                </c:pt>
                <c:pt idx="6">
                  <c:v>624</c:v>
                </c:pt>
              </c:numCache>
            </c:numRef>
          </c:val>
        </c:ser>
        <c:dLbls>
          <c:showVal val="1"/>
        </c:dLbls>
        <c:gapWidth val="40"/>
        <c:overlap val="100"/>
        <c:axId val="104940672"/>
        <c:axId val="104942208"/>
      </c:barChart>
      <c:catAx>
        <c:axId val="104940672"/>
        <c:scaling>
          <c:orientation val="minMax"/>
        </c:scaling>
        <c:axPos val="b"/>
        <c:numFmt formatCode="General" sourceLinked="1"/>
        <c:tickLblPos val="nextTo"/>
        <c:spPr>
          <a:ln w="3175">
            <a:solidFill>
              <a:sysClr val="window" lastClr="FFFFFF">
                <a:lumMod val="50000"/>
              </a:sysClr>
            </a:solidFill>
            <a:prstDash val="solid"/>
          </a:ln>
        </c:spPr>
        <c:txPr>
          <a:bodyPr rot="0" vert="horz"/>
          <a:lstStyle/>
          <a:p>
            <a:pPr>
              <a:defRPr/>
            </a:pPr>
            <a:endParaRPr lang="lv-LV"/>
          </a:p>
        </c:txPr>
        <c:crossAx val="104942208"/>
        <c:crosses val="autoZero"/>
        <c:lblAlgn val="ctr"/>
        <c:lblOffset val="0"/>
        <c:tickLblSkip val="1"/>
        <c:tickMarkSkip val="1"/>
      </c:catAx>
      <c:valAx>
        <c:axId val="104942208"/>
        <c:scaling>
          <c:orientation val="minMax"/>
          <c:max val="4800"/>
          <c:min val="0"/>
        </c:scaling>
        <c:axPos val="l"/>
        <c:numFmt formatCode="0" sourceLinked="0"/>
        <c:tickLblPos val="nextTo"/>
        <c:spPr>
          <a:ln w="3175">
            <a:solidFill>
              <a:sysClr val="window" lastClr="FFFFFF">
                <a:lumMod val="50000"/>
              </a:sysClr>
            </a:solidFill>
            <a:prstDash val="solid"/>
          </a:ln>
        </c:spPr>
        <c:txPr>
          <a:bodyPr rot="0" vert="horz"/>
          <a:lstStyle/>
          <a:p>
            <a:pPr>
              <a:defRPr/>
            </a:pPr>
            <a:endParaRPr lang="lv-LV"/>
          </a:p>
        </c:txPr>
        <c:crossAx val="104940672"/>
        <c:crosses val="autoZero"/>
        <c:crossBetween val="between"/>
        <c:majorUnit val="600"/>
        <c:minorUnit val="8.2000000000000011"/>
      </c:valAx>
      <c:spPr>
        <a:noFill/>
        <a:ln w="25104">
          <a:noFill/>
        </a:ln>
      </c:spPr>
    </c:plotArea>
    <c:legend>
      <c:legendPos val="r"/>
      <c:layout>
        <c:manualLayout>
          <c:xMode val="edge"/>
          <c:yMode val="edge"/>
          <c:x val="0.10693971472744"/>
          <c:y val="2.5776910629534459E-2"/>
          <c:w val="0.37922089635705497"/>
          <c:h val="0.26904172376683"/>
        </c:manualLayout>
      </c:layout>
      <c:spPr>
        <a:noFill/>
        <a:ln w="3134">
          <a:noFill/>
          <a:prstDash val="solid"/>
        </a:ln>
      </c:spPr>
    </c:legend>
    <c:plotVisOnly val="1"/>
    <c:dispBlanksAs val="gap"/>
  </c:chart>
  <c:spPr>
    <a:noFill/>
    <a:ln>
      <a:noFill/>
    </a:ln>
  </c:spPr>
  <c:txPr>
    <a:bodyPr/>
    <a:lstStyle/>
    <a:p>
      <a:pPr>
        <a:defRPr sz="1100" b="0" i="0" u="none" strike="noStrike" baseline="0">
          <a:solidFill>
            <a:srgbClr val="000000"/>
          </a:solidFill>
          <a:latin typeface="Times New Roman" pitchFamily="18" charset="0"/>
          <a:ea typeface="Arial"/>
          <a:cs typeface="Times New Roman" pitchFamily="18" charset="0"/>
        </a:defRPr>
      </a:pPr>
      <a:endParaRPr lang="lv-LV"/>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21742918156870003"/>
          <c:y val="0.17607173850541041"/>
          <c:w val="0.54247652643204758"/>
          <c:h val="0.70235491824085383"/>
        </c:manualLayout>
      </c:layout>
      <c:pieChart>
        <c:varyColors val="1"/>
        <c:ser>
          <c:idx val="0"/>
          <c:order val="0"/>
          <c:tx>
            <c:strRef>
              <c:f>Sheet1!$B$1</c:f>
              <c:strCache>
                <c:ptCount val="1"/>
                <c:pt idx="0">
                  <c:v>Column1</c:v>
                </c:pt>
              </c:strCache>
            </c:strRef>
          </c:tx>
          <c:dLbls>
            <c:dLbl>
              <c:idx val="4"/>
              <c:layout>
                <c:manualLayout>
                  <c:x val="3.5617002746359268E-2"/>
                  <c:y val="0"/>
                </c:manualLayout>
              </c:layout>
              <c:dLblPos val="bestFit"/>
              <c:showCatName val="1"/>
              <c:showPercent val="1"/>
            </c:dLbl>
            <c:dLbl>
              <c:idx val="5"/>
              <c:layout>
                <c:manualLayout>
                  <c:x val="3.2379093405781011E-2"/>
                  <c:y val="2.5153105500773158E-2"/>
                </c:manualLayout>
              </c:layout>
              <c:dLblPos val="bestFit"/>
              <c:showCatName val="1"/>
              <c:showPercent val="1"/>
            </c:dLbl>
            <c:dLbl>
              <c:idx val="7"/>
              <c:layout>
                <c:manualLayout>
                  <c:x val="-9.7137280217342685E-3"/>
                  <c:y val="2.5153105500773158E-2"/>
                </c:manualLayout>
              </c:layout>
              <c:dLblPos val="bestFit"/>
              <c:showCatName val="1"/>
              <c:showPercent val="1"/>
            </c:dLbl>
            <c:dLblPos val="outEnd"/>
            <c:showCatName val="1"/>
            <c:showPercent val="1"/>
          </c:dLbls>
          <c:cat>
            <c:strRef>
              <c:f>Sheet1!$A$2:$A$11</c:f>
              <c:strCache>
                <c:ptCount val="10"/>
                <c:pt idx="0">
                  <c:v>Lietuva</c:v>
                </c:pt>
                <c:pt idx="1">
                  <c:v>Igaunija</c:v>
                </c:pt>
                <c:pt idx="2">
                  <c:v>Krievija</c:v>
                </c:pt>
                <c:pt idx="3">
                  <c:v>Vācija</c:v>
                </c:pt>
                <c:pt idx="4">
                  <c:v>Zviedrija</c:v>
                </c:pt>
                <c:pt idx="5">
                  <c:v>Dānija</c:v>
                </c:pt>
                <c:pt idx="6">
                  <c:v>Polija</c:v>
                </c:pt>
                <c:pt idx="7">
                  <c:v>Lielbritānija</c:v>
                </c:pt>
                <c:pt idx="8">
                  <c:v>Somija</c:v>
                </c:pt>
                <c:pt idx="9">
                  <c:v>Pārējās valstis</c:v>
                </c:pt>
              </c:strCache>
            </c:strRef>
          </c:cat>
          <c:val>
            <c:numRef>
              <c:f>Sheet1!$B$2:$B$11</c:f>
              <c:numCache>
                <c:formatCode>0.0</c:formatCode>
                <c:ptCount val="10"/>
                <c:pt idx="0">
                  <c:v>16.237039054587456</c:v>
                </c:pt>
                <c:pt idx="1">
                  <c:v>13.157755090697773</c:v>
                </c:pt>
                <c:pt idx="2">
                  <c:v>10.796800310596412</c:v>
                </c:pt>
                <c:pt idx="3">
                  <c:v>8.6796363317957788</c:v>
                </c:pt>
                <c:pt idx="4">
                  <c:v>6.348926283622859</c:v>
                </c:pt>
                <c:pt idx="5">
                  <c:v>3.9425549256261427</c:v>
                </c:pt>
                <c:pt idx="6">
                  <c:v>5.0157281584859366</c:v>
                </c:pt>
                <c:pt idx="7">
                  <c:v>3.556417485723729</c:v>
                </c:pt>
                <c:pt idx="8">
                  <c:v>3.1354297735412997</c:v>
                </c:pt>
                <c:pt idx="9">
                  <c:v>29.129712585322466</c:v>
                </c:pt>
              </c:numCache>
            </c:numRef>
          </c:val>
        </c:ser>
        <c:firstSliceAng val="0"/>
      </c:pieChart>
    </c:plotArea>
    <c:plotVisOnly val="1"/>
  </c:chart>
  <c:spPr>
    <a:ln>
      <a:noFill/>
    </a:ln>
  </c:spPr>
  <c:txPr>
    <a:bodyPr/>
    <a:lstStyle/>
    <a:p>
      <a:pPr>
        <a:defRPr sz="1000">
          <a:latin typeface="Times New Roman" pitchFamily="18" charset="0"/>
          <a:cs typeface="Times New Roman" pitchFamily="18" charset="0"/>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21B5-61E4-4A71-9887-7FB6433D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32672</Words>
  <Characters>18624</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51194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Ozoliņa</dc:creator>
  <cp:lastModifiedBy>Iveta Ozoliņa</cp:lastModifiedBy>
  <cp:revision>30</cp:revision>
  <cp:lastPrinted>2011-03-01T07:10:00Z</cp:lastPrinted>
  <dcterms:created xsi:type="dcterms:W3CDTF">2011-02-28T15:07:00Z</dcterms:created>
  <dcterms:modified xsi:type="dcterms:W3CDTF">2011-03-01T07:17:00Z</dcterms:modified>
</cp:coreProperties>
</file>