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1B" w:rsidRPr="003773C5" w:rsidRDefault="006F18E7" w:rsidP="00E25ACE">
      <w:pPr>
        <w:spacing w:after="0" w:line="240" w:lineRule="auto"/>
        <w:jc w:val="right"/>
        <w:rPr>
          <w:rStyle w:val="tvhtml2"/>
          <w:rFonts w:ascii="Times New Roman" w:eastAsia="Times New Roman" w:hAnsi="Times New Roman" w:cs="Times New Roman"/>
          <w:sz w:val="28"/>
          <w:szCs w:val="28"/>
          <w:lang w:eastAsia="lv-LV"/>
        </w:rPr>
      </w:pPr>
      <w:bookmarkStart w:id="0" w:name="412184"/>
      <w:r>
        <w:rPr>
          <w:rStyle w:val="tvhtml2"/>
          <w:rFonts w:ascii="Times New Roman" w:eastAsia="Times New Roman" w:hAnsi="Times New Roman" w:cs="Times New Roman"/>
          <w:sz w:val="28"/>
          <w:szCs w:val="28"/>
          <w:lang w:eastAsia="lv-LV"/>
        </w:rPr>
        <w:t>1</w:t>
      </w:r>
      <w:r w:rsidR="005A741B" w:rsidRPr="003773C5">
        <w:rPr>
          <w:rStyle w:val="tvhtml2"/>
          <w:rFonts w:ascii="Times New Roman" w:eastAsia="Times New Roman" w:hAnsi="Times New Roman" w:cs="Times New Roman"/>
          <w:sz w:val="28"/>
          <w:szCs w:val="28"/>
          <w:lang w:eastAsia="lv-LV"/>
        </w:rPr>
        <w:t>.pielikums</w:t>
      </w:r>
    </w:p>
    <w:p w:rsidR="005A741B" w:rsidRPr="003773C5" w:rsidRDefault="00E25ACE" w:rsidP="00E25ACE">
      <w:pPr>
        <w:spacing w:after="0" w:line="240" w:lineRule="auto"/>
        <w:ind w:hanging="142"/>
        <w:jc w:val="right"/>
        <w:rPr>
          <w:rStyle w:val="tvhtml2"/>
          <w:rFonts w:ascii="Times New Roman" w:eastAsia="Times New Roman" w:hAnsi="Times New Roman" w:cs="Times New Roman"/>
          <w:sz w:val="28"/>
          <w:szCs w:val="28"/>
          <w:lang w:eastAsia="lv-LV"/>
        </w:rPr>
      </w:pPr>
      <w:r>
        <w:rPr>
          <w:rStyle w:val="tvhtml2"/>
          <w:rFonts w:ascii="Times New Roman" w:eastAsia="Times New Roman" w:hAnsi="Times New Roman" w:cs="Times New Roman"/>
          <w:sz w:val="28"/>
          <w:szCs w:val="28"/>
          <w:lang w:eastAsia="lv-LV"/>
        </w:rPr>
        <w:t>Ministru kabineta</w:t>
      </w:r>
    </w:p>
    <w:p w:rsidR="00E25ACE" w:rsidRPr="00E25ACE" w:rsidRDefault="00E25ACE" w:rsidP="00E25ACE">
      <w:pPr>
        <w:spacing w:after="0" w:line="240" w:lineRule="auto"/>
        <w:ind w:hanging="142"/>
        <w:jc w:val="right"/>
        <w:rPr>
          <w:rStyle w:val="tvhtml2"/>
          <w:rFonts w:ascii="Times New Roman" w:eastAsia="Times New Roman" w:hAnsi="Times New Roman" w:cs="Times New Roman"/>
          <w:sz w:val="28"/>
          <w:szCs w:val="28"/>
          <w:lang w:eastAsia="lv-LV"/>
        </w:rPr>
      </w:pPr>
      <w:r w:rsidRPr="00E25ACE">
        <w:rPr>
          <w:rStyle w:val="tvhtml2"/>
          <w:rFonts w:ascii="Times New Roman" w:eastAsia="Times New Roman" w:hAnsi="Times New Roman" w:cs="Times New Roman"/>
          <w:sz w:val="28"/>
          <w:szCs w:val="28"/>
          <w:lang w:eastAsia="lv-LV"/>
        </w:rPr>
        <w:t>2013.gada                            </w:t>
      </w:r>
    </w:p>
    <w:p w:rsidR="00E25ACE" w:rsidRPr="00E25ACE" w:rsidRDefault="00E25ACE" w:rsidP="00E25ACE">
      <w:pPr>
        <w:spacing w:after="0" w:line="240" w:lineRule="auto"/>
        <w:ind w:hanging="142"/>
        <w:jc w:val="right"/>
        <w:rPr>
          <w:rStyle w:val="tvhtml2"/>
          <w:rFonts w:ascii="Times New Roman" w:eastAsia="Times New Roman" w:hAnsi="Times New Roman" w:cs="Times New Roman"/>
          <w:sz w:val="28"/>
          <w:szCs w:val="28"/>
          <w:lang w:eastAsia="lv-LV"/>
        </w:rPr>
      </w:pPr>
      <w:r w:rsidRPr="00E25ACE">
        <w:rPr>
          <w:rStyle w:val="tvhtml2"/>
          <w:rFonts w:ascii="Times New Roman" w:eastAsia="Times New Roman" w:hAnsi="Times New Roman" w:cs="Times New Roman"/>
          <w:sz w:val="28"/>
          <w:szCs w:val="28"/>
          <w:lang w:eastAsia="lv-LV"/>
        </w:rPr>
        <w:t xml:space="preserve">noteikumiem </w:t>
      </w:r>
      <w:proofErr w:type="spellStart"/>
      <w:r w:rsidRPr="00E25ACE">
        <w:rPr>
          <w:rStyle w:val="tvhtml2"/>
          <w:rFonts w:ascii="Times New Roman" w:eastAsia="Times New Roman" w:hAnsi="Times New Roman" w:cs="Times New Roman"/>
          <w:sz w:val="28"/>
          <w:szCs w:val="28"/>
          <w:lang w:eastAsia="lv-LV"/>
        </w:rPr>
        <w:t>Nr</w:t>
      </w:r>
      <w:proofErr w:type="spellEnd"/>
      <w:r w:rsidRPr="00E25ACE">
        <w:rPr>
          <w:rStyle w:val="tvhtml2"/>
          <w:rFonts w:ascii="Times New Roman" w:eastAsia="Times New Roman" w:hAnsi="Times New Roman" w:cs="Times New Roman"/>
          <w:sz w:val="28"/>
          <w:szCs w:val="28"/>
          <w:lang w:eastAsia="lv-LV"/>
        </w:rPr>
        <w:t>.      </w:t>
      </w:r>
    </w:p>
    <w:p w:rsidR="005A741B" w:rsidRPr="003773C5" w:rsidRDefault="005A741B" w:rsidP="00E25ACE">
      <w:pPr>
        <w:spacing w:after="0" w:line="240" w:lineRule="auto"/>
        <w:ind w:right="280"/>
        <w:jc w:val="right"/>
        <w:rPr>
          <w:rStyle w:val="tvhtml2"/>
          <w:rFonts w:ascii="Times New Roman" w:eastAsia="Times New Roman" w:hAnsi="Times New Roman" w:cs="Times New Roman"/>
          <w:sz w:val="28"/>
          <w:szCs w:val="28"/>
          <w:lang w:eastAsia="lv-LV"/>
        </w:rPr>
      </w:pPr>
    </w:p>
    <w:p w:rsidR="00E714F9" w:rsidRDefault="00E714F9" w:rsidP="00E25ACE">
      <w:pPr>
        <w:pStyle w:val="tv2121"/>
        <w:spacing w:before="0" w:line="240" w:lineRule="auto"/>
        <w:rPr>
          <w:rFonts w:ascii="Times New Roman" w:hAnsi="Times New Roman"/>
          <w:sz w:val="28"/>
          <w:szCs w:val="28"/>
        </w:rPr>
      </w:pPr>
      <w:r w:rsidRPr="00E714F9">
        <w:rPr>
          <w:rFonts w:ascii="Times New Roman" w:hAnsi="Times New Roman"/>
          <w:sz w:val="28"/>
          <w:szCs w:val="28"/>
        </w:rPr>
        <w:t>Nozares</w:t>
      </w:r>
      <w:r w:rsidR="00490DE5">
        <w:rPr>
          <w:rFonts w:ascii="Times New Roman" w:hAnsi="Times New Roman"/>
          <w:sz w:val="28"/>
          <w:szCs w:val="28"/>
        </w:rPr>
        <w:t xml:space="preserve"> un darbības</w:t>
      </w:r>
      <w:r w:rsidRPr="00E714F9">
        <w:rPr>
          <w:rFonts w:ascii="Times New Roman" w:hAnsi="Times New Roman"/>
          <w:sz w:val="28"/>
          <w:szCs w:val="28"/>
        </w:rPr>
        <w:t>, kurām nav paredzēts atbalsts</w:t>
      </w:r>
      <w:bookmarkEnd w:id="0"/>
    </w:p>
    <w:p w:rsidR="00001F0A" w:rsidRDefault="00001F0A" w:rsidP="00E25ACE">
      <w:pPr>
        <w:pStyle w:val="tv2121"/>
        <w:spacing w:before="0" w:line="240" w:lineRule="auto"/>
        <w:rPr>
          <w:rFonts w:ascii="Times New Roman" w:hAnsi="Times New Roman"/>
          <w:sz w:val="28"/>
          <w:szCs w:val="28"/>
        </w:rPr>
      </w:pPr>
    </w:p>
    <w:p w:rsidR="00E714F9" w:rsidRDefault="00DE7587" w:rsidP="00740597">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 xml:space="preserve">Atklāta konkursa projekta </w:t>
      </w:r>
      <w:r w:rsidR="00E714F9">
        <w:rPr>
          <w:rStyle w:val="tvhtml2"/>
          <w:rFonts w:ascii="Times New Roman" w:hAnsi="Times New Roman"/>
          <w:sz w:val="28"/>
          <w:szCs w:val="28"/>
        </w:rPr>
        <w:t>līdz</w:t>
      </w:r>
      <w:r w:rsidR="00E714F9" w:rsidRPr="00E714F9">
        <w:rPr>
          <w:rStyle w:val="tvhtml2"/>
          <w:rFonts w:ascii="Times New Roman" w:hAnsi="Times New Roman"/>
          <w:sz w:val="28"/>
          <w:szCs w:val="28"/>
        </w:rPr>
        <w:t>finansējums netiek sniegts šādās nozarēs</w:t>
      </w:r>
      <w:r w:rsidR="00490DE5">
        <w:rPr>
          <w:rStyle w:val="tvhtml2"/>
          <w:rFonts w:ascii="Times New Roman" w:hAnsi="Times New Roman"/>
          <w:sz w:val="28"/>
          <w:szCs w:val="28"/>
        </w:rPr>
        <w:t xml:space="preserve"> un šādām darbībām</w:t>
      </w:r>
      <w:r w:rsidR="00E714F9" w:rsidRPr="00E714F9">
        <w:rPr>
          <w:rStyle w:val="tvhtml2"/>
          <w:rFonts w:ascii="Times New Roman" w:hAnsi="Times New Roman"/>
          <w:sz w:val="28"/>
          <w:szCs w:val="28"/>
        </w:rPr>
        <w:t xml:space="preserve">  (neatbalstāmo nozaru</w:t>
      </w:r>
      <w:r w:rsidR="00CF7721">
        <w:rPr>
          <w:rStyle w:val="tvhtml2"/>
          <w:rFonts w:ascii="Times New Roman" w:hAnsi="Times New Roman"/>
          <w:sz w:val="28"/>
          <w:szCs w:val="28"/>
        </w:rPr>
        <w:t xml:space="preserve"> un darbību</w:t>
      </w:r>
      <w:r w:rsidR="00E714F9" w:rsidRPr="00E714F9">
        <w:rPr>
          <w:rStyle w:val="tvhtml2"/>
          <w:rFonts w:ascii="Times New Roman" w:hAnsi="Times New Roman"/>
          <w:sz w:val="28"/>
          <w:szCs w:val="28"/>
        </w:rPr>
        <w:t xml:space="preserve"> ierobežojumi ir attiecināmi uz </w:t>
      </w:r>
      <w:r w:rsidR="00E714F9" w:rsidRPr="00740597">
        <w:rPr>
          <w:rStyle w:val="tvhtml2"/>
          <w:rFonts w:ascii="Times New Roman" w:hAnsi="Times New Roman"/>
          <w:sz w:val="28"/>
          <w:szCs w:val="28"/>
        </w:rPr>
        <w:t>komer</w:t>
      </w:r>
      <w:r w:rsidR="00C57451" w:rsidRPr="00740597">
        <w:rPr>
          <w:rStyle w:val="tvhtml2"/>
          <w:rFonts w:ascii="Times New Roman" w:hAnsi="Times New Roman"/>
          <w:sz w:val="28"/>
          <w:szCs w:val="28"/>
        </w:rPr>
        <w:t>santu</w:t>
      </w:r>
      <w:r w:rsidR="00E714F9" w:rsidRPr="00740597">
        <w:rPr>
          <w:rStyle w:val="tvhtml2"/>
          <w:rFonts w:ascii="Times New Roman" w:hAnsi="Times New Roman"/>
          <w:sz w:val="28"/>
          <w:szCs w:val="28"/>
        </w:rPr>
        <w:t xml:space="preserve"> </w:t>
      </w:r>
      <w:r w:rsidR="00223B68">
        <w:rPr>
          <w:rStyle w:val="tvhtml2"/>
          <w:rFonts w:ascii="Times New Roman" w:hAnsi="Times New Roman"/>
          <w:sz w:val="28"/>
          <w:szCs w:val="28"/>
        </w:rPr>
        <w:t xml:space="preserve">plānoto darbības jomu, </w:t>
      </w:r>
      <w:r w:rsidR="00E714F9" w:rsidRPr="00E714F9">
        <w:rPr>
          <w:rStyle w:val="tvhtml2"/>
          <w:rFonts w:ascii="Times New Roman" w:hAnsi="Times New Roman"/>
          <w:sz w:val="28"/>
          <w:szCs w:val="28"/>
        </w:rPr>
        <w:t>izņemot gadījumus, ja specifiski norādīts citādi):</w:t>
      </w:r>
    </w:p>
    <w:p w:rsidR="004A005C" w:rsidRDefault="004A005C" w:rsidP="00E25ACE">
      <w:pPr>
        <w:pStyle w:val="tvhtml1"/>
        <w:spacing w:before="0" w:beforeAutospacing="0" w:after="0" w:afterAutospacing="0" w:line="240" w:lineRule="auto"/>
        <w:rPr>
          <w:rStyle w:val="tvhtml2"/>
          <w:rFonts w:ascii="Times New Roman" w:hAnsi="Times New Roman"/>
          <w:sz w:val="28"/>
          <w:szCs w:val="28"/>
        </w:rPr>
      </w:pPr>
    </w:p>
    <w:p w:rsidR="00E714F9" w:rsidRDefault="001B15B9" w:rsidP="00740597">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I. </w:t>
      </w:r>
      <w:r w:rsidR="00E714F9" w:rsidRPr="00E714F9">
        <w:rPr>
          <w:rStyle w:val="tvhtml2"/>
          <w:rFonts w:ascii="Times New Roman" w:hAnsi="Times New Roman"/>
          <w:b/>
          <w:bCs/>
          <w:sz w:val="28"/>
          <w:szCs w:val="28"/>
        </w:rPr>
        <w:t>Lauksaimniecības produktu ražošanas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Default="00E714F9" w:rsidP="00740597">
      <w:pPr>
        <w:pStyle w:val="tvhtml1"/>
        <w:spacing w:before="0" w:beforeAutospacing="0" w:after="0" w:afterAutospacing="0" w:line="240" w:lineRule="auto"/>
        <w:ind w:firstLine="709"/>
        <w:jc w:val="both"/>
        <w:rPr>
          <w:rStyle w:val="tvhtml2"/>
          <w:rFonts w:ascii="Times New Roman" w:hAnsi="Times New Roman"/>
          <w:sz w:val="28"/>
          <w:szCs w:val="28"/>
        </w:rPr>
      </w:pPr>
      <w:r w:rsidRPr="00E714F9">
        <w:rPr>
          <w:rStyle w:val="tvhtml2"/>
          <w:rFonts w:ascii="Times New Roman" w:hAnsi="Times New Roman"/>
          <w:sz w:val="28"/>
          <w:szCs w:val="28"/>
        </w:rPr>
        <w:t>Ierobežojums attiecas uz Līguma par Eiropas Savienības darbību I pielikumā minēto lauksaimniecības produktu primāro ražošanu.</w:t>
      </w:r>
    </w:p>
    <w:p w:rsidR="001B15B9" w:rsidRPr="00E714F9" w:rsidRDefault="001B15B9" w:rsidP="00E25ACE">
      <w:pPr>
        <w:pStyle w:val="tvhtml1"/>
        <w:spacing w:before="0" w:beforeAutospacing="0" w:after="0" w:afterAutospacing="0" w:line="240" w:lineRule="auto"/>
        <w:jc w:val="both"/>
        <w:rPr>
          <w:rFonts w:ascii="Times New Roman" w:hAnsi="Times New Roman"/>
          <w:sz w:val="28"/>
          <w:szCs w:val="28"/>
        </w:rPr>
      </w:pPr>
    </w:p>
    <w:p w:rsidR="00E714F9" w:rsidRDefault="001B15B9" w:rsidP="00740597">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II. </w:t>
      </w:r>
      <w:r w:rsidR="002861D3">
        <w:rPr>
          <w:rStyle w:val="tvhtml2"/>
          <w:rFonts w:ascii="Times New Roman" w:hAnsi="Times New Roman"/>
          <w:b/>
          <w:bCs/>
          <w:sz w:val="28"/>
          <w:szCs w:val="28"/>
        </w:rPr>
        <w:t>Z</w:t>
      </w:r>
      <w:r w:rsidR="00E714F9" w:rsidRPr="00E714F9">
        <w:rPr>
          <w:rStyle w:val="tvhtml2"/>
          <w:rFonts w:ascii="Times New Roman" w:hAnsi="Times New Roman"/>
          <w:b/>
          <w:bCs/>
          <w:sz w:val="28"/>
          <w:szCs w:val="28"/>
        </w:rPr>
        <w:t>ivsaimniecības un akvakultūras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Default="00E714F9" w:rsidP="00740597">
      <w:pPr>
        <w:pStyle w:val="tvhtml1"/>
        <w:spacing w:before="0" w:beforeAutospacing="0" w:after="0" w:afterAutospacing="0" w:line="240" w:lineRule="auto"/>
        <w:ind w:firstLine="709"/>
        <w:jc w:val="both"/>
        <w:rPr>
          <w:rStyle w:val="tvhtml2"/>
          <w:rFonts w:ascii="Times New Roman" w:hAnsi="Times New Roman"/>
          <w:sz w:val="28"/>
          <w:szCs w:val="28"/>
        </w:rPr>
      </w:pPr>
      <w:r w:rsidRPr="00E714F9">
        <w:rPr>
          <w:rStyle w:val="tvhtml2"/>
          <w:rFonts w:ascii="Times New Roman" w:hAnsi="Times New Roman"/>
          <w:sz w:val="28"/>
          <w:szCs w:val="28"/>
        </w:rPr>
        <w:t>Zivsaimniecība un akvakultūra, uz ko attiecas Padomes 1999.g</w:t>
      </w:r>
      <w:r w:rsidR="001B5AD1">
        <w:rPr>
          <w:rStyle w:val="tvhtml2"/>
          <w:rFonts w:ascii="Times New Roman" w:hAnsi="Times New Roman"/>
          <w:sz w:val="28"/>
          <w:szCs w:val="28"/>
        </w:rPr>
        <w:t>ada 17.decembra Regula (EK) Nr.</w:t>
      </w:r>
      <w:hyperlink r:id="rId9" w:tgtFrame="_blank" w:tooltip="Atvērt regulas konsolidēto versiju" w:history="1">
        <w:r w:rsidRPr="00E714F9">
          <w:rPr>
            <w:rStyle w:val="tvhtml2"/>
            <w:rFonts w:ascii="Times New Roman" w:hAnsi="Times New Roman"/>
            <w:sz w:val="28"/>
            <w:szCs w:val="28"/>
          </w:rPr>
          <w:t>104/2000</w:t>
        </w:r>
      </w:hyperlink>
      <w:r w:rsidRPr="00E714F9">
        <w:rPr>
          <w:rStyle w:val="tvhtml2"/>
          <w:rFonts w:ascii="Times New Roman" w:hAnsi="Times New Roman"/>
          <w:sz w:val="28"/>
          <w:szCs w:val="28"/>
        </w:rPr>
        <w:t xml:space="preserve"> par zivsaimniecības un akvakultūras produktu tirgu kopīgo organizāciju.</w:t>
      </w:r>
    </w:p>
    <w:p w:rsidR="00490DE5" w:rsidRDefault="00490DE5" w:rsidP="00E25ACE">
      <w:pPr>
        <w:pStyle w:val="tvhtml1"/>
        <w:spacing w:before="0" w:beforeAutospacing="0" w:after="0" w:afterAutospacing="0" w:line="240" w:lineRule="auto"/>
        <w:jc w:val="both"/>
        <w:rPr>
          <w:rStyle w:val="tvhtml2"/>
          <w:rFonts w:ascii="Times New Roman" w:hAnsi="Times New Roman"/>
          <w:sz w:val="28"/>
          <w:szCs w:val="28"/>
        </w:rPr>
      </w:pPr>
    </w:p>
    <w:p w:rsidR="00490DE5" w:rsidRPr="00490DE5" w:rsidRDefault="001B15B9" w:rsidP="00740597">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III.</w:t>
      </w:r>
      <w:r w:rsidR="00490DE5" w:rsidRPr="00490DE5">
        <w:rPr>
          <w:rStyle w:val="tvhtml2"/>
          <w:rFonts w:ascii="Times New Roman" w:hAnsi="Times New Roman"/>
          <w:b/>
          <w:bCs/>
          <w:sz w:val="28"/>
          <w:szCs w:val="28"/>
        </w:rPr>
        <w:t xml:space="preserve"> </w:t>
      </w:r>
      <w:r w:rsidR="00C57451">
        <w:rPr>
          <w:rStyle w:val="tvhtml2"/>
          <w:rFonts w:ascii="Times New Roman" w:hAnsi="Times New Roman"/>
          <w:b/>
          <w:bCs/>
          <w:sz w:val="28"/>
          <w:szCs w:val="28"/>
        </w:rPr>
        <w:t>Komersantiem</w:t>
      </w:r>
      <w:r w:rsidR="00490DE5" w:rsidRPr="00490DE5">
        <w:rPr>
          <w:rStyle w:val="tvhtml2"/>
          <w:rFonts w:ascii="Times New Roman" w:hAnsi="Times New Roman"/>
          <w:b/>
          <w:bCs/>
          <w:sz w:val="28"/>
          <w:szCs w:val="28"/>
        </w:rPr>
        <w:t>, kuri darbojas Līguma par Eiropas</w:t>
      </w:r>
      <w:r w:rsidR="00740597">
        <w:rPr>
          <w:rStyle w:val="tvhtml2"/>
          <w:rFonts w:ascii="Times New Roman" w:hAnsi="Times New Roman"/>
          <w:b/>
          <w:bCs/>
          <w:sz w:val="28"/>
          <w:szCs w:val="28"/>
        </w:rPr>
        <w:t xml:space="preserve"> Savienības darbību </w:t>
      </w:r>
      <w:r w:rsidR="001B5AD1">
        <w:rPr>
          <w:rStyle w:val="tvhtml2"/>
          <w:rFonts w:ascii="Times New Roman" w:hAnsi="Times New Roman"/>
          <w:b/>
          <w:bCs/>
          <w:sz w:val="28"/>
          <w:szCs w:val="28"/>
        </w:rPr>
        <w:br/>
      </w:r>
      <w:r w:rsidR="00740597">
        <w:rPr>
          <w:rStyle w:val="tvhtml2"/>
          <w:rFonts w:ascii="Times New Roman" w:hAnsi="Times New Roman"/>
          <w:b/>
          <w:bCs/>
          <w:sz w:val="28"/>
          <w:szCs w:val="28"/>
        </w:rPr>
        <w:t>I pielikumā minēto</w:t>
      </w:r>
      <w:r w:rsidR="00490DE5" w:rsidRPr="00490DE5">
        <w:rPr>
          <w:rStyle w:val="tvhtml2"/>
          <w:rFonts w:ascii="Times New Roman" w:hAnsi="Times New Roman"/>
          <w:b/>
          <w:bCs/>
          <w:sz w:val="28"/>
          <w:szCs w:val="28"/>
        </w:rPr>
        <w:t xml:space="preserve"> lauksaimniecības prod</w:t>
      </w:r>
      <w:r w:rsidR="00740597">
        <w:rPr>
          <w:rStyle w:val="tvhtml2"/>
          <w:rFonts w:ascii="Times New Roman" w:hAnsi="Times New Roman"/>
          <w:b/>
          <w:bCs/>
          <w:sz w:val="28"/>
          <w:szCs w:val="28"/>
        </w:rPr>
        <w:t>uktu pārstrādē un tirdzniecībā</w:t>
      </w:r>
    </w:p>
    <w:p w:rsidR="00841A9C" w:rsidRDefault="00841A9C" w:rsidP="00E25ACE">
      <w:pPr>
        <w:pStyle w:val="tvhtml1"/>
        <w:spacing w:before="0" w:beforeAutospacing="0" w:after="0" w:afterAutospacing="0" w:line="240" w:lineRule="auto"/>
        <w:rPr>
          <w:rStyle w:val="tvhtml2"/>
          <w:rFonts w:ascii="Times New Roman" w:hAnsi="Times New Roman"/>
          <w:sz w:val="28"/>
          <w:szCs w:val="28"/>
        </w:rPr>
      </w:pPr>
    </w:p>
    <w:p w:rsidR="00490DE5" w:rsidRDefault="00740597" w:rsidP="00740597">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J</w:t>
      </w:r>
      <w:r w:rsidR="00490DE5" w:rsidRPr="00490DE5">
        <w:rPr>
          <w:rStyle w:val="tvhtml2"/>
          <w:rFonts w:ascii="Times New Roman" w:hAnsi="Times New Roman"/>
          <w:sz w:val="28"/>
          <w:szCs w:val="28"/>
        </w:rPr>
        <w:t xml:space="preserve">a atbalsta apjoms ir noteikts, pamatojoties uz </w:t>
      </w:r>
      <w:r>
        <w:rPr>
          <w:rStyle w:val="tvhtml2"/>
          <w:rFonts w:ascii="Times New Roman" w:hAnsi="Times New Roman"/>
          <w:sz w:val="28"/>
          <w:szCs w:val="28"/>
        </w:rPr>
        <w:t>attiecīgo</w:t>
      </w:r>
      <w:r w:rsidR="00490DE5" w:rsidRPr="00490DE5">
        <w:rPr>
          <w:rStyle w:val="tvhtml2"/>
          <w:rFonts w:ascii="Times New Roman" w:hAnsi="Times New Roman"/>
          <w:sz w:val="28"/>
          <w:szCs w:val="28"/>
        </w:rPr>
        <w:t xml:space="preserve"> produktu</w:t>
      </w:r>
      <w:r>
        <w:rPr>
          <w:rStyle w:val="tvhtml2"/>
          <w:rFonts w:ascii="Times New Roman" w:hAnsi="Times New Roman"/>
          <w:sz w:val="28"/>
          <w:szCs w:val="28"/>
        </w:rPr>
        <w:t xml:space="preserve"> </w:t>
      </w:r>
      <w:r w:rsidRPr="00490DE5">
        <w:rPr>
          <w:rStyle w:val="tvhtml2"/>
          <w:rFonts w:ascii="Times New Roman" w:hAnsi="Times New Roman"/>
          <w:sz w:val="28"/>
          <w:szCs w:val="28"/>
        </w:rPr>
        <w:t>cenu un daudzumu</w:t>
      </w:r>
      <w:r w:rsidR="00490DE5" w:rsidRPr="00490DE5">
        <w:rPr>
          <w:rStyle w:val="tvhtml2"/>
          <w:rFonts w:ascii="Times New Roman" w:hAnsi="Times New Roman"/>
          <w:sz w:val="28"/>
          <w:szCs w:val="28"/>
        </w:rPr>
        <w:t>, kurus attiecīgais uzņēmums iepircis no sākotnējiem ražotājiem vai laidis tirgū</w:t>
      </w:r>
      <w:r>
        <w:rPr>
          <w:rStyle w:val="tvhtml2"/>
          <w:rFonts w:ascii="Times New Roman" w:hAnsi="Times New Roman"/>
          <w:sz w:val="28"/>
          <w:szCs w:val="28"/>
        </w:rPr>
        <w:t>.</w:t>
      </w:r>
    </w:p>
    <w:p w:rsidR="00490DE5" w:rsidRDefault="00740597" w:rsidP="00740597">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J</w:t>
      </w:r>
      <w:r w:rsidR="00490DE5" w:rsidRPr="00490DE5">
        <w:rPr>
          <w:rStyle w:val="tvhtml2"/>
          <w:rFonts w:ascii="Times New Roman" w:hAnsi="Times New Roman"/>
          <w:sz w:val="28"/>
          <w:szCs w:val="28"/>
        </w:rPr>
        <w:t>a atbalsts ir piešķirts, lai to daļēji vai pilnībā nodotu sākotnējiem ražotājiem</w:t>
      </w:r>
      <w:r>
        <w:rPr>
          <w:rStyle w:val="tvhtml2"/>
          <w:rFonts w:ascii="Times New Roman" w:hAnsi="Times New Roman"/>
          <w:sz w:val="28"/>
          <w:szCs w:val="28"/>
        </w:rPr>
        <w:t>.</w:t>
      </w:r>
    </w:p>
    <w:p w:rsidR="00CF7721" w:rsidRPr="00490DE5" w:rsidRDefault="00CF7721" w:rsidP="00E25ACE">
      <w:pPr>
        <w:pStyle w:val="tvhtml1"/>
        <w:spacing w:before="0" w:beforeAutospacing="0" w:after="0" w:afterAutospacing="0" w:line="240" w:lineRule="auto"/>
        <w:ind w:left="720"/>
        <w:rPr>
          <w:rStyle w:val="tvhtml2"/>
          <w:rFonts w:ascii="Times New Roman" w:hAnsi="Times New Roman"/>
          <w:sz w:val="28"/>
          <w:szCs w:val="28"/>
        </w:rPr>
      </w:pPr>
    </w:p>
    <w:p w:rsidR="00E714F9" w:rsidRPr="002861D3" w:rsidRDefault="001B15B9" w:rsidP="00740597">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IV. </w:t>
      </w:r>
      <w:r w:rsidR="00E714F9" w:rsidRPr="002861D3">
        <w:rPr>
          <w:rStyle w:val="tvhtml2"/>
          <w:rFonts w:ascii="Times New Roman" w:hAnsi="Times New Roman"/>
          <w:b/>
          <w:bCs/>
          <w:sz w:val="28"/>
          <w:szCs w:val="28"/>
        </w:rPr>
        <w:t>Ogļu rūpniecības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Default="00E714F9" w:rsidP="00740597">
      <w:pPr>
        <w:pStyle w:val="tvhtml1"/>
        <w:spacing w:before="0" w:beforeAutospacing="0" w:after="0" w:afterAutospacing="0" w:line="240" w:lineRule="auto"/>
        <w:ind w:firstLine="709"/>
        <w:jc w:val="both"/>
        <w:rPr>
          <w:rStyle w:val="tvhtml2"/>
          <w:rFonts w:ascii="Times New Roman" w:hAnsi="Times New Roman"/>
          <w:sz w:val="28"/>
          <w:szCs w:val="28"/>
        </w:rPr>
      </w:pPr>
      <w:r w:rsidRPr="00E714F9">
        <w:rPr>
          <w:rStyle w:val="tvhtml2"/>
          <w:rFonts w:ascii="Times New Roman" w:hAnsi="Times New Roman"/>
          <w:sz w:val="28"/>
          <w:szCs w:val="28"/>
        </w:rPr>
        <w:t xml:space="preserve">Atbilstoši Padomes </w:t>
      </w:r>
      <w:r w:rsidR="00740597">
        <w:rPr>
          <w:rStyle w:val="tvhtml2"/>
          <w:rFonts w:ascii="Times New Roman" w:hAnsi="Times New Roman"/>
          <w:sz w:val="28"/>
          <w:szCs w:val="28"/>
        </w:rPr>
        <w:t>2002.gada 23.jūlija Regulai Nr.</w:t>
      </w:r>
      <w:hyperlink r:id="rId10" w:tgtFrame="_blank" w:tooltip="Atvērt regulas konsolidēto versiju" w:history="1">
        <w:r w:rsidRPr="00E714F9">
          <w:rPr>
            <w:rStyle w:val="tvhtml2"/>
            <w:rFonts w:ascii="Times New Roman" w:hAnsi="Times New Roman"/>
            <w:sz w:val="28"/>
            <w:szCs w:val="28"/>
          </w:rPr>
          <w:t>1407/2002</w:t>
        </w:r>
      </w:hyperlink>
      <w:r w:rsidRPr="00E714F9">
        <w:rPr>
          <w:rStyle w:val="tvhtml2"/>
          <w:rFonts w:ascii="Times New Roman" w:hAnsi="Times New Roman"/>
          <w:sz w:val="28"/>
          <w:szCs w:val="28"/>
        </w:rPr>
        <w:t xml:space="preserve"> par valsts atbalstu ogļu rūpniecībai</w:t>
      </w:r>
      <w:r w:rsidRPr="00E714F9">
        <w:rPr>
          <w:rStyle w:val="tvhtml2"/>
          <w:rFonts w:ascii="Times New Roman" w:hAnsi="Times New Roman"/>
          <w:sz w:val="28"/>
          <w:szCs w:val="28"/>
          <w:vertAlign w:val="superscript"/>
        </w:rPr>
        <w:t>1</w:t>
      </w:r>
      <w:r w:rsidRPr="00E714F9">
        <w:rPr>
          <w:rStyle w:val="tvhtml2"/>
          <w:rFonts w:ascii="Times New Roman" w:hAnsi="Times New Roman"/>
          <w:sz w:val="28"/>
          <w:szCs w:val="28"/>
        </w:rPr>
        <w:t xml:space="preserve"> ogles tiek definētas kā augstas kvalitātes, vidējas kvalitātes, kā arī zemas kvalitātes A un B kategorijas ogles atbilstoši ANO Eiropas Ekonomikas komisijas izstrādātajai starptautiskajai ogļu kodifikācijas sistēmai</w:t>
      </w:r>
      <w:r w:rsidRPr="00E714F9">
        <w:rPr>
          <w:rStyle w:val="tvhtml2"/>
          <w:rFonts w:ascii="Times New Roman" w:hAnsi="Times New Roman"/>
          <w:sz w:val="28"/>
          <w:szCs w:val="28"/>
          <w:vertAlign w:val="superscript"/>
        </w:rPr>
        <w:t>2</w:t>
      </w:r>
      <w:r w:rsidRPr="00E714F9">
        <w:rPr>
          <w:rStyle w:val="tvhtml2"/>
          <w:rFonts w:ascii="Times New Roman" w:hAnsi="Times New Roman"/>
          <w:sz w:val="28"/>
          <w:szCs w:val="28"/>
        </w:rPr>
        <w:t>.</w:t>
      </w:r>
    </w:p>
    <w:p w:rsidR="00E714F9" w:rsidRDefault="00E714F9" w:rsidP="00740597">
      <w:pPr>
        <w:pStyle w:val="tvhtml1"/>
        <w:spacing w:before="0" w:beforeAutospacing="0" w:after="0" w:afterAutospacing="0" w:line="240" w:lineRule="auto"/>
        <w:ind w:firstLine="709"/>
        <w:jc w:val="both"/>
        <w:rPr>
          <w:rStyle w:val="tvhtml2"/>
          <w:rFonts w:ascii="Times New Roman" w:hAnsi="Times New Roman"/>
          <w:sz w:val="28"/>
          <w:szCs w:val="28"/>
        </w:rPr>
      </w:pPr>
      <w:r w:rsidRPr="00E714F9">
        <w:rPr>
          <w:rStyle w:val="tvhtml2"/>
          <w:rFonts w:ascii="Times New Roman" w:hAnsi="Times New Roman"/>
          <w:sz w:val="28"/>
          <w:szCs w:val="28"/>
        </w:rPr>
        <w:t>Ogļu rūpniecības nozare ietilpst NACE 2.red. 05.nodaļā "Ogļu un brūnogļu (</w:t>
      </w:r>
      <w:proofErr w:type="spellStart"/>
      <w:r w:rsidRPr="00E714F9">
        <w:rPr>
          <w:rStyle w:val="tvhtml2"/>
          <w:rFonts w:ascii="Times New Roman" w:hAnsi="Times New Roman"/>
          <w:sz w:val="28"/>
          <w:szCs w:val="28"/>
        </w:rPr>
        <w:t>lignīta</w:t>
      </w:r>
      <w:proofErr w:type="spellEnd"/>
      <w:r w:rsidRPr="00E714F9">
        <w:rPr>
          <w:rStyle w:val="tvhtml2"/>
          <w:rFonts w:ascii="Times New Roman" w:hAnsi="Times New Roman"/>
          <w:sz w:val="28"/>
          <w:szCs w:val="28"/>
        </w:rPr>
        <w:t xml:space="preserve">) ieguve" (NACE 1.1.red. grupā 10.1 "Akmeņogļu ieguve, apstrāde un </w:t>
      </w:r>
      <w:r w:rsidRPr="00E714F9">
        <w:rPr>
          <w:rStyle w:val="tvhtml2"/>
          <w:rFonts w:ascii="Times New Roman" w:hAnsi="Times New Roman"/>
          <w:sz w:val="28"/>
          <w:szCs w:val="28"/>
        </w:rPr>
        <w:lastRenderedPageBreak/>
        <w:t>aglomerācija" un grupā 10.2 "Brūnogļu (</w:t>
      </w:r>
      <w:proofErr w:type="spellStart"/>
      <w:r w:rsidRPr="00E714F9">
        <w:rPr>
          <w:rStyle w:val="tvhtml2"/>
          <w:rFonts w:ascii="Times New Roman" w:hAnsi="Times New Roman"/>
          <w:sz w:val="28"/>
          <w:szCs w:val="28"/>
        </w:rPr>
        <w:t>lignīta</w:t>
      </w:r>
      <w:proofErr w:type="spellEnd"/>
      <w:r w:rsidRPr="00E714F9">
        <w:rPr>
          <w:rStyle w:val="tvhtml2"/>
          <w:rFonts w:ascii="Times New Roman" w:hAnsi="Times New Roman"/>
          <w:sz w:val="28"/>
          <w:szCs w:val="28"/>
        </w:rPr>
        <w:t>) ieguve, apstrāde un aglomerācija").</w:t>
      </w:r>
    </w:p>
    <w:p w:rsidR="00841A9C" w:rsidRPr="00E714F9" w:rsidRDefault="00841A9C" w:rsidP="00E25ACE">
      <w:pPr>
        <w:pStyle w:val="tvhtml1"/>
        <w:spacing w:before="0" w:beforeAutospacing="0" w:after="0" w:afterAutospacing="0" w:line="240" w:lineRule="auto"/>
        <w:jc w:val="both"/>
        <w:rPr>
          <w:rFonts w:ascii="Times New Roman" w:hAnsi="Times New Roman"/>
          <w:sz w:val="28"/>
          <w:szCs w:val="28"/>
        </w:rPr>
      </w:pPr>
    </w:p>
    <w:p w:rsidR="00E714F9" w:rsidRPr="00740597" w:rsidRDefault="00E714F9" w:rsidP="00740597">
      <w:pPr>
        <w:pStyle w:val="tvhtml1"/>
        <w:spacing w:before="0" w:beforeAutospacing="0" w:after="0" w:afterAutospacing="0" w:line="240" w:lineRule="auto"/>
        <w:ind w:firstLine="709"/>
        <w:jc w:val="both"/>
        <w:rPr>
          <w:rFonts w:ascii="Times New Roman" w:hAnsi="Times New Roman"/>
          <w:sz w:val="24"/>
          <w:szCs w:val="24"/>
        </w:rPr>
      </w:pPr>
      <w:r w:rsidRPr="00740597">
        <w:rPr>
          <w:rStyle w:val="tvhtml2"/>
          <w:rFonts w:ascii="Times New Roman" w:hAnsi="Times New Roman"/>
          <w:sz w:val="24"/>
          <w:szCs w:val="24"/>
        </w:rPr>
        <w:t>Piezīmes.</w:t>
      </w:r>
    </w:p>
    <w:p w:rsidR="00E714F9" w:rsidRPr="00740597" w:rsidRDefault="00E714F9" w:rsidP="00740597">
      <w:pPr>
        <w:pStyle w:val="tvhtml1"/>
        <w:spacing w:before="0" w:beforeAutospacing="0" w:after="0" w:afterAutospacing="0" w:line="240" w:lineRule="auto"/>
        <w:ind w:firstLine="709"/>
        <w:jc w:val="both"/>
        <w:rPr>
          <w:rFonts w:ascii="Times New Roman" w:hAnsi="Times New Roman"/>
          <w:sz w:val="24"/>
          <w:szCs w:val="24"/>
        </w:rPr>
      </w:pPr>
      <w:r w:rsidRPr="00740597">
        <w:rPr>
          <w:rStyle w:val="tvhtml2"/>
          <w:rFonts w:ascii="Times New Roman" w:hAnsi="Times New Roman"/>
          <w:sz w:val="24"/>
          <w:szCs w:val="24"/>
          <w:vertAlign w:val="superscript"/>
        </w:rPr>
        <w:t>1 </w:t>
      </w:r>
      <w:r w:rsidR="00223B68" w:rsidRPr="00740597">
        <w:rPr>
          <w:rStyle w:val="tvhtml2"/>
          <w:rFonts w:ascii="Times New Roman" w:hAnsi="Times New Roman"/>
          <w:sz w:val="24"/>
          <w:szCs w:val="24"/>
          <w:vertAlign w:val="superscript"/>
        </w:rPr>
        <w:t xml:space="preserve">  </w:t>
      </w:r>
      <w:r w:rsidR="00223B68" w:rsidRPr="00740597">
        <w:rPr>
          <w:rStyle w:val="tvhtml2"/>
          <w:rFonts w:ascii="Times New Roman" w:hAnsi="Times New Roman"/>
          <w:sz w:val="24"/>
          <w:szCs w:val="24"/>
        </w:rPr>
        <w:t xml:space="preserve">Eiropas </w:t>
      </w:r>
      <w:r w:rsidR="002A24E3" w:rsidRPr="00740597">
        <w:rPr>
          <w:rStyle w:val="tvhtml2"/>
          <w:rFonts w:ascii="Times New Roman" w:hAnsi="Times New Roman"/>
          <w:sz w:val="24"/>
          <w:szCs w:val="24"/>
        </w:rPr>
        <w:t xml:space="preserve">Savienības </w:t>
      </w:r>
      <w:r w:rsidRPr="00740597">
        <w:rPr>
          <w:rStyle w:val="tvhtml2"/>
          <w:rFonts w:ascii="Times New Roman" w:hAnsi="Times New Roman"/>
          <w:sz w:val="24"/>
          <w:szCs w:val="24"/>
        </w:rPr>
        <w:t>Oficiālais Vēstnesis, L 205, 02.08.2006., 1.–8.lpp.</w:t>
      </w:r>
    </w:p>
    <w:p w:rsidR="00E714F9" w:rsidRPr="00740597" w:rsidRDefault="00E714F9" w:rsidP="00740597">
      <w:pPr>
        <w:pStyle w:val="tvhtml1"/>
        <w:spacing w:before="0" w:beforeAutospacing="0" w:after="0" w:afterAutospacing="0" w:line="240" w:lineRule="auto"/>
        <w:ind w:firstLine="709"/>
        <w:jc w:val="both"/>
        <w:rPr>
          <w:rStyle w:val="tvhtml2"/>
          <w:rFonts w:ascii="Times New Roman" w:hAnsi="Times New Roman"/>
          <w:sz w:val="24"/>
          <w:szCs w:val="24"/>
        </w:rPr>
      </w:pPr>
      <w:r w:rsidRPr="00740597">
        <w:rPr>
          <w:rStyle w:val="tvhtml2"/>
          <w:rFonts w:ascii="Times New Roman" w:hAnsi="Times New Roman"/>
          <w:sz w:val="24"/>
          <w:szCs w:val="24"/>
          <w:vertAlign w:val="superscript"/>
        </w:rPr>
        <w:t>2 </w:t>
      </w:r>
      <w:r w:rsidRPr="00740597">
        <w:rPr>
          <w:rStyle w:val="tvhtml2"/>
          <w:rFonts w:ascii="Times New Roman" w:hAnsi="Times New Roman"/>
          <w:sz w:val="24"/>
          <w:szCs w:val="24"/>
        </w:rPr>
        <w:t>Starptautiskā vidējas kvalitātes un augstas kvalitātes ogļu kodifikācijas sistēma (1998); Ogļu slāņa starptautiskā klasifikācija (1998) un Starptautiskā zemas kvalitātes ogļu kodifikācijas sistēma (1999).</w:t>
      </w:r>
    </w:p>
    <w:p w:rsidR="00841A9C" w:rsidRDefault="00841A9C" w:rsidP="00E25ACE">
      <w:pPr>
        <w:pStyle w:val="tvhtml1"/>
        <w:spacing w:before="0" w:beforeAutospacing="0" w:after="0" w:afterAutospacing="0" w:line="240" w:lineRule="auto"/>
        <w:rPr>
          <w:rStyle w:val="tvhtml2"/>
          <w:rFonts w:ascii="Times New Roman" w:hAnsi="Times New Roman"/>
          <w:sz w:val="28"/>
          <w:szCs w:val="28"/>
        </w:rPr>
      </w:pPr>
    </w:p>
    <w:p w:rsidR="00E714F9" w:rsidRDefault="001B15B9" w:rsidP="00BB1965">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V. </w:t>
      </w:r>
      <w:r w:rsidR="00E714F9" w:rsidRPr="00E714F9">
        <w:rPr>
          <w:rStyle w:val="tvhtml2"/>
          <w:rFonts w:ascii="Times New Roman" w:hAnsi="Times New Roman"/>
          <w:b/>
          <w:bCs/>
          <w:sz w:val="28"/>
          <w:szCs w:val="28"/>
        </w:rPr>
        <w:t>Alkoholisko dzērienu ražošanas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Default="00E714F9" w:rsidP="00740597">
      <w:pPr>
        <w:pStyle w:val="tvhtml1"/>
        <w:spacing w:before="0" w:beforeAutospacing="0" w:after="0" w:afterAutospacing="0" w:line="240" w:lineRule="auto"/>
        <w:ind w:firstLine="709"/>
        <w:jc w:val="both"/>
        <w:rPr>
          <w:rStyle w:val="tvhtml2"/>
          <w:rFonts w:ascii="Times New Roman" w:hAnsi="Times New Roman"/>
          <w:sz w:val="28"/>
          <w:szCs w:val="28"/>
        </w:rPr>
      </w:pPr>
      <w:r w:rsidRPr="00E714F9">
        <w:rPr>
          <w:rStyle w:val="tvhtml2"/>
          <w:rFonts w:ascii="Times New Roman" w:hAnsi="Times New Roman"/>
          <w:sz w:val="28"/>
          <w:szCs w:val="28"/>
        </w:rPr>
        <w:t>Saskaņā ar NACE 2.red. 11.nodaļu "Dzērienu ražošana", izņemot klasi 11.06 "Iesala ražošana" un klasi 11.07 "Bezalkohola dzērienu ražošana; minerālūdeņu un pudelēs iepildītu citu ūdeņu ražošana" (NACE 1.1.red. grupa 15.9 "Dzērienu ražošana", izņemot klasi 15.97 "Iesala ražošana" un klasi 15.98 "Minerālūdeņu un bezalkoholisko dzērienu ražošana").</w:t>
      </w:r>
    </w:p>
    <w:p w:rsidR="00841A9C" w:rsidRDefault="00841A9C" w:rsidP="00E25ACE">
      <w:pPr>
        <w:pStyle w:val="tvhtml1"/>
        <w:spacing w:before="0" w:beforeAutospacing="0" w:after="0" w:afterAutospacing="0" w:line="240" w:lineRule="auto"/>
        <w:jc w:val="both"/>
        <w:rPr>
          <w:rStyle w:val="tvhtml2"/>
          <w:rFonts w:ascii="Times New Roman" w:hAnsi="Times New Roman"/>
          <w:sz w:val="28"/>
          <w:szCs w:val="28"/>
        </w:rPr>
      </w:pPr>
    </w:p>
    <w:p w:rsidR="00E714F9" w:rsidRDefault="001B15B9" w:rsidP="00BB1965">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VI. </w:t>
      </w:r>
      <w:r w:rsidR="00FA6D09">
        <w:rPr>
          <w:rStyle w:val="tvhtml2"/>
          <w:rFonts w:ascii="Times New Roman" w:hAnsi="Times New Roman"/>
          <w:b/>
          <w:bCs/>
          <w:sz w:val="28"/>
          <w:szCs w:val="28"/>
        </w:rPr>
        <w:t>T</w:t>
      </w:r>
      <w:r w:rsidR="00E714F9" w:rsidRPr="00E714F9">
        <w:rPr>
          <w:rStyle w:val="tvhtml2"/>
          <w:rFonts w:ascii="Times New Roman" w:hAnsi="Times New Roman"/>
          <w:b/>
          <w:bCs/>
          <w:sz w:val="28"/>
          <w:szCs w:val="28"/>
        </w:rPr>
        <w:t>abakas izstrādājumu ražošanas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Default="00E714F9" w:rsidP="00BB1965">
      <w:pPr>
        <w:pStyle w:val="tvhtml1"/>
        <w:spacing w:before="0" w:beforeAutospacing="0" w:after="0" w:afterAutospacing="0" w:line="240" w:lineRule="auto"/>
        <w:ind w:firstLine="709"/>
        <w:jc w:val="both"/>
        <w:rPr>
          <w:rStyle w:val="tvhtml2"/>
          <w:rFonts w:ascii="Times New Roman" w:hAnsi="Times New Roman"/>
          <w:sz w:val="28"/>
          <w:szCs w:val="28"/>
        </w:rPr>
      </w:pPr>
      <w:r w:rsidRPr="00E714F9">
        <w:rPr>
          <w:rStyle w:val="tvhtml2"/>
          <w:rFonts w:ascii="Times New Roman" w:hAnsi="Times New Roman"/>
          <w:sz w:val="28"/>
          <w:szCs w:val="28"/>
        </w:rPr>
        <w:t>Saskaņā ar NACE 2.red. 12.nodaļu "Tabakas izstrādājumu ražošana" (NACE 1.1.red. 16.nodaļa "Tabakas izstrādājumu ražošana").</w:t>
      </w:r>
    </w:p>
    <w:p w:rsidR="001B15B9" w:rsidRDefault="001B15B9" w:rsidP="00E25ACE">
      <w:pPr>
        <w:pStyle w:val="tvhtml1"/>
        <w:spacing w:before="0" w:beforeAutospacing="0" w:after="0" w:afterAutospacing="0" w:line="240" w:lineRule="auto"/>
        <w:jc w:val="both"/>
        <w:rPr>
          <w:rStyle w:val="tvhtml2"/>
          <w:rFonts w:ascii="Times New Roman" w:hAnsi="Times New Roman"/>
          <w:sz w:val="28"/>
          <w:szCs w:val="28"/>
        </w:rPr>
      </w:pPr>
    </w:p>
    <w:p w:rsidR="00E714F9" w:rsidRDefault="001B15B9" w:rsidP="001B15B9">
      <w:pPr>
        <w:pStyle w:val="tvhtml1"/>
        <w:spacing w:before="0" w:beforeAutospacing="0" w:after="0" w:afterAutospacing="0" w:line="240" w:lineRule="auto"/>
        <w:ind w:left="360"/>
        <w:jc w:val="center"/>
        <w:rPr>
          <w:rStyle w:val="tvhtml2"/>
          <w:rFonts w:ascii="Times New Roman" w:hAnsi="Times New Roman"/>
          <w:b/>
          <w:bCs/>
          <w:sz w:val="28"/>
          <w:szCs w:val="28"/>
        </w:rPr>
      </w:pPr>
      <w:r>
        <w:rPr>
          <w:rStyle w:val="tvhtml2"/>
          <w:rFonts w:ascii="Times New Roman" w:hAnsi="Times New Roman"/>
          <w:b/>
          <w:bCs/>
          <w:sz w:val="28"/>
          <w:szCs w:val="28"/>
        </w:rPr>
        <w:t xml:space="preserve">VII. </w:t>
      </w:r>
      <w:r w:rsidR="00E714F9" w:rsidRPr="00E714F9">
        <w:rPr>
          <w:rStyle w:val="tvhtml2"/>
          <w:rFonts w:ascii="Times New Roman" w:hAnsi="Times New Roman"/>
          <w:b/>
          <w:bCs/>
          <w:sz w:val="28"/>
          <w:szCs w:val="28"/>
        </w:rPr>
        <w:t>Tirdzniecības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BB1965">
      <w:pPr>
        <w:pStyle w:val="tvhtml1"/>
        <w:spacing w:before="0" w:beforeAutospacing="0" w:after="0" w:afterAutospacing="0" w:line="240" w:lineRule="auto"/>
        <w:ind w:firstLine="709"/>
        <w:jc w:val="both"/>
        <w:rPr>
          <w:rFonts w:ascii="Times New Roman" w:hAnsi="Times New Roman"/>
          <w:sz w:val="28"/>
          <w:szCs w:val="28"/>
        </w:rPr>
      </w:pPr>
      <w:r w:rsidRPr="00E714F9">
        <w:rPr>
          <w:rStyle w:val="tvhtml2"/>
          <w:rFonts w:ascii="Times New Roman" w:hAnsi="Times New Roman"/>
          <w:sz w:val="28"/>
          <w:szCs w:val="28"/>
        </w:rPr>
        <w:t>Saskaņā ar NACE 2.red. G sadaļu "Vairumtirdzniecība un mazumtirdzniecība; automobiļu un motociklu remonts", izņemot grupu 45.2 "Automobiļu apkope un remonts" (NACE 1.1.red. G sekcija "Vairumtirdzniecība un mazumtirdzniecība; automobiļu, motociklu individuālās lietošanas priekšmetu, sadzīves aparatūras un iekārtu remonts", izņemot grupu 50.2 "Automobiļu apkope un remonts" un grupu 52.7 "Individuālās lietošanas priekšmetu, sadzīves aparatūras un iekārtu remonts").</w:t>
      </w:r>
    </w:p>
    <w:p w:rsidR="001B15B9" w:rsidRDefault="001B15B9" w:rsidP="001B15B9">
      <w:pPr>
        <w:pStyle w:val="tvhtml1"/>
        <w:spacing w:before="0" w:beforeAutospacing="0" w:after="0" w:afterAutospacing="0" w:line="240" w:lineRule="auto"/>
        <w:ind w:left="360"/>
        <w:jc w:val="center"/>
        <w:rPr>
          <w:rStyle w:val="tvhtml2"/>
          <w:rFonts w:ascii="Times New Roman" w:hAnsi="Times New Roman"/>
          <w:b/>
          <w:bCs/>
          <w:sz w:val="28"/>
          <w:szCs w:val="28"/>
        </w:rPr>
      </w:pPr>
    </w:p>
    <w:p w:rsidR="00E714F9" w:rsidRDefault="001B15B9" w:rsidP="00BB1965">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VIII. </w:t>
      </w:r>
      <w:r w:rsidR="00E714F9" w:rsidRPr="00E714F9">
        <w:rPr>
          <w:rStyle w:val="tvhtml2"/>
          <w:rFonts w:ascii="Times New Roman" w:hAnsi="Times New Roman"/>
          <w:b/>
          <w:bCs/>
          <w:sz w:val="28"/>
          <w:szCs w:val="28"/>
        </w:rPr>
        <w:t>Finanšu starpniecības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BB1965">
      <w:pPr>
        <w:pStyle w:val="tvhtml1"/>
        <w:spacing w:before="0" w:beforeAutospacing="0" w:after="0" w:afterAutospacing="0" w:line="240" w:lineRule="auto"/>
        <w:ind w:firstLine="709"/>
        <w:jc w:val="both"/>
        <w:rPr>
          <w:rFonts w:ascii="Times New Roman" w:hAnsi="Times New Roman"/>
          <w:sz w:val="28"/>
          <w:szCs w:val="28"/>
        </w:rPr>
      </w:pPr>
      <w:r w:rsidRPr="00E714F9">
        <w:rPr>
          <w:rStyle w:val="tvhtml2"/>
          <w:rFonts w:ascii="Times New Roman" w:hAnsi="Times New Roman"/>
          <w:sz w:val="28"/>
          <w:szCs w:val="28"/>
        </w:rPr>
        <w:t>Saskaņā ar NACE 2.red. K sadaļu "Finanšu un apdrošināšanas darbības" (NACE 1.1.red. J sekcija "Finanšu starpniecība").</w:t>
      </w:r>
    </w:p>
    <w:p w:rsidR="00E714F9" w:rsidRDefault="00E714F9" w:rsidP="00E25ACE">
      <w:pPr>
        <w:pStyle w:val="tvhtml1"/>
        <w:spacing w:before="0" w:beforeAutospacing="0" w:after="0" w:afterAutospacing="0" w:line="240" w:lineRule="auto"/>
        <w:jc w:val="center"/>
        <w:rPr>
          <w:rStyle w:val="tvhtml2"/>
          <w:rFonts w:ascii="Times New Roman" w:hAnsi="Times New Roman"/>
          <w:b/>
          <w:bCs/>
          <w:sz w:val="28"/>
          <w:szCs w:val="28"/>
        </w:rPr>
      </w:pPr>
    </w:p>
    <w:p w:rsidR="00E714F9" w:rsidRDefault="001B15B9" w:rsidP="001B15B9">
      <w:pPr>
        <w:pStyle w:val="tvhtml1"/>
        <w:spacing w:before="0" w:beforeAutospacing="0" w:after="0" w:afterAutospacing="0" w:line="240" w:lineRule="auto"/>
        <w:ind w:left="360"/>
        <w:jc w:val="center"/>
        <w:rPr>
          <w:rStyle w:val="tvhtml2"/>
          <w:rFonts w:ascii="Times New Roman" w:hAnsi="Times New Roman"/>
          <w:b/>
          <w:bCs/>
          <w:sz w:val="28"/>
          <w:szCs w:val="28"/>
        </w:rPr>
      </w:pPr>
      <w:r>
        <w:rPr>
          <w:rStyle w:val="tvhtml2"/>
          <w:rFonts w:ascii="Times New Roman" w:hAnsi="Times New Roman"/>
          <w:b/>
          <w:bCs/>
          <w:sz w:val="28"/>
          <w:szCs w:val="28"/>
        </w:rPr>
        <w:t xml:space="preserve">IX. </w:t>
      </w:r>
      <w:r w:rsidR="00E714F9" w:rsidRPr="00E714F9">
        <w:rPr>
          <w:rStyle w:val="tvhtml2"/>
          <w:rFonts w:ascii="Times New Roman" w:hAnsi="Times New Roman"/>
          <w:b/>
          <w:bCs/>
          <w:sz w:val="28"/>
          <w:szCs w:val="28"/>
        </w:rPr>
        <w:t>Komercpakalpojumu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BB1965">
      <w:pPr>
        <w:pStyle w:val="tvhtml1"/>
        <w:spacing w:before="0" w:beforeAutospacing="0" w:after="0" w:afterAutospacing="0" w:line="240" w:lineRule="auto"/>
        <w:ind w:firstLine="709"/>
        <w:jc w:val="both"/>
        <w:rPr>
          <w:rFonts w:ascii="Times New Roman" w:hAnsi="Times New Roman"/>
          <w:sz w:val="28"/>
          <w:szCs w:val="28"/>
        </w:rPr>
      </w:pPr>
      <w:r w:rsidRPr="00E714F9">
        <w:rPr>
          <w:rStyle w:val="tvhtml2"/>
          <w:rFonts w:ascii="Times New Roman" w:hAnsi="Times New Roman"/>
          <w:sz w:val="28"/>
          <w:szCs w:val="28"/>
        </w:rPr>
        <w:t xml:space="preserve">Saskaņā ar NACE 2.red. L sadaļu "Operācijas ar nekustamo īpašumu" un 77.nodaļu "Iznomāšana un ekspluatācijas līzings" (NACE 1.1.red. 70.nodaļa "Operācijas ar nekustamo īpašumu" un 71.nodaļa "Transportlīdzekļu, mašīnu un </w:t>
      </w:r>
      <w:r w:rsidRPr="00E714F9">
        <w:rPr>
          <w:rStyle w:val="tvhtml2"/>
          <w:rFonts w:ascii="Times New Roman" w:hAnsi="Times New Roman"/>
          <w:sz w:val="28"/>
          <w:szCs w:val="28"/>
        </w:rPr>
        <w:lastRenderedPageBreak/>
        <w:t>iekārtu, individuālās lietošanas priekšmetu, sadzīves aparatūras un iekārtu iznomāšana").</w:t>
      </w:r>
    </w:p>
    <w:p w:rsidR="00E714F9" w:rsidRDefault="00E714F9" w:rsidP="00E25ACE">
      <w:pPr>
        <w:pStyle w:val="tvhtml1"/>
        <w:spacing w:before="0" w:beforeAutospacing="0" w:after="0" w:afterAutospacing="0" w:line="240" w:lineRule="auto"/>
        <w:jc w:val="center"/>
        <w:rPr>
          <w:rStyle w:val="tvhtml2"/>
          <w:rFonts w:ascii="Times New Roman" w:hAnsi="Times New Roman"/>
          <w:b/>
          <w:bCs/>
          <w:sz w:val="28"/>
          <w:szCs w:val="28"/>
        </w:rPr>
      </w:pPr>
    </w:p>
    <w:p w:rsidR="00E714F9" w:rsidRDefault="001B15B9" w:rsidP="00BB1965">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X. </w:t>
      </w:r>
      <w:r w:rsidR="00E714F9" w:rsidRPr="00E714F9">
        <w:rPr>
          <w:rStyle w:val="tvhtml2"/>
          <w:rFonts w:ascii="Times New Roman" w:hAnsi="Times New Roman"/>
          <w:b/>
          <w:bCs/>
          <w:sz w:val="28"/>
          <w:szCs w:val="28"/>
        </w:rPr>
        <w:t>Azartspēļu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Pr="00E714F9" w:rsidRDefault="00E714F9" w:rsidP="00BB1965">
      <w:pPr>
        <w:pStyle w:val="tvhtml1"/>
        <w:spacing w:before="0" w:beforeAutospacing="0" w:after="0" w:afterAutospacing="0" w:line="240" w:lineRule="auto"/>
        <w:ind w:firstLine="709"/>
        <w:jc w:val="both"/>
        <w:rPr>
          <w:rFonts w:ascii="Times New Roman" w:hAnsi="Times New Roman"/>
          <w:sz w:val="28"/>
          <w:szCs w:val="28"/>
        </w:rPr>
      </w:pPr>
      <w:r w:rsidRPr="00E714F9">
        <w:rPr>
          <w:rStyle w:val="tvhtml2"/>
          <w:rFonts w:ascii="Times New Roman" w:hAnsi="Times New Roman"/>
          <w:sz w:val="28"/>
          <w:szCs w:val="28"/>
        </w:rPr>
        <w:t>Saskaņā ar NACE 2.red. 92.nodaļu "Azartspēles un derības" (NACE 1.1.red. klase 92.71 "Azartspēles un derības").</w:t>
      </w:r>
    </w:p>
    <w:p w:rsidR="00E714F9" w:rsidRDefault="00E714F9" w:rsidP="00E25ACE">
      <w:pPr>
        <w:pStyle w:val="tvhtml1"/>
        <w:spacing w:before="0" w:beforeAutospacing="0" w:after="0" w:afterAutospacing="0" w:line="240" w:lineRule="auto"/>
        <w:jc w:val="center"/>
        <w:rPr>
          <w:rStyle w:val="tvhtml2"/>
          <w:rFonts w:ascii="Times New Roman" w:hAnsi="Times New Roman"/>
          <w:b/>
          <w:bCs/>
          <w:sz w:val="28"/>
          <w:szCs w:val="28"/>
        </w:rPr>
      </w:pPr>
    </w:p>
    <w:p w:rsidR="00E714F9" w:rsidRDefault="001B15B9" w:rsidP="00BB1965">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 xml:space="preserve">XI. </w:t>
      </w:r>
      <w:r w:rsidR="00E714F9" w:rsidRPr="00E714F9">
        <w:rPr>
          <w:rStyle w:val="tvhtml2"/>
          <w:rFonts w:ascii="Times New Roman" w:hAnsi="Times New Roman"/>
          <w:b/>
          <w:bCs/>
          <w:sz w:val="28"/>
          <w:szCs w:val="28"/>
        </w:rPr>
        <w:t>Autotransporta nozare</w:t>
      </w:r>
    </w:p>
    <w:p w:rsidR="00E714F9" w:rsidRPr="00E714F9" w:rsidRDefault="00E714F9" w:rsidP="00E25ACE">
      <w:pPr>
        <w:pStyle w:val="tvhtml1"/>
        <w:spacing w:before="0" w:beforeAutospacing="0" w:after="0" w:afterAutospacing="0" w:line="240" w:lineRule="auto"/>
        <w:ind w:left="1080"/>
        <w:rPr>
          <w:rFonts w:ascii="Times New Roman" w:hAnsi="Times New Roman"/>
          <w:sz w:val="28"/>
          <w:szCs w:val="28"/>
        </w:rPr>
      </w:pPr>
    </w:p>
    <w:p w:rsidR="00E714F9" w:rsidRDefault="00BB1965" w:rsidP="00BB1965">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Nav paredzēts</w:t>
      </w:r>
      <w:r w:rsidR="00E714F9" w:rsidRPr="00E714F9">
        <w:rPr>
          <w:rStyle w:val="tvhtml2"/>
          <w:rFonts w:ascii="Times New Roman" w:hAnsi="Times New Roman"/>
          <w:sz w:val="28"/>
          <w:szCs w:val="28"/>
        </w:rPr>
        <w:t xml:space="preserve"> sniegt atbalstu </w:t>
      </w:r>
      <w:r w:rsidR="00604389">
        <w:rPr>
          <w:rStyle w:val="tvhtml2"/>
          <w:rFonts w:ascii="Times New Roman" w:hAnsi="Times New Roman"/>
          <w:sz w:val="28"/>
          <w:szCs w:val="28"/>
        </w:rPr>
        <w:t>jebkura veida t</w:t>
      </w:r>
      <w:r w:rsidR="00E714F9" w:rsidRPr="00E714F9">
        <w:rPr>
          <w:rStyle w:val="tvhtml2"/>
          <w:rFonts w:ascii="Times New Roman" w:hAnsi="Times New Roman"/>
          <w:sz w:val="28"/>
          <w:szCs w:val="28"/>
        </w:rPr>
        <w:t>ransporta līdzekļu iegādei uzņēmumiem.</w:t>
      </w:r>
    </w:p>
    <w:p w:rsidR="00AA64D0" w:rsidRPr="00AA64D0" w:rsidRDefault="00AA64D0" w:rsidP="00AA64D0">
      <w:pPr>
        <w:pStyle w:val="tvhtml1"/>
        <w:spacing w:after="0" w:line="240" w:lineRule="auto"/>
        <w:ind w:left="360"/>
        <w:jc w:val="center"/>
        <w:rPr>
          <w:rStyle w:val="tvhtml2"/>
          <w:rFonts w:ascii="Times New Roman" w:hAnsi="Times New Roman"/>
          <w:b/>
          <w:bCs/>
          <w:sz w:val="28"/>
          <w:szCs w:val="28"/>
        </w:rPr>
      </w:pPr>
      <w:r>
        <w:rPr>
          <w:rStyle w:val="tvhtml2"/>
          <w:rFonts w:ascii="Times New Roman" w:hAnsi="Times New Roman"/>
          <w:b/>
          <w:bCs/>
          <w:sz w:val="28"/>
          <w:szCs w:val="28"/>
        </w:rPr>
        <w:t>XII</w:t>
      </w:r>
      <w:r w:rsidRPr="00AA64D0">
        <w:rPr>
          <w:rStyle w:val="tvhtml2"/>
          <w:rFonts w:ascii="Times New Roman" w:hAnsi="Times New Roman"/>
          <w:b/>
          <w:bCs/>
          <w:sz w:val="28"/>
          <w:szCs w:val="28"/>
        </w:rPr>
        <w:t>. Kuģu būve</w:t>
      </w:r>
    </w:p>
    <w:p w:rsidR="00AA64D0" w:rsidRPr="00AA64D0"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K</w:t>
      </w:r>
      <w:r w:rsidRPr="00AA64D0">
        <w:rPr>
          <w:rStyle w:val="tvhtml2"/>
          <w:rFonts w:ascii="Times New Roman" w:hAnsi="Times New Roman"/>
          <w:sz w:val="28"/>
          <w:szCs w:val="28"/>
        </w:rPr>
        <w:t xml:space="preserve">uģu būve tiek definēta kā </w:t>
      </w:r>
      <w:proofErr w:type="spellStart"/>
      <w:r w:rsidRPr="00AA64D0">
        <w:rPr>
          <w:rStyle w:val="tvhtml2"/>
          <w:rFonts w:ascii="Times New Roman" w:hAnsi="Times New Roman"/>
          <w:sz w:val="28"/>
          <w:szCs w:val="28"/>
        </w:rPr>
        <w:t>pašpiedziņas</w:t>
      </w:r>
      <w:proofErr w:type="spellEnd"/>
      <w:r w:rsidRPr="00AA64D0">
        <w:rPr>
          <w:rStyle w:val="tvhtml2"/>
          <w:rFonts w:ascii="Times New Roman" w:hAnsi="Times New Roman"/>
          <w:sz w:val="28"/>
          <w:szCs w:val="28"/>
        </w:rPr>
        <w:t xml:space="preserve"> jūras tirdzniecības kuģu būve Eiropas Savienībā.</w:t>
      </w:r>
    </w:p>
    <w:p w:rsidR="00AA64D0"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AA64D0">
        <w:rPr>
          <w:rStyle w:val="tvhtml2"/>
          <w:rFonts w:ascii="Times New Roman" w:hAnsi="Times New Roman"/>
          <w:sz w:val="28"/>
          <w:szCs w:val="28"/>
        </w:rPr>
        <w:t>Kuģu būves nozare ietilpst NACE 2.red. klasē 30.11 "Kuģu un peldošo iekārtu būve" (NACE 1.1.red. klasē 35.11 "Kuģu būve un remonts").</w:t>
      </w:r>
    </w:p>
    <w:p w:rsidR="00AA64D0"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p>
    <w:p w:rsidR="00AA64D0" w:rsidRPr="00D5441A" w:rsidRDefault="00AA64D0" w:rsidP="00AA64D0">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XIII</w:t>
      </w:r>
      <w:r w:rsidRPr="00D5441A">
        <w:rPr>
          <w:rStyle w:val="tvhtml2"/>
          <w:rFonts w:ascii="Times New Roman" w:hAnsi="Times New Roman"/>
          <w:b/>
          <w:bCs/>
          <w:sz w:val="28"/>
          <w:szCs w:val="28"/>
        </w:rPr>
        <w:t xml:space="preserve">. Tērauda nozare </w:t>
      </w:r>
    </w:p>
    <w:p w:rsidR="00AA64D0" w:rsidRDefault="00AA64D0" w:rsidP="00AA64D0">
      <w:pPr>
        <w:pStyle w:val="tvhtml1"/>
        <w:spacing w:before="0" w:beforeAutospacing="0" w:after="0" w:afterAutospacing="0" w:line="240" w:lineRule="auto"/>
        <w:rPr>
          <w:rFonts w:ascii="Times New Roman" w:hAnsi="Times New Roman"/>
          <w:sz w:val="28"/>
          <w:szCs w:val="28"/>
        </w:rPr>
      </w:pPr>
    </w:p>
    <w:p w:rsidR="00AA64D0" w:rsidRPr="0034223F"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34223F">
        <w:rPr>
          <w:rStyle w:val="tvhtml2"/>
          <w:rFonts w:ascii="Times New Roman" w:hAnsi="Times New Roman"/>
          <w:sz w:val="28"/>
          <w:szCs w:val="28"/>
        </w:rPr>
        <w:t>Tērauda nozare ir visas darbības, kas saistītas ar viena vai vairāku šādu produktu ražošanu:</w:t>
      </w:r>
    </w:p>
    <w:p w:rsidR="00AA64D0" w:rsidRPr="00195B21"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 xml:space="preserve">3.1 </w:t>
      </w:r>
      <w:r w:rsidRPr="00195B21">
        <w:rPr>
          <w:rStyle w:val="tvhtml2"/>
          <w:rFonts w:ascii="Times New Roman" w:hAnsi="Times New Roman"/>
          <w:sz w:val="28"/>
          <w:szCs w:val="28"/>
        </w:rPr>
        <w:t xml:space="preserve">pārstrādāts čuguns un ferosakausējumi – pārstrādāts čuguns tērauda ražošanai, liešanai un citi pārstrādāta čuguna veidi, </w:t>
      </w:r>
      <w:proofErr w:type="spellStart"/>
      <w:r w:rsidRPr="00195B21">
        <w:rPr>
          <w:rStyle w:val="tvhtml2"/>
          <w:rFonts w:ascii="Times New Roman" w:hAnsi="Times New Roman"/>
          <w:sz w:val="28"/>
          <w:szCs w:val="28"/>
        </w:rPr>
        <w:t>spoguļčuguns</w:t>
      </w:r>
      <w:proofErr w:type="spellEnd"/>
      <w:r w:rsidRPr="00195B21">
        <w:rPr>
          <w:rStyle w:val="tvhtml2"/>
          <w:rFonts w:ascii="Times New Roman" w:hAnsi="Times New Roman"/>
          <w:sz w:val="28"/>
          <w:szCs w:val="28"/>
        </w:rPr>
        <w:t xml:space="preserve"> un augsta oglekļa satura feromangāns, neskaitot citus ferosakausējumus;</w:t>
      </w:r>
    </w:p>
    <w:p w:rsidR="00AA64D0" w:rsidRPr="00195B21"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 xml:space="preserve">3.2. </w:t>
      </w:r>
      <w:r w:rsidRPr="00195B21">
        <w:rPr>
          <w:rStyle w:val="tvhtml2"/>
          <w:rFonts w:ascii="Times New Roman" w:hAnsi="Times New Roman"/>
          <w:sz w:val="28"/>
          <w:szCs w:val="28"/>
        </w:rPr>
        <w:t xml:space="preserve">neapstrādāti dzelzs izstrādājumi un pusfabrikāti, parastais tērauds vai īpašais tērauds – šķidrs tērauds, liets vai neliets lietņos, ieskaitot lietņus pusfabrikātu kalšanai – velmējumi, sagataves un plāksnes; lokšņu stieņi un baltā skārda sagataves; karsti velmēti </w:t>
      </w:r>
      <w:proofErr w:type="spellStart"/>
      <w:r w:rsidRPr="00195B21">
        <w:rPr>
          <w:rStyle w:val="tvhtml2"/>
          <w:rFonts w:ascii="Times New Roman" w:hAnsi="Times New Roman"/>
          <w:sz w:val="28"/>
          <w:szCs w:val="28"/>
        </w:rPr>
        <w:t>platprofila</w:t>
      </w:r>
      <w:proofErr w:type="spellEnd"/>
      <w:r w:rsidRPr="00195B21">
        <w:rPr>
          <w:rStyle w:val="tvhtml2"/>
          <w:rFonts w:ascii="Times New Roman" w:hAnsi="Times New Roman"/>
          <w:sz w:val="28"/>
          <w:szCs w:val="28"/>
        </w:rPr>
        <w:t xml:space="preserve"> tinumi, izņemot šķidrā tērauda ražošanu mazo un vidējo lietuvju lējumiem;</w:t>
      </w:r>
    </w:p>
    <w:p w:rsidR="00AA64D0" w:rsidRPr="00195B21"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195B21">
        <w:rPr>
          <w:rStyle w:val="tvhtml2"/>
          <w:rFonts w:ascii="Times New Roman" w:hAnsi="Times New Roman"/>
          <w:sz w:val="28"/>
          <w:szCs w:val="28"/>
        </w:rPr>
        <w:t xml:space="preserve">3.3. karsti apstrādāti dzelzs, parastā tērauda vai speciālā tērauda ražojumi – sliedes, gulšņi, uzliktņi, </w:t>
      </w:r>
      <w:proofErr w:type="spellStart"/>
      <w:r w:rsidRPr="00195B21">
        <w:rPr>
          <w:rStyle w:val="tvhtml2"/>
          <w:rFonts w:ascii="Times New Roman" w:hAnsi="Times New Roman"/>
          <w:sz w:val="28"/>
          <w:szCs w:val="28"/>
        </w:rPr>
        <w:t>balstpaliktņi</w:t>
      </w:r>
      <w:proofErr w:type="spellEnd"/>
      <w:r w:rsidRPr="00195B21">
        <w:rPr>
          <w:rStyle w:val="tvhtml2"/>
          <w:rFonts w:ascii="Times New Roman" w:hAnsi="Times New Roman"/>
          <w:sz w:val="28"/>
          <w:szCs w:val="28"/>
        </w:rPr>
        <w:t xml:space="preserve">, sijas, smagie profili (80 mm un vairāk), </w:t>
      </w:r>
      <w:proofErr w:type="spellStart"/>
      <w:r w:rsidRPr="00195B21">
        <w:rPr>
          <w:rStyle w:val="tvhtml2"/>
          <w:rFonts w:ascii="Times New Roman" w:hAnsi="Times New Roman"/>
          <w:sz w:val="28"/>
          <w:szCs w:val="28"/>
        </w:rPr>
        <w:t>rievkonstrukcijas</w:t>
      </w:r>
      <w:proofErr w:type="spellEnd"/>
      <w:r w:rsidRPr="00195B21">
        <w:rPr>
          <w:rStyle w:val="tvhtml2"/>
          <w:rFonts w:ascii="Times New Roman" w:hAnsi="Times New Roman"/>
          <w:sz w:val="28"/>
          <w:szCs w:val="28"/>
        </w:rPr>
        <w:t>, stieņi un profili, mazāki par 80 mm, joslas, mazākas par 150 mm, stiepļu stieņi, apaļš un kvadrātveidīgs tērauds caurulēm, karsti velmētas stīpas un lentes (arī cauruļu sloksnes), karsti velmētas loksnes (pārklātas vai nepārklātas), plāksnes un loksnes ar 3 mm un lielāku biezumu, universālās plāksnes ar 150 mm un lielāku biezumu, izņemot stieples un stiepļu izstrādājumus, pulētos stieņus un dzelzs lējumus;</w:t>
      </w:r>
    </w:p>
    <w:p w:rsidR="00AA64D0" w:rsidRPr="00195B21"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195B21">
        <w:rPr>
          <w:rStyle w:val="tvhtml2"/>
          <w:rFonts w:ascii="Times New Roman" w:hAnsi="Times New Roman"/>
          <w:sz w:val="28"/>
          <w:szCs w:val="28"/>
        </w:rPr>
        <w:t xml:space="preserve">3.4. auksti apstrādāti ražojumi – baltais skārds, skārds ar alvas un svina klājumu, melnais skārds, cinkotas loksnes, citādas pārklātas loksnes, auksti </w:t>
      </w:r>
      <w:r w:rsidRPr="00195B21">
        <w:rPr>
          <w:rStyle w:val="tvhtml2"/>
          <w:rFonts w:ascii="Times New Roman" w:hAnsi="Times New Roman"/>
          <w:sz w:val="28"/>
          <w:szCs w:val="28"/>
        </w:rPr>
        <w:lastRenderedPageBreak/>
        <w:t>velmētas loksnes, elektriskās loksnes un lentes baltā skārda ražošanai, auksti velmētas plāksnes tinumos un lentēs;</w:t>
      </w:r>
    </w:p>
    <w:p w:rsidR="00AA64D0" w:rsidRPr="00195B21"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195B21">
        <w:rPr>
          <w:rStyle w:val="tvhtml2"/>
          <w:rFonts w:ascii="Times New Roman" w:hAnsi="Times New Roman"/>
          <w:sz w:val="28"/>
          <w:szCs w:val="28"/>
        </w:rPr>
        <w:t>3.5. caurules – visas bezšuvju tērauda caurules, metinātas tērauda caurules ar diametru, lielāku par 406,4 mm.</w:t>
      </w:r>
    </w:p>
    <w:p w:rsidR="00AA64D0" w:rsidRPr="00195B21"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p>
    <w:p w:rsidR="00AA64D0" w:rsidRPr="00195B21" w:rsidRDefault="00AA64D0" w:rsidP="00AA64D0">
      <w:pPr>
        <w:pStyle w:val="tvhtml1"/>
        <w:spacing w:before="0" w:beforeAutospacing="0" w:after="0" w:afterAutospacing="0" w:line="240" w:lineRule="auto"/>
        <w:jc w:val="center"/>
        <w:rPr>
          <w:rStyle w:val="tvhtml2"/>
          <w:rFonts w:ascii="Times New Roman" w:hAnsi="Times New Roman"/>
          <w:b/>
          <w:bCs/>
          <w:sz w:val="28"/>
          <w:szCs w:val="28"/>
        </w:rPr>
      </w:pPr>
      <w:r>
        <w:rPr>
          <w:rStyle w:val="tvhtml2"/>
          <w:rFonts w:ascii="Times New Roman" w:hAnsi="Times New Roman"/>
          <w:b/>
          <w:bCs/>
          <w:sz w:val="28"/>
          <w:szCs w:val="28"/>
        </w:rPr>
        <w:t>XIV</w:t>
      </w:r>
      <w:r w:rsidRPr="00195B21">
        <w:rPr>
          <w:rStyle w:val="tvhtml2"/>
          <w:rFonts w:ascii="Times New Roman" w:hAnsi="Times New Roman"/>
          <w:b/>
          <w:bCs/>
          <w:sz w:val="28"/>
          <w:szCs w:val="28"/>
        </w:rPr>
        <w:t>. Sintētisko šķiedru ražošanas nozare</w:t>
      </w:r>
    </w:p>
    <w:p w:rsidR="00AA64D0" w:rsidRPr="00195B21" w:rsidRDefault="00AA64D0" w:rsidP="00AA64D0">
      <w:pPr>
        <w:pStyle w:val="tvhtml1"/>
        <w:spacing w:before="0" w:beforeAutospacing="0" w:after="0" w:afterAutospacing="0" w:line="240" w:lineRule="auto"/>
        <w:jc w:val="center"/>
        <w:rPr>
          <w:rStyle w:val="tvhtml2"/>
          <w:rFonts w:ascii="Times New Roman" w:hAnsi="Times New Roman"/>
          <w:b/>
          <w:bCs/>
          <w:sz w:val="28"/>
          <w:szCs w:val="28"/>
        </w:rPr>
      </w:pPr>
    </w:p>
    <w:p w:rsidR="00AA64D0" w:rsidRPr="00332E40"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S</w:t>
      </w:r>
      <w:r w:rsidRPr="00332E40">
        <w:rPr>
          <w:rStyle w:val="tvhtml2"/>
          <w:rFonts w:ascii="Times New Roman" w:hAnsi="Times New Roman"/>
          <w:sz w:val="28"/>
          <w:szCs w:val="28"/>
        </w:rPr>
        <w:t xml:space="preserve">intētisko šķiedru </w:t>
      </w:r>
      <w:r>
        <w:rPr>
          <w:rStyle w:val="tvhtml2"/>
          <w:rFonts w:ascii="Times New Roman" w:hAnsi="Times New Roman"/>
          <w:sz w:val="28"/>
          <w:szCs w:val="28"/>
        </w:rPr>
        <w:t xml:space="preserve">ražošanas </w:t>
      </w:r>
      <w:r w:rsidRPr="00332E40">
        <w:rPr>
          <w:rStyle w:val="tvhtml2"/>
          <w:rFonts w:ascii="Times New Roman" w:hAnsi="Times New Roman"/>
          <w:sz w:val="28"/>
          <w:szCs w:val="28"/>
        </w:rPr>
        <w:t>nozare ir:</w:t>
      </w:r>
    </w:p>
    <w:p w:rsidR="00AA64D0" w:rsidRPr="00332E40"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 xml:space="preserve">4.1. </w:t>
      </w:r>
      <w:r w:rsidRPr="00332E40">
        <w:rPr>
          <w:rStyle w:val="tvhtml2"/>
          <w:rFonts w:ascii="Times New Roman" w:hAnsi="Times New Roman"/>
          <w:sz w:val="28"/>
          <w:szCs w:val="28"/>
        </w:rPr>
        <w:t xml:space="preserve">visu veidu poliestera, poliamīda, akrila vai polipropilēna šķiedru un diegu (neatkarīgi no to izmantošanas veida) </w:t>
      </w:r>
      <w:proofErr w:type="spellStart"/>
      <w:r w:rsidRPr="00332E40">
        <w:rPr>
          <w:rStyle w:val="tvhtml2"/>
          <w:rFonts w:ascii="Times New Roman" w:hAnsi="Times New Roman"/>
          <w:sz w:val="28"/>
          <w:szCs w:val="28"/>
        </w:rPr>
        <w:t>ekstrūzija</w:t>
      </w:r>
      <w:proofErr w:type="spellEnd"/>
      <w:r w:rsidRPr="00332E40">
        <w:rPr>
          <w:rStyle w:val="tvhtml2"/>
          <w:rFonts w:ascii="Times New Roman" w:hAnsi="Times New Roman"/>
          <w:sz w:val="28"/>
          <w:szCs w:val="28"/>
        </w:rPr>
        <w:t>/</w:t>
      </w:r>
      <w:proofErr w:type="spellStart"/>
      <w:r w:rsidRPr="00332E40">
        <w:rPr>
          <w:rStyle w:val="tvhtml2"/>
          <w:rFonts w:ascii="Times New Roman" w:hAnsi="Times New Roman"/>
          <w:sz w:val="28"/>
          <w:szCs w:val="28"/>
        </w:rPr>
        <w:t>teksturēšana</w:t>
      </w:r>
      <w:proofErr w:type="spellEnd"/>
      <w:r w:rsidRPr="00332E40">
        <w:rPr>
          <w:rStyle w:val="tvhtml2"/>
          <w:rFonts w:ascii="Times New Roman" w:hAnsi="Times New Roman"/>
          <w:sz w:val="28"/>
          <w:szCs w:val="28"/>
        </w:rPr>
        <w:t>;</w:t>
      </w:r>
    </w:p>
    <w:p w:rsidR="00AA64D0" w:rsidRPr="00403244"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403244">
        <w:rPr>
          <w:rStyle w:val="tvhtml2"/>
          <w:rFonts w:ascii="Times New Roman" w:hAnsi="Times New Roman"/>
          <w:sz w:val="28"/>
          <w:szCs w:val="28"/>
        </w:rPr>
        <w:t xml:space="preserve">4.2. polimerizācija (ieskaitot </w:t>
      </w:r>
      <w:proofErr w:type="spellStart"/>
      <w:r w:rsidRPr="00403244">
        <w:rPr>
          <w:rStyle w:val="tvhtml2"/>
          <w:rFonts w:ascii="Times New Roman" w:hAnsi="Times New Roman"/>
          <w:sz w:val="28"/>
          <w:szCs w:val="28"/>
        </w:rPr>
        <w:t>polikondensāciju</w:t>
      </w:r>
      <w:proofErr w:type="spellEnd"/>
      <w:r w:rsidRPr="00403244">
        <w:rPr>
          <w:rStyle w:val="tvhtml2"/>
          <w:rFonts w:ascii="Times New Roman" w:hAnsi="Times New Roman"/>
          <w:sz w:val="28"/>
          <w:szCs w:val="28"/>
        </w:rPr>
        <w:t xml:space="preserve">), ja tā ir apvienota ar </w:t>
      </w:r>
      <w:proofErr w:type="spellStart"/>
      <w:r w:rsidRPr="00403244">
        <w:rPr>
          <w:rStyle w:val="tvhtml2"/>
          <w:rFonts w:ascii="Times New Roman" w:hAnsi="Times New Roman"/>
          <w:sz w:val="28"/>
          <w:szCs w:val="28"/>
        </w:rPr>
        <w:t>ekstrūziju</w:t>
      </w:r>
      <w:proofErr w:type="spellEnd"/>
      <w:r w:rsidRPr="00403244">
        <w:rPr>
          <w:rStyle w:val="tvhtml2"/>
          <w:rFonts w:ascii="Times New Roman" w:hAnsi="Times New Roman"/>
          <w:sz w:val="28"/>
          <w:szCs w:val="28"/>
        </w:rPr>
        <w:t xml:space="preserve"> izmantoto iekārtu ziņā;</w:t>
      </w:r>
    </w:p>
    <w:p w:rsidR="00AA64D0" w:rsidRPr="00403244"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sidRPr="00403244">
        <w:rPr>
          <w:rStyle w:val="tvhtml2"/>
          <w:rFonts w:ascii="Times New Roman" w:hAnsi="Times New Roman"/>
          <w:sz w:val="28"/>
          <w:szCs w:val="28"/>
        </w:rPr>
        <w:t xml:space="preserve">4.3. jebkādi palīgprocesi, kas saistīti ar vienlaicīgu </w:t>
      </w:r>
      <w:proofErr w:type="spellStart"/>
      <w:r w:rsidRPr="00403244">
        <w:rPr>
          <w:rStyle w:val="tvhtml2"/>
          <w:rFonts w:ascii="Times New Roman" w:hAnsi="Times New Roman"/>
          <w:sz w:val="28"/>
          <w:szCs w:val="28"/>
        </w:rPr>
        <w:t>ekstrūzijas</w:t>
      </w:r>
      <w:proofErr w:type="spellEnd"/>
      <w:r w:rsidRPr="00403244">
        <w:rPr>
          <w:rStyle w:val="tvhtml2"/>
          <w:rFonts w:ascii="Times New Roman" w:hAnsi="Times New Roman"/>
          <w:sz w:val="28"/>
          <w:szCs w:val="28"/>
        </w:rPr>
        <w:t xml:space="preserve">/ </w:t>
      </w:r>
      <w:proofErr w:type="spellStart"/>
      <w:r w:rsidRPr="00403244">
        <w:rPr>
          <w:rStyle w:val="tvhtml2"/>
          <w:rFonts w:ascii="Times New Roman" w:hAnsi="Times New Roman"/>
          <w:sz w:val="28"/>
          <w:szCs w:val="28"/>
        </w:rPr>
        <w:t>teksturēšanas</w:t>
      </w:r>
      <w:proofErr w:type="spellEnd"/>
      <w:r w:rsidRPr="00403244">
        <w:rPr>
          <w:rStyle w:val="tvhtml2"/>
          <w:rFonts w:ascii="Times New Roman" w:hAnsi="Times New Roman"/>
          <w:sz w:val="28"/>
          <w:szCs w:val="28"/>
        </w:rPr>
        <w:t xml:space="preserve"> jaudu uzstādīšanu, ko veic potenciālais atbalsta saņēmējs vai cits tās grupas uzņēmums, kurā tas ietilpst, un kuri attiecīgajā uzņēmējdarbības veidā izmantoto iekārtu ziņā parasti tiek apvienoti ar šādām jaudām</w:t>
      </w:r>
      <w:r>
        <w:rPr>
          <w:rStyle w:val="tvhtml2"/>
          <w:rFonts w:ascii="Times New Roman" w:hAnsi="Times New Roman"/>
          <w:sz w:val="28"/>
          <w:szCs w:val="28"/>
        </w:rPr>
        <w:t>.</w:t>
      </w:r>
    </w:p>
    <w:p w:rsidR="00AA64D0" w:rsidRPr="00403244" w:rsidRDefault="00AA64D0" w:rsidP="00AA64D0">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sz w:val="28"/>
          <w:szCs w:val="28"/>
        </w:rPr>
        <w:t>S</w:t>
      </w:r>
      <w:r w:rsidRPr="00403244">
        <w:rPr>
          <w:rStyle w:val="tvhtml2"/>
          <w:rFonts w:ascii="Times New Roman" w:hAnsi="Times New Roman"/>
          <w:sz w:val="28"/>
          <w:szCs w:val="28"/>
        </w:rPr>
        <w:t>intētisko šķiedru ražošanas nozare ietilpst NACE 2.red. grupā 20.6 "Sintētisko šķiedru ražošana" (NACE 1.1.red. grupā 24.7 "Sintētisko šķiedru ražošana").</w:t>
      </w:r>
    </w:p>
    <w:p w:rsidR="00AA64D0" w:rsidRDefault="00AA64D0" w:rsidP="001B15B9">
      <w:pPr>
        <w:pStyle w:val="tvhtml1"/>
        <w:spacing w:before="0" w:beforeAutospacing="0" w:after="0" w:afterAutospacing="0" w:line="240" w:lineRule="auto"/>
        <w:ind w:left="360"/>
        <w:jc w:val="center"/>
        <w:rPr>
          <w:rStyle w:val="tvhtml2"/>
          <w:rFonts w:ascii="Times New Roman" w:hAnsi="Times New Roman"/>
          <w:b/>
          <w:bCs/>
          <w:sz w:val="28"/>
          <w:szCs w:val="28"/>
        </w:rPr>
      </w:pPr>
    </w:p>
    <w:p w:rsidR="00297113" w:rsidRDefault="001B15B9" w:rsidP="001B15B9">
      <w:pPr>
        <w:pStyle w:val="tvhtml1"/>
        <w:spacing w:before="0" w:beforeAutospacing="0" w:after="0" w:afterAutospacing="0" w:line="240" w:lineRule="auto"/>
        <w:ind w:left="360"/>
        <w:jc w:val="center"/>
        <w:rPr>
          <w:rStyle w:val="tvhtml2"/>
          <w:rFonts w:ascii="Times New Roman" w:hAnsi="Times New Roman"/>
          <w:b/>
          <w:bCs/>
          <w:sz w:val="28"/>
          <w:szCs w:val="28"/>
        </w:rPr>
      </w:pPr>
      <w:r>
        <w:rPr>
          <w:rStyle w:val="tvhtml2"/>
          <w:rFonts w:ascii="Times New Roman" w:hAnsi="Times New Roman"/>
          <w:b/>
          <w:bCs/>
          <w:sz w:val="28"/>
          <w:szCs w:val="28"/>
        </w:rPr>
        <w:t>X</w:t>
      </w:r>
      <w:r w:rsidR="00AA64D0">
        <w:rPr>
          <w:rStyle w:val="tvhtml2"/>
          <w:rFonts w:ascii="Times New Roman" w:hAnsi="Times New Roman"/>
          <w:b/>
          <w:bCs/>
          <w:sz w:val="28"/>
          <w:szCs w:val="28"/>
        </w:rPr>
        <w:t>V</w:t>
      </w:r>
      <w:r>
        <w:rPr>
          <w:rStyle w:val="tvhtml2"/>
          <w:rFonts w:ascii="Times New Roman" w:hAnsi="Times New Roman"/>
          <w:b/>
          <w:bCs/>
          <w:sz w:val="28"/>
          <w:szCs w:val="28"/>
        </w:rPr>
        <w:t xml:space="preserve">. </w:t>
      </w:r>
      <w:r w:rsidR="00490DE5" w:rsidRPr="00490DE5">
        <w:rPr>
          <w:rStyle w:val="tvhtml2"/>
          <w:rFonts w:ascii="Times New Roman" w:hAnsi="Times New Roman"/>
          <w:b/>
          <w:bCs/>
          <w:sz w:val="28"/>
          <w:szCs w:val="28"/>
        </w:rPr>
        <w:t>Neatbalstāmās darbības</w:t>
      </w:r>
    </w:p>
    <w:p w:rsidR="00841A9C" w:rsidRPr="00490DE5" w:rsidRDefault="00841A9C" w:rsidP="00E25ACE">
      <w:pPr>
        <w:pStyle w:val="tvhtml1"/>
        <w:spacing w:before="0" w:beforeAutospacing="0" w:after="0" w:afterAutospacing="0" w:line="240" w:lineRule="auto"/>
        <w:ind w:left="1080"/>
        <w:rPr>
          <w:rStyle w:val="tvhtml2"/>
          <w:rFonts w:ascii="Times New Roman" w:hAnsi="Times New Roman"/>
          <w:b/>
          <w:bCs/>
          <w:sz w:val="28"/>
          <w:szCs w:val="28"/>
        </w:rPr>
      </w:pPr>
    </w:p>
    <w:p w:rsidR="00841A9C" w:rsidRPr="00841A9C" w:rsidRDefault="00BB1965" w:rsidP="00BB1965">
      <w:pPr>
        <w:pStyle w:val="tvhtml1"/>
        <w:spacing w:before="0" w:beforeAutospacing="0" w:after="0" w:afterAutospacing="0" w:line="240" w:lineRule="auto"/>
        <w:ind w:firstLine="709"/>
        <w:jc w:val="both"/>
        <w:rPr>
          <w:rStyle w:val="tvhtml2"/>
          <w:rFonts w:ascii="Times New Roman" w:hAnsi="Times New Roman"/>
          <w:sz w:val="28"/>
          <w:szCs w:val="28"/>
        </w:rPr>
      </w:pPr>
      <w:r>
        <w:rPr>
          <w:rStyle w:val="tvhtml2"/>
          <w:rFonts w:ascii="Times New Roman" w:hAnsi="Times New Roman"/>
          <w:bCs/>
          <w:sz w:val="28"/>
          <w:szCs w:val="28"/>
        </w:rPr>
        <w:t>Darbības, kas s</w:t>
      </w:r>
      <w:r w:rsidR="00490DE5" w:rsidRPr="00841A9C">
        <w:rPr>
          <w:rStyle w:val="tvhtml2"/>
          <w:rFonts w:ascii="Times New Roman" w:hAnsi="Times New Roman"/>
          <w:bCs/>
          <w:sz w:val="28"/>
          <w:szCs w:val="28"/>
        </w:rPr>
        <w:t>aistīt</w:t>
      </w:r>
      <w:r>
        <w:rPr>
          <w:rStyle w:val="tvhtml2"/>
          <w:rFonts w:ascii="Times New Roman" w:hAnsi="Times New Roman"/>
          <w:bCs/>
          <w:sz w:val="28"/>
          <w:szCs w:val="28"/>
        </w:rPr>
        <w:t>as</w:t>
      </w:r>
      <w:r w:rsidR="00490DE5" w:rsidRPr="00841A9C">
        <w:rPr>
          <w:rStyle w:val="tvhtml2"/>
          <w:rFonts w:ascii="Times New Roman" w:hAnsi="Times New Roman"/>
          <w:bCs/>
          <w:sz w:val="28"/>
          <w:szCs w:val="28"/>
        </w:rPr>
        <w:t xml:space="preserve"> ar eksportu uz treš</w:t>
      </w:r>
      <w:r w:rsidR="001B5AD1">
        <w:rPr>
          <w:rStyle w:val="tvhtml2"/>
          <w:rFonts w:ascii="Times New Roman" w:hAnsi="Times New Roman"/>
          <w:bCs/>
          <w:sz w:val="28"/>
          <w:szCs w:val="28"/>
        </w:rPr>
        <w:t>aj</w:t>
      </w:r>
      <w:r w:rsidR="00490DE5" w:rsidRPr="00841A9C">
        <w:rPr>
          <w:rStyle w:val="tvhtml2"/>
          <w:rFonts w:ascii="Times New Roman" w:hAnsi="Times New Roman"/>
          <w:bCs/>
          <w:sz w:val="28"/>
          <w:szCs w:val="28"/>
        </w:rPr>
        <w:t xml:space="preserve">ām valstīm vai </w:t>
      </w:r>
      <w:r w:rsidR="00841A9C">
        <w:rPr>
          <w:rStyle w:val="tvhtml2"/>
          <w:rFonts w:ascii="Times New Roman" w:hAnsi="Times New Roman"/>
          <w:bCs/>
          <w:sz w:val="28"/>
          <w:szCs w:val="28"/>
        </w:rPr>
        <w:t xml:space="preserve">Eiropas Savienības </w:t>
      </w:r>
      <w:r w:rsidR="00490DE5" w:rsidRPr="00841A9C">
        <w:rPr>
          <w:rStyle w:val="tvhtml2"/>
          <w:rFonts w:ascii="Times New Roman" w:hAnsi="Times New Roman"/>
          <w:bCs/>
          <w:sz w:val="28"/>
          <w:szCs w:val="28"/>
        </w:rPr>
        <w:t>dalībvalstīm</w:t>
      </w:r>
      <w:r>
        <w:rPr>
          <w:rStyle w:val="tvhtml2"/>
          <w:rFonts w:ascii="Times New Roman" w:hAnsi="Times New Roman"/>
          <w:bCs/>
          <w:sz w:val="28"/>
          <w:szCs w:val="28"/>
        </w:rPr>
        <w:t xml:space="preserve">, ja atbalsts </w:t>
      </w:r>
      <w:r w:rsidR="00490DE5" w:rsidRPr="00841A9C">
        <w:rPr>
          <w:rStyle w:val="tvhtml2"/>
          <w:rFonts w:ascii="Times New Roman" w:hAnsi="Times New Roman"/>
          <w:bCs/>
          <w:sz w:val="28"/>
          <w:szCs w:val="28"/>
        </w:rPr>
        <w:t>tieši saistīts ar eksportētajiem daudzumiem, ar izplatīšanas tīkla izveidošanu un darbību vai ar citiem kārtējiem izdevumiem, kas saistīti ar eksporta darbībām</w:t>
      </w:r>
      <w:r>
        <w:rPr>
          <w:rStyle w:val="tvhtml2"/>
          <w:rFonts w:ascii="Times New Roman" w:hAnsi="Times New Roman"/>
          <w:bCs/>
          <w:sz w:val="28"/>
          <w:szCs w:val="28"/>
        </w:rPr>
        <w:t>.</w:t>
      </w:r>
    </w:p>
    <w:p w:rsidR="00297113" w:rsidRPr="00841A9C" w:rsidRDefault="00BB1965" w:rsidP="00BB1965">
      <w:pPr>
        <w:pStyle w:val="tvhtml1"/>
        <w:spacing w:before="0" w:beforeAutospacing="0" w:after="0" w:afterAutospacing="0" w:line="240" w:lineRule="auto"/>
        <w:ind w:firstLine="709"/>
        <w:jc w:val="both"/>
        <w:rPr>
          <w:rStyle w:val="tvhtml2"/>
          <w:rFonts w:ascii="Times New Roman" w:hAnsi="Times New Roman"/>
          <w:bCs/>
          <w:sz w:val="28"/>
          <w:szCs w:val="28"/>
        </w:rPr>
      </w:pPr>
      <w:r>
        <w:rPr>
          <w:rStyle w:val="tvhtml2"/>
          <w:rFonts w:ascii="Times New Roman" w:hAnsi="Times New Roman"/>
          <w:bCs/>
          <w:sz w:val="28"/>
          <w:szCs w:val="28"/>
        </w:rPr>
        <w:t>D</w:t>
      </w:r>
      <w:r w:rsidR="00841A9C" w:rsidRPr="00841A9C">
        <w:rPr>
          <w:rStyle w:val="tvhtml2"/>
          <w:rFonts w:ascii="Times New Roman" w:hAnsi="Times New Roman"/>
          <w:bCs/>
          <w:sz w:val="28"/>
          <w:szCs w:val="28"/>
        </w:rPr>
        <w:t xml:space="preserve">arbības, kas saistītas ar </w:t>
      </w:r>
      <w:r w:rsidR="00490DE5" w:rsidRPr="00841A9C">
        <w:rPr>
          <w:rStyle w:val="tvhtml2"/>
          <w:rFonts w:ascii="Times New Roman" w:hAnsi="Times New Roman"/>
          <w:bCs/>
          <w:sz w:val="28"/>
          <w:szCs w:val="28"/>
        </w:rPr>
        <w:t>atbalstu, kas piešķirts, lai importētu preču vietā tiktu izmantotas vietējās preces</w:t>
      </w:r>
      <w:r w:rsidR="00841A9C">
        <w:rPr>
          <w:rStyle w:val="tvhtml2"/>
          <w:rFonts w:ascii="Times New Roman" w:hAnsi="Times New Roman"/>
          <w:bCs/>
          <w:sz w:val="28"/>
          <w:szCs w:val="28"/>
        </w:rPr>
        <w:t>.</w:t>
      </w:r>
    </w:p>
    <w:p w:rsidR="000A38A1" w:rsidRDefault="000A38A1" w:rsidP="00E25ACE">
      <w:pPr>
        <w:spacing w:after="0" w:line="240" w:lineRule="auto"/>
        <w:rPr>
          <w:rFonts w:ascii="Times New Roman" w:hAnsi="Times New Roman" w:cs="Times New Roman"/>
          <w:sz w:val="28"/>
          <w:szCs w:val="28"/>
        </w:rPr>
      </w:pPr>
    </w:p>
    <w:p w:rsidR="002A24E3" w:rsidRDefault="002A24E3" w:rsidP="00E25ACE">
      <w:pPr>
        <w:tabs>
          <w:tab w:val="left" w:pos="6663"/>
        </w:tabs>
        <w:spacing w:after="0" w:line="240" w:lineRule="auto"/>
        <w:ind w:firstLine="709"/>
        <w:rPr>
          <w:rFonts w:ascii="Times New Roman" w:hAnsi="Times New Roman" w:cs="Times New Roman"/>
          <w:sz w:val="28"/>
          <w:szCs w:val="28"/>
        </w:rPr>
      </w:pPr>
      <w:r w:rsidRPr="002A24E3">
        <w:rPr>
          <w:rFonts w:ascii="Times New Roman" w:hAnsi="Times New Roman" w:cs="Times New Roman"/>
          <w:sz w:val="28"/>
          <w:szCs w:val="28"/>
        </w:rPr>
        <w:t>Ekonomikas ministrs</w:t>
      </w:r>
      <w:r w:rsidRPr="002A24E3">
        <w:rPr>
          <w:rFonts w:ascii="Times New Roman" w:hAnsi="Times New Roman" w:cs="Times New Roman"/>
          <w:sz w:val="28"/>
          <w:szCs w:val="28"/>
        </w:rPr>
        <w:tab/>
      </w:r>
      <w:proofErr w:type="spellStart"/>
      <w:r w:rsidRPr="002A24E3">
        <w:rPr>
          <w:rFonts w:ascii="Times New Roman" w:hAnsi="Times New Roman" w:cs="Times New Roman"/>
          <w:sz w:val="28"/>
          <w:szCs w:val="28"/>
        </w:rPr>
        <w:t>D.Pavļuts</w:t>
      </w:r>
      <w:proofErr w:type="spellEnd"/>
    </w:p>
    <w:p w:rsidR="00D01366" w:rsidRDefault="00D01366" w:rsidP="00E25ACE">
      <w:pPr>
        <w:tabs>
          <w:tab w:val="left" w:pos="6663"/>
        </w:tabs>
        <w:spacing w:after="0" w:line="240" w:lineRule="auto"/>
        <w:ind w:firstLine="709"/>
        <w:rPr>
          <w:rFonts w:ascii="Times New Roman" w:hAnsi="Times New Roman" w:cs="Times New Roman"/>
          <w:sz w:val="28"/>
          <w:szCs w:val="28"/>
        </w:rPr>
      </w:pPr>
    </w:p>
    <w:p w:rsidR="00D01366" w:rsidRDefault="00D01366" w:rsidP="00E25ACE">
      <w:pPr>
        <w:tabs>
          <w:tab w:val="left" w:pos="6663"/>
        </w:tabs>
        <w:spacing w:after="0" w:line="240" w:lineRule="auto"/>
        <w:ind w:firstLine="709"/>
        <w:rPr>
          <w:rFonts w:ascii="Times New Roman" w:hAnsi="Times New Roman" w:cs="Times New Roman"/>
          <w:sz w:val="28"/>
          <w:szCs w:val="28"/>
        </w:rPr>
      </w:pPr>
    </w:p>
    <w:p w:rsidR="009363D5" w:rsidRDefault="009363D5" w:rsidP="009363D5">
      <w:pPr>
        <w:tabs>
          <w:tab w:val="left" w:pos="720"/>
          <w:tab w:val="left" w:pos="6804"/>
        </w:tabs>
        <w:spacing w:after="0" w:line="240" w:lineRule="auto"/>
        <w:ind w:firstLine="709"/>
        <w:jc w:val="both"/>
        <w:rPr>
          <w:rFonts w:ascii="Times New Roman" w:hAnsi="Times New Roman"/>
          <w:sz w:val="28"/>
          <w:szCs w:val="28"/>
        </w:rPr>
      </w:pPr>
      <w:r>
        <w:rPr>
          <w:rFonts w:ascii="Times New Roman" w:hAnsi="Times New Roman"/>
          <w:sz w:val="28"/>
          <w:szCs w:val="28"/>
        </w:rPr>
        <w:t>Vīza: Valsts sekretāra</w:t>
      </w:r>
    </w:p>
    <w:p w:rsidR="009363D5" w:rsidRDefault="009363D5" w:rsidP="009363D5">
      <w:pPr>
        <w:tabs>
          <w:tab w:val="left" w:pos="720"/>
          <w:tab w:val="left" w:pos="6804"/>
        </w:tabs>
        <w:spacing w:after="0" w:line="240" w:lineRule="auto"/>
        <w:ind w:firstLine="709"/>
        <w:jc w:val="both"/>
        <w:rPr>
          <w:rFonts w:ascii="Times New Roman" w:hAnsi="Times New Roman"/>
          <w:sz w:val="28"/>
          <w:szCs w:val="28"/>
        </w:rPr>
      </w:pPr>
      <w:r>
        <w:rPr>
          <w:rFonts w:ascii="Times New Roman" w:hAnsi="Times New Roman"/>
          <w:sz w:val="28"/>
          <w:szCs w:val="28"/>
        </w:rPr>
        <w:t>pienākumu izpildītājs,</w:t>
      </w:r>
    </w:p>
    <w:p w:rsidR="009363D5" w:rsidRDefault="009363D5" w:rsidP="009363D5">
      <w:pPr>
        <w:tabs>
          <w:tab w:val="left" w:pos="720"/>
          <w:tab w:val="left" w:pos="6804"/>
        </w:tabs>
        <w:spacing w:after="0" w:line="240" w:lineRule="auto"/>
        <w:ind w:firstLine="709"/>
        <w:jc w:val="both"/>
        <w:rPr>
          <w:rFonts w:ascii="Times New Roman" w:hAnsi="Times New Roman"/>
          <w:sz w:val="28"/>
          <w:szCs w:val="28"/>
        </w:rPr>
      </w:pPr>
      <w:r>
        <w:rPr>
          <w:rFonts w:ascii="Times New Roman" w:hAnsi="Times New Roman"/>
          <w:sz w:val="28"/>
          <w:szCs w:val="28"/>
        </w:rPr>
        <w:t>valsts sekretāra vietnieks</w:t>
      </w:r>
      <w:r>
        <w:rPr>
          <w:rFonts w:ascii="Times New Roman" w:hAnsi="Times New Roman"/>
          <w:sz w:val="28"/>
          <w:szCs w:val="28"/>
        </w:rPr>
        <w:tab/>
        <w:t>A.Liepiņš</w:t>
      </w:r>
    </w:p>
    <w:p w:rsidR="00624A1F" w:rsidRPr="00624A1F" w:rsidRDefault="00624A1F" w:rsidP="00624A1F">
      <w:pPr>
        <w:rPr>
          <w:rFonts w:ascii="Times New Roman" w:hAnsi="Times New Roman" w:cs="Times New Roman"/>
          <w:sz w:val="28"/>
          <w:szCs w:val="28"/>
        </w:rPr>
      </w:pPr>
    </w:p>
    <w:p w:rsidR="00624A1F" w:rsidRDefault="00624A1F" w:rsidP="00624A1F">
      <w:pPr>
        <w:rPr>
          <w:rFonts w:ascii="Times New Roman" w:hAnsi="Times New Roman" w:cs="Times New Roman"/>
          <w:sz w:val="28"/>
          <w:szCs w:val="28"/>
        </w:rPr>
      </w:pPr>
    </w:p>
    <w:p w:rsidR="00624A1F" w:rsidRPr="00624A1F" w:rsidRDefault="009363D5" w:rsidP="00624A1F">
      <w:pPr>
        <w:spacing w:after="0" w:line="240" w:lineRule="auto"/>
        <w:rPr>
          <w:rFonts w:ascii="Times New Roman" w:hAnsi="Times New Roman" w:cs="Times New Roman"/>
        </w:rPr>
      </w:pPr>
      <w:r>
        <w:rPr>
          <w:rFonts w:ascii="Times New Roman" w:hAnsi="Times New Roman" w:cs="Times New Roman"/>
        </w:rPr>
        <w:t>29</w:t>
      </w:r>
      <w:r w:rsidR="00061475">
        <w:rPr>
          <w:rFonts w:ascii="Times New Roman" w:hAnsi="Times New Roman" w:cs="Times New Roman"/>
        </w:rPr>
        <w:t>.11</w:t>
      </w:r>
      <w:r w:rsidR="00624A1F" w:rsidRPr="00624A1F">
        <w:rPr>
          <w:rFonts w:ascii="Times New Roman" w:hAnsi="Times New Roman" w:cs="Times New Roman"/>
        </w:rPr>
        <w:t>.2013</w:t>
      </w:r>
      <w:r w:rsidR="00D47527">
        <w:rPr>
          <w:rFonts w:ascii="Times New Roman" w:hAnsi="Times New Roman" w:cs="Times New Roman"/>
        </w:rPr>
        <w:t xml:space="preserve"> </w:t>
      </w:r>
      <w:r w:rsidR="00624A1F" w:rsidRPr="00624A1F">
        <w:rPr>
          <w:rFonts w:ascii="Times New Roman" w:hAnsi="Times New Roman" w:cs="Times New Roman"/>
        </w:rPr>
        <w:t xml:space="preserve"> </w:t>
      </w:r>
      <w:r w:rsidR="00C323F8">
        <w:rPr>
          <w:rFonts w:ascii="Times New Roman" w:hAnsi="Times New Roman" w:cs="Times New Roman"/>
        </w:rPr>
        <w:t>09:18</w:t>
      </w:r>
    </w:p>
    <w:p w:rsidR="00AA64D0" w:rsidRDefault="00AA64D0" w:rsidP="00624A1F">
      <w:pPr>
        <w:spacing w:after="0" w:line="240" w:lineRule="auto"/>
        <w:rPr>
          <w:rFonts w:ascii="Times New Roman" w:hAnsi="Times New Roman" w:cs="Times New Roman"/>
        </w:rPr>
      </w:pPr>
      <w:r>
        <w:rPr>
          <w:rFonts w:ascii="Times New Roman" w:hAnsi="Times New Roman" w:cs="Times New Roman"/>
        </w:rPr>
        <w:t>8</w:t>
      </w:r>
      <w:r w:rsidR="00DE1D71">
        <w:rPr>
          <w:rFonts w:ascii="Times New Roman" w:hAnsi="Times New Roman" w:cs="Times New Roman"/>
        </w:rPr>
        <w:t>82</w:t>
      </w:r>
      <w:bookmarkStart w:id="1" w:name="_GoBack"/>
      <w:bookmarkEnd w:id="1"/>
    </w:p>
    <w:p w:rsidR="00624A1F" w:rsidRPr="00624A1F" w:rsidRDefault="00061475" w:rsidP="00624A1F">
      <w:pPr>
        <w:spacing w:after="0" w:line="240" w:lineRule="auto"/>
        <w:rPr>
          <w:rFonts w:ascii="Times New Roman" w:hAnsi="Times New Roman" w:cs="Times New Roman"/>
        </w:rPr>
      </w:pPr>
      <w:r>
        <w:rPr>
          <w:rFonts w:ascii="Times New Roman" w:hAnsi="Times New Roman" w:cs="Times New Roman"/>
        </w:rPr>
        <w:t>S.Blumberga</w:t>
      </w:r>
    </w:p>
    <w:p w:rsidR="00D01366" w:rsidRPr="00624A1F" w:rsidRDefault="00061475" w:rsidP="00624A1F">
      <w:pPr>
        <w:spacing w:after="0" w:line="240" w:lineRule="auto"/>
        <w:rPr>
          <w:rFonts w:ascii="Times New Roman" w:hAnsi="Times New Roman" w:cs="Times New Roman"/>
        </w:rPr>
      </w:pPr>
      <w:r>
        <w:rPr>
          <w:rFonts w:ascii="Times New Roman" w:hAnsi="Times New Roman" w:cs="Times New Roman"/>
        </w:rPr>
        <w:t>Sanda.Blumberga</w:t>
      </w:r>
      <w:r w:rsidR="00624A1F" w:rsidRPr="00624A1F">
        <w:rPr>
          <w:rFonts w:ascii="Times New Roman" w:hAnsi="Times New Roman" w:cs="Times New Roman"/>
        </w:rPr>
        <w:t>@em.gov.lv</w:t>
      </w:r>
    </w:p>
    <w:sectPr w:rsidR="00D01366" w:rsidRPr="00624A1F" w:rsidSect="001B15B9">
      <w:headerReference w:type="default" r:id="rId11"/>
      <w:footerReference w:type="default" r:id="rId12"/>
      <w:footerReference w:type="first" r:id="rId13"/>
      <w:pgSz w:w="11906" w:h="16838" w:code="9"/>
      <w:pgMar w:top="1134"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05" w:rsidRDefault="00EA3805" w:rsidP="00001F0A">
      <w:pPr>
        <w:spacing w:after="0" w:line="240" w:lineRule="auto"/>
      </w:pPr>
      <w:r>
        <w:separator/>
      </w:r>
    </w:p>
  </w:endnote>
  <w:endnote w:type="continuationSeparator" w:id="0">
    <w:p w:rsidR="00EA3805" w:rsidRDefault="00EA3805" w:rsidP="0000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6E" w:rsidRPr="00403244" w:rsidRDefault="004C166E" w:rsidP="004C166E">
    <w:pPr>
      <w:tabs>
        <w:tab w:val="center" w:pos="4153"/>
        <w:tab w:val="right" w:pos="8306"/>
      </w:tabs>
      <w:spacing w:after="0" w:line="240" w:lineRule="auto"/>
      <w:rPr>
        <w:rFonts w:ascii="Times New Roman" w:eastAsia="Times New Roman" w:hAnsi="Times New Roman" w:cs="Times New Roman"/>
        <w:lang w:eastAsia="lv-LV"/>
      </w:rPr>
    </w:pPr>
    <w:r w:rsidRPr="00403244">
      <w:rPr>
        <w:rFonts w:ascii="Times New Roman" w:eastAsia="Times New Roman" w:hAnsi="Times New Roman" w:cs="Times New Roman"/>
        <w:lang w:eastAsia="lv-LV"/>
      </w:rPr>
      <w:t>EMNot_p</w:t>
    </w:r>
    <w:r>
      <w:rPr>
        <w:rFonts w:ascii="Times New Roman" w:eastAsia="Times New Roman" w:hAnsi="Times New Roman" w:cs="Times New Roman"/>
        <w:lang w:eastAsia="lv-LV"/>
      </w:rPr>
      <w:t>1</w:t>
    </w:r>
    <w:r w:rsidRPr="00403244">
      <w:rPr>
        <w:rFonts w:ascii="Times New Roman" w:eastAsia="Times New Roman" w:hAnsi="Times New Roman" w:cs="Times New Roman"/>
        <w:lang w:eastAsia="lv-LV"/>
      </w:rPr>
      <w:t>_</w:t>
    </w:r>
    <w:r w:rsidR="009363D5">
      <w:rPr>
        <w:rFonts w:ascii="Times New Roman" w:eastAsia="Times New Roman" w:hAnsi="Times New Roman" w:cs="Times New Roman"/>
        <w:lang w:eastAsia="lv-LV"/>
      </w:rPr>
      <w:t>2</w:t>
    </w:r>
    <w:r w:rsidR="00C323F8">
      <w:rPr>
        <w:rFonts w:ascii="Times New Roman" w:eastAsia="Times New Roman" w:hAnsi="Times New Roman" w:cs="Times New Roman"/>
        <w:lang w:eastAsia="lv-LV"/>
      </w:rPr>
      <w:t>9</w:t>
    </w:r>
    <w:r w:rsidR="00061475">
      <w:rPr>
        <w:rFonts w:ascii="Times New Roman" w:eastAsia="Times New Roman" w:hAnsi="Times New Roman" w:cs="Times New Roman"/>
        <w:lang w:eastAsia="lv-LV"/>
      </w:rPr>
      <w:t>11</w:t>
    </w:r>
    <w:r w:rsidRPr="00403244">
      <w:rPr>
        <w:rFonts w:ascii="Times New Roman" w:eastAsia="Times New Roman" w:hAnsi="Times New Roman" w:cs="Times New Roman"/>
        <w:lang w:eastAsia="lv-LV"/>
      </w:rPr>
      <w:t>2013_NOR programma; Ministru kabineta noteikumu projekta</w:t>
    </w:r>
    <w:r w:rsidRPr="00403244">
      <w:t xml:space="preserve"> „</w:t>
    </w:r>
    <w:r w:rsidRPr="00403244">
      <w:rPr>
        <w:rFonts w:ascii="Times New Roman" w:eastAsia="Times New Roman" w:hAnsi="Times New Roman" w:cs="Times New Roman"/>
        <w:lang w:eastAsia="lv-LV"/>
      </w:rPr>
      <w:t xml:space="preserve">Norvēģijas finanšu instrumenta 2009.–2014.gada perioda programmas "Inovācijas "zaļās" ražošanas jomā" atklāta projektu konkursa īstenošanas kārtība”  </w:t>
    </w:r>
    <w:r>
      <w:rPr>
        <w:rFonts w:ascii="Times New Roman" w:eastAsia="Times New Roman" w:hAnsi="Times New Roman" w:cs="Times New Roman"/>
        <w:lang w:eastAsia="lv-LV"/>
      </w:rPr>
      <w:t>1</w:t>
    </w:r>
    <w:r w:rsidRPr="00403244">
      <w:rPr>
        <w:rFonts w:ascii="Times New Roman" w:eastAsia="Times New Roman" w:hAnsi="Times New Roman" w:cs="Times New Roman"/>
        <w:lang w:eastAsia="lv-LV"/>
      </w:rPr>
      <w:t>.pielikums</w:t>
    </w:r>
  </w:p>
  <w:p w:rsidR="00E25ACE" w:rsidRPr="00624A1F" w:rsidRDefault="00E25ACE" w:rsidP="00624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2" w:rsidRDefault="00E61D02" w:rsidP="00E61D02">
    <w:pPr>
      <w:tabs>
        <w:tab w:val="center" w:pos="4153"/>
        <w:tab w:val="right" w:pos="8306"/>
      </w:tabs>
      <w:spacing w:after="0" w:line="240" w:lineRule="auto"/>
      <w:rPr>
        <w:rFonts w:ascii="Times New Roman" w:eastAsia="Times New Roman" w:hAnsi="Times New Roman" w:cs="Times New Roman"/>
        <w:lang w:eastAsia="lv-LV"/>
      </w:rPr>
    </w:pPr>
  </w:p>
  <w:p w:rsidR="00E61D02" w:rsidRPr="00403244" w:rsidRDefault="00E61D02" w:rsidP="00E61D02">
    <w:pPr>
      <w:tabs>
        <w:tab w:val="center" w:pos="4153"/>
        <w:tab w:val="right" w:pos="8306"/>
      </w:tabs>
      <w:spacing w:after="0" w:line="240" w:lineRule="auto"/>
      <w:rPr>
        <w:rFonts w:ascii="Times New Roman" w:eastAsia="Times New Roman" w:hAnsi="Times New Roman" w:cs="Times New Roman"/>
        <w:lang w:eastAsia="lv-LV"/>
      </w:rPr>
    </w:pPr>
    <w:r w:rsidRPr="00403244">
      <w:rPr>
        <w:rFonts w:ascii="Times New Roman" w:eastAsia="Times New Roman" w:hAnsi="Times New Roman" w:cs="Times New Roman"/>
        <w:lang w:eastAsia="lv-LV"/>
      </w:rPr>
      <w:t>EMNot_p</w:t>
    </w:r>
    <w:r>
      <w:rPr>
        <w:rFonts w:ascii="Times New Roman" w:eastAsia="Times New Roman" w:hAnsi="Times New Roman" w:cs="Times New Roman"/>
        <w:lang w:eastAsia="lv-LV"/>
      </w:rPr>
      <w:t>1</w:t>
    </w:r>
    <w:r w:rsidRPr="00403244">
      <w:rPr>
        <w:rFonts w:ascii="Times New Roman" w:eastAsia="Times New Roman" w:hAnsi="Times New Roman" w:cs="Times New Roman"/>
        <w:lang w:eastAsia="lv-LV"/>
      </w:rPr>
      <w:t>_</w:t>
    </w:r>
    <w:r w:rsidR="009363D5">
      <w:rPr>
        <w:rFonts w:ascii="Times New Roman" w:eastAsia="Times New Roman" w:hAnsi="Times New Roman" w:cs="Times New Roman"/>
        <w:lang w:eastAsia="lv-LV"/>
      </w:rPr>
      <w:t>29</w:t>
    </w:r>
    <w:r w:rsidR="00F410A9">
      <w:rPr>
        <w:rFonts w:ascii="Times New Roman" w:eastAsia="Times New Roman" w:hAnsi="Times New Roman" w:cs="Times New Roman"/>
        <w:lang w:eastAsia="lv-LV"/>
      </w:rPr>
      <w:t>11</w:t>
    </w:r>
    <w:r w:rsidRPr="00403244">
      <w:rPr>
        <w:rFonts w:ascii="Times New Roman" w:eastAsia="Times New Roman" w:hAnsi="Times New Roman" w:cs="Times New Roman"/>
        <w:lang w:eastAsia="lv-LV"/>
      </w:rPr>
      <w:t>2013_NOR programma; Ministru kabineta noteikumu projekta</w:t>
    </w:r>
    <w:r w:rsidRPr="00403244">
      <w:t xml:space="preserve"> „</w:t>
    </w:r>
    <w:r w:rsidRPr="00403244">
      <w:rPr>
        <w:rFonts w:ascii="Times New Roman" w:eastAsia="Times New Roman" w:hAnsi="Times New Roman" w:cs="Times New Roman"/>
        <w:lang w:eastAsia="lv-LV"/>
      </w:rPr>
      <w:t xml:space="preserve">Norvēģijas finanšu instrumenta 2009.–2014.gada perioda programmas "Inovācijas "zaļās" ražošanas jomā" atklāta projektu konkursa īstenošanas kārtība”  </w:t>
    </w:r>
    <w:r>
      <w:rPr>
        <w:rFonts w:ascii="Times New Roman" w:eastAsia="Times New Roman" w:hAnsi="Times New Roman" w:cs="Times New Roman"/>
        <w:lang w:eastAsia="lv-LV"/>
      </w:rPr>
      <w:t>1</w:t>
    </w:r>
    <w:r w:rsidRPr="00403244">
      <w:rPr>
        <w:rFonts w:ascii="Times New Roman" w:eastAsia="Times New Roman" w:hAnsi="Times New Roman" w:cs="Times New Roman"/>
        <w:lang w:eastAsia="lv-LV"/>
      </w:rPr>
      <w:t>.pielikums</w:t>
    </w:r>
  </w:p>
  <w:p w:rsidR="00E61D02" w:rsidRPr="00624A1F" w:rsidRDefault="00E61D02" w:rsidP="00E61D02">
    <w:pPr>
      <w:pStyle w:val="Footer"/>
    </w:pPr>
  </w:p>
  <w:p w:rsidR="00CA7180" w:rsidRPr="00E61D02" w:rsidRDefault="00CA7180" w:rsidP="00E61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05" w:rsidRDefault="00EA3805" w:rsidP="00001F0A">
      <w:pPr>
        <w:spacing w:after="0" w:line="240" w:lineRule="auto"/>
      </w:pPr>
      <w:r>
        <w:separator/>
      </w:r>
    </w:p>
  </w:footnote>
  <w:footnote w:type="continuationSeparator" w:id="0">
    <w:p w:rsidR="00EA3805" w:rsidRDefault="00EA3805" w:rsidP="00001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1747"/>
      <w:docPartObj>
        <w:docPartGallery w:val="Page Numbers (Top of Page)"/>
        <w:docPartUnique/>
      </w:docPartObj>
    </w:sdtPr>
    <w:sdtEndPr>
      <w:rPr>
        <w:rFonts w:ascii="Times New Roman" w:hAnsi="Times New Roman" w:cs="Times New Roman"/>
        <w:noProof/>
        <w:sz w:val="28"/>
        <w:szCs w:val="28"/>
      </w:rPr>
    </w:sdtEndPr>
    <w:sdtContent>
      <w:p w:rsidR="005C1101" w:rsidRPr="005C1101" w:rsidRDefault="005C1101">
        <w:pPr>
          <w:pStyle w:val="Header"/>
          <w:jc w:val="center"/>
          <w:rPr>
            <w:rFonts w:ascii="Times New Roman" w:hAnsi="Times New Roman" w:cs="Times New Roman"/>
            <w:sz w:val="28"/>
            <w:szCs w:val="28"/>
          </w:rPr>
        </w:pPr>
        <w:r w:rsidRPr="005C1101">
          <w:rPr>
            <w:rFonts w:ascii="Times New Roman" w:hAnsi="Times New Roman" w:cs="Times New Roman"/>
            <w:sz w:val="28"/>
            <w:szCs w:val="28"/>
          </w:rPr>
          <w:fldChar w:fldCharType="begin"/>
        </w:r>
        <w:r w:rsidRPr="005C1101">
          <w:rPr>
            <w:rFonts w:ascii="Times New Roman" w:hAnsi="Times New Roman" w:cs="Times New Roman"/>
            <w:sz w:val="28"/>
            <w:szCs w:val="28"/>
          </w:rPr>
          <w:instrText xml:space="preserve"> PAGE   \* MERGEFORMAT </w:instrText>
        </w:r>
        <w:r w:rsidRPr="005C1101">
          <w:rPr>
            <w:rFonts w:ascii="Times New Roman" w:hAnsi="Times New Roman" w:cs="Times New Roman"/>
            <w:sz w:val="28"/>
            <w:szCs w:val="28"/>
          </w:rPr>
          <w:fldChar w:fldCharType="separate"/>
        </w:r>
        <w:r w:rsidR="00DE1D71">
          <w:rPr>
            <w:rFonts w:ascii="Times New Roman" w:hAnsi="Times New Roman" w:cs="Times New Roman"/>
            <w:noProof/>
            <w:sz w:val="28"/>
            <w:szCs w:val="28"/>
          </w:rPr>
          <w:t>4</w:t>
        </w:r>
        <w:r w:rsidRPr="005C1101">
          <w:rPr>
            <w:rFonts w:ascii="Times New Roman" w:hAnsi="Times New Roman" w:cs="Times New Roman"/>
            <w:noProof/>
            <w:sz w:val="28"/>
            <w:szCs w:val="28"/>
          </w:rPr>
          <w:fldChar w:fldCharType="end"/>
        </w:r>
      </w:p>
    </w:sdtContent>
  </w:sdt>
  <w:p w:rsidR="00F02140" w:rsidRDefault="00F02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4592"/>
    <w:multiLevelType w:val="hybridMultilevel"/>
    <w:tmpl w:val="F5D46C28"/>
    <w:lvl w:ilvl="0" w:tplc="6102E6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DF7251"/>
    <w:multiLevelType w:val="hybridMultilevel"/>
    <w:tmpl w:val="12A0C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375FB"/>
    <w:multiLevelType w:val="hybridMultilevel"/>
    <w:tmpl w:val="F5D46C28"/>
    <w:lvl w:ilvl="0" w:tplc="6102E6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AA85287"/>
    <w:multiLevelType w:val="hybridMultilevel"/>
    <w:tmpl w:val="F6BE94F4"/>
    <w:lvl w:ilvl="0" w:tplc="CD245E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4F9"/>
    <w:rsid w:val="00001F0A"/>
    <w:rsid w:val="00014A0E"/>
    <w:rsid w:val="000355F0"/>
    <w:rsid w:val="00061475"/>
    <w:rsid w:val="000A38A1"/>
    <w:rsid w:val="000B3295"/>
    <w:rsid w:val="000E15B5"/>
    <w:rsid w:val="000F5840"/>
    <w:rsid w:val="001A7590"/>
    <w:rsid w:val="001B15B9"/>
    <w:rsid w:val="001B5AD1"/>
    <w:rsid w:val="00205C84"/>
    <w:rsid w:val="00223B68"/>
    <w:rsid w:val="00223B6D"/>
    <w:rsid w:val="00232577"/>
    <w:rsid w:val="00247BFF"/>
    <w:rsid w:val="00255E9E"/>
    <w:rsid w:val="002861D3"/>
    <w:rsid w:val="00297113"/>
    <w:rsid w:val="002A24E3"/>
    <w:rsid w:val="002A305A"/>
    <w:rsid w:val="002A476F"/>
    <w:rsid w:val="002C2443"/>
    <w:rsid w:val="002E2C5F"/>
    <w:rsid w:val="00336AFF"/>
    <w:rsid w:val="00337F98"/>
    <w:rsid w:val="003773C5"/>
    <w:rsid w:val="003B5574"/>
    <w:rsid w:val="003C0681"/>
    <w:rsid w:val="003D5A3A"/>
    <w:rsid w:val="00403925"/>
    <w:rsid w:val="0041458A"/>
    <w:rsid w:val="0042139A"/>
    <w:rsid w:val="00460739"/>
    <w:rsid w:val="00490DE5"/>
    <w:rsid w:val="004A005C"/>
    <w:rsid w:val="004B0061"/>
    <w:rsid w:val="004B1CA1"/>
    <w:rsid w:val="004C166E"/>
    <w:rsid w:val="00507708"/>
    <w:rsid w:val="00511E76"/>
    <w:rsid w:val="005147D1"/>
    <w:rsid w:val="00521F15"/>
    <w:rsid w:val="00530DD8"/>
    <w:rsid w:val="00532902"/>
    <w:rsid w:val="005A741B"/>
    <w:rsid w:val="005B4B5B"/>
    <w:rsid w:val="005C1101"/>
    <w:rsid w:val="00604389"/>
    <w:rsid w:val="00624A1F"/>
    <w:rsid w:val="00672F7B"/>
    <w:rsid w:val="006A03D7"/>
    <w:rsid w:val="006E0C1A"/>
    <w:rsid w:val="006E6F8E"/>
    <w:rsid w:val="006F18E7"/>
    <w:rsid w:val="0070226D"/>
    <w:rsid w:val="007035A5"/>
    <w:rsid w:val="00703D63"/>
    <w:rsid w:val="007144EE"/>
    <w:rsid w:val="00715D4F"/>
    <w:rsid w:val="00722764"/>
    <w:rsid w:val="00730ACB"/>
    <w:rsid w:val="007317CC"/>
    <w:rsid w:val="007324B9"/>
    <w:rsid w:val="00740597"/>
    <w:rsid w:val="007A1D4C"/>
    <w:rsid w:val="007B6F09"/>
    <w:rsid w:val="008313E6"/>
    <w:rsid w:val="00841A9C"/>
    <w:rsid w:val="00850412"/>
    <w:rsid w:val="00852E81"/>
    <w:rsid w:val="00877510"/>
    <w:rsid w:val="00926CD5"/>
    <w:rsid w:val="009336FA"/>
    <w:rsid w:val="009348E4"/>
    <w:rsid w:val="009363D5"/>
    <w:rsid w:val="00954044"/>
    <w:rsid w:val="009667E1"/>
    <w:rsid w:val="0097448A"/>
    <w:rsid w:val="0098060A"/>
    <w:rsid w:val="009848A8"/>
    <w:rsid w:val="00996EA5"/>
    <w:rsid w:val="009C5156"/>
    <w:rsid w:val="009F2E49"/>
    <w:rsid w:val="00A03598"/>
    <w:rsid w:val="00A6320C"/>
    <w:rsid w:val="00A91145"/>
    <w:rsid w:val="00AA64D0"/>
    <w:rsid w:val="00AC189C"/>
    <w:rsid w:val="00AF67D7"/>
    <w:rsid w:val="00B11DE1"/>
    <w:rsid w:val="00B45B1C"/>
    <w:rsid w:val="00B57ABF"/>
    <w:rsid w:val="00B65D1B"/>
    <w:rsid w:val="00B93D32"/>
    <w:rsid w:val="00BB1965"/>
    <w:rsid w:val="00BF2C50"/>
    <w:rsid w:val="00C127B3"/>
    <w:rsid w:val="00C323F8"/>
    <w:rsid w:val="00C57451"/>
    <w:rsid w:val="00CA7180"/>
    <w:rsid w:val="00CF7721"/>
    <w:rsid w:val="00D01366"/>
    <w:rsid w:val="00D0294F"/>
    <w:rsid w:val="00D0514C"/>
    <w:rsid w:val="00D47527"/>
    <w:rsid w:val="00D7267E"/>
    <w:rsid w:val="00DC1631"/>
    <w:rsid w:val="00DE1D71"/>
    <w:rsid w:val="00DE7587"/>
    <w:rsid w:val="00DF26E7"/>
    <w:rsid w:val="00DF37BA"/>
    <w:rsid w:val="00E16B1B"/>
    <w:rsid w:val="00E16C5C"/>
    <w:rsid w:val="00E25ACE"/>
    <w:rsid w:val="00E3146F"/>
    <w:rsid w:val="00E61D02"/>
    <w:rsid w:val="00E714F9"/>
    <w:rsid w:val="00EA2649"/>
    <w:rsid w:val="00EA3805"/>
    <w:rsid w:val="00F02140"/>
    <w:rsid w:val="00F265DA"/>
    <w:rsid w:val="00F410A9"/>
    <w:rsid w:val="00F42381"/>
    <w:rsid w:val="00FA6D09"/>
    <w:rsid w:val="00FE2ED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4F9"/>
    <w:rPr>
      <w:strike w:val="0"/>
      <w:dstrike w:val="0"/>
      <w:color w:val="40407C"/>
      <w:u w:val="none"/>
      <w:effect w:val="none"/>
    </w:rPr>
  </w:style>
  <w:style w:type="paragraph" w:customStyle="1" w:styleId="tv2121">
    <w:name w:val="tv2121"/>
    <w:basedOn w:val="Normal"/>
    <w:rsid w:val="00E714F9"/>
    <w:pPr>
      <w:spacing w:before="400" w:after="0" w:line="360" w:lineRule="auto"/>
      <w:jc w:val="center"/>
    </w:pPr>
    <w:rPr>
      <w:rFonts w:ascii="Verdana" w:eastAsia="Times New Roman" w:hAnsi="Verdana" w:cs="Times New Roman"/>
      <w:b/>
      <w:bCs/>
      <w:sz w:val="21"/>
      <w:szCs w:val="21"/>
      <w:lang w:eastAsia="lv-LV"/>
    </w:rPr>
  </w:style>
  <w:style w:type="paragraph" w:customStyle="1" w:styleId="tvhtml1">
    <w:name w:val="tv_html1"/>
    <w:basedOn w:val="Normal"/>
    <w:rsid w:val="00E714F9"/>
    <w:pPr>
      <w:spacing w:before="100" w:beforeAutospacing="1" w:after="100" w:afterAutospacing="1" w:line="360" w:lineRule="auto"/>
    </w:pPr>
    <w:rPr>
      <w:rFonts w:ascii="Verdana" w:eastAsia="Times New Roman" w:hAnsi="Verdana" w:cs="Times New Roman"/>
      <w:sz w:val="19"/>
      <w:szCs w:val="19"/>
      <w:lang w:eastAsia="lv-LV"/>
    </w:rPr>
  </w:style>
  <w:style w:type="character" w:customStyle="1" w:styleId="tvhtml2">
    <w:name w:val="tv_html2"/>
    <w:basedOn w:val="DefaultParagraphFont"/>
    <w:rsid w:val="00E714F9"/>
    <w:rPr>
      <w:rFonts w:ascii="Verdana" w:hAnsi="Verdana" w:hint="default"/>
      <w:sz w:val="19"/>
      <w:szCs w:val="19"/>
    </w:rPr>
  </w:style>
  <w:style w:type="paragraph" w:styleId="Header">
    <w:name w:val="header"/>
    <w:basedOn w:val="Normal"/>
    <w:link w:val="HeaderChar"/>
    <w:uiPriority w:val="99"/>
    <w:unhideWhenUsed/>
    <w:rsid w:val="00001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0A"/>
  </w:style>
  <w:style w:type="paragraph" w:styleId="Footer">
    <w:name w:val="footer"/>
    <w:basedOn w:val="Normal"/>
    <w:link w:val="FooterChar"/>
    <w:uiPriority w:val="99"/>
    <w:unhideWhenUsed/>
    <w:rsid w:val="00001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0A"/>
  </w:style>
  <w:style w:type="paragraph" w:styleId="Date">
    <w:name w:val="Date"/>
    <w:basedOn w:val="Normal"/>
    <w:next w:val="Normal"/>
    <w:link w:val="DateChar"/>
    <w:uiPriority w:val="99"/>
    <w:semiHidden/>
    <w:unhideWhenUsed/>
    <w:rsid w:val="002861D3"/>
  </w:style>
  <w:style w:type="character" w:customStyle="1" w:styleId="DateChar">
    <w:name w:val="Date Char"/>
    <w:basedOn w:val="DefaultParagraphFont"/>
    <w:link w:val="Date"/>
    <w:uiPriority w:val="99"/>
    <w:semiHidden/>
    <w:rsid w:val="002861D3"/>
  </w:style>
  <w:style w:type="paragraph" w:styleId="BalloonText">
    <w:name w:val="Balloon Text"/>
    <w:basedOn w:val="Normal"/>
    <w:link w:val="BalloonTextChar"/>
    <w:uiPriority w:val="99"/>
    <w:semiHidden/>
    <w:unhideWhenUsed/>
    <w:rsid w:val="00BB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CONSLEG:2002R1407:200701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CA067-FA72-40C5-A1BF-5220AC0B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4717</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EMNot_p1_14082013_NOR programma; Ministru kabineta noteikumu projekta „Norvēģijas finanšu instrumenta 2009.–2014.gada perioda programmas "Inovācijas "zaļās" ražošanas jomā" atklāta projektu konkursa īstenošanas kārtība”  1.pielikums</vt:lpstr>
    </vt:vector>
  </TitlesOfParts>
  <Company>LR Ekonomikas ministrija</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EMNot_p1_29112013_NOR programma; Ministru kabineta noteikumu projekta „Norvēģijas finanšu instrumenta 2009.–2014.gada perioda programmas "Inovācijas "zaļās" ražošanas jomā" atklāta projektu konkursa īstenošanas kārtība”  1.pielikums</dc:title>
  <dc:creator>Sanda Blumberga</dc:creator>
  <cp:lastModifiedBy>Sanda Blumberga</cp:lastModifiedBy>
  <cp:revision>10</cp:revision>
  <cp:lastPrinted>2013-04-15T10:00:00Z</cp:lastPrinted>
  <dcterms:created xsi:type="dcterms:W3CDTF">2013-10-10T11:57:00Z</dcterms:created>
  <dcterms:modified xsi:type="dcterms:W3CDTF">2013-11-29T07:04:00Z</dcterms:modified>
</cp:coreProperties>
</file>