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5F0F7" w14:textId="77777777" w:rsidR="00FB52C2" w:rsidRPr="00F5458C" w:rsidRDefault="00FB52C2" w:rsidP="00F5458C">
      <w:pPr>
        <w:tabs>
          <w:tab w:val="left" w:pos="6804"/>
        </w:tabs>
        <w:jc w:val="both"/>
        <w:rPr>
          <w:sz w:val="28"/>
          <w:szCs w:val="28"/>
          <w:lang w:val="de-DE"/>
        </w:rPr>
      </w:pPr>
    </w:p>
    <w:p w14:paraId="0F6A29C0" w14:textId="77777777" w:rsidR="00FB52C2" w:rsidRPr="00F5458C" w:rsidRDefault="00FB52C2" w:rsidP="00F5458C">
      <w:pPr>
        <w:tabs>
          <w:tab w:val="left" w:pos="6663"/>
        </w:tabs>
        <w:rPr>
          <w:sz w:val="28"/>
          <w:szCs w:val="28"/>
        </w:rPr>
      </w:pPr>
    </w:p>
    <w:p w14:paraId="76D05216" w14:textId="77777777" w:rsidR="00FB52C2" w:rsidRPr="00F5458C" w:rsidRDefault="00FB52C2" w:rsidP="00F5458C">
      <w:pPr>
        <w:tabs>
          <w:tab w:val="left" w:pos="6663"/>
        </w:tabs>
        <w:rPr>
          <w:sz w:val="28"/>
          <w:szCs w:val="28"/>
        </w:rPr>
      </w:pPr>
    </w:p>
    <w:p w14:paraId="30E9FDB2" w14:textId="77777777" w:rsidR="00FB52C2" w:rsidRPr="00F5458C" w:rsidRDefault="00FB52C2" w:rsidP="00F5458C">
      <w:pPr>
        <w:tabs>
          <w:tab w:val="left" w:pos="6663"/>
        </w:tabs>
        <w:rPr>
          <w:sz w:val="28"/>
          <w:szCs w:val="28"/>
        </w:rPr>
      </w:pPr>
    </w:p>
    <w:p w14:paraId="1BB65821" w14:textId="77777777" w:rsidR="00FB52C2" w:rsidRPr="00F5458C" w:rsidRDefault="00FB52C2" w:rsidP="00F5458C">
      <w:pPr>
        <w:tabs>
          <w:tab w:val="left" w:pos="6663"/>
        </w:tabs>
        <w:rPr>
          <w:sz w:val="28"/>
          <w:szCs w:val="28"/>
        </w:rPr>
      </w:pPr>
    </w:p>
    <w:p w14:paraId="3D5FA1E3" w14:textId="0E4A2525" w:rsidR="00FB52C2" w:rsidRPr="00B42413" w:rsidRDefault="00FB52C2" w:rsidP="00F5458C">
      <w:pPr>
        <w:tabs>
          <w:tab w:val="left" w:pos="6663"/>
        </w:tabs>
        <w:rPr>
          <w:sz w:val="28"/>
          <w:szCs w:val="28"/>
        </w:rPr>
      </w:pPr>
      <w:r w:rsidRPr="00B42413">
        <w:rPr>
          <w:sz w:val="28"/>
          <w:szCs w:val="28"/>
        </w:rPr>
        <w:t xml:space="preserve">2013.gada </w:t>
      </w:r>
      <w:r w:rsidR="00A00804">
        <w:rPr>
          <w:sz w:val="28"/>
          <w:szCs w:val="28"/>
        </w:rPr>
        <w:t>15.oktobrī</w:t>
      </w:r>
      <w:r w:rsidRPr="00B42413">
        <w:rPr>
          <w:sz w:val="28"/>
          <w:szCs w:val="28"/>
        </w:rPr>
        <w:t xml:space="preserve"> </w:t>
      </w:r>
      <w:r w:rsidRPr="00B42413">
        <w:rPr>
          <w:sz w:val="28"/>
          <w:szCs w:val="28"/>
        </w:rPr>
        <w:tab/>
        <w:t>Noteikumi Nr.</w:t>
      </w:r>
      <w:r w:rsidR="00A00804">
        <w:rPr>
          <w:sz w:val="28"/>
          <w:szCs w:val="28"/>
        </w:rPr>
        <w:t xml:space="preserve"> 1099</w:t>
      </w:r>
    </w:p>
    <w:p w14:paraId="18D24846" w14:textId="00F44170" w:rsidR="00FB52C2" w:rsidRPr="00F5458C" w:rsidRDefault="00FB52C2" w:rsidP="00F5458C">
      <w:pPr>
        <w:tabs>
          <w:tab w:val="left" w:pos="6663"/>
        </w:tabs>
      </w:pPr>
      <w:r w:rsidRPr="00F5458C">
        <w:rPr>
          <w:sz w:val="28"/>
          <w:szCs w:val="28"/>
        </w:rPr>
        <w:t>Rīgā</w:t>
      </w:r>
      <w:r w:rsidRPr="00F5458C">
        <w:rPr>
          <w:sz w:val="28"/>
          <w:szCs w:val="28"/>
        </w:rPr>
        <w:tab/>
        <w:t xml:space="preserve">(prot. Nr. </w:t>
      </w:r>
      <w:r w:rsidR="00A00804">
        <w:rPr>
          <w:sz w:val="28"/>
          <w:szCs w:val="28"/>
        </w:rPr>
        <w:t>54 1</w:t>
      </w:r>
      <w:bookmarkStart w:id="0" w:name="_GoBack"/>
      <w:bookmarkEnd w:id="0"/>
      <w:r w:rsidRPr="00F5458C">
        <w:rPr>
          <w:sz w:val="28"/>
          <w:szCs w:val="28"/>
        </w:rPr>
        <w:t>.§)</w:t>
      </w:r>
    </w:p>
    <w:p w14:paraId="4841D47D" w14:textId="01DF3662" w:rsidR="007C7C9C" w:rsidRPr="00481909" w:rsidRDefault="007C7C9C" w:rsidP="002A7BD9">
      <w:pPr>
        <w:jc w:val="center"/>
        <w:rPr>
          <w:sz w:val="28"/>
          <w:szCs w:val="28"/>
          <w:lang w:eastAsia="en-US"/>
        </w:rPr>
      </w:pPr>
    </w:p>
    <w:p w14:paraId="4841D47F" w14:textId="5F7AB035" w:rsidR="002A7BD9" w:rsidRPr="004220BB" w:rsidRDefault="007C7C9C" w:rsidP="002A7BD9">
      <w:pPr>
        <w:jc w:val="center"/>
        <w:rPr>
          <w:b/>
          <w:sz w:val="28"/>
          <w:szCs w:val="28"/>
          <w:lang w:eastAsia="en-US"/>
        </w:rPr>
      </w:pPr>
      <w:r>
        <w:rPr>
          <w:b/>
          <w:sz w:val="28"/>
          <w:szCs w:val="28"/>
          <w:lang w:eastAsia="en-US"/>
        </w:rPr>
        <w:t>Grozījumi</w:t>
      </w:r>
      <w:r w:rsidR="00DE5369" w:rsidRPr="004220BB">
        <w:rPr>
          <w:b/>
          <w:sz w:val="28"/>
          <w:szCs w:val="28"/>
          <w:lang w:eastAsia="en-US"/>
        </w:rPr>
        <w:t xml:space="preserve"> Ministru kabineta </w:t>
      </w:r>
      <w:r w:rsidR="00D5659F">
        <w:rPr>
          <w:b/>
          <w:sz w:val="28"/>
          <w:szCs w:val="28"/>
          <w:lang w:eastAsia="en-US"/>
        </w:rPr>
        <w:t>199</w:t>
      </w:r>
      <w:r w:rsidR="003A58BB">
        <w:rPr>
          <w:b/>
          <w:sz w:val="28"/>
          <w:szCs w:val="28"/>
          <w:lang w:eastAsia="en-US"/>
        </w:rPr>
        <w:t>5</w:t>
      </w:r>
      <w:r w:rsidR="002A7BD9" w:rsidRPr="004220BB">
        <w:rPr>
          <w:b/>
          <w:sz w:val="28"/>
          <w:szCs w:val="28"/>
          <w:lang w:eastAsia="en-US"/>
        </w:rPr>
        <w:t xml:space="preserve">.gada </w:t>
      </w:r>
      <w:r w:rsidR="003A58BB">
        <w:rPr>
          <w:b/>
          <w:sz w:val="28"/>
          <w:szCs w:val="28"/>
          <w:lang w:eastAsia="en-US"/>
        </w:rPr>
        <w:t>11.jūlija</w:t>
      </w:r>
      <w:r w:rsidR="002A7BD9" w:rsidRPr="004220BB">
        <w:rPr>
          <w:b/>
          <w:sz w:val="28"/>
          <w:szCs w:val="28"/>
          <w:lang w:eastAsia="en-US"/>
        </w:rPr>
        <w:t xml:space="preserve"> noteikumos Nr.</w:t>
      </w:r>
      <w:r w:rsidR="003A58BB">
        <w:rPr>
          <w:b/>
          <w:sz w:val="28"/>
          <w:szCs w:val="28"/>
          <w:lang w:eastAsia="en-US"/>
        </w:rPr>
        <w:t>197</w:t>
      </w:r>
      <w:r w:rsidR="002A7BD9" w:rsidRPr="004220BB">
        <w:rPr>
          <w:b/>
          <w:sz w:val="28"/>
          <w:szCs w:val="28"/>
          <w:lang w:eastAsia="en-US"/>
        </w:rPr>
        <w:t xml:space="preserve"> </w:t>
      </w:r>
      <w:r w:rsidR="00FB52C2">
        <w:rPr>
          <w:b/>
          <w:sz w:val="28"/>
          <w:szCs w:val="28"/>
          <w:lang w:eastAsia="en-US"/>
        </w:rPr>
        <w:t>"</w:t>
      </w:r>
      <w:r w:rsidR="003A58BB" w:rsidRPr="003A58BB">
        <w:rPr>
          <w:b/>
          <w:sz w:val="28"/>
          <w:szCs w:val="28"/>
          <w:lang w:eastAsia="en-US"/>
        </w:rPr>
        <w:t>Noteikumi par bijušo īpašnieku mantas kompensācijas vērtības noteikšanu un tās salīdzināšanu ar privatizējamo objektu (mantas) pašreizējo vērtību</w:t>
      </w:r>
      <w:r w:rsidR="00FB52C2">
        <w:rPr>
          <w:b/>
          <w:sz w:val="28"/>
          <w:szCs w:val="28"/>
          <w:lang w:eastAsia="en-US"/>
        </w:rPr>
        <w:t>"</w:t>
      </w:r>
    </w:p>
    <w:p w14:paraId="4841D481" w14:textId="77777777" w:rsidR="003D641C" w:rsidRPr="00B533BE" w:rsidRDefault="003D641C" w:rsidP="003D641C">
      <w:pPr>
        <w:rPr>
          <w:sz w:val="28"/>
          <w:szCs w:val="28"/>
          <w:lang w:eastAsia="en-US"/>
        </w:rPr>
      </w:pPr>
    </w:p>
    <w:p w14:paraId="56131868" w14:textId="77777777" w:rsidR="00481909" w:rsidRDefault="000C76BB" w:rsidP="000C76BB">
      <w:pPr>
        <w:ind w:firstLine="720"/>
        <w:contextualSpacing/>
        <w:jc w:val="right"/>
        <w:rPr>
          <w:sz w:val="28"/>
          <w:szCs w:val="28"/>
          <w:lang w:eastAsia="en-US"/>
        </w:rPr>
      </w:pPr>
      <w:r w:rsidRPr="000C76BB">
        <w:rPr>
          <w:sz w:val="28"/>
          <w:szCs w:val="28"/>
          <w:lang w:eastAsia="en-US"/>
        </w:rPr>
        <w:t xml:space="preserve">Izdoti saskaņā ar likuma </w:t>
      </w:r>
    </w:p>
    <w:p w14:paraId="4841D482" w14:textId="103419F1" w:rsidR="000C76BB" w:rsidRPr="000C76BB" w:rsidRDefault="00481909" w:rsidP="000C76BB">
      <w:pPr>
        <w:ind w:firstLine="720"/>
        <w:contextualSpacing/>
        <w:jc w:val="right"/>
        <w:rPr>
          <w:sz w:val="28"/>
          <w:szCs w:val="28"/>
          <w:lang w:eastAsia="en-US"/>
        </w:rPr>
      </w:pPr>
      <w:r>
        <w:rPr>
          <w:sz w:val="28"/>
          <w:szCs w:val="28"/>
          <w:lang w:eastAsia="en-US"/>
        </w:rPr>
        <w:t>"</w:t>
      </w:r>
      <w:r w:rsidR="000C76BB" w:rsidRPr="000C76BB">
        <w:rPr>
          <w:sz w:val="28"/>
          <w:szCs w:val="28"/>
          <w:lang w:eastAsia="en-US"/>
        </w:rPr>
        <w:t>Par privatizācijas sertifikātiem</w:t>
      </w:r>
      <w:r w:rsidR="00FB52C2">
        <w:rPr>
          <w:sz w:val="28"/>
          <w:szCs w:val="28"/>
          <w:lang w:eastAsia="en-US"/>
        </w:rPr>
        <w:t>"</w:t>
      </w:r>
    </w:p>
    <w:p w14:paraId="4841D483" w14:textId="6C85A57B" w:rsidR="00B533BE" w:rsidRDefault="00481909" w:rsidP="000C76BB">
      <w:pPr>
        <w:ind w:firstLine="720"/>
        <w:contextualSpacing/>
        <w:jc w:val="right"/>
        <w:rPr>
          <w:sz w:val="28"/>
          <w:szCs w:val="28"/>
          <w:lang w:eastAsia="en-US"/>
        </w:rPr>
      </w:pPr>
      <w:r>
        <w:rPr>
          <w:sz w:val="28"/>
          <w:szCs w:val="28"/>
          <w:lang w:eastAsia="en-US"/>
        </w:rPr>
        <w:t>p</w:t>
      </w:r>
      <w:r w:rsidR="000C76BB" w:rsidRPr="000C76BB">
        <w:rPr>
          <w:sz w:val="28"/>
          <w:szCs w:val="28"/>
          <w:lang w:eastAsia="en-US"/>
        </w:rPr>
        <w:t>ārejas noteikumu 4.punktu</w:t>
      </w:r>
    </w:p>
    <w:p w14:paraId="4841D484" w14:textId="77777777" w:rsidR="00F017C6" w:rsidRDefault="00F017C6" w:rsidP="000C76BB">
      <w:pPr>
        <w:ind w:firstLine="720"/>
        <w:contextualSpacing/>
        <w:jc w:val="right"/>
        <w:rPr>
          <w:sz w:val="28"/>
          <w:szCs w:val="28"/>
          <w:lang w:eastAsia="en-US"/>
        </w:rPr>
      </w:pPr>
    </w:p>
    <w:p w14:paraId="4841D485" w14:textId="51805978" w:rsidR="007C7C9C" w:rsidRPr="007C7C9C" w:rsidRDefault="00FB52C2" w:rsidP="00FB52C2">
      <w:pPr>
        <w:tabs>
          <w:tab w:val="left" w:pos="284"/>
        </w:tabs>
        <w:ind w:firstLine="709"/>
        <w:contextualSpacing/>
        <w:jc w:val="both"/>
        <w:rPr>
          <w:sz w:val="28"/>
          <w:szCs w:val="28"/>
          <w:lang w:eastAsia="en-US"/>
        </w:rPr>
      </w:pPr>
      <w:r>
        <w:rPr>
          <w:sz w:val="28"/>
          <w:szCs w:val="28"/>
        </w:rPr>
        <w:t>1. </w:t>
      </w:r>
      <w:r w:rsidR="007C7C9C" w:rsidRPr="007C7C9C">
        <w:rPr>
          <w:sz w:val="28"/>
          <w:szCs w:val="28"/>
        </w:rPr>
        <w:t>I</w:t>
      </w:r>
      <w:r w:rsidR="007C7C9C">
        <w:rPr>
          <w:sz w:val="28"/>
          <w:szCs w:val="28"/>
          <w:lang w:eastAsia="en-US"/>
        </w:rPr>
        <w:t xml:space="preserve">zdarīt Ministru kabineta </w:t>
      </w:r>
      <w:r w:rsidR="007C7C9C" w:rsidRPr="00D5659F">
        <w:rPr>
          <w:sz w:val="28"/>
          <w:szCs w:val="28"/>
          <w:lang w:eastAsia="en-US"/>
        </w:rPr>
        <w:t>199</w:t>
      </w:r>
      <w:r w:rsidR="007C7C9C">
        <w:rPr>
          <w:sz w:val="28"/>
          <w:szCs w:val="28"/>
          <w:lang w:eastAsia="en-US"/>
        </w:rPr>
        <w:t>5</w:t>
      </w:r>
      <w:r w:rsidR="007C7C9C" w:rsidRPr="00D5659F">
        <w:rPr>
          <w:sz w:val="28"/>
          <w:szCs w:val="28"/>
          <w:lang w:eastAsia="en-US"/>
        </w:rPr>
        <w:t xml:space="preserve">.gada </w:t>
      </w:r>
      <w:r w:rsidR="007C7C9C">
        <w:rPr>
          <w:sz w:val="28"/>
          <w:szCs w:val="28"/>
          <w:lang w:eastAsia="en-US"/>
        </w:rPr>
        <w:t>11.jūlija noteikumos Nr.197</w:t>
      </w:r>
      <w:r w:rsidR="007C7C9C" w:rsidRPr="00D5659F">
        <w:rPr>
          <w:sz w:val="28"/>
          <w:szCs w:val="28"/>
          <w:lang w:eastAsia="en-US"/>
        </w:rPr>
        <w:t xml:space="preserve"> </w:t>
      </w:r>
      <w:r>
        <w:rPr>
          <w:sz w:val="28"/>
          <w:szCs w:val="28"/>
          <w:lang w:eastAsia="en-US"/>
        </w:rPr>
        <w:t>"</w:t>
      </w:r>
      <w:r w:rsidR="007C7C9C" w:rsidRPr="000C76BB">
        <w:rPr>
          <w:sz w:val="28"/>
          <w:szCs w:val="28"/>
          <w:lang w:eastAsia="en-US"/>
        </w:rPr>
        <w:t>Noteikumi par bijušo īpašnieku mantas kompensācijas vērtības noteikšanu un tās salīdzināšanu ar privatizējamo objektu (mantas) pašreizējo vērtību</w:t>
      </w:r>
      <w:r>
        <w:rPr>
          <w:sz w:val="28"/>
          <w:szCs w:val="28"/>
          <w:lang w:eastAsia="en-US"/>
        </w:rPr>
        <w:t>"</w:t>
      </w:r>
      <w:r w:rsidR="007C7C9C" w:rsidRPr="00D5659F">
        <w:rPr>
          <w:sz w:val="28"/>
          <w:szCs w:val="28"/>
          <w:lang w:eastAsia="en-US"/>
        </w:rPr>
        <w:t xml:space="preserve"> (Latvijas Vēstnesis, 199</w:t>
      </w:r>
      <w:r w:rsidR="007C7C9C">
        <w:rPr>
          <w:sz w:val="28"/>
          <w:szCs w:val="28"/>
          <w:lang w:eastAsia="en-US"/>
        </w:rPr>
        <w:t>5</w:t>
      </w:r>
      <w:r w:rsidR="007C7C9C" w:rsidRPr="00D5659F">
        <w:rPr>
          <w:sz w:val="28"/>
          <w:szCs w:val="28"/>
          <w:lang w:eastAsia="en-US"/>
        </w:rPr>
        <w:t xml:space="preserve">, </w:t>
      </w:r>
      <w:r w:rsidR="007C7C9C">
        <w:rPr>
          <w:sz w:val="28"/>
          <w:szCs w:val="28"/>
          <w:lang w:eastAsia="en-US"/>
        </w:rPr>
        <w:t>106.nr.) šādus grozījumus:</w:t>
      </w:r>
    </w:p>
    <w:p w14:paraId="4841D486" w14:textId="33D6C640" w:rsidR="007C7C9C" w:rsidRPr="007C7C9C" w:rsidRDefault="00FB52C2" w:rsidP="00FB52C2">
      <w:pPr>
        <w:ind w:firstLine="709"/>
        <w:jc w:val="both"/>
        <w:rPr>
          <w:sz w:val="28"/>
          <w:szCs w:val="28"/>
        </w:rPr>
      </w:pPr>
      <w:r>
        <w:rPr>
          <w:color w:val="000000"/>
          <w:sz w:val="28"/>
          <w:szCs w:val="28"/>
        </w:rPr>
        <w:t>1.1. </w:t>
      </w:r>
      <w:r w:rsidR="007C7C9C">
        <w:rPr>
          <w:color w:val="000000"/>
          <w:sz w:val="28"/>
          <w:szCs w:val="28"/>
        </w:rPr>
        <w:t>a</w:t>
      </w:r>
      <w:r w:rsidR="007C7C9C" w:rsidRPr="007C7C9C">
        <w:rPr>
          <w:color w:val="000000"/>
          <w:sz w:val="28"/>
          <w:szCs w:val="28"/>
        </w:rPr>
        <w:t xml:space="preserve">izstāt </w:t>
      </w:r>
      <w:r w:rsidR="003D641C">
        <w:rPr>
          <w:color w:val="000000"/>
          <w:sz w:val="28"/>
          <w:szCs w:val="28"/>
        </w:rPr>
        <w:t xml:space="preserve">3.3.apakšpunktā vārdus </w:t>
      </w:r>
      <w:r>
        <w:rPr>
          <w:color w:val="000000"/>
          <w:sz w:val="28"/>
          <w:szCs w:val="28"/>
        </w:rPr>
        <w:t>"</w:t>
      </w:r>
      <w:r w:rsidR="007C7C9C" w:rsidRPr="007C7C9C">
        <w:rPr>
          <w:color w:val="000000"/>
          <w:sz w:val="28"/>
          <w:szCs w:val="28"/>
        </w:rPr>
        <w:t>cenās (latos)</w:t>
      </w:r>
      <w:r>
        <w:rPr>
          <w:color w:val="000000"/>
          <w:sz w:val="28"/>
          <w:szCs w:val="28"/>
        </w:rPr>
        <w:t>"</w:t>
      </w:r>
      <w:r w:rsidR="007C7C9C" w:rsidRPr="007C7C9C">
        <w:rPr>
          <w:color w:val="000000"/>
          <w:sz w:val="28"/>
          <w:szCs w:val="28"/>
        </w:rPr>
        <w:t xml:space="preserve"> ar vārdiem </w:t>
      </w:r>
      <w:r>
        <w:rPr>
          <w:color w:val="000000"/>
          <w:sz w:val="28"/>
          <w:szCs w:val="28"/>
        </w:rPr>
        <w:t>"</w:t>
      </w:r>
      <w:r w:rsidR="007C7C9C" w:rsidRPr="007C7C9C">
        <w:rPr>
          <w:color w:val="000000"/>
          <w:sz w:val="28"/>
          <w:szCs w:val="28"/>
        </w:rPr>
        <w:t xml:space="preserve">cenās </w:t>
      </w:r>
      <w:r w:rsidR="001B7C78">
        <w:rPr>
          <w:color w:val="000000"/>
          <w:sz w:val="28"/>
          <w:szCs w:val="28"/>
        </w:rPr>
        <w:t>(</w:t>
      </w:r>
      <w:proofErr w:type="spellStart"/>
      <w:r w:rsidR="007C7C9C" w:rsidRPr="009108CD">
        <w:rPr>
          <w:i/>
          <w:color w:val="000000"/>
          <w:sz w:val="28"/>
          <w:szCs w:val="28"/>
        </w:rPr>
        <w:t>euro</w:t>
      </w:r>
      <w:proofErr w:type="spellEnd"/>
      <w:r w:rsidR="001B7C78">
        <w:rPr>
          <w:i/>
          <w:color w:val="000000"/>
          <w:sz w:val="28"/>
          <w:szCs w:val="28"/>
        </w:rPr>
        <w:t>)</w:t>
      </w:r>
      <w:r>
        <w:rPr>
          <w:color w:val="000000"/>
          <w:sz w:val="28"/>
          <w:szCs w:val="28"/>
        </w:rPr>
        <w:t>"</w:t>
      </w:r>
      <w:r w:rsidR="007C7C9C" w:rsidRPr="007C7C9C">
        <w:rPr>
          <w:color w:val="000000"/>
          <w:sz w:val="28"/>
          <w:szCs w:val="28"/>
        </w:rPr>
        <w:t>;</w:t>
      </w:r>
    </w:p>
    <w:p w14:paraId="4841D487" w14:textId="08C86835" w:rsidR="008C41D8" w:rsidRDefault="00FB52C2" w:rsidP="00FB52C2">
      <w:pPr>
        <w:ind w:firstLine="709"/>
        <w:jc w:val="both"/>
        <w:rPr>
          <w:sz w:val="28"/>
          <w:szCs w:val="28"/>
        </w:rPr>
      </w:pPr>
      <w:r>
        <w:rPr>
          <w:sz w:val="28"/>
          <w:szCs w:val="28"/>
        </w:rPr>
        <w:t>1.2. </w:t>
      </w:r>
      <w:r w:rsidR="0045254C">
        <w:rPr>
          <w:sz w:val="28"/>
          <w:szCs w:val="28"/>
        </w:rPr>
        <w:t>izteikt 7.punktu šādā redakcijā:</w:t>
      </w:r>
    </w:p>
    <w:p w14:paraId="37F9CE07" w14:textId="6BA3E263" w:rsidR="00CA5D60" w:rsidRDefault="00CA5D60" w:rsidP="00FB52C2">
      <w:pPr>
        <w:pStyle w:val="tv213"/>
        <w:spacing w:before="0" w:beforeAutospacing="0" w:after="0" w:afterAutospacing="0"/>
        <w:ind w:firstLine="709"/>
        <w:jc w:val="both"/>
        <w:rPr>
          <w:sz w:val="28"/>
          <w:szCs w:val="28"/>
        </w:rPr>
      </w:pPr>
    </w:p>
    <w:p w14:paraId="1A42328F" w14:textId="28CA1567" w:rsidR="00CA5D60" w:rsidRPr="00CA5D60" w:rsidRDefault="00FB52C2" w:rsidP="00FB52C2">
      <w:pPr>
        <w:ind w:firstLine="709"/>
        <w:rPr>
          <w:sz w:val="28"/>
          <w:szCs w:val="24"/>
        </w:rPr>
      </w:pPr>
      <w:bookmarkStart w:id="1" w:name="IntPNpunkt7."/>
      <w:r>
        <w:rPr>
          <w:sz w:val="28"/>
          <w:szCs w:val="24"/>
        </w:rPr>
        <w:t>"</w:t>
      </w:r>
      <w:r w:rsidR="00CA5D60" w:rsidRPr="00CA5D60">
        <w:rPr>
          <w:sz w:val="28"/>
          <w:szCs w:val="24"/>
        </w:rPr>
        <w:t>7. Kompensācijas vērtību pašreizējās cenās pārrēķina šādi:</w:t>
      </w:r>
    </w:p>
    <w:bookmarkEnd w:id="1"/>
    <w:p w14:paraId="4841D488" w14:textId="48D66D22" w:rsidR="0045254C" w:rsidRDefault="0045254C" w:rsidP="00FB52C2">
      <w:pPr>
        <w:pStyle w:val="tv213"/>
        <w:spacing w:before="0" w:beforeAutospacing="0" w:after="0" w:afterAutospacing="0"/>
        <w:ind w:firstLine="709"/>
        <w:jc w:val="both"/>
        <w:rPr>
          <w:sz w:val="28"/>
          <w:szCs w:val="28"/>
        </w:rPr>
      </w:pPr>
      <w:r w:rsidRPr="0045254C">
        <w:rPr>
          <w:sz w:val="28"/>
          <w:szCs w:val="28"/>
        </w:rPr>
        <w:t>7.1.</w:t>
      </w:r>
      <w:r w:rsidR="00481909">
        <w:rPr>
          <w:sz w:val="28"/>
          <w:szCs w:val="28"/>
        </w:rPr>
        <w:t> </w:t>
      </w:r>
      <w:r w:rsidRPr="0045254C">
        <w:rPr>
          <w:sz w:val="28"/>
          <w:szCs w:val="28"/>
        </w:rPr>
        <w:t>ja objekta sākotnējā vērtība noteikta pirmskara latos vai rubļos pēc stāvokļa laikposmā līdz 1941.gadam (ieskaitot), kompensācijas vērtīb</w:t>
      </w:r>
      <w:r w:rsidR="00341EEC">
        <w:rPr>
          <w:sz w:val="28"/>
          <w:szCs w:val="28"/>
        </w:rPr>
        <w:t>u</w:t>
      </w:r>
      <w:r w:rsidRPr="0045254C">
        <w:rPr>
          <w:sz w:val="28"/>
          <w:szCs w:val="28"/>
        </w:rPr>
        <w:t xml:space="preserve"> pārrēķina</w:t>
      </w:r>
      <w:r w:rsidR="00341EEC">
        <w:rPr>
          <w:sz w:val="28"/>
          <w:szCs w:val="28"/>
        </w:rPr>
        <w:t>,</w:t>
      </w:r>
      <w:r w:rsidRPr="0045254C">
        <w:rPr>
          <w:sz w:val="28"/>
          <w:szCs w:val="28"/>
        </w:rPr>
        <w:t xml:space="preserve"> izmantoj</w:t>
      </w:r>
      <w:r w:rsidR="00341EEC">
        <w:rPr>
          <w:sz w:val="28"/>
          <w:szCs w:val="28"/>
        </w:rPr>
        <w:t>ot</w:t>
      </w:r>
      <w:r w:rsidRPr="0045254C">
        <w:rPr>
          <w:sz w:val="28"/>
          <w:szCs w:val="28"/>
        </w:rPr>
        <w:t xml:space="preserve"> šād</w:t>
      </w:r>
      <w:r w:rsidR="00341EEC">
        <w:rPr>
          <w:sz w:val="28"/>
          <w:szCs w:val="28"/>
        </w:rPr>
        <w:t>u</w:t>
      </w:r>
      <w:r w:rsidRPr="0045254C">
        <w:rPr>
          <w:sz w:val="28"/>
          <w:szCs w:val="28"/>
        </w:rPr>
        <w:t xml:space="preserve"> formul</w:t>
      </w:r>
      <w:r w:rsidR="00341EEC">
        <w:rPr>
          <w:sz w:val="28"/>
          <w:szCs w:val="28"/>
        </w:rPr>
        <w:t>u</w:t>
      </w:r>
      <w:r w:rsidRPr="0045254C">
        <w:rPr>
          <w:sz w:val="28"/>
          <w:szCs w:val="28"/>
        </w:rPr>
        <w:t>:</w:t>
      </w:r>
    </w:p>
    <w:p w14:paraId="652582DF" w14:textId="77777777" w:rsidR="00341EEC" w:rsidRPr="0045254C" w:rsidRDefault="00341EEC" w:rsidP="00FB52C2">
      <w:pPr>
        <w:pStyle w:val="tv213"/>
        <w:spacing w:before="0" w:beforeAutospacing="0" w:after="0" w:afterAutospacing="0"/>
        <w:ind w:firstLine="709"/>
        <w:jc w:val="both"/>
        <w:rPr>
          <w:sz w:val="28"/>
          <w:szCs w:val="28"/>
        </w:rPr>
      </w:pPr>
    </w:p>
    <w:tbl>
      <w:tblPr>
        <w:tblW w:w="1946" w:type="pct"/>
        <w:tblInd w:w="1858" w:type="dxa"/>
        <w:tblBorders>
          <w:top w:val="outset" w:sz="2" w:space="0" w:color="000000"/>
          <w:left w:val="outset" w:sz="2" w:space="0" w:color="000000"/>
          <w:bottom w:val="outset" w:sz="2" w:space="0" w:color="000000"/>
          <w:right w:val="outset"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76"/>
        <w:gridCol w:w="283"/>
        <w:gridCol w:w="993"/>
        <w:gridCol w:w="138"/>
        <w:gridCol w:w="714"/>
        <w:gridCol w:w="138"/>
      </w:tblGrid>
      <w:tr w:rsidR="0045254C" w:rsidRPr="0045254C" w14:paraId="4841D48C" w14:textId="77777777" w:rsidTr="00341EEC">
        <w:trPr>
          <w:gridAfter w:val="1"/>
          <w:wAfter w:w="138" w:type="dxa"/>
        </w:trPr>
        <w:tc>
          <w:tcPr>
            <w:tcW w:w="1276" w:type="dxa"/>
            <w:vMerge w:val="restart"/>
            <w:tcBorders>
              <w:top w:val="nil"/>
              <w:left w:val="nil"/>
              <w:bottom w:val="nil"/>
              <w:right w:val="nil"/>
            </w:tcBorders>
            <w:vAlign w:val="center"/>
            <w:hideMark/>
          </w:tcPr>
          <w:p w14:paraId="4841D489" w14:textId="77777777" w:rsidR="0045254C" w:rsidRPr="0045254C" w:rsidRDefault="0045254C" w:rsidP="00341EEC">
            <w:pPr>
              <w:ind w:right="-157"/>
              <w:jc w:val="center"/>
              <w:rPr>
                <w:sz w:val="28"/>
                <w:szCs w:val="28"/>
              </w:rPr>
            </w:pPr>
            <w:r w:rsidRPr="0045254C">
              <w:rPr>
                <w:sz w:val="28"/>
                <w:szCs w:val="28"/>
              </w:rPr>
              <w:t>V</w:t>
            </w:r>
            <w:r w:rsidRPr="0045254C">
              <w:rPr>
                <w:sz w:val="28"/>
                <w:szCs w:val="28"/>
                <w:vertAlign w:val="superscript"/>
              </w:rPr>
              <w:t>1</w:t>
            </w:r>
            <w:r w:rsidRPr="0045254C">
              <w:rPr>
                <w:sz w:val="28"/>
                <w:szCs w:val="28"/>
              </w:rPr>
              <w:t xml:space="preserve"> = V</w:t>
            </w:r>
            <w:r w:rsidRPr="0045254C">
              <w:rPr>
                <w:sz w:val="28"/>
                <w:szCs w:val="28"/>
                <w:vertAlign w:val="superscript"/>
              </w:rPr>
              <w:t>2</w:t>
            </w:r>
          </w:p>
        </w:tc>
        <w:tc>
          <w:tcPr>
            <w:tcW w:w="1276" w:type="dxa"/>
            <w:gridSpan w:val="2"/>
            <w:tcBorders>
              <w:top w:val="nil"/>
              <w:left w:val="nil"/>
              <w:bottom w:val="single" w:sz="4" w:space="0" w:color="auto"/>
              <w:right w:val="nil"/>
            </w:tcBorders>
            <w:vAlign w:val="center"/>
            <w:hideMark/>
          </w:tcPr>
          <w:p w14:paraId="4841D48A" w14:textId="77777777" w:rsidR="0045254C" w:rsidRPr="0045254C" w:rsidRDefault="0045254C" w:rsidP="00341EEC">
            <w:pPr>
              <w:ind w:right="-157"/>
              <w:jc w:val="center"/>
              <w:rPr>
                <w:sz w:val="28"/>
                <w:szCs w:val="28"/>
              </w:rPr>
            </w:pPr>
            <w:r w:rsidRPr="0045254C">
              <w:rPr>
                <w:sz w:val="28"/>
                <w:szCs w:val="28"/>
              </w:rPr>
              <w:t xml:space="preserve">K x </w:t>
            </w:r>
            <w:proofErr w:type="spellStart"/>
            <w:r w:rsidRPr="0045254C">
              <w:rPr>
                <w:sz w:val="28"/>
                <w:szCs w:val="28"/>
              </w:rPr>
              <w:t>Cz</w:t>
            </w:r>
            <w:proofErr w:type="spellEnd"/>
          </w:p>
        </w:tc>
        <w:tc>
          <w:tcPr>
            <w:tcW w:w="852" w:type="dxa"/>
            <w:gridSpan w:val="2"/>
            <w:vMerge w:val="restart"/>
            <w:tcBorders>
              <w:top w:val="nil"/>
              <w:left w:val="nil"/>
              <w:bottom w:val="nil"/>
              <w:right w:val="nil"/>
            </w:tcBorders>
            <w:vAlign w:val="center"/>
            <w:hideMark/>
          </w:tcPr>
          <w:p w14:paraId="4841D48B" w14:textId="77777777" w:rsidR="0045254C" w:rsidRPr="0045254C" w:rsidRDefault="0045254C" w:rsidP="00341EEC">
            <w:pPr>
              <w:ind w:left="-441" w:right="-157"/>
              <w:jc w:val="center"/>
              <w:rPr>
                <w:sz w:val="28"/>
                <w:szCs w:val="28"/>
              </w:rPr>
            </w:pPr>
            <w:r w:rsidRPr="0045254C">
              <w:rPr>
                <w:sz w:val="28"/>
                <w:szCs w:val="28"/>
              </w:rPr>
              <w:t>, kur</w:t>
            </w:r>
          </w:p>
        </w:tc>
      </w:tr>
      <w:tr w:rsidR="0045254C" w:rsidRPr="0045254C" w14:paraId="4841D490" w14:textId="77777777" w:rsidTr="00341EEC">
        <w:trPr>
          <w:gridAfter w:val="1"/>
          <w:wAfter w:w="138" w:type="dxa"/>
        </w:trPr>
        <w:tc>
          <w:tcPr>
            <w:tcW w:w="1276" w:type="dxa"/>
            <w:vMerge/>
            <w:tcBorders>
              <w:top w:val="nil"/>
              <w:left w:val="nil"/>
              <w:bottom w:val="nil"/>
              <w:right w:val="nil"/>
            </w:tcBorders>
            <w:vAlign w:val="center"/>
            <w:hideMark/>
          </w:tcPr>
          <w:p w14:paraId="4841D48D" w14:textId="77777777" w:rsidR="0045254C" w:rsidRPr="0045254C" w:rsidRDefault="0045254C" w:rsidP="00341EEC">
            <w:pPr>
              <w:ind w:right="-157"/>
              <w:rPr>
                <w:sz w:val="28"/>
                <w:szCs w:val="28"/>
              </w:rPr>
            </w:pPr>
          </w:p>
        </w:tc>
        <w:tc>
          <w:tcPr>
            <w:tcW w:w="1276" w:type="dxa"/>
            <w:gridSpan w:val="2"/>
            <w:tcBorders>
              <w:top w:val="single" w:sz="4" w:space="0" w:color="auto"/>
              <w:left w:val="nil"/>
              <w:bottom w:val="nil"/>
              <w:right w:val="nil"/>
            </w:tcBorders>
            <w:vAlign w:val="center"/>
            <w:hideMark/>
          </w:tcPr>
          <w:p w14:paraId="4841D48E" w14:textId="77777777" w:rsidR="0045254C" w:rsidRPr="0045254C" w:rsidRDefault="0045254C" w:rsidP="00341EEC">
            <w:pPr>
              <w:ind w:right="-157"/>
              <w:jc w:val="center"/>
              <w:rPr>
                <w:sz w:val="28"/>
                <w:szCs w:val="28"/>
              </w:rPr>
            </w:pPr>
            <w:r w:rsidRPr="0045254C">
              <w:rPr>
                <w:sz w:val="28"/>
                <w:szCs w:val="28"/>
              </w:rPr>
              <w:t>K</w:t>
            </w:r>
            <w:r w:rsidRPr="0045254C">
              <w:rPr>
                <w:sz w:val="28"/>
                <w:szCs w:val="28"/>
                <w:vertAlign w:val="superscript"/>
              </w:rPr>
              <w:t>1</w:t>
            </w:r>
            <w:r w:rsidRPr="0045254C">
              <w:rPr>
                <w:sz w:val="28"/>
                <w:szCs w:val="28"/>
              </w:rPr>
              <w:t xml:space="preserve"> x K</w:t>
            </w:r>
            <w:r w:rsidRPr="0045254C">
              <w:rPr>
                <w:sz w:val="28"/>
                <w:szCs w:val="28"/>
                <w:vertAlign w:val="superscript"/>
              </w:rPr>
              <w:t>2</w:t>
            </w:r>
          </w:p>
        </w:tc>
        <w:tc>
          <w:tcPr>
            <w:tcW w:w="852" w:type="dxa"/>
            <w:gridSpan w:val="2"/>
            <w:vMerge/>
            <w:tcBorders>
              <w:top w:val="nil"/>
              <w:left w:val="nil"/>
              <w:bottom w:val="nil"/>
              <w:right w:val="nil"/>
            </w:tcBorders>
            <w:vAlign w:val="center"/>
            <w:hideMark/>
          </w:tcPr>
          <w:p w14:paraId="4841D48F" w14:textId="77777777" w:rsidR="0045254C" w:rsidRPr="0045254C" w:rsidRDefault="0045254C" w:rsidP="00341EEC">
            <w:pPr>
              <w:ind w:right="-157"/>
              <w:rPr>
                <w:sz w:val="28"/>
                <w:szCs w:val="28"/>
              </w:rPr>
            </w:pPr>
          </w:p>
        </w:tc>
      </w:tr>
      <w:tr w:rsidR="00341EEC" w:rsidRPr="0045254C" w14:paraId="323ABBE7" w14:textId="77777777" w:rsidTr="00341EEC">
        <w:tc>
          <w:tcPr>
            <w:tcW w:w="1559" w:type="dxa"/>
            <w:gridSpan w:val="2"/>
            <w:tcBorders>
              <w:top w:val="nil"/>
              <w:left w:val="nil"/>
              <w:bottom w:val="nil"/>
              <w:right w:val="nil"/>
            </w:tcBorders>
            <w:vAlign w:val="center"/>
          </w:tcPr>
          <w:p w14:paraId="05E40690" w14:textId="77777777" w:rsidR="00341EEC" w:rsidRPr="0045254C" w:rsidRDefault="00341EEC" w:rsidP="00481909">
            <w:pPr>
              <w:rPr>
                <w:sz w:val="28"/>
                <w:szCs w:val="28"/>
              </w:rPr>
            </w:pPr>
          </w:p>
        </w:tc>
        <w:tc>
          <w:tcPr>
            <w:tcW w:w="1131" w:type="dxa"/>
            <w:gridSpan w:val="2"/>
            <w:tcBorders>
              <w:top w:val="nil"/>
              <w:left w:val="nil"/>
              <w:bottom w:val="nil"/>
              <w:right w:val="nil"/>
            </w:tcBorders>
            <w:vAlign w:val="center"/>
          </w:tcPr>
          <w:p w14:paraId="17DC7E68" w14:textId="77777777" w:rsidR="00341EEC" w:rsidRPr="0045254C" w:rsidRDefault="00341EEC" w:rsidP="00481909">
            <w:pPr>
              <w:jc w:val="center"/>
              <w:rPr>
                <w:sz w:val="28"/>
                <w:szCs w:val="28"/>
              </w:rPr>
            </w:pPr>
          </w:p>
        </w:tc>
        <w:tc>
          <w:tcPr>
            <w:tcW w:w="852" w:type="dxa"/>
            <w:gridSpan w:val="2"/>
            <w:tcBorders>
              <w:top w:val="nil"/>
              <w:left w:val="nil"/>
              <w:bottom w:val="nil"/>
              <w:right w:val="nil"/>
            </w:tcBorders>
            <w:vAlign w:val="center"/>
          </w:tcPr>
          <w:p w14:paraId="00EA2930" w14:textId="77777777" w:rsidR="00341EEC" w:rsidRPr="0045254C" w:rsidRDefault="00341EEC" w:rsidP="00481909">
            <w:pPr>
              <w:rPr>
                <w:sz w:val="28"/>
                <w:szCs w:val="28"/>
              </w:rPr>
            </w:pPr>
          </w:p>
        </w:tc>
      </w:tr>
    </w:tbl>
    <w:p w14:paraId="4841D491" w14:textId="47A4EAF2" w:rsidR="0045254C" w:rsidRPr="0045254C" w:rsidRDefault="0045254C" w:rsidP="00FB52C2">
      <w:pPr>
        <w:ind w:firstLine="709"/>
        <w:jc w:val="both"/>
        <w:rPr>
          <w:sz w:val="28"/>
          <w:szCs w:val="28"/>
        </w:rPr>
      </w:pPr>
      <w:r w:rsidRPr="0045254C">
        <w:rPr>
          <w:sz w:val="28"/>
          <w:szCs w:val="28"/>
        </w:rPr>
        <w:t>V</w:t>
      </w:r>
      <w:r w:rsidRPr="0045254C">
        <w:rPr>
          <w:sz w:val="28"/>
          <w:szCs w:val="28"/>
          <w:vertAlign w:val="superscript"/>
        </w:rPr>
        <w:t>1</w:t>
      </w:r>
      <w:r w:rsidRPr="0045254C">
        <w:rPr>
          <w:sz w:val="28"/>
          <w:szCs w:val="28"/>
        </w:rPr>
        <w:t xml:space="preserve"> </w:t>
      </w:r>
      <w:r w:rsidR="00481909">
        <w:rPr>
          <w:sz w:val="28"/>
          <w:szCs w:val="28"/>
        </w:rPr>
        <w:t>–</w:t>
      </w:r>
      <w:r w:rsidRPr="0045254C">
        <w:rPr>
          <w:sz w:val="28"/>
          <w:szCs w:val="28"/>
        </w:rPr>
        <w:t xml:space="preserve"> īpašuma kompensācijas vērtība pašreizējās cenās (</w:t>
      </w:r>
      <w:proofErr w:type="spellStart"/>
      <w:r w:rsidRPr="0045254C">
        <w:rPr>
          <w:i/>
          <w:sz w:val="28"/>
          <w:szCs w:val="28"/>
        </w:rPr>
        <w:t>euro</w:t>
      </w:r>
      <w:proofErr w:type="spellEnd"/>
      <w:r w:rsidRPr="0045254C">
        <w:rPr>
          <w:sz w:val="28"/>
          <w:szCs w:val="28"/>
        </w:rPr>
        <w:t>)</w:t>
      </w:r>
      <w:r w:rsidR="00481909">
        <w:rPr>
          <w:sz w:val="28"/>
          <w:szCs w:val="28"/>
        </w:rPr>
        <w:t>;</w:t>
      </w:r>
    </w:p>
    <w:p w14:paraId="4841D492" w14:textId="1CD624DA" w:rsidR="0045254C" w:rsidRPr="0045254C" w:rsidRDefault="0045254C" w:rsidP="00FB52C2">
      <w:pPr>
        <w:ind w:firstLine="709"/>
        <w:jc w:val="both"/>
        <w:rPr>
          <w:sz w:val="28"/>
          <w:szCs w:val="28"/>
        </w:rPr>
      </w:pPr>
      <w:r w:rsidRPr="0045254C">
        <w:rPr>
          <w:sz w:val="28"/>
          <w:szCs w:val="28"/>
        </w:rPr>
        <w:t>V</w:t>
      </w:r>
      <w:r w:rsidRPr="0045254C">
        <w:rPr>
          <w:sz w:val="28"/>
          <w:szCs w:val="28"/>
          <w:vertAlign w:val="superscript"/>
        </w:rPr>
        <w:t>2</w:t>
      </w:r>
      <w:r w:rsidRPr="0045254C">
        <w:rPr>
          <w:sz w:val="28"/>
          <w:szCs w:val="28"/>
        </w:rPr>
        <w:t xml:space="preserve"> </w:t>
      </w:r>
      <w:r w:rsidR="00481909">
        <w:rPr>
          <w:sz w:val="28"/>
          <w:szCs w:val="28"/>
        </w:rPr>
        <w:t>–</w:t>
      </w:r>
      <w:r w:rsidRPr="0045254C">
        <w:rPr>
          <w:sz w:val="28"/>
          <w:szCs w:val="28"/>
        </w:rPr>
        <w:t xml:space="preserve"> īpašuma kompensācijas vērtība (pirmskara latos vai rubļos)</w:t>
      </w:r>
      <w:r w:rsidR="00481909">
        <w:rPr>
          <w:sz w:val="28"/>
          <w:szCs w:val="28"/>
        </w:rPr>
        <w:t>;</w:t>
      </w:r>
    </w:p>
    <w:p w14:paraId="4841D493" w14:textId="70A7D14A" w:rsidR="0045254C" w:rsidRPr="0045254C" w:rsidRDefault="0045254C" w:rsidP="00FB52C2">
      <w:pPr>
        <w:ind w:firstLine="709"/>
        <w:jc w:val="both"/>
        <w:rPr>
          <w:sz w:val="28"/>
          <w:szCs w:val="28"/>
        </w:rPr>
      </w:pPr>
      <w:r w:rsidRPr="0045254C">
        <w:rPr>
          <w:sz w:val="28"/>
          <w:szCs w:val="28"/>
        </w:rPr>
        <w:t xml:space="preserve">K </w:t>
      </w:r>
      <w:r w:rsidR="00481909">
        <w:rPr>
          <w:sz w:val="28"/>
          <w:szCs w:val="28"/>
        </w:rPr>
        <w:t>–</w:t>
      </w:r>
      <w:r w:rsidRPr="0045254C">
        <w:rPr>
          <w:sz w:val="28"/>
          <w:szCs w:val="28"/>
        </w:rPr>
        <w:t xml:space="preserve"> </w:t>
      </w:r>
      <w:r w:rsidR="008862F6" w:rsidRPr="008862F6">
        <w:rPr>
          <w:sz w:val="28"/>
          <w:szCs w:val="28"/>
          <w:lang w:eastAsia="en-US"/>
        </w:rPr>
        <w:t xml:space="preserve">viena ASV dolāra vidējais kurss </w:t>
      </w:r>
      <w:proofErr w:type="spellStart"/>
      <w:r w:rsidR="008862F6" w:rsidRPr="008862F6">
        <w:rPr>
          <w:i/>
          <w:sz w:val="28"/>
          <w:szCs w:val="28"/>
          <w:lang w:eastAsia="en-US"/>
        </w:rPr>
        <w:t>euro</w:t>
      </w:r>
      <w:proofErr w:type="spellEnd"/>
      <w:r w:rsidR="00782D65" w:rsidRPr="008862F6">
        <w:rPr>
          <w:sz w:val="28"/>
          <w:szCs w:val="28"/>
          <w:lang w:eastAsia="en-US"/>
        </w:rPr>
        <w:t>, kas noteikts saskaņā ar grāmatvedībā izma</w:t>
      </w:r>
      <w:r w:rsidR="00782D65">
        <w:rPr>
          <w:sz w:val="28"/>
          <w:szCs w:val="28"/>
          <w:lang w:eastAsia="en-US"/>
        </w:rPr>
        <w:t>ntojamo ārvalstu valūtas kursu,</w:t>
      </w:r>
      <w:r w:rsidR="008862F6" w:rsidRPr="008862F6">
        <w:rPr>
          <w:sz w:val="28"/>
          <w:szCs w:val="28"/>
          <w:lang w:eastAsia="en-US"/>
        </w:rPr>
        <w:t xml:space="preserve"> pēdējo četru nedēļu laikā pirms īpašuma kompensācijas vērtības noteikšanas</w:t>
      </w:r>
      <w:r w:rsidR="00481909">
        <w:rPr>
          <w:sz w:val="28"/>
          <w:szCs w:val="28"/>
          <w:lang w:eastAsia="en-US"/>
        </w:rPr>
        <w:t>;</w:t>
      </w:r>
    </w:p>
    <w:p w14:paraId="4841D494" w14:textId="4782F028" w:rsidR="0045254C" w:rsidRPr="0045254C" w:rsidRDefault="0045254C" w:rsidP="00FB52C2">
      <w:pPr>
        <w:ind w:firstLine="709"/>
        <w:jc w:val="both"/>
        <w:rPr>
          <w:sz w:val="28"/>
          <w:szCs w:val="28"/>
        </w:rPr>
      </w:pPr>
      <w:proofErr w:type="spellStart"/>
      <w:r w:rsidRPr="0045254C">
        <w:rPr>
          <w:sz w:val="28"/>
          <w:szCs w:val="28"/>
        </w:rPr>
        <w:lastRenderedPageBreak/>
        <w:t>Cz</w:t>
      </w:r>
      <w:proofErr w:type="spellEnd"/>
      <w:r w:rsidRPr="0045254C">
        <w:rPr>
          <w:sz w:val="28"/>
          <w:szCs w:val="28"/>
        </w:rPr>
        <w:t xml:space="preserve"> </w:t>
      </w:r>
      <w:r w:rsidR="00481909">
        <w:rPr>
          <w:sz w:val="28"/>
          <w:szCs w:val="28"/>
        </w:rPr>
        <w:t>–</w:t>
      </w:r>
      <w:r w:rsidRPr="0045254C">
        <w:rPr>
          <w:sz w:val="28"/>
          <w:szCs w:val="28"/>
        </w:rPr>
        <w:t xml:space="preserve"> viena grama tīra zelta vidējā cena ASV dolāros Londonas biržā pēdējo četru nedēļu laikā pirms īpašuma kompensācijas vērtības noteikšanas</w:t>
      </w:r>
      <w:r w:rsidR="00481909">
        <w:rPr>
          <w:sz w:val="28"/>
          <w:szCs w:val="28"/>
        </w:rPr>
        <w:t>;</w:t>
      </w:r>
    </w:p>
    <w:p w14:paraId="4841D495" w14:textId="0544175C" w:rsidR="0045254C" w:rsidRPr="0045254C" w:rsidRDefault="0045254C" w:rsidP="00FB52C2">
      <w:pPr>
        <w:ind w:firstLine="709"/>
        <w:jc w:val="both"/>
        <w:rPr>
          <w:sz w:val="28"/>
          <w:szCs w:val="28"/>
        </w:rPr>
      </w:pPr>
      <w:r w:rsidRPr="0045254C">
        <w:rPr>
          <w:sz w:val="28"/>
          <w:szCs w:val="28"/>
        </w:rPr>
        <w:t>K</w:t>
      </w:r>
      <w:r w:rsidRPr="0045254C">
        <w:rPr>
          <w:sz w:val="28"/>
          <w:szCs w:val="28"/>
          <w:vertAlign w:val="superscript"/>
        </w:rPr>
        <w:t>1</w:t>
      </w:r>
      <w:r w:rsidRPr="0045254C">
        <w:rPr>
          <w:sz w:val="28"/>
          <w:szCs w:val="28"/>
        </w:rPr>
        <w:t xml:space="preserve"> </w:t>
      </w:r>
      <w:r w:rsidR="00481909">
        <w:rPr>
          <w:sz w:val="28"/>
          <w:szCs w:val="28"/>
        </w:rPr>
        <w:t>–</w:t>
      </w:r>
      <w:r w:rsidRPr="0045254C">
        <w:rPr>
          <w:sz w:val="28"/>
          <w:szCs w:val="28"/>
        </w:rPr>
        <w:t xml:space="preserve"> viena grama tīra zelta vidējā cena ASV dolāros pasaules tirgū gadā, kurā tiek aprēķināta īpašuma sākotnējā vērtība</w:t>
      </w:r>
      <w:r w:rsidR="00481909">
        <w:rPr>
          <w:sz w:val="28"/>
          <w:szCs w:val="28"/>
        </w:rPr>
        <w:t>;</w:t>
      </w:r>
    </w:p>
    <w:p w14:paraId="4841D496" w14:textId="7350FC98" w:rsidR="008C41D8" w:rsidRPr="008C41D8" w:rsidRDefault="0045254C" w:rsidP="00FB52C2">
      <w:pPr>
        <w:ind w:firstLine="709"/>
        <w:jc w:val="both"/>
        <w:rPr>
          <w:sz w:val="28"/>
          <w:szCs w:val="28"/>
        </w:rPr>
      </w:pPr>
      <w:r w:rsidRPr="0045254C">
        <w:rPr>
          <w:sz w:val="28"/>
          <w:szCs w:val="28"/>
        </w:rPr>
        <w:t>K</w:t>
      </w:r>
      <w:r w:rsidRPr="0045254C">
        <w:rPr>
          <w:sz w:val="28"/>
          <w:szCs w:val="28"/>
          <w:vertAlign w:val="superscript"/>
        </w:rPr>
        <w:t>2</w:t>
      </w:r>
      <w:r w:rsidRPr="0045254C">
        <w:rPr>
          <w:sz w:val="28"/>
          <w:szCs w:val="28"/>
        </w:rPr>
        <w:t xml:space="preserve"> </w:t>
      </w:r>
      <w:r w:rsidR="00481909">
        <w:rPr>
          <w:sz w:val="28"/>
          <w:szCs w:val="28"/>
        </w:rPr>
        <w:t>–</w:t>
      </w:r>
      <w:r w:rsidRPr="0045254C">
        <w:rPr>
          <w:sz w:val="28"/>
          <w:szCs w:val="28"/>
        </w:rPr>
        <w:t xml:space="preserve"> viena ASV dolāra vidējais kurss pirmskara latos gadā, kurā sastādīti dokumenti, kas tiek izmantoti īpašuma sākotnējās vērtības aprēķināšanai</w:t>
      </w:r>
      <w:r w:rsidR="00481909">
        <w:rPr>
          <w:sz w:val="28"/>
          <w:szCs w:val="28"/>
        </w:rPr>
        <w:t>;</w:t>
      </w:r>
    </w:p>
    <w:p w14:paraId="1DB2DD7F" w14:textId="177EB7BD" w:rsidR="00E00E4F" w:rsidRPr="00E00E4F" w:rsidRDefault="00E00E4F" w:rsidP="00FB52C2">
      <w:pPr>
        <w:ind w:firstLine="709"/>
        <w:jc w:val="both"/>
        <w:rPr>
          <w:sz w:val="28"/>
          <w:szCs w:val="24"/>
        </w:rPr>
      </w:pPr>
      <w:r w:rsidRPr="00E00E4F">
        <w:rPr>
          <w:sz w:val="28"/>
          <w:szCs w:val="24"/>
        </w:rPr>
        <w:t>7.2.</w:t>
      </w:r>
      <w:r w:rsidR="00481909">
        <w:rPr>
          <w:sz w:val="28"/>
          <w:szCs w:val="24"/>
        </w:rPr>
        <w:t> </w:t>
      </w:r>
      <w:r w:rsidRPr="00E00E4F">
        <w:rPr>
          <w:sz w:val="28"/>
          <w:szCs w:val="24"/>
        </w:rPr>
        <w:t>ja objekta sākotnējā vērtība noteikta rubļos pēc stāvokļa uz 1944.gadu vai turpmākajiem gadiem, kompensācijas vērtība pārrēķināma 1990.gada (bāzes gada) cenās, reizinot kompensācijas vērtību ar koeficientu, kuru aprēķina kā attiecību starp 1990.gada un objekta sākotnējās vērtības aprēķināšanas gada kapitālieguldījumu cenu indeksiem (pielikums), kuri atspoguļo celtniecības montāžas darbu, iekārtu un citu kapitālieguldījumu cenu izmaiņas. 1990.gada cenās izteikto kompensācijas vērtību pārrēķina pašreizējās cenās atbilst</w:t>
      </w:r>
      <w:r w:rsidR="00481909">
        <w:rPr>
          <w:sz w:val="28"/>
          <w:szCs w:val="24"/>
        </w:rPr>
        <w:t>oš</w:t>
      </w:r>
      <w:r w:rsidRPr="00E00E4F">
        <w:rPr>
          <w:sz w:val="28"/>
          <w:szCs w:val="24"/>
        </w:rPr>
        <w:t xml:space="preserve">i </w:t>
      </w:r>
      <w:r w:rsidRPr="00481909">
        <w:rPr>
          <w:sz w:val="28"/>
          <w:szCs w:val="28"/>
        </w:rPr>
        <w:t xml:space="preserve">Centrālās statistikas pārvaldes apstiprinātajiem un oficiālajā izdevumā </w:t>
      </w:r>
      <w:r w:rsidR="00FB52C2" w:rsidRPr="00481909">
        <w:rPr>
          <w:sz w:val="28"/>
          <w:szCs w:val="28"/>
        </w:rPr>
        <w:t>"</w:t>
      </w:r>
      <w:r w:rsidRPr="00481909">
        <w:rPr>
          <w:sz w:val="28"/>
          <w:szCs w:val="28"/>
        </w:rPr>
        <w:t>Latvijas</w:t>
      </w:r>
      <w:r w:rsidRPr="00E00E4F">
        <w:rPr>
          <w:sz w:val="28"/>
          <w:szCs w:val="24"/>
        </w:rPr>
        <w:t xml:space="preserve"> Vēstnesis</w:t>
      </w:r>
      <w:r w:rsidR="00FB52C2">
        <w:rPr>
          <w:sz w:val="28"/>
          <w:szCs w:val="24"/>
        </w:rPr>
        <w:t>"</w:t>
      </w:r>
      <w:r w:rsidRPr="00E00E4F">
        <w:rPr>
          <w:sz w:val="28"/>
          <w:szCs w:val="24"/>
        </w:rPr>
        <w:t xml:space="preserve"> publicētajiem patēriņa cenu inflācijas indeksiem katram ceturksnim laikposmā no 1990.gada līdz kompensācijas piešķiršanas brīdim.</w:t>
      </w:r>
      <w:r w:rsidR="00481909">
        <w:rPr>
          <w:sz w:val="28"/>
          <w:szCs w:val="24"/>
        </w:rPr>
        <w:t>"</w:t>
      </w:r>
    </w:p>
    <w:p w14:paraId="1476F5A2" w14:textId="77777777" w:rsidR="00E00E4F" w:rsidRDefault="00E00E4F" w:rsidP="00FB52C2">
      <w:pPr>
        <w:tabs>
          <w:tab w:val="left" w:pos="567"/>
        </w:tabs>
        <w:ind w:firstLine="709"/>
        <w:jc w:val="both"/>
        <w:rPr>
          <w:sz w:val="28"/>
          <w:szCs w:val="28"/>
        </w:rPr>
      </w:pPr>
    </w:p>
    <w:p w14:paraId="4841D497" w14:textId="32B9F170" w:rsidR="00907653" w:rsidRPr="00AB3692" w:rsidRDefault="00E00E4F" w:rsidP="00FB52C2">
      <w:pPr>
        <w:tabs>
          <w:tab w:val="left" w:pos="567"/>
        </w:tabs>
        <w:ind w:firstLine="709"/>
        <w:jc w:val="both"/>
        <w:rPr>
          <w:sz w:val="28"/>
          <w:szCs w:val="28"/>
        </w:rPr>
      </w:pPr>
      <w:r>
        <w:rPr>
          <w:sz w:val="28"/>
          <w:szCs w:val="28"/>
        </w:rPr>
        <w:t xml:space="preserve">2. </w:t>
      </w:r>
      <w:r w:rsidR="00AA578C">
        <w:rPr>
          <w:sz w:val="28"/>
          <w:szCs w:val="28"/>
        </w:rPr>
        <w:t>Noteikumi stājas spēkā 2014.gada 1.janvārī.</w:t>
      </w:r>
    </w:p>
    <w:p w14:paraId="4841D498" w14:textId="77777777" w:rsidR="00AB3692" w:rsidRPr="00FB52C2" w:rsidRDefault="00AB3692" w:rsidP="00AB3692">
      <w:pPr>
        <w:tabs>
          <w:tab w:val="left" w:pos="6946"/>
        </w:tabs>
        <w:rPr>
          <w:rFonts w:eastAsia="Calibri"/>
          <w:sz w:val="28"/>
          <w:szCs w:val="28"/>
          <w:lang w:eastAsia="en-US"/>
        </w:rPr>
      </w:pPr>
    </w:p>
    <w:p w14:paraId="4841D499" w14:textId="77777777" w:rsidR="0045254C" w:rsidRPr="00FB52C2" w:rsidRDefault="0045254C" w:rsidP="00AB3692">
      <w:pPr>
        <w:tabs>
          <w:tab w:val="left" w:pos="6946"/>
        </w:tabs>
        <w:rPr>
          <w:rFonts w:eastAsia="Calibri"/>
          <w:sz w:val="28"/>
          <w:szCs w:val="28"/>
          <w:lang w:eastAsia="en-US"/>
        </w:rPr>
      </w:pPr>
    </w:p>
    <w:p w14:paraId="4F49E2DB" w14:textId="77777777" w:rsidR="00FB52C2" w:rsidRPr="00FB52C2" w:rsidRDefault="00FB52C2" w:rsidP="00AB3692">
      <w:pPr>
        <w:tabs>
          <w:tab w:val="left" w:pos="6946"/>
        </w:tabs>
        <w:rPr>
          <w:rFonts w:eastAsia="Calibri"/>
          <w:sz w:val="28"/>
          <w:szCs w:val="28"/>
          <w:lang w:eastAsia="en-US"/>
        </w:rPr>
      </w:pPr>
    </w:p>
    <w:p w14:paraId="4841D49A" w14:textId="5359C2C5" w:rsidR="007C7C9C" w:rsidRPr="00FB52C2" w:rsidRDefault="007C7C9C" w:rsidP="00FB52C2">
      <w:pPr>
        <w:tabs>
          <w:tab w:val="left" w:pos="6521"/>
        </w:tabs>
        <w:ind w:firstLine="709"/>
        <w:rPr>
          <w:rFonts w:eastAsia="Calibri"/>
          <w:sz w:val="28"/>
          <w:szCs w:val="28"/>
          <w:lang w:eastAsia="en-US"/>
        </w:rPr>
      </w:pPr>
      <w:r w:rsidRPr="00FB52C2">
        <w:rPr>
          <w:rFonts w:eastAsia="Calibri"/>
          <w:sz w:val="28"/>
          <w:szCs w:val="28"/>
          <w:lang w:eastAsia="en-US"/>
        </w:rPr>
        <w:t>Ministru prezidents</w:t>
      </w:r>
      <w:r w:rsidRPr="00FB52C2">
        <w:rPr>
          <w:rFonts w:eastAsia="Calibri"/>
          <w:sz w:val="28"/>
          <w:szCs w:val="28"/>
          <w:lang w:eastAsia="en-US"/>
        </w:rPr>
        <w:tab/>
      </w:r>
      <w:r w:rsidR="00FB52C2" w:rsidRPr="00FB52C2">
        <w:rPr>
          <w:rFonts w:eastAsia="Calibri"/>
          <w:sz w:val="28"/>
          <w:szCs w:val="28"/>
          <w:lang w:eastAsia="en-US"/>
        </w:rPr>
        <w:t xml:space="preserve">Valdis </w:t>
      </w:r>
      <w:r w:rsidRPr="00FB52C2">
        <w:rPr>
          <w:rFonts w:eastAsia="Calibri"/>
          <w:sz w:val="28"/>
          <w:szCs w:val="28"/>
          <w:lang w:eastAsia="en-US"/>
        </w:rPr>
        <w:t>Dombrovskis</w:t>
      </w:r>
    </w:p>
    <w:p w14:paraId="4841D49B" w14:textId="77777777" w:rsidR="00AB3692" w:rsidRPr="00FB52C2" w:rsidRDefault="00AB3692" w:rsidP="00FB52C2">
      <w:pPr>
        <w:tabs>
          <w:tab w:val="left" w:pos="6946"/>
        </w:tabs>
        <w:ind w:firstLine="709"/>
        <w:rPr>
          <w:rFonts w:eastAsia="Calibri"/>
          <w:sz w:val="28"/>
          <w:szCs w:val="28"/>
          <w:lang w:eastAsia="en-US"/>
        </w:rPr>
      </w:pPr>
    </w:p>
    <w:p w14:paraId="6090D462" w14:textId="77777777" w:rsidR="00FB52C2" w:rsidRPr="00FB52C2" w:rsidRDefault="00FB52C2" w:rsidP="00FB52C2">
      <w:pPr>
        <w:tabs>
          <w:tab w:val="left" w:pos="6946"/>
        </w:tabs>
        <w:ind w:firstLine="709"/>
        <w:rPr>
          <w:rFonts w:eastAsia="Calibri"/>
          <w:sz w:val="28"/>
          <w:szCs w:val="28"/>
          <w:lang w:eastAsia="en-US"/>
        </w:rPr>
      </w:pPr>
    </w:p>
    <w:p w14:paraId="2F3091DD" w14:textId="77777777" w:rsidR="00FB52C2" w:rsidRPr="00FB52C2" w:rsidRDefault="00FB52C2" w:rsidP="00FB52C2">
      <w:pPr>
        <w:tabs>
          <w:tab w:val="left" w:pos="6946"/>
        </w:tabs>
        <w:ind w:firstLine="709"/>
        <w:rPr>
          <w:rFonts w:eastAsia="Calibri"/>
          <w:sz w:val="28"/>
          <w:szCs w:val="28"/>
          <w:lang w:eastAsia="en-US"/>
        </w:rPr>
      </w:pPr>
    </w:p>
    <w:p w14:paraId="4841D49C" w14:textId="1FF9F165" w:rsidR="00AB3692" w:rsidRPr="00FB52C2" w:rsidRDefault="00FB52C2" w:rsidP="00FB52C2">
      <w:pPr>
        <w:tabs>
          <w:tab w:val="left" w:pos="6521"/>
        </w:tabs>
        <w:spacing w:line="276" w:lineRule="auto"/>
        <w:ind w:firstLine="709"/>
        <w:rPr>
          <w:rFonts w:eastAsia="Calibri"/>
          <w:sz w:val="28"/>
          <w:szCs w:val="28"/>
          <w:lang w:eastAsia="en-US"/>
        </w:rPr>
      </w:pPr>
      <w:r w:rsidRPr="00FB52C2">
        <w:rPr>
          <w:rFonts w:eastAsia="Calibri"/>
          <w:sz w:val="28"/>
          <w:szCs w:val="28"/>
          <w:lang w:eastAsia="en-US"/>
        </w:rPr>
        <w:t>Ekonomikas ministrs</w:t>
      </w:r>
      <w:r w:rsidRPr="00FB52C2">
        <w:rPr>
          <w:rFonts w:eastAsia="Calibri"/>
          <w:sz w:val="28"/>
          <w:szCs w:val="28"/>
          <w:lang w:eastAsia="en-US"/>
        </w:rPr>
        <w:tab/>
        <w:t xml:space="preserve">Daniels </w:t>
      </w:r>
      <w:r w:rsidR="007C7C9C" w:rsidRPr="00FB52C2">
        <w:rPr>
          <w:rFonts w:eastAsia="Calibri"/>
          <w:sz w:val="28"/>
          <w:szCs w:val="28"/>
          <w:lang w:eastAsia="en-US"/>
        </w:rPr>
        <w:t>Pavļuts</w:t>
      </w:r>
    </w:p>
    <w:sectPr w:rsidR="00AB3692" w:rsidRPr="00FB52C2" w:rsidSect="00FB52C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1D4B1" w14:textId="77777777" w:rsidR="000357A4" w:rsidRDefault="000357A4">
      <w:r>
        <w:separator/>
      </w:r>
    </w:p>
  </w:endnote>
  <w:endnote w:type="continuationSeparator" w:id="0">
    <w:p w14:paraId="4841D4B2" w14:textId="77777777" w:rsidR="000357A4" w:rsidRDefault="0003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EA79" w14:textId="77777777" w:rsidR="00606BC2" w:rsidRDefault="00606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E548" w14:textId="77777777" w:rsidR="00FB52C2" w:rsidRPr="00FB52C2" w:rsidRDefault="00FB52C2" w:rsidP="00FB52C2">
    <w:pPr>
      <w:pStyle w:val="Footer"/>
      <w:rPr>
        <w:sz w:val="16"/>
        <w:szCs w:val="16"/>
      </w:rPr>
    </w:pPr>
    <w:r w:rsidRPr="00FB52C2">
      <w:rPr>
        <w:sz w:val="16"/>
        <w:szCs w:val="16"/>
      </w:rPr>
      <w:t>N2859_3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DF67" w14:textId="346019C8" w:rsidR="00FB52C2" w:rsidRPr="00FB52C2" w:rsidRDefault="00FB52C2">
    <w:pPr>
      <w:pStyle w:val="Footer"/>
      <w:rPr>
        <w:sz w:val="16"/>
        <w:szCs w:val="16"/>
      </w:rPr>
    </w:pPr>
    <w:r w:rsidRPr="00FB52C2">
      <w:rPr>
        <w:sz w:val="16"/>
        <w:szCs w:val="16"/>
      </w:rPr>
      <w:t>N2859_3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1D4AF" w14:textId="77777777" w:rsidR="000357A4" w:rsidRDefault="000357A4">
      <w:r>
        <w:separator/>
      </w:r>
    </w:p>
  </w:footnote>
  <w:footnote w:type="continuationSeparator" w:id="0">
    <w:p w14:paraId="4841D4B0" w14:textId="77777777" w:rsidR="000357A4" w:rsidRDefault="00035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BDA5F" w14:textId="77777777" w:rsidR="00606BC2" w:rsidRDefault="00606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E04D" w14:textId="43B8DBA1" w:rsidR="00FB52C2" w:rsidRDefault="00606BC2" w:rsidP="00FB52C2">
    <w:pPr>
      <w:pStyle w:val="Header"/>
      <w:jc w:val="center"/>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05915" w14:textId="5DEDE16E" w:rsidR="00FB52C2" w:rsidRDefault="00FB52C2" w:rsidP="00FB52C2">
    <w:pPr>
      <w:pStyle w:val="Header"/>
      <w:jc w:val="center"/>
    </w:pPr>
    <w:r>
      <w:rPr>
        <w:noProof/>
        <w:lang w:eastAsia="lv-LV"/>
      </w:rPr>
      <w:drawing>
        <wp:inline distT="0" distB="0" distL="0" distR="0" wp14:anchorId="3F34C5BF" wp14:editId="1AC6F691">
          <wp:extent cx="5448300" cy="1400175"/>
          <wp:effectExtent l="0" t="0" r="0" b="9525"/>
          <wp:docPr id="2" name="Picture 2"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3C"/>
    <w:multiLevelType w:val="multilevel"/>
    <w:tmpl w:val="C5A2911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0FC3CCB"/>
    <w:multiLevelType w:val="hybridMultilevel"/>
    <w:tmpl w:val="EFCE6DEE"/>
    <w:lvl w:ilvl="0" w:tplc="40A8EB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E9D792F"/>
    <w:multiLevelType w:val="hybridMultilevel"/>
    <w:tmpl w:val="CFDA886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69D6FFE"/>
    <w:multiLevelType w:val="hybridMultilevel"/>
    <w:tmpl w:val="782477FA"/>
    <w:lvl w:ilvl="0" w:tplc="319A2B06">
      <w:start w:val="1"/>
      <w:numFmt w:val="decimal"/>
      <w:lvlText w:val="%1."/>
      <w:lvlJc w:val="left"/>
      <w:pPr>
        <w:ind w:left="1080" w:hanging="360"/>
      </w:pPr>
      <w:rPr>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B9B611F"/>
    <w:multiLevelType w:val="multilevel"/>
    <w:tmpl w:val="624C6C0C"/>
    <w:lvl w:ilvl="0">
      <w:start w:val="1"/>
      <w:numFmt w:val="decimal"/>
      <w:lvlText w:val="%1."/>
      <w:lvlJc w:val="left"/>
      <w:pPr>
        <w:ind w:left="1070" w:hanging="360"/>
      </w:pPr>
      <w:rPr>
        <w:rFonts w:hint="default"/>
        <w:b w:val="0"/>
      </w:rPr>
    </w:lvl>
    <w:lvl w:ilvl="1">
      <w:start w:val="2"/>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E1A1B32"/>
    <w:multiLevelType w:val="multilevel"/>
    <w:tmpl w:val="4BB4A4B0"/>
    <w:lvl w:ilvl="0">
      <w:start w:val="1"/>
      <w:numFmt w:val="decimal"/>
      <w:lvlText w:val="%1."/>
      <w:lvlJc w:val="left"/>
      <w:pPr>
        <w:ind w:left="720" w:hanging="360"/>
      </w:pPr>
      <w:rPr>
        <w:rFonts w:ascii="Times New Roman" w:eastAsia="Calibri" w:hAnsi="Times New Roman" w:cs="Times New Roman"/>
      </w:rPr>
    </w:lvl>
    <w:lvl w:ilvl="1">
      <w:start w:val="1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3622D49"/>
    <w:multiLevelType w:val="hybridMultilevel"/>
    <w:tmpl w:val="4BFEE87A"/>
    <w:lvl w:ilvl="0" w:tplc="40A8EB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9D6762D"/>
    <w:multiLevelType w:val="hybridMultilevel"/>
    <w:tmpl w:val="CCF42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11"/>
    <w:rsid w:val="0001364C"/>
    <w:rsid w:val="000357A4"/>
    <w:rsid w:val="00040176"/>
    <w:rsid w:val="000B5A7B"/>
    <w:rsid w:val="000C76BB"/>
    <w:rsid w:val="00132166"/>
    <w:rsid w:val="001A0AA1"/>
    <w:rsid w:val="001B6506"/>
    <w:rsid w:val="001B7C78"/>
    <w:rsid w:val="001F33D8"/>
    <w:rsid w:val="0021590E"/>
    <w:rsid w:val="00215A24"/>
    <w:rsid w:val="002A7BD9"/>
    <w:rsid w:val="002B749D"/>
    <w:rsid w:val="00323957"/>
    <w:rsid w:val="00332B50"/>
    <w:rsid w:val="00337093"/>
    <w:rsid w:val="00341EEC"/>
    <w:rsid w:val="00352061"/>
    <w:rsid w:val="003A2201"/>
    <w:rsid w:val="003A58BB"/>
    <w:rsid w:val="003A79B1"/>
    <w:rsid w:val="003C0EBC"/>
    <w:rsid w:val="003C3DC4"/>
    <w:rsid w:val="003D4C21"/>
    <w:rsid w:val="003D641C"/>
    <w:rsid w:val="003E14E2"/>
    <w:rsid w:val="003E5368"/>
    <w:rsid w:val="004024EC"/>
    <w:rsid w:val="0042008A"/>
    <w:rsid w:val="004220BB"/>
    <w:rsid w:val="00423627"/>
    <w:rsid w:val="0045254C"/>
    <w:rsid w:val="004537C7"/>
    <w:rsid w:val="00474D49"/>
    <w:rsid w:val="00481909"/>
    <w:rsid w:val="004A469B"/>
    <w:rsid w:val="00511F5A"/>
    <w:rsid w:val="0051397F"/>
    <w:rsid w:val="0054796B"/>
    <w:rsid w:val="00577F0C"/>
    <w:rsid w:val="005D6345"/>
    <w:rsid w:val="005E4317"/>
    <w:rsid w:val="005F155F"/>
    <w:rsid w:val="00606BC2"/>
    <w:rsid w:val="0067227B"/>
    <w:rsid w:val="006B6D02"/>
    <w:rsid w:val="006C1A7E"/>
    <w:rsid w:val="006D37CE"/>
    <w:rsid w:val="006D6847"/>
    <w:rsid w:val="006F500B"/>
    <w:rsid w:val="00714BE1"/>
    <w:rsid w:val="00744A70"/>
    <w:rsid w:val="00782D65"/>
    <w:rsid w:val="00796C19"/>
    <w:rsid w:val="007A34FD"/>
    <w:rsid w:val="007B73AB"/>
    <w:rsid w:val="007C7C9C"/>
    <w:rsid w:val="007D7F21"/>
    <w:rsid w:val="008025FE"/>
    <w:rsid w:val="008126E4"/>
    <w:rsid w:val="0082335C"/>
    <w:rsid w:val="008836E6"/>
    <w:rsid w:val="008862F6"/>
    <w:rsid w:val="008C41D8"/>
    <w:rsid w:val="008F0CE8"/>
    <w:rsid w:val="00907653"/>
    <w:rsid w:val="009108CD"/>
    <w:rsid w:val="00916326"/>
    <w:rsid w:val="009249FE"/>
    <w:rsid w:val="00927DD2"/>
    <w:rsid w:val="009A1411"/>
    <w:rsid w:val="00A00804"/>
    <w:rsid w:val="00A768A5"/>
    <w:rsid w:val="00AA0E51"/>
    <w:rsid w:val="00AA578C"/>
    <w:rsid w:val="00AB3692"/>
    <w:rsid w:val="00AC21FE"/>
    <w:rsid w:val="00B46B4E"/>
    <w:rsid w:val="00B533BE"/>
    <w:rsid w:val="00BB2679"/>
    <w:rsid w:val="00BD20BC"/>
    <w:rsid w:val="00C11B57"/>
    <w:rsid w:val="00C72EC8"/>
    <w:rsid w:val="00CA5D60"/>
    <w:rsid w:val="00CC3D78"/>
    <w:rsid w:val="00CC6CB7"/>
    <w:rsid w:val="00CD4F38"/>
    <w:rsid w:val="00D06393"/>
    <w:rsid w:val="00D12D3C"/>
    <w:rsid w:val="00D44D7A"/>
    <w:rsid w:val="00D5659F"/>
    <w:rsid w:val="00D71904"/>
    <w:rsid w:val="00DA1121"/>
    <w:rsid w:val="00DA7753"/>
    <w:rsid w:val="00DE5369"/>
    <w:rsid w:val="00E00E4F"/>
    <w:rsid w:val="00EA7C62"/>
    <w:rsid w:val="00EC3D4D"/>
    <w:rsid w:val="00F017C6"/>
    <w:rsid w:val="00F107E2"/>
    <w:rsid w:val="00F11552"/>
    <w:rsid w:val="00F33BBE"/>
    <w:rsid w:val="00F7475D"/>
    <w:rsid w:val="00FB52C2"/>
    <w:rsid w:val="00FC13BA"/>
    <w:rsid w:val="00FF07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41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9C"/>
    <w:rPr>
      <w:rFonts w:eastAsia="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A1411"/>
    <w:pPr>
      <w:ind w:firstLine="567"/>
      <w:jc w:val="both"/>
    </w:pPr>
  </w:style>
  <w:style w:type="character" w:customStyle="1" w:styleId="BodyTextIndentChar">
    <w:name w:val="Body Text Indent Char"/>
    <w:basedOn w:val="DefaultParagraphFont"/>
    <w:link w:val="BodyTextIndent"/>
    <w:semiHidden/>
    <w:rsid w:val="009A1411"/>
    <w:rPr>
      <w:rFonts w:eastAsia="Times New Roman" w:cs="Times New Roman"/>
      <w:sz w:val="24"/>
      <w:szCs w:val="20"/>
      <w:lang w:eastAsia="lv-LV"/>
    </w:rPr>
  </w:style>
  <w:style w:type="paragraph" w:customStyle="1" w:styleId="naisf">
    <w:name w:val="naisf"/>
    <w:basedOn w:val="Normal"/>
    <w:rsid w:val="009A1411"/>
    <w:pPr>
      <w:spacing w:before="75" w:after="75"/>
      <w:ind w:firstLine="375"/>
      <w:jc w:val="both"/>
    </w:pPr>
    <w:rPr>
      <w:szCs w:val="24"/>
    </w:rPr>
  </w:style>
  <w:style w:type="paragraph" w:customStyle="1" w:styleId="StyleRight">
    <w:name w:val="Style Right"/>
    <w:basedOn w:val="Normal"/>
    <w:rsid w:val="009A1411"/>
    <w:pPr>
      <w:spacing w:after="120"/>
      <w:ind w:firstLine="720"/>
      <w:jc w:val="right"/>
    </w:pPr>
    <w:rPr>
      <w:sz w:val="28"/>
      <w:szCs w:val="28"/>
      <w:lang w:eastAsia="en-US"/>
    </w:rPr>
  </w:style>
  <w:style w:type="paragraph" w:styleId="Footer">
    <w:name w:val="footer"/>
    <w:basedOn w:val="Normal"/>
    <w:link w:val="FooterChar"/>
    <w:uiPriority w:val="99"/>
    <w:unhideWhenUsed/>
    <w:rsid w:val="009A1411"/>
    <w:pPr>
      <w:tabs>
        <w:tab w:val="center" w:pos="4153"/>
        <w:tab w:val="right" w:pos="8306"/>
      </w:tabs>
    </w:pPr>
  </w:style>
  <w:style w:type="character" w:customStyle="1" w:styleId="FooterChar">
    <w:name w:val="Footer Char"/>
    <w:basedOn w:val="DefaultParagraphFont"/>
    <w:link w:val="Footer"/>
    <w:uiPriority w:val="99"/>
    <w:rsid w:val="009A1411"/>
    <w:rPr>
      <w:rFonts w:eastAsia="Times New Roman" w:cs="Times New Roman"/>
      <w:sz w:val="24"/>
      <w:szCs w:val="20"/>
      <w:lang w:eastAsia="lv-LV"/>
    </w:rPr>
  </w:style>
  <w:style w:type="paragraph" w:styleId="BodyText">
    <w:name w:val="Body Text"/>
    <w:basedOn w:val="Normal"/>
    <w:link w:val="BodyTextChar"/>
    <w:uiPriority w:val="99"/>
    <w:semiHidden/>
    <w:unhideWhenUsed/>
    <w:rsid w:val="002A7BD9"/>
    <w:pPr>
      <w:spacing w:after="120"/>
    </w:pPr>
  </w:style>
  <w:style w:type="character" w:customStyle="1" w:styleId="BodyTextChar">
    <w:name w:val="Body Text Char"/>
    <w:basedOn w:val="DefaultParagraphFont"/>
    <w:link w:val="BodyText"/>
    <w:uiPriority w:val="99"/>
    <w:semiHidden/>
    <w:rsid w:val="002A7BD9"/>
    <w:rPr>
      <w:rFonts w:eastAsia="Times New Roman" w:cs="Times New Roman"/>
      <w:sz w:val="24"/>
      <w:szCs w:val="20"/>
      <w:lang w:eastAsia="lv-LV"/>
    </w:rPr>
  </w:style>
  <w:style w:type="paragraph" w:styleId="Header">
    <w:name w:val="header"/>
    <w:basedOn w:val="Normal"/>
    <w:link w:val="HeaderChar"/>
    <w:uiPriority w:val="99"/>
    <w:rsid w:val="002A7BD9"/>
    <w:pPr>
      <w:tabs>
        <w:tab w:val="center" w:pos="4153"/>
        <w:tab w:val="right" w:pos="8306"/>
      </w:tabs>
    </w:pPr>
    <w:rPr>
      <w:szCs w:val="24"/>
      <w:lang w:eastAsia="en-US"/>
    </w:rPr>
  </w:style>
  <w:style w:type="character" w:customStyle="1" w:styleId="HeaderChar">
    <w:name w:val="Header Char"/>
    <w:basedOn w:val="DefaultParagraphFont"/>
    <w:link w:val="Header"/>
    <w:uiPriority w:val="99"/>
    <w:rsid w:val="002A7BD9"/>
    <w:rPr>
      <w:rFonts w:eastAsia="Times New Roman" w:cs="Times New Roman"/>
      <w:sz w:val="24"/>
      <w:szCs w:val="24"/>
    </w:rPr>
  </w:style>
  <w:style w:type="character" w:styleId="PageNumber">
    <w:name w:val="page number"/>
    <w:basedOn w:val="DefaultParagraphFont"/>
    <w:rsid w:val="002A7BD9"/>
  </w:style>
  <w:style w:type="paragraph" w:styleId="ListParagraph">
    <w:name w:val="List Paragraph"/>
    <w:basedOn w:val="Normal"/>
    <w:uiPriority w:val="34"/>
    <w:qFormat/>
    <w:rsid w:val="00BB2679"/>
    <w:pPr>
      <w:ind w:left="720"/>
      <w:contextualSpacing/>
    </w:pPr>
  </w:style>
  <w:style w:type="paragraph" w:styleId="NormalWeb">
    <w:name w:val="Normal (Web)"/>
    <w:basedOn w:val="Normal"/>
    <w:uiPriority w:val="99"/>
    <w:rsid w:val="0001364C"/>
    <w:pPr>
      <w:spacing w:before="75" w:after="75"/>
      <w:ind w:firstLine="375"/>
      <w:jc w:val="both"/>
    </w:pPr>
    <w:rPr>
      <w:szCs w:val="24"/>
    </w:rPr>
  </w:style>
  <w:style w:type="paragraph" w:styleId="BalloonText">
    <w:name w:val="Balloon Text"/>
    <w:basedOn w:val="Normal"/>
    <w:link w:val="BalloonTextChar"/>
    <w:uiPriority w:val="99"/>
    <w:semiHidden/>
    <w:unhideWhenUsed/>
    <w:rsid w:val="00511F5A"/>
    <w:rPr>
      <w:rFonts w:ascii="Tahoma" w:hAnsi="Tahoma" w:cs="Tahoma"/>
      <w:sz w:val="16"/>
      <w:szCs w:val="16"/>
    </w:rPr>
  </w:style>
  <w:style w:type="character" w:customStyle="1" w:styleId="BalloonTextChar">
    <w:name w:val="Balloon Text Char"/>
    <w:basedOn w:val="DefaultParagraphFont"/>
    <w:link w:val="BalloonText"/>
    <w:uiPriority w:val="99"/>
    <w:semiHidden/>
    <w:rsid w:val="00511F5A"/>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CC3D78"/>
    <w:rPr>
      <w:sz w:val="16"/>
      <w:szCs w:val="16"/>
    </w:rPr>
  </w:style>
  <w:style w:type="paragraph" w:styleId="CommentText">
    <w:name w:val="annotation text"/>
    <w:basedOn w:val="Normal"/>
    <w:link w:val="CommentTextChar"/>
    <w:uiPriority w:val="99"/>
    <w:semiHidden/>
    <w:unhideWhenUsed/>
    <w:rsid w:val="00CC3D78"/>
    <w:rPr>
      <w:sz w:val="20"/>
    </w:rPr>
  </w:style>
  <w:style w:type="character" w:customStyle="1" w:styleId="CommentTextChar">
    <w:name w:val="Comment Text Char"/>
    <w:basedOn w:val="DefaultParagraphFont"/>
    <w:link w:val="CommentText"/>
    <w:uiPriority w:val="99"/>
    <w:semiHidden/>
    <w:rsid w:val="00CC3D7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C3D78"/>
    <w:rPr>
      <w:b/>
      <w:bCs/>
    </w:rPr>
  </w:style>
  <w:style w:type="character" w:customStyle="1" w:styleId="CommentSubjectChar">
    <w:name w:val="Comment Subject Char"/>
    <w:basedOn w:val="CommentTextChar"/>
    <w:link w:val="CommentSubject"/>
    <w:uiPriority w:val="99"/>
    <w:semiHidden/>
    <w:rsid w:val="00CC3D78"/>
    <w:rPr>
      <w:rFonts w:eastAsia="Times New Roman" w:cs="Times New Roman"/>
      <w:b/>
      <w:bCs/>
      <w:sz w:val="20"/>
      <w:szCs w:val="20"/>
      <w:lang w:eastAsia="lv-LV"/>
    </w:rPr>
  </w:style>
  <w:style w:type="character" w:styleId="Hyperlink">
    <w:name w:val="Hyperlink"/>
    <w:basedOn w:val="DefaultParagraphFont"/>
    <w:uiPriority w:val="99"/>
    <w:unhideWhenUsed/>
    <w:rsid w:val="00D12D3C"/>
    <w:rPr>
      <w:color w:val="0000FF" w:themeColor="hyperlink"/>
      <w:u w:val="single"/>
    </w:rPr>
  </w:style>
  <w:style w:type="paragraph" w:customStyle="1" w:styleId="tv213">
    <w:name w:val="tv213"/>
    <w:basedOn w:val="Normal"/>
    <w:rsid w:val="00D12D3C"/>
    <w:pPr>
      <w:spacing w:before="100" w:beforeAutospacing="1" w:after="100" w:afterAutospacing="1"/>
    </w:pPr>
    <w:rPr>
      <w:szCs w:val="24"/>
    </w:rPr>
  </w:style>
  <w:style w:type="paragraph" w:customStyle="1" w:styleId="tvhtml">
    <w:name w:val="tv_html"/>
    <w:basedOn w:val="Normal"/>
    <w:rsid w:val="0045254C"/>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9C"/>
    <w:rPr>
      <w:rFonts w:eastAsia="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A1411"/>
    <w:pPr>
      <w:ind w:firstLine="567"/>
      <w:jc w:val="both"/>
    </w:pPr>
  </w:style>
  <w:style w:type="character" w:customStyle="1" w:styleId="BodyTextIndentChar">
    <w:name w:val="Body Text Indent Char"/>
    <w:basedOn w:val="DefaultParagraphFont"/>
    <w:link w:val="BodyTextIndent"/>
    <w:semiHidden/>
    <w:rsid w:val="009A1411"/>
    <w:rPr>
      <w:rFonts w:eastAsia="Times New Roman" w:cs="Times New Roman"/>
      <w:sz w:val="24"/>
      <w:szCs w:val="20"/>
      <w:lang w:eastAsia="lv-LV"/>
    </w:rPr>
  </w:style>
  <w:style w:type="paragraph" w:customStyle="1" w:styleId="naisf">
    <w:name w:val="naisf"/>
    <w:basedOn w:val="Normal"/>
    <w:rsid w:val="009A1411"/>
    <w:pPr>
      <w:spacing w:before="75" w:after="75"/>
      <w:ind w:firstLine="375"/>
      <w:jc w:val="both"/>
    </w:pPr>
    <w:rPr>
      <w:szCs w:val="24"/>
    </w:rPr>
  </w:style>
  <w:style w:type="paragraph" w:customStyle="1" w:styleId="StyleRight">
    <w:name w:val="Style Right"/>
    <w:basedOn w:val="Normal"/>
    <w:rsid w:val="009A1411"/>
    <w:pPr>
      <w:spacing w:after="120"/>
      <w:ind w:firstLine="720"/>
      <w:jc w:val="right"/>
    </w:pPr>
    <w:rPr>
      <w:sz w:val="28"/>
      <w:szCs w:val="28"/>
      <w:lang w:eastAsia="en-US"/>
    </w:rPr>
  </w:style>
  <w:style w:type="paragraph" w:styleId="Footer">
    <w:name w:val="footer"/>
    <w:basedOn w:val="Normal"/>
    <w:link w:val="FooterChar"/>
    <w:uiPriority w:val="99"/>
    <w:unhideWhenUsed/>
    <w:rsid w:val="009A1411"/>
    <w:pPr>
      <w:tabs>
        <w:tab w:val="center" w:pos="4153"/>
        <w:tab w:val="right" w:pos="8306"/>
      </w:tabs>
    </w:pPr>
  </w:style>
  <w:style w:type="character" w:customStyle="1" w:styleId="FooterChar">
    <w:name w:val="Footer Char"/>
    <w:basedOn w:val="DefaultParagraphFont"/>
    <w:link w:val="Footer"/>
    <w:uiPriority w:val="99"/>
    <w:rsid w:val="009A1411"/>
    <w:rPr>
      <w:rFonts w:eastAsia="Times New Roman" w:cs="Times New Roman"/>
      <w:sz w:val="24"/>
      <w:szCs w:val="20"/>
      <w:lang w:eastAsia="lv-LV"/>
    </w:rPr>
  </w:style>
  <w:style w:type="paragraph" w:styleId="BodyText">
    <w:name w:val="Body Text"/>
    <w:basedOn w:val="Normal"/>
    <w:link w:val="BodyTextChar"/>
    <w:uiPriority w:val="99"/>
    <w:semiHidden/>
    <w:unhideWhenUsed/>
    <w:rsid w:val="002A7BD9"/>
    <w:pPr>
      <w:spacing w:after="120"/>
    </w:pPr>
  </w:style>
  <w:style w:type="character" w:customStyle="1" w:styleId="BodyTextChar">
    <w:name w:val="Body Text Char"/>
    <w:basedOn w:val="DefaultParagraphFont"/>
    <w:link w:val="BodyText"/>
    <w:uiPriority w:val="99"/>
    <w:semiHidden/>
    <w:rsid w:val="002A7BD9"/>
    <w:rPr>
      <w:rFonts w:eastAsia="Times New Roman" w:cs="Times New Roman"/>
      <w:sz w:val="24"/>
      <w:szCs w:val="20"/>
      <w:lang w:eastAsia="lv-LV"/>
    </w:rPr>
  </w:style>
  <w:style w:type="paragraph" w:styleId="Header">
    <w:name w:val="header"/>
    <w:basedOn w:val="Normal"/>
    <w:link w:val="HeaderChar"/>
    <w:uiPriority w:val="99"/>
    <w:rsid w:val="002A7BD9"/>
    <w:pPr>
      <w:tabs>
        <w:tab w:val="center" w:pos="4153"/>
        <w:tab w:val="right" w:pos="8306"/>
      </w:tabs>
    </w:pPr>
    <w:rPr>
      <w:szCs w:val="24"/>
      <w:lang w:eastAsia="en-US"/>
    </w:rPr>
  </w:style>
  <w:style w:type="character" w:customStyle="1" w:styleId="HeaderChar">
    <w:name w:val="Header Char"/>
    <w:basedOn w:val="DefaultParagraphFont"/>
    <w:link w:val="Header"/>
    <w:uiPriority w:val="99"/>
    <w:rsid w:val="002A7BD9"/>
    <w:rPr>
      <w:rFonts w:eastAsia="Times New Roman" w:cs="Times New Roman"/>
      <w:sz w:val="24"/>
      <w:szCs w:val="24"/>
    </w:rPr>
  </w:style>
  <w:style w:type="character" w:styleId="PageNumber">
    <w:name w:val="page number"/>
    <w:basedOn w:val="DefaultParagraphFont"/>
    <w:rsid w:val="002A7BD9"/>
  </w:style>
  <w:style w:type="paragraph" w:styleId="ListParagraph">
    <w:name w:val="List Paragraph"/>
    <w:basedOn w:val="Normal"/>
    <w:uiPriority w:val="34"/>
    <w:qFormat/>
    <w:rsid w:val="00BB2679"/>
    <w:pPr>
      <w:ind w:left="720"/>
      <w:contextualSpacing/>
    </w:pPr>
  </w:style>
  <w:style w:type="paragraph" w:styleId="NormalWeb">
    <w:name w:val="Normal (Web)"/>
    <w:basedOn w:val="Normal"/>
    <w:uiPriority w:val="99"/>
    <w:rsid w:val="0001364C"/>
    <w:pPr>
      <w:spacing w:before="75" w:after="75"/>
      <w:ind w:firstLine="375"/>
      <w:jc w:val="both"/>
    </w:pPr>
    <w:rPr>
      <w:szCs w:val="24"/>
    </w:rPr>
  </w:style>
  <w:style w:type="paragraph" w:styleId="BalloonText">
    <w:name w:val="Balloon Text"/>
    <w:basedOn w:val="Normal"/>
    <w:link w:val="BalloonTextChar"/>
    <w:uiPriority w:val="99"/>
    <w:semiHidden/>
    <w:unhideWhenUsed/>
    <w:rsid w:val="00511F5A"/>
    <w:rPr>
      <w:rFonts w:ascii="Tahoma" w:hAnsi="Tahoma" w:cs="Tahoma"/>
      <w:sz w:val="16"/>
      <w:szCs w:val="16"/>
    </w:rPr>
  </w:style>
  <w:style w:type="character" w:customStyle="1" w:styleId="BalloonTextChar">
    <w:name w:val="Balloon Text Char"/>
    <w:basedOn w:val="DefaultParagraphFont"/>
    <w:link w:val="BalloonText"/>
    <w:uiPriority w:val="99"/>
    <w:semiHidden/>
    <w:rsid w:val="00511F5A"/>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CC3D78"/>
    <w:rPr>
      <w:sz w:val="16"/>
      <w:szCs w:val="16"/>
    </w:rPr>
  </w:style>
  <w:style w:type="paragraph" w:styleId="CommentText">
    <w:name w:val="annotation text"/>
    <w:basedOn w:val="Normal"/>
    <w:link w:val="CommentTextChar"/>
    <w:uiPriority w:val="99"/>
    <w:semiHidden/>
    <w:unhideWhenUsed/>
    <w:rsid w:val="00CC3D78"/>
    <w:rPr>
      <w:sz w:val="20"/>
    </w:rPr>
  </w:style>
  <w:style w:type="character" w:customStyle="1" w:styleId="CommentTextChar">
    <w:name w:val="Comment Text Char"/>
    <w:basedOn w:val="DefaultParagraphFont"/>
    <w:link w:val="CommentText"/>
    <w:uiPriority w:val="99"/>
    <w:semiHidden/>
    <w:rsid w:val="00CC3D7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C3D78"/>
    <w:rPr>
      <w:b/>
      <w:bCs/>
    </w:rPr>
  </w:style>
  <w:style w:type="character" w:customStyle="1" w:styleId="CommentSubjectChar">
    <w:name w:val="Comment Subject Char"/>
    <w:basedOn w:val="CommentTextChar"/>
    <w:link w:val="CommentSubject"/>
    <w:uiPriority w:val="99"/>
    <w:semiHidden/>
    <w:rsid w:val="00CC3D78"/>
    <w:rPr>
      <w:rFonts w:eastAsia="Times New Roman" w:cs="Times New Roman"/>
      <w:b/>
      <w:bCs/>
      <w:sz w:val="20"/>
      <w:szCs w:val="20"/>
      <w:lang w:eastAsia="lv-LV"/>
    </w:rPr>
  </w:style>
  <w:style w:type="character" w:styleId="Hyperlink">
    <w:name w:val="Hyperlink"/>
    <w:basedOn w:val="DefaultParagraphFont"/>
    <w:uiPriority w:val="99"/>
    <w:unhideWhenUsed/>
    <w:rsid w:val="00D12D3C"/>
    <w:rPr>
      <w:color w:val="0000FF" w:themeColor="hyperlink"/>
      <w:u w:val="single"/>
    </w:rPr>
  </w:style>
  <w:style w:type="paragraph" w:customStyle="1" w:styleId="tv213">
    <w:name w:val="tv213"/>
    <w:basedOn w:val="Normal"/>
    <w:rsid w:val="00D12D3C"/>
    <w:pPr>
      <w:spacing w:before="100" w:beforeAutospacing="1" w:after="100" w:afterAutospacing="1"/>
    </w:pPr>
    <w:rPr>
      <w:szCs w:val="24"/>
    </w:rPr>
  </w:style>
  <w:style w:type="paragraph" w:customStyle="1" w:styleId="tvhtml">
    <w:name w:val="tv_html"/>
    <w:basedOn w:val="Normal"/>
    <w:rsid w:val="0045254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949">
      <w:bodyDiv w:val="1"/>
      <w:marLeft w:val="0"/>
      <w:marRight w:val="0"/>
      <w:marTop w:val="0"/>
      <w:marBottom w:val="0"/>
      <w:divBdr>
        <w:top w:val="none" w:sz="0" w:space="0" w:color="auto"/>
        <w:left w:val="none" w:sz="0" w:space="0" w:color="auto"/>
        <w:bottom w:val="none" w:sz="0" w:space="0" w:color="auto"/>
        <w:right w:val="none" w:sz="0" w:space="0" w:color="auto"/>
      </w:divBdr>
    </w:div>
    <w:div w:id="123696501">
      <w:bodyDiv w:val="1"/>
      <w:marLeft w:val="0"/>
      <w:marRight w:val="0"/>
      <w:marTop w:val="0"/>
      <w:marBottom w:val="0"/>
      <w:divBdr>
        <w:top w:val="none" w:sz="0" w:space="0" w:color="auto"/>
        <w:left w:val="none" w:sz="0" w:space="0" w:color="auto"/>
        <w:bottom w:val="none" w:sz="0" w:space="0" w:color="auto"/>
        <w:right w:val="none" w:sz="0" w:space="0" w:color="auto"/>
      </w:divBdr>
      <w:divsChild>
        <w:div w:id="1676615849">
          <w:marLeft w:val="0"/>
          <w:marRight w:val="0"/>
          <w:marTop w:val="0"/>
          <w:marBottom w:val="0"/>
          <w:divBdr>
            <w:top w:val="none" w:sz="0" w:space="0" w:color="auto"/>
            <w:left w:val="none" w:sz="0" w:space="0" w:color="auto"/>
            <w:bottom w:val="none" w:sz="0" w:space="0" w:color="auto"/>
            <w:right w:val="none" w:sz="0" w:space="0" w:color="auto"/>
          </w:divBdr>
        </w:div>
        <w:div w:id="584652128">
          <w:marLeft w:val="0"/>
          <w:marRight w:val="0"/>
          <w:marTop w:val="0"/>
          <w:marBottom w:val="0"/>
          <w:divBdr>
            <w:top w:val="none" w:sz="0" w:space="0" w:color="auto"/>
            <w:left w:val="none" w:sz="0" w:space="0" w:color="auto"/>
            <w:bottom w:val="none" w:sz="0" w:space="0" w:color="auto"/>
            <w:right w:val="none" w:sz="0" w:space="0" w:color="auto"/>
          </w:divBdr>
          <w:divsChild>
            <w:div w:id="1953856236">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 w:id="355426815">
      <w:bodyDiv w:val="1"/>
      <w:marLeft w:val="0"/>
      <w:marRight w:val="0"/>
      <w:marTop w:val="0"/>
      <w:marBottom w:val="0"/>
      <w:divBdr>
        <w:top w:val="none" w:sz="0" w:space="0" w:color="auto"/>
        <w:left w:val="none" w:sz="0" w:space="0" w:color="auto"/>
        <w:bottom w:val="none" w:sz="0" w:space="0" w:color="auto"/>
        <w:right w:val="none" w:sz="0" w:space="0" w:color="auto"/>
      </w:divBdr>
    </w:div>
    <w:div w:id="433789381">
      <w:bodyDiv w:val="1"/>
      <w:marLeft w:val="0"/>
      <w:marRight w:val="0"/>
      <w:marTop w:val="0"/>
      <w:marBottom w:val="0"/>
      <w:divBdr>
        <w:top w:val="none" w:sz="0" w:space="0" w:color="auto"/>
        <w:left w:val="none" w:sz="0" w:space="0" w:color="auto"/>
        <w:bottom w:val="none" w:sz="0" w:space="0" w:color="auto"/>
        <w:right w:val="none" w:sz="0" w:space="0" w:color="auto"/>
      </w:divBdr>
    </w:div>
    <w:div w:id="679426457">
      <w:bodyDiv w:val="1"/>
      <w:marLeft w:val="0"/>
      <w:marRight w:val="0"/>
      <w:marTop w:val="0"/>
      <w:marBottom w:val="0"/>
      <w:divBdr>
        <w:top w:val="none" w:sz="0" w:space="0" w:color="auto"/>
        <w:left w:val="none" w:sz="0" w:space="0" w:color="auto"/>
        <w:bottom w:val="none" w:sz="0" w:space="0" w:color="auto"/>
        <w:right w:val="none" w:sz="0" w:space="0" w:color="auto"/>
      </w:divBdr>
    </w:div>
    <w:div w:id="20425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1689</Words>
  <Characters>964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Grozījums Ministru kabineta 1995.gada 11.jūlija noteikumos Nr.197 „Noteikumi par bijušo īpašnieku mantas kompensācijas vērtības noteikšanu un tās salīdzināšanu ar privatizējamo objektu (mantas) pašreizējo vērtību”</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1995.gada 11.jūlija noteikumos Nr.197 „Noteikumi par bijušo īpašnieku mantas kompensācijas vērtības noteikšanu un tās salīdzināšanu ar privatizējamo objektu (mantas) pašreizējo vērtību”</dc:title>
  <dc:subject>MK Noteikumu projekts</dc:subject>
  <dc:creator>Mārtiņš Drāke</dc:creator>
  <dc:description>Martins.Drake@em.gov.lv;
67013162</dc:description>
  <cp:lastModifiedBy>Leontīne Babkina</cp:lastModifiedBy>
  <cp:revision>23</cp:revision>
  <cp:lastPrinted>2013-10-01T11:22:00Z</cp:lastPrinted>
  <dcterms:created xsi:type="dcterms:W3CDTF">2013-08-01T08:26:00Z</dcterms:created>
  <dcterms:modified xsi:type="dcterms:W3CDTF">2013-10-16T08:56:00Z</dcterms:modified>
</cp:coreProperties>
</file>