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77CCC" w14:textId="77777777" w:rsidR="000C561F" w:rsidRDefault="000C561F" w:rsidP="004A2407">
      <w:pPr>
        <w:tabs>
          <w:tab w:val="left" w:pos="6480"/>
        </w:tabs>
        <w:jc w:val="right"/>
        <w:rPr>
          <w:i/>
          <w:sz w:val="28"/>
          <w:szCs w:val="24"/>
          <w:lang w:eastAsia="en-US"/>
        </w:rPr>
      </w:pPr>
    </w:p>
    <w:p w14:paraId="6BFDADD2" w14:textId="77777777" w:rsidR="00357A88" w:rsidRPr="00F5458C" w:rsidRDefault="00357A88" w:rsidP="004A2407">
      <w:pPr>
        <w:tabs>
          <w:tab w:val="left" w:pos="6663"/>
        </w:tabs>
        <w:rPr>
          <w:sz w:val="28"/>
          <w:szCs w:val="28"/>
        </w:rPr>
      </w:pPr>
    </w:p>
    <w:p w14:paraId="7E0241E7" w14:textId="77777777" w:rsidR="00357A88" w:rsidRPr="00F5458C" w:rsidRDefault="00357A88" w:rsidP="004A2407">
      <w:pPr>
        <w:tabs>
          <w:tab w:val="left" w:pos="6663"/>
        </w:tabs>
        <w:rPr>
          <w:sz w:val="28"/>
          <w:szCs w:val="28"/>
        </w:rPr>
      </w:pPr>
    </w:p>
    <w:p w14:paraId="37A73B6C" w14:textId="77777777" w:rsidR="00357A88" w:rsidRDefault="00357A88" w:rsidP="004A2407">
      <w:pPr>
        <w:tabs>
          <w:tab w:val="left" w:pos="6663"/>
        </w:tabs>
        <w:rPr>
          <w:sz w:val="28"/>
          <w:szCs w:val="28"/>
        </w:rPr>
      </w:pPr>
    </w:p>
    <w:p w14:paraId="0C55CFE7" w14:textId="77777777" w:rsidR="00430E9E" w:rsidRPr="00F5458C" w:rsidRDefault="00430E9E" w:rsidP="004A2407">
      <w:pPr>
        <w:tabs>
          <w:tab w:val="left" w:pos="6663"/>
        </w:tabs>
        <w:rPr>
          <w:sz w:val="28"/>
          <w:szCs w:val="28"/>
        </w:rPr>
      </w:pPr>
    </w:p>
    <w:p w14:paraId="259F657E" w14:textId="77777777" w:rsidR="00357A88" w:rsidRPr="00F5458C" w:rsidRDefault="00357A88" w:rsidP="004A2407">
      <w:pPr>
        <w:tabs>
          <w:tab w:val="left" w:pos="6663"/>
        </w:tabs>
        <w:rPr>
          <w:sz w:val="28"/>
          <w:szCs w:val="28"/>
        </w:rPr>
      </w:pPr>
    </w:p>
    <w:p w14:paraId="6F0562A5" w14:textId="328EA13B" w:rsidR="00357A88" w:rsidRPr="00430E9E" w:rsidRDefault="00357A88" w:rsidP="004A2407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>2013.</w:t>
      </w:r>
      <w:r w:rsidRPr="00430E9E">
        <w:rPr>
          <w:sz w:val="28"/>
          <w:szCs w:val="28"/>
        </w:rPr>
        <w:t xml:space="preserve">gada </w:t>
      </w:r>
      <w:r w:rsidR="00233A0B">
        <w:rPr>
          <w:sz w:val="28"/>
          <w:szCs w:val="28"/>
        </w:rPr>
        <w:t>10.decembrī</w:t>
      </w:r>
      <w:r w:rsidRPr="00430E9E">
        <w:rPr>
          <w:sz w:val="28"/>
          <w:szCs w:val="28"/>
        </w:rPr>
        <w:tab/>
        <w:t>Noteikumi Nr.</w:t>
      </w:r>
      <w:r w:rsidR="00233A0B">
        <w:rPr>
          <w:sz w:val="28"/>
          <w:szCs w:val="28"/>
        </w:rPr>
        <w:t xml:space="preserve"> 1402</w:t>
      </w:r>
    </w:p>
    <w:p w14:paraId="3CA645E8" w14:textId="697315F0" w:rsidR="00357A88" w:rsidRPr="00430E9E" w:rsidRDefault="00357A88" w:rsidP="004A2407">
      <w:pPr>
        <w:tabs>
          <w:tab w:val="left" w:pos="6663"/>
        </w:tabs>
        <w:rPr>
          <w:sz w:val="28"/>
          <w:szCs w:val="28"/>
        </w:rPr>
      </w:pPr>
      <w:r w:rsidRPr="00430E9E">
        <w:rPr>
          <w:sz w:val="28"/>
          <w:szCs w:val="28"/>
        </w:rPr>
        <w:t>Rīgā</w:t>
      </w:r>
      <w:r w:rsidRPr="00430E9E">
        <w:rPr>
          <w:sz w:val="28"/>
          <w:szCs w:val="28"/>
        </w:rPr>
        <w:tab/>
        <w:t xml:space="preserve">(prot. Nr. </w:t>
      </w:r>
      <w:r w:rsidR="00233A0B">
        <w:rPr>
          <w:sz w:val="28"/>
          <w:szCs w:val="28"/>
        </w:rPr>
        <w:t>66 16</w:t>
      </w:r>
      <w:bookmarkStart w:id="0" w:name="_GoBack"/>
      <w:bookmarkEnd w:id="0"/>
      <w:r w:rsidRPr="00430E9E">
        <w:rPr>
          <w:sz w:val="28"/>
          <w:szCs w:val="28"/>
        </w:rPr>
        <w:t>.§)</w:t>
      </w:r>
    </w:p>
    <w:p w14:paraId="1120CE22" w14:textId="77777777" w:rsidR="000B290C" w:rsidRPr="00430E9E" w:rsidRDefault="000B290C" w:rsidP="000B290C">
      <w:pPr>
        <w:ind w:right="-238" w:firstLine="709"/>
        <w:jc w:val="both"/>
        <w:rPr>
          <w:sz w:val="28"/>
          <w:szCs w:val="28"/>
        </w:rPr>
      </w:pPr>
    </w:p>
    <w:p w14:paraId="4D677CD6" w14:textId="1B411D6F" w:rsidR="002A7BD9" w:rsidRPr="00430E9E" w:rsidRDefault="00C730B7" w:rsidP="004A2407">
      <w:pPr>
        <w:jc w:val="center"/>
        <w:rPr>
          <w:b/>
          <w:sz w:val="28"/>
          <w:szCs w:val="28"/>
          <w:lang w:eastAsia="en-US"/>
        </w:rPr>
      </w:pPr>
      <w:r w:rsidRPr="00430E9E">
        <w:rPr>
          <w:b/>
          <w:sz w:val="28"/>
          <w:szCs w:val="28"/>
          <w:lang w:eastAsia="en-US"/>
        </w:rPr>
        <w:t>Grozījumi</w:t>
      </w:r>
      <w:r w:rsidR="00DE5369" w:rsidRPr="00430E9E">
        <w:rPr>
          <w:b/>
          <w:sz w:val="28"/>
          <w:szCs w:val="28"/>
          <w:lang w:eastAsia="en-US"/>
        </w:rPr>
        <w:t xml:space="preserve"> Ministru kabineta </w:t>
      </w:r>
      <w:r w:rsidR="00461A2B" w:rsidRPr="00430E9E">
        <w:rPr>
          <w:b/>
          <w:sz w:val="28"/>
          <w:szCs w:val="28"/>
          <w:lang w:eastAsia="en-US"/>
        </w:rPr>
        <w:t>2009.gada 15.decembra</w:t>
      </w:r>
      <w:r w:rsidR="002A7BD9" w:rsidRPr="00430E9E">
        <w:rPr>
          <w:b/>
          <w:sz w:val="28"/>
          <w:szCs w:val="28"/>
          <w:lang w:eastAsia="en-US"/>
        </w:rPr>
        <w:t xml:space="preserve"> noteikumos Nr.</w:t>
      </w:r>
      <w:r w:rsidR="00461A2B" w:rsidRPr="00430E9E">
        <w:rPr>
          <w:b/>
          <w:sz w:val="28"/>
          <w:szCs w:val="28"/>
          <w:lang w:eastAsia="en-US"/>
        </w:rPr>
        <w:t xml:space="preserve">1486 </w:t>
      </w:r>
      <w:r w:rsidR="004A2407" w:rsidRPr="00430E9E">
        <w:rPr>
          <w:b/>
          <w:sz w:val="28"/>
          <w:szCs w:val="28"/>
          <w:lang w:eastAsia="en-US"/>
        </w:rPr>
        <w:t>"</w:t>
      </w:r>
      <w:r w:rsidR="00461A2B" w:rsidRPr="00430E9E">
        <w:rPr>
          <w:b/>
          <w:sz w:val="28"/>
          <w:szCs w:val="28"/>
          <w:lang w:eastAsia="en-US"/>
        </w:rPr>
        <w:t>Kārtība, kādā budžeta iestādes kārto grāmatvedības uzskaiti</w:t>
      </w:r>
      <w:r w:rsidR="004A2407" w:rsidRPr="00430E9E">
        <w:rPr>
          <w:b/>
          <w:sz w:val="28"/>
          <w:szCs w:val="28"/>
          <w:lang w:eastAsia="en-US"/>
        </w:rPr>
        <w:t>"</w:t>
      </w:r>
    </w:p>
    <w:p w14:paraId="4245F6FB" w14:textId="77777777" w:rsidR="000B290C" w:rsidRPr="00430E9E" w:rsidRDefault="000B290C" w:rsidP="000B290C">
      <w:pPr>
        <w:ind w:right="-238" w:firstLine="709"/>
        <w:jc w:val="both"/>
        <w:rPr>
          <w:sz w:val="28"/>
          <w:szCs w:val="28"/>
        </w:rPr>
      </w:pPr>
    </w:p>
    <w:p w14:paraId="7DC8F25F" w14:textId="77777777" w:rsidR="000B290C" w:rsidRPr="00430E9E" w:rsidRDefault="00461A2B" w:rsidP="004A2407">
      <w:pPr>
        <w:contextualSpacing/>
        <w:jc w:val="right"/>
        <w:rPr>
          <w:sz w:val="28"/>
          <w:szCs w:val="28"/>
          <w:lang w:eastAsia="en-US"/>
        </w:rPr>
      </w:pPr>
      <w:r w:rsidRPr="00430E9E">
        <w:rPr>
          <w:sz w:val="28"/>
          <w:szCs w:val="28"/>
          <w:lang w:eastAsia="en-US"/>
        </w:rPr>
        <w:t xml:space="preserve">Izdoti saskaņā ar </w:t>
      </w:r>
    </w:p>
    <w:p w14:paraId="4D677CD9" w14:textId="21071808" w:rsidR="00D57E22" w:rsidRPr="00430E9E" w:rsidRDefault="00461A2B" w:rsidP="004A2407">
      <w:pPr>
        <w:contextualSpacing/>
        <w:jc w:val="right"/>
        <w:rPr>
          <w:sz w:val="28"/>
          <w:szCs w:val="28"/>
          <w:lang w:eastAsia="en-US"/>
        </w:rPr>
      </w:pPr>
      <w:r w:rsidRPr="00430E9E">
        <w:rPr>
          <w:sz w:val="28"/>
          <w:szCs w:val="28"/>
          <w:lang w:eastAsia="en-US"/>
        </w:rPr>
        <w:t xml:space="preserve">Likuma par budžetu un finanšu vadību </w:t>
      </w:r>
    </w:p>
    <w:p w14:paraId="4D677CDA" w14:textId="77777777" w:rsidR="00F74192" w:rsidRPr="00430E9E" w:rsidRDefault="00461A2B" w:rsidP="004A2407">
      <w:pPr>
        <w:contextualSpacing/>
        <w:jc w:val="right"/>
        <w:rPr>
          <w:sz w:val="28"/>
          <w:szCs w:val="28"/>
          <w:lang w:eastAsia="en-US"/>
        </w:rPr>
      </w:pPr>
      <w:r w:rsidRPr="00430E9E">
        <w:rPr>
          <w:sz w:val="28"/>
          <w:szCs w:val="28"/>
          <w:lang w:eastAsia="en-US"/>
        </w:rPr>
        <w:t>29.panta otro daļu</w:t>
      </w:r>
    </w:p>
    <w:p w14:paraId="763DF752" w14:textId="77777777" w:rsidR="000B290C" w:rsidRPr="00430E9E" w:rsidRDefault="000B290C" w:rsidP="000B290C">
      <w:pPr>
        <w:ind w:right="-238" w:firstLine="709"/>
        <w:jc w:val="both"/>
        <w:rPr>
          <w:sz w:val="28"/>
          <w:szCs w:val="28"/>
        </w:rPr>
      </w:pPr>
    </w:p>
    <w:p w14:paraId="4D677CDC" w14:textId="73739EBC" w:rsidR="00461A2B" w:rsidRPr="00430E9E" w:rsidRDefault="004A2407" w:rsidP="004A2407">
      <w:pPr>
        <w:ind w:firstLine="720"/>
        <w:jc w:val="both"/>
        <w:rPr>
          <w:sz w:val="28"/>
          <w:szCs w:val="28"/>
        </w:rPr>
      </w:pPr>
      <w:r w:rsidRPr="00430E9E">
        <w:rPr>
          <w:sz w:val="28"/>
          <w:szCs w:val="28"/>
          <w:lang w:eastAsia="en-US"/>
        </w:rPr>
        <w:t>1. </w:t>
      </w:r>
      <w:r w:rsidR="00461A2B" w:rsidRPr="00430E9E">
        <w:rPr>
          <w:sz w:val="28"/>
          <w:szCs w:val="28"/>
          <w:lang w:eastAsia="en-US"/>
        </w:rPr>
        <w:t xml:space="preserve">Izdarīt Ministru kabineta 2009.gada 15.decembra noteikumos Nr.1486 </w:t>
      </w:r>
      <w:r w:rsidRPr="00430E9E">
        <w:rPr>
          <w:sz w:val="28"/>
          <w:szCs w:val="28"/>
          <w:lang w:eastAsia="en-US"/>
        </w:rPr>
        <w:t>"</w:t>
      </w:r>
      <w:r w:rsidR="00461A2B" w:rsidRPr="00430E9E">
        <w:rPr>
          <w:sz w:val="28"/>
          <w:szCs w:val="28"/>
          <w:lang w:eastAsia="en-US"/>
        </w:rPr>
        <w:t>Kārtība, kādā budžeta iestādes kārto grāmatvedības uzskaiti</w:t>
      </w:r>
      <w:r w:rsidRPr="00430E9E">
        <w:rPr>
          <w:sz w:val="28"/>
          <w:szCs w:val="28"/>
          <w:lang w:eastAsia="en-US"/>
        </w:rPr>
        <w:t>"</w:t>
      </w:r>
      <w:r w:rsidR="00461A2B" w:rsidRPr="00430E9E">
        <w:rPr>
          <w:sz w:val="28"/>
          <w:szCs w:val="28"/>
          <w:lang w:eastAsia="en-US"/>
        </w:rPr>
        <w:t xml:space="preserve"> (Latvijas </w:t>
      </w:r>
      <w:r w:rsidR="00461A2B" w:rsidRPr="00430E9E">
        <w:rPr>
          <w:spacing w:val="-2"/>
          <w:sz w:val="28"/>
          <w:szCs w:val="28"/>
          <w:lang w:eastAsia="en-US"/>
        </w:rPr>
        <w:t>Vēstnesis, 2009, 203.nr.; 2010, 69.nr.; 2011, 52.nr.; 2012, 165.nr.; 2013, 153.nr.)</w:t>
      </w:r>
      <w:r w:rsidR="00461A2B" w:rsidRPr="00430E9E">
        <w:rPr>
          <w:sz w:val="28"/>
          <w:szCs w:val="28"/>
          <w:lang w:eastAsia="en-US"/>
        </w:rPr>
        <w:t xml:space="preserve"> šādus grozījumus:</w:t>
      </w:r>
    </w:p>
    <w:p w14:paraId="4D677CDD" w14:textId="52FFDD1C" w:rsidR="00F74192" w:rsidRPr="00430E9E" w:rsidRDefault="00DB7EED" w:rsidP="004A2407">
      <w:pPr>
        <w:ind w:right="-238" w:firstLine="709"/>
        <w:jc w:val="both"/>
        <w:rPr>
          <w:sz w:val="28"/>
          <w:szCs w:val="28"/>
        </w:rPr>
      </w:pPr>
      <w:r w:rsidRPr="00430E9E">
        <w:rPr>
          <w:sz w:val="28"/>
          <w:szCs w:val="28"/>
          <w:lang w:eastAsia="en-US"/>
        </w:rPr>
        <w:t>1.1</w:t>
      </w:r>
      <w:r w:rsidR="000B290C" w:rsidRPr="00430E9E">
        <w:rPr>
          <w:sz w:val="28"/>
          <w:szCs w:val="28"/>
          <w:lang w:eastAsia="en-US"/>
        </w:rPr>
        <w:t>. </w:t>
      </w:r>
      <w:r w:rsidR="005C4367" w:rsidRPr="00430E9E">
        <w:rPr>
          <w:sz w:val="28"/>
          <w:szCs w:val="28"/>
          <w:lang w:eastAsia="en-US"/>
        </w:rPr>
        <w:t>a</w:t>
      </w:r>
      <w:r w:rsidR="00C626D4" w:rsidRPr="00430E9E">
        <w:rPr>
          <w:sz w:val="28"/>
          <w:szCs w:val="28"/>
          <w:lang w:eastAsia="en-US"/>
        </w:rPr>
        <w:t xml:space="preserve">izstāt </w:t>
      </w:r>
      <w:r w:rsidR="00625F3B" w:rsidRPr="00430E9E">
        <w:rPr>
          <w:sz w:val="28"/>
          <w:szCs w:val="28"/>
          <w:lang w:eastAsia="en-US"/>
        </w:rPr>
        <w:t>25.</w:t>
      </w:r>
      <w:r w:rsidR="00F15397" w:rsidRPr="00430E9E">
        <w:rPr>
          <w:sz w:val="28"/>
          <w:szCs w:val="28"/>
          <w:lang w:eastAsia="en-US"/>
        </w:rPr>
        <w:t>punktā</w:t>
      </w:r>
      <w:r w:rsidR="00C540BF" w:rsidRPr="00430E9E">
        <w:rPr>
          <w:sz w:val="28"/>
          <w:szCs w:val="28"/>
          <w:lang w:eastAsia="en-US"/>
        </w:rPr>
        <w:t xml:space="preserve"> </w:t>
      </w:r>
      <w:r w:rsidR="00BD5C49" w:rsidRPr="00430E9E">
        <w:rPr>
          <w:sz w:val="28"/>
          <w:szCs w:val="28"/>
          <w:lang w:eastAsia="en-US"/>
        </w:rPr>
        <w:t>vārd</w:t>
      </w:r>
      <w:r w:rsidR="00C626D4" w:rsidRPr="00430E9E">
        <w:rPr>
          <w:sz w:val="28"/>
          <w:szCs w:val="28"/>
          <w:lang w:eastAsia="en-US"/>
        </w:rPr>
        <w:t>us</w:t>
      </w:r>
      <w:r w:rsidR="00BD5C49" w:rsidRPr="00430E9E">
        <w:rPr>
          <w:sz w:val="28"/>
          <w:szCs w:val="28"/>
          <w:lang w:eastAsia="en-US"/>
        </w:rPr>
        <w:t xml:space="preserve"> </w:t>
      </w:r>
      <w:r w:rsidR="004A2407" w:rsidRPr="00430E9E">
        <w:rPr>
          <w:sz w:val="28"/>
          <w:szCs w:val="28"/>
          <w:lang w:eastAsia="en-US"/>
        </w:rPr>
        <w:t>"</w:t>
      </w:r>
      <w:r w:rsidR="00BD5C49" w:rsidRPr="00430E9E">
        <w:rPr>
          <w:sz w:val="28"/>
          <w:szCs w:val="28"/>
          <w:lang w:eastAsia="en-US"/>
        </w:rPr>
        <w:t>kontos pamatlīdzekļu</w:t>
      </w:r>
      <w:r w:rsidR="00C626D4" w:rsidRPr="00430E9E">
        <w:rPr>
          <w:sz w:val="28"/>
          <w:szCs w:val="28"/>
          <w:lang w:eastAsia="en-US"/>
        </w:rPr>
        <w:t xml:space="preserve"> sastāvā</w:t>
      </w:r>
      <w:r w:rsidR="004A2407" w:rsidRPr="00430E9E">
        <w:rPr>
          <w:sz w:val="28"/>
          <w:szCs w:val="28"/>
          <w:lang w:eastAsia="en-US"/>
        </w:rPr>
        <w:t>"</w:t>
      </w:r>
      <w:r w:rsidR="00BD5C49" w:rsidRPr="00430E9E">
        <w:rPr>
          <w:sz w:val="28"/>
          <w:szCs w:val="28"/>
          <w:lang w:eastAsia="en-US"/>
        </w:rPr>
        <w:t xml:space="preserve"> ar vārdiem </w:t>
      </w:r>
      <w:r w:rsidR="004A2407" w:rsidRPr="00430E9E">
        <w:rPr>
          <w:sz w:val="28"/>
          <w:szCs w:val="28"/>
          <w:lang w:eastAsia="en-US"/>
        </w:rPr>
        <w:t>"</w:t>
      </w:r>
      <w:r w:rsidR="00C626D4" w:rsidRPr="00430E9E">
        <w:rPr>
          <w:sz w:val="28"/>
          <w:szCs w:val="28"/>
          <w:lang w:eastAsia="en-US"/>
        </w:rPr>
        <w:t xml:space="preserve">kontos pamatlīdzekļu </w:t>
      </w:r>
      <w:r w:rsidR="00BD5C49" w:rsidRPr="00430E9E">
        <w:rPr>
          <w:sz w:val="28"/>
          <w:szCs w:val="28"/>
          <w:lang w:eastAsia="en-US"/>
        </w:rPr>
        <w:t>vai finanšu ieguldījumu sastāvā</w:t>
      </w:r>
      <w:r w:rsidR="004A2407" w:rsidRPr="00430E9E">
        <w:rPr>
          <w:sz w:val="28"/>
          <w:szCs w:val="28"/>
          <w:lang w:eastAsia="en-US"/>
        </w:rPr>
        <w:t>"</w:t>
      </w:r>
      <w:r w:rsidR="005C4367" w:rsidRPr="00430E9E">
        <w:rPr>
          <w:sz w:val="28"/>
          <w:szCs w:val="28"/>
          <w:lang w:eastAsia="en-US"/>
        </w:rPr>
        <w:t>;</w:t>
      </w:r>
    </w:p>
    <w:p w14:paraId="4D677CDE" w14:textId="07A4C4D1" w:rsidR="00BD5C49" w:rsidRPr="00430E9E" w:rsidRDefault="00DB7EED" w:rsidP="004A2407">
      <w:pPr>
        <w:ind w:right="-238" w:firstLine="709"/>
        <w:jc w:val="both"/>
        <w:rPr>
          <w:sz w:val="28"/>
          <w:szCs w:val="28"/>
          <w:lang w:eastAsia="en-US"/>
        </w:rPr>
      </w:pPr>
      <w:r w:rsidRPr="00430E9E">
        <w:rPr>
          <w:sz w:val="28"/>
          <w:szCs w:val="28"/>
          <w:lang w:eastAsia="en-US"/>
        </w:rPr>
        <w:t xml:space="preserve">1.2. </w:t>
      </w:r>
      <w:r w:rsidR="005C4367" w:rsidRPr="00430E9E">
        <w:rPr>
          <w:sz w:val="28"/>
          <w:szCs w:val="28"/>
          <w:lang w:eastAsia="en-US"/>
        </w:rPr>
        <w:t>p</w:t>
      </w:r>
      <w:r w:rsidR="00BD5C49" w:rsidRPr="00430E9E">
        <w:rPr>
          <w:sz w:val="28"/>
          <w:szCs w:val="28"/>
          <w:lang w:eastAsia="en-US"/>
        </w:rPr>
        <w:t>apildināt</w:t>
      </w:r>
      <w:r w:rsidR="00B115F1" w:rsidRPr="00430E9E">
        <w:rPr>
          <w:sz w:val="28"/>
          <w:szCs w:val="28"/>
          <w:lang w:eastAsia="en-US"/>
        </w:rPr>
        <w:t xml:space="preserve"> noteikumus</w:t>
      </w:r>
      <w:r w:rsidR="00BD5C49" w:rsidRPr="00430E9E">
        <w:rPr>
          <w:sz w:val="28"/>
          <w:szCs w:val="28"/>
          <w:lang w:eastAsia="en-US"/>
        </w:rPr>
        <w:t xml:space="preserve"> ar </w:t>
      </w:r>
      <w:r w:rsidR="00692291" w:rsidRPr="00430E9E">
        <w:rPr>
          <w:sz w:val="28"/>
          <w:szCs w:val="28"/>
          <w:lang w:eastAsia="en-US"/>
        </w:rPr>
        <w:t>25</w:t>
      </w:r>
      <w:r w:rsidR="00BD5C49" w:rsidRPr="00430E9E">
        <w:rPr>
          <w:sz w:val="28"/>
          <w:szCs w:val="28"/>
          <w:lang w:eastAsia="en-US"/>
        </w:rPr>
        <w:t>.</w:t>
      </w:r>
      <w:r w:rsidR="00BD5C49" w:rsidRPr="00430E9E">
        <w:rPr>
          <w:sz w:val="28"/>
          <w:szCs w:val="28"/>
          <w:vertAlign w:val="superscript"/>
          <w:lang w:eastAsia="en-US"/>
        </w:rPr>
        <w:t>1</w:t>
      </w:r>
      <w:r w:rsidR="002D54B5" w:rsidRPr="00430E9E">
        <w:rPr>
          <w:sz w:val="28"/>
          <w:szCs w:val="28"/>
          <w:lang w:eastAsia="en-US"/>
        </w:rPr>
        <w:t xml:space="preserve"> un 25.</w:t>
      </w:r>
      <w:r w:rsidR="002D54B5" w:rsidRPr="00430E9E">
        <w:rPr>
          <w:sz w:val="28"/>
          <w:szCs w:val="28"/>
          <w:vertAlign w:val="superscript"/>
          <w:lang w:eastAsia="en-US"/>
        </w:rPr>
        <w:t>2</w:t>
      </w:r>
      <w:r w:rsidR="002D54B5" w:rsidRPr="00430E9E">
        <w:rPr>
          <w:sz w:val="28"/>
          <w:szCs w:val="28"/>
          <w:lang w:eastAsia="en-US"/>
        </w:rPr>
        <w:t xml:space="preserve"> </w:t>
      </w:r>
      <w:r w:rsidR="009318E3" w:rsidRPr="00430E9E">
        <w:rPr>
          <w:sz w:val="28"/>
          <w:szCs w:val="28"/>
          <w:lang w:eastAsia="en-US"/>
        </w:rPr>
        <w:t>punktu</w:t>
      </w:r>
      <w:r w:rsidR="00BD5C49" w:rsidRPr="00430E9E">
        <w:rPr>
          <w:sz w:val="28"/>
          <w:szCs w:val="28"/>
          <w:lang w:eastAsia="en-US"/>
        </w:rPr>
        <w:t xml:space="preserve"> šādā redakcijā:</w:t>
      </w:r>
    </w:p>
    <w:p w14:paraId="359D8B88" w14:textId="77777777" w:rsidR="004A2407" w:rsidRPr="00430E9E" w:rsidRDefault="004A2407" w:rsidP="004A2407">
      <w:pPr>
        <w:ind w:right="-238" w:firstLine="709"/>
        <w:jc w:val="both"/>
        <w:rPr>
          <w:sz w:val="28"/>
          <w:szCs w:val="28"/>
        </w:rPr>
      </w:pPr>
    </w:p>
    <w:p w14:paraId="4D677CDF" w14:textId="7408AB10" w:rsidR="00C626D4" w:rsidRPr="00430E9E" w:rsidRDefault="004A2407" w:rsidP="004A2407">
      <w:pPr>
        <w:ind w:right="-238" w:firstLine="709"/>
        <w:jc w:val="both"/>
        <w:rPr>
          <w:sz w:val="28"/>
          <w:szCs w:val="28"/>
          <w:lang w:eastAsia="en-US"/>
        </w:rPr>
      </w:pPr>
      <w:r w:rsidRPr="00430E9E">
        <w:rPr>
          <w:sz w:val="28"/>
          <w:szCs w:val="28"/>
          <w:lang w:eastAsia="en-US"/>
        </w:rPr>
        <w:t>"</w:t>
      </w:r>
      <w:r w:rsidR="00692291" w:rsidRPr="00430E9E">
        <w:rPr>
          <w:sz w:val="28"/>
          <w:szCs w:val="28"/>
          <w:lang w:eastAsia="en-US"/>
        </w:rPr>
        <w:t>25.</w:t>
      </w:r>
      <w:r w:rsidR="00692291" w:rsidRPr="00430E9E">
        <w:rPr>
          <w:sz w:val="28"/>
          <w:szCs w:val="28"/>
          <w:vertAlign w:val="superscript"/>
          <w:lang w:eastAsia="en-US"/>
        </w:rPr>
        <w:t>1</w:t>
      </w:r>
      <w:r w:rsidR="000B290C" w:rsidRPr="00430E9E">
        <w:rPr>
          <w:sz w:val="28"/>
          <w:szCs w:val="28"/>
          <w:lang w:eastAsia="en-US"/>
        </w:rPr>
        <w:t> </w:t>
      </w:r>
      <w:r w:rsidR="00933E87" w:rsidRPr="00430E9E">
        <w:rPr>
          <w:sz w:val="28"/>
          <w:szCs w:val="28"/>
          <w:lang w:eastAsia="en-US"/>
        </w:rPr>
        <w:t>V</w:t>
      </w:r>
      <w:r w:rsidR="002D54B5" w:rsidRPr="00430E9E">
        <w:rPr>
          <w:sz w:val="28"/>
          <w:szCs w:val="28"/>
          <w:lang w:eastAsia="en-US"/>
        </w:rPr>
        <w:t xml:space="preserve">alsts </w:t>
      </w:r>
      <w:r w:rsidR="00CA21CE" w:rsidRPr="00430E9E">
        <w:rPr>
          <w:sz w:val="28"/>
          <w:szCs w:val="28"/>
          <w:lang w:eastAsia="en-US"/>
        </w:rPr>
        <w:t>īpašumus, k</w:t>
      </w:r>
      <w:r w:rsidR="00FD0B44" w:rsidRPr="00430E9E">
        <w:rPr>
          <w:sz w:val="28"/>
          <w:szCs w:val="28"/>
          <w:lang w:eastAsia="en-US"/>
        </w:rPr>
        <w:t>uri</w:t>
      </w:r>
      <w:r w:rsidR="00CA21CE" w:rsidRPr="00430E9E">
        <w:rPr>
          <w:sz w:val="28"/>
          <w:szCs w:val="28"/>
          <w:lang w:eastAsia="en-US"/>
        </w:rPr>
        <w:t xml:space="preserve"> nodoti privatizācijai</w:t>
      </w:r>
      <w:r w:rsidR="00BB72FF" w:rsidRPr="00430E9E">
        <w:rPr>
          <w:sz w:val="28"/>
          <w:szCs w:val="28"/>
          <w:lang w:eastAsia="en-US"/>
        </w:rPr>
        <w:t xml:space="preserve"> vai atsavināšanai</w:t>
      </w:r>
      <w:r w:rsidR="00CA21CE" w:rsidRPr="00430E9E">
        <w:rPr>
          <w:sz w:val="28"/>
          <w:szCs w:val="28"/>
          <w:lang w:eastAsia="en-US"/>
        </w:rPr>
        <w:t xml:space="preserve"> </w:t>
      </w:r>
      <w:r w:rsidR="00C626D4" w:rsidRPr="00430E9E">
        <w:rPr>
          <w:sz w:val="28"/>
          <w:szCs w:val="28"/>
          <w:lang w:eastAsia="en-US"/>
        </w:rPr>
        <w:t xml:space="preserve">un </w:t>
      </w:r>
      <w:r w:rsidR="00FD0B44" w:rsidRPr="00430E9E">
        <w:rPr>
          <w:sz w:val="28"/>
          <w:szCs w:val="28"/>
          <w:lang w:eastAsia="en-US"/>
        </w:rPr>
        <w:t xml:space="preserve">kuru īpašuma tiesības zemesgrāmatā vai kapitālsabiedrības dalībnieku (akcionāru) reģistrā ir reģistrētas uz valsts vārda privatizāciju (atsavināšanu) veicošās institūcijas personā </w:t>
      </w:r>
      <w:r w:rsidR="00C626D4" w:rsidRPr="00430E9E">
        <w:rPr>
          <w:sz w:val="28"/>
          <w:szCs w:val="28"/>
          <w:lang w:eastAsia="en-US"/>
        </w:rPr>
        <w:t>saskaņā ar likum</w:t>
      </w:r>
      <w:r w:rsidR="00FD0B44" w:rsidRPr="00430E9E">
        <w:rPr>
          <w:sz w:val="28"/>
          <w:szCs w:val="28"/>
          <w:lang w:eastAsia="en-US"/>
        </w:rPr>
        <w:t>a</w:t>
      </w:r>
      <w:r w:rsidR="00C626D4" w:rsidRPr="00430E9E">
        <w:rPr>
          <w:sz w:val="28"/>
          <w:szCs w:val="28"/>
          <w:lang w:eastAsia="en-US"/>
        </w:rPr>
        <w:t xml:space="preserve"> </w:t>
      </w:r>
      <w:r w:rsidRPr="00430E9E">
        <w:rPr>
          <w:sz w:val="28"/>
          <w:szCs w:val="28"/>
          <w:lang w:eastAsia="en-US"/>
        </w:rPr>
        <w:t>"</w:t>
      </w:r>
      <w:r w:rsidR="00C626D4" w:rsidRPr="00430E9E">
        <w:rPr>
          <w:sz w:val="28"/>
          <w:szCs w:val="28"/>
          <w:lang w:eastAsia="en-US"/>
        </w:rPr>
        <w:t>Par valsts un pašvaldību zemes īpašum</w:t>
      </w:r>
      <w:r w:rsidR="00FD0B44" w:rsidRPr="00430E9E">
        <w:rPr>
          <w:sz w:val="28"/>
          <w:szCs w:val="28"/>
          <w:lang w:eastAsia="en-US"/>
        </w:rPr>
        <w:t>a</w:t>
      </w:r>
      <w:r w:rsidR="00C626D4" w:rsidRPr="00430E9E">
        <w:rPr>
          <w:sz w:val="28"/>
          <w:szCs w:val="28"/>
          <w:lang w:eastAsia="en-US"/>
        </w:rPr>
        <w:t xml:space="preserve"> tiesībām un to nostiprināšan</w:t>
      </w:r>
      <w:r w:rsidR="00FD0B44" w:rsidRPr="00430E9E">
        <w:rPr>
          <w:sz w:val="28"/>
          <w:szCs w:val="28"/>
          <w:lang w:eastAsia="en-US"/>
        </w:rPr>
        <w:t>u</w:t>
      </w:r>
      <w:r w:rsidR="00C626D4" w:rsidRPr="00430E9E">
        <w:rPr>
          <w:sz w:val="28"/>
          <w:szCs w:val="28"/>
          <w:lang w:eastAsia="en-US"/>
        </w:rPr>
        <w:t xml:space="preserve"> zemesgrāmatā</w:t>
      </w:r>
      <w:r w:rsidR="00FD0B44" w:rsidRPr="00430E9E">
        <w:rPr>
          <w:sz w:val="28"/>
          <w:szCs w:val="28"/>
          <w:lang w:eastAsia="en-US"/>
        </w:rPr>
        <w:t>s</w:t>
      </w:r>
      <w:r w:rsidRPr="00430E9E">
        <w:rPr>
          <w:sz w:val="28"/>
          <w:szCs w:val="28"/>
          <w:lang w:eastAsia="en-US"/>
        </w:rPr>
        <w:t>"</w:t>
      </w:r>
      <w:r w:rsidR="00C626D4" w:rsidRPr="00430E9E">
        <w:rPr>
          <w:sz w:val="28"/>
          <w:szCs w:val="28"/>
          <w:lang w:eastAsia="en-US"/>
        </w:rPr>
        <w:t xml:space="preserve"> </w:t>
      </w:r>
      <w:r w:rsidR="00C168AD" w:rsidRPr="00430E9E">
        <w:rPr>
          <w:sz w:val="28"/>
          <w:szCs w:val="28"/>
          <w:lang w:eastAsia="en-US"/>
        </w:rPr>
        <w:t>8.panta septīto daļu</w:t>
      </w:r>
      <w:r w:rsidR="00FD0B44" w:rsidRPr="00430E9E">
        <w:rPr>
          <w:sz w:val="28"/>
          <w:szCs w:val="28"/>
          <w:lang w:eastAsia="en-US"/>
        </w:rPr>
        <w:t>,</w:t>
      </w:r>
      <w:r w:rsidR="00C168AD" w:rsidRPr="00430E9E">
        <w:rPr>
          <w:sz w:val="28"/>
          <w:szCs w:val="28"/>
          <w:lang w:eastAsia="en-US"/>
        </w:rPr>
        <w:t xml:space="preserve"> likum</w:t>
      </w:r>
      <w:r w:rsidR="002D54B5" w:rsidRPr="00430E9E">
        <w:rPr>
          <w:sz w:val="28"/>
          <w:szCs w:val="28"/>
          <w:lang w:eastAsia="en-US"/>
        </w:rPr>
        <w:t>a</w:t>
      </w:r>
      <w:r w:rsidR="00C168AD" w:rsidRPr="00430E9E">
        <w:rPr>
          <w:sz w:val="28"/>
          <w:szCs w:val="28"/>
          <w:lang w:eastAsia="en-US"/>
        </w:rPr>
        <w:t xml:space="preserve"> </w:t>
      </w:r>
      <w:r w:rsidRPr="00430E9E">
        <w:rPr>
          <w:sz w:val="28"/>
          <w:szCs w:val="28"/>
          <w:lang w:eastAsia="en-US"/>
        </w:rPr>
        <w:t>"</w:t>
      </w:r>
      <w:r w:rsidR="002D54B5" w:rsidRPr="00430E9E">
        <w:rPr>
          <w:sz w:val="28"/>
          <w:szCs w:val="28"/>
          <w:lang w:eastAsia="en-US"/>
        </w:rPr>
        <w:t>P</w:t>
      </w:r>
      <w:r w:rsidR="00C168AD" w:rsidRPr="00430E9E">
        <w:rPr>
          <w:sz w:val="28"/>
          <w:szCs w:val="28"/>
          <w:lang w:eastAsia="en-US"/>
        </w:rPr>
        <w:t>ar nekustamā īpa</w:t>
      </w:r>
      <w:r w:rsidR="00F35BF6" w:rsidRPr="00430E9E">
        <w:rPr>
          <w:sz w:val="28"/>
          <w:szCs w:val="28"/>
          <w:lang w:eastAsia="en-US"/>
        </w:rPr>
        <w:t>šuma ierakstīšanu zemesgrāmatā</w:t>
      </w:r>
      <w:r w:rsidR="00FD0B44" w:rsidRPr="00430E9E">
        <w:rPr>
          <w:sz w:val="28"/>
          <w:szCs w:val="28"/>
          <w:lang w:eastAsia="en-US"/>
        </w:rPr>
        <w:t>s</w:t>
      </w:r>
      <w:r w:rsidRPr="00430E9E">
        <w:rPr>
          <w:sz w:val="28"/>
          <w:szCs w:val="28"/>
          <w:lang w:eastAsia="en-US"/>
        </w:rPr>
        <w:t>"</w:t>
      </w:r>
      <w:r w:rsidR="00F35BF6" w:rsidRPr="00430E9E">
        <w:rPr>
          <w:sz w:val="28"/>
          <w:szCs w:val="28"/>
          <w:lang w:eastAsia="en-US"/>
        </w:rPr>
        <w:t xml:space="preserve"> </w:t>
      </w:r>
      <w:r w:rsidR="00C168AD" w:rsidRPr="00430E9E">
        <w:rPr>
          <w:sz w:val="28"/>
          <w:szCs w:val="28"/>
          <w:lang w:eastAsia="en-US"/>
        </w:rPr>
        <w:t>36.panta otro daļu</w:t>
      </w:r>
      <w:r w:rsidR="002D54B5" w:rsidRPr="00430E9E">
        <w:rPr>
          <w:sz w:val="28"/>
          <w:szCs w:val="28"/>
          <w:lang w:eastAsia="en-US"/>
        </w:rPr>
        <w:t xml:space="preserve"> un likuma </w:t>
      </w:r>
      <w:r w:rsidRPr="00430E9E">
        <w:rPr>
          <w:sz w:val="28"/>
          <w:szCs w:val="28"/>
          <w:lang w:eastAsia="en-US"/>
        </w:rPr>
        <w:t>"</w:t>
      </w:r>
      <w:r w:rsidR="002D54B5" w:rsidRPr="00430E9E">
        <w:rPr>
          <w:sz w:val="28"/>
          <w:szCs w:val="28"/>
          <w:lang w:eastAsia="en-US"/>
        </w:rPr>
        <w:t>Par valsts un pašvaldību kapitāla daļām un kapitālsabiedrībām</w:t>
      </w:r>
      <w:r w:rsidRPr="00430E9E">
        <w:rPr>
          <w:sz w:val="28"/>
          <w:szCs w:val="28"/>
          <w:lang w:eastAsia="en-US"/>
        </w:rPr>
        <w:t>"</w:t>
      </w:r>
      <w:r w:rsidR="002D54B5" w:rsidRPr="00430E9E">
        <w:rPr>
          <w:sz w:val="28"/>
          <w:szCs w:val="28"/>
          <w:lang w:eastAsia="en-US"/>
        </w:rPr>
        <w:t xml:space="preserve"> 10.panta pirmās daļas 2.punktu, uzskaita Ekonomikas ministrija</w:t>
      </w:r>
      <w:r w:rsidR="005C4367" w:rsidRPr="00430E9E">
        <w:rPr>
          <w:sz w:val="28"/>
          <w:szCs w:val="28"/>
          <w:lang w:eastAsia="en-US"/>
        </w:rPr>
        <w:t>.</w:t>
      </w:r>
      <w:r w:rsidR="00230387" w:rsidRPr="00430E9E">
        <w:rPr>
          <w:sz w:val="28"/>
          <w:szCs w:val="28"/>
          <w:lang w:eastAsia="en-US"/>
        </w:rPr>
        <w:t xml:space="preserve"> </w:t>
      </w:r>
    </w:p>
    <w:p w14:paraId="77FEB632" w14:textId="77777777" w:rsidR="004A2407" w:rsidRPr="00430E9E" w:rsidRDefault="004A2407" w:rsidP="004A2407">
      <w:pPr>
        <w:ind w:right="-238" w:firstLine="709"/>
        <w:jc w:val="both"/>
        <w:rPr>
          <w:sz w:val="28"/>
          <w:szCs w:val="28"/>
          <w:lang w:eastAsia="en-US"/>
        </w:rPr>
      </w:pPr>
    </w:p>
    <w:p w14:paraId="4D677CE0" w14:textId="71CB1B05" w:rsidR="00230387" w:rsidRPr="00430E9E" w:rsidRDefault="00C626D4" w:rsidP="004A2407">
      <w:pPr>
        <w:ind w:right="-238" w:firstLine="709"/>
        <w:jc w:val="both"/>
        <w:rPr>
          <w:sz w:val="28"/>
          <w:szCs w:val="28"/>
        </w:rPr>
      </w:pPr>
      <w:r w:rsidRPr="00430E9E">
        <w:rPr>
          <w:sz w:val="28"/>
          <w:szCs w:val="28"/>
          <w:lang w:eastAsia="en-US"/>
        </w:rPr>
        <w:t>25.</w:t>
      </w:r>
      <w:r w:rsidR="002D54B5" w:rsidRPr="00430E9E">
        <w:rPr>
          <w:sz w:val="28"/>
          <w:szCs w:val="28"/>
          <w:vertAlign w:val="superscript"/>
          <w:lang w:eastAsia="en-US"/>
        </w:rPr>
        <w:t>2</w:t>
      </w:r>
      <w:r w:rsidR="000B290C" w:rsidRPr="00430E9E">
        <w:rPr>
          <w:sz w:val="28"/>
          <w:szCs w:val="28"/>
          <w:lang w:eastAsia="en-US"/>
        </w:rPr>
        <w:t> </w:t>
      </w:r>
      <w:r w:rsidR="00933E87" w:rsidRPr="00430E9E">
        <w:rPr>
          <w:sz w:val="28"/>
          <w:szCs w:val="28"/>
          <w:lang w:eastAsia="en-US"/>
        </w:rPr>
        <w:t>N</w:t>
      </w:r>
      <w:r w:rsidR="007537D3" w:rsidRPr="00430E9E">
        <w:rPr>
          <w:sz w:val="28"/>
          <w:szCs w:val="28"/>
          <w:lang w:eastAsia="en-US"/>
        </w:rPr>
        <w:t>ekustamos īpašumus, k</w:t>
      </w:r>
      <w:r w:rsidR="00FD0B44" w:rsidRPr="00430E9E">
        <w:rPr>
          <w:sz w:val="28"/>
          <w:szCs w:val="28"/>
          <w:lang w:eastAsia="en-US"/>
        </w:rPr>
        <w:t>uri</w:t>
      </w:r>
      <w:r w:rsidR="007537D3" w:rsidRPr="00430E9E">
        <w:rPr>
          <w:sz w:val="28"/>
          <w:szCs w:val="28"/>
          <w:lang w:eastAsia="en-US"/>
        </w:rPr>
        <w:t xml:space="preserve"> nodoti privatizācijai</w:t>
      </w:r>
      <w:r w:rsidR="00C44543" w:rsidRPr="00430E9E">
        <w:rPr>
          <w:sz w:val="28"/>
          <w:szCs w:val="28"/>
          <w:lang w:eastAsia="en-US"/>
        </w:rPr>
        <w:t xml:space="preserve"> vai atsavināšanai</w:t>
      </w:r>
      <w:r w:rsidR="00F35BF6" w:rsidRPr="00430E9E">
        <w:rPr>
          <w:sz w:val="28"/>
          <w:szCs w:val="28"/>
          <w:lang w:eastAsia="en-US"/>
        </w:rPr>
        <w:t xml:space="preserve"> </w:t>
      </w:r>
      <w:r w:rsidR="002D54B5" w:rsidRPr="00430E9E">
        <w:rPr>
          <w:sz w:val="28"/>
          <w:szCs w:val="28"/>
          <w:lang w:eastAsia="en-US"/>
        </w:rPr>
        <w:t xml:space="preserve">un </w:t>
      </w:r>
      <w:r w:rsidR="00FD0B44" w:rsidRPr="00430E9E">
        <w:rPr>
          <w:sz w:val="28"/>
          <w:szCs w:val="28"/>
          <w:lang w:eastAsia="en-US"/>
        </w:rPr>
        <w:t xml:space="preserve">kurus </w:t>
      </w:r>
      <w:r w:rsidR="00C44543" w:rsidRPr="00430E9E">
        <w:rPr>
          <w:sz w:val="28"/>
          <w:szCs w:val="28"/>
        </w:rPr>
        <w:t>privatizāciju (atsavināšanu) veicoš</w:t>
      </w:r>
      <w:r w:rsidR="002D54B5" w:rsidRPr="00430E9E">
        <w:rPr>
          <w:sz w:val="28"/>
          <w:szCs w:val="28"/>
        </w:rPr>
        <w:t xml:space="preserve">ā </w:t>
      </w:r>
      <w:r w:rsidR="00C44543" w:rsidRPr="00430E9E">
        <w:rPr>
          <w:sz w:val="28"/>
          <w:szCs w:val="28"/>
        </w:rPr>
        <w:t xml:space="preserve">institūcija </w:t>
      </w:r>
      <w:r w:rsidR="000D5059" w:rsidRPr="00430E9E">
        <w:rPr>
          <w:sz w:val="28"/>
          <w:szCs w:val="28"/>
        </w:rPr>
        <w:t xml:space="preserve">ir </w:t>
      </w:r>
      <w:r w:rsidR="0018373A" w:rsidRPr="00430E9E">
        <w:rPr>
          <w:sz w:val="28"/>
          <w:szCs w:val="28"/>
        </w:rPr>
        <w:t>ņēmusi valdījumā</w:t>
      </w:r>
      <w:r w:rsidR="000D5059" w:rsidRPr="00430E9E">
        <w:rPr>
          <w:sz w:val="28"/>
          <w:szCs w:val="28"/>
        </w:rPr>
        <w:t xml:space="preserve">, </w:t>
      </w:r>
      <w:proofErr w:type="gramStart"/>
      <w:r w:rsidR="000D5059" w:rsidRPr="00430E9E">
        <w:rPr>
          <w:sz w:val="28"/>
          <w:szCs w:val="28"/>
        </w:rPr>
        <w:t>bet</w:t>
      </w:r>
      <w:proofErr w:type="gramEnd"/>
      <w:r w:rsidR="0018373A" w:rsidRPr="00430E9E">
        <w:rPr>
          <w:sz w:val="28"/>
          <w:szCs w:val="28"/>
        </w:rPr>
        <w:t xml:space="preserve"> </w:t>
      </w:r>
      <w:r w:rsidR="00FD0B44" w:rsidRPr="00430E9E">
        <w:rPr>
          <w:sz w:val="28"/>
          <w:szCs w:val="28"/>
        </w:rPr>
        <w:t xml:space="preserve">kuru </w:t>
      </w:r>
      <w:r w:rsidR="005A48B8" w:rsidRPr="00430E9E">
        <w:rPr>
          <w:sz w:val="28"/>
          <w:szCs w:val="28"/>
        </w:rPr>
        <w:t>īpašuma tiesības vēl nav nostiprinātas zemesgrāmatā</w:t>
      </w:r>
      <w:r w:rsidR="002D54B5" w:rsidRPr="00430E9E">
        <w:rPr>
          <w:sz w:val="28"/>
          <w:szCs w:val="28"/>
        </w:rPr>
        <w:t>, uzskaita Ekonomikas ministrija.</w:t>
      </w:r>
      <w:r w:rsidR="004A2407" w:rsidRPr="00430E9E">
        <w:rPr>
          <w:sz w:val="28"/>
          <w:szCs w:val="28"/>
        </w:rPr>
        <w:t>"</w:t>
      </w:r>
      <w:r w:rsidR="00CE2CE9" w:rsidRPr="00430E9E">
        <w:rPr>
          <w:sz w:val="28"/>
          <w:szCs w:val="28"/>
        </w:rPr>
        <w:t>;</w:t>
      </w:r>
    </w:p>
    <w:p w14:paraId="01A09B8C" w14:textId="77777777" w:rsidR="004A2407" w:rsidRPr="00430E9E" w:rsidRDefault="004A2407" w:rsidP="004A2407">
      <w:pPr>
        <w:ind w:right="-238" w:firstLine="709"/>
        <w:jc w:val="both"/>
        <w:rPr>
          <w:sz w:val="28"/>
          <w:szCs w:val="28"/>
          <w:lang w:eastAsia="en-US"/>
        </w:rPr>
      </w:pPr>
    </w:p>
    <w:p w14:paraId="487EED32" w14:textId="77777777" w:rsidR="00430E9E" w:rsidRDefault="00430E9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172AF587" w14:textId="401D8B89" w:rsidR="00E4462A" w:rsidRPr="00430E9E" w:rsidRDefault="00E4462A" w:rsidP="00E4462A">
      <w:pPr>
        <w:ind w:right="-238" w:firstLine="709"/>
        <w:jc w:val="both"/>
        <w:rPr>
          <w:sz w:val="28"/>
          <w:szCs w:val="28"/>
          <w:lang w:eastAsia="en-US"/>
        </w:rPr>
      </w:pPr>
      <w:r w:rsidRPr="00430E9E">
        <w:rPr>
          <w:sz w:val="28"/>
          <w:szCs w:val="28"/>
          <w:lang w:eastAsia="en-US"/>
        </w:rPr>
        <w:lastRenderedPageBreak/>
        <w:t>1.3. papildināt noteikumus ar 200.</w:t>
      </w:r>
      <w:r w:rsidRPr="00430E9E">
        <w:rPr>
          <w:sz w:val="28"/>
          <w:szCs w:val="28"/>
          <w:vertAlign w:val="superscript"/>
          <w:lang w:eastAsia="en-US"/>
        </w:rPr>
        <w:t xml:space="preserve">5 </w:t>
      </w:r>
      <w:r w:rsidRPr="00430E9E">
        <w:rPr>
          <w:sz w:val="28"/>
          <w:szCs w:val="28"/>
          <w:lang w:eastAsia="en-US"/>
        </w:rPr>
        <w:t>punktu šādā redakcijā:</w:t>
      </w:r>
    </w:p>
    <w:p w14:paraId="661A0279" w14:textId="77777777" w:rsidR="00E4462A" w:rsidRPr="00430E9E" w:rsidRDefault="00E4462A" w:rsidP="00E4462A">
      <w:pPr>
        <w:ind w:right="-238" w:firstLine="709"/>
        <w:jc w:val="both"/>
        <w:rPr>
          <w:sz w:val="28"/>
          <w:szCs w:val="28"/>
          <w:lang w:eastAsia="en-US"/>
        </w:rPr>
      </w:pPr>
    </w:p>
    <w:p w14:paraId="0EDDD246" w14:textId="77777777" w:rsidR="00E4462A" w:rsidRDefault="00E4462A" w:rsidP="00E4462A">
      <w:pPr>
        <w:ind w:right="-238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Pr="00FC76DE">
        <w:rPr>
          <w:sz w:val="28"/>
          <w:szCs w:val="28"/>
          <w:lang w:eastAsia="en-US"/>
        </w:rPr>
        <w:t>200.</w:t>
      </w:r>
      <w:r>
        <w:rPr>
          <w:sz w:val="28"/>
          <w:szCs w:val="28"/>
          <w:vertAlign w:val="superscript"/>
          <w:lang w:eastAsia="en-US"/>
        </w:rPr>
        <w:t>5</w:t>
      </w:r>
      <w:r w:rsidRPr="00FC76D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Ekonomikas ministrija</w:t>
      </w:r>
      <w:r w:rsidRPr="005964A1">
        <w:rPr>
          <w:sz w:val="28"/>
          <w:szCs w:val="28"/>
          <w:lang w:eastAsia="en-US"/>
        </w:rPr>
        <w:t xml:space="preserve"> nodrošina</w:t>
      </w:r>
      <w:r>
        <w:rPr>
          <w:sz w:val="28"/>
          <w:szCs w:val="28"/>
          <w:lang w:eastAsia="en-US"/>
        </w:rPr>
        <w:t>, ka:</w:t>
      </w:r>
    </w:p>
    <w:p w14:paraId="6ED873A3" w14:textId="4703CEDE" w:rsidR="00E4462A" w:rsidRDefault="00E4462A" w:rsidP="00E4462A">
      <w:pPr>
        <w:ind w:right="-238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200.</w:t>
      </w:r>
      <w:r>
        <w:rPr>
          <w:sz w:val="28"/>
          <w:szCs w:val="28"/>
          <w:vertAlign w:val="superscript"/>
          <w:lang w:eastAsia="en-US"/>
        </w:rPr>
        <w:t>5 </w:t>
      </w:r>
      <w:r>
        <w:rPr>
          <w:sz w:val="28"/>
          <w:szCs w:val="28"/>
          <w:lang w:eastAsia="en-US"/>
        </w:rPr>
        <w:t>1. </w:t>
      </w:r>
      <w:r w:rsidRPr="004F0A7E">
        <w:rPr>
          <w:rFonts w:eastAsia="Calibri"/>
          <w:sz w:val="28"/>
          <w:szCs w:val="28"/>
          <w:lang w:eastAsia="en-US"/>
        </w:rPr>
        <w:t xml:space="preserve">ne vēlāk kā līdz </w:t>
      </w:r>
      <w:r>
        <w:rPr>
          <w:rFonts w:eastAsia="Calibri"/>
          <w:sz w:val="28"/>
          <w:szCs w:val="28"/>
          <w:lang w:eastAsia="en-US"/>
        </w:rPr>
        <w:t>2014</w:t>
      </w:r>
      <w:r w:rsidRPr="004F0A7E">
        <w:rPr>
          <w:rFonts w:eastAsia="Calibri"/>
          <w:sz w:val="28"/>
          <w:szCs w:val="28"/>
          <w:lang w:eastAsia="en-US"/>
        </w:rPr>
        <w:t>.gada 31.decembrim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grāmatvedības uzskaitē</w:t>
      </w:r>
      <w:r>
        <w:rPr>
          <w:rFonts w:eastAsia="Calibri"/>
          <w:sz w:val="28"/>
          <w:szCs w:val="28"/>
          <w:lang w:eastAsia="en-US"/>
        </w:rPr>
        <w:t xml:space="preserve"> tiek ieviestas š</w:t>
      </w:r>
      <w:r w:rsidRPr="005964A1">
        <w:rPr>
          <w:sz w:val="28"/>
          <w:szCs w:val="28"/>
          <w:lang w:eastAsia="en-US"/>
        </w:rPr>
        <w:t>o noteikumu 2</w:t>
      </w:r>
      <w:r>
        <w:rPr>
          <w:sz w:val="28"/>
          <w:szCs w:val="28"/>
          <w:lang w:eastAsia="en-US"/>
        </w:rPr>
        <w:t>5.</w:t>
      </w:r>
      <w:r w:rsidRPr="00B65FE0">
        <w:rPr>
          <w:sz w:val="28"/>
          <w:szCs w:val="28"/>
          <w:vertAlign w:val="superscript"/>
          <w:lang w:eastAsia="en-US"/>
        </w:rPr>
        <w:t>1</w:t>
      </w:r>
      <w:r w:rsidR="003F1D57">
        <w:rPr>
          <w:sz w:val="28"/>
          <w:szCs w:val="28"/>
          <w:vertAlign w:val="superscript"/>
          <w:lang w:eastAsia="en-US"/>
        </w:rPr>
        <w:t> </w:t>
      </w:r>
      <w:r>
        <w:rPr>
          <w:sz w:val="28"/>
          <w:szCs w:val="28"/>
          <w:lang w:eastAsia="en-US"/>
        </w:rPr>
        <w:t>punk</w:t>
      </w:r>
      <w:r w:rsidRPr="005964A1">
        <w:rPr>
          <w:sz w:val="28"/>
          <w:szCs w:val="28"/>
          <w:lang w:eastAsia="en-US"/>
        </w:rPr>
        <w:t>tā</w:t>
      </w:r>
      <w:r>
        <w:rPr>
          <w:sz w:val="28"/>
          <w:szCs w:val="28"/>
          <w:lang w:eastAsia="en-US"/>
        </w:rPr>
        <w:t xml:space="preserve"> minētās</w:t>
      </w:r>
      <w:r w:rsidRPr="005964A1">
        <w:rPr>
          <w:sz w:val="28"/>
          <w:szCs w:val="28"/>
          <w:lang w:eastAsia="en-US"/>
        </w:rPr>
        <w:t xml:space="preserve"> prasīb</w:t>
      </w:r>
      <w:r>
        <w:rPr>
          <w:sz w:val="28"/>
          <w:szCs w:val="28"/>
          <w:lang w:eastAsia="en-US"/>
        </w:rPr>
        <w:t>as</w:t>
      </w:r>
      <w:r w:rsidRPr="005964A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attiecībā uz valsts kapitāla daļām (akcijām);</w:t>
      </w:r>
    </w:p>
    <w:p w14:paraId="00D91480" w14:textId="1780207A" w:rsidR="00E4462A" w:rsidRDefault="00E4462A" w:rsidP="00E4462A">
      <w:pPr>
        <w:ind w:right="-238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200.</w:t>
      </w:r>
      <w:r>
        <w:rPr>
          <w:sz w:val="28"/>
          <w:szCs w:val="28"/>
          <w:vertAlign w:val="superscript"/>
          <w:lang w:eastAsia="en-US"/>
        </w:rPr>
        <w:t>5 </w:t>
      </w:r>
      <w:r>
        <w:rPr>
          <w:sz w:val="28"/>
          <w:szCs w:val="28"/>
          <w:lang w:eastAsia="en-US"/>
        </w:rPr>
        <w:t>2. ne vēlāk kā līdz 2015.gada 31.decembrim grāmatvedības uzskaitē</w:t>
      </w:r>
      <w:r>
        <w:rPr>
          <w:rFonts w:eastAsia="Calibri"/>
          <w:sz w:val="28"/>
          <w:szCs w:val="28"/>
          <w:lang w:eastAsia="en-US"/>
        </w:rPr>
        <w:t xml:space="preserve"> tiek </w:t>
      </w:r>
      <w:proofErr w:type="gramStart"/>
      <w:r>
        <w:rPr>
          <w:rFonts w:eastAsia="Calibri"/>
          <w:sz w:val="28"/>
          <w:szCs w:val="28"/>
          <w:lang w:eastAsia="en-US"/>
        </w:rPr>
        <w:t>ieviestas š</w:t>
      </w:r>
      <w:r w:rsidRPr="005964A1">
        <w:rPr>
          <w:sz w:val="28"/>
          <w:szCs w:val="28"/>
          <w:lang w:eastAsia="en-US"/>
        </w:rPr>
        <w:t>o</w:t>
      </w:r>
      <w:proofErr w:type="gramEnd"/>
      <w:r w:rsidRPr="005964A1">
        <w:rPr>
          <w:sz w:val="28"/>
          <w:szCs w:val="28"/>
          <w:lang w:eastAsia="en-US"/>
        </w:rPr>
        <w:t xml:space="preserve"> noteikumu 2</w:t>
      </w:r>
      <w:r>
        <w:rPr>
          <w:sz w:val="28"/>
          <w:szCs w:val="28"/>
          <w:lang w:eastAsia="en-US"/>
        </w:rPr>
        <w:t>5.</w:t>
      </w:r>
      <w:r w:rsidRPr="00B65FE0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 un </w:t>
      </w:r>
      <w:r w:rsidRPr="005964A1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5.</w:t>
      </w:r>
      <w:r w:rsidRPr="002D54B5">
        <w:rPr>
          <w:sz w:val="28"/>
          <w:szCs w:val="28"/>
          <w:vertAlign w:val="superscript"/>
          <w:lang w:eastAsia="en-US"/>
        </w:rPr>
        <w:t>2</w:t>
      </w:r>
      <w:r>
        <w:rPr>
          <w:sz w:val="28"/>
          <w:szCs w:val="28"/>
          <w:vertAlign w:val="superscript"/>
          <w:lang w:eastAsia="en-US"/>
        </w:rPr>
        <w:t> </w:t>
      </w:r>
      <w:r>
        <w:rPr>
          <w:sz w:val="28"/>
          <w:szCs w:val="28"/>
          <w:lang w:eastAsia="en-US"/>
        </w:rPr>
        <w:t>punk</w:t>
      </w:r>
      <w:r w:rsidRPr="005964A1">
        <w:rPr>
          <w:sz w:val="28"/>
          <w:szCs w:val="28"/>
          <w:lang w:eastAsia="en-US"/>
        </w:rPr>
        <w:t>t</w:t>
      </w:r>
      <w:r>
        <w:rPr>
          <w:sz w:val="28"/>
          <w:szCs w:val="28"/>
          <w:lang w:eastAsia="en-US"/>
        </w:rPr>
        <w:t>ā minētās</w:t>
      </w:r>
      <w:r w:rsidRPr="005964A1">
        <w:rPr>
          <w:sz w:val="28"/>
          <w:szCs w:val="28"/>
          <w:lang w:eastAsia="en-US"/>
        </w:rPr>
        <w:t xml:space="preserve"> prasīb</w:t>
      </w:r>
      <w:r>
        <w:rPr>
          <w:sz w:val="28"/>
          <w:szCs w:val="28"/>
          <w:lang w:eastAsia="en-US"/>
        </w:rPr>
        <w:t>as</w:t>
      </w:r>
      <w:r w:rsidRPr="005964A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attiecībā uz valstij piederošajiem (piekrītošajiem) nekustamajiem īpašumiem.";</w:t>
      </w:r>
    </w:p>
    <w:p w14:paraId="22F435B6" w14:textId="77777777" w:rsidR="00E4462A" w:rsidRDefault="00E4462A" w:rsidP="00E4462A">
      <w:pPr>
        <w:ind w:right="-238" w:firstLine="709"/>
        <w:jc w:val="both"/>
        <w:rPr>
          <w:sz w:val="28"/>
          <w:szCs w:val="28"/>
          <w:lang w:eastAsia="en-US"/>
        </w:rPr>
      </w:pPr>
    </w:p>
    <w:p w14:paraId="4D677CE1" w14:textId="61611399" w:rsidR="00192A4F" w:rsidRDefault="00DB7EED" w:rsidP="004A2407">
      <w:pPr>
        <w:ind w:right="-238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E4462A">
        <w:rPr>
          <w:sz w:val="28"/>
          <w:szCs w:val="28"/>
          <w:lang w:eastAsia="en-US"/>
        </w:rPr>
        <w:t>4</w:t>
      </w:r>
      <w:r w:rsidR="000B290C">
        <w:rPr>
          <w:sz w:val="28"/>
          <w:szCs w:val="28"/>
          <w:lang w:eastAsia="en-US"/>
        </w:rPr>
        <w:t>. </w:t>
      </w:r>
      <w:r w:rsidR="005C4367">
        <w:rPr>
          <w:sz w:val="28"/>
          <w:szCs w:val="28"/>
          <w:lang w:eastAsia="en-US"/>
        </w:rPr>
        <w:t>p</w:t>
      </w:r>
      <w:r w:rsidR="00192A4F">
        <w:rPr>
          <w:sz w:val="28"/>
          <w:szCs w:val="28"/>
          <w:lang w:eastAsia="en-US"/>
        </w:rPr>
        <w:t>apildināt</w:t>
      </w:r>
      <w:r w:rsidR="00192A4F" w:rsidRPr="006708F8">
        <w:rPr>
          <w:sz w:val="28"/>
          <w:szCs w:val="28"/>
          <w:lang w:eastAsia="en-US"/>
        </w:rPr>
        <w:t xml:space="preserve"> 1.pielikuma </w:t>
      </w:r>
      <w:r w:rsidR="00192A4F">
        <w:rPr>
          <w:sz w:val="28"/>
          <w:szCs w:val="28"/>
          <w:lang w:eastAsia="en-US"/>
        </w:rPr>
        <w:t>I nodaļas</w:t>
      </w:r>
      <w:r w:rsidR="00192A4F" w:rsidRPr="006708F8">
        <w:rPr>
          <w:sz w:val="28"/>
          <w:szCs w:val="28"/>
          <w:lang w:eastAsia="en-US"/>
        </w:rPr>
        <w:t xml:space="preserve"> </w:t>
      </w:r>
      <w:r w:rsidR="004A2407">
        <w:rPr>
          <w:sz w:val="28"/>
          <w:szCs w:val="28"/>
          <w:lang w:eastAsia="en-US"/>
        </w:rPr>
        <w:t>"</w:t>
      </w:r>
      <w:r w:rsidR="00192A4F">
        <w:rPr>
          <w:sz w:val="28"/>
          <w:szCs w:val="28"/>
          <w:lang w:eastAsia="en-US"/>
        </w:rPr>
        <w:t>Kontu plāna shēma</w:t>
      </w:r>
      <w:r w:rsidR="004A2407">
        <w:rPr>
          <w:sz w:val="28"/>
          <w:szCs w:val="28"/>
          <w:lang w:eastAsia="en-US"/>
        </w:rPr>
        <w:t>"</w:t>
      </w:r>
      <w:r w:rsidR="00192A4F" w:rsidRPr="006708F8">
        <w:rPr>
          <w:sz w:val="28"/>
          <w:szCs w:val="28"/>
          <w:lang w:eastAsia="en-US"/>
        </w:rPr>
        <w:t xml:space="preserve"> </w:t>
      </w:r>
      <w:r w:rsidR="00192A4F">
        <w:rPr>
          <w:sz w:val="28"/>
          <w:szCs w:val="28"/>
          <w:lang w:eastAsia="en-US"/>
        </w:rPr>
        <w:t xml:space="preserve">tabulu </w:t>
      </w:r>
      <w:r w:rsidR="00CE2CE9">
        <w:rPr>
          <w:sz w:val="28"/>
          <w:szCs w:val="28"/>
          <w:lang w:eastAsia="en-US"/>
        </w:rPr>
        <w:t xml:space="preserve">aiz konta 1359 ar kontiem 1370, 1371, 1372, 1374 un 1375 </w:t>
      </w:r>
      <w:r w:rsidR="00192A4F">
        <w:rPr>
          <w:sz w:val="28"/>
          <w:szCs w:val="28"/>
          <w:lang w:eastAsia="en-US"/>
        </w:rPr>
        <w:t>šādā redakcijā:</w:t>
      </w:r>
    </w:p>
    <w:p w14:paraId="097BF53F" w14:textId="77777777" w:rsidR="004A2407" w:rsidRPr="00E4462A" w:rsidRDefault="004A2407" w:rsidP="004A2407">
      <w:pPr>
        <w:ind w:right="-238" w:firstLine="709"/>
        <w:jc w:val="both"/>
        <w:rPr>
          <w:szCs w:val="28"/>
        </w:rPr>
      </w:pPr>
    </w:p>
    <w:tbl>
      <w:tblPr>
        <w:tblW w:w="51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5"/>
        <w:gridCol w:w="635"/>
        <w:gridCol w:w="705"/>
        <w:gridCol w:w="701"/>
        <w:gridCol w:w="6469"/>
      </w:tblGrid>
      <w:tr w:rsidR="00192A4F" w:rsidRPr="00E4462A" w14:paraId="4D677CE7" w14:textId="77777777" w:rsidTr="00E4462A">
        <w:trPr>
          <w:trHeight w:val="20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E2" w14:textId="5A1F18CB" w:rsidR="00192A4F" w:rsidRPr="00E4462A" w:rsidRDefault="004A2407" w:rsidP="004A2407">
            <w:pPr>
              <w:rPr>
                <w:szCs w:val="28"/>
              </w:rPr>
            </w:pPr>
            <w:r w:rsidRPr="00E4462A">
              <w:rPr>
                <w:szCs w:val="28"/>
              </w:rPr>
              <w:t>"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E3" w14:textId="77777777" w:rsidR="00192A4F" w:rsidRPr="00E4462A" w:rsidRDefault="00192A4F" w:rsidP="004A2407">
            <w:pPr>
              <w:rPr>
                <w:szCs w:val="2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E4" w14:textId="77777777" w:rsidR="00192A4F" w:rsidRPr="00E4462A" w:rsidRDefault="00192A4F" w:rsidP="004A2407">
            <w:pPr>
              <w:rPr>
                <w:szCs w:val="28"/>
              </w:rPr>
            </w:pPr>
            <w:r w:rsidRPr="00E4462A">
              <w:rPr>
                <w:szCs w:val="28"/>
              </w:rPr>
              <w:t>1370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E5" w14:textId="77777777" w:rsidR="00192A4F" w:rsidRPr="00E4462A" w:rsidRDefault="00192A4F" w:rsidP="004A2407">
            <w:pPr>
              <w:rPr>
                <w:szCs w:val="28"/>
              </w:rPr>
            </w:pPr>
          </w:p>
        </w:tc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E6" w14:textId="77777777" w:rsidR="00192A4F" w:rsidRPr="00E4462A" w:rsidRDefault="00192A4F" w:rsidP="00E4462A">
            <w:pPr>
              <w:rPr>
                <w:szCs w:val="28"/>
              </w:rPr>
            </w:pPr>
            <w:r w:rsidRPr="00E4462A">
              <w:rPr>
                <w:szCs w:val="28"/>
              </w:rPr>
              <w:t>Turējumā nodoti ilgtermiņa finanšu ieguldījumi</w:t>
            </w:r>
          </w:p>
        </w:tc>
      </w:tr>
      <w:tr w:rsidR="00192A4F" w:rsidRPr="00E4462A" w14:paraId="4D677CED" w14:textId="77777777" w:rsidTr="00E4462A">
        <w:trPr>
          <w:trHeight w:val="20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E8" w14:textId="77777777" w:rsidR="00192A4F" w:rsidRPr="00E4462A" w:rsidRDefault="00192A4F" w:rsidP="004A2407">
            <w:pPr>
              <w:rPr>
                <w:szCs w:val="28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E9" w14:textId="77777777" w:rsidR="00192A4F" w:rsidRPr="00E4462A" w:rsidRDefault="00192A4F" w:rsidP="004A2407">
            <w:pPr>
              <w:rPr>
                <w:szCs w:val="2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EA" w14:textId="77777777" w:rsidR="00192A4F" w:rsidRPr="00E4462A" w:rsidRDefault="00192A4F" w:rsidP="004A2407">
            <w:pPr>
              <w:rPr>
                <w:szCs w:val="2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EB" w14:textId="77777777" w:rsidR="00192A4F" w:rsidRPr="00E4462A" w:rsidRDefault="00192A4F" w:rsidP="004A2407">
            <w:pPr>
              <w:rPr>
                <w:szCs w:val="28"/>
              </w:rPr>
            </w:pPr>
            <w:r w:rsidRPr="00E4462A">
              <w:rPr>
                <w:szCs w:val="28"/>
              </w:rPr>
              <w:t>1371</w:t>
            </w:r>
          </w:p>
        </w:tc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EC" w14:textId="77777777" w:rsidR="00192A4F" w:rsidRPr="00E4462A" w:rsidRDefault="00192A4F" w:rsidP="00E4462A">
            <w:pPr>
              <w:rPr>
                <w:szCs w:val="28"/>
              </w:rPr>
            </w:pPr>
            <w:r w:rsidRPr="00E4462A">
              <w:rPr>
                <w:szCs w:val="28"/>
              </w:rPr>
              <w:t>Turējumā nodotā līdzdalība radniecīgo kapitālsabiedrību kapitālā</w:t>
            </w:r>
          </w:p>
        </w:tc>
      </w:tr>
      <w:tr w:rsidR="00192A4F" w:rsidRPr="00E4462A" w14:paraId="4D677CF3" w14:textId="77777777" w:rsidTr="00E4462A">
        <w:trPr>
          <w:trHeight w:val="20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EE" w14:textId="77777777" w:rsidR="00192A4F" w:rsidRPr="00E4462A" w:rsidRDefault="00192A4F" w:rsidP="004A2407">
            <w:pPr>
              <w:rPr>
                <w:szCs w:val="28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EF" w14:textId="77777777" w:rsidR="00192A4F" w:rsidRPr="00E4462A" w:rsidRDefault="00192A4F" w:rsidP="004A2407">
            <w:pPr>
              <w:rPr>
                <w:szCs w:val="2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F0" w14:textId="77777777" w:rsidR="00192A4F" w:rsidRPr="00E4462A" w:rsidRDefault="00192A4F" w:rsidP="004A2407">
            <w:pPr>
              <w:rPr>
                <w:szCs w:val="2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F1" w14:textId="77777777" w:rsidR="00192A4F" w:rsidRPr="00E4462A" w:rsidRDefault="00192A4F" w:rsidP="004A2407">
            <w:pPr>
              <w:rPr>
                <w:szCs w:val="28"/>
              </w:rPr>
            </w:pPr>
            <w:r w:rsidRPr="00E4462A">
              <w:rPr>
                <w:szCs w:val="28"/>
              </w:rPr>
              <w:t>1372</w:t>
            </w:r>
          </w:p>
        </w:tc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F2" w14:textId="77777777" w:rsidR="00192A4F" w:rsidRPr="00E4462A" w:rsidRDefault="00192A4F" w:rsidP="00E4462A">
            <w:pPr>
              <w:rPr>
                <w:szCs w:val="28"/>
              </w:rPr>
            </w:pPr>
            <w:r w:rsidRPr="00E4462A">
              <w:rPr>
                <w:szCs w:val="28"/>
              </w:rPr>
              <w:t>Turējumā nodotā līdzdalība asociēto kapitālsabiedrību kapitālā</w:t>
            </w:r>
          </w:p>
        </w:tc>
      </w:tr>
      <w:tr w:rsidR="00192A4F" w:rsidRPr="00E4462A" w14:paraId="4D677CF9" w14:textId="77777777" w:rsidTr="00E4462A">
        <w:trPr>
          <w:trHeight w:val="20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F4" w14:textId="77777777" w:rsidR="00192A4F" w:rsidRPr="00E4462A" w:rsidRDefault="00192A4F" w:rsidP="004A2407">
            <w:pPr>
              <w:rPr>
                <w:szCs w:val="28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F5" w14:textId="77777777" w:rsidR="00192A4F" w:rsidRPr="00E4462A" w:rsidRDefault="00192A4F" w:rsidP="004A2407">
            <w:pPr>
              <w:rPr>
                <w:szCs w:val="2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F6" w14:textId="77777777" w:rsidR="00192A4F" w:rsidRPr="00E4462A" w:rsidRDefault="00192A4F" w:rsidP="004A2407">
            <w:pPr>
              <w:rPr>
                <w:szCs w:val="2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F7" w14:textId="77777777" w:rsidR="00192A4F" w:rsidRPr="00E4462A" w:rsidRDefault="00192A4F" w:rsidP="004A2407">
            <w:pPr>
              <w:rPr>
                <w:szCs w:val="28"/>
              </w:rPr>
            </w:pPr>
            <w:r w:rsidRPr="00E4462A">
              <w:rPr>
                <w:szCs w:val="28"/>
              </w:rPr>
              <w:t>1374</w:t>
            </w:r>
          </w:p>
        </w:tc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F8" w14:textId="77777777" w:rsidR="00192A4F" w:rsidRPr="00E4462A" w:rsidRDefault="00D00F23" w:rsidP="00E4462A">
            <w:pPr>
              <w:rPr>
                <w:szCs w:val="28"/>
              </w:rPr>
            </w:pPr>
            <w:r w:rsidRPr="00E4462A">
              <w:rPr>
                <w:szCs w:val="28"/>
              </w:rPr>
              <w:t>Turējumā nodotie ilgtermiņa finanšu ieguldījumi biržās kotētu kapitālsabiedrību kapitālā</w:t>
            </w:r>
          </w:p>
        </w:tc>
      </w:tr>
      <w:tr w:rsidR="00192A4F" w:rsidRPr="00E4462A" w14:paraId="4D677CFF" w14:textId="77777777" w:rsidTr="00E4462A">
        <w:trPr>
          <w:trHeight w:val="20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FA" w14:textId="77777777" w:rsidR="00192A4F" w:rsidRPr="00E4462A" w:rsidRDefault="00192A4F" w:rsidP="004A2407">
            <w:pPr>
              <w:rPr>
                <w:szCs w:val="28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FB" w14:textId="77777777" w:rsidR="00192A4F" w:rsidRPr="00E4462A" w:rsidRDefault="00192A4F" w:rsidP="004A2407">
            <w:pPr>
              <w:rPr>
                <w:szCs w:val="2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FC" w14:textId="77777777" w:rsidR="00192A4F" w:rsidRPr="00E4462A" w:rsidRDefault="00192A4F" w:rsidP="004A2407">
            <w:pPr>
              <w:rPr>
                <w:szCs w:val="2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FD" w14:textId="77777777" w:rsidR="00192A4F" w:rsidRPr="00E4462A" w:rsidRDefault="00192A4F" w:rsidP="004A2407">
            <w:pPr>
              <w:rPr>
                <w:szCs w:val="28"/>
              </w:rPr>
            </w:pPr>
            <w:r w:rsidRPr="00E4462A">
              <w:rPr>
                <w:szCs w:val="28"/>
              </w:rPr>
              <w:t>1375</w:t>
            </w:r>
          </w:p>
        </w:tc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7CFE" w14:textId="08F86A1A" w:rsidR="00192A4F" w:rsidRPr="00E4462A" w:rsidRDefault="00192A4F" w:rsidP="00E4462A">
            <w:pPr>
              <w:rPr>
                <w:szCs w:val="28"/>
              </w:rPr>
            </w:pPr>
            <w:r w:rsidRPr="00E4462A">
              <w:rPr>
                <w:szCs w:val="28"/>
              </w:rPr>
              <w:t>Turējumā nodotie ilgtermiņa finanšu ieguldījumi biržās nekotētu kapitālsabiedrību kapitālā</w:t>
            </w:r>
            <w:r w:rsidR="004A2407" w:rsidRPr="00E4462A">
              <w:rPr>
                <w:szCs w:val="28"/>
              </w:rPr>
              <w:t>"</w:t>
            </w:r>
          </w:p>
        </w:tc>
      </w:tr>
    </w:tbl>
    <w:p w14:paraId="3290A4C0" w14:textId="77777777" w:rsidR="000B290C" w:rsidRPr="006708F8" w:rsidRDefault="000B290C" w:rsidP="000B290C">
      <w:pPr>
        <w:ind w:right="-238" w:firstLine="709"/>
        <w:jc w:val="both"/>
        <w:rPr>
          <w:sz w:val="28"/>
          <w:szCs w:val="28"/>
        </w:rPr>
      </w:pPr>
    </w:p>
    <w:p w14:paraId="4D677D01" w14:textId="404A4E86" w:rsidR="009318E3" w:rsidRDefault="00DB7EED" w:rsidP="004A2407">
      <w:pPr>
        <w:ind w:right="-238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E4462A">
        <w:rPr>
          <w:sz w:val="28"/>
          <w:szCs w:val="28"/>
          <w:lang w:eastAsia="en-US"/>
        </w:rPr>
        <w:t>5</w:t>
      </w:r>
      <w:r w:rsidR="000B290C">
        <w:rPr>
          <w:sz w:val="28"/>
          <w:szCs w:val="28"/>
          <w:lang w:eastAsia="en-US"/>
        </w:rPr>
        <w:t>. </w:t>
      </w:r>
      <w:r w:rsidR="005C4367">
        <w:rPr>
          <w:sz w:val="28"/>
          <w:szCs w:val="28"/>
          <w:lang w:eastAsia="en-US"/>
        </w:rPr>
        <w:t>i</w:t>
      </w:r>
      <w:r w:rsidR="009318E3" w:rsidRPr="006708F8">
        <w:rPr>
          <w:sz w:val="28"/>
          <w:szCs w:val="28"/>
          <w:lang w:eastAsia="en-US"/>
        </w:rPr>
        <w:t xml:space="preserve">zteikt 1.pielikuma </w:t>
      </w:r>
      <w:r w:rsidR="000C561F" w:rsidRPr="006708F8">
        <w:rPr>
          <w:sz w:val="28"/>
          <w:szCs w:val="28"/>
          <w:lang w:eastAsia="en-US"/>
        </w:rPr>
        <w:t xml:space="preserve">II nodaļas </w:t>
      </w:r>
      <w:r w:rsidR="004A2407">
        <w:rPr>
          <w:sz w:val="28"/>
          <w:szCs w:val="28"/>
          <w:lang w:eastAsia="en-US"/>
        </w:rPr>
        <w:t>"</w:t>
      </w:r>
      <w:r w:rsidR="000C561F" w:rsidRPr="006708F8">
        <w:rPr>
          <w:sz w:val="28"/>
          <w:szCs w:val="28"/>
          <w:lang w:eastAsia="en-US"/>
        </w:rPr>
        <w:t>Grāmatvedības kontu apraksts</w:t>
      </w:r>
      <w:r w:rsidR="004A2407">
        <w:rPr>
          <w:sz w:val="28"/>
          <w:szCs w:val="28"/>
          <w:lang w:eastAsia="en-US"/>
        </w:rPr>
        <w:t>"</w:t>
      </w:r>
      <w:r w:rsidR="000C561F" w:rsidRPr="006708F8">
        <w:rPr>
          <w:sz w:val="28"/>
          <w:szCs w:val="28"/>
          <w:lang w:eastAsia="en-US"/>
        </w:rPr>
        <w:t xml:space="preserve"> 195.punkta</w:t>
      </w:r>
      <w:r w:rsidR="009318E3" w:rsidRPr="006708F8">
        <w:rPr>
          <w:sz w:val="28"/>
          <w:szCs w:val="28"/>
          <w:lang w:eastAsia="en-US"/>
        </w:rPr>
        <w:t xml:space="preserve"> </w:t>
      </w:r>
      <w:r w:rsidR="000C561F" w:rsidRPr="006708F8">
        <w:rPr>
          <w:sz w:val="28"/>
          <w:szCs w:val="28"/>
          <w:lang w:eastAsia="en-US"/>
        </w:rPr>
        <w:t xml:space="preserve">otro </w:t>
      </w:r>
      <w:r w:rsidR="007D3A23" w:rsidRPr="006708F8">
        <w:rPr>
          <w:sz w:val="28"/>
          <w:szCs w:val="28"/>
          <w:lang w:eastAsia="en-US"/>
        </w:rPr>
        <w:t>teikumu</w:t>
      </w:r>
      <w:r w:rsidR="000C561F" w:rsidRPr="006708F8">
        <w:rPr>
          <w:sz w:val="28"/>
          <w:szCs w:val="28"/>
          <w:lang w:eastAsia="en-US"/>
        </w:rPr>
        <w:t xml:space="preserve"> </w:t>
      </w:r>
      <w:r w:rsidR="009318E3" w:rsidRPr="006708F8">
        <w:rPr>
          <w:sz w:val="28"/>
          <w:szCs w:val="28"/>
          <w:lang w:eastAsia="en-US"/>
        </w:rPr>
        <w:t>šādā redakcijā:</w:t>
      </w:r>
    </w:p>
    <w:p w14:paraId="737C2BE1" w14:textId="77777777" w:rsidR="004A2407" w:rsidRPr="006708F8" w:rsidRDefault="004A2407" w:rsidP="004A2407">
      <w:pPr>
        <w:ind w:right="-238" w:firstLine="709"/>
        <w:jc w:val="both"/>
        <w:rPr>
          <w:sz w:val="28"/>
          <w:szCs w:val="28"/>
        </w:rPr>
      </w:pPr>
    </w:p>
    <w:p w14:paraId="4D677D02" w14:textId="68A4B585" w:rsidR="009318E3" w:rsidRDefault="004A2407" w:rsidP="004A2407">
      <w:pPr>
        <w:ind w:right="-238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9318E3" w:rsidRPr="006708F8">
        <w:rPr>
          <w:sz w:val="28"/>
          <w:szCs w:val="28"/>
          <w:lang w:eastAsia="en-US"/>
        </w:rPr>
        <w:t>Pārējās rezervēs uzskaitītas tikai 2008.gadā sākotnēji atzītās mežaudžu sākotnējās atzīšanas vērtības atbilstoši Meža valsts reģistra datiem.</w:t>
      </w:r>
      <w:r>
        <w:rPr>
          <w:sz w:val="28"/>
          <w:szCs w:val="28"/>
          <w:lang w:eastAsia="en-US"/>
        </w:rPr>
        <w:t>"</w:t>
      </w:r>
    </w:p>
    <w:p w14:paraId="7DAC52B4" w14:textId="77777777" w:rsidR="004A2407" w:rsidRDefault="004A2407" w:rsidP="004A2407">
      <w:pPr>
        <w:ind w:right="-238" w:firstLine="709"/>
        <w:jc w:val="both"/>
        <w:rPr>
          <w:sz w:val="28"/>
          <w:szCs w:val="28"/>
          <w:lang w:eastAsia="en-US"/>
        </w:rPr>
      </w:pPr>
    </w:p>
    <w:p w14:paraId="4D677D07" w14:textId="77777777" w:rsidR="00253846" w:rsidRDefault="00DB7EED" w:rsidP="004A2407">
      <w:pPr>
        <w:ind w:right="-238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253846">
        <w:rPr>
          <w:sz w:val="28"/>
          <w:szCs w:val="28"/>
          <w:lang w:eastAsia="en-US"/>
        </w:rPr>
        <w:t>. Noteikumi stājas spēkā 2014.gada 1.janvārī.</w:t>
      </w:r>
    </w:p>
    <w:p w14:paraId="720D2EA4" w14:textId="77777777" w:rsidR="000B290C" w:rsidRPr="006708F8" w:rsidRDefault="000B290C" w:rsidP="000B290C">
      <w:pPr>
        <w:ind w:right="-238" w:firstLine="709"/>
        <w:jc w:val="both"/>
        <w:rPr>
          <w:sz w:val="28"/>
          <w:szCs w:val="28"/>
        </w:rPr>
      </w:pPr>
    </w:p>
    <w:p w14:paraId="7EC3420F" w14:textId="77777777" w:rsidR="000B290C" w:rsidRPr="006708F8" w:rsidRDefault="000B290C" w:rsidP="000B290C">
      <w:pPr>
        <w:ind w:right="-238" w:firstLine="709"/>
        <w:jc w:val="both"/>
        <w:rPr>
          <w:sz w:val="28"/>
          <w:szCs w:val="28"/>
        </w:rPr>
      </w:pPr>
    </w:p>
    <w:p w14:paraId="23CA3CA7" w14:textId="77777777" w:rsidR="000B290C" w:rsidRPr="006708F8" w:rsidRDefault="000B290C" w:rsidP="000B290C">
      <w:pPr>
        <w:ind w:right="-238" w:firstLine="709"/>
        <w:jc w:val="both"/>
        <w:rPr>
          <w:sz w:val="28"/>
          <w:szCs w:val="28"/>
        </w:rPr>
      </w:pPr>
    </w:p>
    <w:p w14:paraId="4D677D09" w14:textId="3DC8877E" w:rsidR="00461A2B" w:rsidRPr="00B115F1" w:rsidRDefault="00B115F1" w:rsidP="000B290C">
      <w:pPr>
        <w:tabs>
          <w:tab w:val="left" w:pos="623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15F1">
        <w:rPr>
          <w:rFonts w:eastAsia="Calibri"/>
          <w:sz w:val="28"/>
          <w:szCs w:val="28"/>
          <w:lang w:eastAsia="en-US"/>
        </w:rPr>
        <w:t>Ministru prezidents</w:t>
      </w:r>
      <w:r w:rsidR="004A2407">
        <w:rPr>
          <w:rFonts w:eastAsia="Calibri"/>
          <w:sz w:val="28"/>
          <w:szCs w:val="28"/>
          <w:lang w:eastAsia="en-US"/>
        </w:rPr>
        <w:tab/>
      </w:r>
      <w:r w:rsidR="00461A2B" w:rsidRPr="00B115F1">
        <w:rPr>
          <w:rFonts w:eastAsia="Calibri"/>
          <w:sz w:val="28"/>
          <w:szCs w:val="28"/>
          <w:lang w:eastAsia="en-US"/>
        </w:rPr>
        <w:t>V</w:t>
      </w:r>
      <w:r w:rsidRPr="00B115F1">
        <w:rPr>
          <w:rFonts w:eastAsia="Calibri"/>
          <w:sz w:val="28"/>
          <w:szCs w:val="28"/>
          <w:lang w:eastAsia="en-US"/>
        </w:rPr>
        <w:t xml:space="preserve">aldis </w:t>
      </w:r>
      <w:r w:rsidR="00461A2B" w:rsidRPr="00B115F1">
        <w:rPr>
          <w:rFonts w:eastAsia="Calibri"/>
          <w:sz w:val="28"/>
          <w:szCs w:val="28"/>
          <w:lang w:eastAsia="en-US"/>
        </w:rPr>
        <w:t>Dombrovskis</w:t>
      </w:r>
    </w:p>
    <w:p w14:paraId="4D677D0A" w14:textId="77777777" w:rsidR="00461A2B" w:rsidRDefault="00461A2B" w:rsidP="00FF4D2A">
      <w:pPr>
        <w:tabs>
          <w:tab w:val="left" w:pos="623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3F98E6D" w14:textId="77777777" w:rsidR="004A2407" w:rsidRDefault="004A2407" w:rsidP="00FF4D2A">
      <w:pPr>
        <w:tabs>
          <w:tab w:val="left" w:pos="623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7D9A2F8" w14:textId="77777777" w:rsidR="004A2407" w:rsidRPr="00B115F1" w:rsidRDefault="004A2407" w:rsidP="00FF4D2A">
      <w:pPr>
        <w:tabs>
          <w:tab w:val="left" w:pos="623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4A7BD54" w14:textId="77777777" w:rsidR="00FF4D2A" w:rsidRPr="00FF4D2A" w:rsidRDefault="00FF4D2A" w:rsidP="00FF4D2A">
      <w:pPr>
        <w:tabs>
          <w:tab w:val="left" w:pos="623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D2A">
        <w:rPr>
          <w:rFonts w:eastAsia="Calibri"/>
          <w:sz w:val="28"/>
          <w:szCs w:val="28"/>
          <w:lang w:eastAsia="en-US"/>
        </w:rPr>
        <w:t>Ekonomikas ministrs,</w:t>
      </w:r>
    </w:p>
    <w:p w14:paraId="121733F5" w14:textId="77777777" w:rsidR="00FF4D2A" w:rsidRPr="00FF4D2A" w:rsidRDefault="00FF4D2A" w:rsidP="00FF4D2A">
      <w:pPr>
        <w:tabs>
          <w:tab w:val="left" w:pos="623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D2A">
        <w:rPr>
          <w:rFonts w:eastAsia="Calibri"/>
          <w:sz w:val="28"/>
          <w:szCs w:val="28"/>
          <w:lang w:eastAsia="en-US"/>
        </w:rPr>
        <w:t xml:space="preserve">vides aizsardzības un </w:t>
      </w:r>
    </w:p>
    <w:p w14:paraId="1F30FBD2" w14:textId="77777777" w:rsidR="00FF4D2A" w:rsidRPr="00FF4D2A" w:rsidRDefault="00FF4D2A" w:rsidP="00FF4D2A">
      <w:pPr>
        <w:tabs>
          <w:tab w:val="left" w:pos="623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D2A">
        <w:rPr>
          <w:rFonts w:eastAsia="Calibri"/>
          <w:sz w:val="28"/>
          <w:szCs w:val="28"/>
          <w:lang w:eastAsia="en-US"/>
        </w:rPr>
        <w:t xml:space="preserve">reģionālās attīstības ministra </w:t>
      </w:r>
    </w:p>
    <w:p w14:paraId="35397B82" w14:textId="77777777" w:rsidR="00FF4D2A" w:rsidRPr="00FF4D2A" w:rsidRDefault="00FF4D2A" w:rsidP="00FF4D2A">
      <w:pPr>
        <w:tabs>
          <w:tab w:val="left" w:pos="623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D2A">
        <w:rPr>
          <w:rFonts w:eastAsia="Calibri"/>
          <w:sz w:val="28"/>
          <w:szCs w:val="28"/>
          <w:lang w:eastAsia="en-US"/>
        </w:rPr>
        <w:t>pienākumu izpildītājs</w:t>
      </w:r>
      <w:r w:rsidRPr="00FF4D2A">
        <w:rPr>
          <w:rFonts w:eastAsia="Calibri"/>
          <w:sz w:val="28"/>
          <w:szCs w:val="28"/>
          <w:lang w:eastAsia="en-US"/>
        </w:rPr>
        <w:tab/>
        <w:t>Daniels Pavļuts</w:t>
      </w:r>
    </w:p>
    <w:p w14:paraId="4D677D0B" w14:textId="5B8050C7" w:rsidR="00461A2B" w:rsidRPr="00B115F1" w:rsidRDefault="00461A2B" w:rsidP="00FF4D2A">
      <w:pPr>
        <w:tabs>
          <w:tab w:val="left" w:pos="623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461A2B" w:rsidRPr="00B115F1" w:rsidSect="004A240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77D1C" w14:textId="77777777" w:rsidR="00B45695" w:rsidRDefault="00B45695">
      <w:r>
        <w:separator/>
      </w:r>
    </w:p>
  </w:endnote>
  <w:endnote w:type="continuationSeparator" w:id="0">
    <w:p w14:paraId="4D677D1D" w14:textId="77777777" w:rsidR="00B45695" w:rsidRDefault="00B4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77D1E" w14:textId="7F4C1C97" w:rsidR="00433DE5" w:rsidRPr="00357A88" w:rsidRDefault="00357A88" w:rsidP="00E6698F">
    <w:pPr>
      <w:pStyle w:val="Footer"/>
      <w:tabs>
        <w:tab w:val="clear" w:pos="8306"/>
        <w:tab w:val="right" w:pos="8789"/>
      </w:tabs>
      <w:jc w:val="both"/>
      <w:rPr>
        <w:sz w:val="16"/>
        <w:szCs w:val="16"/>
      </w:rPr>
    </w:pPr>
    <w:r w:rsidRPr="00357A88">
      <w:rPr>
        <w:sz w:val="16"/>
        <w:szCs w:val="16"/>
      </w:rPr>
      <w:t>N3302_3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81CBA" w14:textId="0C4DECD4" w:rsidR="00357A88" w:rsidRPr="00357A88" w:rsidRDefault="00357A88">
    <w:pPr>
      <w:pStyle w:val="Footer"/>
      <w:rPr>
        <w:sz w:val="16"/>
        <w:szCs w:val="16"/>
      </w:rPr>
    </w:pPr>
    <w:r w:rsidRPr="00357A88">
      <w:rPr>
        <w:sz w:val="16"/>
        <w:szCs w:val="16"/>
      </w:rPr>
      <w:t>N3302_3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77D1A" w14:textId="77777777" w:rsidR="00B45695" w:rsidRDefault="00B45695">
      <w:r>
        <w:separator/>
      </w:r>
    </w:p>
  </w:footnote>
  <w:footnote w:type="continuationSeparator" w:id="0">
    <w:p w14:paraId="4D677D1B" w14:textId="77777777" w:rsidR="00B45695" w:rsidRDefault="00B4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2206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12D61A" w14:textId="6FE758D3" w:rsidR="004A2407" w:rsidRDefault="004A240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A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9D1C58" w14:textId="77777777" w:rsidR="004A2407" w:rsidRDefault="004A24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FB15" w14:textId="564ECCF2" w:rsidR="00357A88" w:rsidRDefault="00357A88">
    <w:pPr>
      <w:pStyle w:val="Header"/>
    </w:pPr>
    <w:r>
      <w:rPr>
        <w:noProof/>
        <w:lang w:eastAsia="lv-LV"/>
      </w:rPr>
      <w:drawing>
        <wp:inline distT="0" distB="0" distL="0" distR="0" wp14:anchorId="151B49D4" wp14:editId="067F222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C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FC3CCB"/>
    <w:multiLevelType w:val="hybridMultilevel"/>
    <w:tmpl w:val="EFCE6DEE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D792F"/>
    <w:multiLevelType w:val="hybridMultilevel"/>
    <w:tmpl w:val="CFDA886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9B611F"/>
    <w:multiLevelType w:val="multilevel"/>
    <w:tmpl w:val="624C6C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3D46BB0"/>
    <w:multiLevelType w:val="hybridMultilevel"/>
    <w:tmpl w:val="6FB638D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622D49"/>
    <w:multiLevelType w:val="hybridMultilevel"/>
    <w:tmpl w:val="4BFEE87A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1151AE"/>
    <w:multiLevelType w:val="hybridMultilevel"/>
    <w:tmpl w:val="77F8D6E4"/>
    <w:lvl w:ilvl="0" w:tplc="4C828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AB6EBF"/>
    <w:multiLevelType w:val="hybridMultilevel"/>
    <w:tmpl w:val="2160AA9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065FBA"/>
    <w:multiLevelType w:val="hybridMultilevel"/>
    <w:tmpl w:val="A08A488A"/>
    <w:lvl w:ilvl="0" w:tplc="E4D2E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E0500A"/>
    <w:multiLevelType w:val="hybridMultilevel"/>
    <w:tmpl w:val="2160AA9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11"/>
    <w:rsid w:val="00005693"/>
    <w:rsid w:val="0001364C"/>
    <w:rsid w:val="00025EA2"/>
    <w:rsid w:val="00026265"/>
    <w:rsid w:val="00034A52"/>
    <w:rsid w:val="00034D34"/>
    <w:rsid w:val="00040176"/>
    <w:rsid w:val="00044E8E"/>
    <w:rsid w:val="00054321"/>
    <w:rsid w:val="00056C0A"/>
    <w:rsid w:val="0006794D"/>
    <w:rsid w:val="00067A3C"/>
    <w:rsid w:val="00085BE1"/>
    <w:rsid w:val="000B290C"/>
    <w:rsid w:val="000C3CD5"/>
    <w:rsid w:val="000C561F"/>
    <w:rsid w:val="000D504B"/>
    <w:rsid w:val="000D5059"/>
    <w:rsid w:val="000F51AB"/>
    <w:rsid w:val="001216D6"/>
    <w:rsid w:val="00132166"/>
    <w:rsid w:val="001363BF"/>
    <w:rsid w:val="001454C8"/>
    <w:rsid w:val="00152A6D"/>
    <w:rsid w:val="001705EC"/>
    <w:rsid w:val="0018373A"/>
    <w:rsid w:val="001849AC"/>
    <w:rsid w:val="00185B5F"/>
    <w:rsid w:val="00192A4F"/>
    <w:rsid w:val="00193505"/>
    <w:rsid w:val="001A451E"/>
    <w:rsid w:val="001C67FC"/>
    <w:rsid w:val="001E11ED"/>
    <w:rsid w:val="001F3C7A"/>
    <w:rsid w:val="00211A1A"/>
    <w:rsid w:val="00225FAC"/>
    <w:rsid w:val="00226956"/>
    <w:rsid w:val="00230387"/>
    <w:rsid w:val="00230F95"/>
    <w:rsid w:val="00233A0B"/>
    <w:rsid w:val="00253846"/>
    <w:rsid w:val="002569DD"/>
    <w:rsid w:val="00274A46"/>
    <w:rsid w:val="002A7BD9"/>
    <w:rsid w:val="002B0CE5"/>
    <w:rsid w:val="002B749D"/>
    <w:rsid w:val="002C176F"/>
    <w:rsid w:val="002C257C"/>
    <w:rsid w:val="002D54B5"/>
    <w:rsid w:val="002D5F6E"/>
    <w:rsid w:val="002D7760"/>
    <w:rsid w:val="002E0794"/>
    <w:rsid w:val="002F560D"/>
    <w:rsid w:val="00331555"/>
    <w:rsid w:val="00332B50"/>
    <w:rsid w:val="00341AE5"/>
    <w:rsid w:val="00341CB3"/>
    <w:rsid w:val="00357A88"/>
    <w:rsid w:val="00364DA5"/>
    <w:rsid w:val="003A2145"/>
    <w:rsid w:val="003A6E59"/>
    <w:rsid w:val="003A79B1"/>
    <w:rsid w:val="003C0EBC"/>
    <w:rsid w:val="003C5A25"/>
    <w:rsid w:val="003D4C21"/>
    <w:rsid w:val="003F1D57"/>
    <w:rsid w:val="004024EC"/>
    <w:rsid w:val="004220BB"/>
    <w:rsid w:val="00430E9E"/>
    <w:rsid w:val="00433631"/>
    <w:rsid w:val="00446EA1"/>
    <w:rsid w:val="00461A2B"/>
    <w:rsid w:val="00465E13"/>
    <w:rsid w:val="0048333A"/>
    <w:rsid w:val="00494590"/>
    <w:rsid w:val="004A2407"/>
    <w:rsid w:val="004A57DF"/>
    <w:rsid w:val="004F0A7E"/>
    <w:rsid w:val="0050478B"/>
    <w:rsid w:val="00505199"/>
    <w:rsid w:val="005110A8"/>
    <w:rsid w:val="00517589"/>
    <w:rsid w:val="00524ED0"/>
    <w:rsid w:val="00547E55"/>
    <w:rsid w:val="005540A6"/>
    <w:rsid w:val="00570DCF"/>
    <w:rsid w:val="0057415A"/>
    <w:rsid w:val="00577F0C"/>
    <w:rsid w:val="00580D79"/>
    <w:rsid w:val="00585F26"/>
    <w:rsid w:val="005964A1"/>
    <w:rsid w:val="005A2183"/>
    <w:rsid w:val="005A48B8"/>
    <w:rsid w:val="005B7E1F"/>
    <w:rsid w:val="005C425F"/>
    <w:rsid w:val="005C4367"/>
    <w:rsid w:val="00611F2F"/>
    <w:rsid w:val="00613146"/>
    <w:rsid w:val="00625F3B"/>
    <w:rsid w:val="006702A7"/>
    <w:rsid w:val="006708F8"/>
    <w:rsid w:val="0067227B"/>
    <w:rsid w:val="0068312B"/>
    <w:rsid w:val="00685BB4"/>
    <w:rsid w:val="00692291"/>
    <w:rsid w:val="006A78B1"/>
    <w:rsid w:val="006B6D02"/>
    <w:rsid w:val="006B7AF7"/>
    <w:rsid w:val="006C784F"/>
    <w:rsid w:val="006D6847"/>
    <w:rsid w:val="006E566E"/>
    <w:rsid w:val="006F0223"/>
    <w:rsid w:val="006F500B"/>
    <w:rsid w:val="006F7CB7"/>
    <w:rsid w:val="0070295F"/>
    <w:rsid w:val="007146C6"/>
    <w:rsid w:val="0072231B"/>
    <w:rsid w:val="00731107"/>
    <w:rsid w:val="007537D3"/>
    <w:rsid w:val="00770E6D"/>
    <w:rsid w:val="007911D8"/>
    <w:rsid w:val="00796055"/>
    <w:rsid w:val="00796B0C"/>
    <w:rsid w:val="007A34FD"/>
    <w:rsid w:val="007A52A2"/>
    <w:rsid w:val="007C62AF"/>
    <w:rsid w:val="007D3A23"/>
    <w:rsid w:val="007D7F21"/>
    <w:rsid w:val="007E1343"/>
    <w:rsid w:val="00800E2E"/>
    <w:rsid w:val="008126E4"/>
    <w:rsid w:val="00812D3C"/>
    <w:rsid w:val="00816F2C"/>
    <w:rsid w:val="00822CB1"/>
    <w:rsid w:val="0083392D"/>
    <w:rsid w:val="00845DA7"/>
    <w:rsid w:val="008462D3"/>
    <w:rsid w:val="008474B4"/>
    <w:rsid w:val="00866B87"/>
    <w:rsid w:val="008749E1"/>
    <w:rsid w:val="008772C4"/>
    <w:rsid w:val="008A729E"/>
    <w:rsid w:val="008B7888"/>
    <w:rsid w:val="008D1729"/>
    <w:rsid w:val="008D32B0"/>
    <w:rsid w:val="008E4A02"/>
    <w:rsid w:val="008E4BC8"/>
    <w:rsid w:val="00903440"/>
    <w:rsid w:val="00907653"/>
    <w:rsid w:val="00916326"/>
    <w:rsid w:val="00927DD2"/>
    <w:rsid w:val="009318E3"/>
    <w:rsid w:val="00933E87"/>
    <w:rsid w:val="0093616C"/>
    <w:rsid w:val="009543B8"/>
    <w:rsid w:val="00975E65"/>
    <w:rsid w:val="00980F77"/>
    <w:rsid w:val="009A1411"/>
    <w:rsid w:val="009B2158"/>
    <w:rsid w:val="009D429B"/>
    <w:rsid w:val="009D45B0"/>
    <w:rsid w:val="009D5EA2"/>
    <w:rsid w:val="00A03FDA"/>
    <w:rsid w:val="00A13DD8"/>
    <w:rsid w:val="00A33795"/>
    <w:rsid w:val="00A42638"/>
    <w:rsid w:val="00A431FA"/>
    <w:rsid w:val="00A768A5"/>
    <w:rsid w:val="00A77782"/>
    <w:rsid w:val="00A82995"/>
    <w:rsid w:val="00A851AB"/>
    <w:rsid w:val="00AA245B"/>
    <w:rsid w:val="00AA4709"/>
    <w:rsid w:val="00AB5BFD"/>
    <w:rsid w:val="00AC3684"/>
    <w:rsid w:val="00AC3AA1"/>
    <w:rsid w:val="00AE7AA2"/>
    <w:rsid w:val="00AF5D76"/>
    <w:rsid w:val="00AF77FE"/>
    <w:rsid w:val="00B115F1"/>
    <w:rsid w:val="00B45695"/>
    <w:rsid w:val="00B46B4E"/>
    <w:rsid w:val="00B52248"/>
    <w:rsid w:val="00B533BE"/>
    <w:rsid w:val="00B567D6"/>
    <w:rsid w:val="00B65FE0"/>
    <w:rsid w:val="00B809EC"/>
    <w:rsid w:val="00B83F6C"/>
    <w:rsid w:val="00BA1E04"/>
    <w:rsid w:val="00BA7614"/>
    <w:rsid w:val="00BB2679"/>
    <w:rsid w:val="00BB72FF"/>
    <w:rsid w:val="00BD5C49"/>
    <w:rsid w:val="00BD6EC6"/>
    <w:rsid w:val="00C15BCA"/>
    <w:rsid w:val="00C168AD"/>
    <w:rsid w:val="00C257D0"/>
    <w:rsid w:val="00C413F8"/>
    <w:rsid w:val="00C44543"/>
    <w:rsid w:val="00C45451"/>
    <w:rsid w:val="00C46122"/>
    <w:rsid w:val="00C524C5"/>
    <w:rsid w:val="00C540BF"/>
    <w:rsid w:val="00C56EE2"/>
    <w:rsid w:val="00C626D4"/>
    <w:rsid w:val="00C669D1"/>
    <w:rsid w:val="00C730B7"/>
    <w:rsid w:val="00C83884"/>
    <w:rsid w:val="00CA0C4B"/>
    <w:rsid w:val="00CA21CE"/>
    <w:rsid w:val="00CB298F"/>
    <w:rsid w:val="00CC0FBE"/>
    <w:rsid w:val="00CC6CB7"/>
    <w:rsid w:val="00CD44ED"/>
    <w:rsid w:val="00CD4F38"/>
    <w:rsid w:val="00CE2190"/>
    <w:rsid w:val="00CE2CE9"/>
    <w:rsid w:val="00D002A0"/>
    <w:rsid w:val="00D00F23"/>
    <w:rsid w:val="00D01ECC"/>
    <w:rsid w:val="00D06393"/>
    <w:rsid w:val="00D07B0C"/>
    <w:rsid w:val="00D222FA"/>
    <w:rsid w:val="00D27EC0"/>
    <w:rsid w:val="00D44D7A"/>
    <w:rsid w:val="00D46A89"/>
    <w:rsid w:val="00D47504"/>
    <w:rsid w:val="00D5659F"/>
    <w:rsid w:val="00D57E22"/>
    <w:rsid w:val="00D73D39"/>
    <w:rsid w:val="00D74B2D"/>
    <w:rsid w:val="00D814AB"/>
    <w:rsid w:val="00DA2F25"/>
    <w:rsid w:val="00DA4B34"/>
    <w:rsid w:val="00DA7CA6"/>
    <w:rsid w:val="00DB005C"/>
    <w:rsid w:val="00DB7EED"/>
    <w:rsid w:val="00DE07EE"/>
    <w:rsid w:val="00DE466D"/>
    <w:rsid w:val="00DE5369"/>
    <w:rsid w:val="00E03131"/>
    <w:rsid w:val="00E12661"/>
    <w:rsid w:val="00E14D7E"/>
    <w:rsid w:val="00E4462A"/>
    <w:rsid w:val="00E649AF"/>
    <w:rsid w:val="00E6698F"/>
    <w:rsid w:val="00E74501"/>
    <w:rsid w:val="00E756F6"/>
    <w:rsid w:val="00E85B5A"/>
    <w:rsid w:val="00E93804"/>
    <w:rsid w:val="00EA7C62"/>
    <w:rsid w:val="00EC466B"/>
    <w:rsid w:val="00EC67F7"/>
    <w:rsid w:val="00F0671D"/>
    <w:rsid w:val="00F11552"/>
    <w:rsid w:val="00F15397"/>
    <w:rsid w:val="00F3072F"/>
    <w:rsid w:val="00F35BF6"/>
    <w:rsid w:val="00F4496A"/>
    <w:rsid w:val="00F74192"/>
    <w:rsid w:val="00F82AFE"/>
    <w:rsid w:val="00FB7E2C"/>
    <w:rsid w:val="00FC76DE"/>
    <w:rsid w:val="00FD0B44"/>
    <w:rsid w:val="00FE13B8"/>
    <w:rsid w:val="00FF4D2A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677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11"/>
    <w:rPr>
      <w:rFonts w:eastAsia="Times New Roman" w:cs="Times New Roman"/>
      <w:sz w:val="24"/>
      <w:szCs w:val="20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0C561F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A1411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1411"/>
    <w:rPr>
      <w:rFonts w:eastAsia="Times New Roman" w:cs="Times New Roman"/>
      <w:sz w:val="24"/>
      <w:szCs w:val="20"/>
      <w:lang w:eastAsia="lv-LV"/>
    </w:rPr>
  </w:style>
  <w:style w:type="paragraph" w:customStyle="1" w:styleId="naisf">
    <w:name w:val="naisf"/>
    <w:basedOn w:val="Normal"/>
    <w:rsid w:val="009A1411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9A141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4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11"/>
    <w:rPr>
      <w:rFonts w:eastAsia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BD9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A7BD9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7BD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A7BD9"/>
  </w:style>
  <w:style w:type="paragraph" w:styleId="ListParagraph">
    <w:name w:val="List Paragraph"/>
    <w:basedOn w:val="Normal"/>
    <w:uiPriority w:val="34"/>
    <w:qFormat/>
    <w:rsid w:val="00BB2679"/>
    <w:pPr>
      <w:ind w:left="720"/>
      <w:contextualSpacing/>
    </w:pPr>
  </w:style>
  <w:style w:type="paragraph" w:styleId="NormalWeb">
    <w:name w:val="Normal (Web)"/>
    <w:basedOn w:val="Normal"/>
    <w:uiPriority w:val="99"/>
    <w:rsid w:val="0001364C"/>
    <w:pPr>
      <w:spacing w:before="75" w:after="75"/>
      <w:ind w:firstLine="375"/>
      <w:jc w:val="both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4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5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2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248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248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Normal"/>
    <w:rsid w:val="00CC0FBE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CC0FB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561F"/>
    <w:rPr>
      <w:rFonts w:eastAsia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192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11"/>
    <w:rPr>
      <w:rFonts w:eastAsia="Times New Roman" w:cs="Times New Roman"/>
      <w:sz w:val="24"/>
      <w:szCs w:val="20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0C561F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A1411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1411"/>
    <w:rPr>
      <w:rFonts w:eastAsia="Times New Roman" w:cs="Times New Roman"/>
      <w:sz w:val="24"/>
      <w:szCs w:val="20"/>
      <w:lang w:eastAsia="lv-LV"/>
    </w:rPr>
  </w:style>
  <w:style w:type="paragraph" w:customStyle="1" w:styleId="naisf">
    <w:name w:val="naisf"/>
    <w:basedOn w:val="Normal"/>
    <w:rsid w:val="009A1411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9A141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4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11"/>
    <w:rPr>
      <w:rFonts w:eastAsia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BD9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A7BD9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7BD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A7BD9"/>
  </w:style>
  <w:style w:type="paragraph" w:styleId="ListParagraph">
    <w:name w:val="List Paragraph"/>
    <w:basedOn w:val="Normal"/>
    <w:uiPriority w:val="34"/>
    <w:qFormat/>
    <w:rsid w:val="00BB2679"/>
    <w:pPr>
      <w:ind w:left="720"/>
      <w:contextualSpacing/>
    </w:pPr>
  </w:style>
  <w:style w:type="paragraph" w:styleId="NormalWeb">
    <w:name w:val="Normal (Web)"/>
    <w:basedOn w:val="Normal"/>
    <w:uiPriority w:val="99"/>
    <w:rsid w:val="0001364C"/>
    <w:pPr>
      <w:spacing w:before="75" w:after="75"/>
      <w:ind w:firstLine="375"/>
      <w:jc w:val="both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4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5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2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248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248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Normal"/>
    <w:rsid w:val="00CC0FBE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CC0FB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561F"/>
    <w:rPr>
      <w:rFonts w:eastAsia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192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6826-7D19-4276-9BB7-EC4C9F80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15.decembra noteikumos Nr.1486  „Kārtība, kādā budžeta iestādes kārto grāmatvedības uzskaiti”</vt:lpstr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15.decembra noteikumos Nr.1486  „Kārtība, kādā budžeta iestādes kārto grāmatvedības uzskaiti”</dc:title>
  <dc:subject>MK Noteikumu projekts</dc:subject>
  <dc:creator>Mārtiņš Drāke</dc:creator>
  <dc:description>Martins.Drake@em.gov.lv;
67013162</dc:description>
  <cp:lastModifiedBy>Leontīne Babkina</cp:lastModifiedBy>
  <cp:revision>17</cp:revision>
  <cp:lastPrinted>2013-12-09T09:46:00Z</cp:lastPrinted>
  <dcterms:created xsi:type="dcterms:W3CDTF">2013-10-25T12:32:00Z</dcterms:created>
  <dcterms:modified xsi:type="dcterms:W3CDTF">2013-12-11T11:41:00Z</dcterms:modified>
</cp:coreProperties>
</file>