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7.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64" w:rsidRPr="001E0AA2" w:rsidRDefault="009D2A64" w:rsidP="00E170BB">
      <w:pPr>
        <w:ind w:right="-143"/>
        <w:jc w:val="right"/>
        <w:rPr>
          <w:sz w:val="26"/>
          <w:szCs w:val="26"/>
        </w:rPr>
      </w:pPr>
    </w:p>
    <w:p w:rsidR="00E170BB" w:rsidRPr="0003106C" w:rsidRDefault="00E170BB" w:rsidP="00E170BB">
      <w:pPr>
        <w:autoSpaceDE w:val="0"/>
        <w:autoSpaceDN w:val="0"/>
        <w:adjustRightInd w:val="0"/>
        <w:jc w:val="right"/>
        <w:rPr>
          <w:rFonts w:eastAsia="PMingLiU"/>
          <w:sz w:val="28"/>
          <w:szCs w:val="28"/>
        </w:rPr>
      </w:pPr>
      <w:r w:rsidRPr="0003106C">
        <w:rPr>
          <w:rFonts w:eastAsia="PMingLiU"/>
          <w:sz w:val="28"/>
          <w:szCs w:val="28"/>
        </w:rPr>
        <w:t xml:space="preserve">(Ministru kabineta </w:t>
      </w:r>
    </w:p>
    <w:p w:rsidR="00E170BB" w:rsidRPr="0003106C" w:rsidRDefault="0053321C" w:rsidP="00E170BB">
      <w:pPr>
        <w:autoSpaceDE w:val="0"/>
        <w:autoSpaceDN w:val="0"/>
        <w:adjustRightInd w:val="0"/>
        <w:jc w:val="right"/>
        <w:rPr>
          <w:rFonts w:eastAsia="PMingLiU"/>
          <w:sz w:val="28"/>
          <w:szCs w:val="28"/>
        </w:rPr>
      </w:pPr>
      <w:r w:rsidRPr="0003106C">
        <w:rPr>
          <w:rFonts w:eastAsia="PMingLiU"/>
          <w:sz w:val="28"/>
          <w:szCs w:val="28"/>
        </w:rPr>
        <w:t>2013</w:t>
      </w:r>
      <w:r w:rsidR="00E170BB" w:rsidRPr="0003106C">
        <w:rPr>
          <w:rFonts w:eastAsia="PMingLiU"/>
          <w:sz w:val="28"/>
          <w:szCs w:val="28"/>
        </w:rPr>
        <w:t xml:space="preserve">.gada __________ </w:t>
      </w:r>
    </w:p>
    <w:p w:rsidR="00B66531" w:rsidRPr="0003106C" w:rsidRDefault="00E170BB" w:rsidP="00E170BB">
      <w:pPr>
        <w:ind w:right="-143"/>
        <w:jc w:val="right"/>
        <w:rPr>
          <w:sz w:val="26"/>
          <w:szCs w:val="26"/>
        </w:rPr>
      </w:pPr>
      <w:r w:rsidRPr="0003106C">
        <w:rPr>
          <w:rFonts w:eastAsia="PMingLiU"/>
          <w:sz w:val="28"/>
          <w:szCs w:val="28"/>
        </w:rPr>
        <w:t>rīkojums Nr.____)</w:t>
      </w: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C23E69" w:rsidRPr="0003106C" w:rsidRDefault="00C23E69" w:rsidP="00D20FAA">
      <w:pPr>
        <w:pStyle w:val="BodyText"/>
        <w:spacing w:after="0"/>
        <w:ind w:right="-143"/>
        <w:jc w:val="both"/>
        <w:rPr>
          <w:b/>
          <w:sz w:val="28"/>
          <w:szCs w:val="28"/>
        </w:rPr>
      </w:pPr>
    </w:p>
    <w:p w:rsidR="00C23E69" w:rsidRPr="0003106C" w:rsidRDefault="00C23E69" w:rsidP="00D20FAA">
      <w:pPr>
        <w:pStyle w:val="BodyText"/>
        <w:spacing w:after="0"/>
        <w:ind w:right="-143"/>
        <w:jc w:val="both"/>
        <w:rPr>
          <w:b/>
          <w:sz w:val="28"/>
          <w:szCs w:val="28"/>
        </w:rPr>
      </w:pPr>
    </w:p>
    <w:p w:rsidR="00C23E69" w:rsidRPr="0003106C" w:rsidRDefault="00C23E69" w:rsidP="00D20FAA">
      <w:pPr>
        <w:pStyle w:val="BodyText"/>
        <w:spacing w:after="0"/>
        <w:ind w:right="-143"/>
        <w:jc w:val="both"/>
        <w:rPr>
          <w:b/>
          <w:sz w:val="28"/>
          <w:szCs w:val="28"/>
        </w:rPr>
      </w:pPr>
    </w:p>
    <w:p w:rsidR="00C23E69" w:rsidRPr="0003106C" w:rsidRDefault="00C23E69" w:rsidP="00D20FAA">
      <w:pPr>
        <w:pStyle w:val="BodyText"/>
        <w:spacing w:after="0"/>
        <w:ind w:right="-143"/>
        <w:jc w:val="both"/>
        <w:rPr>
          <w:b/>
          <w:sz w:val="28"/>
          <w:szCs w:val="28"/>
        </w:rPr>
      </w:pPr>
    </w:p>
    <w:p w:rsidR="00C23E69" w:rsidRPr="0003106C" w:rsidRDefault="00C23E69" w:rsidP="00D20FAA">
      <w:pPr>
        <w:pStyle w:val="BodyText"/>
        <w:spacing w:after="0"/>
        <w:ind w:right="-143"/>
        <w:jc w:val="both"/>
        <w:rPr>
          <w:b/>
          <w:sz w:val="28"/>
          <w:szCs w:val="28"/>
        </w:rPr>
      </w:pPr>
    </w:p>
    <w:p w:rsidR="00C23E69" w:rsidRPr="0003106C" w:rsidRDefault="00C23E69" w:rsidP="00D20FAA">
      <w:pPr>
        <w:pStyle w:val="BodyText"/>
        <w:spacing w:after="0"/>
        <w:ind w:right="-143"/>
        <w:jc w:val="both"/>
        <w:rPr>
          <w:b/>
          <w:sz w:val="28"/>
          <w:szCs w:val="28"/>
        </w:rPr>
      </w:pPr>
    </w:p>
    <w:p w:rsidR="009D2A64" w:rsidRPr="0003106C" w:rsidRDefault="00425536" w:rsidP="00D20FAA">
      <w:pPr>
        <w:pStyle w:val="BodyText"/>
        <w:spacing w:after="0"/>
        <w:ind w:right="-143"/>
        <w:jc w:val="center"/>
        <w:rPr>
          <w:b/>
          <w:sz w:val="28"/>
          <w:szCs w:val="28"/>
        </w:rPr>
      </w:pPr>
      <w:r w:rsidRPr="0003106C">
        <w:rPr>
          <w:b/>
          <w:sz w:val="28"/>
          <w:szCs w:val="28"/>
        </w:rPr>
        <w:t>LATVIJAS</w:t>
      </w:r>
      <w:r w:rsidR="00307D67" w:rsidRPr="0003106C">
        <w:rPr>
          <w:b/>
          <w:sz w:val="28"/>
          <w:szCs w:val="28"/>
        </w:rPr>
        <w:t xml:space="preserve"> </w:t>
      </w:r>
      <w:r w:rsidR="003D0506" w:rsidRPr="0003106C">
        <w:rPr>
          <w:b/>
          <w:sz w:val="28"/>
          <w:szCs w:val="28"/>
        </w:rPr>
        <w:t xml:space="preserve">PREČU UN PAKALPOJUMU EKSPORTA VEICINĀŠANAS UN </w:t>
      </w:r>
      <w:r w:rsidR="006F11F7" w:rsidRPr="0003106C">
        <w:rPr>
          <w:b/>
          <w:sz w:val="28"/>
          <w:szCs w:val="28"/>
        </w:rPr>
        <w:t>ĀRVALSTU INVEST</w:t>
      </w:r>
      <w:r w:rsidR="003D0506" w:rsidRPr="0003106C">
        <w:rPr>
          <w:b/>
          <w:sz w:val="28"/>
          <w:szCs w:val="28"/>
        </w:rPr>
        <w:t xml:space="preserve">ĪCIJU PIESAISTES </w:t>
      </w:r>
      <w:r w:rsidR="009D2A64" w:rsidRPr="0003106C">
        <w:rPr>
          <w:b/>
          <w:sz w:val="28"/>
          <w:szCs w:val="28"/>
        </w:rPr>
        <w:t>PAMATNOSTĀDNES</w:t>
      </w:r>
    </w:p>
    <w:p w:rsidR="009D2A64" w:rsidRPr="0003106C" w:rsidRDefault="009513A8" w:rsidP="00D20FAA">
      <w:pPr>
        <w:pStyle w:val="BodyText"/>
        <w:spacing w:after="0"/>
        <w:ind w:right="-143"/>
        <w:jc w:val="center"/>
        <w:rPr>
          <w:b/>
          <w:smallCaps/>
          <w:sz w:val="28"/>
          <w:szCs w:val="28"/>
        </w:rPr>
      </w:pPr>
      <w:r w:rsidRPr="0003106C">
        <w:rPr>
          <w:b/>
          <w:smallCaps/>
          <w:sz w:val="28"/>
          <w:szCs w:val="28"/>
        </w:rPr>
        <w:t>201</w:t>
      </w:r>
      <w:r w:rsidR="00CA06DF" w:rsidRPr="0003106C">
        <w:rPr>
          <w:b/>
          <w:smallCaps/>
          <w:sz w:val="28"/>
          <w:szCs w:val="28"/>
        </w:rPr>
        <w:t>3</w:t>
      </w:r>
      <w:r w:rsidRPr="0003106C">
        <w:rPr>
          <w:b/>
          <w:smallCaps/>
          <w:sz w:val="28"/>
          <w:szCs w:val="28"/>
        </w:rPr>
        <w:t xml:space="preserve">. – </w:t>
      </w:r>
      <w:r w:rsidR="00FE1E3C" w:rsidRPr="0003106C">
        <w:rPr>
          <w:b/>
          <w:smallCaps/>
          <w:sz w:val="28"/>
          <w:szCs w:val="28"/>
        </w:rPr>
        <w:t>20</w:t>
      </w:r>
      <w:r w:rsidR="00CA06DF" w:rsidRPr="0003106C">
        <w:rPr>
          <w:b/>
          <w:smallCaps/>
          <w:sz w:val="28"/>
          <w:szCs w:val="28"/>
        </w:rPr>
        <w:t>19</w:t>
      </w:r>
      <w:r w:rsidR="009D2A64" w:rsidRPr="0003106C">
        <w:rPr>
          <w:b/>
          <w:smallCaps/>
          <w:sz w:val="28"/>
          <w:szCs w:val="28"/>
        </w:rPr>
        <w:t>.GADAM</w:t>
      </w:r>
    </w:p>
    <w:p w:rsidR="009D2A64" w:rsidRPr="0003106C" w:rsidRDefault="009D2A64" w:rsidP="00D20FAA">
      <w:pPr>
        <w:pStyle w:val="BodyText"/>
        <w:spacing w:after="0"/>
        <w:ind w:right="-143"/>
        <w:jc w:val="center"/>
        <w:rPr>
          <w:b/>
          <w:smallCaps/>
          <w:sz w:val="28"/>
          <w:szCs w:val="28"/>
        </w:rPr>
      </w:pPr>
      <w:r w:rsidRPr="0003106C">
        <w:rPr>
          <w:b/>
          <w:smallCaps/>
          <w:sz w:val="28"/>
          <w:szCs w:val="28"/>
        </w:rPr>
        <w:t>(informatīvā daļa)</w:t>
      </w:r>
    </w:p>
    <w:p w:rsidR="009D2A64" w:rsidRPr="0003106C" w:rsidRDefault="009D2A64" w:rsidP="00D20FAA">
      <w:pPr>
        <w:ind w:right="-143"/>
        <w:jc w:val="center"/>
        <w:rPr>
          <w:smallCaps/>
          <w:sz w:val="28"/>
          <w:szCs w:val="28"/>
        </w:rPr>
      </w:pPr>
    </w:p>
    <w:p w:rsidR="009D2A64" w:rsidRPr="0003106C" w:rsidRDefault="009D2A64" w:rsidP="00D20FAA">
      <w:pPr>
        <w:ind w:right="-143"/>
        <w:jc w:val="center"/>
        <w:rPr>
          <w:smallCaps/>
          <w:sz w:val="26"/>
          <w:szCs w:val="26"/>
        </w:rPr>
      </w:pPr>
    </w:p>
    <w:p w:rsidR="009D2A64" w:rsidRPr="0003106C" w:rsidRDefault="009D2A64" w:rsidP="00D20FAA">
      <w:pPr>
        <w:ind w:right="-143"/>
        <w:jc w:val="both"/>
        <w:rPr>
          <w:smallCaps/>
          <w:sz w:val="26"/>
          <w:szCs w:val="26"/>
        </w:rPr>
      </w:pPr>
    </w:p>
    <w:p w:rsidR="009D2A64" w:rsidRPr="0003106C" w:rsidRDefault="009D2A64" w:rsidP="00D20FAA">
      <w:pPr>
        <w:ind w:right="-143"/>
        <w:jc w:val="both"/>
        <w:rPr>
          <w:smallCaps/>
          <w:sz w:val="26"/>
          <w:szCs w:val="26"/>
        </w:rPr>
      </w:pPr>
    </w:p>
    <w:p w:rsidR="009D2A64" w:rsidRPr="0003106C" w:rsidRDefault="009D2A64" w:rsidP="00D20FAA">
      <w:pPr>
        <w:ind w:right="-143"/>
        <w:jc w:val="both"/>
        <w:rPr>
          <w:smallCaps/>
          <w:sz w:val="26"/>
          <w:szCs w:val="26"/>
        </w:rPr>
      </w:pPr>
    </w:p>
    <w:p w:rsidR="009D2A64" w:rsidRPr="0003106C" w:rsidRDefault="009D2A64" w:rsidP="00D20FAA">
      <w:pPr>
        <w:ind w:right="-143"/>
        <w:jc w:val="both"/>
        <w:rPr>
          <w:smallCaps/>
          <w:sz w:val="26"/>
          <w:szCs w:val="26"/>
        </w:rPr>
      </w:pPr>
    </w:p>
    <w:p w:rsidR="009D2A64" w:rsidRPr="0003106C" w:rsidRDefault="009D2A64" w:rsidP="00D20FAA">
      <w:pPr>
        <w:ind w:right="-143"/>
        <w:jc w:val="both"/>
        <w:rPr>
          <w:smallCaps/>
          <w:sz w:val="26"/>
          <w:szCs w:val="26"/>
        </w:rPr>
      </w:pPr>
    </w:p>
    <w:p w:rsidR="009D2A64" w:rsidRPr="0003106C" w:rsidRDefault="009D2A64" w:rsidP="00D20FAA">
      <w:pPr>
        <w:ind w:right="-143"/>
        <w:jc w:val="both"/>
        <w:rPr>
          <w:smallCaps/>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9D2A64" w:rsidRPr="0003106C" w:rsidRDefault="009D2A64" w:rsidP="00D20FAA">
      <w:pPr>
        <w:ind w:right="-143"/>
        <w:jc w:val="both"/>
        <w:rPr>
          <w:sz w:val="26"/>
          <w:szCs w:val="26"/>
        </w:rPr>
      </w:pPr>
    </w:p>
    <w:p w:rsidR="0035185F" w:rsidRPr="0003106C" w:rsidRDefault="0035185F" w:rsidP="00D20FAA">
      <w:pPr>
        <w:pStyle w:val="BodyText2"/>
        <w:ind w:right="-143"/>
        <w:jc w:val="both"/>
        <w:rPr>
          <w:sz w:val="26"/>
          <w:szCs w:val="26"/>
        </w:rPr>
      </w:pPr>
    </w:p>
    <w:p w:rsidR="00A33E93" w:rsidRPr="0003106C" w:rsidRDefault="0035185F" w:rsidP="005F3502">
      <w:pPr>
        <w:pStyle w:val="BodyText2"/>
        <w:tabs>
          <w:tab w:val="left" w:pos="3855"/>
        </w:tabs>
        <w:ind w:right="-143"/>
        <w:jc w:val="both"/>
        <w:rPr>
          <w:sz w:val="26"/>
          <w:szCs w:val="26"/>
        </w:rPr>
      </w:pPr>
      <w:r w:rsidRPr="0003106C">
        <w:rPr>
          <w:sz w:val="26"/>
          <w:szCs w:val="26"/>
        </w:rPr>
        <w:tab/>
      </w:r>
    </w:p>
    <w:p w:rsidR="005F3502" w:rsidRPr="0003106C" w:rsidRDefault="005F3502" w:rsidP="005F3502">
      <w:pPr>
        <w:pStyle w:val="BodyText2"/>
        <w:tabs>
          <w:tab w:val="left" w:pos="3855"/>
        </w:tabs>
        <w:ind w:right="-143"/>
        <w:jc w:val="both"/>
        <w:rPr>
          <w:sz w:val="26"/>
          <w:szCs w:val="26"/>
        </w:rPr>
      </w:pPr>
    </w:p>
    <w:p w:rsidR="005F3502" w:rsidRPr="0003106C" w:rsidRDefault="005F3502" w:rsidP="005F3502">
      <w:pPr>
        <w:pStyle w:val="BodyText2"/>
        <w:tabs>
          <w:tab w:val="left" w:pos="3855"/>
        </w:tabs>
        <w:ind w:right="-143"/>
        <w:jc w:val="both"/>
        <w:rPr>
          <w:sz w:val="26"/>
          <w:szCs w:val="26"/>
        </w:rPr>
      </w:pPr>
    </w:p>
    <w:p w:rsidR="005F3502" w:rsidRPr="0003106C" w:rsidRDefault="005F3502" w:rsidP="005F3502">
      <w:pPr>
        <w:pStyle w:val="BodyText2"/>
        <w:tabs>
          <w:tab w:val="left" w:pos="3855"/>
        </w:tabs>
        <w:ind w:right="-143"/>
        <w:jc w:val="both"/>
        <w:rPr>
          <w:sz w:val="26"/>
          <w:szCs w:val="26"/>
        </w:rPr>
      </w:pPr>
    </w:p>
    <w:p w:rsidR="005F3502" w:rsidRPr="0003106C" w:rsidRDefault="005F3502" w:rsidP="005F3502">
      <w:pPr>
        <w:pStyle w:val="BodyText2"/>
        <w:tabs>
          <w:tab w:val="left" w:pos="3855"/>
        </w:tabs>
        <w:ind w:right="-143"/>
        <w:jc w:val="both"/>
        <w:rPr>
          <w:sz w:val="26"/>
          <w:szCs w:val="26"/>
        </w:rPr>
      </w:pPr>
    </w:p>
    <w:p w:rsidR="005F3502" w:rsidRPr="0003106C" w:rsidRDefault="005F3502" w:rsidP="005F3502">
      <w:pPr>
        <w:pStyle w:val="BodyText2"/>
        <w:tabs>
          <w:tab w:val="left" w:pos="3855"/>
        </w:tabs>
        <w:ind w:right="-143"/>
        <w:jc w:val="both"/>
        <w:rPr>
          <w:sz w:val="26"/>
          <w:szCs w:val="26"/>
        </w:rPr>
      </w:pPr>
    </w:p>
    <w:p w:rsidR="005F3502" w:rsidRPr="0003106C" w:rsidRDefault="005F3502" w:rsidP="005F3502">
      <w:pPr>
        <w:pStyle w:val="BodyText2"/>
        <w:tabs>
          <w:tab w:val="left" w:pos="3855"/>
        </w:tabs>
        <w:ind w:right="-143"/>
        <w:jc w:val="both"/>
        <w:rPr>
          <w:sz w:val="26"/>
          <w:szCs w:val="26"/>
        </w:rPr>
      </w:pPr>
    </w:p>
    <w:p w:rsidR="005F3502" w:rsidRPr="0003106C" w:rsidRDefault="005F3502" w:rsidP="005F3502">
      <w:pPr>
        <w:pStyle w:val="BodyText2"/>
        <w:tabs>
          <w:tab w:val="left" w:pos="3855"/>
        </w:tabs>
        <w:ind w:right="-143"/>
        <w:jc w:val="both"/>
        <w:rPr>
          <w:sz w:val="26"/>
          <w:szCs w:val="26"/>
        </w:rPr>
      </w:pPr>
    </w:p>
    <w:p w:rsidR="005F3502" w:rsidRPr="0003106C" w:rsidRDefault="005F3502" w:rsidP="005F3502">
      <w:pPr>
        <w:pStyle w:val="BodyText2"/>
        <w:tabs>
          <w:tab w:val="left" w:pos="3855"/>
        </w:tabs>
        <w:ind w:right="-143"/>
        <w:jc w:val="both"/>
        <w:rPr>
          <w:sz w:val="26"/>
          <w:szCs w:val="26"/>
        </w:rPr>
      </w:pPr>
    </w:p>
    <w:p w:rsidR="005F3502" w:rsidRPr="0003106C" w:rsidRDefault="005F3502" w:rsidP="005F3502">
      <w:pPr>
        <w:pStyle w:val="BodyText2"/>
        <w:tabs>
          <w:tab w:val="left" w:pos="3855"/>
        </w:tabs>
        <w:ind w:right="-143"/>
        <w:jc w:val="both"/>
        <w:rPr>
          <w:sz w:val="26"/>
          <w:szCs w:val="26"/>
        </w:rPr>
      </w:pPr>
    </w:p>
    <w:p w:rsidR="00A33E93" w:rsidRPr="0003106C" w:rsidRDefault="00A33E93" w:rsidP="00414AA3">
      <w:pPr>
        <w:pStyle w:val="BodyText2"/>
        <w:ind w:right="-143"/>
        <w:jc w:val="center"/>
        <w:outlineLvl w:val="0"/>
        <w:rPr>
          <w:b/>
          <w:sz w:val="26"/>
          <w:szCs w:val="26"/>
        </w:rPr>
      </w:pPr>
    </w:p>
    <w:p w:rsidR="00412CE3" w:rsidRPr="0003106C" w:rsidRDefault="00412CE3" w:rsidP="00114929">
      <w:pPr>
        <w:pStyle w:val="BodyText2"/>
        <w:ind w:right="-143"/>
        <w:outlineLvl w:val="0"/>
        <w:rPr>
          <w:b/>
          <w:sz w:val="26"/>
          <w:szCs w:val="26"/>
        </w:rPr>
      </w:pPr>
    </w:p>
    <w:p w:rsidR="004351B7" w:rsidRPr="0003106C" w:rsidRDefault="004351B7" w:rsidP="00E04600">
      <w:pPr>
        <w:pStyle w:val="BodyText2"/>
        <w:ind w:right="-143"/>
        <w:outlineLvl w:val="0"/>
        <w:rPr>
          <w:b/>
          <w:sz w:val="26"/>
          <w:szCs w:val="26"/>
        </w:rPr>
      </w:pPr>
    </w:p>
    <w:p w:rsidR="00AF297D" w:rsidRPr="0003106C" w:rsidRDefault="00E04600" w:rsidP="00E04600">
      <w:pPr>
        <w:pStyle w:val="BodyText2"/>
        <w:ind w:right="-143"/>
        <w:outlineLvl w:val="0"/>
        <w:rPr>
          <w:b/>
          <w:sz w:val="26"/>
          <w:szCs w:val="26"/>
        </w:rPr>
      </w:pPr>
      <w:r w:rsidRPr="0003106C">
        <w:rPr>
          <w:b/>
          <w:sz w:val="26"/>
          <w:szCs w:val="26"/>
        </w:rPr>
        <w:t xml:space="preserve"> </w:t>
      </w:r>
    </w:p>
    <w:p w:rsidR="000E1C20" w:rsidRPr="0003106C" w:rsidRDefault="000E1C20" w:rsidP="000E1C20">
      <w:pPr>
        <w:pStyle w:val="BodyText2"/>
        <w:ind w:right="-143"/>
        <w:jc w:val="center"/>
        <w:rPr>
          <w:b/>
          <w:sz w:val="26"/>
          <w:szCs w:val="26"/>
        </w:rPr>
      </w:pPr>
      <w:r w:rsidRPr="0003106C">
        <w:rPr>
          <w:b/>
          <w:sz w:val="26"/>
          <w:szCs w:val="26"/>
        </w:rPr>
        <w:t>Lietotie saīsinājumi</w:t>
      </w:r>
    </w:p>
    <w:p w:rsidR="00815A71" w:rsidRPr="0003106C" w:rsidRDefault="00815A71" w:rsidP="00D20FAA">
      <w:pPr>
        <w:pStyle w:val="BodyText2"/>
        <w:ind w:right="-143"/>
        <w:jc w:val="both"/>
        <w:rPr>
          <w:sz w:val="26"/>
          <w:szCs w:val="26"/>
        </w:rPr>
      </w:pPr>
    </w:p>
    <w:p w:rsidR="00425536" w:rsidRPr="0003106C" w:rsidRDefault="00425536" w:rsidP="00D20FAA">
      <w:pPr>
        <w:pStyle w:val="BodyText2"/>
        <w:ind w:right="-143"/>
        <w:jc w:val="both"/>
        <w:rPr>
          <w:sz w:val="26"/>
          <w:szCs w:val="26"/>
        </w:rPr>
      </w:pPr>
      <w:r w:rsidRPr="0003106C">
        <w:rPr>
          <w:sz w:val="26"/>
          <w:szCs w:val="26"/>
        </w:rPr>
        <w:t>ĀTI</w:t>
      </w:r>
      <w:r w:rsidRPr="0003106C">
        <w:rPr>
          <w:sz w:val="26"/>
          <w:szCs w:val="26"/>
        </w:rPr>
        <w:tab/>
      </w:r>
      <w:r w:rsidRPr="0003106C">
        <w:rPr>
          <w:sz w:val="26"/>
          <w:szCs w:val="26"/>
        </w:rPr>
        <w:tab/>
      </w:r>
      <w:r w:rsidRPr="0003106C">
        <w:rPr>
          <w:sz w:val="26"/>
          <w:szCs w:val="26"/>
        </w:rPr>
        <w:tab/>
      </w:r>
      <w:r w:rsidRPr="0003106C">
        <w:rPr>
          <w:sz w:val="26"/>
          <w:szCs w:val="26"/>
        </w:rPr>
        <w:tab/>
        <w:t>Ārvalstu tiešās investīcijas</w:t>
      </w:r>
    </w:p>
    <w:p w:rsidR="00195C62" w:rsidRPr="0003106C" w:rsidRDefault="00195C62" w:rsidP="00D20FAA">
      <w:pPr>
        <w:pStyle w:val="BodyText2"/>
        <w:ind w:right="-143"/>
        <w:jc w:val="both"/>
        <w:rPr>
          <w:sz w:val="26"/>
          <w:szCs w:val="26"/>
        </w:rPr>
      </w:pPr>
      <w:r w:rsidRPr="0003106C">
        <w:rPr>
          <w:sz w:val="26"/>
          <w:szCs w:val="26"/>
        </w:rPr>
        <w:t>BRIC</w:t>
      </w:r>
      <w:r w:rsidRPr="0003106C">
        <w:rPr>
          <w:sz w:val="26"/>
          <w:szCs w:val="26"/>
        </w:rPr>
        <w:tab/>
      </w:r>
      <w:r w:rsidRPr="0003106C">
        <w:rPr>
          <w:sz w:val="26"/>
          <w:szCs w:val="26"/>
        </w:rPr>
        <w:tab/>
      </w:r>
      <w:r w:rsidRPr="0003106C">
        <w:rPr>
          <w:sz w:val="26"/>
          <w:szCs w:val="26"/>
        </w:rPr>
        <w:tab/>
      </w:r>
      <w:r w:rsidRPr="0003106C">
        <w:rPr>
          <w:sz w:val="26"/>
          <w:szCs w:val="26"/>
        </w:rPr>
        <w:tab/>
        <w:t>Brazīlija, Krievija, Indija un Ķīna</w:t>
      </w:r>
    </w:p>
    <w:p w:rsidR="00195C62" w:rsidRPr="0003106C" w:rsidRDefault="00195C62" w:rsidP="00195C62">
      <w:pPr>
        <w:pStyle w:val="BodyText2"/>
        <w:ind w:left="2870" w:right="-143" w:hanging="2870"/>
        <w:jc w:val="both"/>
        <w:rPr>
          <w:sz w:val="26"/>
          <w:szCs w:val="26"/>
        </w:rPr>
      </w:pPr>
      <w:r w:rsidRPr="0003106C">
        <w:rPr>
          <w:sz w:val="26"/>
          <w:szCs w:val="26"/>
        </w:rPr>
        <w:t>CSP</w:t>
      </w:r>
      <w:r w:rsidRPr="0003106C">
        <w:rPr>
          <w:sz w:val="26"/>
          <w:szCs w:val="26"/>
        </w:rPr>
        <w:tab/>
        <w:t>Centrālā statistikas pārvalde</w:t>
      </w:r>
    </w:p>
    <w:p w:rsidR="007A4DF2" w:rsidRPr="0003106C" w:rsidRDefault="00815A71" w:rsidP="00D20FAA">
      <w:pPr>
        <w:pStyle w:val="BodyText2"/>
        <w:ind w:right="-143"/>
        <w:jc w:val="both"/>
        <w:rPr>
          <w:sz w:val="26"/>
          <w:szCs w:val="26"/>
        </w:rPr>
      </w:pPr>
      <w:r w:rsidRPr="0003106C">
        <w:rPr>
          <w:sz w:val="26"/>
          <w:szCs w:val="26"/>
        </w:rPr>
        <w:t>ES</w:t>
      </w:r>
      <w:r w:rsidRPr="0003106C">
        <w:rPr>
          <w:sz w:val="26"/>
          <w:szCs w:val="26"/>
        </w:rPr>
        <w:tab/>
      </w:r>
      <w:r w:rsidRPr="0003106C">
        <w:rPr>
          <w:sz w:val="26"/>
          <w:szCs w:val="26"/>
        </w:rPr>
        <w:tab/>
      </w:r>
      <w:r w:rsidRPr="0003106C">
        <w:rPr>
          <w:sz w:val="26"/>
          <w:szCs w:val="26"/>
        </w:rPr>
        <w:tab/>
      </w:r>
      <w:r w:rsidRPr="0003106C">
        <w:rPr>
          <w:sz w:val="26"/>
          <w:szCs w:val="26"/>
        </w:rPr>
        <w:tab/>
      </w:r>
      <w:r w:rsidR="007A4DF2" w:rsidRPr="0003106C">
        <w:rPr>
          <w:sz w:val="26"/>
          <w:szCs w:val="26"/>
        </w:rPr>
        <w:t>Eiropas Savienība</w:t>
      </w:r>
    </w:p>
    <w:p w:rsidR="00E85C58" w:rsidRPr="0003106C" w:rsidRDefault="00E85C58" w:rsidP="00D20FAA">
      <w:pPr>
        <w:pStyle w:val="BodyText2"/>
        <w:ind w:right="-143"/>
        <w:jc w:val="both"/>
        <w:rPr>
          <w:sz w:val="26"/>
          <w:szCs w:val="26"/>
        </w:rPr>
      </w:pPr>
      <w:r w:rsidRPr="0003106C">
        <w:rPr>
          <w:sz w:val="26"/>
          <w:szCs w:val="26"/>
        </w:rPr>
        <w:t>ESF</w:t>
      </w:r>
      <w:r w:rsidR="00EC0FE4" w:rsidRPr="0003106C">
        <w:rPr>
          <w:sz w:val="26"/>
          <w:szCs w:val="26"/>
        </w:rPr>
        <w:tab/>
      </w:r>
      <w:r w:rsidR="00EC0FE4" w:rsidRPr="0003106C">
        <w:rPr>
          <w:sz w:val="26"/>
          <w:szCs w:val="26"/>
        </w:rPr>
        <w:tab/>
      </w:r>
      <w:r w:rsidR="00EC0FE4" w:rsidRPr="0003106C">
        <w:rPr>
          <w:sz w:val="26"/>
          <w:szCs w:val="26"/>
        </w:rPr>
        <w:tab/>
      </w:r>
      <w:r w:rsidR="00EC0FE4" w:rsidRPr="0003106C">
        <w:rPr>
          <w:sz w:val="26"/>
          <w:szCs w:val="26"/>
        </w:rPr>
        <w:tab/>
      </w:r>
      <w:r w:rsidRPr="0003106C">
        <w:rPr>
          <w:sz w:val="26"/>
          <w:szCs w:val="26"/>
        </w:rPr>
        <w:t>Eiropas Sociālais fonds</w:t>
      </w:r>
    </w:p>
    <w:p w:rsidR="003C620C" w:rsidRPr="0003106C" w:rsidRDefault="003C620C" w:rsidP="00D20FAA">
      <w:pPr>
        <w:pStyle w:val="BodyText2"/>
        <w:ind w:right="-143"/>
        <w:jc w:val="both"/>
        <w:rPr>
          <w:sz w:val="26"/>
          <w:szCs w:val="26"/>
        </w:rPr>
      </w:pPr>
      <w:r w:rsidRPr="0003106C">
        <w:rPr>
          <w:sz w:val="26"/>
          <w:szCs w:val="26"/>
        </w:rPr>
        <w:t>EIF</w:t>
      </w:r>
      <w:r w:rsidR="00EC0FE4" w:rsidRPr="0003106C">
        <w:rPr>
          <w:sz w:val="26"/>
          <w:szCs w:val="26"/>
        </w:rPr>
        <w:tab/>
      </w:r>
      <w:r w:rsidR="00EC0FE4" w:rsidRPr="0003106C">
        <w:rPr>
          <w:sz w:val="26"/>
          <w:szCs w:val="26"/>
        </w:rPr>
        <w:tab/>
      </w:r>
      <w:r w:rsidR="00EC0FE4" w:rsidRPr="0003106C">
        <w:rPr>
          <w:sz w:val="26"/>
          <w:szCs w:val="26"/>
        </w:rPr>
        <w:tab/>
      </w:r>
      <w:r w:rsidR="00EC0FE4" w:rsidRPr="0003106C">
        <w:rPr>
          <w:sz w:val="26"/>
          <w:szCs w:val="26"/>
        </w:rPr>
        <w:tab/>
      </w:r>
      <w:r w:rsidRPr="0003106C">
        <w:rPr>
          <w:sz w:val="26"/>
          <w:szCs w:val="26"/>
        </w:rPr>
        <w:t xml:space="preserve">Eiropas Investīciju fonds </w:t>
      </w:r>
    </w:p>
    <w:p w:rsidR="0047535D" w:rsidRPr="0003106C" w:rsidRDefault="0047535D" w:rsidP="00D20FAA">
      <w:pPr>
        <w:pStyle w:val="BodyText2"/>
        <w:ind w:right="-143"/>
        <w:jc w:val="both"/>
        <w:rPr>
          <w:sz w:val="26"/>
          <w:szCs w:val="26"/>
        </w:rPr>
      </w:pPr>
      <w:r w:rsidRPr="0003106C">
        <w:rPr>
          <w:sz w:val="26"/>
          <w:szCs w:val="26"/>
        </w:rPr>
        <w:t>FICIL</w:t>
      </w:r>
      <w:r w:rsidRPr="0003106C">
        <w:rPr>
          <w:sz w:val="26"/>
          <w:szCs w:val="26"/>
        </w:rPr>
        <w:tab/>
      </w:r>
      <w:r w:rsidRPr="0003106C">
        <w:rPr>
          <w:sz w:val="26"/>
          <w:szCs w:val="26"/>
        </w:rPr>
        <w:tab/>
      </w:r>
      <w:r w:rsidRPr="0003106C">
        <w:rPr>
          <w:sz w:val="26"/>
          <w:szCs w:val="26"/>
        </w:rPr>
        <w:tab/>
      </w:r>
      <w:r w:rsidRPr="0003106C">
        <w:rPr>
          <w:sz w:val="26"/>
          <w:szCs w:val="26"/>
        </w:rPr>
        <w:tab/>
        <w:t>Ārvalstu investoru padome Latvijā</w:t>
      </w:r>
    </w:p>
    <w:p w:rsidR="00E31147" w:rsidRPr="0003106C" w:rsidRDefault="00E31147" w:rsidP="00E31147">
      <w:pPr>
        <w:pStyle w:val="BodyText2"/>
        <w:ind w:right="-143"/>
        <w:jc w:val="both"/>
        <w:rPr>
          <w:sz w:val="26"/>
          <w:szCs w:val="26"/>
        </w:rPr>
      </w:pPr>
      <w:r w:rsidRPr="0003106C">
        <w:rPr>
          <w:sz w:val="26"/>
          <w:szCs w:val="26"/>
        </w:rPr>
        <w:t>IKP</w:t>
      </w:r>
      <w:r w:rsidRPr="0003106C">
        <w:rPr>
          <w:sz w:val="26"/>
          <w:szCs w:val="26"/>
        </w:rPr>
        <w:tab/>
      </w:r>
      <w:r w:rsidRPr="0003106C">
        <w:rPr>
          <w:sz w:val="26"/>
          <w:szCs w:val="26"/>
        </w:rPr>
        <w:tab/>
      </w:r>
      <w:r w:rsidRPr="0003106C">
        <w:rPr>
          <w:sz w:val="26"/>
          <w:szCs w:val="26"/>
        </w:rPr>
        <w:tab/>
      </w:r>
      <w:r w:rsidRPr="0003106C">
        <w:rPr>
          <w:sz w:val="26"/>
          <w:szCs w:val="26"/>
        </w:rPr>
        <w:tab/>
        <w:t>Iekšzemes kopprodukts</w:t>
      </w:r>
    </w:p>
    <w:p w:rsidR="00EA27D2" w:rsidRPr="0003106C" w:rsidRDefault="00EA27D2" w:rsidP="00D20FAA">
      <w:pPr>
        <w:pStyle w:val="BodyText2"/>
        <w:ind w:right="-143"/>
        <w:jc w:val="both"/>
        <w:rPr>
          <w:sz w:val="26"/>
          <w:szCs w:val="26"/>
        </w:rPr>
      </w:pPr>
      <w:r w:rsidRPr="0003106C">
        <w:rPr>
          <w:sz w:val="26"/>
          <w:szCs w:val="26"/>
        </w:rPr>
        <w:t>LB</w:t>
      </w:r>
      <w:r w:rsidRPr="0003106C">
        <w:rPr>
          <w:sz w:val="26"/>
          <w:szCs w:val="26"/>
        </w:rPr>
        <w:tab/>
      </w:r>
      <w:r w:rsidRPr="0003106C">
        <w:rPr>
          <w:sz w:val="26"/>
          <w:szCs w:val="26"/>
        </w:rPr>
        <w:tab/>
      </w:r>
      <w:r w:rsidRPr="0003106C">
        <w:rPr>
          <w:sz w:val="26"/>
          <w:szCs w:val="26"/>
        </w:rPr>
        <w:tab/>
      </w:r>
      <w:r w:rsidRPr="0003106C">
        <w:rPr>
          <w:sz w:val="26"/>
          <w:szCs w:val="26"/>
        </w:rPr>
        <w:tab/>
        <w:t>Latvijas Banka</w:t>
      </w:r>
    </w:p>
    <w:p w:rsidR="00DC1385" w:rsidRPr="0003106C" w:rsidRDefault="00DC1385" w:rsidP="00D20FAA">
      <w:pPr>
        <w:pStyle w:val="BodyText2"/>
        <w:ind w:right="-143"/>
        <w:jc w:val="both"/>
        <w:rPr>
          <w:sz w:val="26"/>
          <w:szCs w:val="26"/>
        </w:rPr>
      </w:pPr>
      <w:r w:rsidRPr="0003106C">
        <w:rPr>
          <w:sz w:val="26"/>
          <w:szCs w:val="26"/>
        </w:rPr>
        <w:t>LDDK</w:t>
      </w:r>
      <w:r w:rsidRPr="0003106C">
        <w:rPr>
          <w:sz w:val="26"/>
          <w:szCs w:val="26"/>
        </w:rPr>
        <w:tab/>
      </w:r>
      <w:r w:rsidRPr="0003106C">
        <w:rPr>
          <w:sz w:val="26"/>
          <w:szCs w:val="26"/>
        </w:rPr>
        <w:tab/>
      </w:r>
      <w:r w:rsidRPr="0003106C">
        <w:rPr>
          <w:sz w:val="26"/>
          <w:szCs w:val="26"/>
        </w:rPr>
        <w:tab/>
        <w:t>Latvijas Darba devēju konfederācija</w:t>
      </w:r>
    </w:p>
    <w:p w:rsidR="00C645B9" w:rsidRPr="0003106C" w:rsidRDefault="00C645B9" w:rsidP="00D20FAA">
      <w:pPr>
        <w:pStyle w:val="BodyText2"/>
        <w:ind w:right="-143"/>
        <w:jc w:val="both"/>
        <w:rPr>
          <w:sz w:val="26"/>
          <w:szCs w:val="26"/>
        </w:rPr>
      </w:pPr>
      <w:r w:rsidRPr="0003106C">
        <w:rPr>
          <w:sz w:val="26"/>
          <w:szCs w:val="26"/>
        </w:rPr>
        <w:t>LI</w:t>
      </w:r>
      <w:r w:rsidR="00815A71" w:rsidRPr="0003106C">
        <w:rPr>
          <w:sz w:val="26"/>
          <w:szCs w:val="26"/>
        </w:rPr>
        <w:t>AA</w:t>
      </w:r>
      <w:r w:rsidR="00815A71" w:rsidRPr="0003106C">
        <w:rPr>
          <w:sz w:val="26"/>
          <w:szCs w:val="26"/>
        </w:rPr>
        <w:tab/>
      </w:r>
      <w:r w:rsidR="00815A71" w:rsidRPr="0003106C">
        <w:rPr>
          <w:sz w:val="26"/>
          <w:szCs w:val="26"/>
        </w:rPr>
        <w:tab/>
      </w:r>
      <w:r w:rsidR="00815A71" w:rsidRPr="0003106C">
        <w:rPr>
          <w:sz w:val="26"/>
          <w:szCs w:val="26"/>
        </w:rPr>
        <w:tab/>
      </w:r>
      <w:r w:rsidR="00815A71" w:rsidRPr="0003106C">
        <w:rPr>
          <w:sz w:val="26"/>
          <w:szCs w:val="26"/>
        </w:rPr>
        <w:tab/>
      </w:r>
      <w:r w:rsidRPr="0003106C">
        <w:rPr>
          <w:sz w:val="26"/>
          <w:szCs w:val="26"/>
        </w:rPr>
        <w:t>Latvijas Investīciju un attīstības aģentūra</w:t>
      </w:r>
    </w:p>
    <w:p w:rsidR="007A4DF2" w:rsidRPr="0003106C" w:rsidRDefault="00815A71" w:rsidP="00D20FAA">
      <w:pPr>
        <w:pStyle w:val="BodyText2"/>
        <w:ind w:right="-143"/>
        <w:jc w:val="both"/>
        <w:rPr>
          <w:sz w:val="26"/>
          <w:szCs w:val="26"/>
        </w:rPr>
      </w:pPr>
      <w:r w:rsidRPr="0003106C">
        <w:rPr>
          <w:sz w:val="26"/>
          <w:szCs w:val="26"/>
        </w:rPr>
        <w:t>LR</w:t>
      </w:r>
      <w:r w:rsidRPr="0003106C">
        <w:rPr>
          <w:sz w:val="26"/>
          <w:szCs w:val="26"/>
        </w:rPr>
        <w:tab/>
      </w:r>
      <w:r w:rsidRPr="0003106C">
        <w:rPr>
          <w:sz w:val="26"/>
          <w:szCs w:val="26"/>
        </w:rPr>
        <w:tab/>
      </w:r>
      <w:r w:rsidRPr="0003106C">
        <w:rPr>
          <w:sz w:val="26"/>
          <w:szCs w:val="26"/>
        </w:rPr>
        <w:tab/>
      </w:r>
      <w:r w:rsidRPr="0003106C">
        <w:rPr>
          <w:sz w:val="26"/>
          <w:szCs w:val="26"/>
        </w:rPr>
        <w:tab/>
      </w:r>
      <w:r w:rsidR="007A4DF2" w:rsidRPr="0003106C">
        <w:rPr>
          <w:sz w:val="26"/>
          <w:szCs w:val="26"/>
        </w:rPr>
        <w:t>Latvijas Republika</w:t>
      </w:r>
    </w:p>
    <w:p w:rsidR="00DC1385" w:rsidRPr="0003106C" w:rsidRDefault="00DC1385" w:rsidP="00D20FAA">
      <w:pPr>
        <w:pStyle w:val="BodyText2"/>
        <w:ind w:right="-143"/>
        <w:jc w:val="both"/>
        <w:rPr>
          <w:sz w:val="26"/>
          <w:szCs w:val="26"/>
        </w:rPr>
      </w:pPr>
      <w:r w:rsidRPr="0003106C">
        <w:rPr>
          <w:sz w:val="26"/>
          <w:szCs w:val="26"/>
        </w:rPr>
        <w:t>LTRK</w:t>
      </w:r>
      <w:r w:rsidRPr="0003106C">
        <w:rPr>
          <w:sz w:val="26"/>
          <w:szCs w:val="26"/>
        </w:rPr>
        <w:tab/>
      </w:r>
      <w:r w:rsidRPr="0003106C">
        <w:rPr>
          <w:sz w:val="26"/>
          <w:szCs w:val="26"/>
        </w:rPr>
        <w:tab/>
      </w:r>
      <w:r w:rsidRPr="0003106C">
        <w:rPr>
          <w:sz w:val="26"/>
          <w:szCs w:val="26"/>
        </w:rPr>
        <w:tab/>
      </w:r>
      <w:r w:rsidRPr="0003106C">
        <w:rPr>
          <w:sz w:val="26"/>
          <w:szCs w:val="26"/>
        </w:rPr>
        <w:tab/>
        <w:t>Latvijas Tirdzniecības un rūpniecības kamera</w:t>
      </w:r>
    </w:p>
    <w:p w:rsidR="00940ACB" w:rsidRPr="0003106C" w:rsidRDefault="00603252" w:rsidP="00D20FAA">
      <w:pPr>
        <w:pStyle w:val="BodyText2"/>
        <w:ind w:right="-143"/>
        <w:jc w:val="both"/>
        <w:rPr>
          <w:sz w:val="26"/>
          <w:szCs w:val="26"/>
        </w:rPr>
      </w:pPr>
      <w:r w:rsidRPr="0003106C">
        <w:rPr>
          <w:sz w:val="26"/>
          <w:szCs w:val="26"/>
        </w:rPr>
        <w:t>MVU</w:t>
      </w:r>
      <w:r w:rsidR="00815A71" w:rsidRPr="0003106C">
        <w:rPr>
          <w:sz w:val="26"/>
          <w:szCs w:val="26"/>
        </w:rPr>
        <w:tab/>
      </w:r>
      <w:r w:rsidR="00815A71" w:rsidRPr="0003106C">
        <w:rPr>
          <w:sz w:val="26"/>
          <w:szCs w:val="26"/>
        </w:rPr>
        <w:tab/>
      </w:r>
      <w:r w:rsidR="00815A71" w:rsidRPr="0003106C">
        <w:rPr>
          <w:sz w:val="26"/>
          <w:szCs w:val="26"/>
        </w:rPr>
        <w:tab/>
      </w:r>
      <w:r w:rsidR="00815A71" w:rsidRPr="0003106C">
        <w:rPr>
          <w:sz w:val="26"/>
          <w:szCs w:val="26"/>
        </w:rPr>
        <w:tab/>
      </w:r>
      <w:r w:rsidRPr="0003106C">
        <w:rPr>
          <w:sz w:val="26"/>
          <w:szCs w:val="26"/>
        </w:rPr>
        <w:t>Mazie un vidējie uzņēmumi</w:t>
      </w:r>
    </w:p>
    <w:p w:rsidR="007D1664" w:rsidRPr="0003106C" w:rsidRDefault="007D1664" w:rsidP="00D20FAA">
      <w:pPr>
        <w:pStyle w:val="BodyText2"/>
        <w:ind w:right="-143"/>
        <w:jc w:val="both"/>
        <w:rPr>
          <w:sz w:val="26"/>
          <w:szCs w:val="26"/>
        </w:rPr>
      </w:pPr>
      <w:r w:rsidRPr="0003106C">
        <w:rPr>
          <w:sz w:val="26"/>
          <w:szCs w:val="26"/>
        </w:rPr>
        <w:t>MK</w:t>
      </w:r>
      <w:r w:rsidRPr="0003106C">
        <w:rPr>
          <w:sz w:val="26"/>
          <w:szCs w:val="26"/>
        </w:rPr>
        <w:tab/>
      </w:r>
      <w:r w:rsidRPr="0003106C">
        <w:rPr>
          <w:sz w:val="26"/>
          <w:szCs w:val="26"/>
        </w:rPr>
        <w:tab/>
      </w:r>
      <w:r w:rsidRPr="0003106C">
        <w:rPr>
          <w:sz w:val="26"/>
          <w:szCs w:val="26"/>
        </w:rPr>
        <w:tab/>
      </w:r>
      <w:r w:rsidRPr="0003106C">
        <w:rPr>
          <w:sz w:val="26"/>
          <w:szCs w:val="26"/>
        </w:rPr>
        <w:tab/>
        <w:t>Ministru kabinets</w:t>
      </w:r>
    </w:p>
    <w:p w:rsidR="00940ACB" w:rsidRPr="0003106C" w:rsidRDefault="00815A71" w:rsidP="00D20FAA">
      <w:pPr>
        <w:pStyle w:val="BodyText2"/>
        <w:ind w:right="-143"/>
        <w:jc w:val="both"/>
        <w:rPr>
          <w:sz w:val="26"/>
          <w:szCs w:val="26"/>
        </w:rPr>
      </w:pPr>
      <w:r w:rsidRPr="0003106C">
        <w:rPr>
          <w:sz w:val="26"/>
          <w:szCs w:val="26"/>
        </w:rPr>
        <w:t>NVS</w:t>
      </w:r>
      <w:r w:rsidRPr="0003106C">
        <w:rPr>
          <w:sz w:val="26"/>
          <w:szCs w:val="26"/>
        </w:rPr>
        <w:tab/>
      </w:r>
      <w:r w:rsidRPr="0003106C">
        <w:rPr>
          <w:sz w:val="26"/>
          <w:szCs w:val="26"/>
        </w:rPr>
        <w:tab/>
      </w:r>
      <w:r w:rsidRPr="0003106C">
        <w:rPr>
          <w:sz w:val="26"/>
          <w:szCs w:val="26"/>
        </w:rPr>
        <w:tab/>
      </w:r>
      <w:r w:rsidRPr="0003106C">
        <w:rPr>
          <w:sz w:val="26"/>
          <w:szCs w:val="26"/>
        </w:rPr>
        <w:tab/>
      </w:r>
      <w:r w:rsidR="00940ACB" w:rsidRPr="0003106C">
        <w:rPr>
          <w:sz w:val="26"/>
          <w:szCs w:val="26"/>
        </w:rPr>
        <w:t>Neatkarīgo valstu savienība</w:t>
      </w:r>
    </w:p>
    <w:p w:rsidR="00E31147" w:rsidRPr="0003106C" w:rsidRDefault="00E31147" w:rsidP="00D20FAA">
      <w:pPr>
        <w:pStyle w:val="BodyText2"/>
        <w:ind w:right="-143"/>
        <w:jc w:val="both"/>
        <w:rPr>
          <w:sz w:val="26"/>
          <w:szCs w:val="26"/>
        </w:rPr>
      </w:pPr>
      <w:r w:rsidRPr="0003106C">
        <w:rPr>
          <w:bCs/>
          <w:sz w:val="26"/>
          <w:szCs w:val="26"/>
        </w:rPr>
        <w:t>SVID</w:t>
      </w:r>
      <w:r w:rsidR="00286875" w:rsidRPr="0003106C">
        <w:rPr>
          <w:bCs/>
          <w:sz w:val="26"/>
          <w:szCs w:val="26"/>
        </w:rPr>
        <w:t xml:space="preserve"> analīze</w:t>
      </w:r>
      <w:r w:rsidRPr="0003106C">
        <w:rPr>
          <w:bCs/>
          <w:sz w:val="26"/>
          <w:szCs w:val="26"/>
        </w:rPr>
        <w:tab/>
      </w:r>
      <w:r w:rsidRPr="0003106C">
        <w:rPr>
          <w:bCs/>
          <w:sz w:val="26"/>
          <w:szCs w:val="26"/>
        </w:rPr>
        <w:tab/>
      </w:r>
      <w:r w:rsidRPr="0003106C">
        <w:rPr>
          <w:bCs/>
          <w:sz w:val="26"/>
          <w:szCs w:val="26"/>
        </w:rPr>
        <w:tab/>
        <w:t>Stipro un vājo pušu, iespēju un draudu analīze</w:t>
      </w:r>
    </w:p>
    <w:p w:rsidR="007D1664" w:rsidRPr="0003106C" w:rsidRDefault="007D1664" w:rsidP="00D20FAA">
      <w:pPr>
        <w:pStyle w:val="BodyText2"/>
        <w:ind w:right="-143"/>
        <w:jc w:val="both"/>
        <w:rPr>
          <w:sz w:val="26"/>
          <w:szCs w:val="26"/>
        </w:rPr>
      </w:pPr>
    </w:p>
    <w:p w:rsidR="007D1664" w:rsidRPr="0003106C" w:rsidRDefault="007D1664" w:rsidP="00D20FAA">
      <w:pPr>
        <w:pStyle w:val="BodyText2"/>
        <w:ind w:right="-143"/>
        <w:jc w:val="both"/>
        <w:rPr>
          <w:sz w:val="26"/>
          <w:szCs w:val="26"/>
        </w:rPr>
      </w:pPr>
    </w:p>
    <w:p w:rsidR="009D2A64" w:rsidRPr="0003106C" w:rsidRDefault="009D2A64" w:rsidP="00D20FAA">
      <w:pPr>
        <w:pStyle w:val="BodyText2"/>
        <w:ind w:right="-143"/>
        <w:jc w:val="both"/>
        <w:rPr>
          <w:sz w:val="26"/>
          <w:szCs w:val="26"/>
        </w:rPr>
      </w:pPr>
    </w:p>
    <w:p w:rsidR="00815A71" w:rsidRPr="0003106C" w:rsidRDefault="00815A71"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sz w:val="26"/>
          <w:szCs w:val="26"/>
        </w:rPr>
      </w:pPr>
    </w:p>
    <w:p w:rsidR="000433C2" w:rsidRPr="0003106C" w:rsidRDefault="000433C2" w:rsidP="00D20FAA">
      <w:pPr>
        <w:ind w:right="-143"/>
        <w:jc w:val="both"/>
        <w:rPr>
          <w:b/>
          <w:sz w:val="26"/>
          <w:szCs w:val="26"/>
        </w:rPr>
      </w:pPr>
    </w:p>
    <w:p w:rsidR="00B538A3" w:rsidRPr="0003106C" w:rsidRDefault="00B538A3" w:rsidP="00D20FAA">
      <w:pPr>
        <w:ind w:right="-143"/>
        <w:jc w:val="both"/>
        <w:outlineLvl w:val="0"/>
        <w:rPr>
          <w:b/>
          <w:sz w:val="26"/>
          <w:szCs w:val="26"/>
        </w:rPr>
      </w:pPr>
    </w:p>
    <w:p w:rsidR="00B538A3" w:rsidRPr="0003106C" w:rsidRDefault="00B538A3" w:rsidP="00D20FAA">
      <w:pPr>
        <w:ind w:right="-143"/>
        <w:jc w:val="both"/>
        <w:outlineLvl w:val="0"/>
        <w:rPr>
          <w:b/>
          <w:sz w:val="26"/>
          <w:szCs w:val="26"/>
        </w:rPr>
      </w:pPr>
    </w:p>
    <w:p w:rsidR="001F32A5" w:rsidRPr="0003106C" w:rsidRDefault="001F32A5" w:rsidP="00D20FAA">
      <w:pPr>
        <w:ind w:right="-143"/>
        <w:jc w:val="both"/>
        <w:outlineLvl w:val="0"/>
        <w:rPr>
          <w:b/>
          <w:sz w:val="26"/>
          <w:szCs w:val="26"/>
        </w:rPr>
      </w:pPr>
    </w:p>
    <w:p w:rsidR="001F32A5" w:rsidRPr="0003106C" w:rsidRDefault="001F32A5" w:rsidP="00D20FAA">
      <w:pPr>
        <w:ind w:right="-143"/>
        <w:jc w:val="both"/>
        <w:outlineLvl w:val="0"/>
        <w:rPr>
          <w:b/>
          <w:sz w:val="26"/>
          <w:szCs w:val="26"/>
        </w:rPr>
      </w:pPr>
    </w:p>
    <w:p w:rsidR="001F32A5" w:rsidRPr="0003106C" w:rsidRDefault="001F32A5" w:rsidP="00D20FAA">
      <w:pPr>
        <w:ind w:right="-143"/>
        <w:jc w:val="both"/>
        <w:outlineLvl w:val="0"/>
        <w:rPr>
          <w:b/>
          <w:sz w:val="26"/>
          <w:szCs w:val="26"/>
        </w:rPr>
      </w:pPr>
    </w:p>
    <w:p w:rsidR="00F25180" w:rsidRPr="0003106C" w:rsidRDefault="00F25180">
      <w:pPr>
        <w:rPr>
          <w:b/>
          <w:sz w:val="28"/>
          <w:szCs w:val="28"/>
        </w:rPr>
      </w:pPr>
      <w:r w:rsidRPr="0003106C">
        <w:rPr>
          <w:b/>
          <w:sz w:val="28"/>
          <w:szCs w:val="28"/>
        </w:rPr>
        <w:br w:type="page"/>
      </w:r>
    </w:p>
    <w:p w:rsidR="00003DBB" w:rsidRPr="0003106C" w:rsidRDefault="00003DBB" w:rsidP="00703512">
      <w:pPr>
        <w:spacing w:after="240"/>
        <w:jc w:val="center"/>
        <w:rPr>
          <w:b/>
          <w:sz w:val="28"/>
          <w:szCs w:val="28"/>
        </w:rPr>
      </w:pPr>
      <w:r w:rsidRPr="0003106C">
        <w:rPr>
          <w:b/>
          <w:sz w:val="28"/>
          <w:szCs w:val="28"/>
        </w:rPr>
        <w:lastRenderedPageBreak/>
        <w:t>Saturs</w:t>
      </w:r>
    </w:p>
    <w:p w:rsidR="00F576D3" w:rsidRDefault="00FD13B5">
      <w:pPr>
        <w:pStyle w:val="TOC1"/>
        <w:rPr>
          <w:rFonts w:asciiTheme="minorHAnsi" w:eastAsiaTheme="minorEastAsia" w:hAnsiTheme="minorHAnsi" w:cstheme="minorBidi"/>
          <w:b w:val="0"/>
          <w:bCs w:val="0"/>
          <w:color w:val="auto"/>
          <w:sz w:val="22"/>
          <w:szCs w:val="22"/>
          <w:lang w:eastAsia="lv-LV"/>
        </w:rPr>
      </w:pPr>
      <w:r w:rsidRPr="0003106C">
        <w:rPr>
          <w:noProof w:val="0"/>
          <w:color w:val="auto"/>
          <w:szCs w:val="26"/>
        </w:rPr>
        <w:fldChar w:fldCharType="begin"/>
      </w:r>
      <w:r w:rsidR="00003DBB" w:rsidRPr="0003106C">
        <w:rPr>
          <w:noProof w:val="0"/>
          <w:color w:val="auto"/>
          <w:szCs w:val="26"/>
        </w:rPr>
        <w:instrText xml:space="preserve"> TOC \o "1-3" \h \z \u </w:instrText>
      </w:r>
      <w:r w:rsidRPr="0003106C">
        <w:rPr>
          <w:noProof w:val="0"/>
          <w:color w:val="auto"/>
          <w:szCs w:val="26"/>
        </w:rPr>
        <w:fldChar w:fldCharType="separate"/>
      </w:r>
      <w:hyperlink w:anchor="_Toc355961024" w:history="1">
        <w:r w:rsidR="00F576D3" w:rsidRPr="00391D2A">
          <w:rPr>
            <w:rStyle w:val="Hyperlink"/>
          </w:rPr>
          <w:t>1. Eksporta veicināšanas un ārvalstu investīciju piesaistes politikas mērķis un apakšmērķi</w:t>
        </w:r>
        <w:r w:rsidR="00F576D3">
          <w:rPr>
            <w:webHidden/>
          </w:rPr>
          <w:tab/>
        </w:r>
        <w:r w:rsidR="00F576D3">
          <w:rPr>
            <w:webHidden/>
          </w:rPr>
          <w:fldChar w:fldCharType="begin"/>
        </w:r>
        <w:r w:rsidR="00F576D3">
          <w:rPr>
            <w:webHidden/>
          </w:rPr>
          <w:instrText xml:space="preserve"> PAGEREF _Toc355961024 \h </w:instrText>
        </w:r>
        <w:r w:rsidR="00F576D3">
          <w:rPr>
            <w:webHidden/>
          </w:rPr>
        </w:r>
        <w:r w:rsidR="00F576D3">
          <w:rPr>
            <w:webHidden/>
          </w:rPr>
          <w:fldChar w:fldCharType="separate"/>
        </w:r>
        <w:r w:rsidR="00F576D3">
          <w:rPr>
            <w:webHidden/>
          </w:rPr>
          <w:t>6</w:t>
        </w:r>
        <w:r w:rsidR="00F576D3">
          <w:rPr>
            <w:webHidden/>
          </w:rPr>
          <w:fldChar w:fldCharType="end"/>
        </w:r>
      </w:hyperlink>
    </w:p>
    <w:p w:rsidR="00F576D3" w:rsidRDefault="00CA1579">
      <w:pPr>
        <w:pStyle w:val="TOC1"/>
        <w:rPr>
          <w:rFonts w:asciiTheme="minorHAnsi" w:eastAsiaTheme="minorEastAsia" w:hAnsiTheme="minorHAnsi" w:cstheme="minorBidi"/>
          <w:b w:val="0"/>
          <w:bCs w:val="0"/>
          <w:color w:val="auto"/>
          <w:sz w:val="22"/>
          <w:szCs w:val="22"/>
          <w:lang w:eastAsia="lv-LV"/>
        </w:rPr>
      </w:pPr>
      <w:hyperlink w:anchor="_Toc355961025" w:history="1">
        <w:r w:rsidR="00F576D3" w:rsidRPr="00391D2A">
          <w:rPr>
            <w:rStyle w:val="Hyperlink"/>
          </w:rPr>
          <w:t>2. Politikas rezultāti un to rezultatīvie rādītāji</w:t>
        </w:r>
        <w:r w:rsidR="00F576D3">
          <w:rPr>
            <w:webHidden/>
          </w:rPr>
          <w:tab/>
        </w:r>
        <w:r w:rsidR="00F576D3">
          <w:rPr>
            <w:webHidden/>
          </w:rPr>
          <w:fldChar w:fldCharType="begin"/>
        </w:r>
        <w:r w:rsidR="00F576D3">
          <w:rPr>
            <w:webHidden/>
          </w:rPr>
          <w:instrText xml:space="preserve"> PAGEREF _Toc355961025 \h </w:instrText>
        </w:r>
        <w:r w:rsidR="00F576D3">
          <w:rPr>
            <w:webHidden/>
          </w:rPr>
        </w:r>
        <w:r w:rsidR="00F576D3">
          <w:rPr>
            <w:webHidden/>
          </w:rPr>
          <w:fldChar w:fldCharType="separate"/>
        </w:r>
        <w:r w:rsidR="00F576D3">
          <w:rPr>
            <w:webHidden/>
          </w:rPr>
          <w:t>6</w:t>
        </w:r>
        <w:r w:rsidR="00F576D3">
          <w:rPr>
            <w:webHidden/>
          </w:rPr>
          <w:fldChar w:fldCharType="end"/>
        </w:r>
      </w:hyperlink>
    </w:p>
    <w:p w:rsidR="00F576D3" w:rsidRDefault="00CA1579">
      <w:pPr>
        <w:pStyle w:val="TOC1"/>
        <w:rPr>
          <w:rFonts w:asciiTheme="minorHAnsi" w:eastAsiaTheme="minorEastAsia" w:hAnsiTheme="minorHAnsi" w:cstheme="minorBidi"/>
          <w:b w:val="0"/>
          <w:bCs w:val="0"/>
          <w:color w:val="auto"/>
          <w:sz w:val="22"/>
          <w:szCs w:val="22"/>
          <w:lang w:eastAsia="lv-LV"/>
        </w:rPr>
      </w:pPr>
      <w:hyperlink w:anchor="_Toc355961026" w:history="1">
        <w:r w:rsidR="00F576D3" w:rsidRPr="00391D2A">
          <w:rPr>
            <w:rStyle w:val="Hyperlink"/>
          </w:rPr>
          <w:t>3. Situācijas raksturojums</w:t>
        </w:r>
        <w:r w:rsidR="00F576D3">
          <w:rPr>
            <w:webHidden/>
          </w:rPr>
          <w:tab/>
        </w:r>
        <w:r w:rsidR="00F576D3">
          <w:rPr>
            <w:webHidden/>
          </w:rPr>
          <w:fldChar w:fldCharType="begin"/>
        </w:r>
        <w:r w:rsidR="00F576D3">
          <w:rPr>
            <w:webHidden/>
          </w:rPr>
          <w:instrText xml:space="preserve"> PAGEREF _Toc355961026 \h </w:instrText>
        </w:r>
        <w:r w:rsidR="00F576D3">
          <w:rPr>
            <w:webHidden/>
          </w:rPr>
        </w:r>
        <w:r w:rsidR="00F576D3">
          <w:rPr>
            <w:webHidden/>
          </w:rPr>
          <w:fldChar w:fldCharType="separate"/>
        </w:r>
        <w:r w:rsidR="00F576D3">
          <w:rPr>
            <w:webHidden/>
          </w:rPr>
          <w:t>6</w:t>
        </w:r>
        <w:r w:rsidR="00F576D3">
          <w:rPr>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27" w:history="1">
        <w:r w:rsidR="00F576D3" w:rsidRPr="00391D2A">
          <w:rPr>
            <w:rStyle w:val="Hyperlink"/>
            <w:noProof/>
          </w:rPr>
          <w:t>3.1. Eksporta loma tautsaimniecībā un struktūras raksturojums</w:t>
        </w:r>
        <w:r w:rsidR="00F576D3">
          <w:rPr>
            <w:noProof/>
            <w:webHidden/>
          </w:rPr>
          <w:tab/>
        </w:r>
        <w:r w:rsidR="00F576D3">
          <w:rPr>
            <w:noProof/>
            <w:webHidden/>
          </w:rPr>
          <w:fldChar w:fldCharType="begin"/>
        </w:r>
        <w:r w:rsidR="00F576D3">
          <w:rPr>
            <w:noProof/>
            <w:webHidden/>
          </w:rPr>
          <w:instrText xml:space="preserve"> PAGEREF _Toc355961027 \h </w:instrText>
        </w:r>
        <w:r w:rsidR="00F576D3">
          <w:rPr>
            <w:noProof/>
            <w:webHidden/>
          </w:rPr>
        </w:r>
        <w:r w:rsidR="00F576D3">
          <w:rPr>
            <w:noProof/>
            <w:webHidden/>
          </w:rPr>
          <w:fldChar w:fldCharType="separate"/>
        </w:r>
        <w:r w:rsidR="00F576D3">
          <w:rPr>
            <w:noProof/>
            <w:webHidden/>
          </w:rPr>
          <w:t>7</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28" w:history="1">
        <w:r w:rsidR="00F576D3" w:rsidRPr="00391D2A">
          <w:rPr>
            <w:rStyle w:val="Hyperlink"/>
            <w:noProof/>
          </w:rPr>
          <w:t>3.2. Investīcijas un ārvalstu tiešās investīcijas</w:t>
        </w:r>
        <w:r w:rsidR="00F576D3">
          <w:rPr>
            <w:noProof/>
            <w:webHidden/>
          </w:rPr>
          <w:tab/>
        </w:r>
        <w:r w:rsidR="00F576D3">
          <w:rPr>
            <w:noProof/>
            <w:webHidden/>
          </w:rPr>
          <w:fldChar w:fldCharType="begin"/>
        </w:r>
        <w:r w:rsidR="00F576D3">
          <w:rPr>
            <w:noProof/>
            <w:webHidden/>
          </w:rPr>
          <w:instrText xml:space="preserve"> PAGEREF _Toc355961028 \h </w:instrText>
        </w:r>
        <w:r w:rsidR="00F576D3">
          <w:rPr>
            <w:noProof/>
            <w:webHidden/>
          </w:rPr>
        </w:r>
        <w:r w:rsidR="00F576D3">
          <w:rPr>
            <w:noProof/>
            <w:webHidden/>
          </w:rPr>
          <w:fldChar w:fldCharType="separate"/>
        </w:r>
        <w:r w:rsidR="00F576D3">
          <w:rPr>
            <w:noProof/>
            <w:webHidden/>
          </w:rPr>
          <w:t>12</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29" w:history="1">
        <w:r w:rsidR="00F576D3" w:rsidRPr="00391D2A">
          <w:rPr>
            <w:rStyle w:val="Hyperlink"/>
            <w:noProof/>
          </w:rPr>
          <w:t>3.3. Latvijas investīciju vides novērtējums</w:t>
        </w:r>
        <w:r w:rsidR="00F576D3">
          <w:rPr>
            <w:noProof/>
            <w:webHidden/>
          </w:rPr>
          <w:tab/>
        </w:r>
        <w:r w:rsidR="00F576D3">
          <w:rPr>
            <w:noProof/>
            <w:webHidden/>
          </w:rPr>
          <w:fldChar w:fldCharType="begin"/>
        </w:r>
        <w:r w:rsidR="00F576D3">
          <w:rPr>
            <w:noProof/>
            <w:webHidden/>
          </w:rPr>
          <w:instrText xml:space="preserve"> PAGEREF _Toc355961029 \h </w:instrText>
        </w:r>
        <w:r w:rsidR="00F576D3">
          <w:rPr>
            <w:noProof/>
            <w:webHidden/>
          </w:rPr>
        </w:r>
        <w:r w:rsidR="00F576D3">
          <w:rPr>
            <w:noProof/>
            <w:webHidden/>
          </w:rPr>
          <w:fldChar w:fldCharType="separate"/>
        </w:r>
        <w:r w:rsidR="00F576D3">
          <w:rPr>
            <w:noProof/>
            <w:webHidden/>
          </w:rPr>
          <w:t>19</w:t>
        </w:r>
        <w:r w:rsidR="00F576D3">
          <w:rPr>
            <w:noProof/>
            <w:webHidden/>
          </w:rPr>
          <w:fldChar w:fldCharType="end"/>
        </w:r>
      </w:hyperlink>
    </w:p>
    <w:p w:rsidR="00F576D3" w:rsidRDefault="00CA1579">
      <w:pPr>
        <w:pStyle w:val="TOC1"/>
        <w:rPr>
          <w:rFonts w:asciiTheme="minorHAnsi" w:eastAsiaTheme="minorEastAsia" w:hAnsiTheme="minorHAnsi" w:cstheme="minorBidi"/>
          <w:b w:val="0"/>
          <w:bCs w:val="0"/>
          <w:color w:val="auto"/>
          <w:sz w:val="22"/>
          <w:szCs w:val="22"/>
          <w:lang w:eastAsia="lv-LV"/>
        </w:rPr>
      </w:pPr>
      <w:hyperlink w:anchor="_Toc355961030" w:history="1">
        <w:r w:rsidR="00F576D3" w:rsidRPr="00391D2A">
          <w:rPr>
            <w:rStyle w:val="Hyperlink"/>
          </w:rPr>
          <w:t>4. Rīcības virzieni un uzdevumi politikas mērķu un rezultātu sasniegšanai, problēmu risināšanai</w:t>
        </w:r>
        <w:r w:rsidR="00F576D3">
          <w:rPr>
            <w:webHidden/>
          </w:rPr>
          <w:tab/>
        </w:r>
        <w:r w:rsidR="00F576D3">
          <w:rPr>
            <w:webHidden/>
          </w:rPr>
          <w:fldChar w:fldCharType="begin"/>
        </w:r>
        <w:r w:rsidR="00F576D3">
          <w:rPr>
            <w:webHidden/>
          </w:rPr>
          <w:instrText xml:space="preserve"> PAGEREF _Toc355961030 \h </w:instrText>
        </w:r>
        <w:r w:rsidR="00F576D3">
          <w:rPr>
            <w:webHidden/>
          </w:rPr>
        </w:r>
        <w:r w:rsidR="00F576D3">
          <w:rPr>
            <w:webHidden/>
          </w:rPr>
          <w:fldChar w:fldCharType="separate"/>
        </w:r>
        <w:r w:rsidR="00F576D3">
          <w:rPr>
            <w:webHidden/>
          </w:rPr>
          <w:t>21</w:t>
        </w:r>
        <w:r w:rsidR="00F576D3">
          <w:rPr>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1" w:history="1">
        <w:r w:rsidR="00F576D3" w:rsidRPr="00391D2A">
          <w:rPr>
            <w:rStyle w:val="Hyperlink"/>
            <w:noProof/>
          </w:rPr>
          <w:t>4.1. Latvijas konkurētspējas paaugstināšana</w:t>
        </w:r>
        <w:r w:rsidR="00F576D3">
          <w:rPr>
            <w:noProof/>
            <w:webHidden/>
          </w:rPr>
          <w:tab/>
        </w:r>
        <w:r w:rsidR="00F576D3">
          <w:rPr>
            <w:noProof/>
            <w:webHidden/>
          </w:rPr>
          <w:fldChar w:fldCharType="begin"/>
        </w:r>
        <w:r w:rsidR="00F576D3">
          <w:rPr>
            <w:noProof/>
            <w:webHidden/>
          </w:rPr>
          <w:instrText xml:space="preserve"> PAGEREF _Toc355961031 \h </w:instrText>
        </w:r>
        <w:r w:rsidR="00F576D3">
          <w:rPr>
            <w:noProof/>
            <w:webHidden/>
          </w:rPr>
        </w:r>
        <w:r w:rsidR="00F576D3">
          <w:rPr>
            <w:noProof/>
            <w:webHidden/>
          </w:rPr>
          <w:fldChar w:fldCharType="separate"/>
        </w:r>
        <w:r w:rsidR="00F576D3">
          <w:rPr>
            <w:noProof/>
            <w:webHidden/>
          </w:rPr>
          <w:t>21</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2" w:history="1">
        <w:r w:rsidR="00F576D3" w:rsidRPr="00391D2A">
          <w:rPr>
            <w:rStyle w:val="Hyperlink"/>
            <w:noProof/>
          </w:rPr>
          <w:t>4.2.  Atbalsts ārējo tirgu apgūšanai</w:t>
        </w:r>
        <w:r w:rsidR="00F576D3">
          <w:rPr>
            <w:noProof/>
            <w:webHidden/>
          </w:rPr>
          <w:tab/>
        </w:r>
        <w:r w:rsidR="00F576D3">
          <w:rPr>
            <w:noProof/>
            <w:webHidden/>
          </w:rPr>
          <w:fldChar w:fldCharType="begin"/>
        </w:r>
        <w:r w:rsidR="00F576D3">
          <w:rPr>
            <w:noProof/>
            <w:webHidden/>
          </w:rPr>
          <w:instrText xml:space="preserve"> PAGEREF _Toc355961032 \h </w:instrText>
        </w:r>
        <w:r w:rsidR="00F576D3">
          <w:rPr>
            <w:noProof/>
            <w:webHidden/>
          </w:rPr>
        </w:r>
        <w:r w:rsidR="00F576D3">
          <w:rPr>
            <w:noProof/>
            <w:webHidden/>
          </w:rPr>
          <w:fldChar w:fldCharType="separate"/>
        </w:r>
        <w:r w:rsidR="00F576D3">
          <w:rPr>
            <w:noProof/>
            <w:webHidden/>
          </w:rPr>
          <w:t>24</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3" w:history="1">
        <w:r w:rsidR="00F576D3" w:rsidRPr="00391D2A">
          <w:rPr>
            <w:rStyle w:val="Hyperlink"/>
            <w:noProof/>
          </w:rPr>
          <w:t>4.2.1. Eksporta atbalsta pakalpojumi</w:t>
        </w:r>
        <w:r w:rsidR="00F576D3">
          <w:rPr>
            <w:noProof/>
            <w:webHidden/>
          </w:rPr>
          <w:tab/>
        </w:r>
        <w:r w:rsidR="00F576D3">
          <w:rPr>
            <w:noProof/>
            <w:webHidden/>
          </w:rPr>
          <w:fldChar w:fldCharType="begin"/>
        </w:r>
        <w:r w:rsidR="00F576D3">
          <w:rPr>
            <w:noProof/>
            <w:webHidden/>
          </w:rPr>
          <w:instrText xml:space="preserve"> PAGEREF _Toc355961033 \h </w:instrText>
        </w:r>
        <w:r w:rsidR="00F576D3">
          <w:rPr>
            <w:noProof/>
            <w:webHidden/>
          </w:rPr>
        </w:r>
        <w:r w:rsidR="00F576D3">
          <w:rPr>
            <w:noProof/>
            <w:webHidden/>
          </w:rPr>
          <w:fldChar w:fldCharType="separate"/>
        </w:r>
        <w:r w:rsidR="00F576D3">
          <w:rPr>
            <w:noProof/>
            <w:webHidden/>
          </w:rPr>
          <w:t>28</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4" w:history="1">
        <w:r w:rsidR="00F576D3" w:rsidRPr="00391D2A">
          <w:rPr>
            <w:rStyle w:val="Hyperlink"/>
            <w:noProof/>
          </w:rPr>
          <w:t>4.2.2. Eksporta nozares</w:t>
        </w:r>
        <w:r w:rsidR="00F576D3">
          <w:rPr>
            <w:noProof/>
            <w:webHidden/>
          </w:rPr>
          <w:tab/>
        </w:r>
        <w:r w:rsidR="00F576D3">
          <w:rPr>
            <w:noProof/>
            <w:webHidden/>
          </w:rPr>
          <w:fldChar w:fldCharType="begin"/>
        </w:r>
        <w:r w:rsidR="00F576D3">
          <w:rPr>
            <w:noProof/>
            <w:webHidden/>
          </w:rPr>
          <w:instrText xml:space="preserve"> PAGEREF _Toc355961034 \h </w:instrText>
        </w:r>
        <w:r w:rsidR="00F576D3">
          <w:rPr>
            <w:noProof/>
            <w:webHidden/>
          </w:rPr>
        </w:r>
        <w:r w:rsidR="00F576D3">
          <w:rPr>
            <w:noProof/>
            <w:webHidden/>
          </w:rPr>
          <w:fldChar w:fldCharType="separate"/>
        </w:r>
        <w:r w:rsidR="00F576D3">
          <w:rPr>
            <w:noProof/>
            <w:webHidden/>
          </w:rPr>
          <w:t>29</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5" w:history="1">
        <w:r w:rsidR="00F576D3" w:rsidRPr="00391D2A">
          <w:rPr>
            <w:rStyle w:val="Hyperlink"/>
            <w:noProof/>
          </w:rPr>
          <w:t>4.2.3. Eksporta mērķa valstis</w:t>
        </w:r>
        <w:r w:rsidR="00F576D3">
          <w:rPr>
            <w:noProof/>
            <w:webHidden/>
          </w:rPr>
          <w:tab/>
        </w:r>
        <w:r w:rsidR="00F576D3">
          <w:rPr>
            <w:noProof/>
            <w:webHidden/>
          </w:rPr>
          <w:fldChar w:fldCharType="begin"/>
        </w:r>
        <w:r w:rsidR="00F576D3">
          <w:rPr>
            <w:noProof/>
            <w:webHidden/>
          </w:rPr>
          <w:instrText xml:space="preserve"> PAGEREF _Toc355961035 \h </w:instrText>
        </w:r>
        <w:r w:rsidR="00F576D3">
          <w:rPr>
            <w:noProof/>
            <w:webHidden/>
          </w:rPr>
        </w:r>
        <w:r w:rsidR="00F576D3">
          <w:rPr>
            <w:noProof/>
            <w:webHidden/>
          </w:rPr>
          <w:fldChar w:fldCharType="separate"/>
        </w:r>
        <w:r w:rsidR="00F576D3">
          <w:rPr>
            <w:noProof/>
            <w:webHidden/>
          </w:rPr>
          <w:t>29</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6" w:history="1">
        <w:r w:rsidR="00F576D3" w:rsidRPr="00391D2A">
          <w:rPr>
            <w:rStyle w:val="Hyperlink"/>
            <w:noProof/>
          </w:rPr>
          <w:t>4.2.4. Eksporta atbalsta pakalpojumu sniegšanas process un galvenās aktivitātes</w:t>
        </w:r>
        <w:r w:rsidR="00F576D3">
          <w:rPr>
            <w:noProof/>
            <w:webHidden/>
          </w:rPr>
          <w:tab/>
        </w:r>
        <w:r w:rsidR="00F576D3">
          <w:rPr>
            <w:noProof/>
            <w:webHidden/>
          </w:rPr>
          <w:fldChar w:fldCharType="begin"/>
        </w:r>
        <w:r w:rsidR="00F576D3">
          <w:rPr>
            <w:noProof/>
            <w:webHidden/>
          </w:rPr>
          <w:instrText xml:space="preserve"> PAGEREF _Toc355961036 \h </w:instrText>
        </w:r>
        <w:r w:rsidR="00F576D3">
          <w:rPr>
            <w:noProof/>
            <w:webHidden/>
          </w:rPr>
        </w:r>
        <w:r w:rsidR="00F576D3">
          <w:rPr>
            <w:noProof/>
            <w:webHidden/>
          </w:rPr>
          <w:fldChar w:fldCharType="separate"/>
        </w:r>
        <w:r w:rsidR="00F576D3">
          <w:rPr>
            <w:noProof/>
            <w:webHidden/>
          </w:rPr>
          <w:t>30</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7" w:history="1">
        <w:r w:rsidR="00F576D3" w:rsidRPr="00391D2A">
          <w:rPr>
            <w:rStyle w:val="Hyperlink"/>
            <w:noProof/>
          </w:rPr>
          <w:t>4.3. ĀTI veicināšana</w:t>
        </w:r>
        <w:r w:rsidR="00F576D3">
          <w:rPr>
            <w:noProof/>
            <w:webHidden/>
          </w:rPr>
          <w:tab/>
        </w:r>
        <w:r w:rsidR="00F576D3">
          <w:rPr>
            <w:noProof/>
            <w:webHidden/>
          </w:rPr>
          <w:fldChar w:fldCharType="begin"/>
        </w:r>
        <w:r w:rsidR="00F576D3">
          <w:rPr>
            <w:noProof/>
            <w:webHidden/>
          </w:rPr>
          <w:instrText xml:space="preserve"> PAGEREF _Toc355961037 \h </w:instrText>
        </w:r>
        <w:r w:rsidR="00F576D3">
          <w:rPr>
            <w:noProof/>
            <w:webHidden/>
          </w:rPr>
        </w:r>
        <w:r w:rsidR="00F576D3">
          <w:rPr>
            <w:noProof/>
            <w:webHidden/>
          </w:rPr>
          <w:fldChar w:fldCharType="separate"/>
        </w:r>
        <w:r w:rsidR="00F576D3">
          <w:rPr>
            <w:noProof/>
            <w:webHidden/>
          </w:rPr>
          <w:t>34</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8" w:history="1">
        <w:r w:rsidR="00F576D3" w:rsidRPr="00391D2A">
          <w:rPr>
            <w:rStyle w:val="Hyperlink"/>
            <w:noProof/>
          </w:rPr>
          <w:t>4.3.1. ĀTI piesaistes process</w:t>
        </w:r>
        <w:r w:rsidR="00F576D3">
          <w:rPr>
            <w:noProof/>
            <w:webHidden/>
          </w:rPr>
          <w:tab/>
        </w:r>
        <w:r w:rsidR="00F576D3">
          <w:rPr>
            <w:noProof/>
            <w:webHidden/>
          </w:rPr>
          <w:fldChar w:fldCharType="begin"/>
        </w:r>
        <w:r w:rsidR="00F576D3">
          <w:rPr>
            <w:noProof/>
            <w:webHidden/>
          </w:rPr>
          <w:instrText xml:space="preserve"> PAGEREF _Toc355961038 \h </w:instrText>
        </w:r>
        <w:r w:rsidR="00F576D3">
          <w:rPr>
            <w:noProof/>
            <w:webHidden/>
          </w:rPr>
        </w:r>
        <w:r w:rsidR="00F576D3">
          <w:rPr>
            <w:noProof/>
            <w:webHidden/>
          </w:rPr>
          <w:fldChar w:fldCharType="separate"/>
        </w:r>
        <w:r w:rsidR="00F576D3">
          <w:rPr>
            <w:noProof/>
            <w:webHidden/>
          </w:rPr>
          <w:t>34</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39" w:history="1">
        <w:r w:rsidR="00F576D3" w:rsidRPr="00391D2A">
          <w:rPr>
            <w:rStyle w:val="Hyperlink"/>
            <w:noProof/>
          </w:rPr>
          <w:t>4.3.2. Mērķa nozares ĀTI piesaistei</w:t>
        </w:r>
        <w:r w:rsidR="00F576D3">
          <w:rPr>
            <w:noProof/>
            <w:webHidden/>
          </w:rPr>
          <w:tab/>
        </w:r>
        <w:r w:rsidR="00F576D3">
          <w:rPr>
            <w:noProof/>
            <w:webHidden/>
          </w:rPr>
          <w:fldChar w:fldCharType="begin"/>
        </w:r>
        <w:r w:rsidR="00F576D3">
          <w:rPr>
            <w:noProof/>
            <w:webHidden/>
          </w:rPr>
          <w:instrText xml:space="preserve"> PAGEREF _Toc355961039 \h </w:instrText>
        </w:r>
        <w:r w:rsidR="00F576D3">
          <w:rPr>
            <w:noProof/>
            <w:webHidden/>
          </w:rPr>
        </w:r>
        <w:r w:rsidR="00F576D3">
          <w:rPr>
            <w:noProof/>
            <w:webHidden/>
          </w:rPr>
          <w:fldChar w:fldCharType="separate"/>
        </w:r>
        <w:r w:rsidR="00F576D3">
          <w:rPr>
            <w:noProof/>
            <w:webHidden/>
          </w:rPr>
          <w:t>36</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0" w:history="1">
        <w:r w:rsidR="00F576D3" w:rsidRPr="00391D2A">
          <w:rPr>
            <w:rStyle w:val="Hyperlink"/>
            <w:noProof/>
          </w:rPr>
          <w:t>4.3.3. ĀTI piesaistes mērķa valstis</w:t>
        </w:r>
        <w:r w:rsidR="00F576D3">
          <w:rPr>
            <w:noProof/>
            <w:webHidden/>
          </w:rPr>
          <w:tab/>
        </w:r>
        <w:r w:rsidR="00F576D3">
          <w:rPr>
            <w:noProof/>
            <w:webHidden/>
          </w:rPr>
          <w:fldChar w:fldCharType="begin"/>
        </w:r>
        <w:r w:rsidR="00F576D3">
          <w:rPr>
            <w:noProof/>
            <w:webHidden/>
          </w:rPr>
          <w:instrText xml:space="preserve"> PAGEREF _Toc355961040 \h </w:instrText>
        </w:r>
        <w:r w:rsidR="00F576D3">
          <w:rPr>
            <w:noProof/>
            <w:webHidden/>
          </w:rPr>
        </w:r>
        <w:r w:rsidR="00F576D3">
          <w:rPr>
            <w:noProof/>
            <w:webHidden/>
          </w:rPr>
          <w:fldChar w:fldCharType="separate"/>
        </w:r>
        <w:r w:rsidR="00F576D3">
          <w:rPr>
            <w:noProof/>
            <w:webHidden/>
          </w:rPr>
          <w:t>37</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1" w:history="1">
        <w:r w:rsidR="00F576D3" w:rsidRPr="00391D2A">
          <w:rPr>
            <w:rStyle w:val="Hyperlink"/>
            <w:noProof/>
          </w:rPr>
          <w:t>4.3.4. Investīciju piedāvājums</w:t>
        </w:r>
        <w:r w:rsidR="00F576D3">
          <w:rPr>
            <w:noProof/>
            <w:webHidden/>
          </w:rPr>
          <w:tab/>
        </w:r>
        <w:r w:rsidR="00F576D3">
          <w:rPr>
            <w:noProof/>
            <w:webHidden/>
          </w:rPr>
          <w:fldChar w:fldCharType="begin"/>
        </w:r>
        <w:r w:rsidR="00F576D3">
          <w:rPr>
            <w:noProof/>
            <w:webHidden/>
          </w:rPr>
          <w:instrText xml:space="preserve"> PAGEREF _Toc355961041 \h </w:instrText>
        </w:r>
        <w:r w:rsidR="00F576D3">
          <w:rPr>
            <w:noProof/>
            <w:webHidden/>
          </w:rPr>
        </w:r>
        <w:r w:rsidR="00F576D3">
          <w:rPr>
            <w:noProof/>
            <w:webHidden/>
          </w:rPr>
          <w:fldChar w:fldCharType="separate"/>
        </w:r>
        <w:r w:rsidR="00F576D3">
          <w:rPr>
            <w:noProof/>
            <w:webHidden/>
          </w:rPr>
          <w:t>38</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2" w:history="1">
        <w:r w:rsidR="00F576D3" w:rsidRPr="00391D2A">
          <w:rPr>
            <w:rStyle w:val="Hyperlink"/>
            <w:noProof/>
          </w:rPr>
          <w:t>4.3.5. ĀTI piesaistes institucionālais ietvars un resursi</w:t>
        </w:r>
        <w:r w:rsidR="00F576D3">
          <w:rPr>
            <w:noProof/>
            <w:webHidden/>
          </w:rPr>
          <w:tab/>
        </w:r>
        <w:r w:rsidR="00F576D3">
          <w:rPr>
            <w:noProof/>
            <w:webHidden/>
          </w:rPr>
          <w:fldChar w:fldCharType="begin"/>
        </w:r>
        <w:r w:rsidR="00F576D3">
          <w:rPr>
            <w:noProof/>
            <w:webHidden/>
          </w:rPr>
          <w:instrText xml:space="preserve"> PAGEREF _Toc355961042 \h </w:instrText>
        </w:r>
        <w:r w:rsidR="00F576D3">
          <w:rPr>
            <w:noProof/>
            <w:webHidden/>
          </w:rPr>
        </w:r>
        <w:r w:rsidR="00F576D3">
          <w:rPr>
            <w:noProof/>
            <w:webHidden/>
          </w:rPr>
          <w:fldChar w:fldCharType="separate"/>
        </w:r>
        <w:r w:rsidR="00F576D3">
          <w:rPr>
            <w:noProof/>
            <w:webHidden/>
          </w:rPr>
          <w:t>39</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3" w:history="1">
        <w:r w:rsidR="00F576D3" w:rsidRPr="00391D2A">
          <w:rPr>
            <w:rStyle w:val="Hyperlink"/>
            <w:noProof/>
          </w:rPr>
          <w:t>4.3.6. Pašvaldības loma investīciju piesaistē</w:t>
        </w:r>
        <w:r w:rsidR="00F576D3">
          <w:rPr>
            <w:noProof/>
            <w:webHidden/>
          </w:rPr>
          <w:tab/>
        </w:r>
        <w:r w:rsidR="00F576D3">
          <w:rPr>
            <w:noProof/>
            <w:webHidden/>
          </w:rPr>
          <w:fldChar w:fldCharType="begin"/>
        </w:r>
        <w:r w:rsidR="00F576D3">
          <w:rPr>
            <w:noProof/>
            <w:webHidden/>
          </w:rPr>
          <w:instrText xml:space="preserve"> PAGEREF _Toc355961043 \h </w:instrText>
        </w:r>
        <w:r w:rsidR="00F576D3">
          <w:rPr>
            <w:noProof/>
            <w:webHidden/>
          </w:rPr>
        </w:r>
        <w:r w:rsidR="00F576D3">
          <w:rPr>
            <w:noProof/>
            <w:webHidden/>
          </w:rPr>
          <w:fldChar w:fldCharType="separate"/>
        </w:r>
        <w:r w:rsidR="00F576D3">
          <w:rPr>
            <w:noProof/>
            <w:webHidden/>
          </w:rPr>
          <w:t>42</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4" w:history="1">
        <w:r w:rsidR="00F576D3" w:rsidRPr="00391D2A">
          <w:rPr>
            <w:rStyle w:val="Hyperlink"/>
            <w:noProof/>
          </w:rPr>
          <w:t>4.3.7. Mārketinga aktivitātes</w:t>
        </w:r>
        <w:r w:rsidR="00F576D3">
          <w:rPr>
            <w:noProof/>
            <w:webHidden/>
          </w:rPr>
          <w:tab/>
        </w:r>
        <w:r w:rsidR="00F576D3">
          <w:rPr>
            <w:noProof/>
            <w:webHidden/>
          </w:rPr>
          <w:fldChar w:fldCharType="begin"/>
        </w:r>
        <w:r w:rsidR="00F576D3">
          <w:rPr>
            <w:noProof/>
            <w:webHidden/>
          </w:rPr>
          <w:instrText xml:space="preserve"> PAGEREF _Toc355961044 \h </w:instrText>
        </w:r>
        <w:r w:rsidR="00F576D3">
          <w:rPr>
            <w:noProof/>
            <w:webHidden/>
          </w:rPr>
        </w:r>
        <w:r w:rsidR="00F576D3">
          <w:rPr>
            <w:noProof/>
            <w:webHidden/>
          </w:rPr>
          <w:fldChar w:fldCharType="separate"/>
        </w:r>
        <w:r w:rsidR="00F576D3">
          <w:rPr>
            <w:noProof/>
            <w:webHidden/>
          </w:rPr>
          <w:t>44</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5" w:history="1">
        <w:r w:rsidR="00F576D3" w:rsidRPr="00391D2A">
          <w:rPr>
            <w:rStyle w:val="Hyperlink"/>
            <w:noProof/>
          </w:rPr>
          <w:t>4.3.8. ĀTI piesaistes process 2013.-2015.gadam</w:t>
        </w:r>
        <w:r w:rsidR="00F576D3">
          <w:rPr>
            <w:noProof/>
            <w:webHidden/>
          </w:rPr>
          <w:tab/>
        </w:r>
        <w:r w:rsidR="00F576D3">
          <w:rPr>
            <w:noProof/>
            <w:webHidden/>
          </w:rPr>
          <w:fldChar w:fldCharType="begin"/>
        </w:r>
        <w:r w:rsidR="00F576D3">
          <w:rPr>
            <w:noProof/>
            <w:webHidden/>
          </w:rPr>
          <w:instrText xml:space="preserve"> PAGEREF _Toc355961045 \h </w:instrText>
        </w:r>
        <w:r w:rsidR="00F576D3">
          <w:rPr>
            <w:noProof/>
            <w:webHidden/>
          </w:rPr>
        </w:r>
        <w:r w:rsidR="00F576D3">
          <w:rPr>
            <w:noProof/>
            <w:webHidden/>
          </w:rPr>
          <w:fldChar w:fldCharType="separate"/>
        </w:r>
        <w:r w:rsidR="00F576D3">
          <w:rPr>
            <w:noProof/>
            <w:webHidden/>
          </w:rPr>
          <w:t>46</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6" w:history="1">
        <w:r w:rsidR="00F576D3" w:rsidRPr="00391D2A">
          <w:rPr>
            <w:rStyle w:val="Hyperlink"/>
            <w:noProof/>
          </w:rPr>
          <w:t>4.3.9. Investīciju projektu pēcapkalpošana</w:t>
        </w:r>
        <w:r w:rsidR="00F576D3">
          <w:rPr>
            <w:noProof/>
            <w:webHidden/>
          </w:rPr>
          <w:tab/>
        </w:r>
        <w:r w:rsidR="00F576D3">
          <w:rPr>
            <w:noProof/>
            <w:webHidden/>
          </w:rPr>
          <w:fldChar w:fldCharType="begin"/>
        </w:r>
        <w:r w:rsidR="00F576D3">
          <w:rPr>
            <w:noProof/>
            <w:webHidden/>
          </w:rPr>
          <w:instrText xml:space="preserve"> PAGEREF _Toc355961046 \h </w:instrText>
        </w:r>
        <w:r w:rsidR="00F576D3">
          <w:rPr>
            <w:noProof/>
            <w:webHidden/>
          </w:rPr>
        </w:r>
        <w:r w:rsidR="00F576D3">
          <w:rPr>
            <w:noProof/>
            <w:webHidden/>
          </w:rPr>
          <w:fldChar w:fldCharType="separate"/>
        </w:r>
        <w:r w:rsidR="00F576D3">
          <w:rPr>
            <w:noProof/>
            <w:webHidden/>
          </w:rPr>
          <w:t>47</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7" w:history="1">
        <w:r w:rsidR="00F576D3" w:rsidRPr="00391D2A">
          <w:rPr>
            <w:rStyle w:val="Hyperlink"/>
            <w:noProof/>
          </w:rPr>
          <w:t>4.3.10. Reaģēšana uz signāliem par ĀTI piesaistes iespējām</w:t>
        </w:r>
        <w:r w:rsidR="00F576D3">
          <w:rPr>
            <w:noProof/>
            <w:webHidden/>
          </w:rPr>
          <w:tab/>
        </w:r>
        <w:r w:rsidR="00F576D3">
          <w:rPr>
            <w:noProof/>
            <w:webHidden/>
          </w:rPr>
          <w:fldChar w:fldCharType="begin"/>
        </w:r>
        <w:r w:rsidR="00F576D3">
          <w:rPr>
            <w:noProof/>
            <w:webHidden/>
          </w:rPr>
          <w:instrText xml:space="preserve"> PAGEREF _Toc355961047 \h </w:instrText>
        </w:r>
        <w:r w:rsidR="00F576D3">
          <w:rPr>
            <w:noProof/>
            <w:webHidden/>
          </w:rPr>
        </w:r>
        <w:r w:rsidR="00F576D3">
          <w:rPr>
            <w:noProof/>
            <w:webHidden/>
          </w:rPr>
          <w:fldChar w:fldCharType="separate"/>
        </w:r>
        <w:r w:rsidR="00F576D3">
          <w:rPr>
            <w:noProof/>
            <w:webHidden/>
          </w:rPr>
          <w:t>47</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8" w:history="1">
        <w:r w:rsidR="00F576D3" w:rsidRPr="00391D2A">
          <w:rPr>
            <w:rStyle w:val="Hyperlink"/>
            <w:noProof/>
          </w:rPr>
          <w:t>4.3.11. Investīciju stimulu nodrošināšana</w:t>
        </w:r>
        <w:r w:rsidR="00F576D3">
          <w:rPr>
            <w:noProof/>
            <w:webHidden/>
          </w:rPr>
          <w:tab/>
        </w:r>
        <w:r w:rsidR="00F576D3">
          <w:rPr>
            <w:noProof/>
            <w:webHidden/>
          </w:rPr>
          <w:fldChar w:fldCharType="begin"/>
        </w:r>
        <w:r w:rsidR="00F576D3">
          <w:rPr>
            <w:noProof/>
            <w:webHidden/>
          </w:rPr>
          <w:instrText xml:space="preserve"> PAGEREF _Toc355961048 \h </w:instrText>
        </w:r>
        <w:r w:rsidR="00F576D3">
          <w:rPr>
            <w:noProof/>
            <w:webHidden/>
          </w:rPr>
        </w:r>
        <w:r w:rsidR="00F576D3">
          <w:rPr>
            <w:noProof/>
            <w:webHidden/>
          </w:rPr>
          <w:fldChar w:fldCharType="separate"/>
        </w:r>
        <w:r w:rsidR="00F576D3">
          <w:rPr>
            <w:noProof/>
            <w:webHidden/>
          </w:rPr>
          <w:t>48</w:t>
        </w:r>
        <w:r w:rsidR="00F576D3">
          <w:rPr>
            <w:noProof/>
            <w:webHidden/>
          </w:rPr>
          <w:fldChar w:fldCharType="end"/>
        </w:r>
      </w:hyperlink>
    </w:p>
    <w:p w:rsidR="00F576D3" w:rsidRDefault="00CA1579">
      <w:pPr>
        <w:pStyle w:val="TOC2"/>
        <w:tabs>
          <w:tab w:val="right" w:leader="dot" w:pos="9061"/>
        </w:tabs>
        <w:rPr>
          <w:rFonts w:asciiTheme="minorHAnsi" w:eastAsiaTheme="minorEastAsia" w:hAnsiTheme="minorHAnsi" w:cstheme="minorBidi"/>
          <w:noProof/>
          <w:lang w:val="lv-LV" w:eastAsia="lv-LV"/>
        </w:rPr>
      </w:pPr>
      <w:hyperlink w:anchor="_Toc355961049" w:history="1">
        <w:r w:rsidR="00F576D3" w:rsidRPr="00391D2A">
          <w:rPr>
            <w:rStyle w:val="Hyperlink"/>
            <w:noProof/>
          </w:rPr>
          <w:t>4.4. Valsts augstāko amatpersonu vizītes</w:t>
        </w:r>
        <w:r w:rsidR="00F576D3">
          <w:rPr>
            <w:noProof/>
            <w:webHidden/>
          </w:rPr>
          <w:tab/>
        </w:r>
        <w:r w:rsidR="00F576D3">
          <w:rPr>
            <w:noProof/>
            <w:webHidden/>
          </w:rPr>
          <w:fldChar w:fldCharType="begin"/>
        </w:r>
        <w:r w:rsidR="00F576D3">
          <w:rPr>
            <w:noProof/>
            <w:webHidden/>
          </w:rPr>
          <w:instrText xml:space="preserve"> PAGEREF _Toc355961049 \h </w:instrText>
        </w:r>
        <w:r w:rsidR="00F576D3">
          <w:rPr>
            <w:noProof/>
            <w:webHidden/>
          </w:rPr>
        </w:r>
        <w:r w:rsidR="00F576D3">
          <w:rPr>
            <w:noProof/>
            <w:webHidden/>
          </w:rPr>
          <w:fldChar w:fldCharType="separate"/>
        </w:r>
        <w:r w:rsidR="00F576D3">
          <w:rPr>
            <w:noProof/>
            <w:webHidden/>
          </w:rPr>
          <w:t>49</w:t>
        </w:r>
        <w:r w:rsidR="00F576D3">
          <w:rPr>
            <w:noProof/>
            <w:webHidden/>
          </w:rPr>
          <w:fldChar w:fldCharType="end"/>
        </w:r>
      </w:hyperlink>
    </w:p>
    <w:p w:rsidR="00F576D3" w:rsidRDefault="00CA1579">
      <w:pPr>
        <w:pStyle w:val="TOC1"/>
        <w:rPr>
          <w:rFonts w:asciiTheme="minorHAnsi" w:eastAsiaTheme="minorEastAsia" w:hAnsiTheme="minorHAnsi" w:cstheme="minorBidi"/>
          <w:b w:val="0"/>
          <w:bCs w:val="0"/>
          <w:color w:val="auto"/>
          <w:sz w:val="22"/>
          <w:szCs w:val="22"/>
          <w:lang w:eastAsia="lv-LV"/>
        </w:rPr>
      </w:pPr>
      <w:hyperlink w:anchor="_Toc355961050" w:history="1">
        <w:r w:rsidR="00F576D3" w:rsidRPr="00391D2A">
          <w:rPr>
            <w:rStyle w:val="Hyperlink"/>
          </w:rPr>
          <w:t>5. Politikas plānošanas dokumenta ietekme uz valsts un pašvaldību budžetiem</w:t>
        </w:r>
        <w:r w:rsidR="00F576D3">
          <w:rPr>
            <w:webHidden/>
          </w:rPr>
          <w:tab/>
        </w:r>
        <w:r w:rsidR="00F576D3">
          <w:rPr>
            <w:webHidden/>
          </w:rPr>
          <w:fldChar w:fldCharType="begin"/>
        </w:r>
        <w:r w:rsidR="00F576D3">
          <w:rPr>
            <w:webHidden/>
          </w:rPr>
          <w:instrText xml:space="preserve"> PAGEREF _Toc355961050 \h </w:instrText>
        </w:r>
        <w:r w:rsidR="00F576D3">
          <w:rPr>
            <w:webHidden/>
          </w:rPr>
        </w:r>
        <w:r w:rsidR="00F576D3">
          <w:rPr>
            <w:webHidden/>
          </w:rPr>
          <w:fldChar w:fldCharType="separate"/>
        </w:r>
        <w:r w:rsidR="00F576D3">
          <w:rPr>
            <w:webHidden/>
          </w:rPr>
          <w:t>50</w:t>
        </w:r>
        <w:r w:rsidR="00F576D3">
          <w:rPr>
            <w:webHidden/>
          </w:rPr>
          <w:fldChar w:fldCharType="end"/>
        </w:r>
      </w:hyperlink>
    </w:p>
    <w:p w:rsidR="00F576D3" w:rsidRDefault="00CA1579">
      <w:pPr>
        <w:pStyle w:val="TOC1"/>
        <w:rPr>
          <w:rFonts w:asciiTheme="minorHAnsi" w:eastAsiaTheme="minorEastAsia" w:hAnsiTheme="minorHAnsi" w:cstheme="minorBidi"/>
          <w:b w:val="0"/>
          <w:bCs w:val="0"/>
          <w:color w:val="auto"/>
          <w:sz w:val="22"/>
          <w:szCs w:val="22"/>
          <w:lang w:eastAsia="lv-LV"/>
        </w:rPr>
      </w:pPr>
      <w:hyperlink w:anchor="_Toc355961051" w:history="1">
        <w:r w:rsidR="00F576D3" w:rsidRPr="00391D2A">
          <w:rPr>
            <w:rStyle w:val="Hyperlink"/>
          </w:rPr>
          <w:t>6. Pārskatu sniegšanas un novērtēšanas kārtība</w:t>
        </w:r>
        <w:r w:rsidR="00F576D3">
          <w:rPr>
            <w:webHidden/>
          </w:rPr>
          <w:tab/>
        </w:r>
        <w:r w:rsidR="00F576D3">
          <w:rPr>
            <w:webHidden/>
          </w:rPr>
          <w:fldChar w:fldCharType="begin"/>
        </w:r>
        <w:r w:rsidR="00F576D3">
          <w:rPr>
            <w:webHidden/>
          </w:rPr>
          <w:instrText xml:space="preserve"> PAGEREF _Toc355961051 \h </w:instrText>
        </w:r>
        <w:r w:rsidR="00F576D3">
          <w:rPr>
            <w:webHidden/>
          </w:rPr>
        </w:r>
        <w:r w:rsidR="00F576D3">
          <w:rPr>
            <w:webHidden/>
          </w:rPr>
          <w:fldChar w:fldCharType="separate"/>
        </w:r>
        <w:r w:rsidR="00F576D3">
          <w:rPr>
            <w:webHidden/>
          </w:rPr>
          <w:t>51</w:t>
        </w:r>
        <w:r w:rsidR="00F576D3">
          <w:rPr>
            <w:webHidden/>
          </w:rPr>
          <w:fldChar w:fldCharType="end"/>
        </w:r>
      </w:hyperlink>
    </w:p>
    <w:p w:rsidR="00F576D3" w:rsidRDefault="00CA1579">
      <w:pPr>
        <w:pStyle w:val="TOC1"/>
        <w:rPr>
          <w:rFonts w:asciiTheme="minorHAnsi" w:eastAsiaTheme="minorEastAsia" w:hAnsiTheme="minorHAnsi" w:cstheme="minorBidi"/>
          <w:b w:val="0"/>
          <w:bCs w:val="0"/>
          <w:color w:val="auto"/>
          <w:sz w:val="22"/>
          <w:szCs w:val="22"/>
          <w:lang w:eastAsia="lv-LV"/>
        </w:rPr>
      </w:pPr>
      <w:hyperlink w:anchor="_Toc355961052" w:history="1">
        <w:r w:rsidR="00F576D3" w:rsidRPr="00391D2A">
          <w:rPr>
            <w:rStyle w:val="Hyperlink"/>
          </w:rPr>
          <w:t>7. Sasaiste ar citos politikas plānošanas dokumentos noteiktajām prioritātēm</w:t>
        </w:r>
        <w:r w:rsidR="00F576D3">
          <w:rPr>
            <w:webHidden/>
          </w:rPr>
          <w:tab/>
        </w:r>
        <w:r w:rsidR="00F576D3">
          <w:rPr>
            <w:webHidden/>
          </w:rPr>
          <w:fldChar w:fldCharType="begin"/>
        </w:r>
        <w:r w:rsidR="00F576D3">
          <w:rPr>
            <w:webHidden/>
          </w:rPr>
          <w:instrText xml:space="preserve"> PAGEREF _Toc355961052 \h </w:instrText>
        </w:r>
        <w:r w:rsidR="00F576D3">
          <w:rPr>
            <w:webHidden/>
          </w:rPr>
        </w:r>
        <w:r w:rsidR="00F576D3">
          <w:rPr>
            <w:webHidden/>
          </w:rPr>
          <w:fldChar w:fldCharType="separate"/>
        </w:r>
        <w:r w:rsidR="00F576D3">
          <w:rPr>
            <w:webHidden/>
          </w:rPr>
          <w:t>51</w:t>
        </w:r>
        <w:r w:rsidR="00F576D3">
          <w:rPr>
            <w:webHidden/>
          </w:rPr>
          <w:fldChar w:fldCharType="end"/>
        </w:r>
      </w:hyperlink>
    </w:p>
    <w:p w:rsidR="00717C9C" w:rsidRPr="0003106C" w:rsidRDefault="00FD13B5" w:rsidP="006B00B4">
      <w:pPr>
        <w:pStyle w:val="BodyText2"/>
        <w:ind w:right="-143"/>
        <w:jc w:val="center"/>
        <w:outlineLvl w:val="0"/>
        <w:rPr>
          <w:b/>
          <w:sz w:val="26"/>
          <w:szCs w:val="26"/>
          <w:u w:val="single"/>
        </w:rPr>
      </w:pPr>
      <w:r w:rsidRPr="0003106C">
        <w:rPr>
          <w:szCs w:val="26"/>
        </w:rPr>
        <w:fldChar w:fldCharType="end"/>
      </w:r>
    </w:p>
    <w:p w:rsidR="005A42BD" w:rsidRPr="0003106C" w:rsidRDefault="0053321C" w:rsidP="008E44C1">
      <w:pPr>
        <w:rPr>
          <w:rFonts w:eastAsia="Calibri"/>
          <w:b/>
          <w:bCs/>
          <w:szCs w:val="28"/>
          <w:lang w:eastAsia="ja-JP"/>
        </w:rPr>
      </w:pPr>
      <w:r w:rsidRPr="0003106C">
        <w:rPr>
          <w:rFonts w:eastAsia="Calibri"/>
          <w:b/>
          <w:bCs/>
          <w:szCs w:val="28"/>
          <w:lang w:eastAsia="ja-JP"/>
        </w:rPr>
        <w:br w:type="page"/>
      </w:r>
      <w:r w:rsidR="00B201DD" w:rsidRPr="0003106C">
        <w:rPr>
          <w:rFonts w:eastAsia="Calibri"/>
          <w:b/>
          <w:bCs/>
          <w:szCs w:val="28"/>
          <w:lang w:eastAsia="ja-JP"/>
        </w:rPr>
        <w:lastRenderedPageBreak/>
        <w:t>Ievads</w:t>
      </w:r>
      <w:r w:rsidR="003B6507" w:rsidRPr="0003106C">
        <w:rPr>
          <w:rFonts w:eastAsia="Calibri"/>
          <w:b/>
          <w:bCs/>
          <w:szCs w:val="28"/>
          <w:lang w:eastAsia="ja-JP"/>
        </w:rPr>
        <w:t xml:space="preserve"> </w:t>
      </w:r>
    </w:p>
    <w:p w:rsidR="00225D68" w:rsidRPr="0003106C" w:rsidRDefault="00225D68" w:rsidP="00E34A37">
      <w:pPr>
        <w:pStyle w:val="Default"/>
        <w:ind w:right="-143" w:firstLine="709"/>
        <w:jc w:val="both"/>
        <w:rPr>
          <w:color w:val="auto"/>
          <w:sz w:val="26"/>
          <w:szCs w:val="26"/>
        </w:rPr>
      </w:pPr>
    </w:p>
    <w:p w:rsidR="00717C9C" w:rsidRPr="0003106C" w:rsidRDefault="00726311" w:rsidP="002736DF">
      <w:pPr>
        <w:ind w:right="-1" w:firstLine="567"/>
        <w:jc w:val="both"/>
        <w:rPr>
          <w:sz w:val="26"/>
          <w:szCs w:val="26"/>
        </w:rPr>
      </w:pPr>
      <w:r w:rsidRPr="0003106C">
        <w:rPr>
          <w:sz w:val="26"/>
          <w:szCs w:val="26"/>
        </w:rPr>
        <w:t xml:space="preserve">Latvijā notiek pāreja uz ilgtspējīgu ekonomikas modeli, kas balstās uz eksporta pieaugumu un </w:t>
      </w:r>
      <w:r w:rsidR="00871CFF" w:rsidRPr="0003106C">
        <w:rPr>
          <w:sz w:val="26"/>
          <w:szCs w:val="26"/>
        </w:rPr>
        <w:t xml:space="preserve">uz ārējo pieprasījumu orientētu </w:t>
      </w:r>
      <w:r w:rsidR="005917F8" w:rsidRPr="0003106C">
        <w:rPr>
          <w:sz w:val="26"/>
          <w:szCs w:val="26"/>
        </w:rPr>
        <w:t xml:space="preserve">nozaru izaugsmi. </w:t>
      </w:r>
      <w:r w:rsidR="002736DF" w:rsidRPr="0003106C">
        <w:rPr>
          <w:sz w:val="26"/>
          <w:szCs w:val="26"/>
        </w:rPr>
        <w:t xml:space="preserve">Ilgtermiņā eksporta pieaugumu varēs nodrošināt tikai </w:t>
      </w:r>
      <w:r w:rsidR="007A5A72" w:rsidRPr="0003106C">
        <w:rPr>
          <w:sz w:val="26"/>
          <w:szCs w:val="26"/>
        </w:rPr>
        <w:t xml:space="preserve">Latvijas </w:t>
      </w:r>
      <w:r w:rsidR="002736DF" w:rsidRPr="0003106C">
        <w:rPr>
          <w:sz w:val="26"/>
          <w:szCs w:val="26"/>
        </w:rPr>
        <w:t>uzņēmumu konkurētspējas paaugstināšana un eksporta tirgus daļas palielināšana ne tikai nozīmīgākajās tirdzniecības partnervalst</w:t>
      </w:r>
      <w:r w:rsidR="001079A6" w:rsidRPr="0003106C">
        <w:rPr>
          <w:sz w:val="26"/>
          <w:szCs w:val="26"/>
        </w:rPr>
        <w:t>īs, bet arī iekarojot jaunus,</w:t>
      </w:r>
      <w:r w:rsidR="002736DF" w:rsidRPr="0003106C">
        <w:rPr>
          <w:sz w:val="26"/>
          <w:szCs w:val="26"/>
        </w:rPr>
        <w:t xml:space="preserve"> īpaši – strauji augošos tirgus. </w:t>
      </w:r>
      <w:r w:rsidR="007E4F98" w:rsidRPr="0003106C">
        <w:rPr>
          <w:sz w:val="26"/>
          <w:szCs w:val="26"/>
        </w:rPr>
        <w:t xml:space="preserve">Tā kā eksports </w:t>
      </w:r>
      <w:r w:rsidR="00CA2A73" w:rsidRPr="0003106C">
        <w:rPr>
          <w:sz w:val="26"/>
          <w:szCs w:val="26"/>
        </w:rPr>
        <w:t xml:space="preserve">šobrīd </w:t>
      </w:r>
      <w:r w:rsidR="005917F8" w:rsidRPr="0003106C">
        <w:rPr>
          <w:sz w:val="26"/>
          <w:szCs w:val="26"/>
        </w:rPr>
        <w:t>ir</w:t>
      </w:r>
      <w:r w:rsidR="007E4F98" w:rsidRPr="0003106C">
        <w:rPr>
          <w:sz w:val="26"/>
          <w:szCs w:val="26"/>
        </w:rPr>
        <w:t xml:space="preserve"> noteicošais</w:t>
      </w:r>
      <w:r w:rsidR="00CA2A73" w:rsidRPr="0003106C">
        <w:rPr>
          <w:sz w:val="26"/>
          <w:szCs w:val="26"/>
        </w:rPr>
        <w:t xml:space="preserve"> Latvijas</w:t>
      </w:r>
      <w:r w:rsidR="007E4F98" w:rsidRPr="0003106C">
        <w:rPr>
          <w:sz w:val="26"/>
          <w:szCs w:val="26"/>
        </w:rPr>
        <w:t xml:space="preserve"> </w:t>
      </w:r>
      <w:r w:rsidR="00327EF9" w:rsidRPr="0003106C">
        <w:rPr>
          <w:sz w:val="26"/>
          <w:szCs w:val="26"/>
        </w:rPr>
        <w:t>ekonomikas attīstības</w:t>
      </w:r>
      <w:r w:rsidR="00400AF1" w:rsidRPr="0003106C">
        <w:rPr>
          <w:sz w:val="26"/>
          <w:szCs w:val="26"/>
        </w:rPr>
        <w:t xml:space="preserve"> dzinējspēks</w:t>
      </w:r>
      <w:r w:rsidR="001079A6" w:rsidRPr="0003106C">
        <w:rPr>
          <w:sz w:val="26"/>
          <w:szCs w:val="26"/>
        </w:rPr>
        <w:t>, ļoti</w:t>
      </w:r>
      <w:r w:rsidR="001914F5" w:rsidRPr="0003106C">
        <w:rPr>
          <w:sz w:val="26"/>
          <w:szCs w:val="26"/>
        </w:rPr>
        <w:t xml:space="preserve"> svarīgi ir sekmēt Latvijas </w:t>
      </w:r>
      <w:r w:rsidR="007E4F98" w:rsidRPr="0003106C">
        <w:rPr>
          <w:sz w:val="26"/>
          <w:szCs w:val="26"/>
        </w:rPr>
        <w:t xml:space="preserve">uzņēmumu </w:t>
      </w:r>
      <w:r w:rsidR="001914F5" w:rsidRPr="0003106C">
        <w:rPr>
          <w:sz w:val="26"/>
          <w:szCs w:val="26"/>
        </w:rPr>
        <w:t>konkurētspēju eksport</w:t>
      </w:r>
      <w:r w:rsidR="0073119B" w:rsidRPr="0003106C">
        <w:rPr>
          <w:sz w:val="26"/>
          <w:szCs w:val="26"/>
        </w:rPr>
        <w:t>ējošās</w:t>
      </w:r>
      <w:r w:rsidR="001914F5" w:rsidRPr="0003106C">
        <w:rPr>
          <w:sz w:val="26"/>
          <w:szCs w:val="26"/>
        </w:rPr>
        <w:t xml:space="preserve"> nozarē</w:t>
      </w:r>
      <w:r w:rsidR="0073119B" w:rsidRPr="0003106C">
        <w:rPr>
          <w:sz w:val="26"/>
          <w:szCs w:val="26"/>
        </w:rPr>
        <w:t>s</w:t>
      </w:r>
      <w:r w:rsidR="006C2DA5" w:rsidRPr="0003106C">
        <w:rPr>
          <w:sz w:val="26"/>
          <w:szCs w:val="26"/>
        </w:rPr>
        <w:t>, paaugstin</w:t>
      </w:r>
      <w:r w:rsidR="0062401E" w:rsidRPr="0003106C">
        <w:rPr>
          <w:sz w:val="26"/>
          <w:szCs w:val="26"/>
        </w:rPr>
        <w:t>o</w:t>
      </w:r>
      <w:r w:rsidR="006C2DA5" w:rsidRPr="0003106C">
        <w:rPr>
          <w:sz w:val="26"/>
          <w:szCs w:val="26"/>
        </w:rPr>
        <w:t>t produktivitāti</w:t>
      </w:r>
      <w:r w:rsidR="004D7FE6" w:rsidRPr="0003106C">
        <w:rPr>
          <w:sz w:val="26"/>
          <w:szCs w:val="26"/>
        </w:rPr>
        <w:t xml:space="preserve"> un inovācijas kapacitāti, tādējādi,</w:t>
      </w:r>
      <w:r w:rsidR="0073119B" w:rsidRPr="0003106C">
        <w:rPr>
          <w:sz w:val="26"/>
          <w:szCs w:val="26"/>
        </w:rPr>
        <w:t xml:space="preserve"> </w:t>
      </w:r>
      <w:r w:rsidR="000948C2" w:rsidRPr="0003106C">
        <w:rPr>
          <w:sz w:val="26"/>
          <w:szCs w:val="26"/>
        </w:rPr>
        <w:t>nod</w:t>
      </w:r>
      <w:r w:rsidR="004D7FE6" w:rsidRPr="0003106C">
        <w:rPr>
          <w:sz w:val="26"/>
          <w:szCs w:val="26"/>
        </w:rPr>
        <w:t>rošino</w:t>
      </w:r>
      <w:r w:rsidR="000948C2" w:rsidRPr="0003106C">
        <w:rPr>
          <w:sz w:val="26"/>
          <w:szCs w:val="26"/>
        </w:rPr>
        <w:t xml:space="preserve">t </w:t>
      </w:r>
      <w:r w:rsidR="0073119B" w:rsidRPr="0003106C">
        <w:rPr>
          <w:sz w:val="26"/>
          <w:szCs w:val="26"/>
        </w:rPr>
        <w:t>nozaru</w:t>
      </w:r>
      <w:r w:rsidR="000948C2" w:rsidRPr="0003106C">
        <w:rPr>
          <w:sz w:val="26"/>
          <w:szCs w:val="26"/>
        </w:rPr>
        <w:t xml:space="preserve"> izaugsmi </w:t>
      </w:r>
      <w:r w:rsidR="007E4F98" w:rsidRPr="0003106C">
        <w:rPr>
          <w:sz w:val="26"/>
          <w:szCs w:val="26"/>
        </w:rPr>
        <w:t>ilgtermiņā</w:t>
      </w:r>
      <w:r w:rsidR="00854358" w:rsidRPr="0003106C">
        <w:rPr>
          <w:sz w:val="26"/>
          <w:szCs w:val="26"/>
        </w:rPr>
        <w:t>, mērķtiecīgi veicot investīcijas</w:t>
      </w:r>
      <w:r w:rsidR="001914F5" w:rsidRPr="0003106C">
        <w:rPr>
          <w:sz w:val="26"/>
          <w:szCs w:val="26"/>
        </w:rPr>
        <w:t xml:space="preserve">. Būtiski ir </w:t>
      </w:r>
      <w:r w:rsidR="00C0548C" w:rsidRPr="0003106C">
        <w:rPr>
          <w:sz w:val="26"/>
          <w:szCs w:val="26"/>
        </w:rPr>
        <w:t xml:space="preserve">sekmēt </w:t>
      </w:r>
      <w:r w:rsidR="00AB3657" w:rsidRPr="0003106C">
        <w:rPr>
          <w:sz w:val="26"/>
          <w:szCs w:val="26"/>
        </w:rPr>
        <w:t xml:space="preserve">Latvijas </w:t>
      </w:r>
      <w:r w:rsidR="001914F5" w:rsidRPr="0003106C">
        <w:rPr>
          <w:sz w:val="26"/>
          <w:szCs w:val="26"/>
        </w:rPr>
        <w:t xml:space="preserve">eksporta </w:t>
      </w:r>
      <w:r w:rsidR="009F5452" w:rsidRPr="0003106C">
        <w:rPr>
          <w:sz w:val="26"/>
          <w:szCs w:val="26"/>
        </w:rPr>
        <w:t>attīstību un</w:t>
      </w:r>
      <w:r w:rsidR="00C0548C" w:rsidRPr="0003106C">
        <w:rPr>
          <w:sz w:val="26"/>
          <w:szCs w:val="26"/>
        </w:rPr>
        <w:t xml:space="preserve"> komplicētību</w:t>
      </w:r>
      <w:r w:rsidR="001914F5" w:rsidRPr="0003106C">
        <w:rPr>
          <w:sz w:val="26"/>
          <w:szCs w:val="26"/>
        </w:rPr>
        <w:t xml:space="preserve">, </w:t>
      </w:r>
      <w:r w:rsidR="00AB3657" w:rsidRPr="0003106C">
        <w:rPr>
          <w:sz w:val="26"/>
          <w:szCs w:val="26"/>
        </w:rPr>
        <w:t xml:space="preserve">orientējoties </w:t>
      </w:r>
      <w:r w:rsidR="001914F5" w:rsidRPr="0003106C">
        <w:rPr>
          <w:sz w:val="26"/>
          <w:szCs w:val="26"/>
        </w:rPr>
        <w:t>uz ražošanu ar augstāku pievienoto vērtību, kā arī uz ražošanu un eksportu orientētu ārvalstu tiešo investīciju piesaisti.</w:t>
      </w:r>
    </w:p>
    <w:p w:rsidR="00FE06DB" w:rsidRPr="0003106C" w:rsidRDefault="00762F39" w:rsidP="003E269D">
      <w:pPr>
        <w:ind w:right="-1" w:firstLine="567"/>
        <w:jc w:val="both"/>
        <w:rPr>
          <w:sz w:val="26"/>
          <w:szCs w:val="26"/>
        </w:rPr>
      </w:pPr>
      <w:r w:rsidRPr="0003106C">
        <w:rPr>
          <w:rFonts w:eastAsia="MS Mincho"/>
          <w:sz w:val="26"/>
          <w:szCs w:val="26"/>
          <w:lang w:eastAsia="ja-JP"/>
        </w:rPr>
        <w:t xml:space="preserve">Nepieciešams īstenot </w:t>
      </w:r>
      <w:r w:rsidR="00AD2EEF" w:rsidRPr="0003106C">
        <w:rPr>
          <w:rFonts w:eastAsia="MS Mincho"/>
          <w:sz w:val="26"/>
          <w:szCs w:val="26"/>
          <w:lang w:eastAsia="ja-JP"/>
        </w:rPr>
        <w:t>investīciju piesaistes politiku</w:t>
      </w:r>
      <w:r w:rsidR="00AD2EEF" w:rsidRPr="0003106C">
        <w:rPr>
          <w:sz w:val="26"/>
          <w:szCs w:val="26"/>
        </w:rPr>
        <w:t>,</w:t>
      </w:r>
      <w:r w:rsidR="00AD2EEF" w:rsidRPr="0003106C">
        <w:rPr>
          <w:rFonts w:eastAsia="MS Mincho"/>
          <w:sz w:val="26"/>
          <w:szCs w:val="26"/>
          <w:lang w:eastAsia="ja-JP"/>
        </w:rPr>
        <w:t xml:space="preserve"> </w:t>
      </w:r>
      <w:r w:rsidR="00AD2EEF" w:rsidRPr="0003106C">
        <w:rPr>
          <w:sz w:val="26"/>
          <w:szCs w:val="26"/>
        </w:rPr>
        <w:t xml:space="preserve">kas pastiprinātu </w:t>
      </w:r>
      <w:r w:rsidR="0042426E" w:rsidRPr="0003106C">
        <w:rPr>
          <w:sz w:val="26"/>
          <w:szCs w:val="26"/>
        </w:rPr>
        <w:t xml:space="preserve">ĀTI </w:t>
      </w:r>
      <w:r w:rsidR="00AD2EEF" w:rsidRPr="0003106C">
        <w:rPr>
          <w:sz w:val="26"/>
          <w:szCs w:val="26"/>
        </w:rPr>
        <w:t>pozitīvo ietekmi uz Latvijas ekonomikas attīstību un mazinātu ar ārvalstu kapitāla piesaisti saistītos riskus,</w:t>
      </w:r>
      <w:r w:rsidR="00AD2EEF" w:rsidRPr="0003106C">
        <w:rPr>
          <w:rFonts w:eastAsia="MS Mincho"/>
          <w:sz w:val="26"/>
          <w:szCs w:val="26"/>
          <w:lang w:eastAsia="ja-JP"/>
        </w:rPr>
        <w:t xml:space="preserve"> radītu aktuālu, pamatotu un praktiski pielietojamu </w:t>
      </w:r>
      <w:r w:rsidR="000C44DE" w:rsidRPr="0003106C">
        <w:rPr>
          <w:rFonts w:eastAsia="MS Mincho"/>
          <w:sz w:val="26"/>
          <w:szCs w:val="26"/>
          <w:lang w:eastAsia="ja-JP"/>
        </w:rPr>
        <w:t xml:space="preserve">sistēmu </w:t>
      </w:r>
      <w:r w:rsidR="00AD2EEF" w:rsidRPr="0003106C">
        <w:rPr>
          <w:rFonts w:eastAsia="MS Mincho"/>
          <w:sz w:val="26"/>
          <w:szCs w:val="26"/>
          <w:lang w:eastAsia="ja-JP"/>
        </w:rPr>
        <w:t xml:space="preserve">investīciju piesaistei, kas ir nepieciešama Latvijas tautsaimniecības ilgtermiņa attīstības </w:t>
      </w:r>
      <w:r w:rsidR="00AD2EEF" w:rsidRPr="0003106C">
        <w:rPr>
          <w:sz w:val="26"/>
          <w:szCs w:val="26"/>
        </w:rPr>
        <w:t xml:space="preserve">īstenošanai. </w:t>
      </w:r>
      <w:r w:rsidR="00FE06DB" w:rsidRPr="0003106C">
        <w:rPr>
          <w:sz w:val="26"/>
          <w:szCs w:val="26"/>
        </w:rPr>
        <w:t>ĀTI bieži vien nes sev līdzi zināšanas ražošanas un menedžmenta prasmju jomā</w:t>
      </w:r>
      <w:r w:rsidR="001079A6" w:rsidRPr="0003106C">
        <w:rPr>
          <w:sz w:val="26"/>
          <w:szCs w:val="26"/>
        </w:rPr>
        <w:t>s, jaunu darba vietu izveidi</w:t>
      </w:r>
      <w:r w:rsidR="00FE06DB" w:rsidRPr="0003106C">
        <w:rPr>
          <w:sz w:val="26"/>
          <w:szCs w:val="26"/>
        </w:rPr>
        <w:t>, rada iespēju izmantot jaunas tehnoloģijas un priekšnosacījumus tehnoloģiju pārnesei (</w:t>
      </w:r>
      <w:r w:rsidR="00FE06DB" w:rsidRPr="0003106C">
        <w:rPr>
          <w:i/>
          <w:iCs/>
          <w:sz w:val="26"/>
          <w:szCs w:val="26"/>
        </w:rPr>
        <w:t>technology transfer, spillover</w:t>
      </w:r>
      <w:r w:rsidR="00FE06DB" w:rsidRPr="0003106C">
        <w:rPr>
          <w:sz w:val="26"/>
          <w:szCs w:val="26"/>
        </w:rPr>
        <w:t xml:space="preserve">), veicina valsts integrēšanos starptautiskajā tirdzniecībā un uzņēmumu iesaistīšanos ražošanas noietu ķēdēs, notiek ražošanas diversifikācija, tiek celta uzņēmumu darba efektivitāte, kā rezultātā tiek attīstīta ne tikai konkrētā uzņēmējdarbība, bet arī iekšējā valsts uzņēmējdarbības vide kļūst aizvien konkurētspējīgāka. </w:t>
      </w:r>
    </w:p>
    <w:p w:rsidR="00AD2EEF" w:rsidRPr="0003106C" w:rsidRDefault="00AD2EEF" w:rsidP="00090C9B">
      <w:pPr>
        <w:ind w:right="-1" w:firstLine="567"/>
        <w:jc w:val="both"/>
        <w:rPr>
          <w:sz w:val="26"/>
          <w:szCs w:val="26"/>
        </w:rPr>
      </w:pPr>
      <w:r w:rsidRPr="0003106C">
        <w:rPr>
          <w:sz w:val="26"/>
          <w:szCs w:val="26"/>
        </w:rPr>
        <w:t xml:space="preserve">ĀTI piesaistes </w:t>
      </w:r>
      <w:r w:rsidR="00D40C92" w:rsidRPr="0003106C">
        <w:rPr>
          <w:sz w:val="26"/>
          <w:szCs w:val="26"/>
        </w:rPr>
        <w:t xml:space="preserve">politika </w:t>
      </w:r>
      <w:r w:rsidRPr="0003106C">
        <w:rPr>
          <w:sz w:val="26"/>
          <w:szCs w:val="26"/>
        </w:rPr>
        <w:t>ir vērsta uz Latvijas kā investīcijām pievilcīgas vides konkurētspējas celšanu, ņemot vērā investoriem svarīgākos aspektus</w:t>
      </w:r>
      <w:r w:rsidR="00023783" w:rsidRPr="0003106C">
        <w:rPr>
          <w:rStyle w:val="FootnoteReference"/>
          <w:sz w:val="26"/>
          <w:szCs w:val="26"/>
        </w:rPr>
        <w:footnoteReference w:id="1"/>
      </w:r>
      <w:r w:rsidRPr="0003106C">
        <w:rPr>
          <w:sz w:val="26"/>
          <w:szCs w:val="26"/>
        </w:rPr>
        <w:t>: valstu makroekonomiskos rādītājus, uzņēmējdarbības vidi – birokrātisko procedūru vienkāršību</w:t>
      </w:r>
      <w:r w:rsidR="00467D02" w:rsidRPr="0003106C">
        <w:rPr>
          <w:sz w:val="26"/>
          <w:szCs w:val="26"/>
        </w:rPr>
        <w:t xml:space="preserve"> un stabilu nodokļu politiku</w:t>
      </w:r>
      <w:r w:rsidRPr="0003106C">
        <w:rPr>
          <w:sz w:val="26"/>
          <w:szCs w:val="26"/>
        </w:rPr>
        <w:t xml:space="preserve">, atbilstošas kvalifikācijas darbaspēka pieejamību, tirgus potenciālu, nepieciešamās infrastruktūras pieejamību, </w:t>
      </w:r>
      <w:r w:rsidR="0042426E" w:rsidRPr="0003106C">
        <w:rPr>
          <w:sz w:val="26"/>
          <w:szCs w:val="26"/>
        </w:rPr>
        <w:t>piedāvātos</w:t>
      </w:r>
      <w:r w:rsidRPr="0003106C">
        <w:rPr>
          <w:sz w:val="26"/>
          <w:szCs w:val="26"/>
        </w:rPr>
        <w:t xml:space="preserve"> atbalsta instrumentus un stimulus. Būtiski ir piesaistīt ārvalstu investīcijas nozarēs, kas nodrošina tautsaimniecības struktūras maiņu par labu uz ārējo pieprasījumu orientētām</w:t>
      </w:r>
      <w:r w:rsidR="00A442C4" w:rsidRPr="0003106C">
        <w:rPr>
          <w:rStyle w:val="FootnoteReference"/>
          <w:sz w:val="26"/>
          <w:szCs w:val="26"/>
        </w:rPr>
        <w:footnoteReference w:id="2"/>
      </w:r>
      <w:r w:rsidRPr="0003106C">
        <w:rPr>
          <w:sz w:val="26"/>
          <w:szCs w:val="26"/>
        </w:rPr>
        <w:t xml:space="preserve"> nozarēm, īpaši nozarēs, kas tiek definētas kā vidēji augstas un augstas</w:t>
      </w:r>
      <w:r w:rsidR="00090C9B" w:rsidRPr="0003106C">
        <w:rPr>
          <w:sz w:val="26"/>
          <w:szCs w:val="26"/>
        </w:rPr>
        <w:t xml:space="preserve"> </w:t>
      </w:r>
      <w:r w:rsidRPr="0003106C">
        <w:rPr>
          <w:sz w:val="26"/>
          <w:szCs w:val="26"/>
        </w:rPr>
        <w:t>tehnoloģiju nozares</w:t>
      </w:r>
      <w:r w:rsidRPr="0003106C">
        <w:rPr>
          <w:rStyle w:val="FootnoteReference"/>
          <w:sz w:val="26"/>
          <w:szCs w:val="26"/>
        </w:rPr>
        <w:footnoteReference w:id="3"/>
      </w:r>
      <w:r w:rsidR="00762F39" w:rsidRPr="0003106C">
        <w:rPr>
          <w:sz w:val="26"/>
          <w:szCs w:val="26"/>
        </w:rPr>
        <w:t xml:space="preserve">. </w:t>
      </w:r>
      <w:r w:rsidR="001079A6" w:rsidRPr="0003106C">
        <w:rPr>
          <w:sz w:val="26"/>
          <w:szCs w:val="26"/>
        </w:rPr>
        <w:t>Latvijas preču un pakalpojumu eksporta veicināšanas un ārvalstu investīciju piesaistes pamat</w:t>
      </w:r>
      <w:r w:rsidR="00664E2E" w:rsidRPr="0003106C">
        <w:rPr>
          <w:sz w:val="26"/>
          <w:szCs w:val="26"/>
        </w:rPr>
        <w:t>nostādnēs</w:t>
      </w:r>
      <w:r w:rsidR="001079A6" w:rsidRPr="0003106C">
        <w:rPr>
          <w:sz w:val="26"/>
          <w:szCs w:val="26"/>
        </w:rPr>
        <w:t xml:space="preserve"> 2013.-2019.gadam (turpmāk – pamatnostādnes)</w:t>
      </w:r>
      <w:r w:rsidR="00762F39" w:rsidRPr="0003106C">
        <w:rPr>
          <w:sz w:val="26"/>
          <w:szCs w:val="26"/>
        </w:rPr>
        <w:t xml:space="preserve"> identificētas Latvijai perspektīvās nozares ĀTI piesaistei, un mērķa valstis, no kurām ir vis</w:t>
      </w:r>
      <w:r w:rsidR="001079A6" w:rsidRPr="0003106C">
        <w:rPr>
          <w:sz w:val="26"/>
          <w:szCs w:val="26"/>
        </w:rPr>
        <w:t>lielākā</w:t>
      </w:r>
      <w:r w:rsidR="00762F39" w:rsidRPr="0003106C">
        <w:rPr>
          <w:sz w:val="26"/>
          <w:szCs w:val="26"/>
        </w:rPr>
        <w:t xml:space="preserve"> iespēja piesaistīt ĀTI. </w:t>
      </w:r>
    </w:p>
    <w:p w:rsidR="004671C9" w:rsidRPr="0003106C" w:rsidRDefault="00AC302A" w:rsidP="003E269D">
      <w:pPr>
        <w:ind w:right="-1" w:firstLine="567"/>
        <w:jc w:val="both"/>
        <w:rPr>
          <w:bCs/>
          <w:sz w:val="26"/>
          <w:szCs w:val="26"/>
        </w:rPr>
      </w:pPr>
      <w:r w:rsidRPr="0003106C">
        <w:rPr>
          <w:sz w:val="26"/>
          <w:szCs w:val="26"/>
        </w:rPr>
        <w:lastRenderedPageBreak/>
        <w:t xml:space="preserve">Uz ārējo pieprasījumu orientētu nozaru ilgtermiņa </w:t>
      </w:r>
      <w:r w:rsidR="004671C9" w:rsidRPr="0003106C">
        <w:rPr>
          <w:sz w:val="26"/>
          <w:szCs w:val="26"/>
        </w:rPr>
        <w:t xml:space="preserve">attīstībā izšķiroša nozīme būs arī uzņēmēju spējai efektīvi izmantot globalizācijas piedāvātās iespējas, kā arī </w:t>
      </w:r>
      <w:r w:rsidR="008C29F5" w:rsidRPr="0003106C">
        <w:rPr>
          <w:sz w:val="26"/>
          <w:szCs w:val="26"/>
        </w:rPr>
        <w:t xml:space="preserve"> pielāgoties </w:t>
      </w:r>
      <w:r w:rsidR="004671C9" w:rsidRPr="0003106C">
        <w:rPr>
          <w:sz w:val="26"/>
          <w:szCs w:val="26"/>
        </w:rPr>
        <w:t>mainīgās ārējās vides apstākļiem.</w:t>
      </w:r>
    </w:p>
    <w:p w:rsidR="003E269D" w:rsidRPr="0003106C" w:rsidRDefault="00664E2E" w:rsidP="00400AF1">
      <w:pPr>
        <w:ind w:firstLine="567"/>
        <w:jc w:val="both"/>
        <w:rPr>
          <w:sz w:val="26"/>
          <w:szCs w:val="26"/>
        </w:rPr>
      </w:pPr>
      <w:r w:rsidRPr="0003106C">
        <w:rPr>
          <w:sz w:val="26"/>
          <w:szCs w:val="26"/>
        </w:rPr>
        <w:t xml:space="preserve">Pamatnostādņu </w:t>
      </w:r>
      <w:r w:rsidR="00AD2EEF" w:rsidRPr="0003106C">
        <w:rPr>
          <w:sz w:val="26"/>
          <w:szCs w:val="26"/>
        </w:rPr>
        <w:t>uzdevums ir veidot vienotu, dinamisku, uz ciešu sadarbību balstītu eksporta veicināšanas un investīciju piesaistes procesu, kurā ar noteiktu atbildību un kompetenci darbojas visas iesaistītās puses – valsts institūcijas, privātais sektors, pašvaldības un zinātniskās institūcijas</w:t>
      </w:r>
      <w:r w:rsidR="003E269D" w:rsidRPr="0003106C">
        <w:rPr>
          <w:sz w:val="26"/>
          <w:szCs w:val="26"/>
        </w:rPr>
        <w:t>.</w:t>
      </w:r>
    </w:p>
    <w:p w:rsidR="00EE60BA" w:rsidRPr="0003106C" w:rsidRDefault="003E269D" w:rsidP="00EE60BA">
      <w:pPr>
        <w:ind w:firstLine="567"/>
        <w:jc w:val="both"/>
        <w:rPr>
          <w:sz w:val="26"/>
          <w:szCs w:val="26"/>
        </w:rPr>
      </w:pPr>
      <w:r w:rsidRPr="0003106C">
        <w:rPr>
          <w:sz w:val="26"/>
          <w:szCs w:val="26"/>
        </w:rPr>
        <w:t xml:space="preserve">Pamatnostādnēs iekļauto rīcības virzienu īstenošana nodrošinās Latvijas </w:t>
      </w:r>
      <w:r w:rsidR="00D238D6" w:rsidRPr="0003106C">
        <w:rPr>
          <w:sz w:val="26"/>
          <w:szCs w:val="26"/>
        </w:rPr>
        <w:t>kā investīcijām labvēlīgas vides</w:t>
      </w:r>
      <w:r w:rsidRPr="0003106C">
        <w:rPr>
          <w:sz w:val="26"/>
          <w:szCs w:val="26"/>
        </w:rPr>
        <w:t xml:space="preserve"> veidošanu un veicinās tās atpazīstamību starptautiskā līmenī. </w:t>
      </w:r>
    </w:p>
    <w:p w:rsidR="00C0548C" w:rsidRPr="0003106C" w:rsidRDefault="00AD2EEF" w:rsidP="00EE60BA">
      <w:pPr>
        <w:ind w:firstLine="567"/>
        <w:jc w:val="both"/>
        <w:rPr>
          <w:sz w:val="26"/>
          <w:szCs w:val="26"/>
        </w:rPr>
      </w:pPr>
      <w:r w:rsidRPr="0003106C">
        <w:rPr>
          <w:sz w:val="26"/>
          <w:szCs w:val="26"/>
        </w:rPr>
        <w:t xml:space="preserve">Pamatnostādnes izstrādātas, ņemot vērā jau apstiprinātos Latvijas tautsaimniecības attīstības plānošanas dokumentus: </w:t>
      </w:r>
      <w:r w:rsidR="00EE60BA" w:rsidRPr="0003106C">
        <w:rPr>
          <w:bCs/>
          <w:i/>
          <w:sz w:val="26"/>
          <w:szCs w:val="26"/>
        </w:rPr>
        <w:t xml:space="preserve">Latvijas Nacionālais attīstības plānu 2014.-2020.gadam, </w:t>
      </w:r>
      <w:r w:rsidRPr="0003106C">
        <w:rPr>
          <w:i/>
          <w:sz w:val="26"/>
          <w:szCs w:val="26"/>
        </w:rPr>
        <w:t>Latvijas nacionālo reformu programmu „ES</w:t>
      </w:r>
      <w:r w:rsidR="00833C4C" w:rsidRPr="0003106C">
        <w:rPr>
          <w:i/>
          <w:sz w:val="26"/>
          <w:szCs w:val="26"/>
        </w:rPr>
        <w:t>-2020” stratēģijas ī</w:t>
      </w:r>
      <w:r w:rsidRPr="0003106C">
        <w:rPr>
          <w:i/>
          <w:sz w:val="26"/>
          <w:szCs w:val="26"/>
        </w:rPr>
        <w:t>stenošanai</w:t>
      </w:r>
      <w:r w:rsidRPr="0003106C">
        <w:rPr>
          <w:sz w:val="26"/>
          <w:szCs w:val="26"/>
        </w:rPr>
        <w:t xml:space="preserve">, </w:t>
      </w:r>
      <w:r w:rsidRPr="0003106C">
        <w:rPr>
          <w:i/>
          <w:sz w:val="26"/>
          <w:szCs w:val="26"/>
        </w:rPr>
        <w:t>Latvijas Stratēģiskās attīstības plānu 2010.-2013.gadam</w:t>
      </w:r>
      <w:r w:rsidRPr="0003106C">
        <w:rPr>
          <w:sz w:val="26"/>
          <w:szCs w:val="26"/>
        </w:rPr>
        <w:t xml:space="preserve">, </w:t>
      </w:r>
      <w:r w:rsidRPr="0003106C">
        <w:rPr>
          <w:i/>
          <w:sz w:val="26"/>
          <w:szCs w:val="26"/>
        </w:rPr>
        <w:t xml:space="preserve">Informatīvo ziņojumu par ekonomikas atveseļošanas politikas virzieniem vidēja termiņa periodā </w:t>
      </w:r>
      <w:r w:rsidRPr="0003106C">
        <w:rPr>
          <w:sz w:val="26"/>
          <w:szCs w:val="26"/>
        </w:rPr>
        <w:t xml:space="preserve">(apstiprināts Ministru kabinetā 10.11.2009.), </w:t>
      </w:r>
      <w:r w:rsidRPr="0003106C">
        <w:rPr>
          <w:i/>
          <w:sz w:val="26"/>
          <w:szCs w:val="26"/>
        </w:rPr>
        <w:t>Zinātnes un tehnoloģijas attīstības pamatnostādnes 2009.-2013.gadam</w:t>
      </w:r>
      <w:r w:rsidR="00DD5BDC" w:rsidRPr="0003106C">
        <w:rPr>
          <w:i/>
          <w:sz w:val="26"/>
          <w:szCs w:val="26"/>
        </w:rPr>
        <w:t xml:space="preserve"> </w:t>
      </w:r>
      <w:r w:rsidR="00DD5BDC" w:rsidRPr="0003106C">
        <w:rPr>
          <w:sz w:val="26"/>
          <w:szCs w:val="26"/>
        </w:rPr>
        <w:t>un starptautisko organizāciju identificētos ĀTI piesaistes politikas</w:t>
      </w:r>
      <w:r w:rsidR="00FE1E3C" w:rsidRPr="0003106C">
        <w:rPr>
          <w:sz w:val="26"/>
          <w:szCs w:val="26"/>
        </w:rPr>
        <w:t>,</w:t>
      </w:r>
      <w:r w:rsidR="00DD5BDC" w:rsidRPr="0003106C">
        <w:rPr>
          <w:sz w:val="26"/>
          <w:szCs w:val="26"/>
        </w:rPr>
        <w:t xml:space="preserve"> īstenošanas aspektus</w:t>
      </w:r>
      <w:r w:rsidR="00FE1E3C" w:rsidRPr="0003106C">
        <w:rPr>
          <w:sz w:val="26"/>
          <w:szCs w:val="26"/>
        </w:rPr>
        <w:t xml:space="preserve"> un veikto pētījumu „Investīciju piesaistes sistēmas neatkarīgs novērtējums”</w:t>
      </w:r>
      <w:r w:rsidR="00EE60BA" w:rsidRPr="0003106C">
        <w:rPr>
          <w:sz w:val="26"/>
          <w:szCs w:val="26"/>
        </w:rPr>
        <w:t xml:space="preserve"> un </w:t>
      </w:r>
      <w:r w:rsidR="00EE60BA" w:rsidRPr="0003106C">
        <w:rPr>
          <w:i/>
          <w:sz w:val="26"/>
          <w:szCs w:val="26"/>
        </w:rPr>
        <w:t>Latvijas konkurētspējas novērtējumu 2011</w:t>
      </w:r>
      <w:r w:rsidR="00EE60BA" w:rsidRPr="0003106C">
        <w:rPr>
          <w:rStyle w:val="FootnoteReference"/>
          <w:i/>
          <w:sz w:val="26"/>
          <w:szCs w:val="26"/>
        </w:rPr>
        <w:footnoteReference w:id="4"/>
      </w:r>
      <w:r w:rsidRPr="0003106C">
        <w:rPr>
          <w:sz w:val="26"/>
          <w:szCs w:val="26"/>
        </w:rPr>
        <w:t>.</w:t>
      </w:r>
      <w:r w:rsidR="00CA2A73" w:rsidRPr="0003106C">
        <w:rPr>
          <w:sz w:val="26"/>
          <w:szCs w:val="26"/>
        </w:rPr>
        <w:t xml:space="preserve"> </w:t>
      </w:r>
      <w:r w:rsidR="006C36ED" w:rsidRPr="0003106C">
        <w:rPr>
          <w:sz w:val="26"/>
          <w:szCs w:val="26"/>
        </w:rPr>
        <w:t>P</w:t>
      </w:r>
      <w:r w:rsidR="00CA2A73" w:rsidRPr="0003106C">
        <w:rPr>
          <w:sz w:val="26"/>
          <w:szCs w:val="26"/>
        </w:rPr>
        <w:t xml:space="preserve">amatnostādnēs ir ņemts vērā Nacionālā attīstības plāna vadmotīvs </w:t>
      </w:r>
      <w:r w:rsidR="00425536" w:rsidRPr="0003106C">
        <w:rPr>
          <w:sz w:val="26"/>
          <w:szCs w:val="26"/>
        </w:rPr>
        <w:t xml:space="preserve">„ekonomikas izrāviens” </w:t>
      </w:r>
      <w:r w:rsidR="00CA2A73" w:rsidRPr="0003106C">
        <w:rPr>
          <w:sz w:val="26"/>
          <w:szCs w:val="26"/>
        </w:rPr>
        <w:t xml:space="preserve">un rīcības virzieni, kā arī </w:t>
      </w:r>
      <w:r w:rsidR="00425536" w:rsidRPr="0003106C">
        <w:rPr>
          <w:sz w:val="26"/>
          <w:szCs w:val="26"/>
        </w:rPr>
        <w:t>Nacionālās</w:t>
      </w:r>
      <w:r w:rsidR="00CA2A73" w:rsidRPr="0003106C">
        <w:rPr>
          <w:sz w:val="26"/>
          <w:szCs w:val="26"/>
        </w:rPr>
        <w:t xml:space="preserve"> in</w:t>
      </w:r>
      <w:r w:rsidR="008E44C1" w:rsidRPr="0003106C">
        <w:rPr>
          <w:sz w:val="26"/>
          <w:szCs w:val="26"/>
        </w:rPr>
        <w:t xml:space="preserve">dustriālās politikas vadlīnijas. </w:t>
      </w:r>
      <w:r w:rsidR="00BA58D5" w:rsidRPr="0003106C">
        <w:rPr>
          <w:sz w:val="26"/>
          <w:szCs w:val="26"/>
        </w:rPr>
        <w:t>Pamatnostādņu sekmīga īstenošana ir tieši saistīta ar Nacionālās industriālās politikas īstenošanu.</w:t>
      </w:r>
    </w:p>
    <w:p w:rsidR="00F368A2" w:rsidRPr="0003106C" w:rsidRDefault="00F368A2">
      <w:pPr>
        <w:rPr>
          <w:rFonts w:eastAsia="Calibri"/>
          <w:b/>
          <w:bCs/>
          <w:sz w:val="28"/>
          <w:szCs w:val="28"/>
          <w:lang w:eastAsia="ja-JP"/>
        </w:rPr>
      </w:pPr>
      <w:r w:rsidRPr="0003106C">
        <w:rPr>
          <w:rFonts w:eastAsia="Calibri"/>
          <w:b/>
          <w:bCs/>
          <w:szCs w:val="28"/>
          <w:lang w:eastAsia="ja-JP"/>
        </w:rPr>
        <w:br w:type="page"/>
      </w:r>
    </w:p>
    <w:p w:rsidR="007C0738" w:rsidRPr="0003106C" w:rsidRDefault="00003DBB" w:rsidP="00C0775A">
      <w:pPr>
        <w:pStyle w:val="Heading1"/>
        <w:spacing w:after="120"/>
        <w:rPr>
          <w:rFonts w:eastAsia="Calibri"/>
          <w:b/>
          <w:bCs/>
          <w:szCs w:val="28"/>
          <w:lang w:eastAsia="ja-JP"/>
        </w:rPr>
      </w:pPr>
      <w:bookmarkStart w:id="0" w:name="_Toc355961024"/>
      <w:r w:rsidRPr="0003106C">
        <w:rPr>
          <w:rFonts w:eastAsia="Calibri"/>
          <w:b/>
          <w:bCs/>
          <w:szCs w:val="28"/>
          <w:lang w:eastAsia="ja-JP"/>
        </w:rPr>
        <w:lastRenderedPageBreak/>
        <w:t>1. </w:t>
      </w:r>
      <w:r w:rsidR="002E1DB5" w:rsidRPr="0003106C">
        <w:rPr>
          <w:rFonts w:eastAsia="Calibri"/>
          <w:b/>
          <w:bCs/>
          <w:szCs w:val="28"/>
          <w:lang w:eastAsia="ja-JP"/>
        </w:rPr>
        <w:t>Eksporta veicināšanas un ā</w:t>
      </w:r>
      <w:r w:rsidR="0083790F" w:rsidRPr="0003106C">
        <w:rPr>
          <w:rFonts w:eastAsia="Calibri"/>
          <w:b/>
          <w:bCs/>
          <w:szCs w:val="28"/>
          <w:lang w:eastAsia="ja-JP"/>
        </w:rPr>
        <w:t>rvalstu investīciju piesaistes</w:t>
      </w:r>
      <w:r w:rsidR="007C0738" w:rsidRPr="0003106C">
        <w:rPr>
          <w:rFonts w:eastAsia="Calibri"/>
          <w:b/>
          <w:bCs/>
          <w:szCs w:val="28"/>
          <w:lang w:eastAsia="ja-JP"/>
        </w:rPr>
        <w:t xml:space="preserve"> </w:t>
      </w:r>
      <w:r w:rsidR="008B24AB" w:rsidRPr="0003106C">
        <w:rPr>
          <w:rFonts w:eastAsia="Calibri"/>
          <w:b/>
          <w:bCs/>
          <w:szCs w:val="28"/>
          <w:lang w:eastAsia="ja-JP"/>
        </w:rPr>
        <w:t xml:space="preserve">politikas </w:t>
      </w:r>
      <w:r w:rsidR="007C0738" w:rsidRPr="0003106C">
        <w:rPr>
          <w:rFonts w:eastAsia="Calibri"/>
          <w:b/>
          <w:bCs/>
          <w:szCs w:val="28"/>
          <w:lang w:eastAsia="ja-JP"/>
        </w:rPr>
        <w:t xml:space="preserve">mērķis un </w:t>
      </w:r>
      <w:r w:rsidR="008C56D7" w:rsidRPr="0003106C">
        <w:rPr>
          <w:rFonts w:eastAsia="Calibri"/>
          <w:b/>
          <w:bCs/>
          <w:szCs w:val="28"/>
          <w:lang w:eastAsia="ja-JP"/>
        </w:rPr>
        <w:t>apakšmērķi</w:t>
      </w:r>
      <w:bookmarkEnd w:id="0"/>
    </w:p>
    <w:p w:rsidR="007C0738" w:rsidRPr="0003106C" w:rsidRDefault="008B1881" w:rsidP="00A467D7">
      <w:pPr>
        <w:pStyle w:val="Heading4"/>
        <w:ind w:firstLine="567"/>
        <w:jc w:val="both"/>
        <w:rPr>
          <w:b w:val="0"/>
          <w:sz w:val="26"/>
          <w:szCs w:val="26"/>
        </w:rPr>
      </w:pPr>
      <w:r w:rsidRPr="0003106C">
        <w:rPr>
          <w:b w:val="0"/>
          <w:sz w:val="26"/>
          <w:szCs w:val="26"/>
        </w:rPr>
        <w:t>Pamatnostādnes</w:t>
      </w:r>
      <w:r w:rsidR="00E5621A" w:rsidRPr="0003106C">
        <w:rPr>
          <w:b w:val="0"/>
          <w:sz w:val="26"/>
          <w:szCs w:val="26"/>
        </w:rPr>
        <w:t xml:space="preserve"> ir vidēja termiņa politikas plānošanas dokuments, kas aptver visas tautsaimniecības nozares un nosaka eksporta un ārvalstu </w:t>
      </w:r>
      <w:r w:rsidR="00A467D7" w:rsidRPr="0003106C">
        <w:rPr>
          <w:b w:val="0"/>
          <w:sz w:val="26"/>
          <w:szCs w:val="26"/>
        </w:rPr>
        <w:t xml:space="preserve">tiešo </w:t>
      </w:r>
      <w:r w:rsidR="00E5621A" w:rsidRPr="0003106C">
        <w:rPr>
          <w:b w:val="0"/>
          <w:sz w:val="26"/>
          <w:szCs w:val="26"/>
        </w:rPr>
        <w:t>investīciju piesaistes veicināšanas politikas galvenos mērķus, principus un rīcības v</w:t>
      </w:r>
      <w:r w:rsidR="003377C4" w:rsidRPr="0003106C">
        <w:rPr>
          <w:b w:val="0"/>
          <w:sz w:val="26"/>
          <w:szCs w:val="26"/>
        </w:rPr>
        <w:t xml:space="preserve">irzienus turpmākajiem </w:t>
      </w:r>
      <w:r w:rsidR="00E87925" w:rsidRPr="0003106C">
        <w:rPr>
          <w:b w:val="0"/>
          <w:sz w:val="26"/>
          <w:szCs w:val="26"/>
        </w:rPr>
        <w:t>septiņiem</w:t>
      </w:r>
      <w:r w:rsidR="003377C4" w:rsidRPr="0003106C">
        <w:rPr>
          <w:b w:val="0"/>
          <w:sz w:val="26"/>
          <w:szCs w:val="26"/>
        </w:rPr>
        <w:t xml:space="preserve"> gadiem.</w:t>
      </w:r>
    </w:p>
    <w:p w:rsidR="007C0738" w:rsidRPr="0003106C" w:rsidRDefault="007C0738" w:rsidP="00C0775A">
      <w:pPr>
        <w:ind w:firstLine="567"/>
        <w:jc w:val="both"/>
        <w:rPr>
          <w:b/>
          <w:sz w:val="26"/>
          <w:szCs w:val="26"/>
        </w:rPr>
      </w:pPr>
    </w:p>
    <w:p w:rsidR="002D179C" w:rsidRPr="0003106C" w:rsidRDefault="000D3073" w:rsidP="002D179C">
      <w:pPr>
        <w:keepNext/>
        <w:spacing w:after="120"/>
        <w:ind w:firstLine="567"/>
        <w:jc w:val="both"/>
        <w:rPr>
          <w:sz w:val="26"/>
          <w:szCs w:val="26"/>
        </w:rPr>
      </w:pPr>
      <w:r w:rsidRPr="0003106C">
        <w:rPr>
          <w:b/>
          <w:sz w:val="26"/>
          <w:szCs w:val="26"/>
        </w:rPr>
        <w:t>Vispārīgais mērķis</w:t>
      </w:r>
      <w:r w:rsidR="002D179C" w:rsidRPr="0003106C">
        <w:rPr>
          <w:sz w:val="26"/>
          <w:szCs w:val="26"/>
        </w:rPr>
        <w:t>: Mainīt Latvijas tautsaimniecības struktūru, veidojot uz ārējo pieprasījumu orientētu un inovācijas virzītu ekonomiku.</w:t>
      </w:r>
    </w:p>
    <w:p w:rsidR="00C66E32" w:rsidRPr="0003106C" w:rsidRDefault="002D179C" w:rsidP="002D179C">
      <w:pPr>
        <w:keepNext/>
        <w:spacing w:after="120"/>
        <w:ind w:firstLine="567"/>
        <w:jc w:val="both"/>
        <w:rPr>
          <w:sz w:val="26"/>
          <w:szCs w:val="26"/>
        </w:rPr>
      </w:pPr>
      <w:r w:rsidRPr="0003106C">
        <w:rPr>
          <w:b/>
          <w:sz w:val="26"/>
          <w:szCs w:val="26"/>
        </w:rPr>
        <w:t>Mērķis:</w:t>
      </w:r>
      <w:r w:rsidRPr="0003106C">
        <w:rPr>
          <w:sz w:val="26"/>
          <w:szCs w:val="26"/>
        </w:rPr>
        <w:t xml:space="preserve"> </w:t>
      </w:r>
      <w:r w:rsidR="00C66E32" w:rsidRPr="0003106C">
        <w:rPr>
          <w:sz w:val="26"/>
          <w:szCs w:val="26"/>
        </w:rPr>
        <w:t>Uzlabot Latvijas tautsaimniecības konkurētspēju atvērtos produktu (</w:t>
      </w:r>
      <w:r w:rsidR="00C66E32" w:rsidRPr="0003106C">
        <w:rPr>
          <w:i/>
          <w:iCs/>
          <w:sz w:val="26"/>
          <w:szCs w:val="26"/>
        </w:rPr>
        <w:t>preču un pakalpojumu</w:t>
      </w:r>
      <w:r w:rsidR="00C66E32" w:rsidRPr="0003106C">
        <w:rPr>
          <w:sz w:val="26"/>
          <w:szCs w:val="26"/>
        </w:rPr>
        <w:t>) tirgos.</w:t>
      </w:r>
    </w:p>
    <w:p w:rsidR="00E5621A" w:rsidRPr="0003106C" w:rsidRDefault="00E5621A" w:rsidP="00C0775A">
      <w:pPr>
        <w:ind w:firstLine="567"/>
        <w:jc w:val="both"/>
        <w:rPr>
          <w:b/>
          <w:sz w:val="26"/>
          <w:szCs w:val="26"/>
        </w:rPr>
      </w:pPr>
      <w:r w:rsidRPr="0003106C">
        <w:rPr>
          <w:b/>
          <w:sz w:val="26"/>
          <w:szCs w:val="26"/>
        </w:rPr>
        <w:t>Apakšmērķi:</w:t>
      </w:r>
    </w:p>
    <w:p w:rsidR="007C2287" w:rsidRPr="0003106C" w:rsidRDefault="00194C2C" w:rsidP="007C2287">
      <w:pPr>
        <w:numPr>
          <w:ilvl w:val="0"/>
          <w:numId w:val="1"/>
        </w:numPr>
        <w:ind w:left="993" w:hanging="284"/>
        <w:jc w:val="both"/>
        <w:rPr>
          <w:sz w:val="26"/>
          <w:szCs w:val="26"/>
        </w:rPr>
      </w:pPr>
      <w:r w:rsidRPr="0003106C">
        <w:rPr>
          <w:sz w:val="26"/>
          <w:szCs w:val="26"/>
        </w:rPr>
        <w:t xml:space="preserve">Sekmēt </w:t>
      </w:r>
      <w:r w:rsidR="007C2287" w:rsidRPr="0003106C">
        <w:rPr>
          <w:sz w:val="26"/>
          <w:szCs w:val="26"/>
        </w:rPr>
        <w:t xml:space="preserve">augsto un vidēji augsto tehnoloģiju nozaru īpatsvara pieaugumu Latvijas eksportā. </w:t>
      </w:r>
    </w:p>
    <w:p w:rsidR="002D179C" w:rsidRPr="0003106C" w:rsidRDefault="0015078B" w:rsidP="002D179C">
      <w:pPr>
        <w:numPr>
          <w:ilvl w:val="0"/>
          <w:numId w:val="1"/>
        </w:numPr>
        <w:ind w:left="993" w:hanging="284"/>
        <w:jc w:val="both"/>
        <w:rPr>
          <w:sz w:val="26"/>
          <w:szCs w:val="26"/>
        </w:rPr>
      </w:pPr>
      <w:r w:rsidRPr="0003106C">
        <w:rPr>
          <w:sz w:val="26"/>
          <w:szCs w:val="26"/>
        </w:rPr>
        <w:t>ĀTI</w:t>
      </w:r>
      <w:r w:rsidR="002D179C" w:rsidRPr="0003106C">
        <w:rPr>
          <w:sz w:val="26"/>
          <w:szCs w:val="26"/>
        </w:rPr>
        <w:t xml:space="preserve"> piesaistīšana uz </w:t>
      </w:r>
      <w:r w:rsidR="007C2287" w:rsidRPr="0003106C">
        <w:rPr>
          <w:sz w:val="26"/>
          <w:szCs w:val="26"/>
        </w:rPr>
        <w:t xml:space="preserve">ārējo pieprasījumu </w:t>
      </w:r>
      <w:r w:rsidR="002D179C" w:rsidRPr="0003106C">
        <w:rPr>
          <w:sz w:val="26"/>
          <w:szCs w:val="26"/>
        </w:rPr>
        <w:t>orientētām nozarēm</w:t>
      </w:r>
      <w:r w:rsidR="00136739" w:rsidRPr="0003106C">
        <w:rPr>
          <w:sz w:val="26"/>
          <w:szCs w:val="26"/>
        </w:rPr>
        <w:t>.</w:t>
      </w:r>
    </w:p>
    <w:p w:rsidR="002118EF" w:rsidRPr="0003106C" w:rsidRDefault="002118EF" w:rsidP="002118EF">
      <w:pPr>
        <w:ind w:left="993"/>
        <w:jc w:val="both"/>
        <w:rPr>
          <w:rFonts w:eastAsia="Calibri"/>
          <w:b/>
          <w:bCs/>
          <w:szCs w:val="28"/>
          <w:lang w:eastAsia="ja-JP"/>
        </w:rPr>
      </w:pPr>
    </w:p>
    <w:p w:rsidR="007C0738" w:rsidRPr="0003106C" w:rsidRDefault="00003DBB" w:rsidP="002118EF">
      <w:pPr>
        <w:pStyle w:val="Heading1"/>
        <w:spacing w:after="120"/>
        <w:rPr>
          <w:rFonts w:eastAsia="Calibri"/>
          <w:b/>
          <w:bCs/>
          <w:szCs w:val="28"/>
          <w:lang w:eastAsia="ja-JP"/>
        </w:rPr>
      </w:pPr>
      <w:bookmarkStart w:id="1" w:name="_Toc355961025"/>
      <w:r w:rsidRPr="0003106C">
        <w:rPr>
          <w:rFonts w:eastAsia="Calibri"/>
          <w:b/>
          <w:bCs/>
          <w:szCs w:val="28"/>
          <w:lang w:eastAsia="ja-JP"/>
        </w:rPr>
        <w:t>2. </w:t>
      </w:r>
      <w:r w:rsidR="002E1DB5" w:rsidRPr="0003106C">
        <w:rPr>
          <w:rFonts w:eastAsia="Calibri"/>
          <w:b/>
          <w:bCs/>
          <w:szCs w:val="28"/>
          <w:lang w:eastAsia="ja-JP"/>
        </w:rPr>
        <w:t>P</w:t>
      </w:r>
      <w:r w:rsidR="007C0738" w:rsidRPr="0003106C">
        <w:rPr>
          <w:rFonts w:eastAsia="Calibri"/>
          <w:b/>
          <w:bCs/>
          <w:szCs w:val="28"/>
          <w:lang w:eastAsia="ja-JP"/>
        </w:rPr>
        <w:t>olitikas rezultāti un to rezultatīvie rādītāji</w:t>
      </w:r>
      <w:r w:rsidR="004363F3" w:rsidRPr="0003106C">
        <w:rPr>
          <w:rFonts w:eastAsia="Calibri"/>
          <w:vertAlign w:val="superscript"/>
        </w:rPr>
        <w:footnoteReference w:id="5"/>
      </w:r>
      <w:bookmarkEnd w:id="1"/>
    </w:p>
    <w:p w:rsidR="0038709A" w:rsidRPr="0003106C" w:rsidRDefault="0038709A" w:rsidP="00C0775A">
      <w:pPr>
        <w:keepNext/>
        <w:autoSpaceDE w:val="0"/>
        <w:autoSpaceDN w:val="0"/>
        <w:adjustRightInd w:val="0"/>
        <w:spacing w:before="120" w:after="120"/>
        <w:ind w:firstLine="567"/>
        <w:jc w:val="both"/>
        <w:rPr>
          <w:sz w:val="26"/>
          <w:szCs w:val="26"/>
        </w:rPr>
      </w:pPr>
      <w:r w:rsidRPr="0003106C">
        <w:rPr>
          <w:sz w:val="26"/>
          <w:szCs w:val="26"/>
        </w:rPr>
        <w:t>Lai novērtētu eksporta veicināšanas un ĀTI piesaistes politikas īstenošan</w:t>
      </w:r>
      <w:r w:rsidR="002A6A6E" w:rsidRPr="0003106C">
        <w:rPr>
          <w:sz w:val="26"/>
          <w:szCs w:val="26"/>
        </w:rPr>
        <w:t>u</w:t>
      </w:r>
      <w:r w:rsidRPr="0003106C">
        <w:rPr>
          <w:sz w:val="26"/>
          <w:szCs w:val="26"/>
        </w:rPr>
        <w:t xml:space="preserve">, tiek noteikti šādi </w:t>
      </w:r>
      <w:r w:rsidR="00C04905" w:rsidRPr="0003106C">
        <w:rPr>
          <w:sz w:val="26"/>
          <w:szCs w:val="26"/>
        </w:rPr>
        <w:t xml:space="preserve">rezultatīvie </w:t>
      </w:r>
      <w:r w:rsidRPr="0003106C">
        <w:rPr>
          <w:sz w:val="26"/>
          <w:szCs w:val="26"/>
        </w:rPr>
        <w:t>rādītāji un sasniedzamie rezultatīvie rādītāji:</w:t>
      </w:r>
    </w:p>
    <w:p w:rsidR="0040108E" w:rsidRPr="0003106C" w:rsidRDefault="0040108E" w:rsidP="0040108E">
      <w:pPr>
        <w:numPr>
          <w:ilvl w:val="0"/>
          <w:numId w:val="14"/>
        </w:numPr>
        <w:spacing w:after="40"/>
        <w:ind w:left="714" w:hanging="357"/>
        <w:jc w:val="both"/>
        <w:rPr>
          <w:sz w:val="26"/>
          <w:szCs w:val="26"/>
        </w:rPr>
      </w:pPr>
      <w:r w:rsidRPr="0003106C">
        <w:rPr>
          <w:bCs/>
          <w:sz w:val="26"/>
          <w:szCs w:val="26"/>
        </w:rPr>
        <w:t>augsto un vidēji augsto tehnoloģiju nozaru īpatsvara pieaugumu Latvijas preču eksportā</w:t>
      </w:r>
      <w:r w:rsidRPr="0003106C">
        <w:rPr>
          <w:rStyle w:val="FootnoteReference"/>
          <w:bCs/>
          <w:sz w:val="26"/>
          <w:szCs w:val="26"/>
        </w:rPr>
        <w:footnoteReference w:id="6"/>
      </w:r>
      <w:r w:rsidR="009A38EB" w:rsidRPr="0003106C">
        <w:rPr>
          <w:bCs/>
          <w:sz w:val="26"/>
          <w:szCs w:val="26"/>
        </w:rPr>
        <w:t xml:space="preserve"> (2012</w:t>
      </w:r>
      <w:r w:rsidRPr="0003106C">
        <w:rPr>
          <w:bCs/>
          <w:sz w:val="26"/>
          <w:szCs w:val="26"/>
        </w:rPr>
        <w:t xml:space="preserve">.gadā </w:t>
      </w:r>
      <w:r w:rsidR="009A38EB" w:rsidRPr="0003106C">
        <w:rPr>
          <w:sz w:val="26"/>
          <w:szCs w:val="26"/>
        </w:rPr>
        <w:t>– 23</w:t>
      </w:r>
      <w:r w:rsidRPr="0003106C">
        <w:rPr>
          <w:sz w:val="26"/>
          <w:szCs w:val="26"/>
        </w:rPr>
        <w:t>,</w:t>
      </w:r>
      <w:r w:rsidR="009A38EB" w:rsidRPr="0003106C">
        <w:rPr>
          <w:sz w:val="26"/>
          <w:szCs w:val="26"/>
        </w:rPr>
        <w:t>8</w:t>
      </w:r>
      <w:r w:rsidRPr="0003106C">
        <w:rPr>
          <w:sz w:val="26"/>
          <w:szCs w:val="26"/>
        </w:rPr>
        <w:t xml:space="preserve">%,  2015.gadā – 27,5%, 2019.gadā – 31%); </w:t>
      </w:r>
    </w:p>
    <w:p w:rsidR="0040108E" w:rsidRPr="0003106C" w:rsidRDefault="0040108E" w:rsidP="0040108E">
      <w:pPr>
        <w:numPr>
          <w:ilvl w:val="0"/>
          <w:numId w:val="14"/>
        </w:numPr>
        <w:spacing w:after="40"/>
        <w:ind w:left="714" w:hanging="357"/>
        <w:jc w:val="both"/>
        <w:rPr>
          <w:bCs/>
          <w:sz w:val="26"/>
          <w:szCs w:val="26"/>
        </w:rPr>
      </w:pPr>
      <w:r w:rsidRPr="0003106C">
        <w:rPr>
          <w:bCs/>
          <w:sz w:val="26"/>
          <w:szCs w:val="26"/>
        </w:rPr>
        <w:t>vidējais eksporta pieauguma temps (salīdzināmajās cenās, %) (2011.</w:t>
      </w:r>
      <w:r w:rsidR="003814BF" w:rsidRPr="0003106C">
        <w:rPr>
          <w:bCs/>
          <w:sz w:val="26"/>
          <w:szCs w:val="26"/>
        </w:rPr>
        <w:t>gadā – 7,1</w:t>
      </w:r>
      <w:r w:rsidRPr="0003106C">
        <w:rPr>
          <w:bCs/>
          <w:sz w:val="26"/>
          <w:szCs w:val="26"/>
        </w:rPr>
        <w:t xml:space="preserve">%, 2013.-2019.gadā ik gadu pieaugums par </w:t>
      </w:r>
      <w:r w:rsidR="003814BF" w:rsidRPr="0003106C">
        <w:rPr>
          <w:bCs/>
          <w:sz w:val="26"/>
          <w:szCs w:val="26"/>
        </w:rPr>
        <w:t>4,</w:t>
      </w:r>
      <w:r w:rsidRPr="0003106C">
        <w:rPr>
          <w:bCs/>
          <w:sz w:val="26"/>
          <w:szCs w:val="26"/>
        </w:rPr>
        <w:t>5%);</w:t>
      </w:r>
    </w:p>
    <w:p w:rsidR="00D6670B" w:rsidRPr="0003106C" w:rsidRDefault="00D6670B" w:rsidP="00D6670B">
      <w:pPr>
        <w:numPr>
          <w:ilvl w:val="0"/>
          <w:numId w:val="14"/>
        </w:numPr>
        <w:spacing w:after="40"/>
        <w:ind w:left="714" w:hanging="357"/>
        <w:jc w:val="both"/>
        <w:rPr>
          <w:bCs/>
          <w:sz w:val="26"/>
          <w:szCs w:val="26"/>
        </w:rPr>
      </w:pPr>
      <w:r w:rsidRPr="0003106C">
        <w:rPr>
          <w:bCs/>
          <w:sz w:val="26"/>
          <w:szCs w:val="26"/>
        </w:rPr>
        <w:t>ĀTI uz ārējo</w:t>
      </w:r>
      <w:r w:rsidRPr="0003106C">
        <w:rPr>
          <w:bCs/>
          <w:color w:val="C0504D" w:themeColor="accent2"/>
          <w:sz w:val="26"/>
          <w:szCs w:val="26"/>
        </w:rPr>
        <w:t xml:space="preserve"> </w:t>
      </w:r>
      <w:r w:rsidRPr="0003106C">
        <w:rPr>
          <w:bCs/>
          <w:sz w:val="26"/>
          <w:szCs w:val="26"/>
        </w:rPr>
        <w:t>pieprasījumu orientētajās nozarēs (% no visām ienākošajām neto ĀTI) (2012.gadā – 17,5%, 2015.gadā – 20,0%; 2019.gadā – 22,0%);</w:t>
      </w:r>
    </w:p>
    <w:p w:rsidR="003B3E63" w:rsidRPr="0003106C" w:rsidRDefault="003B3E63" w:rsidP="0040108E">
      <w:pPr>
        <w:numPr>
          <w:ilvl w:val="0"/>
          <w:numId w:val="14"/>
        </w:numPr>
        <w:spacing w:after="40"/>
        <w:ind w:left="714" w:hanging="357"/>
        <w:jc w:val="both"/>
        <w:rPr>
          <w:sz w:val="26"/>
          <w:szCs w:val="26"/>
        </w:rPr>
      </w:pPr>
      <w:r w:rsidRPr="0003106C">
        <w:rPr>
          <w:sz w:val="26"/>
          <w:szCs w:val="26"/>
        </w:rPr>
        <w:t>ĀTI plūsmas Latvijā uz ārējo pieprasījumu orientētajās nozarēs</w:t>
      </w:r>
      <w:r w:rsidR="00E536C4" w:rsidRPr="0003106C">
        <w:rPr>
          <w:rStyle w:val="FootnoteReference"/>
          <w:sz w:val="26"/>
          <w:szCs w:val="26"/>
        </w:rPr>
        <w:footnoteReference w:id="7"/>
      </w:r>
      <w:r w:rsidR="00150282" w:rsidRPr="0003106C">
        <w:rPr>
          <w:sz w:val="26"/>
          <w:szCs w:val="26"/>
        </w:rPr>
        <w:t xml:space="preserve"> </w:t>
      </w:r>
      <w:r w:rsidRPr="0003106C">
        <w:rPr>
          <w:sz w:val="26"/>
          <w:szCs w:val="26"/>
        </w:rPr>
        <w:t>%  pret IKP (trīs gadu vidējais rādītājs</w:t>
      </w:r>
      <w:r w:rsidR="0040108E" w:rsidRPr="0003106C">
        <w:rPr>
          <w:sz w:val="26"/>
          <w:szCs w:val="26"/>
        </w:rPr>
        <w:t>)</w:t>
      </w:r>
      <w:r w:rsidR="006C36ED" w:rsidRPr="0003106C">
        <w:rPr>
          <w:sz w:val="26"/>
          <w:szCs w:val="26"/>
        </w:rPr>
        <w:t xml:space="preserve"> </w:t>
      </w:r>
      <w:r w:rsidR="0040108E" w:rsidRPr="0003106C">
        <w:rPr>
          <w:sz w:val="26"/>
          <w:szCs w:val="26"/>
        </w:rPr>
        <w:t>(</w:t>
      </w:r>
      <w:r w:rsidR="00460D45" w:rsidRPr="0003106C">
        <w:rPr>
          <w:sz w:val="26"/>
          <w:szCs w:val="26"/>
        </w:rPr>
        <w:t>2010</w:t>
      </w:r>
      <w:r w:rsidR="00CA2A73" w:rsidRPr="0003106C">
        <w:rPr>
          <w:sz w:val="26"/>
          <w:szCs w:val="26"/>
        </w:rPr>
        <w:t>.-</w:t>
      </w:r>
      <w:r w:rsidR="00D047D8" w:rsidRPr="0003106C">
        <w:rPr>
          <w:sz w:val="26"/>
          <w:szCs w:val="26"/>
        </w:rPr>
        <w:t>201</w:t>
      </w:r>
      <w:r w:rsidR="00460D45" w:rsidRPr="0003106C">
        <w:rPr>
          <w:sz w:val="26"/>
          <w:szCs w:val="26"/>
        </w:rPr>
        <w:t>2</w:t>
      </w:r>
      <w:r w:rsidR="00D047D8" w:rsidRPr="0003106C">
        <w:rPr>
          <w:sz w:val="26"/>
          <w:szCs w:val="26"/>
        </w:rPr>
        <w:t>.g</w:t>
      </w:r>
      <w:r w:rsidR="0040108E" w:rsidRPr="0003106C">
        <w:rPr>
          <w:sz w:val="26"/>
          <w:szCs w:val="26"/>
        </w:rPr>
        <w:t>adā</w:t>
      </w:r>
      <w:r w:rsidR="00D047D8" w:rsidRPr="0003106C">
        <w:rPr>
          <w:sz w:val="26"/>
          <w:szCs w:val="26"/>
        </w:rPr>
        <w:t xml:space="preserve"> – 0,</w:t>
      </w:r>
      <w:r w:rsidR="00460D45" w:rsidRPr="0003106C">
        <w:rPr>
          <w:sz w:val="26"/>
          <w:szCs w:val="26"/>
        </w:rPr>
        <w:t>9</w:t>
      </w:r>
      <w:r w:rsidR="00D047D8" w:rsidRPr="0003106C">
        <w:rPr>
          <w:sz w:val="26"/>
          <w:szCs w:val="26"/>
        </w:rPr>
        <w:t xml:space="preserve">% un </w:t>
      </w:r>
      <w:r w:rsidRPr="0003106C">
        <w:rPr>
          <w:sz w:val="26"/>
          <w:szCs w:val="26"/>
        </w:rPr>
        <w:t>2013.-2015.gadā – 1,5%, 2016.-201</w:t>
      </w:r>
      <w:r w:rsidR="006D669B" w:rsidRPr="0003106C">
        <w:rPr>
          <w:sz w:val="26"/>
          <w:szCs w:val="26"/>
        </w:rPr>
        <w:t>9</w:t>
      </w:r>
      <w:r w:rsidR="0040108E" w:rsidRPr="0003106C">
        <w:rPr>
          <w:sz w:val="26"/>
          <w:szCs w:val="26"/>
        </w:rPr>
        <w:t>.gadā – 1,5%).</w:t>
      </w:r>
    </w:p>
    <w:p w:rsidR="002F0FAF" w:rsidRPr="0003106C" w:rsidRDefault="002F0FAF" w:rsidP="00C0775A">
      <w:pPr>
        <w:jc w:val="both"/>
        <w:rPr>
          <w:sz w:val="26"/>
          <w:szCs w:val="26"/>
        </w:rPr>
      </w:pPr>
    </w:p>
    <w:p w:rsidR="007A5A72" w:rsidRPr="0003106C" w:rsidRDefault="002F0FAF" w:rsidP="00C0775A">
      <w:pPr>
        <w:ind w:firstLine="567"/>
        <w:jc w:val="both"/>
        <w:rPr>
          <w:sz w:val="26"/>
          <w:szCs w:val="26"/>
        </w:rPr>
      </w:pPr>
      <w:r w:rsidRPr="0003106C">
        <w:rPr>
          <w:sz w:val="26"/>
          <w:szCs w:val="26"/>
        </w:rPr>
        <w:t xml:space="preserve">Pamatnostādņu </w:t>
      </w:r>
      <w:r w:rsidR="00C36A55" w:rsidRPr="0003106C">
        <w:rPr>
          <w:sz w:val="26"/>
          <w:szCs w:val="26"/>
        </w:rPr>
        <w:t xml:space="preserve">mērķu un </w:t>
      </w:r>
      <w:r w:rsidRPr="0003106C">
        <w:rPr>
          <w:sz w:val="26"/>
          <w:szCs w:val="26"/>
        </w:rPr>
        <w:t xml:space="preserve">politikas rezultātu </w:t>
      </w:r>
      <w:r w:rsidR="00C36A55" w:rsidRPr="0003106C">
        <w:rPr>
          <w:sz w:val="26"/>
          <w:szCs w:val="26"/>
        </w:rPr>
        <w:t xml:space="preserve">sasniegšanai </w:t>
      </w:r>
      <w:r w:rsidRPr="0003106C">
        <w:rPr>
          <w:sz w:val="26"/>
          <w:szCs w:val="26"/>
        </w:rPr>
        <w:t>īsteno</w:t>
      </w:r>
      <w:r w:rsidR="00C36A55" w:rsidRPr="0003106C">
        <w:rPr>
          <w:sz w:val="26"/>
          <w:szCs w:val="26"/>
        </w:rPr>
        <w:t xml:space="preserve">jamie uzdevumi un to </w:t>
      </w:r>
      <w:r w:rsidRPr="0003106C">
        <w:rPr>
          <w:sz w:val="26"/>
          <w:szCs w:val="26"/>
        </w:rPr>
        <w:t>darbības rezultāti noteikti</w:t>
      </w:r>
      <w:r w:rsidR="0063631F" w:rsidRPr="0003106C">
        <w:rPr>
          <w:sz w:val="26"/>
          <w:szCs w:val="26"/>
        </w:rPr>
        <w:t xml:space="preserve"> </w:t>
      </w:r>
      <w:r w:rsidR="00BD58DF" w:rsidRPr="0003106C">
        <w:rPr>
          <w:sz w:val="26"/>
          <w:szCs w:val="26"/>
        </w:rPr>
        <w:t>r</w:t>
      </w:r>
      <w:r w:rsidR="000A5A73" w:rsidRPr="0003106C">
        <w:rPr>
          <w:sz w:val="26"/>
          <w:szCs w:val="26"/>
        </w:rPr>
        <w:t>īcības plānā p</w:t>
      </w:r>
      <w:r w:rsidR="009B6365" w:rsidRPr="0003106C">
        <w:rPr>
          <w:sz w:val="26"/>
          <w:szCs w:val="26"/>
        </w:rPr>
        <w:t>amatnostādņu īstenošanai</w:t>
      </w:r>
      <w:r w:rsidR="000A5A73" w:rsidRPr="0003106C">
        <w:rPr>
          <w:sz w:val="26"/>
          <w:szCs w:val="26"/>
        </w:rPr>
        <w:t xml:space="preserve"> (</w:t>
      </w:r>
      <w:r w:rsidR="008C68B2" w:rsidRPr="0003106C">
        <w:rPr>
          <w:sz w:val="26"/>
          <w:szCs w:val="26"/>
        </w:rPr>
        <w:t>1</w:t>
      </w:r>
      <w:r w:rsidR="007264C5" w:rsidRPr="0003106C">
        <w:rPr>
          <w:sz w:val="26"/>
          <w:szCs w:val="26"/>
        </w:rPr>
        <w:t>.pielikums</w:t>
      </w:r>
      <w:r w:rsidR="007A5A72" w:rsidRPr="0003106C">
        <w:rPr>
          <w:sz w:val="26"/>
          <w:szCs w:val="26"/>
        </w:rPr>
        <w:t>).</w:t>
      </w:r>
    </w:p>
    <w:p w:rsidR="00FE1E3C" w:rsidRPr="0003106C" w:rsidRDefault="00FE1E3C" w:rsidP="00073024">
      <w:pPr>
        <w:pStyle w:val="Heading1"/>
        <w:spacing w:after="120"/>
        <w:rPr>
          <w:rFonts w:eastAsia="Calibri"/>
          <w:b/>
          <w:bCs/>
          <w:szCs w:val="28"/>
          <w:lang w:eastAsia="ja-JP"/>
        </w:rPr>
      </w:pPr>
    </w:p>
    <w:p w:rsidR="00073024" w:rsidRPr="0003106C" w:rsidRDefault="00073024" w:rsidP="00073024">
      <w:pPr>
        <w:pStyle w:val="Heading1"/>
        <w:spacing w:after="120"/>
        <w:rPr>
          <w:rFonts w:eastAsia="Calibri"/>
          <w:b/>
          <w:bCs/>
          <w:szCs w:val="28"/>
          <w:lang w:eastAsia="ja-JP"/>
        </w:rPr>
      </w:pPr>
      <w:bookmarkStart w:id="2" w:name="_Toc355961026"/>
      <w:r w:rsidRPr="0003106C">
        <w:rPr>
          <w:rFonts w:eastAsia="Calibri"/>
          <w:b/>
          <w:bCs/>
          <w:szCs w:val="28"/>
          <w:lang w:eastAsia="ja-JP"/>
        </w:rPr>
        <w:t>3. Situācijas raksturojums</w:t>
      </w:r>
      <w:bookmarkEnd w:id="2"/>
      <w:r w:rsidRPr="0003106C">
        <w:rPr>
          <w:rFonts w:eastAsia="Calibri"/>
          <w:b/>
          <w:bCs/>
          <w:szCs w:val="28"/>
          <w:lang w:eastAsia="ja-JP"/>
        </w:rPr>
        <w:t xml:space="preserve">   </w:t>
      </w:r>
    </w:p>
    <w:p w:rsidR="00073024" w:rsidRPr="0003106C" w:rsidRDefault="00073024" w:rsidP="00073024">
      <w:pPr>
        <w:ind w:firstLine="567"/>
        <w:jc w:val="both"/>
        <w:rPr>
          <w:rFonts w:eastAsia="Calibri"/>
          <w:sz w:val="26"/>
          <w:szCs w:val="26"/>
        </w:rPr>
      </w:pPr>
      <w:bookmarkStart w:id="3" w:name="_Toc307425388"/>
      <w:r w:rsidRPr="0003106C">
        <w:rPr>
          <w:rFonts w:eastAsia="Calibri"/>
          <w:sz w:val="26"/>
          <w:szCs w:val="26"/>
        </w:rPr>
        <w:t>Latvijas ekonomikā ir notikušas nozīmīgas makroekonomiskās korekcijas. Ir beidzis pastāvēt ekonomiskais modelis, kurā, pateicoties ārējā kapitāla pieplūdumam, strauji palielinājās iekšējais pieprasījums, kas bija izaugsmes galvenais virzītājspēks. Kā rāda pieredze</w:t>
      </w:r>
      <w:r w:rsidR="008925F7" w:rsidRPr="0003106C">
        <w:rPr>
          <w:rFonts w:eastAsia="Calibri"/>
          <w:sz w:val="26"/>
          <w:szCs w:val="26"/>
        </w:rPr>
        <w:t>,</w:t>
      </w:r>
      <w:r w:rsidRPr="0003106C">
        <w:rPr>
          <w:rFonts w:eastAsia="Calibri"/>
          <w:sz w:val="26"/>
          <w:szCs w:val="26"/>
        </w:rPr>
        <w:t xml:space="preserve"> šāds modelis </w:t>
      </w:r>
      <w:r w:rsidR="008925F7" w:rsidRPr="0003106C">
        <w:rPr>
          <w:rFonts w:eastAsia="Calibri"/>
          <w:sz w:val="26"/>
          <w:szCs w:val="26"/>
        </w:rPr>
        <w:t xml:space="preserve">nav bijis </w:t>
      </w:r>
      <w:r w:rsidRPr="0003106C">
        <w:rPr>
          <w:rFonts w:eastAsia="Calibri"/>
          <w:sz w:val="26"/>
          <w:szCs w:val="26"/>
        </w:rPr>
        <w:t>ilgtspējīgs, jo noveda ekonomiku pie dziļas krīzes izteikto makroekonomisko disproporciju dēļ (augsta inflācija, liels maksājumu bilances tekošā konta deficīts).</w:t>
      </w:r>
    </w:p>
    <w:p w:rsidR="00090C9B" w:rsidRPr="0003106C" w:rsidRDefault="00090C9B" w:rsidP="00073024">
      <w:pPr>
        <w:ind w:firstLine="567"/>
        <w:jc w:val="both"/>
        <w:rPr>
          <w:rFonts w:eastAsia="Calibri"/>
          <w:b/>
          <w:bCs/>
          <w:i/>
          <w:iCs/>
          <w:sz w:val="26"/>
          <w:szCs w:val="26"/>
        </w:rPr>
      </w:pPr>
    </w:p>
    <w:p w:rsidR="00073024" w:rsidRPr="0003106C" w:rsidRDefault="00073024" w:rsidP="00073024">
      <w:pPr>
        <w:ind w:firstLine="567"/>
        <w:jc w:val="both"/>
        <w:rPr>
          <w:rFonts w:eastAsia="Calibri"/>
          <w:sz w:val="26"/>
          <w:szCs w:val="26"/>
        </w:rPr>
      </w:pPr>
    </w:p>
    <w:p w:rsidR="00B22FCF" w:rsidRPr="0003106C" w:rsidRDefault="00B22FCF" w:rsidP="00B22FCF">
      <w:pPr>
        <w:pStyle w:val="Heading2"/>
        <w:tabs>
          <w:tab w:val="left" w:pos="851"/>
        </w:tabs>
        <w:autoSpaceDE w:val="0"/>
        <w:autoSpaceDN w:val="0"/>
        <w:adjustRightInd w:val="0"/>
        <w:spacing w:before="0"/>
        <w:ind w:left="360"/>
        <w:rPr>
          <w:rFonts w:ascii="Times New Roman" w:eastAsia="Calibri" w:hAnsi="Times New Roman" w:cs="Times New Roman"/>
          <w:bCs w:val="0"/>
          <w:i w:val="0"/>
          <w:iCs w:val="0"/>
          <w:sz w:val="26"/>
          <w:szCs w:val="26"/>
        </w:rPr>
      </w:pPr>
      <w:bookmarkStart w:id="4" w:name="_Toc355961027"/>
      <w:r w:rsidRPr="0003106C">
        <w:rPr>
          <w:rFonts w:ascii="Times New Roman" w:eastAsia="Calibri" w:hAnsi="Times New Roman" w:cs="Times New Roman"/>
          <w:bCs w:val="0"/>
          <w:i w:val="0"/>
          <w:iCs w:val="0"/>
          <w:sz w:val="26"/>
          <w:szCs w:val="26"/>
        </w:rPr>
        <w:t>3.1. Eksporta loma tautsaimniecībā</w:t>
      </w:r>
      <w:r w:rsidR="009962E5" w:rsidRPr="0003106C">
        <w:rPr>
          <w:rFonts w:ascii="Times New Roman" w:eastAsia="Calibri" w:hAnsi="Times New Roman" w:cs="Times New Roman"/>
          <w:bCs w:val="0"/>
          <w:i w:val="0"/>
          <w:iCs w:val="0"/>
          <w:sz w:val="26"/>
          <w:szCs w:val="26"/>
        </w:rPr>
        <w:t xml:space="preserve"> un struktūras raksturojums</w:t>
      </w:r>
      <w:bookmarkEnd w:id="4"/>
    </w:p>
    <w:p w:rsidR="00B22FCF" w:rsidRPr="0003106C" w:rsidRDefault="00B22FCF" w:rsidP="00B22FCF">
      <w:pPr>
        <w:ind w:firstLine="567"/>
        <w:jc w:val="both"/>
        <w:rPr>
          <w:rFonts w:eastAsia="Calibri"/>
          <w:b/>
          <w:bCs/>
          <w:i/>
          <w:iCs/>
          <w:sz w:val="26"/>
          <w:szCs w:val="26"/>
        </w:rPr>
      </w:pPr>
      <w:r w:rsidRPr="0003106C">
        <w:rPr>
          <w:rFonts w:eastAsia="Calibri"/>
          <w:sz w:val="26"/>
          <w:szCs w:val="26"/>
        </w:rPr>
        <w:t xml:space="preserve">Pašlaik notiek ekonomiskās attīstības paradigmas maiņa – pāreja uz ilgtspējīgu attīstības modeli, kurā galvenais attīstības dzinējspēks ir eksports, spēja konkurēt iekšējos un ārējos produktu tirgos, kā arī būt konkurētspējīgiem kapitāla piesaistē, lai kāpinātu Latvijas ražīgo potenciālu. </w:t>
      </w:r>
    </w:p>
    <w:p w:rsidR="00B22FCF" w:rsidRPr="0003106C" w:rsidRDefault="00B22FCF" w:rsidP="00B22FCF">
      <w:pPr>
        <w:ind w:firstLine="567"/>
        <w:jc w:val="both"/>
        <w:rPr>
          <w:rFonts w:eastAsia="Calibri"/>
          <w:sz w:val="26"/>
          <w:szCs w:val="26"/>
        </w:rPr>
      </w:pPr>
      <w:r w:rsidRPr="0003106C">
        <w:rPr>
          <w:rFonts w:eastAsia="Calibri"/>
          <w:sz w:val="26"/>
          <w:szCs w:val="26"/>
        </w:rPr>
        <w:t xml:space="preserve">Dziļās ekonomiskās krīzes laikā Latvijas IKP samazinājās par ceturto daļu. Ekonomiskā izaugsme atsākās 2009.gada 4.ceturksnī. Šīs izaugsmes galvenais virzītājs bija eksporta pieaugums, kas atsākās 2009.gada sākumā, pie tam eksporta pieauguma tempi bija krietni straujāki nekā kopējā ekonomiskā izaugsme. </w:t>
      </w:r>
    </w:p>
    <w:p w:rsidR="00B22FCF" w:rsidRPr="0003106C" w:rsidRDefault="00B22FCF" w:rsidP="00073024">
      <w:pPr>
        <w:ind w:firstLine="567"/>
        <w:jc w:val="both"/>
        <w:rPr>
          <w:rFonts w:eastAsia="Calibri"/>
          <w:sz w:val="26"/>
          <w:szCs w:val="26"/>
        </w:rPr>
      </w:pPr>
    </w:p>
    <w:p w:rsidR="00073024" w:rsidRPr="0003106C" w:rsidRDefault="00073024" w:rsidP="00073024">
      <w:pPr>
        <w:keepNext/>
        <w:ind w:firstLine="567"/>
        <w:jc w:val="right"/>
        <w:rPr>
          <w:sz w:val="26"/>
          <w:szCs w:val="26"/>
        </w:rPr>
      </w:pPr>
    </w:p>
    <w:p w:rsidR="00073024" w:rsidRPr="0003106C" w:rsidRDefault="00073024" w:rsidP="00073024">
      <w:pPr>
        <w:keepNext/>
        <w:ind w:firstLine="567"/>
        <w:jc w:val="right"/>
        <w:rPr>
          <w:sz w:val="26"/>
          <w:szCs w:val="26"/>
        </w:rPr>
      </w:pPr>
      <w:r w:rsidRPr="0003106C">
        <w:rPr>
          <w:sz w:val="26"/>
          <w:szCs w:val="26"/>
        </w:rPr>
        <w:t>1.attēls</w:t>
      </w:r>
    </w:p>
    <w:p w:rsidR="00073024" w:rsidRPr="0003106C" w:rsidRDefault="00073024" w:rsidP="00073024">
      <w:pPr>
        <w:pStyle w:val="Default"/>
        <w:keepNext/>
        <w:ind w:right="-1"/>
        <w:jc w:val="center"/>
        <w:rPr>
          <w:b/>
          <w:color w:val="auto"/>
          <w:sz w:val="26"/>
          <w:szCs w:val="26"/>
        </w:rPr>
      </w:pPr>
      <w:r w:rsidRPr="0003106C">
        <w:rPr>
          <w:b/>
          <w:color w:val="auto"/>
          <w:sz w:val="26"/>
          <w:szCs w:val="26"/>
        </w:rPr>
        <w:t>IKP, eksporta un iekšzemes pieprasījuma izmaiņas</w:t>
      </w:r>
    </w:p>
    <w:p w:rsidR="00073024" w:rsidRPr="0003106C" w:rsidRDefault="00073024" w:rsidP="00073024">
      <w:pPr>
        <w:pStyle w:val="Default"/>
        <w:keepNext/>
        <w:spacing w:after="60"/>
        <w:jc w:val="center"/>
        <w:rPr>
          <w:color w:val="auto"/>
        </w:rPr>
      </w:pPr>
      <w:r w:rsidRPr="0003106C">
        <w:rPr>
          <w:color w:val="auto"/>
        </w:rPr>
        <w:t>(2005.gada 4.cet. = 100, sezonāli izlīdzināti dati)</w:t>
      </w:r>
    </w:p>
    <w:p w:rsidR="002D0082" w:rsidRPr="0003106C" w:rsidRDefault="002D0082" w:rsidP="002D0082">
      <w:pPr>
        <w:pStyle w:val="Default"/>
        <w:keepNext/>
        <w:spacing w:after="60"/>
        <w:jc w:val="center"/>
        <w:rPr>
          <w:color w:val="auto"/>
        </w:rPr>
      </w:pPr>
    </w:p>
    <w:p w:rsidR="002D0082" w:rsidRPr="0003106C" w:rsidRDefault="002D0082" w:rsidP="002D0082">
      <w:pPr>
        <w:pStyle w:val="Default"/>
        <w:keepNext/>
        <w:spacing w:after="60"/>
        <w:jc w:val="center"/>
        <w:rPr>
          <w:color w:val="auto"/>
        </w:rPr>
      </w:pPr>
      <w:r w:rsidRPr="0003106C">
        <w:rPr>
          <w:rFonts w:eastAsia="Calibri"/>
          <w:noProof/>
          <w:sz w:val="26"/>
          <w:szCs w:val="26"/>
          <w:lang w:eastAsia="lv-LV"/>
        </w:rPr>
        <w:drawing>
          <wp:inline distT="0" distB="0" distL="0" distR="0" wp14:anchorId="3F8B658E" wp14:editId="61C3C4C9">
            <wp:extent cx="5486400" cy="2600325"/>
            <wp:effectExtent l="0" t="0" r="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0082" w:rsidRPr="0003106C" w:rsidRDefault="002D0082" w:rsidP="002D0082">
      <w:pPr>
        <w:ind w:firstLine="567"/>
        <w:jc w:val="both"/>
        <w:rPr>
          <w:rFonts w:eastAsia="Calibri"/>
          <w:sz w:val="20"/>
          <w:szCs w:val="22"/>
        </w:rPr>
      </w:pPr>
      <w:r w:rsidRPr="0003106C">
        <w:rPr>
          <w:rFonts w:eastAsia="Calibri"/>
          <w:sz w:val="20"/>
          <w:szCs w:val="22"/>
        </w:rPr>
        <w:t>Avots: CSP</w:t>
      </w:r>
    </w:p>
    <w:p w:rsidR="002D0082" w:rsidRPr="0003106C" w:rsidRDefault="002D0082" w:rsidP="002D0082">
      <w:pPr>
        <w:ind w:firstLine="567"/>
        <w:jc w:val="both"/>
        <w:rPr>
          <w:rFonts w:eastAsia="Calibri"/>
          <w:sz w:val="16"/>
          <w:szCs w:val="16"/>
        </w:rPr>
      </w:pPr>
    </w:p>
    <w:p w:rsidR="00073024" w:rsidRPr="0003106C" w:rsidRDefault="00073024" w:rsidP="00073024">
      <w:pPr>
        <w:ind w:firstLine="567"/>
        <w:jc w:val="both"/>
        <w:rPr>
          <w:rFonts w:eastAsia="Calibri"/>
          <w:sz w:val="16"/>
          <w:szCs w:val="16"/>
        </w:rPr>
      </w:pPr>
    </w:p>
    <w:p w:rsidR="00073024" w:rsidRPr="0003106C" w:rsidRDefault="00073024" w:rsidP="00073024">
      <w:pPr>
        <w:ind w:firstLine="567"/>
        <w:jc w:val="both"/>
        <w:rPr>
          <w:rFonts w:eastAsia="Calibri"/>
          <w:sz w:val="26"/>
          <w:szCs w:val="26"/>
        </w:rPr>
      </w:pPr>
    </w:p>
    <w:p w:rsidR="00073024" w:rsidRPr="0003106C" w:rsidRDefault="00073024" w:rsidP="00073024">
      <w:pPr>
        <w:ind w:firstLine="567"/>
        <w:jc w:val="both"/>
        <w:rPr>
          <w:sz w:val="26"/>
          <w:szCs w:val="26"/>
        </w:rPr>
      </w:pPr>
      <w:r w:rsidRPr="0003106C">
        <w:rPr>
          <w:rFonts w:eastAsia="Calibri"/>
          <w:sz w:val="26"/>
          <w:szCs w:val="26"/>
        </w:rPr>
        <w:t xml:space="preserve">Straujo eksporta pieaugumu noteica mūsu galvenā ārējās tirdzniecības partnera ES atkopšanās pēc krīzes un Latvijas ražotāju konkurētspējas uzlabojumi saistībā ar korekcijām </w:t>
      </w:r>
      <w:r w:rsidRPr="0003106C">
        <w:rPr>
          <w:sz w:val="26"/>
          <w:szCs w:val="26"/>
        </w:rPr>
        <w:t xml:space="preserve">produktu un darba tirgos krīzes laikā. </w:t>
      </w:r>
    </w:p>
    <w:p w:rsidR="00073024" w:rsidRPr="0003106C" w:rsidRDefault="00073024" w:rsidP="00073024">
      <w:pPr>
        <w:pStyle w:val="Default"/>
        <w:ind w:right="-1" w:firstLine="567"/>
        <w:jc w:val="both"/>
        <w:rPr>
          <w:rStyle w:val="ft"/>
          <w:color w:val="auto"/>
          <w:sz w:val="26"/>
          <w:szCs w:val="26"/>
        </w:rPr>
      </w:pPr>
    </w:p>
    <w:p w:rsidR="00073024" w:rsidRPr="0003106C" w:rsidRDefault="00073024" w:rsidP="00073024">
      <w:pPr>
        <w:pStyle w:val="Default"/>
        <w:ind w:right="-1" w:firstLine="567"/>
        <w:jc w:val="both"/>
        <w:rPr>
          <w:rStyle w:val="ft"/>
          <w:color w:val="auto"/>
          <w:sz w:val="26"/>
          <w:szCs w:val="26"/>
        </w:rPr>
      </w:pPr>
    </w:p>
    <w:p w:rsidR="00073024" w:rsidRPr="0003106C" w:rsidRDefault="00073024" w:rsidP="00073024">
      <w:pPr>
        <w:keepNext/>
        <w:ind w:firstLine="567"/>
        <w:jc w:val="right"/>
        <w:rPr>
          <w:sz w:val="26"/>
          <w:szCs w:val="26"/>
        </w:rPr>
      </w:pPr>
      <w:r w:rsidRPr="0003106C">
        <w:rPr>
          <w:sz w:val="26"/>
          <w:szCs w:val="26"/>
        </w:rPr>
        <w:lastRenderedPageBreak/>
        <w:t>2.attēls</w:t>
      </w:r>
    </w:p>
    <w:p w:rsidR="00073024" w:rsidRPr="0003106C" w:rsidRDefault="00073024" w:rsidP="00073024">
      <w:pPr>
        <w:pStyle w:val="Default"/>
        <w:keepNext/>
        <w:ind w:right="-1"/>
        <w:jc w:val="center"/>
        <w:rPr>
          <w:b/>
          <w:bCs/>
          <w:color w:val="auto"/>
          <w:sz w:val="26"/>
          <w:szCs w:val="26"/>
        </w:rPr>
      </w:pPr>
      <w:r w:rsidRPr="0003106C">
        <w:rPr>
          <w:b/>
          <w:bCs/>
          <w:color w:val="auto"/>
          <w:sz w:val="26"/>
          <w:szCs w:val="26"/>
        </w:rPr>
        <w:t>Eksporta pieaugumu noteicošie faktori</w:t>
      </w:r>
    </w:p>
    <w:p w:rsidR="00277F97" w:rsidRPr="0003106C" w:rsidRDefault="00073024" w:rsidP="00073024">
      <w:pPr>
        <w:pStyle w:val="Default"/>
        <w:keepNext/>
        <w:spacing w:after="60"/>
        <w:jc w:val="center"/>
        <w:rPr>
          <w:color w:val="auto"/>
        </w:rPr>
      </w:pPr>
      <w:r w:rsidRPr="0003106C">
        <w:rPr>
          <w:color w:val="auto"/>
        </w:rPr>
        <w:t xml:space="preserve"> Latvijas eksporta uz ES valstīm pieauguma sadalījums, izmantojot pastāvīgās tirgus daļas</w:t>
      </w:r>
      <w:r w:rsidR="00277F97" w:rsidRPr="0003106C">
        <w:rPr>
          <w:color w:val="auto"/>
        </w:rPr>
        <w:t xml:space="preserve"> </w:t>
      </w:r>
    </w:p>
    <w:p w:rsidR="00277F97" w:rsidRPr="0003106C" w:rsidRDefault="00277F97" w:rsidP="00073024">
      <w:pPr>
        <w:pStyle w:val="Default"/>
        <w:keepNext/>
        <w:spacing w:after="60"/>
        <w:jc w:val="center"/>
        <w:rPr>
          <w:color w:val="auto"/>
        </w:rPr>
      </w:pPr>
      <w:r w:rsidRPr="0003106C">
        <w:rPr>
          <w:color w:val="auto"/>
        </w:rPr>
        <w:t>analīzi, %</w:t>
      </w:r>
    </w:p>
    <w:p w:rsidR="00CC4221" w:rsidRPr="0003106C" w:rsidRDefault="00CC4221" w:rsidP="00CC4221">
      <w:pPr>
        <w:pStyle w:val="Default"/>
        <w:keepNext/>
        <w:spacing w:after="60"/>
        <w:jc w:val="center"/>
        <w:rPr>
          <w:color w:val="auto"/>
        </w:rPr>
      </w:pPr>
      <w:r w:rsidRPr="0003106C">
        <w:rPr>
          <w:noProof/>
          <w:color w:val="auto"/>
          <w:lang w:eastAsia="lv-LV"/>
        </w:rPr>
        <mc:AlternateContent>
          <mc:Choice Requires="wps">
            <w:drawing>
              <wp:anchor distT="0" distB="0" distL="114300" distR="114300" simplePos="0" relativeHeight="251685888" behindDoc="0" locked="0" layoutInCell="1" allowOverlap="1" wp14:anchorId="2E6148CF" wp14:editId="6532F55A">
                <wp:simplePos x="0" y="0"/>
                <wp:positionH relativeFrom="column">
                  <wp:posOffset>3949065</wp:posOffset>
                </wp:positionH>
                <wp:positionV relativeFrom="paragraph">
                  <wp:posOffset>-1905</wp:posOffset>
                </wp:positionV>
                <wp:extent cx="1000760" cy="1168400"/>
                <wp:effectExtent l="0" t="0" r="27940" b="393700"/>
                <wp:wrapNone/>
                <wp:docPr id="31" name="Rectangular Callo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760" cy="1168400"/>
                        </a:xfrm>
                        <a:prstGeom prst="wedgeRectCallout">
                          <a:avLst>
                            <a:gd name="adj1" fmla="val 1270"/>
                            <a:gd name="adj2" fmla="val 81991"/>
                          </a:avLst>
                        </a:prstGeom>
                        <a:solidFill>
                          <a:schemeClr val="bg1">
                            <a:lumMod val="85000"/>
                            <a:alpha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5F7" w:rsidRPr="00C91855" w:rsidRDefault="008925F7" w:rsidP="00CC4221">
                            <w:pPr>
                              <w:jc w:val="center"/>
                              <w:rPr>
                                <w:color w:val="000000" w:themeColor="text1"/>
                                <w:sz w:val="18"/>
                                <w:szCs w:val="18"/>
                              </w:rPr>
                            </w:pPr>
                            <w:r w:rsidRPr="00CF1F8D">
                              <w:rPr>
                                <w:color w:val="000000" w:themeColor="text1"/>
                                <w:sz w:val="18"/>
                                <w:szCs w:val="18"/>
                              </w:rPr>
                              <w:t>eksporta</w:t>
                            </w:r>
                            <w:r w:rsidRPr="00C91855">
                              <w:rPr>
                                <w:color w:val="000000" w:themeColor="text1"/>
                                <w:sz w:val="18"/>
                                <w:szCs w:val="18"/>
                              </w:rPr>
                              <w:t xml:space="preserve"> pieaugum</w:t>
                            </w:r>
                            <w:r>
                              <w:rPr>
                                <w:color w:val="000000" w:themeColor="text1"/>
                                <w:sz w:val="18"/>
                                <w:szCs w:val="18"/>
                              </w:rPr>
                              <w:t>u</w:t>
                            </w:r>
                            <w:r w:rsidRPr="00C91855">
                              <w:rPr>
                                <w:color w:val="000000" w:themeColor="text1"/>
                                <w:sz w:val="18"/>
                                <w:szCs w:val="18"/>
                              </w:rPr>
                              <w:t xml:space="preserve"> no</w:t>
                            </w:r>
                            <w:r>
                              <w:rPr>
                                <w:color w:val="000000" w:themeColor="text1"/>
                                <w:sz w:val="18"/>
                                <w:szCs w:val="18"/>
                              </w:rPr>
                              <w:t>sak</w:t>
                            </w:r>
                            <w:r w:rsidRPr="00C91855">
                              <w:rPr>
                                <w:color w:val="000000" w:themeColor="text1"/>
                                <w:sz w:val="18"/>
                                <w:szCs w:val="18"/>
                              </w:rPr>
                              <w:t xml:space="preserve">a </w:t>
                            </w:r>
                            <w:r>
                              <w:rPr>
                                <w:color w:val="000000" w:themeColor="text1"/>
                                <w:sz w:val="18"/>
                                <w:szCs w:val="18"/>
                              </w:rPr>
                              <w:t xml:space="preserve"> Latvijas uzņēmumu </w:t>
                            </w:r>
                            <w:r w:rsidRPr="00C91855">
                              <w:rPr>
                                <w:color w:val="000000" w:themeColor="text1"/>
                                <w:sz w:val="18"/>
                                <w:szCs w:val="18"/>
                              </w:rPr>
                              <w:t>konkurētspējas palielināšanās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6" type="#_x0000_t61" style="position:absolute;left:0;text-align:left;margin-left:310.95pt;margin-top:-.15pt;width:78.8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" adj="11074,28510" fillcolor="#d8d8d8 [2732]" strokecolor="black [3213]" strokeweight=".5pt">
                <v:fill opacity="52428f"/>
                <v:path arrowok="t"/>
                <v:textbox>
                  <w:txbxContent>
                    <w:p w:rsidR="008925F7" w:rsidRPr="00C91855" w:rsidRDefault="008925F7" w:rsidP="00CC4221">
                      <w:pPr>
                        <w:jc w:val="center"/>
                        <w:rPr>
                          <w:color w:val="000000" w:themeColor="text1"/>
                          <w:sz w:val="18"/>
                          <w:szCs w:val="18"/>
                        </w:rPr>
                      </w:pPr>
                      <w:r w:rsidRPr="00CF1F8D">
                        <w:rPr>
                          <w:color w:val="000000" w:themeColor="text1"/>
                          <w:sz w:val="18"/>
                          <w:szCs w:val="18"/>
                        </w:rPr>
                        <w:t>eksporta</w:t>
                      </w:r>
                      <w:r w:rsidRPr="00C91855">
                        <w:rPr>
                          <w:color w:val="000000" w:themeColor="text1"/>
                          <w:sz w:val="18"/>
                          <w:szCs w:val="18"/>
                        </w:rPr>
                        <w:t xml:space="preserve"> pieaugum</w:t>
                      </w:r>
                      <w:r>
                        <w:rPr>
                          <w:color w:val="000000" w:themeColor="text1"/>
                          <w:sz w:val="18"/>
                          <w:szCs w:val="18"/>
                        </w:rPr>
                        <w:t>u</w:t>
                      </w:r>
                      <w:r w:rsidRPr="00C91855">
                        <w:rPr>
                          <w:color w:val="000000" w:themeColor="text1"/>
                          <w:sz w:val="18"/>
                          <w:szCs w:val="18"/>
                        </w:rPr>
                        <w:t xml:space="preserve"> no</w:t>
                      </w:r>
                      <w:r>
                        <w:rPr>
                          <w:color w:val="000000" w:themeColor="text1"/>
                          <w:sz w:val="18"/>
                          <w:szCs w:val="18"/>
                        </w:rPr>
                        <w:t>sak</w:t>
                      </w:r>
                      <w:r w:rsidRPr="00C91855">
                        <w:rPr>
                          <w:color w:val="000000" w:themeColor="text1"/>
                          <w:sz w:val="18"/>
                          <w:szCs w:val="18"/>
                        </w:rPr>
                        <w:t xml:space="preserve">a </w:t>
                      </w:r>
                      <w:r>
                        <w:rPr>
                          <w:color w:val="000000" w:themeColor="text1"/>
                          <w:sz w:val="18"/>
                          <w:szCs w:val="18"/>
                        </w:rPr>
                        <w:t xml:space="preserve"> Latvijas uzņēmumu </w:t>
                      </w:r>
                      <w:r w:rsidRPr="00C91855">
                        <w:rPr>
                          <w:color w:val="000000" w:themeColor="text1"/>
                          <w:sz w:val="18"/>
                          <w:szCs w:val="18"/>
                        </w:rPr>
                        <w:t>konkurētspējas palielināšanās</w:t>
                      </w:r>
                    </w:p>
                  </w:txbxContent>
                </v:textbox>
              </v:shape>
            </w:pict>
          </mc:Fallback>
        </mc:AlternateContent>
      </w:r>
      <w:r w:rsidRPr="0003106C">
        <w:rPr>
          <w:noProof/>
          <w:color w:val="auto"/>
          <w:lang w:eastAsia="lv-LV"/>
        </w:rPr>
        <mc:AlternateContent>
          <mc:Choice Requires="wps">
            <w:drawing>
              <wp:anchor distT="0" distB="0" distL="114300" distR="114300" simplePos="0" relativeHeight="251684864" behindDoc="0" locked="0" layoutInCell="1" allowOverlap="1" wp14:anchorId="6EFB7AD3" wp14:editId="40A3D787">
                <wp:simplePos x="0" y="0"/>
                <wp:positionH relativeFrom="column">
                  <wp:posOffset>1924050</wp:posOffset>
                </wp:positionH>
                <wp:positionV relativeFrom="paragraph">
                  <wp:posOffset>588645</wp:posOffset>
                </wp:positionV>
                <wp:extent cx="143510" cy="179705"/>
                <wp:effectExtent l="19050" t="19050" r="27940" b="10795"/>
                <wp:wrapNone/>
                <wp:docPr id="3"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3510" cy="179705"/>
                        </a:xfrm>
                        <a:prstGeom prst="downArrow">
                          <a:avLst/>
                        </a:prstGeom>
                        <a:solidFill>
                          <a:srgbClr val="0066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51.5pt;margin-top:46.35pt;width:11.3pt;height:14.1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" adj="12975" fillcolor="#060" strokecolor="black [3213]" strokeweight="1.25pt">
                <v:path arrowok="t"/>
              </v:shape>
            </w:pict>
          </mc:Fallback>
        </mc:AlternateContent>
      </w:r>
      <w:r w:rsidRPr="0003106C">
        <w:rPr>
          <w:noProof/>
          <w:color w:val="auto"/>
          <w:lang w:eastAsia="lv-LV"/>
        </w:rPr>
        <mc:AlternateContent>
          <mc:Choice Requires="wps">
            <w:drawing>
              <wp:anchor distT="0" distB="0" distL="114300" distR="114300" simplePos="0" relativeHeight="251682816" behindDoc="0" locked="0" layoutInCell="1" allowOverlap="1" wp14:anchorId="68903F04" wp14:editId="00CE68A7">
                <wp:simplePos x="0" y="0"/>
                <wp:positionH relativeFrom="column">
                  <wp:posOffset>2790825</wp:posOffset>
                </wp:positionH>
                <wp:positionV relativeFrom="paragraph">
                  <wp:posOffset>617855</wp:posOffset>
                </wp:positionV>
                <wp:extent cx="143510" cy="179705"/>
                <wp:effectExtent l="19050" t="19050" r="27940" b="10795"/>
                <wp:wrapNone/>
                <wp:docPr id="32"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3510" cy="179705"/>
                        </a:xfrm>
                        <a:prstGeom prst="downArrow">
                          <a:avLst/>
                        </a:prstGeom>
                        <a:solidFill>
                          <a:srgbClr val="0066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219.75pt;margin-top:48.65pt;width:11.3pt;height:14.1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" adj="12975" fillcolor="#060" strokecolor="black [3213]" strokeweight="1.25pt">
                <v:path arrowok="t"/>
              </v:shape>
            </w:pict>
          </mc:Fallback>
        </mc:AlternateContent>
      </w:r>
      <w:r w:rsidRPr="0003106C">
        <w:rPr>
          <w:noProof/>
          <w:color w:val="auto"/>
          <w:lang w:eastAsia="lv-LV"/>
        </w:rPr>
        <mc:AlternateContent>
          <mc:Choice Requires="wps">
            <w:drawing>
              <wp:anchor distT="0" distB="0" distL="114300" distR="114300" simplePos="0" relativeHeight="251683840" behindDoc="0" locked="0" layoutInCell="1" allowOverlap="1" wp14:anchorId="09918D3D" wp14:editId="2FE403FA">
                <wp:simplePos x="0" y="0"/>
                <wp:positionH relativeFrom="column">
                  <wp:posOffset>3656965</wp:posOffset>
                </wp:positionH>
                <wp:positionV relativeFrom="paragraph">
                  <wp:posOffset>1278890</wp:posOffset>
                </wp:positionV>
                <wp:extent cx="143510" cy="179705"/>
                <wp:effectExtent l="19050" t="19050" r="27940" b="10795"/>
                <wp:wrapNone/>
                <wp:docPr id="33"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3510" cy="179705"/>
                        </a:xfrm>
                        <a:prstGeom prst="downArrow">
                          <a:avLst/>
                        </a:prstGeom>
                        <a:solidFill>
                          <a:srgbClr val="0066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287.95pt;margin-top:100.7pt;width:11.3pt;height:14.1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" adj="12975" fillcolor="#060" strokecolor="black [3213]" strokeweight="1.25pt">
                <v:path arrowok="t"/>
              </v:shape>
            </w:pict>
          </mc:Fallback>
        </mc:AlternateContent>
      </w:r>
      <w:r w:rsidRPr="0003106C">
        <w:rPr>
          <w:noProof/>
          <w:color w:val="auto"/>
          <w:lang w:eastAsia="lv-LV"/>
        </w:rPr>
        <w:drawing>
          <wp:inline distT="0" distB="0" distL="0" distR="0" wp14:anchorId="5979503E" wp14:editId="1E08487C">
            <wp:extent cx="2876550" cy="2524125"/>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3024" w:rsidRPr="0003106C" w:rsidRDefault="00CC4221" w:rsidP="00CC4221">
      <w:pPr>
        <w:pStyle w:val="Default"/>
        <w:keepNext/>
        <w:spacing w:after="60"/>
        <w:jc w:val="center"/>
        <w:rPr>
          <w:color w:val="auto"/>
        </w:rPr>
      </w:pPr>
      <w:r w:rsidRPr="0003106C">
        <w:rPr>
          <w:color w:val="auto"/>
        </w:rPr>
        <w:t xml:space="preserve"> </w:t>
      </w:r>
      <w:r w:rsidR="00073024" w:rsidRPr="0003106C">
        <w:rPr>
          <w:rFonts w:eastAsia="Calibri"/>
          <w:sz w:val="20"/>
          <w:szCs w:val="22"/>
        </w:rPr>
        <w:t>Avots: EUROSTAT, E</w:t>
      </w:r>
      <w:r w:rsidR="00664E2E" w:rsidRPr="0003106C">
        <w:rPr>
          <w:rFonts w:eastAsia="Calibri"/>
          <w:sz w:val="20"/>
          <w:szCs w:val="22"/>
        </w:rPr>
        <w:t>konomikas ministrijas</w:t>
      </w:r>
      <w:r w:rsidR="00073024" w:rsidRPr="0003106C">
        <w:rPr>
          <w:rFonts w:eastAsia="Calibri"/>
          <w:sz w:val="20"/>
          <w:szCs w:val="22"/>
        </w:rPr>
        <w:t xml:space="preserve"> aprēķini</w:t>
      </w:r>
      <w:r w:rsidR="00664E2E" w:rsidRPr="0003106C">
        <w:rPr>
          <w:rFonts w:eastAsia="Calibri"/>
          <w:sz w:val="20"/>
          <w:szCs w:val="22"/>
        </w:rPr>
        <w:t>.</w:t>
      </w:r>
    </w:p>
    <w:p w:rsidR="00073024" w:rsidRPr="0003106C" w:rsidRDefault="00073024" w:rsidP="00073024">
      <w:pPr>
        <w:pStyle w:val="Default"/>
        <w:ind w:right="-1" w:firstLine="567"/>
        <w:jc w:val="both"/>
        <w:rPr>
          <w:rStyle w:val="ft"/>
          <w:color w:val="auto"/>
          <w:sz w:val="26"/>
          <w:szCs w:val="26"/>
        </w:rPr>
      </w:pPr>
    </w:p>
    <w:p w:rsidR="00073024" w:rsidRPr="0003106C" w:rsidRDefault="00073024" w:rsidP="00F97BAB">
      <w:pPr>
        <w:pStyle w:val="Default"/>
        <w:ind w:right="-1" w:firstLine="567"/>
        <w:jc w:val="both"/>
        <w:rPr>
          <w:rStyle w:val="ft"/>
          <w:color w:val="auto"/>
          <w:sz w:val="26"/>
          <w:szCs w:val="26"/>
        </w:rPr>
      </w:pPr>
      <w:r w:rsidRPr="0003106C">
        <w:rPr>
          <w:rStyle w:val="ft"/>
          <w:color w:val="auto"/>
          <w:sz w:val="26"/>
          <w:szCs w:val="26"/>
        </w:rPr>
        <w:t xml:space="preserve">Makro līmenī nozīmīgākie </w:t>
      </w:r>
      <w:r w:rsidRPr="0003106C">
        <w:rPr>
          <w:rStyle w:val="ft"/>
          <w:b/>
          <w:color w:val="auto"/>
          <w:sz w:val="26"/>
          <w:szCs w:val="26"/>
        </w:rPr>
        <w:t xml:space="preserve">cenu/izmaksu </w:t>
      </w:r>
      <w:r w:rsidRPr="0003106C">
        <w:rPr>
          <w:rStyle w:val="ft"/>
          <w:b/>
          <w:bCs/>
          <w:color w:val="auto"/>
          <w:sz w:val="26"/>
          <w:szCs w:val="26"/>
        </w:rPr>
        <w:t>konkurētspēju</w:t>
      </w:r>
      <w:r w:rsidRPr="0003106C">
        <w:rPr>
          <w:rStyle w:val="ft"/>
          <w:b/>
          <w:color w:val="auto"/>
          <w:sz w:val="26"/>
          <w:szCs w:val="26"/>
        </w:rPr>
        <w:t xml:space="preserve"> raksturojošie rādītāji</w:t>
      </w:r>
      <w:r w:rsidRPr="0003106C">
        <w:rPr>
          <w:rStyle w:val="ft"/>
          <w:color w:val="auto"/>
          <w:sz w:val="26"/>
          <w:szCs w:val="26"/>
        </w:rPr>
        <w:t xml:space="preserve"> ir </w:t>
      </w:r>
      <w:r w:rsidRPr="0003106C">
        <w:rPr>
          <w:rStyle w:val="ft"/>
          <w:bCs/>
          <w:color w:val="auto"/>
          <w:sz w:val="26"/>
          <w:szCs w:val="26"/>
        </w:rPr>
        <w:t>reālā efektīvā valūtas kursa</w:t>
      </w:r>
      <w:r w:rsidRPr="0003106C">
        <w:rPr>
          <w:rStyle w:val="ft"/>
          <w:color w:val="auto"/>
          <w:sz w:val="26"/>
          <w:szCs w:val="26"/>
        </w:rPr>
        <w:t xml:space="preserve"> dinamika un vienas vienības darbaspēka izmaksas. </w:t>
      </w:r>
    </w:p>
    <w:p w:rsidR="00073024" w:rsidRPr="0003106C" w:rsidRDefault="00073024" w:rsidP="00F97BAB">
      <w:pPr>
        <w:ind w:right="-1" w:firstLine="567"/>
        <w:jc w:val="both"/>
        <w:rPr>
          <w:sz w:val="26"/>
          <w:szCs w:val="26"/>
        </w:rPr>
      </w:pPr>
      <w:r w:rsidRPr="0003106C">
        <w:rPr>
          <w:sz w:val="26"/>
          <w:szCs w:val="26"/>
        </w:rPr>
        <w:t>Kopš 2005.gada salīdzinoši augstās inflācijas dēļ</w:t>
      </w:r>
      <w:r w:rsidR="00664E2E" w:rsidRPr="0003106C">
        <w:rPr>
          <w:sz w:val="26"/>
          <w:szCs w:val="26"/>
        </w:rPr>
        <w:t>,</w:t>
      </w:r>
      <w:r w:rsidRPr="0003106C">
        <w:rPr>
          <w:sz w:val="26"/>
          <w:szCs w:val="26"/>
        </w:rPr>
        <w:t xml:space="preserve"> lata reālais efektīvais kurss pieauga attiecībā gan pret attīstīto valstu valūtām, gan pret attīstības valstu valūtām</w:t>
      </w:r>
      <w:r w:rsidRPr="0003106C">
        <w:rPr>
          <w:rStyle w:val="FootnoteReference"/>
          <w:sz w:val="26"/>
          <w:szCs w:val="26"/>
        </w:rPr>
        <w:footnoteReference w:id="8"/>
      </w:r>
      <w:r w:rsidRPr="0003106C">
        <w:rPr>
          <w:sz w:val="26"/>
          <w:szCs w:val="26"/>
        </w:rPr>
        <w:t xml:space="preserve">, kas mazināja Latvijas ražotāju </w:t>
      </w:r>
      <w:r w:rsidR="008C68B2" w:rsidRPr="0003106C">
        <w:rPr>
          <w:sz w:val="26"/>
          <w:szCs w:val="26"/>
        </w:rPr>
        <w:t>konkurētspēju</w:t>
      </w:r>
      <w:r w:rsidRPr="0003106C">
        <w:rPr>
          <w:sz w:val="26"/>
          <w:szCs w:val="26"/>
        </w:rPr>
        <w:t>. Īpaši strauji lata kurss pieauga 2008.gada otrajā pusē un 2009.gada sākumā, kas, galvenokārt, bija saistīts ar mūsu tirdzniecības partnervalstu nacionālo valūtu devalvāciju. Kopš 2009.gada marta lata reālais efektīvais kurss pakāpeniski samazinājās, ko ietekmēja gan cenu līmeņa un darba algu samazināšanās, gan citu ar ražošanu saistīto izmaksu optimizācija. Kopš 2010.gada lata reālā efektīvā valūtas kursa zemo līmeni nosaka zemais nominālais kurss.</w:t>
      </w:r>
    </w:p>
    <w:p w:rsidR="00556ED5" w:rsidRPr="0003106C" w:rsidRDefault="00556ED5" w:rsidP="00073024">
      <w:pPr>
        <w:ind w:right="-1" w:firstLine="426"/>
        <w:jc w:val="both"/>
        <w:rPr>
          <w:sz w:val="26"/>
          <w:szCs w:val="26"/>
        </w:rPr>
      </w:pPr>
    </w:p>
    <w:p w:rsidR="00073024" w:rsidRPr="0003106C" w:rsidRDefault="00073024" w:rsidP="00073024">
      <w:pPr>
        <w:keepNext/>
        <w:ind w:firstLine="567"/>
        <w:jc w:val="right"/>
        <w:rPr>
          <w:sz w:val="26"/>
          <w:szCs w:val="26"/>
        </w:rPr>
      </w:pPr>
      <w:r w:rsidRPr="0003106C">
        <w:rPr>
          <w:sz w:val="26"/>
          <w:szCs w:val="26"/>
        </w:rPr>
        <w:lastRenderedPageBreak/>
        <w:t>3.attēls</w:t>
      </w:r>
    </w:p>
    <w:p w:rsidR="00073024" w:rsidRPr="0003106C" w:rsidRDefault="00073024" w:rsidP="00073024">
      <w:pPr>
        <w:keepNext/>
        <w:spacing w:after="80"/>
        <w:ind w:firstLine="567"/>
        <w:jc w:val="center"/>
        <w:rPr>
          <w:b/>
          <w:sz w:val="26"/>
          <w:szCs w:val="26"/>
        </w:rPr>
      </w:pPr>
      <w:r w:rsidRPr="0003106C">
        <w:rPr>
          <w:b/>
          <w:sz w:val="26"/>
          <w:szCs w:val="26"/>
        </w:rPr>
        <w:t>Latvijas konkurētspēju raksturojošie rādītāji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03703C" w:rsidRPr="0003106C" w:rsidTr="004069F2">
        <w:tc>
          <w:tcPr>
            <w:tcW w:w="4643" w:type="dxa"/>
          </w:tcPr>
          <w:p w:rsidR="0003703C" w:rsidRPr="0003106C" w:rsidRDefault="0003703C" w:rsidP="004069F2">
            <w:pPr>
              <w:pStyle w:val="BodyText"/>
              <w:keepNext/>
              <w:spacing w:after="0"/>
              <w:jc w:val="center"/>
              <w:rPr>
                <w:szCs w:val="26"/>
              </w:rPr>
            </w:pPr>
            <w:r w:rsidRPr="0003106C">
              <w:rPr>
                <w:szCs w:val="26"/>
              </w:rPr>
              <w:t>Lata efektīvais valūtas kurss*</w:t>
            </w:r>
          </w:p>
          <w:p w:rsidR="0003703C" w:rsidRPr="0003106C" w:rsidRDefault="0003703C" w:rsidP="004069F2">
            <w:pPr>
              <w:keepNext/>
              <w:spacing w:after="60"/>
              <w:jc w:val="center"/>
              <w:rPr>
                <w:sz w:val="26"/>
                <w:szCs w:val="26"/>
              </w:rPr>
            </w:pPr>
            <w:r w:rsidRPr="0003106C">
              <w:rPr>
                <w:sz w:val="20"/>
                <w:szCs w:val="26"/>
              </w:rPr>
              <w:t>(2009. gada decembris =100)</w:t>
            </w:r>
          </w:p>
        </w:tc>
        <w:tc>
          <w:tcPr>
            <w:tcW w:w="3090" w:type="dxa"/>
          </w:tcPr>
          <w:p w:rsidR="0003703C" w:rsidRPr="0003106C" w:rsidRDefault="0003703C" w:rsidP="004069F2">
            <w:pPr>
              <w:keepNext/>
              <w:jc w:val="center"/>
              <w:rPr>
                <w:sz w:val="26"/>
                <w:szCs w:val="26"/>
              </w:rPr>
            </w:pPr>
            <w:r w:rsidRPr="0003106C">
              <w:rPr>
                <w:szCs w:val="26"/>
              </w:rPr>
              <w:t>Darbaspēka izmaksu izmaiņas Latvijā</w:t>
            </w:r>
          </w:p>
          <w:p w:rsidR="0003703C" w:rsidRPr="0003106C" w:rsidRDefault="0003703C" w:rsidP="004069F2">
            <w:pPr>
              <w:keepNext/>
              <w:spacing w:after="60"/>
              <w:jc w:val="center"/>
              <w:rPr>
                <w:sz w:val="26"/>
                <w:szCs w:val="26"/>
              </w:rPr>
            </w:pPr>
            <w:r w:rsidRPr="0003106C">
              <w:rPr>
                <w:sz w:val="20"/>
                <w:szCs w:val="26"/>
              </w:rPr>
              <w:t>(2007. gada 4. ceturksnis =100)</w:t>
            </w:r>
          </w:p>
        </w:tc>
      </w:tr>
      <w:tr w:rsidR="0003703C" w:rsidRPr="0003106C" w:rsidTr="004069F2">
        <w:tc>
          <w:tcPr>
            <w:tcW w:w="4643" w:type="dxa"/>
          </w:tcPr>
          <w:p w:rsidR="0003703C" w:rsidRPr="0003106C" w:rsidRDefault="0003703C" w:rsidP="004069F2">
            <w:pPr>
              <w:pStyle w:val="BodyText"/>
              <w:keepNext/>
              <w:spacing w:after="0"/>
              <w:jc w:val="center"/>
              <w:rPr>
                <w:sz w:val="26"/>
                <w:szCs w:val="26"/>
              </w:rPr>
            </w:pPr>
            <w:r w:rsidRPr="0003106C">
              <w:rPr>
                <w:noProof/>
                <w:sz w:val="26"/>
                <w:szCs w:val="26"/>
                <w:lang w:eastAsia="lv-LV"/>
              </w:rPr>
              <w:drawing>
                <wp:inline distT="0" distB="0" distL="0" distR="0" wp14:anchorId="3ED172C5" wp14:editId="042CD27A">
                  <wp:extent cx="2844000" cy="2083242"/>
                  <wp:effectExtent l="0" t="0" r="0" b="0"/>
                  <wp:docPr id="6" name="Object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090" w:type="dxa"/>
          </w:tcPr>
          <w:p w:rsidR="0003703C" w:rsidRPr="0003106C" w:rsidRDefault="0003703C" w:rsidP="004069F2">
            <w:pPr>
              <w:pStyle w:val="BodyText"/>
              <w:keepNext/>
              <w:spacing w:after="0"/>
              <w:jc w:val="center"/>
              <w:rPr>
                <w:sz w:val="26"/>
                <w:szCs w:val="26"/>
              </w:rPr>
            </w:pPr>
            <w:r w:rsidRPr="0003106C">
              <w:rPr>
                <w:noProof/>
                <w:sz w:val="26"/>
                <w:szCs w:val="26"/>
                <w:lang w:eastAsia="lv-LV"/>
              </w:rPr>
              <w:drawing>
                <wp:inline distT="0" distB="0" distL="0" distR="0" wp14:anchorId="46933CCE" wp14:editId="1990844E">
                  <wp:extent cx="2844000" cy="2083242"/>
                  <wp:effectExtent l="0" t="0" r="0" b="0"/>
                  <wp:docPr id="8" name="Object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3703C" w:rsidRPr="0003106C" w:rsidTr="004069F2">
        <w:tc>
          <w:tcPr>
            <w:tcW w:w="4643" w:type="dxa"/>
          </w:tcPr>
          <w:p w:rsidR="0003703C" w:rsidRPr="0003106C" w:rsidRDefault="0003703C" w:rsidP="004069F2">
            <w:pPr>
              <w:pStyle w:val="BodyText"/>
              <w:keepNext/>
              <w:spacing w:after="0"/>
              <w:ind w:left="567" w:hanging="141"/>
              <w:jc w:val="both"/>
              <w:rPr>
                <w:b/>
                <w:sz w:val="18"/>
                <w:szCs w:val="18"/>
              </w:rPr>
            </w:pPr>
            <w:r w:rsidRPr="0003106C">
              <w:rPr>
                <w:sz w:val="18"/>
                <w:szCs w:val="18"/>
              </w:rPr>
              <w:t>* Lata efektīvais valūtas kurss aprēķināts attiecībā pret galvenajām tirdzniecības partnervalstīm, reālais kurss aprēķināts, izmantojot patēriņa cenu indeksu.</w:t>
            </w:r>
          </w:p>
        </w:tc>
        <w:tc>
          <w:tcPr>
            <w:tcW w:w="3090" w:type="dxa"/>
          </w:tcPr>
          <w:p w:rsidR="0003703C" w:rsidRPr="0003106C" w:rsidRDefault="0003703C" w:rsidP="004069F2">
            <w:pPr>
              <w:pStyle w:val="BodyText"/>
              <w:keepNext/>
              <w:spacing w:after="0"/>
              <w:rPr>
                <w:b/>
                <w:sz w:val="18"/>
                <w:szCs w:val="18"/>
              </w:rPr>
            </w:pPr>
          </w:p>
        </w:tc>
      </w:tr>
    </w:tbl>
    <w:p w:rsidR="0003703C" w:rsidRPr="0003106C" w:rsidRDefault="0003703C" w:rsidP="0003703C">
      <w:pPr>
        <w:spacing w:before="60"/>
        <w:jc w:val="both"/>
        <w:rPr>
          <w:rFonts w:eastAsia="Calibri"/>
          <w:sz w:val="20"/>
          <w:szCs w:val="22"/>
        </w:rPr>
      </w:pPr>
      <w:r w:rsidRPr="0003106C">
        <w:rPr>
          <w:rFonts w:eastAsia="Calibri"/>
          <w:sz w:val="20"/>
          <w:szCs w:val="22"/>
        </w:rPr>
        <w:t>Avots: Latvijas Banka, EUROSTAT</w:t>
      </w:r>
    </w:p>
    <w:p w:rsidR="0003703C" w:rsidRPr="0003106C" w:rsidRDefault="0003703C" w:rsidP="0003703C">
      <w:pPr>
        <w:ind w:left="567" w:right="84" w:hanging="141"/>
        <w:jc w:val="both"/>
        <w:rPr>
          <w:sz w:val="20"/>
          <w:szCs w:val="20"/>
        </w:rPr>
      </w:pPr>
    </w:p>
    <w:p w:rsidR="0003703C" w:rsidRPr="0003106C" w:rsidRDefault="0003703C" w:rsidP="0003703C">
      <w:pPr>
        <w:ind w:firstLine="567"/>
        <w:jc w:val="both"/>
        <w:rPr>
          <w:sz w:val="26"/>
          <w:szCs w:val="26"/>
        </w:rPr>
      </w:pPr>
      <w:r w:rsidRPr="0003106C">
        <w:rPr>
          <w:sz w:val="26"/>
          <w:szCs w:val="26"/>
        </w:rPr>
        <w:t xml:space="preserve">Krīzes laikā mazinājās plaisa starp produktivitāti un darbaspēka izmaksām, kā rezultātā Latvijas konkurētspēja ārējos tirgos pakāpeniski uzlabojās. Nozīmīgās korekcijas darba tirgū bija 2009.gadā, kas ietekmēja gan darbaspēka produktivitātes, gan arī darbaspēka izmaksu dinamiku. </w:t>
      </w:r>
    </w:p>
    <w:p w:rsidR="0003703C" w:rsidRPr="0003106C" w:rsidRDefault="0003703C" w:rsidP="0003703C">
      <w:pPr>
        <w:ind w:firstLine="567"/>
        <w:jc w:val="both"/>
      </w:pPr>
      <w:r w:rsidRPr="0003106C">
        <w:rPr>
          <w:sz w:val="26"/>
          <w:szCs w:val="26"/>
        </w:rPr>
        <w:t>Darbaspēka vienības izmaksu un produktivitātes dinamika 2010.gada otrajā pusgadā un 2011.gadā liecina, ka straujās korekcijas periods ir beidzies un uz darbaspēka izmaksu samazināšanos balstītās konkurētspējas uzlabošanas iespējas ir izsmeltas. Tādēļ, lai turpmāk nodrošinātu Latvijas eksporta konkurētspēju, izšķiroša loma būs spējai palielināt produktivitāti, kvalitatīvi uzlabojot arī eksporta struktūru.</w:t>
      </w:r>
    </w:p>
    <w:p w:rsidR="0003703C" w:rsidRPr="0003106C" w:rsidRDefault="0003703C" w:rsidP="0003703C">
      <w:pPr>
        <w:pStyle w:val="ListParagraph"/>
        <w:spacing w:line="240" w:lineRule="auto"/>
        <w:ind w:left="0" w:firstLine="567"/>
        <w:contextualSpacing w:val="0"/>
        <w:jc w:val="both"/>
        <w:rPr>
          <w:rFonts w:ascii="Times New Roman" w:hAnsi="Times New Roman"/>
          <w:sz w:val="26"/>
          <w:szCs w:val="26"/>
        </w:rPr>
      </w:pPr>
      <w:r w:rsidRPr="0003106C">
        <w:rPr>
          <w:rFonts w:ascii="Times New Roman" w:hAnsi="Times New Roman"/>
          <w:sz w:val="26"/>
          <w:szCs w:val="26"/>
        </w:rPr>
        <w:t>Lai mazinātu darbaspēka nodokļu slogu un sekmētu ĀTI, Saeima 2012.gada 24.maijā pieņēma grozījumus likumā „Par Iedzīvotāju ienākuma nodokli”, kas paredz pakāpenisku iedzīvotāju ienākuma nodokļa likmes samazināšanu nākamajiem gadiem:</w:t>
      </w:r>
    </w:p>
    <w:p w:rsidR="0003703C" w:rsidRPr="0003106C" w:rsidRDefault="0003703C" w:rsidP="0003703C">
      <w:pPr>
        <w:pStyle w:val="ListParagraph"/>
        <w:numPr>
          <w:ilvl w:val="0"/>
          <w:numId w:val="43"/>
        </w:numPr>
        <w:tabs>
          <w:tab w:val="left" w:pos="993"/>
        </w:tabs>
        <w:spacing w:line="240" w:lineRule="auto"/>
        <w:ind w:left="350" w:firstLine="359"/>
        <w:contextualSpacing w:val="0"/>
        <w:jc w:val="both"/>
        <w:rPr>
          <w:rFonts w:ascii="Times New Roman" w:hAnsi="Times New Roman"/>
          <w:sz w:val="26"/>
          <w:szCs w:val="26"/>
        </w:rPr>
      </w:pPr>
      <w:r w:rsidRPr="0003106C">
        <w:rPr>
          <w:rFonts w:ascii="Times New Roman" w:hAnsi="Times New Roman"/>
          <w:sz w:val="26"/>
          <w:szCs w:val="26"/>
        </w:rPr>
        <w:t>par 2013.gada taksācijas periodu – 24%;</w:t>
      </w:r>
    </w:p>
    <w:p w:rsidR="0003703C" w:rsidRPr="0003106C" w:rsidRDefault="0003703C" w:rsidP="0003703C">
      <w:pPr>
        <w:pStyle w:val="ListParagraph"/>
        <w:numPr>
          <w:ilvl w:val="0"/>
          <w:numId w:val="43"/>
        </w:numPr>
        <w:tabs>
          <w:tab w:val="left" w:pos="993"/>
        </w:tabs>
        <w:spacing w:line="240" w:lineRule="auto"/>
        <w:ind w:left="350" w:firstLine="359"/>
        <w:contextualSpacing w:val="0"/>
        <w:jc w:val="both"/>
        <w:rPr>
          <w:rFonts w:ascii="Times New Roman" w:hAnsi="Times New Roman"/>
          <w:sz w:val="26"/>
          <w:szCs w:val="26"/>
        </w:rPr>
      </w:pPr>
      <w:r w:rsidRPr="0003106C">
        <w:rPr>
          <w:rFonts w:ascii="Times New Roman" w:hAnsi="Times New Roman"/>
          <w:sz w:val="26"/>
          <w:szCs w:val="26"/>
        </w:rPr>
        <w:t>par 2014.gada taksācijas periodu – 22%;</w:t>
      </w:r>
    </w:p>
    <w:p w:rsidR="0003703C" w:rsidRPr="0003106C" w:rsidRDefault="0003703C" w:rsidP="0003703C">
      <w:pPr>
        <w:pStyle w:val="ListParagraph"/>
        <w:numPr>
          <w:ilvl w:val="0"/>
          <w:numId w:val="43"/>
        </w:numPr>
        <w:tabs>
          <w:tab w:val="left" w:pos="993"/>
        </w:tabs>
        <w:spacing w:line="240" w:lineRule="auto"/>
        <w:ind w:left="350" w:firstLine="359"/>
        <w:contextualSpacing w:val="0"/>
        <w:jc w:val="both"/>
        <w:rPr>
          <w:rFonts w:ascii="Times New Roman" w:hAnsi="Times New Roman"/>
          <w:sz w:val="26"/>
          <w:szCs w:val="26"/>
        </w:rPr>
      </w:pPr>
      <w:r w:rsidRPr="0003106C">
        <w:rPr>
          <w:rFonts w:ascii="Times New Roman" w:hAnsi="Times New Roman"/>
          <w:sz w:val="26"/>
          <w:szCs w:val="26"/>
        </w:rPr>
        <w:t>no 2015.gada 1.janvāra un turpmāk – 20%.</w:t>
      </w:r>
    </w:p>
    <w:p w:rsidR="000C586C" w:rsidRPr="0003106C" w:rsidRDefault="000C586C" w:rsidP="00F97BAB">
      <w:pPr>
        <w:ind w:right="-1" w:firstLine="567"/>
        <w:jc w:val="both"/>
        <w:rPr>
          <w:b/>
          <w:sz w:val="26"/>
          <w:szCs w:val="26"/>
        </w:rPr>
      </w:pPr>
    </w:p>
    <w:p w:rsidR="00073024" w:rsidRPr="0003106C" w:rsidRDefault="00073024" w:rsidP="00F97BAB">
      <w:pPr>
        <w:ind w:right="-1" w:firstLine="567"/>
        <w:jc w:val="both"/>
        <w:rPr>
          <w:sz w:val="26"/>
          <w:szCs w:val="26"/>
        </w:rPr>
      </w:pPr>
      <w:r w:rsidRPr="0003106C">
        <w:rPr>
          <w:b/>
          <w:sz w:val="26"/>
          <w:szCs w:val="26"/>
        </w:rPr>
        <w:t>Latvijas eksporta struktūrā</w:t>
      </w:r>
      <w:r w:rsidRPr="0003106C">
        <w:rPr>
          <w:sz w:val="26"/>
          <w:szCs w:val="26"/>
        </w:rPr>
        <w:t xml:space="preserve"> </w:t>
      </w:r>
      <w:r w:rsidR="008925F7" w:rsidRPr="0003106C">
        <w:rPr>
          <w:sz w:val="26"/>
          <w:szCs w:val="26"/>
        </w:rPr>
        <w:t>ievērojamu</w:t>
      </w:r>
      <w:r w:rsidRPr="0003106C">
        <w:rPr>
          <w:sz w:val="26"/>
          <w:szCs w:val="26"/>
        </w:rPr>
        <w:t xml:space="preserve"> daļu veido pakalpojumi – caurmērā  1/3 no kopējā eksporta. Tas nozīmē, ka kopējos eksporta ienākumus būtiski ietekmē gan preču, gan pakalpojumu eksporta tirgi</w:t>
      </w:r>
      <w:r w:rsidR="0000120A" w:rsidRPr="0003106C">
        <w:rPr>
          <w:sz w:val="26"/>
          <w:szCs w:val="26"/>
        </w:rPr>
        <w:t>.</w:t>
      </w:r>
    </w:p>
    <w:p w:rsidR="00073024" w:rsidRPr="0003106C" w:rsidRDefault="00073024" w:rsidP="00073024">
      <w:pPr>
        <w:keepNext/>
        <w:ind w:firstLine="567"/>
        <w:jc w:val="right"/>
        <w:rPr>
          <w:sz w:val="26"/>
          <w:szCs w:val="26"/>
        </w:rPr>
      </w:pPr>
      <w:r w:rsidRPr="0003106C">
        <w:rPr>
          <w:sz w:val="26"/>
          <w:szCs w:val="26"/>
        </w:rPr>
        <w:lastRenderedPageBreak/>
        <w:t>4.attēls</w:t>
      </w:r>
    </w:p>
    <w:p w:rsidR="00073024" w:rsidRPr="0003106C" w:rsidRDefault="00073024" w:rsidP="00073024">
      <w:pPr>
        <w:keepNext/>
        <w:ind w:right="-142"/>
        <w:jc w:val="center"/>
      </w:pPr>
      <w:r w:rsidRPr="0003106C">
        <w:rPr>
          <w:b/>
          <w:sz w:val="26"/>
          <w:szCs w:val="26"/>
        </w:rPr>
        <w:t>Latvijas eksporta struktūra</w:t>
      </w:r>
      <w:r w:rsidRPr="0003106C">
        <w:rPr>
          <w:sz w:val="26"/>
          <w:szCs w:val="26"/>
        </w:rPr>
        <w:t xml:space="preserve">, </w:t>
      </w:r>
      <w:r w:rsidRPr="0003106C">
        <w:t>milj. latu</w:t>
      </w:r>
    </w:p>
    <w:p w:rsidR="000E6256" w:rsidRPr="0003106C" w:rsidRDefault="000E6256" w:rsidP="000E6256">
      <w:pPr>
        <w:jc w:val="center"/>
        <w:rPr>
          <w:rFonts w:eastAsia="Calibri"/>
          <w:sz w:val="22"/>
          <w:szCs w:val="22"/>
        </w:rPr>
      </w:pPr>
      <w:r w:rsidRPr="0003106C">
        <w:rPr>
          <w:noProof/>
          <w:lang w:eastAsia="lv-LV"/>
        </w:rPr>
        <w:drawing>
          <wp:inline distT="0" distB="0" distL="0" distR="0" wp14:anchorId="5830532A" wp14:editId="50F36040">
            <wp:extent cx="4029075" cy="2657475"/>
            <wp:effectExtent l="0" t="0" r="0" b="0"/>
            <wp:docPr id="10"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6256" w:rsidRPr="0003106C" w:rsidRDefault="000E6256" w:rsidP="000E6256">
      <w:pPr>
        <w:jc w:val="both"/>
        <w:rPr>
          <w:rFonts w:eastAsia="Calibri"/>
          <w:sz w:val="22"/>
          <w:szCs w:val="22"/>
        </w:rPr>
      </w:pPr>
      <w:r w:rsidRPr="0003106C">
        <w:rPr>
          <w:rFonts w:eastAsia="Calibri"/>
          <w:sz w:val="22"/>
          <w:szCs w:val="22"/>
        </w:rPr>
        <w:t>Avots: Latvijas Banka</w:t>
      </w:r>
    </w:p>
    <w:p w:rsidR="00073024" w:rsidRPr="0003106C" w:rsidRDefault="00073024" w:rsidP="00073024">
      <w:pPr>
        <w:pStyle w:val="NormalWeb"/>
        <w:spacing w:before="0" w:beforeAutospacing="0" w:after="0" w:afterAutospacing="0"/>
        <w:ind w:firstLine="709"/>
        <w:jc w:val="both"/>
        <w:rPr>
          <w:sz w:val="18"/>
          <w:szCs w:val="26"/>
        </w:rPr>
      </w:pPr>
    </w:p>
    <w:p w:rsidR="00073024" w:rsidRPr="0003106C" w:rsidRDefault="00073024" w:rsidP="00F97BAB">
      <w:pPr>
        <w:pStyle w:val="NormalWeb"/>
        <w:spacing w:before="0" w:beforeAutospacing="0" w:after="0" w:afterAutospacing="0"/>
        <w:ind w:firstLine="567"/>
        <w:jc w:val="both"/>
        <w:rPr>
          <w:sz w:val="26"/>
          <w:szCs w:val="26"/>
        </w:rPr>
      </w:pPr>
      <w:r w:rsidRPr="0003106C">
        <w:rPr>
          <w:sz w:val="26"/>
          <w:szCs w:val="26"/>
        </w:rPr>
        <w:t>Iepriekšējo gadu tendences liecina, ka preču un pakalp</w:t>
      </w:r>
      <w:r w:rsidR="00C45127" w:rsidRPr="0003106C">
        <w:rPr>
          <w:sz w:val="26"/>
          <w:szCs w:val="26"/>
        </w:rPr>
        <w:t>ojumu eksporta dinamika kopumā</w:t>
      </w:r>
      <w:r w:rsidRPr="0003106C">
        <w:rPr>
          <w:sz w:val="26"/>
          <w:szCs w:val="26"/>
        </w:rPr>
        <w:t xml:space="preserve"> ir līdzīga. Tomēr jāatzīmē, ka krīzes laikā 2008.-2009.gadā pakalpojumu eksports saruka mērenāk, taču arī atveseļošanās norit </w:t>
      </w:r>
      <w:r w:rsidR="00B43F80" w:rsidRPr="0003106C">
        <w:rPr>
          <w:sz w:val="26"/>
          <w:szCs w:val="26"/>
        </w:rPr>
        <w:t>lēnāk</w:t>
      </w:r>
      <w:r w:rsidRPr="0003106C">
        <w:rPr>
          <w:sz w:val="26"/>
          <w:szCs w:val="26"/>
        </w:rPr>
        <w:t xml:space="preserve"> nekā preču eksportam. Tas galvenokārt saistīts ar atšķirīgo partnervalstu struktūru. Lielākais Latvijas tirdzniecības partneris ir ES valstis – apmēram 70% no visām precēm tiek eksportētas uz ES dalībvalstīm. Savukārt pakalpojumu eksportā tikai 50% ir saistīti ar ES dalībvalstīm. Liela ir trešo valstu daļa Latvijas pakal</w:t>
      </w:r>
      <w:r w:rsidR="00C45127" w:rsidRPr="0003106C">
        <w:rPr>
          <w:sz w:val="26"/>
          <w:szCs w:val="26"/>
        </w:rPr>
        <w:t>pojumu eksportā un tā lielākoties</w:t>
      </w:r>
      <w:r w:rsidRPr="0003106C">
        <w:rPr>
          <w:sz w:val="26"/>
          <w:szCs w:val="26"/>
        </w:rPr>
        <w:t xml:space="preserve"> ir saistīta ar NVS valstu un</w:t>
      </w:r>
      <w:r w:rsidR="00A54EBF" w:rsidRPr="0003106C">
        <w:rPr>
          <w:sz w:val="26"/>
          <w:szCs w:val="26"/>
        </w:rPr>
        <w:t>,</w:t>
      </w:r>
      <w:r w:rsidRPr="0003106C">
        <w:rPr>
          <w:sz w:val="26"/>
          <w:szCs w:val="26"/>
        </w:rPr>
        <w:t xml:space="preserve"> galvenokārt</w:t>
      </w:r>
      <w:r w:rsidR="00A54EBF" w:rsidRPr="0003106C">
        <w:rPr>
          <w:sz w:val="26"/>
          <w:szCs w:val="26"/>
        </w:rPr>
        <w:t>,</w:t>
      </w:r>
      <w:r w:rsidRPr="0003106C">
        <w:rPr>
          <w:sz w:val="26"/>
          <w:szCs w:val="26"/>
        </w:rPr>
        <w:t xml:space="preserve"> Krievijas preču eksportu uz citām valstīm.</w:t>
      </w:r>
    </w:p>
    <w:p w:rsidR="00073024" w:rsidRPr="0003106C" w:rsidRDefault="00073024" w:rsidP="00F97BAB">
      <w:pPr>
        <w:pStyle w:val="NormalWeb"/>
        <w:spacing w:before="0" w:beforeAutospacing="0" w:after="0" w:afterAutospacing="0"/>
        <w:ind w:firstLine="567"/>
        <w:jc w:val="both"/>
        <w:rPr>
          <w:sz w:val="8"/>
          <w:szCs w:val="8"/>
        </w:rPr>
      </w:pPr>
    </w:p>
    <w:p w:rsidR="009962E5" w:rsidRPr="0003106C" w:rsidRDefault="009962E5" w:rsidP="00871528">
      <w:pPr>
        <w:pStyle w:val="NormalWeb"/>
        <w:spacing w:before="0" w:beforeAutospacing="0" w:after="0" w:afterAutospacing="0"/>
        <w:ind w:firstLine="567"/>
        <w:jc w:val="both"/>
        <w:rPr>
          <w:sz w:val="26"/>
          <w:szCs w:val="26"/>
        </w:rPr>
      </w:pPr>
    </w:p>
    <w:p w:rsidR="00871528" w:rsidRPr="0003106C" w:rsidRDefault="00871528" w:rsidP="00871528">
      <w:pPr>
        <w:pStyle w:val="NormalWeb"/>
        <w:spacing w:before="0" w:beforeAutospacing="0" w:after="0" w:afterAutospacing="0"/>
        <w:ind w:firstLine="567"/>
        <w:jc w:val="both"/>
        <w:rPr>
          <w:sz w:val="26"/>
          <w:szCs w:val="26"/>
        </w:rPr>
      </w:pPr>
      <w:r w:rsidRPr="0003106C">
        <w:rPr>
          <w:sz w:val="26"/>
          <w:szCs w:val="26"/>
        </w:rPr>
        <w:t xml:space="preserve">Pēdējā desmitgadē </w:t>
      </w:r>
      <w:r w:rsidRPr="0003106C">
        <w:rPr>
          <w:b/>
          <w:sz w:val="26"/>
          <w:szCs w:val="26"/>
        </w:rPr>
        <w:t>Latvijas preču eksporta diversifikācija</w:t>
      </w:r>
      <w:r w:rsidRPr="0003106C">
        <w:rPr>
          <w:sz w:val="26"/>
          <w:szCs w:val="26"/>
        </w:rPr>
        <w:t xml:space="preserve"> ir pieaugusi. Herfindāla indekss</w:t>
      </w:r>
      <w:r w:rsidRPr="0003106C">
        <w:rPr>
          <w:rStyle w:val="FootnoteReference"/>
          <w:sz w:val="26"/>
          <w:szCs w:val="26"/>
        </w:rPr>
        <w:footnoteReference w:id="9"/>
      </w:r>
      <w:r w:rsidRPr="0003106C">
        <w:rPr>
          <w:sz w:val="26"/>
          <w:szCs w:val="26"/>
        </w:rPr>
        <w:t xml:space="preserve"> </w:t>
      </w:r>
      <w:r w:rsidRPr="0003106C">
        <w:rPr>
          <w:i/>
          <w:iCs/>
          <w:sz w:val="26"/>
          <w:szCs w:val="26"/>
        </w:rPr>
        <w:t>(Herfindahl index)</w:t>
      </w:r>
      <w:r w:rsidRPr="0003106C">
        <w:rPr>
          <w:sz w:val="26"/>
          <w:szCs w:val="26"/>
        </w:rPr>
        <w:t xml:space="preserve"> laikposmā no 2000.-2012.gadam ir samazinājies no 15,7 līdz 5,7, liecinot par Latvijas eksporta preču klāsta daudzveidības palielināšanos. Divpadsmit gadu laikā preču eksporta struktūrā ievērojami samazinājies kokmateriālu īpatsvars, kā arī vieglās rūpniecības preču daļa. Savukārt pieaudzis lauksaimniecības un pārtikas preču, kā arī mašīnbūves produkcijas eksporta īpatsvars (skat. arī 2.pielikumu).</w:t>
      </w:r>
    </w:p>
    <w:p w:rsidR="00EA69AF" w:rsidRPr="0003106C" w:rsidRDefault="00EA69AF" w:rsidP="00EA69AF">
      <w:pPr>
        <w:keepNext/>
        <w:ind w:firstLine="567"/>
        <w:jc w:val="right"/>
        <w:rPr>
          <w:sz w:val="26"/>
          <w:szCs w:val="26"/>
        </w:rPr>
      </w:pPr>
      <w:r w:rsidRPr="0003106C">
        <w:rPr>
          <w:sz w:val="26"/>
          <w:szCs w:val="26"/>
        </w:rPr>
        <w:lastRenderedPageBreak/>
        <w:t>5.attēls</w:t>
      </w:r>
    </w:p>
    <w:p w:rsidR="00EA69AF" w:rsidRPr="0003106C" w:rsidRDefault="00EA69AF" w:rsidP="00EA69AF">
      <w:pPr>
        <w:pStyle w:val="NormalWeb"/>
        <w:keepNext/>
        <w:spacing w:before="0" w:beforeAutospacing="0" w:after="0" w:afterAutospacing="0"/>
        <w:ind w:right="-142"/>
        <w:jc w:val="center"/>
        <w:rPr>
          <w:bCs/>
          <w:sz w:val="26"/>
          <w:szCs w:val="26"/>
        </w:rPr>
      </w:pPr>
      <w:r w:rsidRPr="0003106C">
        <w:rPr>
          <w:b/>
          <w:bCs/>
          <w:sz w:val="26"/>
          <w:szCs w:val="26"/>
        </w:rPr>
        <w:t>Preču eksport</w:t>
      </w:r>
      <w:r w:rsidR="0049140A" w:rsidRPr="0003106C">
        <w:rPr>
          <w:b/>
          <w:bCs/>
          <w:sz w:val="26"/>
          <w:szCs w:val="26"/>
        </w:rPr>
        <w:t>a</w:t>
      </w:r>
      <w:r w:rsidRPr="0003106C">
        <w:rPr>
          <w:b/>
          <w:bCs/>
          <w:sz w:val="26"/>
          <w:szCs w:val="26"/>
        </w:rPr>
        <w:t xml:space="preserve"> struktūra sadalījumā pa galvenajām preču eksporta grupām</w:t>
      </w:r>
      <w:r w:rsidRPr="0003106C">
        <w:rPr>
          <w:bCs/>
          <w:sz w:val="26"/>
          <w:szCs w:val="26"/>
        </w:rPr>
        <w:t>, %</w:t>
      </w:r>
    </w:p>
    <w:p w:rsidR="00EA69AF" w:rsidRPr="0003106C" w:rsidRDefault="00EA69AF" w:rsidP="00EA69AF">
      <w:pPr>
        <w:pStyle w:val="NormalWeb"/>
        <w:keepNext/>
        <w:spacing w:before="0" w:beforeAutospacing="0" w:after="0" w:afterAutospacing="0"/>
        <w:ind w:right="-142"/>
        <w:jc w:val="center"/>
        <w:rPr>
          <w:bCs/>
          <w:sz w:val="26"/>
          <w:szCs w:val="26"/>
        </w:rPr>
      </w:pPr>
    </w:p>
    <w:p w:rsidR="00EA69AF" w:rsidRPr="0003106C" w:rsidRDefault="00EA69AF" w:rsidP="00EA69AF">
      <w:pPr>
        <w:pStyle w:val="NormalWeb"/>
        <w:keepNext/>
        <w:spacing w:before="0" w:beforeAutospacing="0" w:after="0" w:afterAutospacing="0"/>
        <w:ind w:right="-142"/>
        <w:jc w:val="center"/>
        <w:rPr>
          <w:bCs/>
          <w:sz w:val="26"/>
          <w:szCs w:val="26"/>
        </w:rPr>
      </w:pPr>
    </w:p>
    <w:p w:rsidR="00EA69AF" w:rsidRPr="0003106C" w:rsidRDefault="00EA69AF" w:rsidP="00EA69AF">
      <w:pPr>
        <w:pStyle w:val="NormalWeb"/>
        <w:keepNext/>
        <w:spacing w:before="0" w:beforeAutospacing="0" w:after="0" w:afterAutospacing="0"/>
        <w:ind w:right="-142"/>
        <w:jc w:val="center"/>
        <w:rPr>
          <w:sz w:val="26"/>
          <w:szCs w:val="26"/>
        </w:rPr>
      </w:pPr>
      <w:r w:rsidRPr="0003106C">
        <w:rPr>
          <w:noProof/>
          <w:sz w:val="28"/>
          <w:lang w:eastAsia="lv-LV"/>
        </w:rPr>
        <w:drawing>
          <wp:inline distT="0" distB="0" distL="0" distR="0" wp14:anchorId="23C069F8" wp14:editId="27AE0618">
            <wp:extent cx="5486400" cy="2178657"/>
            <wp:effectExtent l="0" t="0" r="0" b="0"/>
            <wp:docPr id="12"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69AF" w:rsidRPr="0003106C" w:rsidRDefault="00EA69AF" w:rsidP="00EA69AF">
      <w:pPr>
        <w:jc w:val="both"/>
        <w:rPr>
          <w:rFonts w:eastAsia="Calibri"/>
          <w:sz w:val="22"/>
          <w:szCs w:val="22"/>
        </w:rPr>
      </w:pPr>
      <w:r w:rsidRPr="0003106C">
        <w:rPr>
          <w:rFonts w:eastAsia="Calibri"/>
          <w:sz w:val="22"/>
          <w:szCs w:val="22"/>
        </w:rPr>
        <w:t>Avots: CSP</w:t>
      </w:r>
    </w:p>
    <w:p w:rsidR="00073024" w:rsidRPr="0003106C" w:rsidRDefault="00073024" w:rsidP="00073024">
      <w:pPr>
        <w:ind w:firstLine="426"/>
        <w:jc w:val="both"/>
        <w:rPr>
          <w:sz w:val="8"/>
          <w:szCs w:val="8"/>
        </w:rPr>
      </w:pPr>
    </w:p>
    <w:p w:rsidR="00073024" w:rsidRPr="0003106C" w:rsidRDefault="00073024" w:rsidP="003319A6">
      <w:pPr>
        <w:ind w:firstLine="567"/>
        <w:jc w:val="both"/>
        <w:rPr>
          <w:sz w:val="26"/>
          <w:szCs w:val="26"/>
        </w:rPr>
      </w:pPr>
      <w:r w:rsidRPr="0003106C">
        <w:rPr>
          <w:sz w:val="26"/>
          <w:szCs w:val="26"/>
        </w:rPr>
        <w:t xml:space="preserve">Valsts eksporta struktūras raksturojošais rādītājs </w:t>
      </w:r>
      <w:r w:rsidRPr="0003106C">
        <w:rPr>
          <w:i/>
          <w:sz w:val="26"/>
          <w:szCs w:val="26"/>
        </w:rPr>
        <w:t>EXPY</w:t>
      </w:r>
      <w:r w:rsidRPr="0003106C">
        <w:rPr>
          <w:rStyle w:val="FootnoteReference"/>
          <w:i/>
          <w:sz w:val="26"/>
          <w:szCs w:val="26"/>
        </w:rPr>
        <w:footnoteReference w:id="10"/>
      </w:r>
      <w:r w:rsidRPr="0003106C">
        <w:rPr>
          <w:sz w:val="26"/>
          <w:szCs w:val="26"/>
        </w:rPr>
        <w:t xml:space="preserve"> liecina, ka </w:t>
      </w:r>
      <w:r w:rsidR="00B54F6D" w:rsidRPr="0003106C">
        <w:rPr>
          <w:sz w:val="26"/>
          <w:szCs w:val="26"/>
        </w:rPr>
        <w:t>laika posmā no 2000.gada līdz 2004.gadam Latvij</w:t>
      </w:r>
      <w:r w:rsidR="00D906E4" w:rsidRPr="0003106C">
        <w:rPr>
          <w:sz w:val="26"/>
          <w:szCs w:val="26"/>
        </w:rPr>
        <w:t>as eksporta komplicētība samazinā</w:t>
      </w:r>
      <w:r w:rsidR="00B54F6D" w:rsidRPr="0003106C">
        <w:rPr>
          <w:sz w:val="26"/>
          <w:szCs w:val="26"/>
        </w:rPr>
        <w:t xml:space="preserve">jās, savukārt </w:t>
      </w:r>
      <w:r w:rsidR="00D906E4" w:rsidRPr="0003106C">
        <w:rPr>
          <w:sz w:val="26"/>
          <w:szCs w:val="26"/>
        </w:rPr>
        <w:t>l</w:t>
      </w:r>
      <w:r w:rsidR="0091475E" w:rsidRPr="0003106C">
        <w:rPr>
          <w:sz w:val="26"/>
          <w:szCs w:val="26"/>
        </w:rPr>
        <w:t>aika posmā no 2006.</w:t>
      </w:r>
      <w:r w:rsidR="00EE5FD3" w:rsidRPr="0003106C">
        <w:rPr>
          <w:sz w:val="26"/>
          <w:szCs w:val="26"/>
        </w:rPr>
        <w:t xml:space="preserve">-2009.gadam eksporta </w:t>
      </w:r>
      <w:r w:rsidRPr="0003106C">
        <w:rPr>
          <w:sz w:val="26"/>
          <w:szCs w:val="26"/>
        </w:rPr>
        <w:t>komplicētība</w:t>
      </w:r>
      <w:r w:rsidR="00EE5FD3" w:rsidRPr="0003106C">
        <w:rPr>
          <w:sz w:val="26"/>
          <w:szCs w:val="26"/>
        </w:rPr>
        <w:t xml:space="preserve">s līmenis ir </w:t>
      </w:r>
      <w:r w:rsidR="00B54F6D" w:rsidRPr="0003106C">
        <w:rPr>
          <w:sz w:val="26"/>
          <w:szCs w:val="26"/>
        </w:rPr>
        <w:t>ievērojami</w:t>
      </w:r>
      <w:r w:rsidR="00EE5FD3" w:rsidRPr="0003106C">
        <w:rPr>
          <w:sz w:val="26"/>
          <w:szCs w:val="26"/>
        </w:rPr>
        <w:t xml:space="preserve"> palielinājies</w:t>
      </w:r>
      <w:r w:rsidR="00B54F6D" w:rsidRPr="0003106C">
        <w:rPr>
          <w:sz w:val="26"/>
          <w:szCs w:val="26"/>
        </w:rPr>
        <w:t xml:space="preserve"> – no 0,93 uz 1</w:t>
      </w:r>
      <w:r w:rsidR="003319A6" w:rsidRPr="0003106C">
        <w:rPr>
          <w:sz w:val="26"/>
          <w:szCs w:val="26"/>
        </w:rPr>
        <w:t>,</w:t>
      </w:r>
      <w:r w:rsidR="00B54F6D" w:rsidRPr="0003106C">
        <w:rPr>
          <w:sz w:val="26"/>
          <w:szCs w:val="26"/>
        </w:rPr>
        <w:t>089 punktiem, kas ir augstākā EXPY indeksa vērtība laika posmā 1995.-2009.gads</w:t>
      </w:r>
      <w:r w:rsidR="00EE5FD3" w:rsidRPr="0003106C">
        <w:rPr>
          <w:sz w:val="26"/>
          <w:szCs w:val="26"/>
        </w:rPr>
        <w:t xml:space="preserve">. Tomēr Latvija </w:t>
      </w:r>
      <w:r w:rsidR="003319A6" w:rsidRPr="0003106C">
        <w:rPr>
          <w:sz w:val="26"/>
          <w:szCs w:val="26"/>
        </w:rPr>
        <w:t>ir</w:t>
      </w:r>
      <w:r w:rsidR="00EE5FD3" w:rsidRPr="0003106C">
        <w:rPr>
          <w:sz w:val="26"/>
          <w:szCs w:val="26"/>
        </w:rPr>
        <w:t xml:space="preserve"> to valstu grupā (k</w:t>
      </w:r>
      <w:r w:rsidR="00C4569F" w:rsidRPr="0003106C">
        <w:rPr>
          <w:sz w:val="26"/>
          <w:szCs w:val="26"/>
        </w:rPr>
        <w:t>opā ar Lietuvu un</w:t>
      </w:r>
      <w:r w:rsidR="00EE5FD3" w:rsidRPr="0003106C">
        <w:rPr>
          <w:sz w:val="26"/>
          <w:szCs w:val="26"/>
        </w:rPr>
        <w:t xml:space="preserve"> Rumāniju), kuru eksporta komplicētības līmenis aizvien atpaliek no pārējām reģiona valstīm</w:t>
      </w:r>
      <w:r w:rsidRPr="0003106C">
        <w:rPr>
          <w:rStyle w:val="FootnoteReference"/>
          <w:sz w:val="26"/>
          <w:szCs w:val="26"/>
        </w:rPr>
        <w:footnoteReference w:id="11"/>
      </w:r>
      <w:r w:rsidR="003319A6" w:rsidRPr="0003106C">
        <w:rPr>
          <w:sz w:val="26"/>
          <w:szCs w:val="26"/>
        </w:rPr>
        <w:t>.</w:t>
      </w:r>
      <w:r w:rsidRPr="0003106C">
        <w:rPr>
          <w:sz w:val="26"/>
          <w:szCs w:val="26"/>
        </w:rPr>
        <w:t xml:space="preserve"> Lai palielinātu Latvijas eksporta struktūras komplicētību, jāattīsta to preču ražošana, kurās ietvertais ienākumu līmenis pārsniedz pašreizējo eksporta preču groza vidējo svērto vērtību</w:t>
      </w:r>
      <w:r w:rsidRPr="0003106C">
        <w:rPr>
          <w:rStyle w:val="FootnoteReference"/>
          <w:sz w:val="26"/>
          <w:szCs w:val="26"/>
        </w:rPr>
        <w:footnoteReference w:id="12"/>
      </w:r>
      <w:r w:rsidRPr="0003106C">
        <w:rPr>
          <w:sz w:val="26"/>
          <w:szCs w:val="26"/>
        </w:rPr>
        <w:t>.</w:t>
      </w:r>
    </w:p>
    <w:p w:rsidR="00666C6D" w:rsidRPr="0003106C" w:rsidRDefault="00666C6D" w:rsidP="00A5351A">
      <w:pPr>
        <w:ind w:firstLine="567"/>
        <w:jc w:val="both"/>
        <w:rPr>
          <w:sz w:val="26"/>
          <w:szCs w:val="26"/>
        </w:rPr>
      </w:pPr>
      <w:r w:rsidRPr="0003106C">
        <w:rPr>
          <w:sz w:val="26"/>
          <w:szCs w:val="26"/>
        </w:rPr>
        <w:t>Eksporta struktūras kvalitāti raksturo tāds rādītājs kā augsto un vidēji augsto tehnoloģiju produktu īpatsvars kopējā eksportā.</w:t>
      </w:r>
      <w:r w:rsidRPr="0003106C">
        <w:rPr>
          <w:b/>
          <w:sz w:val="26"/>
          <w:szCs w:val="26"/>
        </w:rPr>
        <w:t xml:space="preserve"> </w:t>
      </w:r>
      <w:r w:rsidRPr="0003106C">
        <w:rPr>
          <w:sz w:val="26"/>
          <w:szCs w:val="26"/>
        </w:rPr>
        <w:t>2010.gadā augsto tehnoloģiju īpatsvars kopējā eksportā bija salīdzinoši zems – 10,9%</w:t>
      </w:r>
      <w:r w:rsidR="00A5351A" w:rsidRPr="0003106C">
        <w:rPr>
          <w:rStyle w:val="FootnoteReference"/>
          <w:sz w:val="26"/>
          <w:szCs w:val="26"/>
        </w:rPr>
        <w:footnoteReference w:id="13"/>
      </w:r>
      <w:r w:rsidRPr="0003106C">
        <w:rPr>
          <w:sz w:val="26"/>
          <w:szCs w:val="26"/>
        </w:rPr>
        <w:t xml:space="preserve"> (2009.gadā – 11%). Savukārt vidēji augsto tehnoloģiju produktu īpatsvars kopējā eksportā 2010.gadā veidoja 14,5% (2009.gadā – 12,5%).</w:t>
      </w:r>
      <w:r w:rsidRPr="0003106C">
        <w:t xml:space="preserve"> </w:t>
      </w:r>
      <w:r w:rsidRPr="0003106C">
        <w:rPr>
          <w:sz w:val="26"/>
          <w:szCs w:val="26"/>
        </w:rPr>
        <w:t>2010.gadā lielākie augsto un vidēji augsto tehnoloģiju produktu eksporta tirgi bija Lietuva (attiecīgi, 33,9% un 18,07% no kopējā augsto un vidēji augsto tehnoloģiju produktu eksporta), Igaunija (16,6% un 19,1%), Krievija (12,9% un 16,4%), Baltkrievija (3,4% un 4 %), Itālija (4,1 % un 3,4%), Ukraina (3,8% un 1%) un ASV (2,9% un 1,8%).</w:t>
      </w:r>
    </w:p>
    <w:p w:rsidR="007402BC" w:rsidRPr="0003106C" w:rsidRDefault="007402BC" w:rsidP="007402BC">
      <w:pPr>
        <w:ind w:firstLine="567"/>
        <w:jc w:val="both"/>
        <w:rPr>
          <w:sz w:val="26"/>
          <w:szCs w:val="26"/>
        </w:rPr>
      </w:pPr>
      <w:r w:rsidRPr="0003106C">
        <w:rPr>
          <w:sz w:val="26"/>
          <w:szCs w:val="26"/>
        </w:rPr>
        <w:t xml:space="preserve">Produktu ar augstāku pievienoto vērtību ražošanai būtisks ir inovāciju, pētniecības un attīstības līmenis. Saskaņā ar </w:t>
      </w:r>
      <w:r w:rsidRPr="0003106C">
        <w:rPr>
          <w:i/>
          <w:iCs/>
          <w:sz w:val="26"/>
          <w:szCs w:val="26"/>
        </w:rPr>
        <w:t>CSP</w:t>
      </w:r>
      <w:r w:rsidRPr="0003106C">
        <w:rPr>
          <w:sz w:val="26"/>
          <w:szCs w:val="26"/>
        </w:rPr>
        <w:t xml:space="preserve"> datiem laika posmā no 2008. līdz 2010.gadam Latvijā vidēji 30% no uzņēmumiem bija inovatīvi (apsekojuma periodā par 2006.-2008.gadu – 24,3%), savukārt, ES valstīs šis rādītājs vidēji veido 52% (2006.-2008.gads; </w:t>
      </w:r>
      <w:r w:rsidRPr="0003106C">
        <w:rPr>
          <w:i/>
          <w:sz w:val="26"/>
          <w:szCs w:val="26"/>
        </w:rPr>
        <w:t>Eurostat</w:t>
      </w:r>
      <w:r w:rsidRPr="0003106C">
        <w:rPr>
          <w:sz w:val="26"/>
          <w:szCs w:val="26"/>
        </w:rPr>
        <w:t>). 2013.gadā publicētajā „</w:t>
      </w:r>
      <w:r w:rsidRPr="0003106C">
        <w:rPr>
          <w:i/>
          <w:iCs/>
          <w:sz w:val="26"/>
          <w:szCs w:val="26"/>
        </w:rPr>
        <w:t>Innovation Union Scoreboard</w:t>
      </w:r>
      <w:r w:rsidRPr="0003106C">
        <w:rPr>
          <w:sz w:val="26"/>
          <w:szCs w:val="26"/>
        </w:rPr>
        <w:t>” pētījumā par 2012.gadu</w:t>
      </w:r>
      <w:r w:rsidRPr="0003106C">
        <w:rPr>
          <w:rStyle w:val="FootnoteReference"/>
          <w:sz w:val="26"/>
          <w:szCs w:val="26"/>
        </w:rPr>
        <w:footnoteReference w:id="14"/>
      </w:r>
      <w:r w:rsidRPr="0003106C">
        <w:rPr>
          <w:sz w:val="26"/>
          <w:szCs w:val="26"/>
        </w:rPr>
        <w:t xml:space="preserve"> starp 27 pētījumā iekļautajām valstīm Latvija ierindota 25.vietā. Vērtējot plašu rādītāju loku astoņās inovācijas attīstībai būtiskās jomās – </w:t>
      </w:r>
      <w:r w:rsidRPr="0003106C">
        <w:rPr>
          <w:sz w:val="26"/>
          <w:szCs w:val="26"/>
        </w:rPr>
        <w:lastRenderedPageBreak/>
        <w:t>cilvēkresursi, pētniecības vides atvērtība, ekselence un pievilcība, finansējums un atbalsts, uzņēmumu investīcijas, uzņēmumu sadarbība un uzņēmējdarbība, intelektuālais īpašums, inovācijas aktivitāte, ekonomiskie efekti, var secināt, ka salīdzinoši labāki rādītāji Latvijai ir cilvēkresursu attīstības jomā, kā arī finansējuma un atbalsta jomā. Latvijas vērtējums uzlabojies arī intelektuālā īpašuma rādītājā, kā arī jomās, kas raksturo inovatīvo uzņēmumu attīstību un uzņēmumu sadarbību. Joprojām zemāki ir pētniecības vides, uzņēmumu investīciju un ekonomisko efektu rādītāji.</w:t>
      </w:r>
    </w:p>
    <w:p w:rsidR="000D15C4" w:rsidRPr="0003106C" w:rsidRDefault="000D15C4" w:rsidP="000D15C4">
      <w:pPr>
        <w:ind w:firstLine="567"/>
        <w:jc w:val="both"/>
        <w:rPr>
          <w:sz w:val="26"/>
          <w:szCs w:val="26"/>
        </w:rPr>
      </w:pPr>
      <w:r w:rsidRPr="0003106C">
        <w:rPr>
          <w:sz w:val="26"/>
          <w:szCs w:val="26"/>
        </w:rPr>
        <w:t xml:space="preserve">Attiecībā uz </w:t>
      </w:r>
      <w:r w:rsidRPr="0003106C">
        <w:rPr>
          <w:b/>
          <w:bCs/>
          <w:sz w:val="26"/>
          <w:szCs w:val="26"/>
        </w:rPr>
        <w:t>pakalpojumu eksporta struktūru</w:t>
      </w:r>
      <w:r w:rsidRPr="0003106C">
        <w:rPr>
          <w:sz w:val="26"/>
          <w:szCs w:val="26"/>
        </w:rPr>
        <w:t xml:space="preserve"> jāatzīmē, ka diversifikācijas pakāpe ir salīdzinoši mazāka nekā precēm un aptuveni pusi no pakalpojumu eksporta veido pārvadājumi, kas savukārt lielā mērā ir saistīti ar ostu pakalpojumiem (skat. arī 2.pielikumu). </w:t>
      </w:r>
    </w:p>
    <w:p w:rsidR="00261B49" w:rsidRPr="0003106C" w:rsidRDefault="00261B49" w:rsidP="00261B49">
      <w:pPr>
        <w:ind w:firstLine="567"/>
        <w:jc w:val="both"/>
        <w:rPr>
          <w:sz w:val="26"/>
          <w:szCs w:val="26"/>
        </w:rPr>
      </w:pPr>
      <w:r w:rsidRPr="0003106C">
        <w:rPr>
          <w:sz w:val="26"/>
          <w:szCs w:val="26"/>
        </w:rPr>
        <w:t>Latvijas transporta infrastruktūras pieejamīb</w:t>
      </w:r>
      <w:r w:rsidR="0049140A" w:rsidRPr="0003106C">
        <w:rPr>
          <w:sz w:val="26"/>
          <w:szCs w:val="26"/>
        </w:rPr>
        <w:t>u</w:t>
      </w:r>
      <w:r w:rsidRPr="0003106C">
        <w:rPr>
          <w:sz w:val="26"/>
          <w:szCs w:val="26"/>
        </w:rPr>
        <w:t xml:space="preserve"> un loģistikas kvalitāti raksturo  Pasaules </w:t>
      </w:r>
      <w:r w:rsidR="00DA3649" w:rsidRPr="0003106C">
        <w:rPr>
          <w:sz w:val="26"/>
          <w:szCs w:val="26"/>
        </w:rPr>
        <w:t>B</w:t>
      </w:r>
      <w:r w:rsidRPr="0003106C">
        <w:rPr>
          <w:sz w:val="26"/>
          <w:szCs w:val="26"/>
        </w:rPr>
        <w:t xml:space="preserve">ankas </w:t>
      </w:r>
      <w:r w:rsidRPr="0003106C">
        <w:rPr>
          <w:i/>
          <w:iCs/>
          <w:sz w:val="26"/>
          <w:szCs w:val="26"/>
        </w:rPr>
        <w:t xml:space="preserve">Logistics Performance Index, </w:t>
      </w:r>
      <w:r w:rsidRPr="0003106C">
        <w:rPr>
          <w:sz w:val="26"/>
          <w:szCs w:val="26"/>
        </w:rPr>
        <w:t>kurā  apkopoti 155 pasaules valstu rādītāji sešos nozīmīgākajos loģistikas aspektos: muitas procedūru efektivitāte, ar tirdzniecību un transportu saistītās infrastruktūras kvalitāte, spēja nodrošināt preču sūtījumus par konkurētspējīgām cenām, loģistikas pakalpojumu sniedzēju kompetence un kvalitāte, spēja uzraudzīt un izsekot sūtījumus, regularitāte ar kādu sūtījumi sasniedz preču saņēmēju paredzētajā laikā (</w:t>
      </w:r>
      <w:r w:rsidR="00BD22C7" w:rsidRPr="0003106C">
        <w:rPr>
          <w:sz w:val="26"/>
          <w:szCs w:val="26"/>
        </w:rPr>
        <w:t>v</w:t>
      </w:r>
      <w:r w:rsidRPr="0003106C">
        <w:rPr>
          <w:sz w:val="26"/>
          <w:szCs w:val="26"/>
        </w:rPr>
        <w:t>alstīm konkrētie loģistikas aspekti tiek vērtēti punktu skalā no 1 līdz 5, kur 5 ir augstākais vērtējums). 201</w:t>
      </w:r>
      <w:r w:rsidR="00543122" w:rsidRPr="0003106C">
        <w:rPr>
          <w:sz w:val="26"/>
          <w:szCs w:val="26"/>
        </w:rPr>
        <w:t>2</w:t>
      </w:r>
      <w:r w:rsidRPr="0003106C">
        <w:rPr>
          <w:sz w:val="26"/>
          <w:szCs w:val="26"/>
        </w:rPr>
        <w:t xml:space="preserve">.gada </w:t>
      </w:r>
      <w:r w:rsidRPr="0003106C">
        <w:rPr>
          <w:i/>
          <w:iCs/>
          <w:sz w:val="26"/>
          <w:szCs w:val="26"/>
        </w:rPr>
        <w:t xml:space="preserve">Logistics Performance Index </w:t>
      </w:r>
      <w:r w:rsidRPr="0003106C">
        <w:rPr>
          <w:sz w:val="26"/>
          <w:szCs w:val="26"/>
        </w:rPr>
        <w:t xml:space="preserve"> Latvija ieņem </w:t>
      </w:r>
      <w:r w:rsidR="00543122" w:rsidRPr="0003106C">
        <w:rPr>
          <w:sz w:val="26"/>
          <w:szCs w:val="26"/>
        </w:rPr>
        <w:t>76</w:t>
      </w:r>
      <w:r w:rsidRPr="0003106C">
        <w:rPr>
          <w:sz w:val="26"/>
          <w:szCs w:val="26"/>
        </w:rPr>
        <w:t xml:space="preserve">.vietu </w:t>
      </w:r>
      <w:r w:rsidR="00543122" w:rsidRPr="0003106C">
        <w:rPr>
          <w:sz w:val="26"/>
          <w:szCs w:val="26"/>
        </w:rPr>
        <w:t xml:space="preserve">(2010.gadā – 37.vieta) </w:t>
      </w:r>
      <w:r w:rsidRPr="0003106C">
        <w:rPr>
          <w:sz w:val="26"/>
          <w:szCs w:val="26"/>
        </w:rPr>
        <w:t>kopējā valstu reitingu tabulā (Lietuva</w:t>
      </w:r>
      <w:r w:rsidR="00BD22C7" w:rsidRPr="0003106C">
        <w:rPr>
          <w:sz w:val="26"/>
          <w:szCs w:val="26"/>
        </w:rPr>
        <w:t xml:space="preserve"> –</w:t>
      </w:r>
      <w:r w:rsidRPr="0003106C">
        <w:rPr>
          <w:sz w:val="26"/>
          <w:szCs w:val="26"/>
        </w:rPr>
        <w:t xml:space="preserve"> </w:t>
      </w:r>
      <w:r w:rsidR="00543122" w:rsidRPr="0003106C">
        <w:rPr>
          <w:sz w:val="26"/>
          <w:szCs w:val="26"/>
        </w:rPr>
        <w:t>58</w:t>
      </w:r>
      <w:r w:rsidRPr="0003106C">
        <w:rPr>
          <w:sz w:val="26"/>
          <w:szCs w:val="26"/>
        </w:rPr>
        <w:t>.vieta, Igaunija</w:t>
      </w:r>
      <w:r w:rsidR="00BD22C7" w:rsidRPr="0003106C">
        <w:rPr>
          <w:sz w:val="26"/>
          <w:szCs w:val="26"/>
        </w:rPr>
        <w:t xml:space="preserve"> –</w:t>
      </w:r>
      <w:r w:rsidRPr="0003106C">
        <w:rPr>
          <w:sz w:val="26"/>
          <w:szCs w:val="26"/>
        </w:rPr>
        <w:t xml:space="preserve"> </w:t>
      </w:r>
      <w:r w:rsidR="00543122" w:rsidRPr="0003106C">
        <w:rPr>
          <w:sz w:val="26"/>
          <w:szCs w:val="26"/>
        </w:rPr>
        <w:t>65</w:t>
      </w:r>
      <w:r w:rsidRPr="0003106C">
        <w:rPr>
          <w:sz w:val="26"/>
          <w:szCs w:val="26"/>
        </w:rPr>
        <w:t>.vieta). Viszemākais rādītājs Latvijai (2,</w:t>
      </w:r>
      <w:r w:rsidR="00543122" w:rsidRPr="0003106C">
        <w:rPr>
          <w:sz w:val="26"/>
          <w:szCs w:val="26"/>
        </w:rPr>
        <w:t>52</w:t>
      </w:r>
      <w:r w:rsidRPr="0003106C">
        <w:rPr>
          <w:sz w:val="26"/>
          <w:szCs w:val="26"/>
        </w:rPr>
        <w:t xml:space="preserve">) ir ar tirdzniecību un transportu saistītās infrastruktūras kvalitātes rādītājā, kam seko </w:t>
      </w:r>
      <w:r w:rsidR="00543122" w:rsidRPr="0003106C">
        <w:rPr>
          <w:sz w:val="26"/>
          <w:szCs w:val="26"/>
        </w:rPr>
        <w:t xml:space="preserve">loģistikas pakalpojumu sniedzēju kompetence un kvalitāte (2,64), </w:t>
      </w:r>
      <w:r w:rsidRPr="0003106C">
        <w:rPr>
          <w:sz w:val="26"/>
          <w:szCs w:val="26"/>
        </w:rPr>
        <w:t>muitas procedūru efektivitāte (2,</w:t>
      </w:r>
      <w:r w:rsidR="00543122" w:rsidRPr="0003106C">
        <w:rPr>
          <w:sz w:val="26"/>
          <w:szCs w:val="26"/>
        </w:rPr>
        <w:t>71</w:t>
      </w:r>
      <w:r w:rsidR="0050536D" w:rsidRPr="0003106C">
        <w:rPr>
          <w:sz w:val="26"/>
          <w:szCs w:val="26"/>
        </w:rPr>
        <w:t xml:space="preserve">) </w:t>
      </w:r>
      <w:r w:rsidRPr="0003106C">
        <w:rPr>
          <w:sz w:val="26"/>
          <w:szCs w:val="26"/>
        </w:rPr>
        <w:t>un</w:t>
      </w:r>
      <w:r w:rsidR="00E37ABE" w:rsidRPr="0003106C">
        <w:rPr>
          <w:sz w:val="26"/>
          <w:szCs w:val="26"/>
        </w:rPr>
        <w:t xml:space="preserve"> </w:t>
      </w:r>
      <w:r w:rsidR="00EF61B1" w:rsidRPr="0003106C">
        <w:rPr>
          <w:sz w:val="26"/>
          <w:szCs w:val="26"/>
        </w:rPr>
        <w:t>spēja</w:t>
      </w:r>
      <w:r w:rsidR="00543122" w:rsidRPr="0003106C">
        <w:rPr>
          <w:sz w:val="26"/>
          <w:szCs w:val="26"/>
        </w:rPr>
        <w:t xml:space="preserve"> nodrošināt preču sūtījumus pa</w:t>
      </w:r>
      <w:r w:rsidR="00E37ABE" w:rsidRPr="0003106C">
        <w:rPr>
          <w:sz w:val="26"/>
          <w:szCs w:val="26"/>
        </w:rPr>
        <w:t>r konkurētspējīgām cenām (2,72)</w:t>
      </w:r>
      <w:r w:rsidRPr="0003106C">
        <w:rPr>
          <w:sz w:val="26"/>
          <w:szCs w:val="26"/>
        </w:rPr>
        <w:t>. Salīdzinoši labāku rezultātu Latvija ir uzrādījusi rādītāj</w:t>
      </w:r>
      <w:r w:rsidR="00EF61B1" w:rsidRPr="0003106C">
        <w:rPr>
          <w:sz w:val="26"/>
          <w:szCs w:val="26"/>
        </w:rPr>
        <w:t>ā</w:t>
      </w:r>
      <w:r w:rsidR="00ED1836" w:rsidRPr="0003106C">
        <w:rPr>
          <w:sz w:val="26"/>
          <w:szCs w:val="26"/>
        </w:rPr>
        <w:t>, kas saistīts</w:t>
      </w:r>
      <w:r w:rsidRPr="0003106C">
        <w:rPr>
          <w:sz w:val="26"/>
          <w:szCs w:val="26"/>
        </w:rPr>
        <w:t xml:space="preserve"> ar spēju uzraudzīt un izsekot sūtījumus (</w:t>
      </w:r>
      <w:r w:rsidR="00543122" w:rsidRPr="0003106C">
        <w:rPr>
          <w:sz w:val="26"/>
          <w:szCs w:val="26"/>
        </w:rPr>
        <w:t>2,97</w:t>
      </w:r>
      <w:r w:rsidRPr="0003106C">
        <w:rPr>
          <w:sz w:val="26"/>
          <w:szCs w:val="26"/>
        </w:rPr>
        <w:t>)</w:t>
      </w:r>
      <w:r w:rsidR="00543122" w:rsidRPr="0003106C">
        <w:rPr>
          <w:sz w:val="26"/>
          <w:szCs w:val="26"/>
        </w:rPr>
        <w:t xml:space="preserve"> un </w:t>
      </w:r>
      <w:r w:rsidRPr="0003106C">
        <w:rPr>
          <w:sz w:val="26"/>
          <w:szCs w:val="26"/>
        </w:rPr>
        <w:t>visaugstāko novērtējumu iegūstot rādītājā par regularitāti, ar kādu sūtījumi sasniedz preču saņēmēju paredzētajā laikā (3,</w:t>
      </w:r>
      <w:r w:rsidR="00543122" w:rsidRPr="0003106C">
        <w:rPr>
          <w:sz w:val="26"/>
          <w:szCs w:val="26"/>
        </w:rPr>
        <w:t>08</w:t>
      </w:r>
      <w:r w:rsidRPr="0003106C">
        <w:rPr>
          <w:sz w:val="26"/>
          <w:szCs w:val="26"/>
        </w:rPr>
        <w:t>).</w:t>
      </w:r>
    </w:p>
    <w:p w:rsidR="00073024" w:rsidRPr="0003106C" w:rsidRDefault="00073024" w:rsidP="00073024">
      <w:pPr>
        <w:ind w:firstLine="426"/>
        <w:jc w:val="both"/>
        <w:rPr>
          <w:sz w:val="26"/>
          <w:szCs w:val="26"/>
        </w:rPr>
      </w:pPr>
    </w:p>
    <w:p w:rsidR="009962E5" w:rsidRPr="0003106C" w:rsidRDefault="009962E5" w:rsidP="009962E5">
      <w:pPr>
        <w:pStyle w:val="Heading2"/>
        <w:tabs>
          <w:tab w:val="left" w:pos="851"/>
        </w:tabs>
        <w:autoSpaceDE w:val="0"/>
        <w:autoSpaceDN w:val="0"/>
        <w:adjustRightInd w:val="0"/>
        <w:spacing w:before="0"/>
        <w:ind w:left="360"/>
        <w:rPr>
          <w:rFonts w:ascii="Times New Roman" w:eastAsia="Calibri" w:hAnsi="Times New Roman" w:cs="Times New Roman"/>
          <w:bCs w:val="0"/>
          <w:i w:val="0"/>
          <w:iCs w:val="0"/>
          <w:sz w:val="26"/>
          <w:szCs w:val="26"/>
        </w:rPr>
      </w:pPr>
      <w:bookmarkStart w:id="5" w:name="_Toc355961028"/>
      <w:r w:rsidRPr="0003106C">
        <w:rPr>
          <w:rFonts w:ascii="Times New Roman" w:eastAsia="Calibri" w:hAnsi="Times New Roman" w:cs="Times New Roman"/>
          <w:bCs w:val="0"/>
          <w:i w:val="0"/>
          <w:iCs w:val="0"/>
          <w:sz w:val="26"/>
          <w:szCs w:val="26"/>
        </w:rPr>
        <w:t xml:space="preserve">3.2. Investīcijas un </w:t>
      </w:r>
      <w:r w:rsidR="006A0151" w:rsidRPr="0003106C">
        <w:rPr>
          <w:rFonts w:ascii="Times New Roman" w:eastAsia="Calibri" w:hAnsi="Times New Roman" w:cs="Times New Roman"/>
          <w:bCs w:val="0"/>
          <w:i w:val="0"/>
          <w:iCs w:val="0"/>
          <w:sz w:val="26"/>
          <w:szCs w:val="26"/>
        </w:rPr>
        <w:t>ārvalstu tiešās investīcijas</w:t>
      </w:r>
      <w:bookmarkEnd w:id="5"/>
    </w:p>
    <w:p w:rsidR="00D05EDE" w:rsidRPr="0003106C" w:rsidRDefault="00D05EDE" w:rsidP="0008473E">
      <w:pPr>
        <w:keepNext/>
        <w:spacing w:after="120"/>
        <w:jc w:val="both"/>
        <w:rPr>
          <w:b/>
          <w:sz w:val="26"/>
          <w:szCs w:val="26"/>
        </w:rPr>
      </w:pPr>
      <w:r w:rsidRPr="0003106C">
        <w:rPr>
          <w:b/>
          <w:sz w:val="26"/>
          <w:szCs w:val="26"/>
        </w:rPr>
        <w:t>Investīcijas Latvijas tautsaimniecībā</w:t>
      </w:r>
      <w:r w:rsidR="009962E5" w:rsidRPr="0003106C">
        <w:rPr>
          <w:b/>
          <w:sz w:val="26"/>
          <w:szCs w:val="26"/>
          <w:vertAlign w:val="superscript"/>
        </w:rPr>
        <w:footnoteReference w:id="15"/>
      </w:r>
      <w:r w:rsidR="009962E5" w:rsidRPr="0003106C">
        <w:rPr>
          <w:b/>
          <w:sz w:val="26"/>
          <w:szCs w:val="26"/>
        </w:rPr>
        <w:t xml:space="preserve"> </w:t>
      </w:r>
    </w:p>
    <w:p w:rsidR="00606357" w:rsidRPr="0003106C" w:rsidRDefault="00606357" w:rsidP="00606357">
      <w:pPr>
        <w:ind w:firstLine="567"/>
        <w:jc w:val="both"/>
        <w:rPr>
          <w:sz w:val="26"/>
          <w:szCs w:val="26"/>
        </w:rPr>
      </w:pPr>
      <w:r w:rsidRPr="0003106C">
        <w:rPr>
          <w:sz w:val="26"/>
          <w:szCs w:val="26"/>
        </w:rPr>
        <w:t>Kaut arī kopumā investīciju apjomi kopš 2008.gada ir bijuši daudz mazāki nekā pirmskrīzes gados, tomēr nozaru griezumā to izmaiņas ir ļoti atšķirīgas. Ekonomiskajai krīzei padziļinoties, 2009.gadā investēšanas aktivitātes turpināja samazināties visās nozarēs. Arī 2010.gadā investēšanas process kopumā ir bijis vājš. Sākot ar 2010.gada beigām investīciju aktivitātes pakāpeniski pieaug. 2011.</w:t>
      </w:r>
      <w:r w:rsidR="0050536D" w:rsidRPr="0003106C">
        <w:rPr>
          <w:sz w:val="26"/>
          <w:szCs w:val="26"/>
        </w:rPr>
        <w:t>gadā, salīdzinot ar 2010.</w:t>
      </w:r>
      <w:r w:rsidRPr="0003106C">
        <w:rPr>
          <w:sz w:val="26"/>
          <w:szCs w:val="26"/>
        </w:rPr>
        <w:t>gadu investīcijas Latvijas tautsaimniecībā pi</w:t>
      </w:r>
      <w:r w:rsidR="0050536D" w:rsidRPr="0003106C">
        <w:rPr>
          <w:sz w:val="26"/>
          <w:szCs w:val="26"/>
        </w:rPr>
        <w:t>eauga par 27,9%. Savukārt 2012.</w:t>
      </w:r>
      <w:r w:rsidRPr="0003106C">
        <w:rPr>
          <w:sz w:val="26"/>
          <w:szCs w:val="26"/>
        </w:rPr>
        <w:t>gadā investīciju apjomi par 12,3% pārsniedza iepriekšējā gada līmeni un veidoja 23,5% no IKP. Kaut arī investīciju dinamika ir visai strauja, tomēr to apjomi vidēji ceturksnī ir ga</w:t>
      </w:r>
      <w:r w:rsidR="0050536D" w:rsidRPr="0003106C">
        <w:rPr>
          <w:sz w:val="26"/>
          <w:szCs w:val="26"/>
        </w:rPr>
        <w:t>ndrīz uz pusi mazāki nekā 2007.</w:t>
      </w:r>
      <w:r w:rsidRPr="0003106C">
        <w:rPr>
          <w:sz w:val="26"/>
          <w:szCs w:val="26"/>
        </w:rPr>
        <w:t>gadā.</w:t>
      </w:r>
    </w:p>
    <w:p w:rsidR="00606357" w:rsidRPr="0003106C" w:rsidRDefault="00606357" w:rsidP="00606357">
      <w:pPr>
        <w:ind w:firstLine="567"/>
        <w:jc w:val="both"/>
        <w:rPr>
          <w:sz w:val="26"/>
          <w:szCs w:val="26"/>
        </w:rPr>
      </w:pPr>
      <w:r w:rsidRPr="0003106C">
        <w:rPr>
          <w:sz w:val="26"/>
          <w:szCs w:val="26"/>
        </w:rPr>
        <w:t xml:space="preserve">Ekonomiskās situācijas stabilizēšanās pozitīvi ietekmēja investēšanas procesu Latvijā un tā atjaunošanās norit samērā strauji. 2012.gadā investīcijas pakalpojumu nozarēs pieauga par 16%, kas ir nedaudz straujāk nekā preču ražošanas nozarēs, ko lielā mērā ietekmēja apjomīgie ieguldījumi tirdzniecībā, transporta un uzglabāšanas nozarē, kā arī operācijās ar nekustāmo īpašumu. Savukārt  investīciju dinamika preču </w:t>
      </w:r>
      <w:r w:rsidRPr="0003106C">
        <w:rPr>
          <w:sz w:val="26"/>
          <w:szCs w:val="26"/>
        </w:rPr>
        <w:lastRenderedPageBreak/>
        <w:t>ražošanas n</w:t>
      </w:r>
      <w:r w:rsidR="0050536D" w:rsidRPr="0003106C">
        <w:rPr>
          <w:sz w:val="26"/>
          <w:szCs w:val="26"/>
        </w:rPr>
        <w:t>ozarēs bija mērenākā nekā 2011.</w:t>
      </w:r>
      <w:r w:rsidRPr="0003106C">
        <w:rPr>
          <w:sz w:val="26"/>
          <w:szCs w:val="26"/>
        </w:rPr>
        <w:t>gadā (pieauga par 12,3%),</w:t>
      </w:r>
      <w:r w:rsidR="0050536D" w:rsidRPr="0003106C">
        <w:rPr>
          <w:sz w:val="26"/>
          <w:szCs w:val="26"/>
        </w:rPr>
        <w:t xml:space="preserve"> bet apstrādes rūpniecībā 2012.</w:t>
      </w:r>
      <w:r w:rsidRPr="0003106C">
        <w:rPr>
          <w:sz w:val="26"/>
          <w:szCs w:val="26"/>
        </w:rPr>
        <w:t>gadā tika investēts par 6,8% mazāk nekā gadu iepriekš. Investīciju apjomu pieaugumu lielā mērā kavē kreditēšanas lēnā atjaunošanās. Gandrīz 40% no investīcijām veido ieguldījumi iekārtās un mašīnās.</w:t>
      </w:r>
    </w:p>
    <w:p w:rsidR="00E24688" w:rsidRPr="0003106C" w:rsidRDefault="00E24688" w:rsidP="0055463F">
      <w:pPr>
        <w:ind w:firstLine="567"/>
        <w:jc w:val="both"/>
        <w:rPr>
          <w:sz w:val="26"/>
          <w:szCs w:val="26"/>
        </w:rPr>
      </w:pPr>
    </w:p>
    <w:p w:rsidR="005873B5" w:rsidRPr="0003106C" w:rsidRDefault="005873B5" w:rsidP="0008473E">
      <w:pPr>
        <w:keepNext/>
        <w:spacing w:after="120"/>
        <w:jc w:val="both"/>
        <w:rPr>
          <w:b/>
          <w:sz w:val="26"/>
          <w:szCs w:val="26"/>
        </w:rPr>
      </w:pPr>
      <w:r w:rsidRPr="0003106C">
        <w:rPr>
          <w:b/>
          <w:sz w:val="26"/>
          <w:szCs w:val="26"/>
        </w:rPr>
        <w:t>ĀTI Latvijā</w:t>
      </w:r>
    </w:p>
    <w:p w:rsidR="00606357" w:rsidRPr="0003106C" w:rsidRDefault="00606357" w:rsidP="00606357">
      <w:pPr>
        <w:ind w:firstLine="567"/>
        <w:jc w:val="both"/>
        <w:rPr>
          <w:sz w:val="26"/>
          <w:szCs w:val="26"/>
        </w:rPr>
      </w:pPr>
      <w:r w:rsidRPr="0003106C">
        <w:rPr>
          <w:sz w:val="26"/>
          <w:szCs w:val="26"/>
        </w:rPr>
        <w:t>Ņemot vērā to, ka investīciju aktivitātes Latvijā krīzes un pēc</w:t>
      </w:r>
      <w:r w:rsidR="00C66A56" w:rsidRPr="0003106C">
        <w:rPr>
          <w:sz w:val="26"/>
          <w:szCs w:val="26"/>
        </w:rPr>
        <w:t xml:space="preserve"> </w:t>
      </w:r>
      <w:r w:rsidRPr="0003106C">
        <w:rPr>
          <w:sz w:val="26"/>
          <w:szCs w:val="26"/>
        </w:rPr>
        <w:t>krīzes laikā bija ļoti zemā līmenī un to, ka iepriekšējos gados samazinājās nacionālo uzkrājumu</w:t>
      </w:r>
      <w:r w:rsidRPr="0003106C">
        <w:rPr>
          <w:rStyle w:val="FootnoteReference"/>
          <w:sz w:val="26"/>
          <w:szCs w:val="26"/>
        </w:rPr>
        <w:footnoteReference w:id="16"/>
      </w:r>
      <w:r w:rsidRPr="0003106C">
        <w:rPr>
          <w:sz w:val="26"/>
          <w:szCs w:val="26"/>
        </w:rPr>
        <w:t xml:space="preserve"> līmenis, tādejādi kļūstot par investīciju ierobežojošo faktoru, vienlaikus ar tādiem faktoriem kā nepietiekamie uzņēmumu finanšu līdzekļi un zemais banku kreditēšanas līmenis, Latvijai ir jāveicina investīcijas, piesaistot ārvalstu kapitālu tiešo investīciju veidā. Latvijas, līdzīgi kā citu valstu, interese ir piesaistīt ĀTI plūsmas, kuras, salīdzinot ar citām finanšu plūsmām, piemēram, portfeļinvestīcijām, ir noturīgākas, kā arī orientētas uz uzņēmuma darbību ilgtermiņā. ĀTI piesaiste sekmē piesaistītā ārvalstu kapitāla struktūras uzlabošanos un nodrošina maksājumu bilances ilgtspēju.</w:t>
      </w:r>
    </w:p>
    <w:p w:rsidR="006A0151" w:rsidRPr="0003106C" w:rsidRDefault="006A0151" w:rsidP="006A0151">
      <w:pPr>
        <w:pStyle w:val="ListParagraph"/>
        <w:spacing w:line="240" w:lineRule="auto"/>
        <w:ind w:left="0" w:firstLine="567"/>
        <w:jc w:val="both"/>
        <w:rPr>
          <w:rFonts w:ascii="Times New Roman" w:hAnsi="Times New Roman"/>
          <w:sz w:val="26"/>
          <w:szCs w:val="26"/>
        </w:rPr>
      </w:pPr>
      <w:r w:rsidRPr="0003106C">
        <w:rPr>
          <w:rFonts w:ascii="Times New Roman" w:hAnsi="Times New Roman"/>
          <w:sz w:val="26"/>
          <w:szCs w:val="26"/>
        </w:rPr>
        <w:t>ĀTI bieži vien nes sev līdzi zināšanas ražošanas un menedžmenta prasmju jomās, jaunu darba vietu izveidi, rada iespēju izmantot jaunas tehnoloģijas un priekšnosacījumus tehnoloģiju pārnesei (</w:t>
      </w:r>
      <w:r w:rsidRPr="0003106C">
        <w:rPr>
          <w:rFonts w:ascii="Times New Roman" w:hAnsi="Times New Roman"/>
          <w:i/>
          <w:iCs/>
          <w:sz w:val="26"/>
          <w:szCs w:val="26"/>
        </w:rPr>
        <w:t>technology transfer, spillover</w:t>
      </w:r>
      <w:r w:rsidRPr="0003106C">
        <w:rPr>
          <w:rFonts w:ascii="Times New Roman" w:hAnsi="Times New Roman"/>
          <w:sz w:val="26"/>
          <w:szCs w:val="26"/>
        </w:rPr>
        <w:t>), veicina valsts integrēšanos starptautiskajā tirdzniecībā un uzņēmumu iesaistīšanos ražošanas noietu ķēdēs, notiek ražošanas diversifikācija, tiek celta uzņēmumu darba efektivitāte, kā rezultātā tiek attīstīta ne tikai konkrētā uzņēmējdarbība, bet arī iekšējā valsts uzņēmējdarbības vide kļūst aizvien konkurētspējīgāka. Kopumā vērtējot, ĀTI var būt pozitīvs efekts uz uzņēmumu produktivitātes pieaugumu, kas saistīts ar ārvalstu uzņēmumu līdzdalību.</w:t>
      </w:r>
    </w:p>
    <w:p w:rsidR="006A0151" w:rsidRPr="0003106C" w:rsidRDefault="006A0151" w:rsidP="00640B44">
      <w:pPr>
        <w:ind w:firstLine="567"/>
        <w:jc w:val="both"/>
        <w:rPr>
          <w:sz w:val="26"/>
          <w:szCs w:val="26"/>
        </w:rPr>
      </w:pPr>
    </w:p>
    <w:p w:rsidR="00AD059E" w:rsidRPr="0003106C" w:rsidRDefault="00AD059E" w:rsidP="00640B44">
      <w:pPr>
        <w:ind w:firstLine="567"/>
        <w:jc w:val="both"/>
        <w:rPr>
          <w:sz w:val="26"/>
          <w:szCs w:val="26"/>
        </w:rPr>
      </w:pPr>
    </w:p>
    <w:p w:rsidR="00AD059E" w:rsidRPr="0003106C" w:rsidRDefault="000C0144" w:rsidP="000C0144">
      <w:pPr>
        <w:keepNext/>
        <w:ind w:firstLine="567"/>
        <w:jc w:val="right"/>
        <w:rPr>
          <w:sz w:val="26"/>
          <w:szCs w:val="26"/>
        </w:rPr>
      </w:pPr>
      <w:r w:rsidRPr="0003106C">
        <w:rPr>
          <w:sz w:val="26"/>
          <w:szCs w:val="26"/>
        </w:rPr>
        <w:t>6</w:t>
      </w:r>
      <w:r w:rsidR="00AD059E" w:rsidRPr="0003106C">
        <w:rPr>
          <w:sz w:val="26"/>
          <w:szCs w:val="26"/>
        </w:rPr>
        <w:t>.attēls</w:t>
      </w:r>
    </w:p>
    <w:p w:rsidR="006A5193" w:rsidRPr="0003106C" w:rsidRDefault="006A5193" w:rsidP="006A5193">
      <w:pPr>
        <w:keepNext/>
        <w:jc w:val="center"/>
        <w:rPr>
          <w:b/>
          <w:sz w:val="26"/>
          <w:szCs w:val="26"/>
        </w:rPr>
      </w:pPr>
      <w:r w:rsidRPr="0003106C">
        <w:rPr>
          <w:b/>
          <w:sz w:val="26"/>
          <w:szCs w:val="26"/>
        </w:rPr>
        <w:t xml:space="preserve">Uzkrāto ĀTI Latvijā uz ārējo pieprasījumu orientētās (tirgojamās) nozarēs īpatsvars </w:t>
      </w:r>
    </w:p>
    <w:p w:rsidR="006A5193" w:rsidRPr="0003106C" w:rsidRDefault="006A5193" w:rsidP="006A5193">
      <w:pPr>
        <w:keepNext/>
        <w:spacing w:after="60"/>
        <w:jc w:val="center"/>
      </w:pPr>
      <w:r w:rsidRPr="0003106C">
        <w:t>(perioda beigās, milj.latu un % no kopējām ĀTI)</w:t>
      </w:r>
    </w:p>
    <w:p w:rsidR="006A5193" w:rsidRPr="0003106C" w:rsidRDefault="006A5193" w:rsidP="006A5193">
      <w:pPr>
        <w:spacing w:afterLines="60" w:after="144"/>
        <w:jc w:val="center"/>
        <w:rPr>
          <w:sz w:val="26"/>
          <w:szCs w:val="26"/>
        </w:rPr>
      </w:pPr>
      <w:r w:rsidRPr="0003106C">
        <w:rPr>
          <w:noProof/>
          <w:sz w:val="26"/>
          <w:szCs w:val="26"/>
          <w:lang w:eastAsia="lv-LV"/>
        </w:rPr>
        <w:drawing>
          <wp:inline distT="0" distB="0" distL="0" distR="0" wp14:anchorId="5A2C86A2" wp14:editId="7935CC5D">
            <wp:extent cx="4320000" cy="2520000"/>
            <wp:effectExtent l="0" t="0" r="4445" b="0"/>
            <wp:docPr id="5"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5193" w:rsidRPr="0003106C" w:rsidRDefault="006A5193" w:rsidP="006A5193">
      <w:pPr>
        <w:pStyle w:val="ListParagraph"/>
        <w:suppressAutoHyphens/>
        <w:spacing w:line="240" w:lineRule="auto"/>
        <w:ind w:left="0" w:firstLine="567"/>
        <w:jc w:val="both"/>
        <w:rPr>
          <w:rFonts w:ascii="Times New Roman" w:eastAsia="Times New Roman" w:hAnsi="Times New Roman"/>
          <w:sz w:val="26"/>
          <w:szCs w:val="26"/>
          <w:lang w:eastAsia="lv-LV"/>
        </w:rPr>
      </w:pPr>
    </w:p>
    <w:p w:rsidR="006A5193" w:rsidRPr="0003106C" w:rsidRDefault="006A5193" w:rsidP="006A5193">
      <w:pPr>
        <w:pStyle w:val="ListParagraph"/>
        <w:suppressAutoHyphens/>
        <w:spacing w:line="240" w:lineRule="auto"/>
        <w:ind w:left="0" w:firstLine="567"/>
        <w:jc w:val="both"/>
        <w:rPr>
          <w:rFonts w:ascii="Times New Roman" w:eastAsia="Times New Roman" w:hAnsi="Times New Roman"/>
          <w:sz w:val="26"/>
          <w:szCs w:val="26"/>
          <w:lang w:eastAsia="lv-LV"/>
        </w:rPr>
      </w:pPr>
      <w:r w:rsidRPr="0003106C">
        <w:rPr>
          <w:rFonts w:ascii="Times New Roman" w:eastAsia="Times New Roman" w:hAnsi="Times New Roman"/>
          <w:sz w:val="26"/>
          <w:szCs w:val="26"/>
          <w:lang w:eastAsia="lv-LV"/>
        </w:rPr>
        <w:lastRenderedPageBreak/>
        <w:t>Līdz 2008.gadam novērojami visai strauji ĀTI pieauguma tempi, bet 2009.-2010.gadam ĀTI līmenis saglabājās nemainīgs. Uz ārējo pieprasījumu orientēto nozaru īpatsvars 2004. un 2005.gadā veidoja vidēji 27% no kopējām uzkrātajām ĀTI Latvijas ekonomikā, turpretī no 2006.gada līdz 2011.gadam – tikai 21%. Kopš 2010.gada ienākošās ĀTI plūsmas atsāk pakāpeniski pieaugt. 2011.gadā ĀTI apjoms Latvijas ekonomikā gandrīz 4 reizes pārsniedza iepriekšējā gada ienākošās ĀTI plūsmas un bija 5,2% no IKP līmenī. Savukārt 2012.gadā ienākošo ĀTI apjoms bija par 26% mazāks nekā iepriekšējā gadā. Ienākošo ĀTI apjomu samazinājums galvenokārt ir saistīts ar negatīvām neto investīcijām enerģētikas nozarē un darījumos ar nekustamo īpašumu 2012.gada 2.ceturksnī.</w:t>
      </w:r>
    </w:p>
    <w:p w:rsidR="006A5193" w:rsidRPr="0003106C" w:rsidRDefault="006A5193" w:rsidP="006A5193">
      <w:pPr>
        <w:pStyle w:val="ListParagraph"/>
        <w:suppressAutoHyphens/>
        <w:spacing w:line="240" w:lineRule="auto"/>
        <w:ind w:left="0" w:firstLine="567"/>
        <w:jc w:val="both"/>
        <w:rPr>
          <w:rFonts w:ascii="Times New Roman" w:eastAsia="Times New Roman" w:hAnsi="Times New Roman"/>
          <w:sz w:val="26"/>
          <w:szCs w:val="26"/>
          <w:lang w:eastAsia="lv-LV"/>
        </w:rPr>
      </w:pPr>
      <w:r w:rsidRPr="0003106C">
        <w:rPr>
          <w:rFonts w:ascii="Times New Roman" w:eastAsia="Times New Roman" w:hAnsi="Times New Roman"/>
          <w:sz w:val="26"/>
          <w:szCs w:val="26"/>
          <w:lang w:eastAsia="lv-LV"/>
        </w:rPr>
        <w:t>Saskaņā ar Latvijas starptautisko investīciju bilanci 2012.gada beigās uzkrātās ĀTI Latvijas ekonomikā sasniedza 7 038,3 milj. latu (10 014,6 milj. eiro), kas bija par 7% vairāk nekā 2011.gada beigās, t.sk. apstrādes rūpniecībā – par 4,2%. Nozaru struktūrā lielāks uzkrāto ĀTI īpatsvars ir ieguldījumiem darījumos ar nekust</w:t>
      </w:r>
      <w:r w:rsidR="00C66A56" w:rsidRPr="0003106C">
        <w:rPr>
          <w:rFonts w:ascii="Times New Roman" w:eastAsia="Times New Roman" w:hAnsi="Times New Roman"/>
          <w:sz w:val="26"/>
          <w:szCs w:val="26"/>
          <w:lang w:eastAsia="lv-LV"/>
        </w:rPr>
        <w:t>a</w:t>
      </w:r>
      <w:r w:rsidRPr="0003106C">
        <w:rPr>
          <w:rFonts w:ascii="Times New Roman" w:eastAsia="Times New Roman" w:hAnsi="Times New Roman"/>
          <w:sz w:val="26"/>
          <w:szCs w:val="26"/>
          <w:lang w:eastAsia="lv-LV"/>
        </w:rPr>
        <w:t>mo īpašumu un banku starpniecībā.</w:t>
      </w:r>
    </w:p>
    <w:p w:rsidR="00C14E01" w:rsidRPr="0003106C" w:rsidRDefault="00C14E01" w:rsidP="00B70E47">
      <w:pPr>
        <w:pStyle w:val="BodyText"/>
        <w:ind w:firstLine="567"/>
        <w:jc w:val="both"/>
        <w:rPr>
          <w:sz w:val="26"/>
          <w:szCs w:val="26"/>
        </w:rPr>
      </w:pPr>
    </w:p>
    <w:p w:rsidR="006A5193" w:rsidRPr="0003106C" w:rsidRDefault="006A5193" w:rsidP="006A5193">
      <w:pPr>
        <w:pStyle w:val="BodyText"/>
        <w:jc w:val="both"/>
        <w:rPr>
          <w:b/>
          <w:sz w:val="26"/>
          <w:szCs w:val="26"/>
        </w:rPr>
      </w:pPr>
      <w:r w:rsidRPr="0003106C">
        <w:rPr>
          <w:b/>
          <w:sz w:val="26"/>
          <w:szCs w:val="26"/>
        </w:rPr>
        <w:t xml:space="preserve">ĀTI </w:t>
      </w:r>
      <w:r w:rsidR="0050536D" w:rsidRPr="0003106C">
        <w:rPr>
          <w:b/>
          <w:sz w:val="26"/>
          <w:szCs w:val="26"/>
        </w:rPr>
        <w:t>Baltijas valstīs</w:t>
      </w:r>
    </w:p>
    <w:p w:rsidR="006A5193" w:rsidRPr="0003106C" w:rsidRDefault="006A5193" w:rsidP="006A5193">
      <w:pPr>
        <w:pStyle w:val="BodyText"/>
        <w:ind w:firstLine="567"/>
        <w:jc w:val="both"/>
        <w:rPr>
          <w:sz w:val="26"/>
          <w:szCs w:val="26"/>
        </w:rPr>
      </w:pPr>
      <w:r w:rsidRPr="0003106C">
        <w:rPr>
          <w:sz w:val="26"/>
          <w:szCs w:val="26"/>
        </w:rPr>
        <w:t xml:space="preserve">Latvijas galvenie konkurenti ĀTI piesaistē ir tuvākās ES kaimiņvalstis – Igaunija un Lietuva. Tāpēc, lai raksturotu Latvijas sasniegumus ĀTI piesaistē, ĀTI plūsmu struktūra un dinamika tiek salīdzināta ar Lietuvas un Igaunijas rezultātiem, uztverot Baltijas valstis kā vienotu ĀTI piesaistes reģionu. </w:t>
      </w:r>
    </w:p>
    <w:p w:rsidR="006A5193" w:rsidRPr="0003106C" w:rsidRDefault="006A5193" w:rsidP="006A5193">
      <w:pPr>
        <w:keepNext/>
        <w:spacing w:before="240" w:after="240"/>
        <w:jc w:val="right"/>
        <w:rPr>
          <w:sz w:val="26"/>
          <w:szCs w:val="26"/>
        </w:rPr>
      </w:pPr>
      <w:r w:rsidRPr="0003106C">
        <w:rPr>
          <w:sz w:val="26"/>
          <w:szCs w:val="26"/>
        </w:rPr>
        <w:t>7.attēls</w:t>
      </w:r>
    </w:p>
    <w:p w:rsidR="006A5193" w:rsidRPr="0003106C" w:rsidRDefault="006A5193" w:rsidP="006A5193">
      <w:pPr>
        <w:keepNext/>
        <w:jc w:val="center"/>
        <w:rPr>
          <w:b/>
          <w:sz w:val="26"/>
          <w:szCs w:val="26"/>
        </w:rPr>
      </w:pPr>
      <w:r w:rsidRPr="0003106C">
        <w:rPr>
          <w:b/>
          <w:sz w:val="26"/>
          <w:szCs w:val="26"/>
        </w:rPr>
        <w:t>ĀTI ieplūde Baltijas valstīs</w:t>
      </w:r>
    </w:p>
    <w:p w:rsidR="006A5193" w:rsidRPr="0003106C" w:rsidRDefault="006A5193" w:rsidP="006A5193">
      <w:pPr>
        <w:keepNext/>
        <w:jc w:val="center"/>
      </w:pPr>
      <w:r w:rsidRPr="0003106C">
        <w:rPr>
          <w:sz w:val="26"/>
          <w:szCs w:val="26"/>
        </w:rPr>
        <w:t xml:space="preserve">(milj.eiro) </w:t>
      </w:r>
    </w:p>
    <w:p w:rsidR="006A5193" w:rsidRPr="0003106C" w:rsidRDefault="006A5193" w:rsidP="006A5193">
      <w:pPr>
        <w:keepNext/>
        <w:jc w:val="center"/>
      </w:pPr>
      <w:r w:rsidRPr="0003106C">
        <w:rPr>
          <w:noProof/>
          <w:lang w:eastAsia="lv-LV"/>
        </w:rPr>
        <w:drawing>
          <wp:inline distT="0" distB="0" distL="0" distR="0" wp14:anchorId="1FEE11FC" wp14:editId="0B34B050">
            <wp:extent cx="4320000" cy="2520000"/>
            <wp:effectExtent l="0" t="0" r="44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5193" w:rsidRPr="0003106C" w:rsidRDefault="006A5193" w:rsidP="006A5193">
      <w:pPr>
        <w:ind w:firstLine="567"/>
        <w:jc w:val="both"/>
        <w:rPr>
          <w:sz w:val="26"/>
          <w:szCs w:val="26"/>
        </w:rPr>
      </w:pPr>
    </w:p>
    <w:p w:rsidR="006A5193" w:rsidRPr="0003106C" w:rsidRDefault="006A5193" w:rsidP="006A5193">
      <w:pPr>
        <w:ind w:firstLine="567"/>
        <w:jc w:val="both"/>
        <w:rPr>
          <w:sz w:val="26"/>
          <w:szCs w:val="26"/>
        </w:rPr>
      </w:pPr>
      <w:r w:rsidRPr="0003106C">
        <w:rPr>
          <w:sz w:val="26"/>
          <w:szCs w:val="26"/>
        </w:rPr>
        <w:t xml:space="preserve">Baltijas reģiona valstu izteikti atšķirīgā ĀTI piesaiste gan pēc apjoma, gan arī pēc nozaru struktūras liecina par īpašiem ĀTI pievilcību noteicošiem faktoriem, kas nav skaidrojami ar ģeogrāfisko un ģeopolitisko stāvokli, un makroekonomisko stabilitāti, bet gan ar tirgus un institucionālām nepilnībām. Nepievēršot uzmanību šīm nepilnībām, pastāv risks, ka atsākoties izaugsmei, ĀTI piesaistes rezultāti valstīm būs līdzīgi.  </w:t>
      </w:r>
    </w:p>
    <w:p w:rsidR="006A5193" w:rsidRPr="0003106C" w:rsidRDefault="006A5193" w:rsidP="006A5193">
      <w:pPr>
        <w:ind w:firstLine="567"/>
        <w:jc w:val="both"/>
        <w:rPr>
          <w:sz w:val="26"/>
          <w:szCs w:val="26"/>
        </w:rPr>
      </w:pPr>
      <w:r w:rsidRPr="0003106C">
        <w:rPr>
          <w:sz w:val="26"/>
          <w:szCs w:val="26"/>
        </w:rPr>
        <w:t xml:space="preserve">Kopš iestāšanās ES visās Baltijas valstīs būtiski pieauga ienākošo ĀTI apjoms. Pirmskrīzes periodā (2004.-2007.gads) Baltijas reģionā kā pievilcīgākā valsts ārvalstu </w:t>
      </w:r>
      <w:r w:rsidRPr="0003106C">
        <w:rPr>
          <w:sz w:val="26"/>
          <w:szCs w:val="26"/>
        </w:rPr>
        <w:lastRenderedPageBreak/>
        <w:t xml:space="preserve">investoriem kapitāla izvietošanai bija Igaunija. Tā ir kļuvusi par Baltijas valstu reģiona finanšu centru. Savukārt, Lietuvas stiprākā joma ir apstrādes rūpniecība. </w:t>
      </w:r>
    </w:p>
    <w:p w:rsidR="006A5193" w:rsidRPr="0003106C" w:rsidRDefault="006A5193" w:rsidP="006A5193">
      <w:pPr>
        <w:ind w:firstLine="567"/>
        <w:jc w:val="both"/>
        <w:rPr>
          <w:sz w:val="26"/>
          <w:szCs w:val="26"/>
        </w:rPr>
      </w:pPr>
      <w:r w:rsidRPr="0003106C">
        <w:rPr>
          <w:sz w:val="26"/>
          <w:szCs w:val="26"/>
        </w:rPr>
        <w:t xml:space="preserve">Laika periodā </w:t>
      </w:r>
      <w:r w:rsidRPr="0003106C">
        <w:rPr>
          <w:b/>
          <w:sz w:val="26"/>
          <w:szCs w:val="26"/>
        </w:rPr>
        <w:t>no 2005. līdz 2007.gadam</w:t>
      </w:r>
      <w:r w:rsidRPr="0003106C">
        <w:rPr>
          <w:sz w:val="26"/>
          <w:szCs w:val="26"/>
        </w:rPr>
        <w:t xml:space="preserve"> Baltijas valstīs tiešo investīciju veidā bija ieguldīti 13,1 miljardi eiro, t.sk. bez Baltijas valstu savstarpējām investīcijām – 11,6 miljardi eiro. Igaunija bija piesaistījusi 48,8%, savukārt, Latvija – 27,2% un Lietuva – 27,2% no Baltijas valstu reģionā ienākošām ĀTI. Rēķinot uz vienu iedzīvotāju, Igaunija šajā periodā ik gadu piesaistīja 1420 eiro, Lietuva – 370 eiro, bet Latvija – 522 eiro.</w:t>
      </w:r>
    </w:p>
    <w:p w:rsidR="006A5193" w:rsidRPr="0003106C" w:rsidRDefault="006A5193" w:rsidP="006A5193">
      <w:pPr>
        <w:keepNext/>
        <w:spacing w:before="240" w:after="240"/>
        <w:ind w:firstLine="567"/>
        <w:jc w:val="right"/>
        <w:rPr>
          <w:sz w:val="26"/>
          <w:szCs w:val="26"/>
        </w:rPr>
      </w:pPr>
      <w:r w:rsidRPr="0003106C">
        <w:rPr>
          <w:sz w:val="26"/>
          <w:szCs w:val="26"/>
        </w:rPr>
        <w:t>8.attēls</w:t>
      </w:r>
    </w:p>
    <w:p w:rsidR="006A5193" w:rsidRPr="0003106C" w:rsidRDefault="006A5193" w:rsidP="006A5193">
      <w:pPr>
        <w:keepNext/>
        <w:jc w:val="center"/>
        <w:rPr>
          <w:b/>
          <w:sz w:val="26"/>
          <w:szCs w:val="26"/>
        </w:rPr>
      </w:pPr>
      <w:r w:rsidRPr="0003106C">
        <w:rPr>
          <w:b/>
          <w:sz w:val="26"/>
          <w:szCs w:val="26"/>
        </w:rPr>
        <w:t>ĀTI ieplūde Baltijas valstīs</w:t>
      </w:r>
    </w:p>
    <w:p w:rsidR="006A5193" w:rsidRPr="0003106C" w:rsidRDefault="006A5193" w:rsidP="006A5193">
      <w:pPr>
        <w:keepNext/>
        <w:jc w:val="center"/>
        <w:rPr>
          <w:sz w:val="26"/>
          <w:szCs w:val="26"/>
        </w:rPr>
      </w:pPr>
      <w:r w:rsidRPr="0003106C">
        <w:rPr>
          <w:sz w:val="26"/>
          <w:szCs w:val="26"/>
        </w:rPr>
        <w:t>(struktūra, %)</w:t>
      </w:r>
    </w:p>
    <w:p w:rsidR="006A5193" w:rsidRPr="0003106C" w:rsidRDefault="006A5193" w:rsidP="006A5193">
      <w:pPr>
        <w:pStyle w:val="NormalWeb"/>
        <w:keepNext/>
        <w:spacing w:before="0" w:beforeAutospacing="0" w:after="0" w:afterAutospacing="0"/>
        <w:ind w:right="-142"/>
        <w:jc w:val="center"/>
        <w:rPr>
          <w:sz w:val="26"/>
          <w:szCs w:val="26"/>
        </w:rPr>
      </w:pPr>
      <w:r w:rsidRPr="0003106C">
        <w:rPr>
          <w:noProof/>
          <w:sz w:val="28"/>
          <w:lang w:eastAsia="lv-LV"/>
        </w:rPr>
        <w:drawing>
          <wp:inline distT="0" distB="0" distL="0" distR="0" wp14:anchorId="7F5CB6A3" wp14:editId="22D799A8">
            <wp:extent cx="4320000" cy="2520000"/>
            <wp:effectExtent l="0" t="0" r="0" b="0"/>
            <wp:docPr id="2"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5193" w:rsidRPr="0003106C" w:rsidRDefault="006A5193" w:rsidP="006A5193">
      <w:pPr>
        <w:ind w:firstLine="567"/>
        <w:jc w:val="both"/>
        <w:rPr>
          <w:sz w:val="26"/>
          <w:szCs w:val="26"/>
        </w:rPr>
      </w:pPr>
    </w:p>
    <w:p w:rsidR="006A5193" w:rsidRPr="0003106C" w:rsidRDefault="006A5193" w:rsidP="006A5193">
      <w:pPr>
        <w:ind w:firstLine="567"/>
        <w:jc w:val="both"/>
        <w:rPr>
          <w:sz w:val="26"/>
          <w:szCs w:val="26"/>
        </w:rPr>
      </w:pPr>
      <w:r w:rsidRPr="0003106C">
        <w:rPr>
          <w:sz w:val="26"/>
          <w:szCs w:val="26"/>
        </w:rPr>
        <w:t>Baltijas valstīs 85%</w:t>
      </w:r>
      <w:r w:rsidRPr="0003106C">
        <w:rPr>
          <w:rStyle w:val="FootnoteReference"/>
          <w:sz w:val="26"/>
          <w:szCs w:val="26"/>
        </w:rPr>
        <w:footnoteReference w:id="17"/>
      </w:r>
      <w:r w:rsidRPr="0003106C">
        <w:rPr>
          <w:sz w:val="26"/>
          <w:szCs w:val="26"/>
        </w:rPr>
        <w:t xml:space="preserve"> no ĀTI bija ieguldījumi no ES dalībvalstīm, kur puse no tiem veikta Igaunijā, trešdaļa Lietuvā un tikai 18% Latvijā. Savukārt, darījumos ar pārējām (ne ES dalībvalstīm) lielākā daļa no ienākošām ĀTI ir Latvijā.</w:t>
      </w:r>
    </w:p>
    <w:p w:rsidR="006A5193" w:rsidRPr="0003106C" w:rsidRDefault="006A5193" w:rsidP="006A5193">
      <w:pPr>
        <w:ind w:firstLine="567"/>
        <w:jc w:val="both"/>
        <w:rPr>
          <w:sz w:val="26"/>
          <w:szCs w:val="26"/>
        </w:rPr>
      </w:pPr>
      <w:r w:rsidRPr="0003106C">
        <w:rPr>
          <w:sz w:val="26"/>
          <w:szCs w:val="26"/>
        </w:rPr>
        <w:t xml:space="preserve">Kaut arī visu triju Baltijas valstu ģeopolitiskais stāvoklis Baltijas reģionā bija vienāds, tomēr to sniegums ĀTI piesaistē ir atšķirīgs. Atšķirīgi ir ne tikai piesaistīto investīciju apjomi, bet dažāds ir arī to sadalījums pa tautsaimniecības nozarēm. </w:t>
      </w:r>
    </w:p>
    <w:p w:rsidR="006A5193" w:rsidRPr="0003106C" w:rsidRDefault="006A5193" w:rsidP="006A5193">
      <w:pPr>
        <w:ind w:firstLine="567"/>
        <w:jc w:val="both"/>
        <w:rPr>
          <w:sz w:val="26"/>
          <w:szCs w:val="26"/>
        </w:rPr>
      </w:pPr>
      <w:r w:rsidRPr="0003106C">
        <w:rPr>
          <w:sz w:val="26"/>
          <w:szCs w:val="26"/>
        </w:rPr>
        <w:t xml:space="preserve">Lietuvā uz katru strādājošo apstrādes rūpniecībā vidēji ik gadu tika piesaistītas investīcijas par 1700 eiro. Igaunijā tās bija nedaudz mazākā apjomā – par 1500 eiro. Savukārt, Latvijā tikai par 542 eiro, t.i. gandrīz trīs reizes mazākā apjomā nekā Lietuvā un Igaunijā. Raksturīgi, ka produktivitātes līmenis apstrādes rūpniecībā no trim Baltijas valstīm Lietuvā bija visaugstākais (16,5 tūkst. eiro pievienotās vērtības uz 1 nodarbināto nozarē), pie tam tas bija par 10% augstāks nekā tautsaimniecībā vidējais. Viszemākais produktivitātes līmenis apstrādes rūpniecībā bija Latvijā (10,3 tūkst. eiro) un par ¼ daļu atpaliekot no tautsaimniecības vidējā rādītāja. Igaunijā šis rādītājs bija 14,8 tūkst. eiro un par 1/5 daļu zemāks nekā tautsaimniecībā kopumā. Tas nozīmē, ka apstrādes rūpniecība Lietuvā salīdzinājumā ar citām nozarēm un salīdzinājumā ar kaimiņvalstīm bija konkurētspējīgāka investoru skatījumā, ko apstiprina nozarei piesaistīto ĀTI apjoms. </w:t>
      </w:r>
    </w:p>
    <w:p w:rsidR="006A5193" w:rsidRPr="0003106C" w:rsidRDefault="006A5193" w:rsidP="006A5193">
      <w:pPr>
        <w:ind w:firstLine="567"/>
        <w:jc w:val="both"/>
        <w:rPr>
          <w:sz w:val="26"/>
          <w:szCs w:val="26"/>
        </w:rPr>
      </w:pPr>
      <w:r w:rsidRPr="0003106C">
        <w:rPr>
          <w:sz w:val="26"/>
          <w:szCs w:val="26"/>
        </w:rPr>
        <w:lastRenderedPageBreak/>
        <w:t xml:space="preserve">Globālās finanšu krīzes ietekmē ĀTI plūsmas samazinājās un laika periodā no </w:t>
      </w:r>
      <w:r w:rsidRPr="0003106C">
        <w:rPr>
          <w:b/>
          <w:sz w:val="26"/>
          <w:szCs w:val="26"/>
        </w:rPr>
        <w:t>2008. līdz 2009.gadam</w:t>
      </w:r>
      <w:r w:rsidRPr="0003106C">
        <w:rPr>
          <w:sz w:val="26"/>
          <w:szCs w:val="26"/>
        </w:rPr>
        <w:t xml:space="preserve"> ienākošo ĀTI ikgadējais apjoms Latvijas ekonomikā bija gandrīz par 60% mazāks nekā pirms krīzes. Līdzīgas tendences bija vērojamas arī Lietuvā un Igaunijā, bet tajās ĀTI plūsmas samazinājums bija mazākos mērogos – Lietuvā par 45% un Igaunijā par 35%. </w:t>
      </w:r>
    </w:p>
    <w:p w:rsidR="006A5193" w:rsidRPr="0003106C" w:rsidRDefault="006A5193" w:rsidP="006A5193">
      <w:pPr>
        <w:ind w:firstLine="567"/>
        <w:jc w:val="both"/>
        <w:rPr>
          <w:sz w:val="26"/>
          <w:szCs w:val="26"/>
        </w:rPr>
      </w:pPr>
      <w:r w:rsidRPr="0003106C">
        <w:rPr>
          <w:sz w:val="26"/>
          <w:szCs w:val="26"/>
        </w:rPr>
        <w:t>Krīzes periodā izmainījās ienākošo ĀTI struktūra sadalījumā pa donorvalstīm, samazinoties ES daļai, t.sk. Baltijas kaimiņvalstu daļai un pieaugot trešo valstu investīcijām.</w:t>
      </w:r>
    </w:p>
    <w:p w:rsidR="006A5193" w:rsidRPr="0003106C" w:rsidRDefault="006A5193" w:rsidP="006A5193">
      <w:pPr>
        <w:ind w:firstLine="567"/>
        <w:jc w:val="both"/>
        <w:rPr>
          <w:sz w:val="26"/>
          <w:szCs w:val="26"/>
        </w:rPr>
      </w:pPr>
      <w:r w:rsidRPr="0003106C">
        <w:rPr>
          <w:sz w:val="26"/>
          <w:szCs w:val="26"/>
        </w:rPr>
        <w:t>Jāatzīmē, ka ĀTI izvietojuma nozaru struktūra šajā periodā krasi mainījās, īpaši Latvijā un Lietuvā. Latvijā un Lietuvā noturīgākas bija ĀTI plūsmas apstrādes rūpniecībā un nekustamos īpašumos, bet strauji samazinājās finanšu starpniecībā un dažādās komercpakalpojumu nozarēs. Igaunijā krīzes laikā bija vismazākais ĀTI plūsmu samazinājums salīdzinājumā ar pirmskrīzes līmeni, lielā mērā pateicoties salīdzinoši lielām investīciju plūsmām finanšu starpniecībā, kā arī to pieaugumam tirdzniecības pakalpojumu nozarē.</w:t>
      </w:r>
    </w:p>
    <w:p w:rsidR="006A5193" w:rsidRPr="0003106C" w:rsidRDefault="006A5193" w:rsidP="006A5193">
      <w:pPr>
        <w:ind w:firstLine="567"/>
        <w:jc w:val="both"/>
        <w:rPr>
          <w:sz w:val="26"/>
          <w:szCs w:val="26"/>
        </w:rPr>
      </w:pPr>
      <w:r w:rsidRPr="0003106C">
        <w:rPr>
          <w:b/>
          <w:sz w:val="26"/>
          <w:szCs w:val="26"/>
        </w:rPr>
        <w:t xml:space="preserve">2010.-2011.gadā </w:t>
      </w:r>
      <w:r w:rsidRPr="0003106C">
        <w:rPr>
          <w:sz w:val="26"/>
          <w:szCs w:val="26"/>
        </w:rPr>
        <w:t xml:space="preserve">ienākošo ĀTI apjoms atsāka pieaugt. 2011.gadā Latvijas tautsaimniecībā ĀTI veidā bija ieguldīts gandrīz četras reizes vairāk nekā 2010.gadā. </w:t>
      </w:r>
      <w:r w:rsidRPr="0003106C">
        <w:rPr>
          <w:bCs/>
          <w:sz w:val="26"/>
          <w:szCs w:val="26"/>
        </w:rPr>
        <w:t xml:space="preserve">Arī Lietuvā piesaistīto ĀTI plūsmas pārsniedza iepriekšējā gada līmeni – par 54%. </w:t>
      </w:r>
      <w:r w:rsidRPr="0003106C">
        <w:rPr>
          <w:sz w:val="26"/>
          <w:szCs w:val="26"/>
        </w:rPr>
        <w:t xml:space="preserve">Savukārt, Igaunijā ienākošās ĀTI veidoja tikai 11% no iepriekšējā gada plūsmām. Tas galvenokārt bija saistīts ar strukturāla rakstura pārmaiņām finanšu sektorā, t.i. nerezidentu ieguldījumu samazinājumu uzņēmumu pašu kapitālā un parādsaistību samazinājumu pret mātes banku. </w:t>
      </w:r>
    </w:p>
    <w:p w:rsidR="006A5193" w:rsidRPr="0003106C" w:rsidRDefault="006A5193" w:rsidP="006A5193">
      <w:pPr>
        <w:ind w:firstLine="567"/>
        <w:jc w:val="both"/>
        <w:rPr>
          <w:sz w:val="26"/>
          <w:szCs w:val="26"/>
        </w:rPr>
      </w:pPr>
      <w:r w:rsidRPr="0003106C">
        <w:rPr>
          <w:sz w:val="26"/>
          <w:szCs w:val="26"/>
        </w:rPr>
        <w:t>Igaunija periodā no 2010. līdz 2011.gadam piesaistīja apmēram 31% no visām ĀTI Baltijas valstu reģionā, Lietuva 35%, bet Latvija 34%. Tas nozīmē, ka salīdzinājumā ar pirmskrīzes periodu savas pozīcijas esam nedaudz uzlabojuši.</w:t>
      </w:r>
    </w:p>
    <w:p w:rsidR="006A5193" w:rsidRPr="0003106C" w:rsidRDefault="006A5193" w:rsidP="006A5193">
      <w:pPr>
        <w:pStyle w:val="BodyText"/>
        <w:ind w:firstLine="567"/>
        <w:jc w:val="both"/>
        <w:rPr>
          <w:sz w:val="26"/>
          <w:szCs w:val="26"/>
        </w:rPr>
      </w:pPr>
      <w:r w:rsidRPr="0003106C">
        <w:rPr>
          <w:sz w:val="26"/>
          <w:szCs w:val="26"/>
        </w:rPr>
        <w:t xml:space="preserve">Ienākošo ĀTI apjoms </w:t>
      </w:r>
      <w:r w:rsidRPr="0003106C">
        <w:rPr>
          <w:b/>
          <w:sz w:val="26"/>
          <w:szCs w:val="26"/>
        </w:rPr>
        <w:t>2012.gadā</w:t>
      </w:r>
      <w:r w:rsidRPr="0003106C">
        <w:rPr>
          <w:sz w:val="26"/>
          <w:szCs w:val="26"/>
        </w:rPr>
        <w:t xml:space="preserve"> Baltijas valstīs kopumā bija 2 562,7 milj. eiro, t.i., par 12,8% lielākā apjomā nekā iepriekšējā gadā. Latvija piesaistīja apmēram 30% no visām ĀTI Baltijas valstu reģionā. Lietuva bija piesaistījusi 25% no ienākošām ĀTI Baltijas valstīs 2012.gadā un tās bija par 37,5% mazākā apjomā nekā pirms gada. Savukārt Igaunijā ĀTI plūsmas pieauga gandrīz piecas reizes, ko galvenokārt noteica apjomīgie ieguldījumi banku sektorā.</w:t>
      </w:r>
    </w:p>
    <w:p w:rsidR="006A5193" w:rsidRPr="0003106C" w:rsidRDefault="006A5193" w:rsidP="006A5193">
      <w:pPr>
        <w:ind w:firstLine="567"/>
        <w:jc w:val="both"/>
        <w:rPr>
          <w:sz w:val="26"/>
          <w:szCs w:val="26"/>
        </w:rPr>
      </w:pPr>
    </w:p>
    <w:p w:rsidR="006A5193" w:rsidRPr="0003106C" w:rsidRDefault="006A5193" w:rsidP="006A5193">
      <w:pPr>
        <w:keepNext/>
        <w:spacing w:before="240" w:after="240"/>
        <w:jc w:val="right"/>
        <w:rPr>
          <w:sz w:val="26"/>
          <w:szCs w:val="26"/>
        </w:rPr>
      </w:pPr>
      <w:r w:rsidRPr="0003106C">
        <w:rPr>
          <w:sz w:val="26"/>
          <w:szCs w:val="26"/>
        </w:rPr>
        <w:lastRenderedPageBreak/>
        <w:t>9.attēls</w:t>
      </w:r>
    </w:p>
    <w:p w:rsidR="006A5193" w:rsidRPr="0003106C" w:rsidRDefault="006A5193" w:rsidP="006A5193">
      <w:pPr>
        <w:keepNext/>
        <w:jc w:val="center"/>
        <w:rPr>
          <w:b/>
          <w:sz w:val="26"/>
          <w:szCs w:val="26"/>
        </w:rPr>
      </w:pPr>
      <w:r w:rsidRPr="0003106C">
        <w:rPr>
          <w:b/>
          <w:sz w:val="26"/>
          <w:szCs w:val="26"/>
        </w:rPr>
        <w:t xml:space="preserve">Ienākošo ĀTI struktūra sadalījumā pa </w:t>
      </w:r>
      <w:r w:rsidRPr="0003106C">
        <w:rPr>
          <w:b/>
          <w:sz w:val="26"/>
          <w:szCs w:val="26"/>
        </w:rPr>
        <w:br/>
        <w:t>tautsaimniecības nozarēm 2010.-2012.gadā</w:t>
      </w:r>
    </w:p>
    <w:p w:rsidR="006A5193" w:rsidRPr="0003106C" w:rsidRDefault="006A5193" w:rsidP="006A5193">
      <w:pPr>
        <w:keepNext/>
        <w:jc w:val="center"/>
        <w:rPr>
          <w:sz w:val="26"/>
          <w:szCs w:val="26"/>
        </w:rPr>
      </w:pPr>
      <w:r w:rsidRPr="0003106C">
        <w:rPr>
          <w:sz w:val="26"/>
          <w:szCs w:val="26"/>
        </w:rPr>
        <w:t>(procentos)</w:t>
      </w:r>
    </w:p>
    <w:tbl>
      <w:tblPr>
        <w:tblStyle w:val="TableGrid"/>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9"/>
        <w:gridCol w:w="4600"/>
      </w:tblGrid>
      <w:tr w:rsidR="006A5193" w:rsidRPr="0003106C" w:rsidTr="00A04FAE">
        <w:trPr>
          <w:trHeight w:val="237"/>
        </w:trPr>
        <w:tc>
          <w:tcPr>
            <w:tcW w:w="9199" w:type="dxa"/>
            <w:gridSpan w:val="2"/>
          </w:tcPr>
          <w:p w:rsidR="006A5193" w:rsidRPr="0003106C" w:rsidRDefault="006A5193" w:rsidP="00A04FAE">
            <w:pPr>
              <w:keepNext/>
              <w:jc w:val="center"/>
              <w:rPr>
                <w:b/>
                <w:szCs w:val="20"/>
              </w:rPr>
            </w:pPr>
          </w:p>
          <w:p w:rsidR="006A5193" w:rsidRPr="0003106C" w:rsidRDefault="006A5193" w:rsidP="00A04FAE">
            <w:pPr>
              <w:keepNext/>
              <w:jc w:val="center"/>
              <w:rPr>
                <w:b/>
                <w:szCs w:val="20"/>
              </w:rPr>
            </w:pPr>
            <w:r w:rsidRPr="0003106C">
              <w:rPr>
                <w:b/>
                <w:szCs w:val="20"/>
              </w:rPr>
              <w:t>Latvija</w:t>
            </w:r>
          </w:p>
          <w:p w:rsidR="006A5193" w:rsidRPr="0003106C" w:rsidRDefault="006A5193" w:rsidP="00A04FAE">
            <w:pPr>
              <w:keepNext/>
              <w:jc w:val="center"/>
              <w:rPr>
                <w:b/>
                <w:szCs w:val="20"/>
              </w:rPr>
            </w:pPr>
          </w:p>
          <w:p w:rsidR="006A5193" w:rsidRPr="0003106C" w:rsidRDefault="006A5193" w:rsidP="00A04FAE">
            <w:pPr>
              <w:keepNext/>
              <w:jc w:val="center"/>
              <w:rPr>
                <w:sz w:val="20"/>
                <w:szCs w:val="20"/>
              </w:rPr>
            </w:pPr>
            <w:r w:rsidRPr="0003106C">
              <w:rPr>
                <w:noProof/>
                <w:lang w:eastAsia="lv-LV"/>
              </w:rPr>
              <w:drawing>
                <wp:inline distT="0" distB="0" distL="0" distR="0" wp14:anchorId="442E810C" wp14:editId="471979FB">
                  <wp:extent cx="3601941" cy="2568271"/>
                  <wp:effectExtent l="0" t="0" r="0" b="381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A5193" w:rsidRPr="0003106C" w:rsidTr="00A04FAE">
        <w:trPr>
          <w:trHeight w:val="237"/>
        </w:trPr>
        <w:tc>
          <w:tcPr>
            <w:tcW w:w="4599" w:type="dxa"/>
          </w:tcPr>
          <w:p w:rsidR="006A5193" w:rsidRPr="0003106C" w:rsidRDefault="006A5193" w:rsidP="00A04FAE">
            <w:pPr>
              <w:keepNext/>
              <w:jc w:val="center"/>
              <w:rPr>
                <w:b/>
                <w:szCs w:val="20"/>
              </w:rPr>
            </w:pPr>
            <w:r w:rsidRPr="0003106C">
              <w:rPr>
                <w:b/>
                <w:szCs w:val="20"/>
              </w:rPr>
              <w:t>Lietuva</w:t>
            </w:r>
          </w:p>
        </w:tc>
        <w:tc>
          <w:tcPr>
            <w:tcW w:w="4600" w:type="dxa"/>
          </w:tcPr>
          <w:p w:rsidR="006A5193" w:rsidRPr="0003106C" w:rsidRDefault="006A5193" w:rsidP="00A04FAE">
            <w:pPr>
              <w:keepNext/>
              <w:ind w:firstLine="567"/>
              <w:jc w:val="center"/>
              <w:rPr>
                <w:b/>
                <w:szCs w:val="20"/>
              </w:rPr>
            </w:pPr>
            <w:r w:rsidRPr="0003106C">
              <w:rPr>
                <w:b/>
                <w:szCs w:val="20"/>
              </w:rPr>
              <w:t>Igaunija</w:t>
            </w:r>
          </w:p>
        </w:tc>
      </w:tr>
      <w:tr w:rsidR="006A5193" w:rsidRPr="0003106C" w:rsidTr="00A04FAE">
        <w:trPr>
          <w:trHeight w:val="3519"/>
        </w:trPr>
        <w:tc>
          <w:tcPr>
            <w:tcW w:w="4599" w:type="dxa"/>
          </w:tcPr>
          <w:p w:rsidR="006A5193" w:rsidRPr="0003106C" w:rsidRDefault="006A5193" w:rsidP="00A04FAE">
            <w:pPr>
              <w:keepNext/>
              <w:jc w:val="both"/>
            </w:pPr>
            <w:r w:rsidRPr="0003106C">
              <w:rPr>
                <w:noProof/>
                <w:lang w:eastAsia="lv-LV"/>
              </w:rPr>
              <w:drawing>
                <wp:inline distT="0" distB="0" distL="0" distR="0" wp14:anchorId="37697D1B" wp14:editId="64F1565D">
                  <wp:extent cx="2878372" cy="2552369"/>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00" w:type="dxa"/>
          </w:tcPr>
          <w:p w:rsidR="006A5193" w:rsidRPr="0003106C" w:rsidRDefault="006A5193" w:rsidP="00A04FAE">
            <w:pPr>
              <w:keepNext/>
              <w:jc w:val="both"/>
            </w:pPr>
            <w:r w:rsidRPr="0003106C">
              <w:rPr>
                <w:noProof/>
                <w:lang w:eastAsia="lv-LV"/>
              </w:rPr>
              <w:drawing>
                <wp:inline distT="0" distB="0" distL="0" distR="0" wp14:anchorId="198B1AA9" wp14:editId="088A75F4">
                  <wp:extent cx="2878372" cy="2552369"/>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6A5193" w:rsidRPr="0003106C" w:rsidRDefault="006A5193" w:rsidP="006A5193">
      <w:pPr>
        <w:ind w:firstLine="567"/>
        <w:jc w:val="both"/>
        <w:rPr>
          <w:sz w:val="26"/>
          <w:szCs w:val="26"/>
        </w:rPr>
      </w:pPr>
    </w:p>
    <w:p w:rsidR="006A5193" w:rsidRPr="0003106C" w:rsidRDefault="006A5193" w:rsidP="006A5193">
      <w:pPr>
        <w:ind w:firstLine="567"/>
        <w:jc w:val="both"/>
        <w:rPr>
          <w:sz w:val="26"/>
          <w:szCs w:val="26"/>
        </w:rPr>
      </w:pPr>
      <w:r w:rsidRPr="0003106C">
        <w:rPr>
          <w:sz w:val="26"/>
          <w:szCs w:val="26"/>
        </w:rPr>
        <w:t>Gada vidējās ienākušās ĀTI plūsmas Baltijas valstī periodā no 2010</w:t>
      </w:r>
      <w:r w:rsidR="00C66A56" w:rsidRPr="0003106C">
        <w:rPr>
          <w:sz w:val="26"/>
          <w:szCs w:val="26"/>
        </w:rPr>
        <w:t>.gada</w:t>
      </w:r>
      <w:r w:rsidRPr="0003106C">
        <w:rPr>
          <w:sz w:val="26"/>
          <w:szCs w:val="26"/>
        </w:rPr>
        <w:t xml:space="preserve"> līdz 2012.gadam ir gandrīz uz pusi mazākā apjomā, nekā pirmskrīzes periodos. Pārsvarā to noteica būtisks ĀTI samazinājums finanšu sektorā. Jāatzīmē, ka ikgadējās ĀTI plūsmas Lietuvas finanšu sektorā pēdējos trijos gados ir līdzvērtīgas pirmskrīzes apjomam, kamēr Latvijā tās veido tikai 30% no ienākušām ĀTI finanšu sektorā pirmskrīzes gados.</w:t>
      </w:r>
    </w:p>
    <w:p w:rsidR="006A5193" w:rsidRPr="0003106C" w:rsidRDefault="006A5193" w:rsidP="006A5193">
      <w:pPr>
        <w:jc w:val="both"/>
        <w:rPr>
          <w:sz w:val="26"/>
          <w:szCs w:val="26"/>
        </w:rPr>
      </w:pPr>
      <w:r w:rsidRPr="0003106C">
        <w:rPr>
          <w:sz w:val="26"/>
          <w:szCs w:val="26"/>
        </w:rPr>
        <w:t>Gandrīz uz pusi mazāk, nekā pirmskrīzes gados tiek piesaistīs ĀTI Latvijas un Lietuvas tirdzniecības nozarē, kamēr Igaunijā vidēji gadā ienākošo ĀTI apjoms šajā nozarē ir sasniedzis pirmskrīzes līmeni.</w:t>
      </w:r>
    </w:p>
    <w:p w:rsidR="006A5193" w:rsidRPr="0003106C" w:rsidRDefault="006A5193" w:rsidP="006A5193">
      <w:pPr>
        <w:ind w:firstLine="567"/>
        <w:jc w:val="both"/>
        <w:rPr>
          <w:sz w:val="26"/>
          <w:szCs w:val="26"/>
        </w:rPr>
      </w:pPr>
      <w:r w:rsidRPr="0003106C">
        <w:rPr>
          <w:sz w:val="26"/>
          <w:szCs w:val="26"/>
        </w:rPr>
        <w:t>Iepriekšminētās tendences lielā mērā noteica izmaiņas ienākošo ĀTI struktūrā. Pirmskrīzes periodā Baltijas valstīs ĀTI plūsmas koncentrējās finanšu sektorā (2005.-</w:t>
      </w:r>
      <w:r w:rsidRPr="0003106C">
        <w:rPr>
          <w:sz w:val="26"/>
          <w:szCs w:val="26"/>
        </w:rPr>
        <w:lastRenderedPageBreak/>
        <w:t>2007.gadā gandrīz puse no visām Baltijas valstīs ienākošām ĀTI), it īpaši Igaunijā un Latvijā.</w:t>
      </w:r>
      <w:r w:rsidRPr="0003106C">
        <w:t xml:space="preserve"> </w:t>
      </w:r>
      <w:r w:rsidRPr="0003106C">
        <w:rPr>
          <w:sz w:val="26"/>
          <w:szCs w:val="26"/>
        </w:rPr>
        <w:t xml:space="preserve">Lietuvā šajā periodā ĀTI sadalījums pa nozarēm bija vienmērīgāks un visapjomīgāk tās tika piesaistītas apstrādes rūpniecībā. </w:t>
      </w:r>
    </w:p>
    <w:p w:rsidR="006A5193" w:rsidRPr="0003106C" w:rsidRDefault="006A5193" w:rsidP="006A5193">
      <w:pPr>
        <w:ind w:firstLine="567"/>
        <w:jc w:val="both"/>
        <w:rPr>
          <w:sz w:val="26"/>
          <w:szCs w:val="26"/>
        </w:rPr>
      </w:pPr>
      <w:r w:rsidRPr="0003106C">
        <w:rPr>
          <w:sz w:val="26"/>
          <w:szCs w:val="26"/>
        </w:rPr>
        <w:t>Kopš 2010.gada ienākošo ĀTI struktūrā Latvijā un Igaunijā ir kļuvusi vienmērīgāka, bez izteiktas finanšu sektora dominances. Tomēr jāatzīmē, Latvijā ienākušo ĀTI daļa apstrādes rūpniecībā ir gandrīz uz pusi mazāka, nekā Igaunijā.</w:t>
      </w:r>
    </w:p>
    <w:p w:rsidR="006A5193" w:rsidRPr="0003106C" w:rsidRDefault="00F0426C" w:rsidP="006A5193">
      <w:pPr>
        <w:keepNext/>
        <w:spacing w:before="240" w:after="240"/>
        <w:jc w:val="right"/>
        <w:rPr>
          <w:sz w:val="26"/>
          <w:szCs w:val="26"/>
        </w:rPr>
      </w:pPr>
      <w:r w:rsidRPr="0003106C">
        <w:rPr>
          <w:sz w:val="26"/>
          <w:szCs w:val="26"/>
        </w:rPr>
        <w:t>10</w:t>
      </w:r>
      <w:r w:rsidR="006A5193" w:rsidRPr="0003106C">
        <w:rPr>
          <w:sz w:val="26"/>
          <w:szCs w:val="26"/>
        </w:rPr>
        <w:t>.attēls</w:t>
      </w:r>
    </w:p>
    <w:p w:rsidR="006A5193" w:rsidRPr="0003106C" w:rsidRDefault="006A5193" w:rsidP="006A5193">
      <w:pPr>
        <w:jc w:val="center"/>
        <w:rPr>
          <w:b/>
        </w:rPr>
      </w:pPr>
      <w:r w:rsidRPr="0003106C">
        <w:rPr>
          <w:b/>
        </w:rPr>
        <w:t>Ienākošās ĀTI plūsmas Baltijas valstu apstrādes rūpniecībā</w:t>
      </w:r>
    </w:p>
    <w:p w:rsidR="006A5193" w:rsidRPr="0003106C" w:rsidRDefault="006A5193" w:rsidP="006A5193">
      <w:pPr>
        <w:jc w:val="center"/>
      </w:pPr>
      <w:r w:rsidRPr="0003106C">
        <w:t>(procentos)</w:t>
      </w:r>
    </w:p>
    <w:p w:rsidR="006A5193" w:rsidRPr="0003106C" w:rsidRDefault="006A5193" w:rsidP="006A5193">
      <w:pPr>
        <w:jc w:val="center"/>
      </w:pPr>
      <w:r w:rsidRPr="0003106C">
        <w:rPr>
          <w:noProof/>
          <w:sz w:val="28"/>
          <w:lang w:eastAsia="lv-LV"/>
        </w:rPr>
        <w:drawing>
          <wp:inline distT="0" distB="0" distL="0" distR="0" wp14:anchorId="42DBB9BA" wp14:editId="0270F53B">
            <wp:extent cx="4320000" cy="2520000"/>
            <wp:effectExtent l="0" t="0" r="0" b="0"/>
            <wp:docPr id="15"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A5193" w:rsidRPr="0003106C" w:rsidRDefault="006A5193" w:rsidP="006A5193">
      <w:pPr>
        <w:ind w:firstLine="851"/>
        <w:jc w:val="both"/>
      </w:pPr>
    </w:p>
    <w:p w:rsidR="006A5193" w:rsidRPr="0003106C" w:rsidRDefault="006A5193" w:rsidP="006A5193">
      <w:pPr>
        <w:ind w:firstLine="567"/>
        <w:jc w:val="both"/>
        <w:rPr>
          <w:sz w:val="26"/>
          <w:szCs w:val="26"/>
        </w:rPr>
      </w:pPr>
      <w:r w:rsidRPr="0003106C">
        <w:rPr>
          <w:sz w:val="26"/>
          <w:szCs w:val="26"/>
        </w:rPr>
        <w:t>Latvijā apstrādes rūpniecības daļa piesaistīto ĀTI struktūrā ir palielinājusies no 7,6% pirmskrīzes gados līdz 10,9% pašlaik, Igaunijā no 10,7 līdz 20%, savukārt Lietuvā tā samazinājās no 36,4% līdz 14,4%. Lietuva šajā periodā ir piesaistījusi 31% no visām Baltijas valstīs ienākošām ĀTI apstrādes rūpniecībā, Igaunija 48%, bet Latvija 21%. Savukārt uz katru nodarbināto apstrādes rūpniecībā vidēji gadā Igaunijā bija lielākas investīcijas nekā Lietuvā, atbilstoši 1840 eiro un 807 eiro, bet Latvijā tikai 679 eiro. Kopumā jāsecina, ka salīdzinot ar pārējām Baltijas valstīm Latvijas apstrādes rūpniecība ir mazāk pievilcīga ārvalstu investoriem nekā Lietuva un Igaunija. Daļēji to izskaidro ĀTI ienesīguma (</w:t>
      </w:r>
      <w:r w:rsidRPr="0003106C">
        <w:rPr>
          <w:i/>
          <w:sz w:val="26"/>
          <w:szCs w:val="26"/>
        </w:rPr>
        <w:t>FDI rate of return</w:t>
      </w:r>
      <w:r w:rsidRPr="0003106C">
        <w:rPr>
          <w:sz w:val="26"/>
          <w:szCs w:val="26"/>
        </w:rPr>
        <w:t>) salīdzinājums</w:t>
      </w:r>
      <w:r w:rsidRPr="0003106C">
        <w:rPr>
          <w:rStyle w:val="FootnoteReference"/>
          <w:rFonts w:eastAsiaTheme="majorEastAsia"/>
          <w:sz w:val="26"/>
          <w:szCs w:val="26"/>
        </w:rPr>
        <w:footnoteReference w:id="18"/>
      </w:r>
      <w:r w:rsidRPr="0003106C">
        <w:rPr>
          <w:sz w:val="26"/>
          <w:szCs w:val="26"/>
        </w:rPr>
        <w:t>.</w:t>
      </w:r>
    </w:p>
    <w:p w:rsidR="006A5193" w:rsidRPr="0003106C" w:rsidRDefault="006A5193" w:rsidP="006A5193">
      <w:pPr>
        <w:ind w:firstLine="567"/>
        <w:jc w:val="both"/>
        <w:rPr>
          <w:sz w:val="26"/>
          <w:szCs w:val="26"/>
        </w:rPr>
      </w:pPr>
      <w:r w:rsidRPr="0003106C">
        <w:rPr>
          <w:sz w:val="26"/>
          <w:szCs w:val="26"/>
        </w:rPr>
        <w:t>Vislielākais ĀTI ienesīgums apstrādes rūpniecībā ir Igaunijai, kamēr Latvijā un Lietuvā šis rādītājs ir gandrīz 1,5 reizes mazāks. Tomēr jāatzīmē, ka Latvijā ĀTI ienesīguma rādītājs kopš 2010.gada ir lielāks, nekā pirmskrīzes gados. Vēl jo vairāk, j</w:t>
      </w:r>
      <w:r w:rsidR="004A3002" w:rsidRPr="0003106C">
        <w:rPr>
          <w:sz w:val="26"/>
          <w:szCs w:val="26"/>
        </w:rPr>
        <w:t>a</w:t>
      </w:r>
      <w:r w:rsidRPr="0003106C">
        <w:rPr>
          <w:sz w:val="26"/>
          <w:szCs w:val="26"/>
        </w:rPr>
        <w:t xml:space="preserve"> pirms krīzes periodā ĀTI ienesīgums apstrādes rūpniecībā bija gandrīz uz pusi mazāks, nekā kopumā Latvijas tautsaimniecībā, tad pašlaik tas ir 1,6 reizes lielāks. Tas nozīmē, ka ārvalstu tiešās investīcijas Latvijas apstrādes rūpniecībā ir relatīvi izdevīgākas, nekā citās tautsaimniecības nozarēs valstī.</w:t>
      </w:r>
    </w:p>
    <w:p w:rsidR="006A5193" w:rsidRPr="0003106C" w:rsidRDefault="006A5193" w:rsidP="006A5193">
      <w:pPr>
        <w:ind w:firstLine="567"/>
        <w:jc w:val="both"/>
        <w:rPr>
          <w:sz w:val="26"/>
          <w:szCs w:val="26"/>
        </w:rPr>
      </w:pPr>
      <w:r w:rsidRPr="0003106C">
        <w:rPr>
          <w:sz w:val="26"/>
          <w:szCs w:val="26"/>
        </w:rPr>
        <w:t>Salīdzinot valstis pēc uzkrātajām ĀTI uz vienu iedzīvotāju, 2012.gadā Igaunija bija pirmajā vietā – 10</w:t>
      </w:r>
      <w:r w:rsidR="00F0426C" w:rsidRPr="0003106C">
        <w:rPr>
          <w:sz w:val="26"/>
          <w:szCs w:val="26"/>
        </w:rPr>
        <w:t> </w:t>
      </w:r>
      <w:r w:rsidRPr="0003106C">
        <w:rPr>
          <w:sz w:val="26"/>
          <w:szCs w:val="26"/>
        </w:rPr>
        <w:t xml:space="preserve">649 eiro, Latvija </w:t>
      </w:r>
      <w:r w:rsidR="004A3002" w:rsidRPr="0003106C">
        <w:rPr>
          <w:sz w:val="26"/>
          <w:szCs w:val="26"/>
        </w:rPr>
        <w:t xml:space="preserve">– </w:t>
      </w:r>
      <w:r w:rsidRPr="0003106C">
        <w:rPr>
          <w:sz w:val="26"/>
          <w:szCs w:val="26"/>
        </w:rPr>
        <w:t xml:space="preserve">otrā vietā </w:t>
      </w:r>
      <w:r w:rsidR="004A3002" w:rsidRPr="0003106C">
        <w:rPr>
          <w:sz w:val="26"/>
          <w:szCs w:val="26"/>
        </w:rPr>
        <w:t xml:space="preserve">ar </w:t>
      </w:r>
      <w:r w:rsidRPr="0003106C">
        <w:rPr>
          <w:sz w:val="26"/>
          <w:szCs w:val="26"/>
        </w:rPr>
        <w:t xml:space="preserve">4 834 eiro, bet Lietuva </w:t>
      </w:r>
      <w:r w:rsidR="004A3002" w:rsidRPr="0003106C">
        <w:rPr>
          <w:sz w:val="26"/>
          <w:szCs w:val="26"/>
        </w:rPr>
        <w:t xml:space="preserve">– </w:t>
      </w:r>
      <w:r w:rsidRPr="0003106C">
        <w:rPr>
          <w:sz w:val="26"/>
          <w:szCs w:val="26"/>
        </w:rPr>
        <w:t xml:space="preserve">trešā vietā </w:t>
      </w:r>
      <w:r w:rsidR="004A3002" w:rsidRPr="0003106C">
        <w:rPr>
          <w:sz w:val="26"/>
          <w:szCs w:val="26"/>
        </w:rPr>
        <w:t>ar</w:t>
      </w:r>
      <w:r w:rsidRPr="0003106C">
        <w:rPr>
          <w:sz w:val="26"/>
          <w:szCs w:val="26"/>
        </w:rPr>
        <w:t xml:space="preserve"> 3</w:t>
      </w:r>
      <w:r w:rsidR="00F0426C" w:rsidRPr="0003106C">
        <w:rPr>
          <w:sz w:val="26"/>
          <w:szCs w:val="26"/>
        </w:rPr>
        <w:t> </w:t>
      </w:r>
      <w:r w:rsidRPr="0003106C">
        <w:rPr>
          <w:sz w:val="26"/>
          <w:szCs w:val="26"/>
        </w:rPr>
        <w:t>934 eiro.</w:t>
      </w:r>
    </w:p>
    <w:p w:rsidR="006A5193" w:rsidRPr="0003106C" w:rsidRDefault="006A5193" w:rsidP="006A5193">
      <w:pPr>
        <w:ind w:firstLine="567"/>
        <w:jc w:val="both"/>
        <w:rPr>
          <w:sz w:val="26"/>
          <w:szCs w:val="26"/>
        </w:rPr>
      </w:pPr>
      <w:r w:rsidRPr="0003106C">
        <w:rPr>
          <w:sz w:val="26"/>
          <w:szCs w:val="26"/>
        </w:rPr>
        <w:lastRenderedPageBreak/>
        <w:t xml:space="preserve">Izšķiroša loma investoru izvēlē, kurā valstī veikt ieguldījumus, ir valsts investīciju vides novērtējumam, it īpaši tas attiecas uz iespējām attīstīt </w:t>
      </w:r>
      <w:r w:rsidR="00A95BD0" w:rsidRPr="0003106C">
        <w:rPr>
          <w:sz w:val="26"/>
          <w:szCs w:val="26"/>
        </w:rPr>
        <w:t xml:space="preserve">uz </w:t>
      </w:r>
      <w:r w:rsidRPr="0003106C">
        <w:rPr>
          <w:sz w:val="26"/>
          <w:szCs w:val="26"/>
        </w:rPr>
        <w:t>ārējo pieprasījumu orientēto nozaru uzņēmumus, t.sk., apstrādes rūpniecības uzņēmumus.</w:t>
      </w:r>
    </w:p>
    <w:p w:rsidR="006A5193" w:rsidRPr="0003106C" w:rsidRDefault="0050536D" w:rsidP="004A3002">
      <w:pPr>
        <w:pStyle w:val="BodyText"/>
        <w:ind w:firstLine="567"/>
        <w:jc w:val="both"/>
        <w:rPr>
          <w:sz w:val="26"/>
          <w:szCs w:val="26"/>
        </w:rPr>
      </w:pPr>
      <w:r w:rsidRPr="0003106C">
        <w:rPr>
          <w:sz w:val="26"/>
          <w:szCs w:val="26"/>
        </w:rPr>
        <w:t>Investīciju projekti Eiropā tuvākajā nākotnē varētu būt apjoma ziņā mazāki, vairāk selektīvi un reģionāli koncentrēti. Vienlaikus tiek prognozēts, ka investīciju projekti būs vērsti uz pieprasījuma apmierināšanu pēc jaunākajām tehnoloģijām, pakalpojumiem, plaša patēriņa precēm, infrastruktūras, kā arī visa veida atjaunojamo resursu izmantošanu un videi draudzīgu tehnoloģiju ieviešanu.</w:t>
      </w:r>
    </w:p>
    <w:p w:rsidR="00073024" w:rsidRPr="0003106C" w:rsidRDefault="00073024" w:rsidP="00073024">
      <w:pPr>
        <w:ind w:firstLine="567"/>
        <w:jc w:val="both"/>
      </w:pPr>
    </w:p>
    <w:p w:rsidR="00073024" w:rsidRPr="0003106C" w:rsidRDefault="006A0151" w:rsidP="006A0151">
      <w:pPr>
        <w:pStyle w:val="Heading2"/>
        <w:tabs>
          <w:tab w:val="left" w:pos="851"/>
        </w:tabs>
        <w:autoSpaceDE w:val="0"/>
        <w:autoSpaceDN w:val="0"/>
        <w:adjustRightInd w:val="0"/>
        <w:spacing w:before="0"/>
        <w:ind w:left="360"/>
        <w:rPr>
          <w:rFonts w:ascii="Times New Roman" w:eastAsia="Calibri" w:hAnsi="Times New Roman" w:cs="Times New Roman"/>
          <w:bCs w:val="0"/>
          <w:i w:val="0"/>
          <w:iCs w:val="0"/>
          <w:sz w:val="26"/>
          <w:szCs w:val="26"/>
        </w:rPr>
      </w:pPr>
      <w:bookmarkStart w:id="6" w:name="_Toc355961029"/>
      <w:r w:rsidRPr="0003106C">
        <w:rPr>
          <w:rFonts w:ascii="Times New Roman" w:eastAsia="Calibri" w:hAnsi="Times New Roman" w:cs="Times New Roman"/>
          <w:bCs w:val="0"/>
          <w:i w:val="0"/>
          <w:iCs w:val="0"/>
          <w:sz w:val="26"/>
          <w:szCs w:val="26"/>
        </w:rPr>
        <w:t>3.3. </w:t>
      </w:r>
      <w:r w:rsidR="00073024" w:rsidRPr="0003106C">
        <w:rPr>
          <w:rFonts w:ascii="Times New Roman" w:eastAsia="Calibri" w:hAnsi="Times New Roman" w:cs="Times New Roman"/>
          <w:bCs w:val="0"/>
          <w:i w:val="0"/>
          <w:iCs w:val="0"/>
          <w:sz w:val="26"/>
          <w:szCs w:val="26"/>
        </w:rPr>
        <w:t>Latvijas investīciju vides novērtējums</w:t>
      </w:r>
      <w:bookmarkEnd w:id="6"/>
    </w:p>
    <w:bookmarkEnd w:id="3"/>
    <w:p w:rsidR="00073024" w:rsidRPr="0003106C" w:rsidRDefault="00073024" w:rsidP="00073024">
      <w:pPr>
        <w:ind w:firstLine="567"/>
        <w:jc w:val="both"/>
        <w:rPr>
          <w:sz w:val="26"/>
          <w:szCs w:val="26"/>
        </w:rPr>
      </w:pPr>
      <w:r w:rsidRPr="0003106C">
        <w:rPr>
          <w:sz w:val="26"/>
          <w:szCs w:val="26"/>
        </w:rPr>
        <w:t xml:space="preserve">Starptautiski atzīti un piemēroti uzņēmējdarbības vides un investīciju pievilcīguma novērtējumi tiek plaši izmantoti, lai raksturotu konkrētas valsts vai reģiona priekšrocības un trūkumus, kas tālāk kalpo investoriem kā informācijas avots lēmumu pieņemšanā attiecībā par valsti, kurā investēt un īstenot savu uzņēmējdarbību. Tāpēc nepieciešams nodrošināt šo novērtējumu regulāru analīzi, nepieciešamo reformu pasākumu ieviešanu, kā arī atbilstošas informācijas sniegšanu vērtējumu gatavotājiem. </w:t>
      </w:r>
    </w:p>
    <w:p w:rsidR="00073024" w:rsidRPr="0003106C" w:rsidRDefault="00073024" w:rsidP="00073024">
      <w:pPr>
        <w:ind w:firstLine="567"/>
        <w:jc w:val="both"/>
        <w:rPr>
          <w:sz w:val="26"/>
          <w:szCs w:val="26"/>
        </w:rPr>
      </w:pPr>
      <w:r w:rsidRPr="0003106C">
        <w:rPr>
          <w:sz w:val="26"/>
          <w:szCs w:val="26"/>
        </w:rPr>
        <w:t xml:space="preserve">Kā vienus no visbiežāk izmantotajiem novērtējumiem var minēt: </w:t>
      </w:r>
      <w:r w:rsidRPr="0003106C">
        <w:rPr>
          <w:rFonts w:eastAsia="MS Mincho"/>
          <w:sz w:val="26"/>
          <w:szCs w:val="26"/>
          <w:lang w:eastAsia="ja-JP"/>
        </w:rPr>
        <w:t>Pasaules ekonomikas foruma Globālās konkurētspējas indeksu (</w:t>
      </w:r>
      <w:r w:rsidRPr="0003106C">
        <w:rPr>
          <w:rFonts w:eastAsia="MS Mincho"/>
          <w:i/>
          <w:sz w:val="26"/>
          <w:szCs w:val="26"/>
          <w:lang w:eastAsia="ja-JP"/>
        </w:rPr>
        <w:t>World Economic Forum „Global Competitiveness Index”</w:t>
      </w:r>
      <w:r w:rsidRPr="0003106C">
        <w:rPr>
          <w:rFonts w:eastAsia="MS Mincho"/>
          <w:sz w:val="26"/>
          <w:szCs w:val="26"/>
          <w:lang w:eastAsia="ja-JP"/>
        </w:rPr>
        <w:t xml:space="preserve">), Pasaules Bankas novērtējumu </w:t>
      </w:r>
      <w:r w:rsidRPr="0003106C">
        <w:rPr>
          <w:rFonts w:eastAsia="MS Mincho"/>
          <w:i/>
          <w:sz w:val="26"/>
          <w:szCs w:val="26"/>
          <w:lang w:eastAsia="ja-JP"/>
        </w:rPr>
        <w:t>Doing Business</w:t>
      </w:r>
      <w:r w:rsidRPr="0003106C">
        <w:rPr>
          <w:rFonts w:eastAsia="MS Mincho"/>
          <w:sz w:val="26"/>
          <w:szCs w:val="26"/>
          <w:lang w:eastAsia="ja-JP"/>
        </w:rPr>
        <w:t>, Ekonomiskās brīvības indeksu (</w:t>
      </w:r>
      <w:r w:rsidRPr="0003106C">
        <w:rPr>
          <w:rFonts w:eastAsia="MS Mincho"/>
          <w:i/>
          <w:sz w:val="26"/>
          <w:szCs w:val="26"/>
          <w:lang w:eastAsia="ja-JP"/>
        </w:rPr>
        <w:t>The Wall Street Journal, The Heritage Foundatio</w:t>
      </w:r>
      <w:r w:rsidR="003C4E3B" w:rsidRPr="0003106C">
        <w:rPr>
          <w:rFonts w:eastAsia="MS Mincho"/>
          <w:i/>
          <w:sz w:val="26"/>
          <w:szCs w:val="26"/>
          <w:lang w:eastAsia="ja-JP"/>
        </w:rPr>
        <w:t>n „Index of Economic freedom”</w:t>
      </w:r>
      <w:r w:rsidR="003C4E3B" w:rsidRPr="0003106C">
        <w:rPr>
          <w:rFonts w:eastAsia="MS Mincho"/>
          <w:sz w:val="26"/>
          <w:szCs w:val="26"/>
          <w:lang w:eastAsia="ja-JP"/>
        </w:rPr>
        <w:t>)</w:t>
      </w:r>
      <w:r w:rsidR="009962E5" w:rsidRPr="0003106C">
        <w:rPr>
          <w:rFonts w:eastAsia="MS Mincho"/>
          <w:sz w:val="26"/>
          <w:szCs w:val="26"/>
          <w:lang w:eastAsia="ja-JP"/>
        </w:rPr>
        <w:t xml:space="preserve"> (skatīt arī 3.pielikumu)</w:t>
      </w:r>
      <w:r w:rsidRPr="0003106C">
        <w:rPr>
          <w:rFonts w:eastAsia="MS Mincho"/>
          <w:sz w:val="26"/>
          <w:szCs w:val="26"/>
          <w:lang w:eastAsia="ja-JP"/>
        </w:rPr>
        <w:t xml:space="preserve">. </w:t>
      </w:r>
    </w:p>
    <w:p w:rsidR="00073024" w:rsidRPr="0003106C" w:rsidRDefault="00073024" w:rsidP="00257645">
      <w:pPr>
        <w:ind w:firstLine="567"/>
        <w:jc w:val="both"/>
        <w:rPr>
          <w:sz w:val="26"/>
          <w:szCs w:val="26"/>
        </w:rPr>
      </w:pPr>
      <w:r w:rsidRPr="0003106C">
        <w:rPr>
          <w:b/>
          <w:bCs/>
          <w:i/>
          <w:sz w:val="26"/>
          <w:szCs w:val="26"/>
        </w:rPr>
        <w:t>Globālās konkurētspējas indeks</w:t>
      </w:r>
      <w:r w:rsidR="00257645" w:rsidRPr="0003106C">
        <w:rPr>
          <w:b/>
          <w:bCs/>
          <w:i/>
          <w:sz w:val="26"/>
          <w:szCs w:val="26"/>
        </w:rPr>
        <w:t>a</w:t>
      </w:r>
      <w:r w:rsidRPr="0003106C">
        <w:rPr>
          <w:sz w:val="26"/>
          <w:szCs w:val="26"/>
        </w:rPr>
        <w:t xml:space="preserve"> </w:t>
      </w:r>
      <w:r w:rsidR="00840D7F" w:rsidRPr="0003106C">
        <w:rPr>
          <w:rStyle w:val="FootnoteReference"/>
          <w:sz w:val="26"/>
          <w:szCs w:val="26"/>
        </w:rPr>
        <w:footnoteReference w:id="19"/>
      </w:r>
      <w:r w:rsidR="00BC0D7D" w:rsidRPr="0003106C">
        <w:rPr>
          <w:i/>
          <w:iCs/>
          <w:sz w:val="26"/>
          <w:szCs w:val="26"/>
        </w:rPr>
        <w:t>2012</w:t>
      </w:r>
      <w:r w:rsidRPr="0003106C">
        <w:rPr>
          <w:i/>
          <w:iCs/>
          <w:sz w:val="26"/>
          <w:szCs w:val="26"/>
        </w:rPr>
        <w:t>-201</w:t>
      </w:r>
      <w:r w:rsidR="00BC0D7D" w:rsidRPr="0003106C">
        <w:rPr>
          <w:i/>
          <w:iCs/>
          <w:sz w:val="26"/>
          <w:szCs w:val="26"/>
        </w:rPr>
        <w:t>3</w:t>
      </w:r>
      <w:r w:rsidR="00BC0D7D" w:rsidRPr="0003106C">
        <w:rPr>
          <w:sz w:val="26"/>
          <w:szCs w:val="26"/>
        </w:rPr>
        <w:t xml:space="preserve"> vērtējumā Latvija ierindota 55</w:t>
      </w:r>
      <w:r w:rsidRPr="0003106C">
        <w:rPr>
          <w:sz w:val="26"/>
          <w:szCs w:val="26"/>
        </w:rPr>
        <w:t>.vietā (</w:t>
      </w:r>
      <w:r w:rsidR="00C12F60" w:rsidRPr="0003106C">
        <w:rPr>
          <w:sz w:val="26"/>
          <w:szCs w:val="26"/>
        </w:rPr>
        <w:t xml:space="preserve">iepriekš </w:t>
      </w:r>
      <w:r w:rsidR="00BC0D7D" w:rsidRPr="0003106C">
        <w:rPr>
          <w:sz w:val="26"/>
          <w:szCs w:val="26"/>
        </w:rPr>
        <w:t>ieņēma 64.vietu) no 144 valstīm, vienlaikus p</w:t>
      </w:r>
      <w:r w:rsidRPr="0003106C">
        <w:rPr>
          <w:sz w:val="26"/>
          <w:szCs w:val="26"/>
        </w:rPr>
        <w:t xml:space="preserve">amatprasību (institucionālās vides, sabiedriskās infrastruktūras kvalitāte, makroekonomiskā vide, veselība un pamatizglītība) izpildē Latvija no </w:t>
      </w:r>
      <w:r w:rsidR="00BC0D7D" w:rsidRPr="0003106C">
        <w:rPr>
          <w:sz w:val="26"/>
          <w:szCs w:val="26"/>
        </w:rPr>
        <w:t>66.vietas ir pakāpusies uz 54.vietu</w:t>
      </w:r>
      <w:r w:rsidR="00490166" w:rsidRPr="0003106C">
        <w:rPr>
          <w:sz w:val="26"/>
          <w:szCs w:val="26"/>
        </w:rPr>
        <w:t>. E</w:t>
      </w:r>
      <w:r w:rsidRPr="0003106C">
        <w:rPr>
          <w:sz w:val="26"/>
          <w:szCs w:val="26"/>
        </w:rPr>
        <w:t xml:space="preserve">fektivitāti pastiprinošajos rādītājos (augstākā izglītība, produktu tirgus un darba spēka tirgus efektivitāte, finanšu tirgus attīstība, tehnoloģiju gatavība un tirgus lielums) ir vērojams uzlabojums no </w:t>
      </w:r>
      <w:r w:rsidR="00BC0D7D" w:rsidRPr="0003106C">
        <w:rPr>
          <w:sz w:val="26"/>
          <w:szCs w:val="26"/>
        </w:rPr>
        <w:t>54.vietas uz 48</w:t>
      </w:r>
      <w:r w:rsidRPr="0003106C">
        <w:rPr>
          <w:sz w:val="26"/>
          <w:szCs w:val="26"/>
        </w:rPr>
        <w:t xml:space="preserve">.vietu, </w:t>
      </w:r>
      <w:r w:rsidR="00BC0D7D" w:rsidRPr="0003106C">
        <w:rPr>
          <w:sz w:val="26"/>
          <w:szCs w:val="26"/>
        </w:rPr>
        <w:t xml:space="preserve">tomēr </w:t>
      </w:r>
      <w:r w:rsidRPr="0003106C">
        <w:rPr>
          <w:sz w:val="26"/>
          <w:szCs w:val="26"/>
        </w:rPr>
        <w:t xml:space="preserve">uzņēmējdarbības apmierinātības un inovācijas rādītājā ir </w:t>
      </w:r>
      <w:r w:rsidR="00BC0D7D" w:rsidRPr="0003106C">
        <w:rPr>
          <w:sz w:val="26"/>
          <w:szCs w:val="26"/>
        </w:rPr>
        <w:t>vērojams kritums</w:t>
      </w:r>
      <w:r w:rsidRPr="0003106C">
        <w:rPr>
          <w:sz w:val="26"/>
          <w:szCs w:val="26"/>
        </w:rPr>
        <w:t xml:space="preserve"> no </w:t>
      </w:r>
      <w:r w:rsidR="00BC0D7D" w:rsidRPr="0003106C">
        <w:rPr>
          <w:sz w:val="26"/>
          <w:szCs w:val="26"/>
        </w:rPr>
        <w:t>64</w:t>
      </w:r>
      <w:r w:rsidRPr="0003106C">
        <w:rPr>
          <w:sz w:val="26"/>
          <w:szCs w:val="26"/>
        </w:rPr>
        <w:t xml:space="preserve">.vietas uz </w:t>
      </w:r>
      <w:r w:rsidR="00BC0D7D" w:rsidRPr="0003106C">
        <w:rPr>
          <w:sz w:val="26"/>
          <w:szCs w:val="26"/>
        </w:rPr>
        <w:t>68</w:t>
      </w:r>
      <w:r w:rsidRPr="0003106C">
        <w:rPr>
          <w:sz w:val="26"/>
          <w:szCs w:val="26"/>
        </w:rPr>
        <w:t xml:space="preserve">.vietu. Latvijas vājākās vietas ir – publisko institūciju vides kvalitāte, sabiedriskās infrastruktūras kvalitāte, uzņēmējdarbības kvalitāte, inovācijas, tehnoloģiju līmenis. </w:t>
      </w:r>
    </w:p>
    <w:p w:rsidR="006B16B7" w:rsidRPr="0003106C" w:rsidRDefault="006B16B7" w:rsidP="006B16B7">
      <w:pPr>
        <w:ind w:firstLine="567"/>
        <w:jc w:val="both"/>
        <w:rPr>
          <w:color w:val="000000" w:themeColor="text1"/>
          <w:sz w:val="26"/>
          <w:szCs w:val="26"/>
        </w:rPr>
      </w:pPr>
      <w:r w:rsidRPr="0003106C">
        <w:rPr>
          <w:color w:val="000000" w:themeColor="text1"/>
          <w:sz w:val="26"/>
          <w:szCs w:val="26"/>
        </w:rPr>
        <w:t xml:space="preserve">Uzņēmējdarbība Latvijā </w:t>
      </w:r>
      <w:r w:rsidR="001C22BB" w:rsidRPr="0003106C">
        <w:rPr>
          <w:b/>
          <w:bCs/>
          <w:i/>
          <w:sz w:val="26"/>
          <w:szCs w:val="26"/>
        </w:rPr>
        <w:t xml:space="preserve">Pasaules Bankas novērtējuma </w:t>
      </w:r>
      <w:proofErr w:type="spellStart"/>
      <w:r w:rsidR="001C22BB" w:rsidRPr="0003106C">
        <w:rPr>
          <w:b/>
          <w:bCs/>
          <w:i/>
          <w:sz w:val="26"/>
          <w:szCs w:val="26"/>
        </w:rPr>
        <w:t>Doing</w:t>
      </w:r>
      <w:proofErr w:type="spellEnd"/>
      <w:r w:rsidR="001C22BB" w:rsidRPr="0003106C">
        <w:rPr>
          <w:b/>
          <w:bCs/>
          <w:i/>
          <w:sz w:val="26"/>
          <w:szCs w:val="26"/>
        </w:rPr>
        <w:t xml:space="preserve"> </w:t>
      </w:r>
      <w:proofErr w:type="spellStart"/>
      <w:r w:rsidR="001C22BB" w:rsidRPr="0003106C">
        <w:rPr>
          <w:b/>
          <w:bCs/>
          <w:i/>
          <w:sz w:val="26"/>
          <w:szCs w:val="26"/>
        </w:rPr>
        <w:t>Busines</w:t>
      </w:r>
      <w:r w:rsidR="004A3002" w:rsidRPr="0003106C">
        <w:rPr>
          <w:b/>
          <w:bCs/>
          <w:i/>
          <w:sz w:val="26"/>
          <w:szCs w:val="26"/>
        </w:rPr>
        <w:t>s</w:t>
      </w:r>
      <w:proofErr w:type="spellEnd"/>
      <w:r w:rsidR="001C22BB" w:rsidRPr="0003106C">
        <w:rPr>
          <w:rStyle w:val="FootnoteReference"/>
          <w:b/>
          <w:bCs/>
          <w:i/>
          <w:sz w:val="26"/>
          <w:szCs w:val="26"/>
        </w:rPr>
        <w:footnoteReference w:id="20"/>
      </w:r>
      <w:r w:rsidR="001C22BB" w:rsidRPr="0003106C">
        <w:rPr>
          <w:sz w:val="26"/>
          <w:szCs w:val="26"/>
        </w:rPr>
        <w:t xml:space="preserve"> </w:t>
      </w:r>
      <w:r w:rsidRPr="0003106C">
        <w:rPr>
          <w:color w:val="000000" w:themeColor="text1"/>
          <w:sz w:val="26"/>
          <w:szCs w:val="26"/>
        </w:rPr>
        <w:t>2013.gada indeksā ir salīdzinoši labi novērtēta – starp 185 pasaules valstīm ierindojot 25.vietā (2012.gadā – 21.vieta) un starp ES dalībvalstīm – 8.vietā</w:t>
      </w:r>
      <w:r w:rsidR="001C22BB" w:rsidRPr="0003106C">
        <w:rPr>
          <w:color w:val="000000" w:themeColor="text1"/>
          <w:sz w:val="26"/>
          <w:szCs w:val="26"/>
        </w:rPr>
        <w:t xml:space="preserve">. </w:t>
      </w:r>
      <w:r w:rsidRPr="0003106C">
        <w:rPr>
          <w:i/>
          <w:iCs/>
          <w:color w:val="000000" w:themeColor="text1"/>
          <w:sz w:val="26"/>
          <w:szCs w:val="26"/>
        </w:rPr>
        <w:t>Doing Business 2013</w:t>
      </w:r>
      <w:r w:rsidRPr="0003106C">
        <w:rPr>
          <w:color w:val="000000" w:themeColor="text1"/>
          <w:sz w:val="26"/>
          <w:szCs w:val="26"/>
        </w:rPr>
        <w:t xml:space="preserve"> Latvija ir iekļauta kā labās prakses piemērs uzņēmējdarbības vides sakārtošanā. Pētījumā ir atzīts, ka valsts pārvaldes mērķtiecīgu uzdevumu rezultātā Latvijā piecpadsmit gadu laikā ir nodrošināts nepārtraukts reformu cikls, pateicoties tam ieguvēji ir Latvijas ekonomika un uzņēmēji. Pasaules Banka norāda, ka pateicoties reformām un valsts pārvaldes korporatīvās pārvaldības principu stiprināšanai, Latvija ir palielinājusi investoru uzticamību un kopējo tirgus stabilitāti. </w:t>
      </w:r>
    </w:p>
    <w:p w:rsidR="006B16B7" w:rsidRPr="0003106C" w:rsidRDefault="006B16B7" w:rsidP="008402FD">
      <w:pPr>
        <w:ind w:firstLine="567"/>
        <w:jc w:val="both"/>
        <w:rPr>
          <w:color w:val="000000" w:themeColor="text1"/>
          <w:sz w:val="26"/>
          <w:szCs w:val="26"/>
        </w:rPr>
      </w:pPr>
      <w:r w:rsidRPr="0003106C">
        <w:rPr>
          <w:color w:val="000000" w:themeColor="text1"/>
          <w:sz w:val="26"/>
          <w:szCs w:val="26"/>
        </w:rPr>
        <w:t>Uzņēmējdarbības dzīves cikla jomas, kurās tiek veikta pilnveidošana ir uzņēmējdarbības uzsākšana (59.vieta), būvniecības atļauju saņemšana (113.vieta), nodokļu maksāšana (52.vieta), līgumsaistību izpilde (24.vieta) un elektroenerģijai pieslēgumu veikšana (83.vieta).</w:t>
      </w:r>
    </w:p>
    <w:p w:rsidR="009962E5" w:rsidRPr="0003106C" w:rsidRDefault="009962E5" w:rsidP="00ED03E6">
      <w:pPr>
        <w:ind w:firstLine="567"/>
        <w:jc w:val="both"/>
        <w:rPr>
          <w:sz w:val="26"/>
          <w:szCs w:val="26"/>
        </w:rPr>
      </w:pPr>
      <w:r w:rsidRPr="0003106C">
        <w:rPr>
          <w:sz w:val="26"/>
          <w:szCs w:val="26"/>
        </w:rPr>
        <w:lastRenderedPageBreak/>
        <w:t xml:space="preserve">2013.gadā Latvijas </w:t>
      </w:r>
      <w:r w:rsidR="008402FD" w:rsidRPr="0003106C">
        <w:rPr>
          <w:b/>
          <w:i/>
          <w:sz w:val="26"/>
          <w:szCs w:val="26"/>
        </w:rPr>
        <w:t>Ekonomiskās brīvības indekss</w:t>
      </w:r>
      <w:r w:rsidR="008402FD" w:rsidRPr="0003106C">
        <w:rPr>
          <w:vertAlign w:val="superscript"/>
        </w:rPr>
        <w:footnoteReference w:id="21"/>
      </w:r>
      <w:r w:rsidR="008402FD" w:rsidRPr="0003106C">
        <w:rPr>
          <w:sz w:val="26"/>
          <w:szCs w:val="26"/>
        </w:rPr>
        <w:t xml:space="preserve"> </w:t>
      </w:r>
      <w:r w:rsidR="0034691F" w:rsidRPr="0003106C">
        <w:rPr>
          <w:sz w:val="26"/>
          <w:szCs w:val="26"/>
        </w:rPr>
        <w:t>ir 66,5</w:t>
      </w:r>
      <w:r w:rsidRPr="0003106C">
        <w:rPr>
          <w:sz w:val="26"/>
          <w:szCs w:val="26"/>
        </w:rPr>
        <w:t xml:space="preserve">, kas ir nedaudz augstāks par 2012.gada rādītāju – 65,2 un 55.vieta starp 185 pasaules valstīm, </w:t>
      </w:r>
      <w:r w:rsidR="00ED03E6" w:rsidRPr="0003106C">
        <w:rPr>
          <w:sz w:val="26"/>
          <w:szCs w:val="26"/>
        </w:rPr>
        <w:t>un 25.</w:t>
      </w:r>
      <w:r w:rsidRPr="0003106C">
        <w:rPr>
          <w:sz w:val="26"/>
          <w:szCs w:val="26"/>
        </w:rPr>
        <w:t xml:space="preserve">vieta starp 43 Eiropas reģiona valstīm (2012.gadā – 25.vieta), kas ir nedaudz virs pasaules valstu vidējā rādītāja. Kā Latvijas priekšrocību var uzskatīt faktu, ka Latvija indeksā tiek atspoguļota kā valsts, kuru šobrīd raksturo pāreja uz dzīvotspējīgu ekonomiku, būtiski sekmēta tās atvērtība ārējai tirdzniecībai un uzlabota uzņēmējdarbības vide, kas veicina uzņēmējdarbības dinamiskumu un efektivitāti. </w:t>
      </w:r>
    </w:p>
    <w:p w:rsidR="009962E5" w:rsidRPr="0003106C" w:rsidRDefault="009962E5" w:rsidP="009962E5">
      <w:pPr>
        <w:ind w:firstLine="567"/>
        <w:jc w:val="both"/>
        <w:textAlignment w:val="top"/>
        <w:rPr>
          <w:sz w:val="26"/>
          <w:szCs w:val="26"/>
        </w:rPr>
      </w:pPr>
      <w:r w:rsidRPr="0003106C">
        <w:rPr>
          <w:sz w:val="26"/>
          <w:szCs w:val="26"/>
        </w:rPr>
        <w:t xml:space="preserve">Kā Latvijas vājie punkti tiek minēti necaurspīdīgais lēmumu pieņemšanas process, </w:t>
      </w:r>
      <w:r w:rsidR="004A3002" w:rsidRPr="0003106C">
        <w:rPr>
          <w:sz w:val="26"/>
          <w:szCs w:val="26"/>
        </w:rPr>
        <w:t>ēnu ekonomika</w:t>
      </w:r>
      <w:r w:rsidRPr="0003106C">
        <w:rPr>
          <w:sz w:val="26"/>
          <w:szCs w:val="26"/>
        </w:rPr>
        <w:t>, ievērojama mēroga korupcijas uztveres raksturojošie rādītāji, kas norāda uz salīdzinoši neefektīvo tiesu sistēmu un palielinātām „uzņēmējdarbības veikšanas” izmaksām, tādejādi apdraudot ilgtermiņa konkurētspējas rādītājus.</w:t>
      </w:r>
    </w:p>
    <w:p w:rsidR="00073024" w:rsidRPr="0003106C" w:rsidRDefault="00073024" w:rsidP="00073024">
      <w:pPr>
        <w:ind w:firstLine="567"/>
        <w:jc w:val="both"/>
        <w:rPr>
          <w:sz w:val="26"/>
          <w:szCs w:val="26"/>
        </w:rPr>
      </w:pPr>
      <w:r w:rsidRPr="0003106C">
        <w:rPr>
          <w:sz w:val="26"/>
          <w:szCs w:val="26"/>
        </w:rPr>
        <w:t xml:space="preserve">Investoru viedokli par Latviju veido arī informācija par valsts </w:t>
      </w:r>
      <w:r w:rsidRPr="0003106C">
        <w:rPr>
          <w:b/>
          <w:i/>
          <w:sz w:val="26"/>
          <w:szCs w:val="26"/>
        </w:rPr>
        <w:t>kredītreitingiem</w:t>
      </w:r>
      <w:r w:rsidRPr="0003106C">
        <w:rPr>
          <w:sz w:val="26"/>
          <w:szCs w:val="26"/>
        </w:rPr>
        <w:t xml:space="preserve">, kas ir universāls rādītājs par valsts kredītrisku kopumā. Tirgus dalībnieki tradicionāli nosaka reitinga iedalījumu investīciju un „neinvestīciju” (spekulatīvajā) līmenī, kas raksturo ieguldījumu veikšanas drošības līmeni. </w:t>
      </w:r>
    </w:p>
    <w:p w:rsidR="00073024" w:rsidRPr="0003106C" w:rsidRDefault="00073024" w:rsidP="00073024">
      <w:pPr>
        <w:ind w:firstLine="567"/>
        <w:jc w:val="both"/>
        <w:rPr>
          <w:sz w:val="26"/>
          <w:szCs w:val="26"/>
        </w:rPr>
      </w:pPr>
      <w:r w:rsidRPr="0003106C">
        <w:rPr>
          <w:sz w:val="26"/>
          <w:szCs w:val="26"/>
        </w:rPr>
        <w:t>Latvijai</w:t>
      </w:r>
      <w:r w:rsidR="007F5BBA" w:rsidRPr="0003106C">
        <w:rPr>
          <w:rStyle w:val="FootnoteReference"/>
          <w:sz w:val="26"/>
          <w:szCs w:val="26"/>
        </w:rPr>
        <w:footnoteReference w:id="22"/>
      </w:r>
      <w:r w:rsidRPr="0003106C">
        <w:rPr>
          <w:sz w:val="26"/>
          <w:szCs w:val="26"/>
        </w:rPr>
        <w:t xml:space="preserve"> </w:t>
      </w:r>
      <w:r w:rsidRPr="0003106C">
        <w:rPr>
          <w:i/>
          <w:sz w:val="26"/>
          <w:szCs w:val="26"/>
        </w:rPr>
        <w:t>Standard&amp;Poor’s</w:t>
      </w:r>
      <w:r w:rsidRPr="0003106C">
        <w:rPr>
          <w:sz w:val="26"/>
          <w:szCs w:val="26"/>
        </w:rPr>
        <w:t xml:space="preserve"> </w:t>
      </w:r>
      <w:r w:rsidR="00441F85" w:rsidRPr="0003106C">
        <w:rPr>
          <w:sz w:val="26"/>
          <w:szCs w:val="26"/>
        </w:rPr>
        <w:t xml:space="preserve">novērtējums </w:t>
      </w:r>
      <w:r w:rsidRPr="0003106C">
        <w:rPr>
          <w:sz w:val="26"/>
          <w:szCs w:val="26"/>
        </w:rPr>
        <w:t xml:space="preserve">ilgtermiņa </w:t>
      </w:r>
      <w:r w:rsidR="007F5BBA" w:rsidRPr="0003106C">
        <w:rPr>
          <w:sz w:val="26"/>
          <w:szCs w:val="26"/>
        </w:rPr>
        <w:t>saistībām ārvalstu valūtā ir</w:t>
      </w:r>
      <w:r w:rsidRPr="0003106C">
        <w:rPr>
          <w:sz w:val="26"/>
          <w:szCs w:val="26"/>
        </w:rPr>
        <w:t xml:space="preserve"> „BB</w:t>
      </w:r>
      <w:r w:rsidR="007F5BBA" w:rsidRPr="0003106C">
        <w:rPr>
          <w:sz w:val="26"/>
          <w:szCs w:val="26"/>
        </w:rPr>
        <w:t>B</w:t>
      </w:r>
      <w:r w:rsidRPr="0003106C">
        <w:rPr>
          <w:sz w:val="26"/>
          <w:szCs w:val="26"/>
        </w:rPr>
        <w:t xml:space="preserve">”, nākotnes vērtējums – </w:t>
      </w:r>
      <w:r w:rsidR="007F5BBA" w:rsidRPr="0003106C">
        <w:rPr>
          <w:sz w:val="26"/>
          <w:szCs w:val="26"/>
        </w:rPr>
        <w:t>pozitīvs,</w:t>
      </w:r>
      <w:r w:rsidRPr="0003106C">
        <w:rPr>
          <w:sz w:val="26"/>
          <w:szCs w:val="26"/>
        </w:rPr>
        <w:t xml:space="preserve"> Moody’s </w:t>
      </w:r>
      <w:r w:rsidR="00810426" w:rsidRPr="0003106C">
        <w:rPr>
          <w:sz w:val="26"/>
          <w:szCs w:val="26"/>
        </w:rPr>
        <w:t xml:space="preserve">aģentūras veidotajā reitingā </w:t>
      </w:r>
      <w:r w:rsidR="007F5BBA" w:rsidRPr="0003106C">
        <w:rPr>
          <w:sz w:val="26"/>
          <w:szCs w:val="26"/>
        </w:rPr>
        <w:t xml:space="preserve">Latvija </w:t>
      </w:r>
      <w:r w:rsidR="00810426" w:rsidRPr="0003106C">
        <w:rPr>
          <w:sz w:val="26"/>
          <w:szCs w:val="26"/>
        </w:rPr>
        <w:t>ir novērtēta</w:t>
      </w:r>
      <w:r w:rsidRPr="0003106C">
        <w:rPr>
          <w:sz w:val="26"/>
          <w:szCs w:val="26"/>
        </w:rPr>
        <w:t>: „Baa</w:t>
      </w:r>
      <w:r w:rsidR="007F5BBA" w:rsidRPr="0003106C">
        <w:rPr>
          <w:sz w:val="26"/>
          <w:szCs w:val="26"/>
        </w:rPr>
        <w:t>2</w:t>
      </w:r>
      <w:r w:rsidRPr="0003106C">
        <w:rPr>
          <w:sz w:val="26"/>
          <w:szCs w:val="26"/>
        </w:rPr>
        <w:t xml:space="preserve">”, nākotnes vērtējums – </w:t>
      </w:r>
      <w:r w:rsidR="007F5BBA" w:rsidRPr="0003106C">
        <w:rPr>
          <w:sz w:val="26"/>
          <w:szCs w:val="26"/>
        </w:rPr>
        <w:t xml:space="preserve">pozitīvs, </w:t>
      </w:r>
      <w:r w:rsidRPr="0003106C">
        <w:rPr>
          <w:i/>
          <w:sz w:val="26"/>
          <w:szCs w:val="26"/>
        </w:rPr>
        <w:t>Fitch</w:t>
      </w:r>
      <w:r w:rsidRPr="0003106C">
        <w:rPr>
          <w:sz w:val="26"/>
          <w:szCs w:val="26"/>
        </w:rPr>
        <w:t xml:space="preserve"> </w:t>
      </w:r>
      <w:r w:rsidR="00810426" w:rsidRPr="0003106C">
        <w:rPr>
          <w:sz w:val="26"/>
          <w:szCs w:val="26"/>
        </w:rPr>
        <w:t>aģentūras kredītreitingā Latvija ir novērtēta ar rādītāju</w:t>
      </w:r>
      <w:r w:rsidRPr="0003106C">
        <w:rPr>
          <w:sz w:val="26"/>
          <w:szCs w:val="26"/>
        </w:rPr>
        <w:t xml:space="preserve">: </w:t>
      </w:r>
      <w:r w:rsidR="00931B6D" w:rsidRPr="0003106C">
        <w:rPr>
          <w:sz w:val="26"/>
          <w:szCs w:val="26"/>
        </w:rPr>
        <w:t>„</w:t>
      </w:r>
      <w:r w:rsidR="007F5BBA" w:rsidRPr="0003106C">
        <w:rPr>
          <w:sz w:val="26"/>
          <w:szCs w:val="26"/>
        </w:rPr>
        <w:t>BBB</w:t>
      </w:r>
      <w:r w:rsidR="00810426" w:rsidRPr="0003106C">
        <w:rPr>
          <w:sz w:val="26"/>
          <w:szCs w:val="26"/>
        </w:rPr>
        <w:t>”,</w:t>
      </w:r>
      <w:r w:rsidRPr="0003106C">
        <w:rPr>
          <w:sz w:val="26"/>
          <w:szCs w:val="26"/>
        </w:rPr>
        <w:t xml:space="preserve"> nākotnes vērtējums – </w:t>
      </w:r>
      <w:r w:rsidR="007F5BBA" w:rsidRPr="0003106C">
        <w:rPr>
          <w:sz w:val="26"/>
          <w:szCs w:val="26"/>
        </w:rPr>
        <w:t>pozitīvs, Japānas reitingu aģentūra „R&amp;I” Latviju ir novērtējusi ar rādītāju: „BBB”, nākotnes vērtējums – stabils.</w:t>
      </w:r>
    </w:p>
    <w:p w:rsidR="00073024" w:rsidRPr="0003106C" w:rsidRDefault="00073024" w:rsidP="00073024">
      <w:pPr>
        <w:ind w:firstLine="567"/>
        <w:jc w:val="both"/>
        <w:rPr>
          <w:sz w:val="26"/>
          <w:szCs w:val="26"/>
        </w:rPr>
      </w:pPr>
      <w:r w:rsidRPr="0003106C">
        <w:rPr>
          <w:sz w:val="26"/>
          <w:szCs w:val="26"/>
        </w:rPr>
        <w:t>Kredītreitingi ir svarīgi finanšu investoriem, kā arī to vērtējums ir būtisks uzņēmējiem, jo ietekmē finanšu resursu cenu, par kādu uzņēmējiem ir iespēja piesaistīt kredītiestāžu finansējumu projekta īstenošanai.</w:t>
      </w:r>
    </w:p>
    <w:p w:rsidR="00073024" w:rsidRPr="0003106C" w:rsidRDefault="00073024" w:rsidP="00073024">
      <w:pPr>
        <w:ind w:firstLine="567"/>
        <w:jc w:val="both"/>
        <w:rPr>
          <w:sz w:val="26"/>
          <w:szCs w:val="26"/>
        </w:rPr>
      </w:pPr>
    </w:p>
    <w:p w:rsidR="00073024" w:rsidRPr="0003106C" w:rsidRDefault="00073024" w:rsidP="00073024">
      <w:pPr>
        <w:ind w:firstLine="567"/>
        <w:jc w:val="both"/>
        <w:rPr>
          <w:sz w:val="26"/>
          <w:szCs w:val="26"/>
        </w:rPr>
      </w:pPr>
      <w:r w:rsidRPr="0003106C">
        <w:rPr>
          <w:sz w:val="26"/>
          <w:szCs w:val="26"/>
        </w:rPr>
        <w:t xml:space="preserve">Kā viens no būtiskiem informācijas avotiem novērtējuma par Latvijas investīciju vidi veidošanā ir </w:t>
      </w:r>
      <w:r w:rsidRPr="0003106C">
        <w:rPr>
          <w:b/>
          <w:sz w:val="26"/>
          <w:szCs w:val="26"/>
        </w:rPr>
        <w:t>Latvijā darbojošos ārvalstu investoru novērtējums.</w:t>
      </w:r>
      <w:r w:rsidRPr="0003106C">
        <w:rPr>
          <w:sz w:val="26"/>
          <w:szCs w:val="26"/>
        </w:rPr>
        <w:t xml:space="preserve"> </w:t>
      </w:r>
    </w:p>
    <w:p w:rsidR="00073024" w:rsidRPr="0003106C" w:rsidRDefault="00073024" w:rsidP="00073024">
      <w:pPr>
        <w:ind w:firstLine="567"/>
        <w:jc w:val="both"/>
        <w:rPr>
          <w:sz w:val="26"/>
          <w:szCs w:val="26"/>
        </w:rPr>
      </w:pPr>
      <w:r w:rsidRPr="0003106C">
        <w:rPr>
          <w:sz w:val="26"/>
          <w:szCs w:val="26"/>
        </w:rPr>
        <w:t>Attiecībā uz Latvijas kopējo novērtējumu ārvalstu investori Latvijā un to pārstāvošās nevalstiskās organizācijas norāda</w:t>
      </w:r>
      <w:r w:rsidR="00166A02" w:rsidRPr="0003106C">
        <w:rPr>
          <w:rStyle w:val="FootnoteReference"/>
          <w:sz w:val="26"/>
          <w:szCs w:val="26"/>
        </w:rPr>
        <w:footnoteReference w:id="23"/>
      </w:r>
      <w:r w:rsidRPr="0003106C">
        <w:rPr>
          <w:sz w:val="26"/>
          <w:szCs w:val="26"/>
        </w:rPr>
        <w:t>, ka Latvijas priekšrocības ir tās ģeogrāfiskais stāvoklis un labi attīstīta satiksmes</w:t>
      </w:r>
      <w:r w:rsidR="00F13693" w:rsidRPr="0003106C">
        <w:rPr>
          <w:sz w:val="26"/>
          <w:szCs w:val="26"/>
        </w:rPr>
        <w:t xml:space="preserve"> joma</w:t>
      </w:r>
      <w:r w:rsidRPr="0003106C">
        <w:rPr>
          <w:sz w:val="26"/>
          <w:szCs w:val="26"/>
        </w:rPr>
        <w:t xml:space="preserve">, jo īpaši aviācijas nozare ar plašu gala mērķu skaitu gan Eiropā, gan Skandināvijā, gan NVS valstīs un kvalificēts, </w:t>
      </w:r>
      <w:r w:rsidR="00614675" w:rsidRPr="0003106C">
        <w:rPr>
          <w:sz w:val="26"/>
          <w:szCs w:val="26"/>
        </w:rPr>
        <w:t xml:space="preserve">darbaspēks </w:t>
      </w:r>
      <w:r w:rsidRPr="0003106C">
        <w:rPr>
          <w:sz w:val="26"/>
          <w:szCs w:val="26"/>
        </w:rPr>
        <w:t>ar labām svešvalodu zināšanām par salīdzinoši zemām izmaksām. Savukārt, investoriem būtiskie uzņēmējdarbības vides nosacījumi un jomas, kurās ir nepieciešami uzlabojumi pamatā ir tās pašas, ka</w:t>
      </w:r>
      <w:r w:rsidR="00F13693" w:rsidRPr="0003106C">
        <w:rPr>
          <w:sz w:val="26"/>
          <w:szCs w:val="26"/>
        </w:rPr>
        <w:t>s</w:t>
      </w:r>
      <w:r w:rsidRPr="0003106C">
        <w:rPr>
          <w:sz w:val="26"/>
          <w:szCs w:val="26"/>
        </w:rPr>
        <w:t xml:space="preserve"> iekļautas starptautiski veiktajos novērtējumos.</w:t>
      </w:r>
      <w:r w:rsidR="0094017D" w:rsidRPr="0003106C">
        <w:rPr>
          <w:sz w:val="26"/>
          <w:szCs w:val="26"/>
          <w:lang w:eastAsia="en-US"/>
        </w:rPr>
        <w:t xml:space="preserve"> Īstenoto investīciju projektu pozitīv</w:t>
      </w:r>
      <w:r w:rsidR="00874243" w:rsidRPr="0003106C">
        <w:rPr>
          <w:sz w:val="26"/>
          <w:szCs w:val="26"/>
          <w:lang w:eastAsia="en-US"/>
        </w:rPr>
        <w:t>o</w:t>
      </w:r>
      <w:r w:rsidR="0094017D" w:rsidRPr="0003106C">
        <w:rPr>
          <w:sz w:val="26"/>
          <w:szCs w:val="26"/>
          <w:lang w:eastAsia="en-US"/>
        </w:rPr>
        <w:t xml:space="preserve"> </w:t>
      </w:r>
      <w:r w:rsidR="00874243" w:rsidRPr="0003106C">
        <w:rPr>
          <w:sz w:val="26"/>
          <w:szCs w:val="26"/>
          <w:lang w:eastAsia="en-US"/>
        </w:rPr>
        <w:t>aspektu</w:t>
      </w:r>
      <w:r w:rsidR="0094017D" w:rsidRPr="0003106C">
        <w:rPr>
          <w:sz w:val="26"/>
          <w:szCs w:val="26"/>
          <w:lang w:eastAsia="en-US"/>
        </w:rPr>
        <w:t xml:space="preserve"> un </w:t>
      </w:r>
      <w:r w:rsidR="00874243" w:rsidRPr="0003106C">
        <w:rPr>
          <w:sz w:val="26"/>
          <w:szCs w:val="26"/>
          <w:lang w:eastAsia="en-US"/>
        </w:rPr>
        <w:t>z</w:t>
      </w:r>
      <w:r w:rsidR="0094017D" w:rsidRPr="0003106C">
        <w:rPr>
          <w:sz w:val="26"/>
          <w:szCs w:val="26"/>
          <w:lang w:eastAsia="en-US"/>
        </w:rPr>
        <w:t>audēt</w:t>
      </w:r>
      <w:r w:rsidR="00F13693" w:rsidRPr="0003106C">
        <w:rPr>
          <w:sz w:val="26"/>
          <w:szCs w:val="26"/>
          <w:lang w:eastAsia="en-US"/>
        </w:rPr>
        <w:t xml:space="preserve">o projektu iemeslu analīzi skatīt </w:t>
      </w:r>
      <w:r w:rsidR="004069F2" w:rsidRPr="0003106C">
        <w:rPr>
          <w:sz w:val="26"/>
          <w:szCs w:val="26"/>
          <w:lang w:eastAsia="en-US"/>
        </w:rPr>
        <w:t>4</w:t>
      </w:r>
      <w:r w:rsidR="0094017D" w:rsidRPr="0003106C">
        <w:rPr>
          <w:sz w:val="26"/>
          <w:szCs w:val="26"/>
          <w:lang w:eastAsia="en-US"/>
        </w:rPr>
        <w:t>.pielikumā.</w:t>
      </w:r>
    </w:p>
    <w:p w:rsidR="00073024" w:rsidRPr="0003106C" w:rsidRDefault="00073024" w:rsidP="00073024">
      <w:pPr>
        <w:ind w:firstLine="567"/>
        <w:jc w:val="both"/>
        <w:rPr>
          <w:sz w:val="26"/>
          <w:szCs w:val="26"/>
        </w:rPr>
      </w:pPr>
      <w:r w:rsidRPr="0003106C">
        <w:rPr>
          <w:sz w:val="26"/>
          <w:szCs w:val="26"/>
        </w:rPr>
        <w:t xml:space="preserve">Ārvalstu investori, nevalstiskās </w:t>
      </w:r>
      <w:r w:rsidR="00F13693" w:rsidRPr="0003106C">
        <w:rPr>
          <w:sz w:val="26"/>
          <w:szCs w:val="26"/>
        </w:rPr>
        <w:t>organizācijas, tai skaitā, Ārvalstu investoru padome Latvijā</w:t>
      </w:r>
      <w:r w:rsidR="00227C32" w:rsidRPr="0003106C">
        <w:rPr>
          <w:sz w:val="26"/>
          <w:szCs w:val="26"/>
        </w:rPr>
        <w:t xml:space="preserve"> (turpmāk – FICIL)</w:t>
      </w:r>
      <w:r w:rsidRPr="0003106C">
        <w:rPr>
          <w:sz w:val="26"/>
          <w:szCs w:val="26"/>
        </w:rPr>
        <w:t>, pozitīvi novērtē Latvijas valdības rīcību vairākās jomās. Investori un to pārstāvji uzsver, ka svarīgākais ir apzināt problēmu un skaidri parādīt tās risinājumu. Investori un to pārstāvji uzsver, ka jāturpina:</w:t>
      </w:r>
    </w:p>
    <w:p w:rsidR="00073024" w:rsidRPr="0003106C" w:rsidRDefault="00073024" w:rsidP="007562F2">
      <w:pPr>
        <w:numPr>
          <w:ilvl w:val="0"/>
          <w:numId w:val="16"/>
        </w:numPr>
        <w:jc w:val="both"/>
        <w:rPr>
          <w:sz w:val="26"/>
          <w:szCs w:val="26"/>
        </w:rPr>
      </w:pPr>
      <w:r w:rsidRPr="0003106C">
        <w:rPr>
          <w:sz w:val="26"/>
          <w:szCs w:val="26"/>
        </w:rPr>
        <w:t>strukturālo reformu ieviešana, nodrošinot ātrus rezultātus;</w:t>
      </w:r>
    </w:p>
    <w:p w:rsidR="00073024" w:rsidRPr="0003106C" w:rsidRDefault="00073024" w:rsidP="007562F2">
      <w:pPr>
        <w:numPr>
          <w:ilvl w:val="0"/>
          <w:numId w:val="16"/>
        </w:numPr>
        <w:jc w:val="both"/>
        <w:rPr>
          <w:sz w:val="26"/>
          <w:szCs w:val="26"/>
        </w:rPr>
      </w:pPr>
      <w:r w:rsidRPr="0003106C">
        <w:rPr>
          <w:sz w:val="26"/>
          <w:szCs w:val="26"/>
        </w:rPr>
        <w:t>aktīva ēnu ekonomikas apkarošanas pasākumu īstenošana;</w:t>
      </w:r>
    </w:p>
    <w:p w:rsidR="00073024" w:rsidRPr="0003106C" w:rsidRDefault="00073024" w:rsidP="007562F2">
      <w:pPr>
        <w:numPr>
          <w:ilvl w:val="0"/>
          <w:numId w:val="16"/>
        </w:numPr>
        <w:jc w:val="both"/>
        <w:rPr>
          <w:sz w:val="26"/>
          <w:szCs w:val="26"/>
        </w:rPr>
      </w:pPr>
      <w:r w:rsidRPr="0003106C">
        <w:rPr>
          <w:sz w:val="26"/>
          <w:szCs w:val="26"/>
        </w:rPr>
        <w:t>tiesu sistēmas efektivitātes nodrošināšana, stingra likumu piemērošana un nodokļu administrēšana;</w:t>
      </w:r>
    </w:p>
    <w:p w:rsidR="00073024" w:rsidRPr="0003106C" w:rsidRDefault="00073024" w:rsidP="007562F2">
      <w:pPr>
        <w:numPr>
          <w:ilvl w:val="0"/>
          <w:numId w:val="16"/>
        </w:numPr>
        <w:jc w:val="both"/>
        <w:rPr>
          <w:sz w:val="26"/>
          <w:szCs w:val="26"/>
        </w:rPr>
      </w:pPr>
      <w:r w:rsidRPr="0003106C">
        <w:rPr>
          <w:sz w:val="26"/>
          <w:szCs w:val="26"/>
        </w:rPr>
        <w:lastRenderedPageBreak/>
        <w:t>korupcijas izskaušana un politiskās vides stabilitātes nodrošināšana;</w:t>
      </w:r>
    </w:p>
    <w:p w:rsidR="00073024" w:rsidRPr="0003106C" w:rsidRDefault="004C5B2D" w:rsidP="007562F2">
      <w:pPr>
        <w:numPr>
          <w:ilvl w:val="0"/>
          <w:numId w:val="16"/>
        </w:numPr>
        <w:jc w:val="both"/>
        <w:rPr>
          <w:sz w:val="26"/>
          <w:szCs w:val="26"/>
        </w:rPr>
      </w:pPr>
      <w:r w:rsidRPr="0003106C">
        <w:rPr>
          <w:sz w:val="26"/>
          <w:szCs w:val="26"/>
        </w:rPr>
        <w:t>mazināt administratīvo</w:t>
      </w:r>
      <w:r w:rsidR="00073024" w:rsidRPr="0003106C">
        <w:rPr>
          <w:sz w:val="26"/>
          <w:szCs w:val="26"/>
        </w:rPr>
        <w:t xml:space="preserve"> slog</w:t>
      </w:r>
      <w:r w:rsidRPr="0003106C">
        <w:rPr>
          <w:sz w:val="26"/>
          <w:szCs w:val="26"/>
        </w:rPr>
        <w:t>u</w:t>
      </w:r>
      <w:r w:rsidR="00073024" w:rsidRPr="0003106C">
        <w:rPr>
          <w:sz w:val="26"/>
          <w:szCs w:val="26"/>
        </w:rPr>
        <w:t xml:space="preserve"> uzņēmējdarbības veikšanai;</w:t>
      </w:r>
    </w:p>
    <w:p w:rsidR="00073024" w:rsidRPr="0003106C" w:rsidRDefault="00073024" w:rsidP="007562F2">
      <w:pPr>
        <w:numPr>
          <w:ilvl w:val="0"/>
          <w:numId w:val="16"/>
        </w:numPr>
        <w:jc w:val="both"/>
        <w:rPr>
          <w:sz w:val="26"/>
          <w:szCs w:val="26"/>
        </w:rPr>
      </w:pPr>
      <w:r w:rsidRPr="0003106C">
        <w:rPr>
          <w:sz w:val="26"/>
          <w:szCs w:val="26"/>
        </w:rPr>
        <w:t>publisko iepirkumu atbilstības ES principiem (caurspīdīgums, ne</w:t>
      </w:r>
      <w:r w:rsidR="00F3361B" w:rsidRPr="0003106C">
        <w:rPr>
          <w:sz w:val="26"/>
          <w:szCs w:val="26"/>
        </w:rPr>
        <w:t xml:space="preserve"> </w:t>
      </w:r>
      <w:r w:rsidRPr="0003106C">
        <w:rPr>
          <w:sz w:val="26"/>
          <w:szCs w:val="26"/>
        </w:rPr>
        <w:t>diskriminācija, savstarpējā atzīšana, proporcionalitātes nodrošināšanas) nodrošināšana;</w:t>
      </w:r>
    </w:p>
    <w:p w:rsidR="00073024" w:rsidRPr="0003106C" w:rsidRDefault="00073024" w:rsidP="007562F2">
      <w:pPr>
        <w:numPr>
          <w:ilvl w:val="0"/>
          <w:numId w:val="16"/>
        </w:numPr>
        <w:jc w:val="both"/>
        <w:rPr>
          <w:sz w:val="26"/>
          <w:szCs w:val="26"/>
        </w:rPr>
      </w:pPr>
      <w:r w:rsidRPr="0003106C">
        <w:rPr>
          <w:sz w:val="26"/>
          <w:szCs w:val="26"/>
        </w:rPr>
        <w:t>korporatīvā</w:t>
      </w:r>
      <w:r w:rsidR="004C5B2D" w:rsidRPr="0003106C">
        <w:rPr>
          <w:sz w:val="26"/>
          <w:szCs w:val="26"/>
        </w:rPr>
        <w:t>s pārvaldības principu, atbilsto</w:t>
      </w:r>
      <w:r w:rsidRPr="0003106C">
        <w:rPr>
          <w:sz w:val="26"/>
          <w:szCs w:val="26"/>
        </w:rPr>
        <w:t>ši ārvalstu labajām praksēm,   ievi</w:t>
      </w:r>
      <w:r w:rsidR="00AC2619" w:rsidRPr="0003106C">
        <w:rPr>
          <w:sz w:val="26"/>
          <w:szCs w:val="26"/>
        </w:rPr>
        <w:t>ešana valsts kapitālsabiedrībās;</w:t>
      </w:r>
    </w:p>
    <w:p w:rsidR="00AC2619" w:rsidRPr="0003106C" w:rsidRDefault="00AC2619" w:rsidP="007562F2">
      <w:pPr>
        <w:numPr>
          <w:ilvl w:val="0"/>
          <w:numId w:val="16"/>
        </w:numPr>
        <w:jc w:val="both"/>
        <w:rPr>
          <w:sz w:val="26"/>
          <w:szCs w:val="26"/>
        </w:rPr>
      </w:pPr>
      <w:r w:rsidRPr="0003106C">
        <w:rPr>
          <w:sz w:val="26"/>
          <w:szCs w:val="26"/>
        </w:rPr>
        <w:t>Latvijas atpazīstamības veicināšana ārvalstīs;</w:t>
      </w:r>
    </w:p>
    <w:p w:rsidR="00AC2619" w:rsidRPr="0003106C" w:rsidRDefault="00AC2619" w:rsidP="007562F2">
      <w:pPr>
        <w:numPr>
          <w:ilvl w:val="0"/>
          <w:numId w:val="16"/>
        </w:numPr>
        <w:jc w:val="both"/>
        <w:rPr>
          <w:sz w:val="26"/>
          <w:szCs w:val="26"/>
        </w:rPr>
      </w:pPr>
      <w:r w:rsidRPr="0003106C">
        <w:rPr>
          <w:sz w:val="26"/>
          <w:szCs w:val="26"/>
        </w:rPr>
        <w:t>stingras valdības apņemšanās demonstrēšana investīcijām labvēlīgas biznesa vides nodrošināšanai.</w:t>
      </w:r>
    </w:p>
    <w:p w:rsidR="0094017D" w:rsidRPr="0003106C" w:rsidRDefault="0094017D" w:rsidP="00815CD8">
      <w:pPr>
        <w:tabs>
          <w:tab w:val="left" w:pos="0"/>
        </w:tabs>
        <w:ind w:firstLine="567"/>
        <w:jc w:val="both"/>
        <w:rPr>
          <w:sz w:val="26"/>
          <w:szCs w:val="26"/>
          <w:lang w:eastAsia="en-US"/>
        </w:rPr>
      </w:pPr>
    </w:p>
    <w:p w:rsidR="004E00CE" w:rsidRPr="0003106C" w:rsidRDefault="00A81218" w:rsidP="00815CD8">
      <w:pPr>
        <w:tabs>
          <w:tab w:val="left" w:pos="0"/>
        </w:tabs>
        <w:ind w:firstLine="567"/>
        <w:jc w:val="both"/>
        <w:rPr>
          <w:sz w:val="26"/>
          <w:szCs w:val="26"/>
          <w:lang w:eastAsia="en-US"/>
        </w:rPr>
      </w:pPr>
      <w:r w:rsidRPr="0003106C">
        <w:rPr>
          <w:sz w:val="26"/>
          <w:szCs w:val="26"/>
          <w:lang w:eastAsia="en-US"/>
        </w:rPr>
        <w:t>2012.gada martā i</w:t>
      </w:r>
      <w:r w:rsidR="00F05F55" w:rsidRPr="0003106C">
        <w:rPr>
          <w:sz w:val="26"/>
          <w:szCs w:val="26"/>
          <w:lang w:eastAsia="en-US"/>
        </w:rPr>
        <w:t xml:space="preserve">nvestīciju vides </w:t>
      </w:r>
      <w:r w:rsidRPr="0003106C">
        <w:rPr>
          <w:sz w:val="26"/>
          <w:szCs w:val="26"/>
          <w:lang w:eastAsia="en-US"/>
        </w:rPr>
        <w:t>vērtējumu</w:t>
      </w:r>
      <w:r w:rsidR="00F05F55" w:rsidRPr="0003106C">
        <w:rPr>
          <w:sz w:val="26"/>
          <w:szCs w:val="26"/>
          <w:lang w:eastAsia="en-US"/>
        </w:rPr>
        <w:t>s</w:t>
      </w:r>
      <w:r w:rsidRPr="0003106C">
        <w:rPr>
          <w:sz w:val="26"/>
          <w:szCs w:val="26"/>
          <w:lang w:eastAsia="en-US"/>
        </w:rPr>
        <w:t xml:space="preserve"> ir apkopojusi </w:t>
      </w:r>
      <w:r w:rsidRPr="0003106C">
        <w:rPr>
          <w:i/>
          <w:sz w:val="26"/>
          <w:szCs w:val="26"/>
          <w:lang w:eastAsia="en-US"/>
        </w:rPr>
        <w:t>Swedbank</w:t>
      </w:r>
      <w:r w:rsidR="007639A3" w:rsidRPr="0003106C">
        <w:rPr>
          <w:rStyle w:val="FootnoteReference"/>
          <w:sz w:val="26"/>
          <w:szCs w:val="26"/>
          <w:lang w:eastAsia="en-US"/>
        </w:rPr>
        <w:footnoteReference w:id="24"/>
      </w:r>
      <w:r w:rsidRPr="0003106C">
        <w:rPr>
          <w:sz w:val="26"/>
          <w:szCs w:val="26"/>
          <w:lang w:eastAsia="en-US"/>
        </w:rPr>
        <w:t>, kura aptaujāj</w:t>
      </w:r>
      <w:r w:rsidR="00931B6D" w:rsidRPr="0003106C">
        <w:rPr>
          <w:sz w:val="26"/>
          <w:szCs w:val="26"/>
          <w:lang w:eastAsia="en-US"/>
        </w:rPr>
        <w:t>a</w:t>
      </w:r>
      <w:r w:rsidRPr="0003106C">
        <w:rPr>
          <w:sz w:val="26"/>
          <w:szCs w:val="26"/>
          <w:lang w:eastAsia="en-US"/>
        </w:rPr>
        <w:t xml:space="preserve"> 30 ārvalstu uzņēmējus no Baltijas, Eiropas, Skandināvijas un Ziemeļamerikas</w:t>
      </w:r>
      <w:r w:rsidR="00F05F55" w:rsidRPr="0003106C">
        <w:rPr>
          <w:sz w:val="26"/>
          <w:szCs w:val="26"/>
          <w:lang w:eastAsia="en-US"/>
        </w:rPr>
        <w:t xml:space="preserve"> (konkrētie ārvalstu investori ir investējuši Latvijā pēc 2004.gada un investīciju apj</w:t>
      </w:r>
      <w:r w:rsidR="00BB6657" w:rsidRPr="0003106C">
        <w:rPr>
          <w:sz w:val="26"/>
          <w:szCs w:val="26"/>
          <w:lang w:eastAsia="en-US"/>
        </w:rPr>
        <w:t>oms nepārsniedz 1 miljonu latu).</w:t>
      </w:r>
      <w:r w:rsidR="00F05F55" w:rsidRPr="0003106C">
        <w:rPr>
          <w:sz w:val="26"/>
          <w:szCs w:val="26"/>
          <w:lang w:eastAsia="en-US"/>
        </w:rPr>
        <w:t xml:space="preserve"> </w:t>
      </w:r>
      <w:r w:rsidR="001C6632" w:rsidRPr="0003106C">
        <w:rPr>
          <w:sz w:val="26"/>
          <w:szCs w:val="26"/>
          <w:lang w:eastAsia="en-US"/>
        </w:rPr>
        <w:t xml:space="preserve">Pētījums parāda, ka investoru uzvedību lielā mērā ietekmē riski – ēnu ekonomika, likumdošanas nepilnības, neformālās ietekmes zonas, darba spēka trūkums. Tāpat aptaujātie investori ir norādījuši, ka pilsētu, pašvaldību vadības līmenī trūkst izpratnes, ieinteresētības, kā arī parādās savtīgas intereses vai ietekmīgu privātpersonu interešu aizstāvība. </w:t>
      </w:r>
      <w:r w:rsidR="005F4358" w:rsidRPr="0003106C">
        <w:rPr>
          <w:sz w:val="26"/>
          <w:szCs w:val="26"/>
          <w:lang w:eastAsia="en-US"/>
        </w:rPr>
        <w:t xml:space="preserve">Jāņem vērā, ka </w:t>
      </w:r>
      <w:r w:rsidR="001C6632" w:rsidRPr="0003106C">
        <w:rPr>
          <w:sz w:val="26"/>
          <w:szCs w:val="26"/>
          <w:lang w:eastAsia="en-US"/>
        </w:rPr>
        <w:t xml:space="preserve">ārvalstu uzņēmēju vajadzības atšķiras, jo investori no Baltijas </w:t>
      </w:r>
      <w:r w:rsidR="00815CD8" w:rsidRPr="0003106C">
        <w:rPr>
          <w:sz w:val="26"/>
          <w:szCs w:val="26"/>
          <w:lang w:eastAsia="en-US"/>
        </w:rPr>
        <w:t xml:space="preserve">valstīm </w:t>
      </w:r>
      <w:r w:rsidR="001C6632" w:rsidRPr="0003106C">
        <w:rPr>
          <w:sz w:val="26"/>
          <w:szCs w:val="26"/>
          <w:lang w:eastAsia="en-US"/>
        </w:rPr>
        <w:t>gaida informācijas pieejamību, taču Centrāleiropas un Skandināvijas investori no valsts sagaida vienkāršas un ērti nokārtojamas birokrātiskās procedūras</w:t>
      </w:r>
      <w:r w:rsidR="005F4358" w:rsidRPr="0003106C">
        <w:rPr>
          <w:sz w:val="26"/>
          <w:szCs w:val="26"/>
          <w:lang w:eastAsia="en-US"/>
        </w:rPr>
        <w:t>.</w:t>
      </w:r>
      <w:r w:rsidR="008A1FAE" w:rsidRPr="0003106C">
        <w:rPr>
          <w:sz w:val="26"/>
          <w:szCs w:val="26"/>
          <w:lang w:eastAsia="en-US"/>
        </w:rPr>
        <w:t xml:space="preserve"> </w:t>
      </w:r>
      <w:r w:rsidR="00F05F55" w:rsidRPr="0003106C">
        <w:rPr>
          <w:sz w:val="26"/>
          <w:szCs w:val="26"/>
          <w:lang w:eastAsia="en-US"/>
        </w:rPr>
        <w:t xml:space="preserve">Pētījumā ir apkopoti arī investīciju šķēršļi, kādi pēc investoru domām pastāv Latvijā </w:t>
      </w:r>
      <w:r w:rsidR="00815CD8" w:rsidRPr="0003106C">
        <w:rPr>
          <w:sz w:val="26"/>
          <w:szCs w:val="26"/>
          <w:lang w:eastAsia="en-US"/>
        </w:rPr>
        <w:t>–</w:t>
      </w:r>
      <w:r w:rsidR="00F05F55" w:rsidRPr="0003106C">
        <w:rPr>
          <w:sz w:val="26"/>
          <w:szCs w:val="26"/>
          <w:lang w:eastAsia="en-US"/>
        </w:rPr>
        <w:t xml:space="preserve"> tiek atzīmēts, ka visbiežāk investori ir saskārušies ar ēnu ekonomiku,</w:t>
      </w:r>
      <w:r w:rsidR="00F13693" w:rsidRPr="0003106C">
        <w:rPr>
          <w:sz w:val="26"/>
          <w:szCs w:val="26"/>
          <w:lang w:eastAsia="en-US"/>
        </w:rPr>
        <w:t xml:space="preserve"> kā arī</w:t>
      </w:r>
      <w:r w:rsidR="00F05F55" w:rsidRPr="0003106C">
        <w:rPr>
          <w:sz w:val="26"/>
          <w:szCs w:val="26"/>
          <w:lang w:eastAsia="en-US"/>
        </w:rPr>
        <w:t xml:space="preserve"> likumdošanas, juridisko un birokrātisko procedūru nesakārtotību, investējot kādā no Latvijas uzņēmumiem.</w:t>
      </w:r>
    </w:p>
    <w:p w:rsidR="00EF5713" w:rsidRPr="0003106C" w:rsidRDefault="00EF5713" w:rsidP="00EF5713"/>
    <w:p w:rsidR="00E06E94" w:rsidRPr="0003106C" w:rsidRDefault="00073024" w:rsidP="003E2524">
      <w:pPr>
        <w:pStyle w:val="Heading1"/>
        <w:spacing w:after="120"/>
        <w:rPr>
          <w:rFonts w:eastAsia="Calibri"/>
          <w:b/>
          <w:bCs/>
          <w:szCs w:val="28"/>
          <w:u w:val="single"/>
          <w:lang w:eastAsia="ja-JP"/>
        </w:rPr>
      </w:pPr>
      <w:bookmarkStart w:id="7" w:name="_Toc355961030"/>
      <w:r w:rsidRPr="0003106C">
        <w:rPr>
          <w:rFonts w:eastAsia="Calibri"/>
          <w:b/>
          <w:bCs/>
          <w:szCs w:val="28"/>
          <w:u w:val="single"/>
          <w:lang w:eastAsia="ja-JP"/>
        </w:rPr>
        <w:t>4</w:t>
      </w:r>
      <w:r w:rsidR="00E06E94" w:rsidRPr="0003106C">
        <w:rPr>
          <w:rFonts w:eastAsia="Calibri"/>
          <w:b/>
          <w:bCs/>
          <w:szCs w:val="28"/>
          <w:u w:val="single"/>
          <w:lang w:eastAsia="ja-JP"/>
        </w:rPr>
        <w:t>. Rīcības virzieni un uzdevumi politikas mērķu un rezultātu sasniegšanai, problēmu risināšanai</w:t>
      </w:r>
      <w:bookmarkEnd w:id="7"/>
      <w:r w:rsidR="00E06E94" w:rsidRPr="0003106C">
        <w:rPr>
          <w:rFonts w:eastAsia="Calibri"/>
          <w:b/>
          <w:bCs/>
          <w:szCs w:val="28"/>
          <w:u w:val="single"/>
          <w:lang w:eastAsia="ja-JP"/>
        </w:rPr>
        <w:t xml:space="preserve"> </w:t>
      </w:r>
    </w:p>
    <w:p w:rsidR="00FB5EC3" w:rsidRPr="0003106C" w:rsidRDefault="00FB5EC3" w:rsidP="00FB5EC3">
      <w:pPr>
        <w:ind w:firstLine="567"/>
        <w:jc w:val="both"/>
        <w:rPr>
          <w:sz w:val="26"/>
          <w:szCs w:val="26"/>
        </w:rPr>
      </w:pPr>
      <w:r w:rsidRPr="0003106C">
        <w:rPr>
          <w:rFonts w:eastAsia="Calibri"/>
          <w:sz w:val="26"/>
          <w:szCs w:val="26"/>
        </w:rPr>
        <w:t>Rīcības virzieni eksporta veicināšanas un ārvalstu  investīciju piesaistes politikas īstenošanai ir cieši saistīti ar Nacionālo industriāl</w:t>
      </w:r>
      <w:r w:rsidR="004A3002" w:rsidRPr="0003106C">
        <w:rPr>
          <w:rFonts w:eastAsia="Calibri"/>
          <w:sz w:val="26"/>
          <w:szCs w:val="26"/>
        </w:rPr>
        <w:t>o</w:t>
      </w:r>
      <w:r w:rsidRPr="0003106C">
        <w:rPr>
          <w:rFonts w:eastAsia="Calibri"/>
          <w:sz w:val="26"/>
          <w:szCs w:val="26"/>
        </w:rPr>
        <w:t xml:space="preserve"> politiku un tās īstenošanu. Nacionālo industriālās politikas rīcības virzieni ir koncentrēti uz </w:t>
      </w:r>
      <w:r w:rsidRPr="0003106C">
        <w:rPr>
          <w:sz w:val="26"/>
          <w:szCs w:val="26"/>
        </w:rPr>
        <w:t xml:space="preserve">makro un mikrolīmeņa šķēršļu novēršanu, kas kavē un nākotnē var kavēt uz eksportu vērsto nozaru attīstību, t.i., ņemot vērā esošās attīstības tendences, globālos izaicinājumus un nozaru potenciālās iespējas virzībā uz augstākas pievienotās vērtības produktu </w:t>
      </w:r>
      <w:r w:rsidRPr="0003106C">
        <w:rPr>
          <w:rFonts w:eastAsia="Calibri"/>
          <w:sz w:val="26"/>
          <w:szCs w:val="26"/>
        </w:rPr>
        <w:t>ražošanu.</w:t>
      </w:r>
      <w:r w:rsidR="001402BD" w:rsidRPr="0003106C">
        <w:rPr>
          <w:rFonts w:eastAsia="Calibri"/>
          <w:sz w:val="26"/>
          <w:szCs w:val="26"/>
        </w:rPr>
        <w:t xml:space="preserve"> </w:t>
      </w:r>
    </w:p>
    <w:p w:rsidR="00E06E94" w:rsidRPr="0003106C" w:rsidRDefault="00E06E94" w:rsidP="00FB5EC3">
      <w:pPr>
        <w:keepNext/>
        <w:ind w:firstLine="567"/>
        <w:jc w:val="both"/>
        <w:rPr>
          <w:rFonts w:eastAsia="Calibri"/>
        </w:rPr>
      </w:pPr>
    </w:p>
    <w:p w:rsidR="00E06E94" w:rsidRPr="0003106C" w:rsidRDefault="00073024" w:rsidP="003E2524">
      <w:pPr>
        <w:pStyle w:val="Heading2"/>
        <w:tabs>
          <w:tab w:val="left" w:pos="851"/>
        </w:tabs>
        <w:autoSpaceDE w:val="0"/>
        <w:autoSpaceDN w:val="0"/>
        <w:adjustRightInd w:val="0"/>
        <w:spacing w:before="0"/>
        <w:ind w:left="360"/>
        <w:rPr>
          <w:rFonts w:ascii="Times New Roman" w:eastAsia="Calibri" w:hAnsi="Times New Roman" w:cs="Times New Roman"/>
          <w:bCs w:val="0"/>
          <w:i w:val="0"/>
          <w:iCs w:val="0"/>
          <w:sz w:val="26"/>
          <w:szCs w:val="26"/>
        </w:rPr>
      </w:pPr>
      <w:bookmarkStart w:id="8" w:name="_Toc355961031"/>
      <w:r w:rsidRPr="0003106C">
        <w:rPr>
          <w:rFonts w:ascii="Times New Roman" w:eastAsia="Calibri" w:hAnsi="Times New Roman" w:cs="Times New Roman"/>
          <w:bCs w:val="0"/>
          <w:i w:val="0"/>
          <w:iCs w:val="0"/>
          <w:sz w:val="26"/>
          <w:szCs w:val="26"/>
        </w:rPr>
        <w:t>4</w:t>
      </w:r>
      <w:r w:rsidR="00E06E94" w:rsidRPr="0003106C">
        <w:rPr>
          <w:rFonts w:ascii="Times New Roman" w:eastAsia="Calibri" w:hAnsi="Times New Roman" w:cs="Times New Roman"/>
          <w:bCs w:val="0"/>
          <w:i w:val="0"/>
          <w:iCs w:val="0"/>
          <w:sz w:val="26"/>
          <w:szCs w:val="26"/>
        </w:rPr>
        <w:t>.1. </w:t>
      </w:r>
      <w:r w:rsidR="001402BD" w:rsidRPr="0003106C">
        <w:rPr>
          <w:rFonts w:ascii="Times New Roman" w:eastAsia="Calibri" w:hAnsi="Times New Roman" w:cs="Times New Roman"/>
          <w:bCs w:val="0"/>
          <w:i w:val="0"/>
          <w:iCs w:val="0"/>
          <w:sz w:val="26"/>
          <w:szCs w:val="26"/>
        </w:rPr>
        <w:t>Latvijas</w:t>
      </w:r>
      <w:r w:rsidR="00E06E94" w:rsidRPr="0003106C">
        <w:rPr>
          <w:rFonts w:ascii="Times New Roman" w:eastAsia="Calibri" w:hAnsi="Times New Roman" w:cs="Times New Roman"/>
          <w:bCs w:val="0"/>
          <w:i w:val="0"/>
          <w:iCs w:val="0"/>
          <w:sz w:val="26"/>
          <w:szCs w:val="26"/>
        </w:rPr>
        <w:t xml:space="preserve"> konkurētspējas paaugstināšana</w:t>
      </w:r>
      <w:bookmarkEnd w:id="8"/>
    </w:p>
    <w:p w:rsidR="001402BD" w:rsidRPr="0003106C" w:rsidRDefault="001402BD" w:rsidP="001402BD">
      <w:pPr>
        <w:pStyle w:val="Header"/>
        <w:spacing w:after="120"/>
        <w:ind w:firstLine="567"/>
        <w:jc w:val="both"/>
        <w:rPr>
          <w:b/>
          <w:sz w:val="26"/>
          <w:szCs w:val="26"/>
        </w:rPr>
      </w:pPr>
      <w:r w:rsidRPr="0003106C">
        <w:rPr>
          <w:sz w:val="26"/>
          <w:szCs w:val="26"/>
        </w:rPr>
        <w:t xml:space="preserve">Kā atzīmēts pētījumā </w:t>
      </w:r>
      <w:r w:rsidRPr="0003106C">
        <w:rPr>
          <w:i/>
          <w:sz w:val="26"/>
          <w:szCs w:val="26"/>
        </w:rPr>
        <w:t>Latvijas konkurētspējas novērtējumā 2011</w:t>
      </w:r>
      <w:r w:rsidRPr="0003106C">
        <w:rPr>
          <w:rStyle w:val="FootnoteReference"/>
          <w:i/>
          <w:sz w:val="26"/>
          <w:szCs w:val="26"/>
        </w:rPr>
        <w:footnoteReference w:id="25"/>
      </w:r>
      <w:r w:rsidRPr="0003106C">
        <w:rPr>
          <w:sz w:val="26"/>
          <w:szCs w:val="26"/>
        </w:rPr>
        <w:t>, k</w:t>
      </w:r>
      <w:r w:rsidRPr="0003106C">
        <w:rPr>
          <w:rFonts w:eastAsia="Calibri"/>
          <w:sz w:val="26"/>
          <w:szCs w:val="26"/>
        </w:rPr>
        <w:t>onkurētspējas pamatjoma ir tā, kurā jāveic konkrētas darbības Latvijas konkurētspējas uzlabošanai. Konkrētas darbības attiecībā uz konkurētspējas pamatiem gan tieši, gan netieši uzlabos Latvijas produktivitā</w:t>
      </w:r>
      <w:r w:rsidR="000847AF" w:rsidRPr="0003106C">
        <w:rPr>
          <w:rFonts w:eastAsia="Calibri"/>
          <w:sz w:val="26"/>
          <w:szCs w:val="26"/>
        </w:rPr>
        <w:t>tes</w:t>
      </w:r>
      <w:r w:rsidRPr="0003106C">
        <w:rPr>
          <w:rFonts w:eastAsia="Calibri"/>
          <w:sz w:val="26"/>
          <w:szCs w:val="26"/>
        </w:rPr>
        <w:t xml:space="preserve"> un tādējādi arī labklājī</w:t>
      </w:r>
      <w:r w:rsidR="000847AF" w:rsidRPr="0003106C">
        <w:rPr>
          <w:rFonts w:eastAsia="Calibri"/>
          <w:sz w:val="26"/>
          <w:szCs w:val="26"/>
        </w:rPr>
        <w:t>bas rādītājus</w:t>
      </w:r>
      <w:r w:rsidRPr="0003106C">
        <w:rPr>
          <w:rFonts w:eastAsia="Calibri"/>
          <w:sz w:val="26"/>
          <w:szCs w:val="26"/>
        </w:rPr>
        <w:t>.</w:t>
      </w:r>
    </w:p>
    <w:p w:rsidR="00292E5E" w:rsidRPr="0003106C" w:rsidRDefault="00292E5E" w:rsidP="0008473E">
      <w:pPr>
        <w:pStyle w:val="Header"/>
        <w:spacing w:after="120"/>
        <w:jc w:val="both"/>
        <w:rPr>
          <w:b/>
          <w:sz w:val="26"/>
          <w:szCs w:val="26"/>
        </w:rPr>
      </w:pPr>
      <w:r w:rsidRPr="0003106C">
        <w:rPr>
          <w:b/>
          <w:sz w:val="26"/>
          <w:szCs w:val="26"/>
        </w:rPr>
        <w:t>Uzņēmējdarbības vide</w:t>
      </w:r>
    </w:p>
    <w:p w:rsidR="00922C8A" w:rsidRPr="0003106C" w:rsidRDefault="00E06E94" w:rsidP="007450FC">
      <w:pPr>
        <w:pStyle w:val="Header"/>
        <w:spacing w:before="120"/>
        <w:ind w:firstLine="567"/>
        <w:jc w:val="both"/>
        <w:rPr>
          <w:sz w:val="26"/>
          <w:szCs w:val="26"/>
        </w:rPr>
      </w:pPr>
      <w:r w:rsidRPr="0003106C">
        <w:rPr>
          <w:sz w:val="26"/>
          <w:szCs w:val="26"/>
        </w:rPr>
        <w:lastRenderedPageBreak/>
        <w:t>Latvijas uzņēmumu ārējā konkurētspēja ir vienlīdz atkarīga no valsts īstenotās iekšējās un ārējās ekonomiskās politikas efektivitātes un saskaņotības</w:t>
      </w:r>
      <w:r w:rsidR="00F13693" w:rsidRPr="0003106C">
        <w:rPr>
          <w:sz w:val="26"/>
          <w:szCs w:val="26"/>
        </w:rPr>
        <w:t>,</w:t>
      </w:r>
      <w:r w:rsidRPr="0003106C">
        <w:rPr>
          <w:sz w:val="26"/>
          <w:szCs w:val="26"/>
        </w:rPr>
        <w:t xml:space="preserve"> un sekmīgu eksporta attīstību vistiešākajā veidā ietekmē citu struktūrpolitiku īstenošana. Faktori, kas lielā mērā stimulē ekonomisko aktivitāti un Latvijas uzņēmumu konkurētspēju</w:t>
      </w:r>
      <w:r w:rsidR="004A3002" w:rsidRPr="0003106C">
        <w:rPr>
          <w:sz w:val="26"/>
          <w:szCs w:val="26"/>
        </w:rPr>
        <w:t>,</w:t>
      </w:r>
      <w:r w:rsidRPr="0003106C">
        <w:rPr>
          <w:sz w:val="26"/>
          <w:szCs w:val="26"/>
        </w:rPr>
        <w:t xml:space="preserve"> ir </w:t>
      </w:r>
      <w:r w:rsidRPr="0003106C">
        <w:rPr>
          <w:b/>
          <w:sz w:val="26"/>
          <w:szCs w:val="26"/>
        </w:rPr>
        <w:t>uzņēmējdarbības vide</w:t>
      </w:r>
      <w:r w:rsidR="006E372A" w:rsidRPr="0003106C">
        <w:rPr>
          <w:b/>
          <w:sz w:val="26"/>
          <w:szCs w:val="26"/>
        </w:rPr>
        <w:t>, tai skaitā, stabila nodokļu politika</w:t>
      </w:r>
      <w:r w:rsidRPr="0003106C">
        <w:rPr>
          <w:sz w:val="26"/>
          <w:szCs w:val="26"/>
        </w:rPr>
        <w:t xml:space="preserve">, </w:t>
      </w:r>
      <w:r w:rsidRPr="0003106C">
        <w:rPr>
          <w:b/>
          <w:sz w:val="26"/>
          <w:szCs w:val="26"/>
        </w:rPr>
        <w:t>cilvēkresursu kvalitāte, darba tirgus elastība, kvalitatīva transporta un komunikāciju infrastruktūra, finanšu pieejamība.</w:t>
      </w:r>
      <w:r w:rsidRPr="0003106C">
        <w:rPr>
          <w:sz w:val="26"/>
          <w:szCs w:val="26"/>
        </w:rPr>
        <w:t xml:space="preserve"> Kā </w:t>
      </w:r>
      <w:r w:rsidR="00BB6657" w:rsidRPr="0003106C">
        <w:rPr>
          <w:sz w:val="26"/>
          <w:szCs w:val="26"/>
        </w:rPr>
        <w:t>būtiskākais</w:t>
      </w:r>
      <w:r w:rsidRPr="0003106C">
        <w:rPr>
          <w:sz w:val="26"/>
          <w:szCs w:val="26"/>
        </w:rPr>
        <w:t xml:space="preserve"> valdības instruments uzņēmējdarbības vides pilnveidošanai un </w:t>
      </w:r>
      <w:r w:rsidRPr="0003106C">
        <w:rPr>
          <w:b/>
          <w:sz w:val="26"/>
          <w:szCs w:val="26"/>
        </w:rPr>
        <w:t>administratīvo šķēršļu mazināšanai</w:t>
      </w:r>
      <w:r w:rsidRPr="0003106C">
        <w:rPr>
          <w:sz w:val="26"/>
          <w:szCs w:val="26"/>
        </w:rPr>
        <w:t xml:space="preserve"> ir ikgadējais </w:t>
      </w:r>
      <w:r w:rsidRPr="0003106C">
        <w:rPr>
          <w:i/>
          <w:sz w:val="26"/>
          <w:szCs w:val="26"/>
        </w:rPr>
        <w:t>Uzņēmējdarbības vides uzlabošanas pasākumu plāns</w:t>
      </w:r>
      <w:r w:rsidRPr="0003106C">
        <w:rPr>
          <w:sz w:val="26"/>
          <w:szCs w:val="26"/>
        </w:rPr>
        <w:t>, kurā iekļauti pasākumi, kas saistīti ar normatīvo aktu uzlikto prasību atvieglošanu uzņēmējdarbības veikšanai</w:t>
      </w:r>
      <w:r w:rsidR="00195EBB" w:rsidRPr="0003106C">
        <w:rPr>
          <w:sz w:val="26"/>
          <w:szCs w:val="26"/>
        </w:rPr>
        <w:t>.</w:t>
      </w:r>
      <w:r w:rsidRPr="0003106C">
        <w:rPr>
          <w:sz w:val="26"/>
          <w:szCs w:val="26"/>
        </w:rPr>
        <w:t xml:space="preserve"> </w:t>
      </w:r>
    </w:p>
    <w:p w:rsidR="002F0F4E" w:rsidRPr="0003106C" w:rsidRDefault="00B1344E" w:rsidP="00E06E94">
      <w:pPr>
        <w:ind w:firstLine="567"/>
        <w:jc w:val="both"/>
        <w:rPr>
          <w:i/>
          <w:sz w:val="26"/>
          <w:szCs w:val="26"/>
        </w:rPr>
      </w:pPr>
      <w:r w:rsidRPr="0003106C">
        <w:rPr>
          <w:sz w:val="26"/>
          <w:szCs w:val="26"/>
        </w:rPr>
        <w:t>Veikt</w:t>
      </w:r>
      <w:r w:rsidR="00F35667" w:rsidRPr="0003106C">
        <w:rPr>
          <w:sz w:val="26"/>
          <w:szCs w:val="26"/>
        </w:rPr>
        <w:t xml:space="preserve">ās </w:t>
      </w:r>
      <w:r w:rsidRPr="0003106C">
        <w:rPr>
          <w:sz w:val="26"/>
          <w:szCs w:val="26"/>
        </w:rPr>
        <w:t xml:space="preserve">investoru aptaujas liecina, ka viņu uzvedību un lēmumu pieņemšanu lielā mērā ietekmē Latvijā pastāvošie riski, kas saistīti ar ēnu ekonomiku un neformālās ietekmes zonām. Tādēļ </w:t>
      </w:r>
      <w:r w:rsidR="00E45B91" w:rsidRPr="0003106C">
        <w:rPr>
          <w:sz w:val="26"/>
          <w:szCs w:val="26"/>
        </w:rPr>
        <w:t>pastiprināti</w:t>
      </w:r>
      <w:r w:rsidRPr="0003106C">
        <w:rPr>
          <w:sz w:val="26"/>
          <w:szCs w:val="26"/>
        </w:rPr>
        <w:t xml:space="preserve"> </w:t>
      </w:r>
      <w:r w:rsidR="001B036F" w:rsidRPr="0003106C">
        <w:rPr>
          <w:sz w:val="26"/>
          <w:szCs w:val="26"/>
        </w:rPr>
        <w:t>turpināms</w:t>
      </w:r>
      <w:r w:rsidR="008A1FAE" w:rsidRPr="0003106C">
        <w:rPr>
          <w:sz w:val="26"/>
          <w:szCs w:val="26"/>
        </w:rPr>
        <w:t xml:space="preserve"> darbs pie </w:t>
      </w:r>
      <w:r w:rsidR="00AA018B" w:rsidRPr="0003106C">
        <w:rPr>
          <w:sz w:val="26"/>
          <w:szCs w:val="26"/>
        </w:rPr>
        <w:t>ēnu ekonomikas apkarošanas</w:t>
      </w:r>
      <w:r w:rsidR="008A1FAE" w:rsidRPr="0003106C">
        <w:rPr>
          <w:sz w:val="26"/>
          <w:szCs w:val="26"/>
        </w:rPr>
        <w:t xml:space="preserve"> un god</w:t>
      </w:r>
      <w:r w:rsidR="00AA018B" w:rsidRPr="0003106C">
        <w:rPr>
          <w:sz w:val="26"/>
          <w:szCs w:val="26"/>
        </w:rPr>
        <w:t>īgas konkurences nodrošināšanas.</w:t>
      </w:r>
      <w:r w:rsidR="00AA018B" w:rsidRPr="0003106C">
        <w:rPr>
          <w:i/>
          <w:sz w:val="26"/>
          <w:szCs w:val="26"/>
        </w:rPr>
        <w:t xml:space="preserve"> </w:t>
      </w:r>
      <w:r w:rsidR="00AB469B" w:rsidRPr="0003106C">
        <w:rPr>
          <w:sz w:val="26"/>
          <w:szCs w:val="26"/>
        </w:rPr>
        <w:t>Savukārt, lai uzņēmējs varētu plānot sava biznesa attīstības iespējas</w:t>
      </w:r>
      <w:r w:rsidR="00A2700A" w:rsidRPr="0003106C">
        <w:rPr>
          <w:sz w:val="26"/>
          <w:szCs w:val="26"/>
        </w:rPr>
        <w:t>,</w:t>
      </w:r>
      <w:r w:rsidR="00AB469B" w:rsidRPr="0003106C">
        <w:rPr>
          <w:sz w:val="26"/>
          <w:szCs w:val="26"/>
        </w:rPr>
        <w:t xml:space="preserve"> ne</w:t>
      </w:r>
      <w:r w:rsidR="00F303DB" w:rsidRPr="0003106C">
        <w:rPr>
          <w:sz w:val="26"/>
          <w:szCs w:val="26"/>
        </w:rPr>
        <w:t xml:space="preserve">pieciešams nodrošināt stabilu, </w:t>
      </w:r>
      <w:r w:rsidR="00AB469B" w:rsidRPr="0003106C">
        <w:rPr>
          <w:sz w:val="26"/>
          <w:szCs w:val="26"/>
        </w:rPr>
        <w:t>paredzamu</w:t>
      </w:r>
      <w:r w:rsidR="00F303DB" w:rsidRPr="0003106C">
        <w:rPr>
          <w:sz w:val="26"/>
          <w:szCs w:val="26"/>
        </w:rPr>
        <w:t xml:space="preserve"> un konkurētspējīgu </w:t>
      </w:r>
      <w:r w:rsidR="00AB469B" w:rsidRPr="0003106C">
        <w:rPr>
          <w:sz w:val="26"/>
          <w:szCs w:val="26"/>
        </w:rPr>
        <w:t xml:space="preserve"> nodokļu politiku</w:t>
      </w:r>
      <w:r w:rsidR="00640352" w:rsidRPr="0003106C">
        <w:rPr>
          <w:sz w:val="26"/>
          <w:szCs w:val="26"/>
        </w:rPr>
        <w:t xml:space="preserve"> </w:t>
      </w:r>
      <w:r w:rsidR="00F303DB" w:rsidRPr="0003106C">
        <w:rPr>
          <w:sz w:val="26"/>
          <w:szCs w:val="26"/>
        </w:rPr>
        <w:t xml:space="preserve">(salīdzinot primāri ar Igauniju un Lietuvu) </w:t>
      </w:r>
      <w:r w:rsidR="00640352" w:rsidRPr="0003106C">
        <w:rPr>
          <w:sz w:val="26"/>
          <w:szCs w:val="26"/>
        </w:rPr>
        <w:t>un viegli īstenojamas ar nodokļu nomaksu saistītās veicamās procedūras</w:t>
      </w:r>
      <w:r w:rsidR="00AB469B" w:rsidRPr="0003106C">
        <w:rPr>
          <w:sz w:val="26"/>
          <w:szCs w:val="26"/>
        </w:rPr>
        <w:t xml:space="preserve">. </w:t>
      </w:r>
    </w:p>
    <w:p w:rsidR="00AA018B" w:rsidRPr="0003106C" w:rsidRDefault="00AA018B" w:rsidP="002F0F4E">
      <w:pPr>
        <w:pStyle w:val="ListParagraph"/>
        <w:spacing w:line="240" w:lineRule="auto"/>
        <w:ind w:left="0" w:firstLine="567"/>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 xml:space="preserve">Lai veicinātu eksporta un tranzīta apjomu pieaugumu, </w:t>
      </w:r>
      <w:r w:rsidR="0000211A" w:rsidRPr="0003106C">
        <w:rPr>
          <w:rFonts w:ascii="Times New Roman" w:eastAsia="MS Mincho" w:hAnsi="Times New Roman"/>
          <w:sz w:val="26"/>
          <w:szCs w:val="26"/>
          <w:lang w:eastAsia="ja-JP"/>
        </w:rPr>
        <w:t xml:space="preserve">veidotu </w:t>
      </w:r>
      <w:r w:rsidRPr="0003106C">
        <w:rPr>
          <w:rFonts w:ascii="Times New Roman" w:eastAsia="MS Mincho" w:hAnsi="Times New Roman"/>
          <w:sz w:val="26"/>
          <w:szCs w:val="26"/>
          <w:lang w:eastAsia="ja-JP"/>
        </w:rPr>
        <w:t>konkurētspējīg</w:t>
      </w:r>
      <w:r w:rsidR="0000211A" w:rsidRPr="0003106C">
        <w:rPr>
          <w:rFonts w:ascii="Times New Roman" w:eastAsia="MS Mincho" w:hAnsi="Times New Roman"/>
          <w:sz w:val="26"/>
          <w:szCs w:val="26"/>
          <w:lang w:eastAsia="ja-JP"/>
        </w:rPr>
        <w:t>u</w:t>
      </w:r>
      <w:r w:rsidRPr="0003106C">
        <w:rPr>
          <w:rFonts w:ascii="Times New Roman" w:eastAsia="MS Mincho" w:hAnsi="Times New Roman"/>
          <w:sz w:val="26"/>
          <w:szCs w:val="26"/>
          <w:lang w:eastAsia="ja-JP"/>
        </w:rPr>
        <w:t xml:space="preserve"> Latvijas kravu pārvadājumu piedāv</w:t>
      </w:r>
      <w:r w:rsidR="0000211A" w:rsidRPr="0003106C">
        <w:rPr>
          <w:rFonts w:ascii="Times New Roman" w:eastAsia="MS Mincho" w:hAnsi="Times New Roman"/>
          <w:sz w:val="26"/>
          <w:szCs w:val="26"/>
          <w:lang w:eastAsia="ja-JP"/>
        </w:rPr>
        <w:t>ājumu</w:t>
      </w:r>
      <w:r w:rsidR="00931B6D" w:rsidRPr="0003106C">
        <w:rPr>
          <w:rFonts w:ascii="Times New Roman" w:eastAsia="MS Mincho" w:hAnsi="Times New Roman"/>
          <w:sz w:val="26"/>
          <w:szCs w:val="26"/>
          <w:lang w:eastAsia="ja-JP"/>
        </w:rPr>
        <w:t>,</w:t>
      </w:r>
      <w:r w:rsidRPr="0003106C">
        <w:rPr>
          <w:rFonts w:ascii="Times New Roman" w:eastAsia="MS Mincho" w:hAnsi="Times New Roman"/>
          <w:sz w:val="26"/>
          <w:szCs w:val="26"/>
          <w:lang w:eastAsia="ja-JP"/>
        </w:rPr>
        <w:t xml:space="preserve"> ir jāturpina identificēt un risināt ar Latvijas ostu, tranzīta un loģistikas sektora attīstību saistītās problēmas.</w:t>
      </w:r>
    </w:p>
    <w:p w:rsidR="00E06E94" w:rsidRPr="0003106C" w:rsidRDefault="00E06E94" w:rsidP="00E06E94">
      <w:pPr>
        <w:spacing w:after="40"/>
        <w:ind w:firstLine="567"/>
        <w:jc w:val="both"/>
        <w:rPr>
          <w:sz w:val="26"/>
          <w:szCs w:val="26"/>
        </w:rPr>
      </w:pPr>
      <w:r w:rsidRPr="0003106C">
        <w:rPr>
          <w:sz w:val="26"/>
          <w:szCs w:val="26"/>
        </w:rPr>
        <w:t>Daļa administratīvā sloga prasību tiek noteiktas otrajā valsts pārvaldes līmenī – pašvaldībās, turklāt tās bieži vien tiek notei</w:t>
      </w:r>
      <w:r w:rsidR="005B6316" w:rsidRPr="0003106C">
        <w:rPr>
          <w:sz w:val="26"/>
          <w:szCs w:val="26"/>
        </w:rPr>
        <w:t>ktas atšķirīgas un nav vienotas,</w:t>
      </w:r>
      <w:r w:rsidRPr="0003106C">
        <w:rPr>
          <w:sz w:val="26"/>
          <w:szCs w:val="26"/>
        </w:rPr>
        <w:t xml:space="preserve"> </w:t>
      </w:r>
      <w:r w:rsidR="00537289" w:rsidRPr="0003106C">
        <w:rPr>
          <w:sz w:val="26"/>
          <w:szCs w:val="26"/>
        </w:rPr>
        <w:t xml:space="preserve">īstenojot </w:t>
      </w:r>
      <w:r w:rsidR="005B6316" w:rsidRPr="0003106C">
        <w:rPr>
          <w:rFonts w:eastAsia="MS Mincho"/>
          <w:sz w:val="26"/>
          <w:szCs w:val="26"/>
          <w:lang w:eastAsia="ja-JP"/>
        </w:rPr>
        <w:t>pašvaldības autonomo lēmumu pieņemšanu attiecībā uz saimnieciskās darbības organizēšanu pašvaldībā</w:t>
      </w:r>
      <w:r w:rsidR="00537289" w:rsidRPr="0003106C">
        <w:rPr>
          <w:rFonts w:eastAsia="MS Mincho"/>
          <w:sz w:val="26"/>
          <w:szCs w:val="26"/>
          <w:lang w:eastAsia="ja-JP"/>
        </w:rPr>
        <w:t>.</w:t>
      </w:r>
      <w:r w:rsidRPr="0003106C">
        <w:rPr>
          <w:sz w:val="26"/>
          <w:szCs w:val="26"/>
        </w:rPr>
        <w:t xml:space="preserve"> </w:t>
      </w:r>
      <w:r w:rsidR="0060125B" w:rsidRPr="0003106C">
        <w:rPr>
          <w:sz w:val="26"/>
          <w:szCs w:val="26"/>
        </w:rPr>
        <w:t>I</w:t>
      </w:r>
      <w:r w:rsidRPr="0003106C">
        <w:rPr>
          <w:sz w:val="26"/>
          <w:szCs w:val="26"/>
        </w:rPr>
        <w:t>r jāizglīto gan valsts, gan pašvaldības iestāžu darbinieki un vadītāji par investīciju nozīmi un ietekmi uz tautsaimniecību, vienlaikus strādājot pie tiesību aktos noteikto administratīvo šķēršļu mazināšanas.</w:t>
      </w:r>
    </w:p>
    <w:p w:rsidR="00E06E94" w:rsidRPr="0003106C" w:rsidRDefault="0060125B" w:rsidP="00D77339">
      <w:pPr>
        <w:ind w:firstLine="567"/>
        <w:jc w:val="both"/>
        <w:rPr>
          <w:sz w:val="26"/>
          <w:szCs w:val="26"/>
        </w:rPr>
      </w:pPr>
      <w:r w:rsidRPr="0003106C">
        <w:rPr>
          <w:sz w:val="26"/>
          <w:szCs w:val="26"/>
          <w:lang w:eastAsia="en-US"/>
        </w:rPr>
        <w:t>V</w:t>
      </w:r>
      <w:r w:rsidR="00E06E94" w:rsidRPr="0003106C">
        <w:rPr>
          <w:sz w:val="26"/>
          <w:szCs w:val="26"/>
          <w:lang w:eastAsia="en-US"/>
        </w:rPr>
        <w:t>alstī pastāvošā juridiskā nenot</w:t>
      </w:r>
      <w:r w:rsidR="00F35667" w:rsidRPr="0003106C">
        <w:rPr>
          <w:sz w:val="26"/>
          <w:szCs w:val="26"/>
          <w:lang w:eastAsia="en-US"/>
        </w:rPr>
        <w:t xml:space="preserve">eiktība ir jāmazina, nodrošinot </w:t>
      </w:r>
      <w:r w:rsidR="00E06E94" w:rsidRPr="0003106C">
        <w:rPr>
          <w:sz w:val="26"/>
          <w:szCs w:val="26"/>
        </w:rPr>
        <w:t xml:space="preserve">uz uzņēmējdarbības veikšanu attiecināmo tiesību aktu grozījumu vai jaunu prasību spēkā stāšanās savlaicīgumu un paredzamību, </w:t>
      </w:r>
      <w:r w:rsidR="00F35667" w:rsidRPr="0003106C">
        <w:rPr>
          <w:sz w:val="26"/>
          <w:szCs w:val="26"/>
        </w:rPr>
        <w:t xml:space="preserve">kā arī </w:t>
      </w:r>
      <w:r w:rsidR="00E06E94" w:rsidRPr="0003106C">
        <w:rPr>
          <w:sz w:val="26"/>
          <w:szCs w:val="26"/>
        </w:rPr>
        <w:t>vienotu pieeju tiesību aktu interpretēšanā un piemērošanā.</w:t>
      </w:r>
      <w:r w:rsidR="00B01C39" w:rsidRPr="0003106C">
        <w:rPr>
          <w:sz w:val="26"/>
          <w:szCs w:val="26"/>
        </w:rPr>
        <w:t xml:space="preserve"> </w:t>
      </w:r>
      <w:r w:rsidR="003F67F8" w:rsidRPr="0003106C">
        <w:rPr>
          <w:sz w:val="26"/>
          <w:szCs w:val="26"/>
        </w:rPr>
        <w:t>Savukārt, izstrādājot jaunus tiesību aktus vai veicot to grozījumus, svarīgi ir</w:t>
      </w:r>
      <w:r w:rsidR="00B01C39" w:rsidRPr="0003106C">
        <w:rPr>
          <w:sz w:val="26"/>
          <w:szCs w:val="26"/>
        </w:rPr>
        <w:t xml:space="preserve"> uzlabot mazo un vidējo uzņēmumu testa principa integrēšanu anotāciju sistēmā, vienlaikus nodrošinot vispusīgu administratīvā sloga samazināšanu un normatīvā regulējuma prasību samazināšanu uzņēmējiem</w:t>
      </w:r>
      <w:r w:rsidR="003F67F8" w:rsidRPr="0003106C">
        <w:rPr>
          <w:sz w:val="26"/>
          <w:szCs w:val="26"/>
        </w:rPr>
        <w:t>.</w:t>
      </w:r>
    </w:p>
    <w:p w:rsidR="00F4559F" w:rsidRPr="0003106C" w:rsidRDefault="007450FC" w:rsidP="00D77339">
      <w:pPr>
        <w:ind w:firstLine="567"/>
        <w:jc w:val="both"/>
        <w:rPr>
          <w:sz w:val="26"/>
          <w:szCs w:val="26"/>
        </w:rPr>
      </w:pPr>
      <w:r w:rsidRPr="0003106C">
        <w:rPr>
          <w:sz w:val="26"/>
          <w:szCs w:val="26"/>
        </w:rPr>
        <w:t xml:space="preserve">Kā viens no būtiskākajiem Latvijas uzņēmējdarbības vides trūkumiem ir salīdzinoši neefektīvā tiesu sistēma. Lai arī ir veikti būtiski uzlabojumi, paātrinot atsevišķu lietu kategoriju izskatīšanu, joprojām Latvijai tiek norādīts uz ilgstošu lietu izskatīšanu Latvijas tiesās. Tiesvedības procesa nesakārtotība tiek saistīta ar tādām problēmām kā ilgstoši civiltiesiskie procesi, normu neviennozīmīga interpretācija, procesuālās nepilnības, kas ir augsne korupcijas riskam. </w:t>
      </w:r>
    </w:p>
    <w:p w:rsidR="007450FC" w:rsidRPr="0003106C" w:rsidRDefault="007450FC" w:rsidP="00D77339">
      <w:pPr>
        <w:ind w:firstLine="567"/>
        <w:jc w:val="both"/>
        <w:rPr>
          <w:sz w:val="26"/>
          <w:szCs w:val="26"/>
        </w:rPr>
      </w:pPr>
    </w:p>
    <w:p w:rsidR="00E06E94" w:rsidRPr="0003106C" w:rsidRDefault="004B2320" w:rsidP="008010BE">
      <w:pPr>
        <w:pStyle w:val="Header"/>
        <w:keepNext/>
        <w:spacing w:after="120"/>
        <w:jc w:val="both"/>
        <w:rPr>
          <w:b/>
          <w:sz w:val="26"/>
          <w:szCs w:val="26"/>
        </w:rPr>
      </w:pPr>
      <w:r w:rsidRPr="0003106C">
        <w:rPr>
          <w:b/>
          <w:sz w:val="26"/>
          <w:szCs w:val="26"/>
        </w:rPr>
        <w:t>Darbaspēka pieejamība un tautsaimniecības attīstības vajadzībām atbilstošs izglītības piedāv</w:t>
      </w:r>
      <w:r w:rsidR="008010BE" w:rsidRPr="0003106C">
        <w:rPr>
          <w:b/>
          <w:sz w:val="26"/>
          <w:szCs w:val="26"/>
        </w:rPr>
        <w:t>ājums</w:t>
      </w:r>
    </w:p>
    <w:p w:rsidR="002F740D" w:rsidRPr="0003106C" w:rsidRDefault="00E06E94" w:rsidP="008010BE">
      <w:pPr>
        <w:keepNext/>
        <w:ind w:firstLine="567"/>
        <w:jc w:val="both"/>
        <w:rPr>
          <w:sz w:val="26"/>
          <w:szCs w:val="26"/>
        </w:rPr>
      </w:pPr>
      <w:r w:rsidRPr="0003106C">
        <w:rPr>
          <w:sz w:val="26"/>
          <w:szCs w:val="26"/>
        </w:rPr>
        <w:t>Viens no svarīgiem faktoriem investīciju piesaistei un uzņēmumu attīstībai ir atbilstoša darba spēka pieejamība.</w:t>
      </w:r>
      <w:r w:rsidR="00AC7D8E" w:rsidRPr="0003106C">
        <w:rPr>
          <w:sz w:val="26"/>
          <w:szCs w:val="26"/>
        </w:rPr>
        <w:t xml:space="preserve"> </w:t>
      </w:r>
      <w:r w:rsidR="004B2991" w:rsidRPr="0003106C">
        <w:rPr>
          <w:sz w:val="26"/>
          <w:szCs w:val="26"/>
        </w:rPr>
        <w:t xml:space="preserve">Kopējās pieejamā darbaspēka tendences un prognozes liecina par visai dramatisko situāciju darba tirgū – darbaspēka nepietiekamību jau laika periodā līdz 2020.gadam. </w:t>
      </w:r>
      <w:r w:rsidR="00FF5BD3" w:rsidRPr="0003106C">
        <w:rPr>
          <w:sz w:val="26"/>
          <w:szCs w:val="26"/>
        </w:rPr>
        <w:t xml:space="preserve">Tādēļ ir turpināms aktīvs darbs pie </w:t>
      </w:r>
      <w:r w:rsidR="008A1B67" w:rsidRPr="0003106C">
        <w:rPr>
          <w:sz w:val="26"/>
          <w:szCs w:val="26"/>
        </w:rPr>
        <w:lastRenderedPageBreak/>
        <w:t xml:space="preserve">ekonomiski neaktīvo iedzīvotāju, </w:t>
      </w:r>
      <w:r w:rsidR="00F3361B" w:rsidRPr="0003106C">
        <w:rPr>
          <w:sz w:val="26"/>
          <w:szCs w:val="26"/>
        </w:rPr>
        <w:t>bezdarbnieku</w:t>
      </w:r>
      <w:r w:rsidR="00B1033C" w:rsidRPr="0003106C">
        <w:rPr>
          <w:sz w:val="26"/>
          <w:szCs w:val="26"/>
        </w:rPr>
        <w:t xml:space="preserve"> un darba meklētāju </w:t>
      </w:r>
      <w:r w:rsidR="00FF5BD3" w:rsidRPr="0003106C">
        <w:rPr>
          <w:sz w:val="26"/>
          <w:szCs w:val="26"/>
        </w:rPr>
        <w:t>atgriešanas Latvijas darba tirgū</w:t>
      </w:r>
      <w:r w:rsidR="00B1033C" w:rsidRPr="0003106C">
        <w:rPr>
          <w:sz w:val="26"/>
          <w:szCs w:val="26"/>
        </w:rPr>
        <w:t>.</w:t>
      </w:r>
    </w:p>
    <w:p w:rsidR="001F5F5D" w:rsidRPr="0003106C" w:rsidRDefault="001F5F5D" w:rsidP="00D77339">
      <w:pPr>
        <w:autoSpaceDE w:val="0"/>
        <w:autoSpaceDN w:val="0"/>
        <w:adjustRightInd w:val="0"/>
        <w:ind w:firstLine="567"/>
        <w:jc w:val="both"/>
        <w:rPr>
          <w:rFonts w:eastAsia="PMingLiU"/>
          <w:sz w:val="26"/>
          <w:szCs w:val="26"/>
        </w:rPr>
      </w:pPr>
      <w:r w:rsidRPr="0003106C">
        <w:rPr>
          <w:rFonts w:eastAsia="PMingLiU"/>
          <w:sz w:val="26"/>
          <w:szCs w:val="26"/>
        </w:rPr>
        <w:t xml:space="preserve">Analizējot esošo darba </w:t>
      </w:r>
      <w:r w:rsidR="00F3361B" w:rsidRPr="0003106C">
        <w:rPr>
          <w:rFonts w:eastAsia="PMingLiU"/>
          <w:sz w:val="26"/>
          <w:szCs w:val="26"/>
        </w:rPr>
        <w:t>tirgus</w:t>
      </w:r>
      <w:r w:rsidRPr="0003106C">
        <w:rPr>
          <w:rFonts w:eastAsia="PMingLiU"/>
          <w:sz w:val="26"/>
          <w:szCs w:val="26"/>
        </w:rPr>
        <w:t xml:space="preserve"> piedāvājumu atsevišķās profesiju grupās</w:t>
      </w:r>
      <w:r w:rsidR="000868B8" w:rsidRPr="0003106C">
        <w:rPr>
          <w:rFonts w:eastAsia="PMingLiU"/>
          <w:sz w:val="26"/>
          <w:szCs w:val="26"/>
        </w:rPr>
        <w:t>,</w:t>
      </w:r>
      <w:r w:rsidRPr="0003106C">
        <w:rPr>
          <w:rFonts w:eastAsia="PMingLiU"/>
          <w:sz w:val="26"/>
          <w:szCs w:val="26"/>
        </w:rPr>
        <w:t xml:space="preserve"> ir izteikta neatbilstība starp nodarbināto izglītību un profesijai nepieciešamo izglītības jomu un līmeni</w:t>
      </w:r>
      <w:r w:rsidR="00D22468" w:rsidRPr="0003106C">
        <w:rPr>
          <w:rStyle w:val="FootnoteReference"/>
          <w:rFonts w:eastAsia="PMingLiU"/>
          <w:sz w:val="26"/>
          <w:szCs w:val="26"/>
        </w:rPr>
        <w:footnoteReference w:id="26"/>
      </w:r>
      <w:r w:rsidRPr="0003106C">
        <w:rPr>
          <w:rFonts w:eastAsia="PMingLiU"/>
          <w:sz w:val="26"/>
          <w:szCs w:val="26"/>
        </w:rPr>
        <w:t xml:space="preserve">. Nemainoties izglītības sistēmai, šī neatbilstība saglabāsies arī vidējā termiņā. </w:t>
      </w:r>
    </w:p>
    <w:p w:rsidR="00BD6C84" w:rsidRPr="0003106C" w:rsidRDefault="00BD6C84" w:rsidP="00BD6C84">
      <w:pPr>
        <w:pStyle w:val="NormalWeb"/>
        <w:spacing w:before="0" w:beforeAutospacing="0" w:after="0" w:afterAutospacing="0"/>
        <w:ind w:firstLine="567"/>
        <w:jc w:val="both"/>
        <w:rPr>
          <w:sz w:val="26"/>
          <w:szCs w:val="26"/>
        </w:rPr>
      </w:pPr>
      <w:r w:rsidRPr="0003106C">
        <w:rPr>
          <w:sz w:val="26"/>
          <w:szCs w:val="26"/>
        </w:rPr>
        <w:t>Tādējādi nepieciešams sekmēt līdzsvarotu darba tirgus pieprasījumu un piedāvājumu, ko nosaka, galvenokārt, piedāvājuma puses pielāgošanās darba tirgus pieprasījumam. Tas nozīmē, ka Latvijai nepieciešama izglītības sistēma, kas vidējā un ilgtermiņā sagatavotu darba tirgus vajadzībām atbilstošu, kvalificētu un profesionālu darbaspēku. Lai nodrošinātu elastīgu reakciju uz pieprasījumu pēc atbilstoša darbaspēka, nepieciešama izglītības kvalitātes nodrošināšana, profesionālās un augstākās izglītības apmācību programmu elastīgums, studējošo skaita palielināšana inženiertehniskajās zinātnēs (informācijas un telekomunikāciju, elektronikas, mašīnbūves, ķīmijas un biotehnoloģiju, zinātņu un tehnoloģiju ietilpīgās nozarēs), attiecīgo augstāko un profesionālo izglītības mācību iestāžu aprīkošana ar mūsdienīgu materiāli tehnisko bāzi, kā arī svešvalodu apguve visu līmeņu mācību iestādēs. Tāpat ir jānodrošina kompetenču teritoriāla konsolidācija, nodrošinot spēcīgus izcilības centrus izglītībā, šādi paaugstinot valsts attīstības potenciālu, kā arī investīciju piesaistes potenciālu.</w:t>
      </w:r>
    </w:p>
    <w:p w:rsidR="00BD6C84" w:rsidRPr="0003106C" w:rsidRDefault="00BD6C84" w:rsidP="00BD6C84">
      <w:pPr>
        <w:pStyle w:val="NormalWeb"/>
        <w:spacing w:before="0" w:beforeAutospacing="0" w:after="0" w:afterAutospacing="0"/>
        <w:ind w:firstLine="567"/>
        <w:jc w:val="both"/>
        <w:rPr>
          <w:sz w:val="26"/>
          <w:szCs w:val="26"/>
        </w:rPr>
      </w:pPr>
      <w:r w:rsidRPr="0003106C">
        <w:rPr>
          <w:sz w:val="26"/>
          <w:szCs w:val="26"/>
        </w:rPr>
        <w:t xml:space="preserve">Kā viens no valsts intervences instrumentiem ir izmantojamas bezdarbnieku apmācības un pārprofilēšanās atbilstoši darba devēju, tai skaitā investoru, pieprasījumam, kas nodrošina iespēju salīdzinoši īsā laikā piemeklēt noteikta kvalifikācijas līmeņa darbaspēku esošā piedāvājuma robežās. </w:t>
      </w:r>
    </w:p>
    <w:p w:rsidR="00BD6C84" w:rsidRPr="0003106C" w:rsidRDefault="00BD6C84" w:rsidP="00BD6C84">
      <w:pPr>
        <w:pStyle w:val="naisc"/>
        <w:spacing w:before="0" w:beforeAutospacing="0" w:after="0" w:afterAutospacing="0"/>
        <w:ind w:firstLine="567"/>
        <w:jc w:val="both"/>
        <w:rPr>
          <w:sz w:val="26"/>
          <w:szCs w:val="26"/>
        </w:rPr>
      </w:pPr>
      <w:r w:rsidRPr="0003106C">
        <w:rPr>
          <w:sz w:val="26"/>
          <w:szCs w:val="26"/>
        </w:rPr>
        <w:t xml:space="preserve">Lai nodrošinātu uzņēmumu produktivitātes līmeņa celšanu un eksporta izaugsmi, uzņēmumiem mērķtiecīgi jāiegulda līdzekļi darbinieku, tostarp augsti kvalificētu darbinieku tālāk apmācībās un uzņēmumu vadītāju profesionalitātes līmeņa celšanā, kuri uzņēmumos ievieš modernas un efektīvas uzņēmumu pārvaldības sistēmas un uz produktivitāti orientētas tehnoloģijas un iekārtas. </w:t>
      </w:r>
    </w:p>
    <w:p w:rsidR="00D77339" w:rsidRPr="0003106C" w:rsidRDefault="00D77339" w:rsidP="00D77339">
      <w:pPr>
        <w:pStyle w:val="NormalWeb"/>
        <w:spacing w:before="0" w:beforeAutospacing="0" w:after="0" w:afterAutospacing="0"/>
        <w:ind w:firstLine="567"/>
        <w:jc w:val="both"/>
        <w:rPr>
          <w:sz w:val="26"/>
          <w:szCs w:val="26"/>
        </w:rPr>
      </w:pPr>
    </w:p>
    <w:p w:rsidR="00D379D7" w:rsidRPr="0003106C" w:rsidRDefault="00D379D7" w:rsidP="0008473E">
      <w:pPr>
        <w:pStyle w:val="Header"/>
        <w:spacing w:after="120"/>
        <w:jc w:val="both"/>
        <w:rPr>
          <w:b/>
          <w:sz w:val="26"/>
          <w:szCs w:val="26"/>
        </w:rPr>
      </w:pPr>
      <w:bookmarkStart w:id="9" w:name="_Toc305487024"/>
      <w:r w:rsidRPr="0003106C">
        <w:rPr>
          <w:b/>
          <w:sz w:val="26"/>
          <w:szCs w:val="26"/>
        </w:rPr>
        <w:t>Uzņēmējdarbības infrastruktūras pieejamība</w:t>
      </w:r>
    </w:p>
    <w:p w:rsidR="002B46F4" w:rsidRPr="0003106C" w:rsidRDefault="00D379D7" w:rsidP="00D77339">
      <w:pPr>
        <w:autoSpaceDE w:val="0"/>
        <w:autoSpaceDN w:val="0"/>
        <w:adjustRightInd w:val="0"/>
        <w:ind w:firstLine="567"/>
        <w:jc w:val="both"/>
        <w:rPr>
          <w:sz w:val="26"/>
          <w:szCs w:val="26"/>
        </w:rPr>
      </w:pPr>
      <w:r w:rsidRPr="0003106C">
        <w:rPr>
          <w:sz w:val="26"/>
          <w:szCs w:val="26"/>
        </w:rPr>
        <w:t>Fiziskās infrastruktūras tīkli kā autoceļi, dzelzceļš, ostas, lidosta</w:t>
      </w:r>
      <w:r w:rsidRPr="0003106C">
        <w:t xml:space="preserve"> </w:t>
      </w:r>
      <w:r w:rsidRPr="0003106C">
        <w:rPr>
          <w:sz w:val="26"/>
          <w:szCs w:val="26"/>
        </w:rPr>
        <w:t>un komunikācijas ir būtiski jaunu investīciju projektu īstenošanai un esošās uzņēmējdarbības paplašināšanai pēc principa „atbilstoša infrastruktūra konkr</w:t>
      </w:r>
      <w:r w:rsidR="00887994" w:rsidRPr="0003106C">
        <w:rPr>
          <w:sz w:val="26"/>
          <w:szCs w:val="26"/>
        </w:rPr>
        <w:t xml:space="preserve">ētā vietā konkrētam projektam”. </w:t>
      </w:r>
      <w:r w:rsidR="004E3192" w:rsidRPr="0003106C">
        <w:rPr>
          <w:sz w:val="26"/>
          <w:szCs w:val="26"/>
        </w:rPr>
        <w:t xml:space="preserve">Šobrīd transporta sistēma Latvijā pamatā nodrošina nepieciešamo pārklājumu, bet </w:t>
      </w:r>
      <w:r w:rsidR="00136028" w:rsidRPr="0003106C">
        <w:rPr>
          <w:rStyle w:val="Strong"/>
          <w:b w:val="0"/>
          <w:sz w:val="26"/>
          <w:szCs w:val="26"/>
        </w:rPr>
        <w:t xml:space="preserve">galvenie darbības virzieni ir dzelzceļa, autoceļu, ostu un gaisa transporta infrastruktūras rekonstrukcija un uzlabošana, </w:t>
      </w:r>
      <w:r w:rsidR="00216CDA" w:rsidRPr="0003106C">
        <w:rPr>
          <w:rStyle w:val="Strong"/>
          <w:b w:val="0"/>
          <w:sz w:val="26"/>
          <w:szCs w:val="26"/>
        </w:rPr>
        <w:t>kā arī s</w:t>
      </w:r>
      <w:r w:rsidR="00136028" w:rsidRPr="0003106C">
        <w:rPr>
          <w:rStyle w:val="Strong"/>
          <w:b w:val="0"/>
          <w:sz w:val="26"/>
          <w:szCs w:val="26"/>
        </w:rPr>
        <w:t>tarptautiskās kravu loģistikas un ostu informācijas sistēmas izveide, jo t</w:t>
      </w:r>
      <w:r w:rsidRPr="0003106C">
        <w:rPr>
          <w:sz w:val="26"/>
          <w:szCs w:val="26"/>
        </w:rPr>
        <w:t xml:space="preserve">ransporta sistēmai ir vienlaikus jānodrošina gan labu valsts iekšējo sasniedzamību, kas ir vērsta uz saikņu veidošanu valsts teritorijas iekšienē, gan labu starptautisko sasniedzamību, kas nosaka Latvijas iekļaušanos starptautiskajās transporta plūsmās. </w:t>
      </w:r>
    </w:p>
    <w:p w:rsidR="00D379D7" w:rsidRPr="0003106C" w:rsidRDefault="002B46F4" w:rsidP="00A50AEE">
      <w:pPr>
        <w:autoSpaceDE w:val="0"/>
        <w:autoSpaceDN w:val="0"/>
        <w:adjustRightInd w:val="0"/>
        <w:ind w:firstLine="567"/>
        <w:jc w:val="both"/>
        <w:rPr>
          <w:bCs/>
          <w:sz w:val="26"/>
          <w:szCs w:val="26"/>
        </w:rPr>
      </w:pPr>
      <w:r w:rsidRPr="0003106C">
        <w:rPr>
          <w:sz w:val="26"/>
          <w:szCs w:val="26"/>
        </w:rPr>
        <w:t xml:space="preserve">Transporta infrastruktūras uzlabošanas </w:t>
      </w:r>
      <w:r w:rsidRPr="0003106C">
        <w:rPr>
          <w:rStyle w:val="Strong"/>
          <w:b w:val="0"/>
          <w:sz w:val="26"/>
          <w:szCs w:val="26"/>
        </w:rPr>
        <w:t xml:space="preserve">mērķis ir loģistikas pakalpojumu konkurētspējas paaugstināšana un ES ārējās robežas caurlaides spējas nodrošināšana atbilstoši potenciālai kravas </w:t>
      </w:r>
      <w:r w:rsidR="008F6450" w:rsidRPr="0003106C">
        <w:rPr>
          <w:rStyle w:val="Strong"/>
          <w:b w:val="0"/>
          <w:sz w:val="26"/>
          <w:szCs w:val="26"/>
        </w:rPr>
        <w:t>un pasažieru transporta plūsmai.</w:t>
      </w:r>
      <w:r w:rsidRPr="0003106C">
        <w:rPr>
          <w:rStyle w:val="Strong"/>
          <w:b w:val="0"/>
          <w:sz w:val="26"/>
          <w:szCs w:val="26"/>
        </w:rPr>
        <w:t xml:space="preserve"> </w:t>
      </w:r>
    </w:p>
    <w:p w:rsidR="0022091F" w:rsidRPr="0003106C" w:rsidRDefault="0022091F" w:rsidP="0022091F">
      <w:pPr>
        <w:autoSpaceDE w:val="0"/>
        <w:autoSpaceDN w:val="0"/>
        <w:adjustRightInd w:val="0"/>
        <w:ind w:firstLine="567"/>
        <w:jc w:val="both"/>
        <w:rPr>
          <w:bCs/>
          <w:sz w:val="26"/>
          <w:szCs w:val="26"/>
        </w:rPr>
      </w:pPr>
      <w:r w:rsidRPr="0003106C">
        <w:rPr>
          <w:bCs/>
          <w:sz w:val="26"/>
          <w:szCs w:val="26"/>
        </w:rPr>
        <w:t xml:space="preserve">Uzņēmējdarbības uzsākšanai un tās veiksmīgai attīstībai liela nozīme ir vietai un tai pieejamai infrastruktūrai. Pašvaldību un uzņēmumu īpašumā esošo industriālo </w:t>
      </w:r>
      <w:r w:rsidRPr="0003106C">
        <w:rPr>
          <w:bCs/>
          <w:sz w:val="26"/>
          <w:szCs w:val="26"/>
        </w:rPr>
        <w:lastRenderedPageBreak/>
        <w:t xml:space="preserve">parku un tehnoloģisko parku izveide un attīstība, un biznesa atbalsta infrastruktūra (pievedceļi, komunikācijas, vides infrastruktūra) ir viens no pamataspektiem reģiona konkurētspējai, lai piesaistītu jaunas investīcijas, attīstītu uzņēmējdarbību un veicinātu nodarbinātību. Savukārt biznesa inkubatoru un uzņēmējdarbības atbalsta centru izveide stimulē jaunu uzņēmumu veidošanos. </w:t>
      </w:r>
    </w:p>
    <w:p w:rsidR="00136028" w:rsidRPr="0003106C" w:rsidRDefault="00575B37" w:rsidP="00A50AEE">
      <w:pPr>
        <w:autoSpaceDE w:val="0"/>
        <w:autoSpaceDN w:val="0"/>
        <w:adjustRightInd w:val="0"/>
        <w:ind w:firstLine="567"/>
        <w:jc w:val="both"/>
        <w:rPr>
          <w:bCs/>
          <w:sz w:val="26"/>
          <w:szCs w:val="26"/>
        </w:rPr>
      </w:pPr>
      <w:r w:rsidRPr="0003106C">
        <w:rPr>
          <w:bCs/>
          <w:sz w:val="26"/>
          <w:szCs w:val="26"/>
        </w:rPr>
        <w:t>V</w:t>
      </w:r>
      <w:r w:rsidR="002B46F4" w:rsidRPr="0003106C">
        <w:rPr>
          <w:bCs/>
          <w:sz w:val="26"/>
          <w:szCs w:val="26"/>
        </w:rPr>
        <w:t>alstī kopumā nepiecieš</w:t>
      </w:r>
      <w:r w:rsidR="002206CD" w:rsidRPr="0003106C">
        <w:rPr>
          <w:bCs/>
          <w:sz w:val="26"/>
          <w:szCs w:val="26"/>
        </w:rPr>
        <w:t>a</w:t>
      </w:r>
      <w:r w:rsidR="002B46F4" w:rsidRPr="0003106C">
        <w:rPr>
          <w:bCs/>
          <w:sz w:val="26"/>
          <w:szCs w:val="26"/>
        </w:rPr>
        <w:t xml:space="preserve">ms veicināt industriālo </w:t>
      </w:r>
      <w:r w:rsidR="001F4030" w:rsidRPr="0003106C">
        <w:rPr>
          <w:bCs/>
          <w:sz w:val="26"/>
          <w:szCs w:val="26"/>
        </w:rPr>
        <w:t>teritoriju</w:t>
      </w:r>
      <w:r w:rsidR="002B46F4" w:rsidRPr="0003106C">
        <w:rPr>
          <w:bCs/>
          <w:sz w:val="26"/>
          <w:szCs w:val="26"/>
        </w:rPr>
        <w:t xml:space="preserve"> sakārtošanu un attīstību, veidojot</w:t>
      </w:r>
      <w:r w:rsidR="00A170D4" w:rsidRPr="0003106C">
        <w:rPr>
          <w:bCs/>
          <w:sz w:val="26"/>
          <w:szCs w:val="26"/>
        </w:rPr>
        <w:t xml:space="preserve"> sadarbību </w:t>
      </w:r>
      <w:r w:rsidR="002B46F4" w:rsidRPr="0003106C">
        <w:rPr>
          <w:bCs/>
          <w:sz w:val="26"/>
          <w:szCs w:val="26"/>
        </w:rPr>
        <w:t xml:space="preserve">valsts un privātā sektora līmenī </w:t>
      </w:r>
      <w:r w:rsidR="001F4030" w:rsidRPr="0003106C">
        <w:rPr>
          <w:bCs/>
          <w:sz w:val="26"/>
          <w:szCs w:val="26"/>
        </w:rPr>
        <w:t>t</w:t>
      </w:r>
      <w:r w:rsidR="00A170D4" w:rsidRPr="0003106C">
        <w:rPr>
          <w:bCs/>
          <w:sz w:val="26"/>
          <w:szCs w:val="26"/>
        </w:rPr>
        <w:t xml:space="preserve">o </w:t>
      </w:r>
      <w:r w:rsidR="002B46F4" w:rsidRPr="0003106C">
        <w:rPr>
          <w:bCs/>
          <w:sz w:val="26"/>
          <w:szCs w:val="26"/>
        </w:rPr>
        <w:t xml:space="preserve">sakārtošanai. </w:t>
      </w:r>
      <w:r w:rsidR="001F4030" w:rsidRPr="0003106C">
        <w:rPr>
          <w:bCs/>
          <w:sz w:val="26"/>
          <w:szCs w:val="26"/>
        </w:rPr>
        <w:t xml:space="preserve">Svarīgi </w:t>
      </w:r>
      <w:r w:rsidR="00A83C60" w:rsidRPr="0003106C">
        <w:rPr>
          <w:bCs/>
          <w:sz w:val="26"/>
          <w:szCs w:val="26"/>
        </w:rPr>
        <w:t xml:space="preserve">izveidot industriālo teritoriju datu bāzi, kurā </w:t>
      </w:r>
      <w:r w:rsidR="00543430" w:rsidRPr="0003106C">
        <w:rPr>
          <w:bCs/>
          <w:sz w:val="26"/>
          <w:szCs w:val="26"/>
        </w:rPr>
        <w:t xml:space="preserve">apskatāmi novadu plānošanas dokumenti un informācija par industriālajām teritorijām reģionā, ko var izmantot uzņēmēji, </w:t>
      </w:r>
      <w:r w:rsidR="00A83C60" w:rsidRPr="0003106C">
        <w:rPr>
          <w:bCs/>
          <w:sz w:val="26"/>
          <w:szCs w:val="26"/>
        </w:rPr>
        <w:t xml:space="preserve">potenciālie investori, </w:t>
      </w:r>
      <w:r w:rsidR="001445FD" w:rsidRPr="0003106C">
        <w:rPr>
          <w:bCs/>
          <w:sz w:val="26"/>
          <w:szCs w:val="26"/>
        </w:rPr>
        <w:t>valsts iestādes un</w:t>
      </w:r>
      <w:r w:rsidR="00543430" w:rsidRPr="0003106C">
        <w:rPr>
          <w:bCs/>
          <w:sz w:val="26"/>
          <w:szCs w:val="26"/>
        </w:rPr>
        <w:t xml:space="preserve"> </w:t>
      </w:r>
      <w:r w:rsidR="00A83C60" w:rsidRPr="0003106C">
        <w:rPr>
          <w:bCs/>
          <w:sz w:val="26"/>
          <w:szCs w:val="26"/>
        </w:rPr>
        <w:t xml:space="preserve">iedzīvotāji. </w:t>
      </w:r>
      <w:r w:rsidR="00E54748" w:rsidRPr="0003106C">
        <w:rPr>
          <w:bCs/>
          <w:sz w:val="26"/>
          <w:szCs w:val="26"/>
        </w:rPr>
        <w:t>Savukārt individuālo investīciju projektu atbalstam ir jānodrošina atbalsts nepieciešamiem infrastruktūras pieslēgumiem.</w:t>
      </w:r>
    </w:p>
    <w:bookmarkEnd w:id="9"/>
    <w:p w:rsidR="001671A4" w:rsidRPr="0003106C" w:rsidRDefault="001671A4" w:rsidP="001671A4"/>
    <w:p w:rsidR="001671A4" w:rsidRPr="0003106C" w:rsidRDefault="001671A4" w:rsidP="001671A4">
      <w:pPr>
        <w:pStyle w:val="Header"/>
        <w:ind w:firstLine="567"/>
        <w:jc w:val="both"/>
        <w:rPr>
          <w:sz w:val="26"/>
          <w:szCs w:val="26"/>
        </w:rPr>
      </w:pPr>
    </w:p>
    <w:p w:rsidR="000575CE" w:rsidRPr="0003106C" w:rsidRDefault="00F73809" w:rsidP="00B4544B">
      <w:pPr>
        <w:pStyle w:val="Header"/>
        <w:spacing w:after="120"/>
        <w:jc w:val="both"/>
        <w:rPr>
          <w:b/>
          <w:sz w:val="26"/>
          <w:szCs w:val="26"/>
        </w:rPr>
      </w:pPr>
      <w:r w:rsidRPr="0003106C">
        <w:rPr>
          <w:b/>
          <w:sz w:val="26"/>
          <w:szCs w:val="26"/>
        </w:rPr>
        <w:t>Finanšu pieejamība</w:t>
      </w:r>
    </w:p>
    <w:p w:rsidR="00845652" w:rsidRPr="0003106C" w:rsidRDefault="00845652" w:rsidP="003C007B">
      <w:pPr>
        <w:pStyle w:val="Header"/>
        <w:keepNext/>
        <w:ind w:firstLine="567"/>
        <w:jc w:val="both"/>
        <w:rPr>
          <w:sz w:val="26"/>
          <w:szCs w:val="26"/>
        </w:rPr>
      </w:pPr>
      <w:r w:rsidRPr="0003106C">
        <w:rPr>
          <w:sz w:val="26"/>
          <w:szCs w:val="26"/>
        </w:rPr>
        <w:t xml:space="preserve">Globālā finanšu krīze ir negatīvi ietekmējusi finanšu </w:t>
      </w:r>
      <w:r w:rsidR="00A55D35" w:rsidRPr="0003106C">
        <w:rPr>
          <w:sz w:val="26"/>
          <w:szCs w:val="26"/>
        </w:rPr>
        <w:t>resursu</w:t>
      </w:r>
      <w:r w:rsidR="003C007B" w:rsidRPr="0003106C">
        <w:rPr>
          <w:sz w:val="26"/>
          <w:szCs w:val="26"/>
        </w:rPr>
        <w:t xml:space="preserve"> pieejamību</w:t>
      </w:r>
      <w:r w:rsidRPr="0003106C">
        <w:rPr>
          <w:sz w:val="26"/>
          <w:szCs w:val="26"/>
        </w:rPr>
        <w:t xml:space="preserve"> un investēšanas procesu Latvijā. Investēšanas procesu vājināšanās galvenie iemesli ir uzņēmumu finansiālā stāvokļa pasliktināšanās krīzes laikā un finansēšan</w:t>
      </w:r>
      <w:r w:rsidR="0032510B" w:rsidRPr="0003106C">
        <w:rPr>
          <w:sz w:val="26"/>
          <w:szCs w:val="26"/>
        </w:rPr>
        <w:t>a</w:t>
      </w:r>
      <w:r w:rsidRPr="0003106C">
        <w:rPr>
          <w:sz w:val="26"/>
          <w:szCs w:val="26"/>
        </w:rPr>
        <w:t xml:space="preserve">s iespēju sašaurināšanās, zems pieprasījums un nākotnes nenoteiktība. </w:t>
      </w:r>
    </w:p>
    <w:p w:rsidR="00AE56FC" w:rsidRPr="0003106C" w:rsidRDefault="00845652" w:rsidP="00A83C60">
      <w:pPr>
        <w:pStyle w:val="ListParagraph"/>
        <w:spacing w:line="240" w:lineRule="auto"/>
        <w:ind w:left="0" w:firstLine="567"/>
        <w:jc w:val="both"/>
        <w:rPr>
          <w:rFonts w:ascii="Times New Roman" w:hAnsi="Times New Roman"/>
          <w:sz w:val="26"/>
          <w:szCs w:val="26"/>
        </w:rPr>
      </w:pPr>
      <w:r w:rsidRPr="0003106C">
        <w:rPr>
          <w:rFonts w:ascii="Times New Roman" w:hAnsi="Times New Roman"/>
          <w:sz w:val="26"/>
          <w:szCs w:val="26"/>
        </w:rPr>
        <w:t xml:space="preserve">Kapitāla tirgus Latvijā ir visai ierobežots, ES struktūrfondu atbalsta programmas un tajās pieejamie finanšu līdzekļi uzņēmējdarbības veicināšanai ir ierobežoti gan to pieejamības nosacījumu, gan apjoma ziņā. </w:t>
      </w:r>
      <w:r w:rsidR="00AE56FC" w:rsidRPr="0003106C">
        <w:rPr>
          <w:rFonts w:ascii="Times New Roman" w:hAnsi="Times New Roman"/>
          <w:sz w:val="26"/>
          <w:szCs w:val="26"/>
        </w:rPr>
        <w:t>Savukārt, banku kreditēšanas politika orientēta uz uzņēmumiem</w:t>
      </w:r>
      <w:r w:rsidR="009A2B31" w:rsidRPr="0003106C">
        <w:rPr>
          <w:rFonts w:ascii="Times New Roman" w:hAnsi="Times New Roman"/>
          <w:sz w:val="26"/>
          <w:szCs w:val="26"/>
        </w:rPr>
        <w:t xml:space="preserve"> ar stabiliem finanšu rādītājiem un pozīciju</w:t>
      </w:r>
      <w:r w:rsidR="00AE56FC" w:rsidRPr="0003106C">
        <w:rPr>
          <w:rFonts w:ascii="Times New Roman" w:hAnsi="Times New Roman"/>
          <w:sz w:val="26"/>
          <w:szCs w:val="26"/>
        </w:rPr>
        <w:t xml:space="preserve"> tirgū. </w:t>
      </w:r>
      <w:r w:rsidR="00115D62" w:rsidRPr="0003106C">
        <w:rPr>
          <w:rFonts w:ascii="Times New Roman" w:hAnsi="Times New Roman"/>
          <w:sz w:val="26"/>
          <w:szCs w:val="26"/>
        </w:rPr>
        <w:t xml:space="preserve">Uzņēmumiem ir sarežģīti iegūt ilgtermiņa finansējumu </w:t>
      </w:r>
      <w:r w:rsidR="00CD0E90" w:rsidRPr="0003106C">
        <w:rPr>
          <w:rFonts w:ascii="Times New Roman" w:hAnsi="Times New Roman"/>
          <w:sz w:val="26"/>
          <w:szCs w:val="26"/>
        </w:rPr>
        <w:t xml:space="preserve">gadījumos, kad pašu kapitāls </w:t>
      </w:r>
      <w:r w:rsidR="002802F8" w:rsidRPr="0003106C">
        <w:rPr>
          <w:rFonts w:ascii="Times New Roman" w:hAnsi="Times New Roman"/>
          <w:sz w:val="26"/>
          <w:szCs w:val="26"/>
        </w:rPr>
        <w:t xml:space="preserve">(dalībnieku līdzdalība) vai nodrošinājums </w:t>
      </w:r>
      <w:r w:rsidR="00CD0E90" w:rsidRPr="0003106C">
        <w:rPr>
          <w:rFonts w:ascii="Times New Roman" w:hAnsi="Times New Roman"/>
          <w:sz w:val="26"/>
          <w:szCs w:val="26"/>
        </w:rPr>
        <w:t xml:space="preserve">nav pietiekams kredītresursu piesaistei nepieciešamajā apjomā. Tā rezultātā </w:t>
      </w:r>
      <w:r w:rsidR="00AE56FC" w:rsidRPr="0003106C">
        <w:rPr>
          <w:rFonts w:ascii="Times New Roman" w:hAnsi="Times New Roman"/>
          <w:sz w:val="26"/>
          <w:szCs w:val="26"/>
        </w:rPr>
        <w:t xml:space="preserve">veidojas izteikts finanšu līdzekļu trūkums darbībai iekšējā tirgū un eksporta veikšanai. </w:t>
      </w:r>
    </w:p>
    <w:p w:rsidR="003D6D9C" w:rsidRPr="0003106C" w:rsidRDefault="003D6D9C" w:rsidP="007052E4">
      <w:pPr>
        <w:autoSpaceDE w:val="0"/>
        <w:autoSpaceDN w:val="0"/>
        <w:adjustRightInd w:val="0"/>
        <w:ind w:firstLine="567"/>
        <w:jc w:val="both"/>
        <w:rPr>
          <w:sz w:val="26"/>
          <w:szCs w:val="26"/>
        </w:rPr>
      </w:pPr>
      <w:r w:rsidRPr="0003106C">
        <w:rPr>
          <w:rFonts w:eastAsia="PMingLiU"/>
          <w:sz w:val="26"/>
          <w:szCs w:val="26"/>
        </w:rPr>
        <w:t xml:space="preserve">Pieeja apgrozāmajam un investīciju kapitāla finansējumam ir nozīmīgs faktors </w:t>
      </w:r>
      <w:r w:rsidR="003C007B" w:rsidRPr="0003106C">
        <w:rPr>
          <w:rFonts w:eastAsia="PMingLiU"/>
          <w:sz w:val="26"/>
          <w:szCs w:val="26"/>
        </w:rPr>
        <w:t xml:space="preserve">mazo un vidējo komersantu </w:t>
      </w:r>
      <w:r w:rsidRPr="0003106C">
        <w:rPr>
          <w:rFonts w:eastAsia="PMingLiU"/>
          <w:sz w:val="26"/>
          <w:szCs w:val="26"/>
        </w:rPr>
        <w:t>uzņēmējdarbības aktivitātes un konkurētspējas palielināšanai, uzņēmējdarbības uz</w:t>
      </w:r>
      <w:r w:rsidR="00EB0EA3" w:rsidRPr="0003106C">
        <w:rPr>
          <w:rFonts w:eastAsia="PMingLiU"/>
          <w:sz w:val="26"/>
          <w:szCs w:val="26"/>
        </w:rPr>
        <w:t>sācējiem un inovatīviem, strauji</w:t>
      </w:r>
      <w:r w:rsidRPr="0003106C">
        <w:rPr>
          <w:rFonts w:eastAsia="PMingLiU"/>
          <w:sz w:val="26"/>
          <w:szCs w:val="26"/>
        </w:rPr>
        <w:t xml:space="preserve"> augošiem uzņēmumiem. </w:t>
      </w:r>
      <w:r w:rsidRPr="0003106C">
        <w:rPr>
          <w:sz w:val="26"/>
          <w:szCs w:val="26"/>
        </w:rPr>
        <w:t xml:space="preserve">Līdz ar to nepieciešams sekmēt finansiālu atbalstu komercdarbības attīstībai, nodrošinot finanšu līdzekļus ilgtermiņa ieguldījumiem, pašu kapitāla pietiekamības nodrošināšanai, mikro un </w:t>
      </w:r>
      <w:r w:rsidR="003C007B" w:rsidRPr="0003106C">
        <w:rPr>
          <w:rFonts w:eastAsia="PMingLiU"/>
          <w:sz w:val="26"/>
          <w:szCs w:val="26"/>
        </w:rPr>
        <w:t>mazo un vidējo komersantu</w:t>
      </w:r>
      <w:r w:rsidRPr="0003106C">
        <w:rPr>
          <w:sz w:val="26"/>
          <w:szCs w:val="26"/>
        </w:rPr>
        <w:t xml:space="preserve"> pieeju finansējumam komercdarbības uzsākšanai un attīstībai, kā arī Latvijas komersantu konkurētspējas sekmēšanai ārējos tirgos, nodrošinot Latvijas uzņēmējiem tādus finanšu instrumentus kā eksporta garantijas. </w:t>
      </w:r>
    </w:p>
    <w:p w:rsidR="003D6D9C" w:rsidRPr="0003106C" w:rsidRDefault="003D6D9C" w:rsidP="003D6D9C">
      <w:pPr>
        <w:pStyle w:val="NormalWeb"/>
        <w:spacing w:before="0" w:beforeAutospacing="0" w:after="0" w:afterAutospacing="0"/>
        <w:ind w:firstLine="567"/>
        <w:jc w:val="both"/>
        <w:rPr>
          <w:sz w:val="26"/>
          <w:szCs w:val="26"/>
        </w:rPr>
      </w:pPr>
      <w:r w:rsidRPr="0003106C">
        <w:rPr>
          <w:sz w:val="26"/>
          <w:szCs w:val="26"/>
        </w:rPr>
        <w:t xml:space="preserve">Finanšu pieejamības jautājuma risināšanai skatāms arī risinājums, kas saistīts ar strukturālām reformām uzņēmējdarbības finansēšanas jomā, </w:t>
      </w:r>
      <w:r w:rsidRPr="0003106C">
        <w:rPr>
          <w:bCs/>
          <w:sz w:val="26"/>
          <w:szCs w:val="26"/>
        </w:rPr>
        <w:t>aktīvāk izmantojot ar banku kredītu nesaistītus kapitāla piesaistes modeļus</w:t>
      </w:r>
      <w:r w:rsidRPr="0003106C">
        <w:rPr>
          <w:b/>
          <w:bCs/>
          <w:sz w:val="26"/>
          <w:szCs w:val="26"/>
        </w:rPr>
        <w:t xml:space="preserve"> </w:t>
      </w:r>
      <w:r w:rsidR="003802F8" w:rsidRPr="0003106C">
        <w:rPr>
          <w:b/>
          <w:bCs/>
          <w:sz w:val="26"/>
          <w:szCs w:val="26"/>
        </w:rPr>
        <w:t>–</w:t>
      </w:r>
      <w:r w:rsidRPr="0003106C">
        <w:rPr>
          <w:sz w:val="26"/>
          <w:szCs w:val="26"/>
        </w:rPr>
        <w:t xml:space="preserve"> akciju emisijas kapitāla palielināšanai, parāda vērtspapīru emisijas projektu finansēšanai, kas samazinātu nepieciešamību pēc banku kredītiem un veicinātu aktīvi neizmantotās naudas atgriešanos apritē</w:t>
      </w:r>
      <w:r w:rsidR="003802F8" w:rsidRPr="0003106C">
        <w:rPr>
          <w:sz w:val="26"/>
          <w:szCs w:val="26"/>
        </w:rPr>
        <w:t>.</w:t>
      </w:r>
    </w:p>
    <w:p w:rsidR="003D6D9C" w:rsidRPr="0003106C" w:rsidRDefault="003D6D9C" w:rsidP="00623898">
      <w:pPr>
        <w:pStyle w:val="Header"/>
        <w:ind w:firstLine="567"/>
        <w:jc w:val="both"/>
        <w:rPr>
          <w:sz w:val="26"/>
          <w:szCs w:val="26"/>
        </w:rPr>
      </w:pPr>
    </w:p>
    <w:p w:rsidR="00E06E94" w:rsidRPr="0003106C" w:rsidRDefault="00073024" w:rsidP="00D95541">
      <w:pPr>
        <w:pStyle w:val="Heading2"/>
        <w:tabs>
          <w:tab w:val="left" w:pos="851"/>
        </w:tabs>
        <w:autoSpaceDE w:val="0"/>
        <w:autoSpaceDN w:val="0"/>
        <w:adjustRightInd w:val="0"/>
        <w:spacing w:before="0"/>
        <w:ind w:left="360"/>
        <w:jc w:val="both"/>
        <w:rPr>
          <w:rFonts w:ascii="Times New Roman" w:eastAsia="Calibri" w:hAnsi="Times New Roman" w:cs="Times New Roman"/>
          <w:bCs w:val="0"/>
          <w:i w:val="0"/>
          <w:iCs w:val="0"/>
          <w:sz w:val="26"/>
          <w:szCs w:val="26"/>
        </w:rPr>
      </w:pPr>
      <w:bookmarkStart w:id="10" w:name="_Toc355961032"/>
      <w:r w:rsidRPr="0003106C">
        <w:rPr>
          <w:rFonts w:ascii="Times New Roman" w:eastAsia="Calibri" w:hAnsi="Times New Roman" w:cs="Times New Roman"/>
          <w:bCs w:val="0"/>
          <w:i w:val="0"/>
          <w:iCs w:val="0"/>
          <w:sz w:val="26"/>
          <w:szCs w:val="26"/>
        </w:rPr>
        <w:t>4</w:t>
      </w:r>
      <w:r w:rsidR="00E06E94" w:rsidRPr="0003106C">
        <w:rPr>
          <w:rFonts w:ascii="Times New Roman" w:eastAsia="Calibri" w:hAnsi="Times New Roman" w:cs="Times New Roman"/>
          <w:bCs w:val="0"/>
          <w:i w:val="0"/>
          <w:iCs w:val="0"/>
          <w:sz w:val="26"/>
          <w:szCs w:val="26"/>
        </w:rPr>
        <w:t>.2.  Atbalsts ārējo tirgu apgūšanai</w:t>
      </w:r>
      <w:bookmarkEnd w:id="10"/>
    </w:p>
    <w:p w:rsidR="00032618" w:rsidRPr="0003106C" w:rsidRDefault="00032618" w:rsidP="00032618">
      <w:pPr>
        <w:pStyle w:val="BodyTextIndent"/>
        <w:ind w:left="0" w:firstLine="567"/>
        <w:jc w:val="both"/>
        <w:rPr>
          <w:sz w:val="26"/>
          <w:szCs w:val="26"/>
        </w:rPr>
      </w:pPr>
      <w:r w:rsidRPr="0003106C">
        <w:rPr>
          <w:sz w:val="26"/>
          <w:szCs w:val="26"/>
        </w:rPr>
        <w:t>Šobrīd eksporta jautājumi Latvijas uzņēmumiem ir kļuvuši aktuālāki kā jebkad iepriekš, jo visi apzinās, ka, strādājot tikai vietējā tirgū, būs grūti nodrošināt uzņēmuma attīstību un konkurētspēju (</w:t>
      </w:r>
      <w:r w:rsidRPr="0003106C">
        <w:rPr>
          <w:i/>
          <w:sz w:val="26"/>
          <w:szCs w:val="26"/>
        </w:rPr>
        <w:t>skat. iepriekšējās nodaļas</w:t>
      </w:r>
      <w:r w:rsidRPr="0003106C">
        <w:rPr>
          <w:sz w:val="26"/>
          <w:szCs w:val="26"/>
        </w:rPr>
        <w:t xml:space="preserve">). Starp Latvijas </w:t>
      </w:r>
      <w:r w:rsidRPr="0003106C">
        <w:rPr>
          <w:sz w:val="26"/>
          <w:szCs w:val="26"/>
        </w:rPr>
        <w:lastRenderedPageBreak/>
        <w:t>uzņēmumiem ir pieredzējuši un atpazīstami savas nozares līderi, gan arī jauni un inovatīvi uzņēmumi, kuri jau savas darbības pirmajos gados veiksmīgi iekaro ārvalstu tirgus ar konkurētspējīgiem produktiem, dizainu un tehnoloģijām, tādējādi, sniedzot nozīmīgu pienesumu tautsaimniecības attīstībā. Neskatoties</w:t>
      </w:r>
      <w:r w:rsidR="004F0CAD" w:rsidRPr="0003106C">
        <w:rPr>
          <w:sz w:val="26"/>
          <w:szCs w:val="26"/>
        </w:rPr>
        <w:t xml:space="preserve"> uz to, nereti uzņēmējiem, un</w:t>
      </w:r>
      <w:r w:rsidRPr="0003106C">
        <w:rPr>
          <w:sz w:val="26"/>
          <w:szCs w:val="26"/>
        </w:rPr>
        <w:t xml:space="preserve"> īpaši jaunajiem uzņēmumiem, pietrūkst zināšanu un pieredzes eksporta jautājumos, tādēļ tie neuzdrīkstas iziet ārpus Latvijas robežām. Turklāt bieži vien uzņēmumiem nākas saskarties ar būtiskiem citu valstu ieviestiem ārējās tirdzniecības ierobežojumiem. Ņemot vērā to, Latvijas uzņēmumu ārējās konkurētspējas sekmēšanai ir svarīgi nodrošināt maksimāli paredzamus un labvēlīgus tirgus pieejamības nosacījumus ārējos tirgos, pastāvīgi pilnveidojot un paplašinot gan daudzpusējo, gan divpusējo tirdzniecības nosacījumu līgumtiesisko bāzi. Tāpat ir nepieciešams sniegt uzņēmumiem atbalstu Latvijā ražotu preču un pakalpojumu eksportēšanai, nodrošinot konsultācijas uzņēmumiem eksporta uzsākšanai, sagatavojot uzņēmumiem nepieciešamo informāciju par ārvalstu tirgiem un sadarbības partneriem, sniedzot atbalstu kontaktu dibināšanā, kā arī nodrošinot gan politisku atbalstu – valstiskā līmenī, dibinot sadarbību un risinot starpvalstu sadarbības jautājumus valstu vadības līmenī, gan finansiālu atbalstu – līdzfinansējot aktivitātes iziešanai ārvalstu tirgos.</w:t>
      </w:r>
    </w:p>
    <w:p w:rsidR="00BD237F" w:rsidRPr="0003106C" w:rsidRDefault="00372BE8" w:rsidP="00A05627">
      <w:pPr>
        <w:pStyle w:val="BodyTextIndent"/>
        <w:ind w:left="0" w:firstLine="567"/>
        <w:jc w:val="both"/>
        <w:rPr>
          <w:sz w:val="26"/>
          <w:szCs w:val="26"/>
        </w:rPr>
      </w:pPr>
      <w:r w:rsidRPr="0003106C">
        <w:rPr>
          <w:sz w:val="26"/>
          <w:szCs w:val="26"/>
        </w:rPr>
        <w:t>N</w:t>
      </w:r>
      <w:r w:rsidR="001927A0" w:rsidRPr="0003106C">
        <w:rPr>
          <w:sz w:val="26"/>
          <w:szCs w:val="26"/>
        </w:rPr>
        <w:t xml:space="preserve">o institucionālā viedokļa </w:t>
      </w:r>
      <w:r w:rsidRPr="0003106C">
        <w:rPr>
          <w:sz w:val="26"/>
          <w:szCs w:val="26"/>
        </w:rPr>
        <w:t xml:space="preserve">šobrīd </w:t>
      </w:r>
      <w:r w:rsidR="001927A0" w:rsidRPr="0003106C">
        <w:rPr>
          <w:sz w:val="26"/>
          <w:szCs w:val="26"/>
        </w:rPr>
        <w:t>šādu atbalstu sniedz gan valsts, gan priv</w:t>
      </w:r>
      <w:r w:rsidR="00FF3505" w:rsidRPr="0003106C">
        <w:rPr>
          <w:sz w:val="26"/>
          <w:szCs w:val="26"/>
        </w:rPr>
        <w:t xml:space="preserve">ātais sektors, brīžiem valsts atbalsts pārklājas un </w:t>
      </w:r>
      <w:r w:rsidR="00513ADC" w:rsidRPr="0003106C">
        <w:rPr>
          <w:sz w:val="26"/>
          <w:szCs w:val="26"/>
        </w:rPr>
        <w:t>savā ziņā dublē privātā sektora sniegtos pakalpojumus</w:t>
      </w:r>
      <w:r w:rsidR="0073187F" w:rsidRPr="0003106C">
        <w:rPr>
          <w:sz w:val="26"/>
          <w:szCs w:val="26"/>
        </w:rPr>
        <w:t xml:space="preserve">, vienlaikus jāņem vērā, ka privātā sektora sniegtie pakalpojumi ir par maksu, tādejādi tie daļai uzņēmumu finansiālo </w:t>
      </w:r>
      <w:r w:rsidR="009C4E50" w:rsidRPr="0003106C">
        <w:rPr>
          <w:sz w:val="26"/>
          <w:szCs w:val="26"/>
        </w:rPr>
        <w:t>iespēju</w:t>
      </w:r>
      <w:r w:rsidR="0073187F" w:rsidRPr="0003106C">
        <w:rPr>
          <w:sz w:val="26"/>
          <w:szCs w:val="26"/>
        </w:rPr>
        <w:t xml:space="preserve"> dēļ ir ar ierobežotu pieejamību</w:t>
      </w:r>
      <w:r w:rsidR="009C4E50" w:rsidRPr="0003106C">
        <w:rPr>
          <w:sz w:val="26"/>
          <w:szCs w:val="26"/>
        </w:rPr>
        <w:t>.</w:t>
      </w:r>
      <w:r w:rsidR="0073187F" w:rsidRPr="0003106C">
        <w:rPr>
          <w:sz w:val="26"/>
          <w:szCs w:val="26"/>
        </w:rPr>
        <w:t xml:space="preserve"> </w:t>
      </w:r>
      <w:r w:rsidR="00513ADC" w:rsidRPr="0003106C">
        <w:rPr>
          <w:sz w:val="26"/>
          <w:szCs w:val="26"/>
        </w:rPr>
        <w:t xml:space="preserve">Savukārt valsts augstāko amatpersonu vizītes </w:t>
      </w:r>
      <w:r w:rsidR="00F23647" w:rsidRPr="0003106C">
        <w:rPr>
          <w:sz w:val="26"/>
          <w:szCs w:val="26"/>
        </w:rPr>
        <w:t>līdz šim</w:t>
      </w:r>
      <w:r w:rsidR="00BC6514" w:rsidRPr="0003106C">
        <w:rPr>
          <w:sz w:val="26"/>
          <w:szCs w:val="26"/>
        </w:rPr>
        <w:t xml:space="preserve"> </w:t>
      </w:r>
      <w:r w:rsidR="00513ADC" w:rsidRPr="0003106C">
        <w:rPr>
          <w:sz w:val="26"/>
          <w:szCs w:val="26"/>
        </w:rPr>
        <w:t>netik</w:t>
      </w:r>
      <w:r w:rsidR="00F23647" w:rsidRPr="0003106C">
        <w:rPr>
          <w:sz w:val="26"/>
          <w:szCs w:val="26"/>
        </w:rPr>
        <w:t>a</w:t>
      </w:r>
      <w:r w:rsidR="00513ADC" w:rsidRPr="0003106C">
        <w:rPr>
          <w:sz w:val="26"/>
          <w:szCs w:val="26"/>
        </w:rPr>
        <w:t xml:space="preserve"> saskaņoti</w:t>
      </w:r>
      <w:r w:rsidR="00DB22EC" w:rsidRPr="0003106C">
        <w:rPr>
          <w:sz w:val="26"/>
          <w:szCs w:val="26"/>
        </w:rPr>
        <w:t xml:space="preserve"> un </w:t>
      </w:r>
      <w:r w:rsidR="00513ADC" w:rsidRPr="0003106C">
        <w:rPr>
          <w:sz w:val="26"/>
          <w:szCs w:val="26"/>
        </w:rPr>
        <w:t xml:space="preserve">sistemātiski plānotas, balstoties uz uzņēmumu interesēm ārvalstu tirgos, tādejādi </w:t>
      </w:r>
      <w:r w:rsidR="009631E1" w:rsidRPr="0003106C">
        <w:rPr>
          <w:sz w:val="26"/>
          <w:szCs w:val="26"/>
        </w:rPr>
        <w:t xml:space="preserve">panākot </w:t>
      </w:r>
      <w:r w:rsidR="00DF2514" w:rsidRPr="0003106C">
        <w:rPr>
          <w:sz w:val="26"/>
          <w:szCs w:val="26"/>
        </w:rPr>
        <w:t>efektīvu valsts resursu izlietošanu</w:t>
      </w:r>
      <w:r w:rsidR="00F018D5" w:rsidRPr="0003106C">
        <w:rPr>
          <w:sz w:val="26"/>
          <w:szCs w:val="26"/>
        </w:rPr>
        <w:t xml:space="preserve"> konkrētu tirgu apgūšanai, </w:t>
      </w:r>
      <w:r w:rsidR="00655194" w:rsidRPr="0003106C">
        <w:rPr>
          <w:sz w:val="26"/>
          <w:szCs w:val="26"/>
        </w:rPr>
        <w:t xml:space="preserve">vienlaikus </w:t>
      </w:r>
      <w:r w:rsidR="00F018D5" w:rsidRPr="0003106C">
        <w:rPr>
          <w:sz w:val="26"/>
          <w:szCs w:val="26"/>
        </w:rPr>
        <w:t xml:space="preserve">nodrošinot politisko atbalstu, kas daudzos, it sevišķi tālajos tirgos, ir būtisks faktors sadarbības uzsākšanai un veicināšanai. </w:t>
      </w:r>
      <w:r w:rsidR="00DB22EC" w:rsidRPr="0003106C">
        <w:rPr>
          <w:sz w:val="26"/>
          <w:szCs w:val="26"/>
        </w:rPr>
        <w:t>Atbalsta pasākumus semināru un tirdzniecības misiju veidā šobrīd nodrošina kā valsts, tā privātais sektors.</w:t>
      </w:r>
    </w:p>
    <w:p w:rsidR="001927A0" w:rsidRPr="0003106C" w:rsidRDefault="00BD237F" w:rsidP="002B57DE">
      <w:pPr>
        <w:pStyle w:val="BodyTextIndent"/>
        <w:ind w:left="0" w:firstLine="567"/>
        <w:jc w:val="both"/>
        <w:rPr>
          <w:sz w:val="26"/>
          <w:szCs w:val="26"/>
        </w:rPr>
      </w:pPr>
      <w:r w:rsidRPr="0003106C">
        <w:rPr>
          <w:sz w:val="26"/>
          <w:szCs w:val="26"/>
        </w:rPr>
        <w:t>Savukārt ekonomiska rakstura informācija pašlaik interneta vietnēs Latvijā ir izvietota sadrumstaloti, kas apgrūtina iespējas Latvijas uzņēmumiem vienkopus atrast informāciju par tos interesējošiem ārvalstu tirgiem, atbalsta pasākumiem un mehānismiem.</w:t>
      </w:r>
    </w:p>
    <w:p w:rsidR="003F2210" w:rsidRPr="0003106C" w:rsidRDefault="006F517D" w:rsidP="002B57DE">
      <w:pPr>
        <w:ind w:firstLine="567"/>
        <w:jc w:val="both"/>
        <w:rPr>
          <w:sz w:val="26"/>
          <w:szCs w:val="26"/>
          <w:lang w:eastAsia="en-US"/>
        </w:rPr>
      </w:pPr>
      <w:r w:rsidRPr="0003106C">
        <w:rPr>
          <w:b/>
          <w:sz w:val="26"/>
          <w:szCs w:val="26"/>
          <w:lang w:eastAsia="en-US"/>
        </w:rPr>
        <w:t xml:space="preserve">Ekonomikas ministrijas </w:t>
      </w:r>
      <w:r w:rsidRPr="0003106C">
        <w:rPr>
          <w:sz w:val="26"/>
          <w:szCs w:val="26"/>
          <w:lang w:eastAsia="en-US"/>
        </w:rPr>
        <w:t xml:space="preserve">prioritāte ir uzņēmējdarbības konkurētspējas veicināšana un ārējās ekonomiskās politikas izstrāde, veicinot Latvijas tautsaimniecības konkurētspēju un nodrošinot ekonomisko interešu pārstāvību ES </w:t>
      </w:r>
      <w:r w:rsidRPr="0003106C">
        <w:rPr>
          <w:sz w:val="26"/>
          <w:szCs w:val="26"/>
        </w:rPr>
        <w:t>kopējās tirdzniecības politikas ietvaros</w:t>
      </w:r>
      <w:r w:rsidRPr="0003106C">
        <w:rPr>
          <w:sz w:val="26"/>
          <w:szCs w:val="26"/>
          <w:lang w:eastAsia="en-US"/>
        </w:rPr>
        <w:t xml:space="preserve">. </w:t>
      </w:r>
      <w:r w:rsidR="003F2210" w:rsidRPr="0003106C">
        <w:rPr>
          <w:sz w:val="26"/>
          <w:szCs w:val="26"/>
          <w:lang w:eastAsia="en-US"/>
        </w:rPr>
        <w:t xml:space="preserve">Izmantojot savu ilggadējo pieredzi un iesaistot Latvijas Ārējo ekonomisko pārstāvniecību tīklu, </w:t>
      </w:r>
      <w:r w:rsidR="009A5C29" w:rsidRPr="0003106C">
        <w:rPr>
          <w:b/>
          <w:sz w:val="26"/>
          <w:szCs w:val="26"/>
          <w:lang w:eastAsia="en-US"/>
        </w:rPr>
        <w:t>LIAA</w:t>
      </w:r>
      <w:r w:rsidR="003F2210" w:rsidRPr="0003106C">
        <w:rPr>
          <w:sz w:val="26"/>
          <w:szCs w:val="26"/>
          <w:lang w:eastAsia="en-US"/>
        </w:rPr>
        <w:t xml:space="preserve"> piedāvā uzņēmējiem plašu pakalpojumu klāstu uzņēmumu eksportspējas </w:t>
      </w:r>
      <w:r w:rsidR="00002765" w:rsidRPr="0003106C">
        <w:rPr>
          <w:sz w:val="26"/>
          <w:szCs w:val="26"/>
          <w:lang w:eastAsia="en-US"/>
        </w:rPr>
        <w:t>veicināšanai</w:t>
      </w:r>
      <w:r w:rsidR="00F465A5" w:rsidRPr="0003106C">
        <w:rPr>
          <w:sz w:val="26"/>
          <w:szCs w:val="26"/>
          <w:lang w:eastAsia="en-US"/>
        </w:rPr>
        <w:t>:</w:t>
      </w:r>
    </w:p>
    <w:p w:rsidR="00F465A5" w:rsidRPr="0003106C" w:rsidRDefault="00F465A5" w:rsidP="00457396">
      <w:pPr>
        <w:pStyle w:val="ListParagraph"/>
        <w:numPr>
          <w:ilvl w:val="0"/>
          <w:numId w:val="47"/>
        </w:numPr>
        <w:spacing w:line="240" w:lineRule="auto"/>
        <w:ind w:left="924" w:hanging="357"/>
        <w:jc w:val="both"/>
        <w:rPr>
          <w:rFonts w:ascii="Times New Roman" w:hAnsi="Times New Roman"/>
          <w:sz w:val="26"/>
          <w:szCs w:val="26"/>
        </w:rPr>
      </w:pPr>
      <w:r w:rsidRPr="0003106C">
        <w:rPr>
          <w:rFonts w:ascii="Times New Roman" w:hAnsi="Times New Roman"/>
          <w:sz w:val="26"/>
          <w:szCs w:val="26"/>
        </w:rPr>
        <w:t>sniedz</w:t>
      </w:r>
      <w:r w:rsidR="003F2210" w:rsidRPr="0003106C">
        <w:rPr>
          <w:rFonts w:ascii="Times New Roman" w:hAnsi="Times New Roman"/>
          <w:sz w:val="26"/>
          <w:szCs w:val="26"/>
        </w:rPr>
        <w:t xml:space="preserve"> i</w:t>
      </w:r>
      <w:r w:rsidRPr="0003106C">
        <w:rPr>
          <w:rFonts w:ascii="Times New Roman" w:hAnsi="Times New Roman"/>
          <w:sz w:val="26"/>
          <w:szCs w:val="26"/>
        </w:rPr>
        <w:t>nformāciju</w:t>
      </w:r>
      <w:r w:rsidR="003F2210" w:rsidRPr="0003106C">
        <w:rPr>
          <w:rFonts w:ascii="Times New Roman" w:hAnsi="Times New Roman"/>
          <w:sz w:val="26"/>
          <w:szCs w:val="26"/>
        </w:rPr>
        <w:t xml:space="preserve"> un konsultācijas par ārējās tirdzniecības jautājumiem, eksporta uzsākšanu, specifiskām tirdzniecības prasībām, biznesa partneru meklēšanas iespējām un atlas</w:t>
      </w:r>
      <w:r w:rsidR="004F0CAD" w:rsidRPr="0003106C">
        <w:rPr>
          <w:rFonts w:ascii="Times New Roman" w:hAnsi="Times New Roman"/>
          <w:sz w:val="26"/>
          <w:szCs w:val="26"/>
        </w:rPr>
        <w:t xml:space="preserve">i,  LIAA pieejamām datu bāzēm, </w:t>
      </w:r>
      <w:r w:rsidR="003F2210" w:rsidRPr="0003106C">
        <w:rPr>
          <w:rFonts w:ascii="Times New Roman" w:hAnsi="Times New Roman"/>
          <w:sz w:val="26"/>
          <w:szCs w:val="26"/>
        </w:rPr>
        <w:t>nozares izstādēm, nacionālo un ES likumdošanu par dažādiem ar tirdzniecību saistītiem jautājumiem, starptautiskiem tiesību aktiem, kas reglamentē uzņēmējdarbības uzsākšanu, nodokļu politiku, darba tiesībām</w:t>
      </w:r>
      <w:r w:rsidRPr="0003106C">
        <w:rPr>
          <w:rFonts w:ascii="Times New Roman" w:hAnsi="Times New Roman"/>
          <w:sz w:val="26"/>
          <w:szCs w:val="26"/>
        </w:rPr>
        <w:t>;</w:t>
      </w:r>
    </w:p>
    <w:p w:rsidR="00F465A5" w:rsidRPr="0003106C" w:rsidRDefault="003F2210" w:rsidP="00457396">
      <w:pPr>
        <w:pStyle w:val="ListParagraph"/>
        <w:numPr>
          <w:ilvl w:val="0"/>
          <w:numId w:val="47"/>
        </w:numPr>
        <w:spacing w:line="240" w:lineRule="auto"/>
        <w:ind w:left="924" w:hanging="357"/>
        <w:jc w:val="both"/>
        <w:rPr>
          <w:rFonts w:ascii="Times New Roman" w:hAnsi="Times New Roman"/>
          <w:sz w:val="26"/>
          <w:szCs w:val="26"/>
        </w:rPr>
      </w:pPr>
      <w:r w:rsidRPr="0003106C">
        <w:rPr>
          <w:rFonts w:ascii="Times New Roman" w:hAnsi="Times New Roman"/>
          <w:sz w:val="26"/>
          <w:szCs w:val="26"/>
        </w:rPr>
        <w:t>sniedz atbalstu biznesa sadarbības partneru meklēšanā ārvalstīs, organizē uzņēmēju vizītes, tirdzniecības misijas, kontaktbiržas ārvalstīs, kuru ietvaros tiek rīkoti biznesa forumi, semināri, uzņēmēju apaļā galda tikšanās, izstāžu apmeklējumi individuālas tikšanās ar potenciālajiem sadarbības partneriem</w:t>
      </w:r>
      <w:r w:rsidR="00F465A5" w:rsidRPr="0003106C">
        <w:rPr>
          <w:rFonts w:ascii="Times New Roman" w:hAnsi="Times New Roman"/>
          <w:sz w:val="26"/>
          <w:szCs w:val="26"/>
        </w:rPr>
        <w:t>;</w:t>
      </w:r>
    </w:p>
    <w:p w:rsidR="00F465A5" w:rsidRPr="0003106C" w:rsidRDefault="003F2210" w:rsidP="00457396">
      <w:pPr>
        <w:pStyle w:val="ListParagraph"/>
        <w:numPr>
          <w:ilvl w:val="0"/>
          <w:numId w:val="47"/>
        </w:numPr>
        <w:spacing w:line="240" w:lineRule="auto"/>
        <w:ind w:left="924" w:hanging="357"/>
        <w:jc w:val="both"/>
        <w:rPr>
          <w:rFonts w:ascii="Times New Roman" w:hAnsi="Times New Roman"/>
          <w:sz w:val="26"/>
          <w:szCs w:val="26"/>
        </w:rPr>
      </w:pPr>
      <w:r w:rsidRPr="0003106C">
        <w:rPr>
          <w:rFonts w:ascii="Times New Roman" w:hAnsi="Times New Roman"/>
          <w:sz w:val="26"/>
          <w:szCs w:val="26"/>
        </w:rPr>
        <w:lastRenderedPageBreak/>
        <w:t>palīdz uzņēmumiem sagatavoties un piedalīties izstādēs, veicot pirms izstādes tiešo mārketingu, kopā ar uzņēmumiem strādā stendā. Tāpat LIAA organizē Latvijas nacionālos stendus starptautiskajās nozaru izstādēs ārvalstīs</w:t>
      </w:r>
      <w:r w:rsidR="00F465A5" w:rsidRPr="0003106C">
        <w:rPr>
          <w:rFonts w:ascii="Times New Roman" w:hAnsi="Times New Roman"/>
          <w:sz w:val="26"/>
          <w:szCs w:val="26"/>
        </w:rPr>
        <w:t>;</w:t>
      </w:r>
    </w:p>
    <w:p w:rsidR="003F2210" w:rsidRPr="0003106C" w:rsidRDefault="003F2210" w:rsidP="00457396">
      <w:pPr>
        <w:pStyle w:val="ListParagraph"/>
        <w:numPr>
          <w:ilvl w:val="0"/>
          <w:numId w:val="47"/>
        </w:numPr>
        <w:spacing w:line="240" w:lineRule="auto"/>
        <w:ind w:left="924" w:hanging="357"/>
        <w:jc w:val="both"/>
        <w:rPr>
          <w:rFonts w:ascii="Times New Roman" w:hAnsi="Times New Roman"/>
          <w:sz w:val="26"/>
          <w:szCs w:val="26"/>
        </w:rPr>
      </w:pPr>
      <w:r w:rsidRPr="0003106C">
        <w:rPr>
          <w:rFonts w:ascii="Times New Roman" w:hAnsi="Times New Roman"/>
          <w:sz w:val="26"/>
          <w:szCs w:val="26"/>
        </w:rPr>
        <w:t>organizē eksporta prasmju seminār</w:t>
      </w:r>
      <w:r w:rsidR="004F0CAD" w:rsidRPr="0003106C">
        <w:rPr>
          <w:rFonts w:ascii="Times New Roman" w:hAnsi="Times New Roman"/>
          <w:sz w:val="26"/>
          <w:szCs w:val="26"/>
        </w:rPr>
        <w:t>u</w:t>
      </w:r>
      <w:r w:rsidRPr="0003106C">
        <w:rPr>
          <w:rFonts w:ascii="Times New Roman" w:hAnsi="Times New Roman"/>
          <w:sz w:val="26"/>
          <w:szCs w:val="26"/>
        </w:rPr>
        <w:t>s, informatīvus seminārus par ārējiem tirgiem un</w:t>
      </w:r>
      <w:r w:rsidRPr="0003106C">
        <w:rPr>
          <w:rFonts w:ascii="Times New Roman" w:hAnsi="Times New Roman"/>
          <w:sz w:val="26"/>
          <w:szCs w:val="26"/>
        </w:rPr>
        <w:tab/>
        <w:t>ārējās tirdzniecības jautājumiem, kā arī seminārus radošo nozaru un dizaina uzņēmumiem.</w:t>
      </w:r>
    </w:p>
    <w:p w:rsidR="009134AD" w:rsidRPr="0003106C" w:rsidRDefault="00C4750C" w:rsidP="00457396">
      <w:pPr>
        <w:spacing w:before="120" w:after="150"/>
        <w:ind w:firstLine="567"/>
        <w:jc w:val="both"/>
        <w:rPr>
          <w:sz w:val="26"/>
          <w:szCs w:val="26"/>
          <w:lang w:eastAsia="en-US"/>
        </w:rPr>
      </w:pPr>
      <w:r w:rsidRPr="0003106C">
        <w:rPr>
          <w:sz w:val="26"/>
          <w:szCs w:val="26"/>
          <w:lang w:eastAsia="en-US"/>
        </w:rPr>
        <w:t xml:space="preserve">LIAA </w:t>
      </w:r>
      <w:r w:rsidR="0016253F" w:rsidRPr="0003106C">
        <w:rPr>
          <w:sz w:val="26"/>
          <w:szCs w:val="26"/>
          <w:lang w:eastAsia="en-US"/>
        </w:rPr>
        <w:t xml:space="preserve">un </w:t>
      </w:r>
      <w:r w:rsidR="006E6BDC" w:rsidRPr="0003106C">
        <w:rPr>
          <w:sz w:val="26"/>
          <w:szCs w:val="26"/>
          <w:lang w:eastAsia="en-US"/>
        </w:rPr>
        <w:t>Latvijas Tehnoloģisk</w:t>
      </w:r>
      <w:r w:rsidR="009C74FB" w:rsidRPr="0003106C">
        <w:rPr>
          <w:sz w:val="26"/>
          <w:szCs w:val="26"/>
          <w:lang w:eastAsia="en-US"/>
        </w:rPr>
        <w:t>ais</w:t>
      </w:r>
      <w:r w:rsidR="006E6BDC" w:rsidRPr="0003106C">
        <w:rPr>
          <w:sz w:val="26"/>
          <w:szCs w:val="26"/>
          <w:lang w:eastAsia="en-US"/>
        </w:rPr>
        <w:t xml:space="preserve"> ce</w:t>
      </w:r>
      <w:r w:rsidR="00B658C8" w:rsidRPr="0003106C">
        <w:rPr>
          <w:sz w:val="26"/>
          <w:szCs w:val="26"/>
          <w:lang w:eastAsia="en-US"/>
        </w:rPr>
        <w:t>ntrs Latvijā nodrošina Eiropas B</w:t>
      </w:r>
      <w:r w:rsidR="006E6BDC" w:rsidRPr="0003106C">
        <w:rPr>
          <w:sz w:val="26"/>
          <w:szCs w:val="26"/>
          <w:lang w:eastAsia="en-US"/>
        </w:rPr>
        <w:t>iznesa atbalsta tīkla</w:t>
      </w:r>
      <w:r w:rsidRPr="0003106C">
        <w:rPr>
          <w:sz w:val="26"/>
          <w:szCs w:val="26"/>
          <w:lang w:eastAsia="en-US"/>
        </w:rPr>
        <w:t xml:space="preserve"> Latvijā (Enterprise Europe Network </w:t>
      </w:r>
      <w:r w:rsidR="00597C9E" w:rsidRPr="0003106C">
        <w:rPr>
          <w:sz w:val="26"/>
          <w:szCs w:val="26"/>
          <w:lang w:eastAsia="en-US"/>
        </w:rPr>
        <w:t>–</w:t>
      </w:r>
      <w:r w:rsidRPr="0003106C">
        <w:rPr>
          <w:sz w:val="26"/>
          <w:szCs w:val="26"/>
          <w:lang w:eastAsia="en-US"/>
        </w:rPr>
        <w:t xml:space="preserve"> EEN)</w:t>
      </w:r>
      <w:r w:rsidR="006E6BDC" w:rsidRPr="0003106C">
        <w:rPr>
          <w:sz w:val="26"/>
          <w:szCs w:val="26"/>
          <w:lang w:eastAsia="en-US"/>
        </w:rPr>
        <w:t xml:space="preserve"> funkcijas</w:t>
      </w:r>
      <w:r w:rsidRPr="0003106C">
        <w:rPr>
          <w:sz w:val="26"/>
          <w:szCs w:val="26"/>
          <w:lang w:eastAsia="en-US"/>
        </w:rPr>
        <w:t>, kura galvenais mērķis ir veicināt Latvijas mazo un vidējo uzņēmumu konkurētspēju ES vienotajā tirgū. Tīkls piedāvā atbalsta pakalp</w:t>
      </w:r>
      <w:r w:rsidR="00597C9E" w:rsidRPr="0003106C">
        <w:rPr>
          <w:sz w:val="26"/>
          <w:szCs w:val="26"/>
          <w:lang w:eastAsia="en-US"/>
        </w:rPr>
        <w:t>ojumus uzņēmējiem vairāk nekā 50</w:t>
      </w:r>
      <w:r w:rsidRPr="0003106C">
        <w:rPr>
          <w:sz w:val="26"/>
          <w:szCs w:val="26"/>
          <w:lang w:eastAsia="en-US"/>
        </w:rPr>
        <w:t xml:space="preserve"> valstīs, iekļaujot 27 ES valstis, k</w:t>
      </w:r>
      <w:r w:rsidR="004F0CAD" w:rsidRPr="0003106C">
        <w:rPr>
          <w:sz w:val="26"/>
          <w:szCs w:val="26"/>
          <w:lang w:eastAsia="en-US"/>
        </w:rPr>
        <w:t>ā arī kandidātvalstis, Eiropas E</w:t>
      </w:r>
      <w:r w:rsidRPr="0003106C">
        <w:rPr>
          <w:sz w:val="26"/>
          <w:szCs w:val="26"/>
          <w:lang w:eastAsia="en-US"/>
        </w:rPr>
        <w:t xml:space="preserve">konomiskās zonas valstis un citas trešās valstis. </w:t>
      </w:r>
      <w:r w:rsidR="008553C2" w:rsidRPr="0003106C">
        <w:rPr>
          <w:sz w:val="26"/>
          <w:szCs w:val="26"/>
          <w:lang w:eastAsia="en-US"/>
        </w:rPr>
        <w:t>Tīklā ir apvienotas un koordinēti darbojas aptuveni 600 partnerorganizācij</w:t>
      </w:r>
      <w:r w:rsidR="009C74FB" w:rsidRPr="0003106C">
        <w:rPr>
          <w:sz w:val="26"/>
          <w:szCs w:val="26"/>
          <w:lang w:eastAsia="en-US"/>
        </w:rPr>
        <w:t>as</w:t>
      </w:r>
      <w:r w:rsidR="008553C2" w:rsidRPr="0003106C">
        <w:rPr>
          <w:sz w:val="26"/>
          <w:szCs w:val="26"/>
          <w:lang w:eastAsia="en-US"/>
        </w:rPr>
        <w:t xml:space="preserve">, kurās nodarbināti ap 4000 speciālistu, lai veicinātu ES uzņēmējdarbību. </w:t>
      </w:r>
      <w:r w:rsidRPr="0003106C">
        <w:rPr>
          <w:sz w:val="26"/>
          <w:szCs w:val="26"/>
          <w:lang w:eastAsia="en-US"/>
        </w:rPr>
        <w:t>Eiropas Biznesa atbalsta tīkls piedāvā starptautiskās tehnoloģiju pārneses pakalpojumus, palīdz uzņēmumiem identificēt iespējamos finansējuma avotus. Eiropas Biznesa atbalsta tīkls sniedz konsultācijas par ārējo tirdzniecību, informāciju par starptautiskajām nozaru izstādēm, palīdz biznesa partneru meklēšanā izmantojot datu bāzes, atbild uz jautājumiem par nacionālo un ES likumdošanu, kas nosaka kārtību, kādā noteiktas preču grupas laižamas brīvam apgrozījumam Eiropas Kopienas teritorijā, atsevišķu preču grupu eksportu uz/no trešajām valstīm, tirdzniecības ierobežojumiem, tranzīta procedūrām, nodokļu nomaksas kārtību, preču marķēšanu, apkopo informāciju par starptautiskajiem tiesību aktiem, kas reglamentē uzņēmējdarbības uzsākšanu, nodokļu politiku, darba tiesības u.c.</w:t>
      </w:r>
      <w:r w:rsidR="00597C9E" w:rsidRPr="0003106C">
        <w:rPr>
          <w:sz w:val="26"/>
          <w:szCs w:val="26"/>
          <w:lang w:eastAsia="en-US"/>
        </w:rPr>
        <w:t xml:space="preserve"> </w:t>
      </w:r>
    </w:p>
    <w:p w:rsidR="007476BC" w:rsidRPr="0003106C" w:rsidRDefault="007476BC" w:rsidP="004F5186">
      <w:pPr>
        <w:spacing w:after="150"/>
        <w:ind w:firstLine="567"/>
        <w:jc w:val="both"/>
        <w:rPr>
          <w:sz w:val="26"/>
          <w:szCs w:val="26"/>
          <w:lang w:eastAsia="en-US"/>
        </w:rPr>
      </w:pPr>
      <w:r w:rsidRPr="0003106C">
        <w:rPr>
          <w:b/>
          <w:sz w:val="26"/>
          <w:szCs w:val="26"/>
          <w:lang w:eastAsia="en-US"/>
        </w:rPr>
        <w:t>Ārlietu ministrija</w:t>
      </w:r>
      <w:r w:rsidR="004F5186" w:rsidRPr="0003106C">
        <w:rPr>
          <w:b/>
          <w:sz w:val="26"/>
          <w:szCs w:val="26"/>
          <w:lang w:eastAsia="en-US"/>
        </w:rPr>
        <w:t xml:space="preserve"> </w:t>
      </w:r>
      <w:r w:rsidR="002A2181" w:rsidRPr="0003106C">
        <w:rPr>
          <w:sz w:val="26"/>
          <w:szCs w:val="26"/>
          <w:lang w:eastAsia="en-US"/>
        </w:rPr>
        <w:t>izstrādā</w:t>
      </w:r>
      <w:r w:rsidRPr="0003106C">
        <w:rPr>
          <w:sz w:val="26"/>
          <w:szCs w:val="26"/>
          <w:lang w:eastAsia="en-US"/>
        </w:rPr>
        <w:t xml:space="preserve"> vienotu valsts ārpolitiku</w:t>
      </w:r>
      <w:r w:rsidR="00F436E7" w:rsidRPr="0003106C">
        <w:rPr>
          <w:sz w:val="26"/>
          <w:szCs w:val="26"/>
          <w:lang w:eastAsia="en-US"/>
        </w:rPr>
        <w:t xml:space="preserve">, </w:t>
      </w:r>
      <w:r w:rsidR="00F436E7" w:rsidRPr="0003106C">
        <w:rPr>
          <w:sz w:val="26"/>
          <w:szCs w:val="26"/>
        </w:rPr>
        <w:t>kuras viena no prioritātēm ir Latvijas ārējo ekonomisko interešu pārstāvība.</w:t>
      </w:r>
      <w:r w:rsidRPr="0003106C">
        <w:rPr>
          <w:sz w:val="26"/>
          <w:szCs w:val="26"/>
          <w:lang w:eastAsia="en-US"/>
        </w:rPr>
        <w:t xml:space="preserve"> Savukārt </w:t>
      </w:r>
      <w:r w:rsidR="00267761" w:rsidRPr="0003106C">
        <w:rPr>
          <w:sz w:val="26"/>
          <w:szCs w:val="26"/>
          <w:lang w:eastAsia="en-US"/>
        </w:rPr>
        <w:t xml:space="preserve">Latvijas </w:t>
      </w:r>
      <w:r w:rsidR="009631E1" w:rsidRPr="0003106C">
        <w:rPr>
          <w:sz w:val="26"/>
          <w:szCs w:val="26"/>
          <w:lang w:eastAsia="en-US"/>
        </w:rPr>
        <w:t xml:space="preserve">diplomātisko un konsulāro pārstāvniecību </w:t>
      </w:r>
      <w:r w:rsidRPr="0003106C">
        <w:rPr>
          <w:sz w:val="26"/>
          <w:szCs w:val="26"/>
          <w:lang w:eastAsia="en-US"/>
        </w:rPr>
        <w:t>galvenās funkcijas ir politekonomisko attiecību uzturēšana valsts līmenī, sadarbība daudzpusējos formātos un politiskais lobijs problēmjautājumu risināšanā</w:t>
      </w:r>
      <w:r w:rsidR="00EE5157" w:rsidRPr="0003106C">
        <w:rPr>
          <w:sz w:val="26"/>
          <w:szCs w:val="26"/>
          <w:lang w:eastAsia="en-US"/>
        </w:rPr>
        <w:t xml:space="preserve">, </w:t>
      </w:r>
      <w:r w:rsidRPr="0003106C">
        <w:rPr>
          <w:sz w:val="26"/>
          <w:szCs w:val="26"/>
          <w:lang w:eastAsia="en-US"/>
        </w:rPr>
        <w:t>kā arī</w:t>
      </w:r>
      <w:r w:rsidR="007C5DED" w:rsidRPr="0003106C">
        <w:rPr>
          <w:sz w:val="26"/>
          <w:szCs w:val="26"/>
          <w:lang w:eastAsia="en-US"/>
        </w:rPr>
        <w:t xml:space="preserve"> </w:t>
      </w:r>
      <w:r w:rsidR="00EE5157" w:rsidRPr="0003106C">
        <w:rPr>
          <w:sz w:val="26"/>
          <w:szCs w:val="26"/>
          <w:lang w:eastAsia="en-US"/>
        </w:rPr>
        <w:t>eksporta atbalsta pasākumu</w:t>
      </w:r>
      <w:r w:rsidR="00254934" w:rsidRPr="0003106C">
        <w:rPr>
          <w:sz w:val="26"/>
          <w:szCs w:val="26"/>
          <w:lang w:eastAsia="en-US"/>
        </w:rPr>
        <w:t xml:space="preserve"> īstenošana</w:t>
      </w:r>
      <w:r w:rsidR="00EE5157" w:rsidRPr="0003106C">
        <w:rPr>
          <w:sz w:val="26"/>
          <w:szCs w:val="26"/>
          <w:lang w:eastAsia="en-US"/>
        </w:rPr>
        <w:t xml:space="preserve"> sadarbībā ar LIAA, it īpaši valstīs, kurās nav Latvijas Ārējās ekonomiskās pārstāvniecības</w:t>
      </w:r>
      <w:r w:rsidR="0051213E" w:rsidRPr="0003106C">
        <w:rPr>
          <w:sz w:val="26"/>
          <w:szCs w:val="26"/>
          <w:lang w:eastAsia="en-US"/>
        </w:rPr>
        <w:t>.</w:t>
      </w:r>
    </w:p>
    <w:p w:rsidR="00372BE8" w:rsidRPr="0003106C" w:rsidRDefault="00372BE8" w:rsidP="00372BE8">
      <w:pPr>
        <w:pStyle w:val="BodyTextIndent"/>
        <w:ind w:left="0" w:firstLine="567"/>
        <w:jc w:val="both"/>
        <w:rPr>
          <w:sz w:val="26"/>
          <w:szCs w:val="26"/>
        </w:rPr>
      </w:pPr>
      <w:r w:rsidRPr="0003106C">
        <w:rPr>
          <w:sz w:val="26"/>
          <w:szCs w:val="26"/>
        </w:rPr>
        <w:t xml:space="preserve">Starp </w:t>
      </w:r>
      <w:r w:rsidRPr="0003106C">
        <w:rPr>
          <w:b/>
          <w:sz w:val="26"/>
          <w:szCs w:val="26"/>
        </w:rPr>
        <w:t>LTRK</w:t>
      </w:r>
      <w:r w:rsidRPr="0003106C">
        <w:rPr>
          <w:sz w:val="26"/>
          <w:szCs w:val="26"/>
        </w:rPr>
        <w:t xml:space="preserve"> sniegtajiem pakalpojumiem saviem biedriem ir virkne eksporta atbalsta pasākumu, kurus LTRK īsteno gan sadarbībā ar valsts institūcijām, gan patstāvīgi: LTRK organizē tirdzniecības misijas un</w:t>
      </w:r>
      <w:r w:rsidR="000F67F7" w:rsidRPr="0003106C">
        <w:rPr>
          <w:sz w:val="26"/>
          <w:szCs w:val="26"/>
        </w:rPr>
        <w:t xml:space="preserve"> uzņēmumu līdzdalību</w:t>
      </w:r>
      <w:r w:rsidRPr="0003106C">
        <w:rPr>
          <w:sz w:val="26"/>
          <w:szCs w:val="26"/>
        </w:rPr>
        <w:t xml:space="preserve"> izstād</w:t>
      </w:r>
      <w:r w:rsidR="000F67F7" w:rsidRPr="0003106C">
        <w:rPr>
          <w:sz w:val="26"/>
          <w:szCs w:val="26"/>
        </w:rPr>
        <w:t>ē</w:t>
      </w:r>
      <w:r w:rsidRPr="0003106C">
        <w:rPr>
          <w:sz w:val="26"/>
          <w:szCs w:val="26"/>
        </w:rPr>
        <w:t xml:space="preserve">s gan Latvijā, gan ārzemēs, organizē Latvijas uzņēmēju dalību dažādos biznesa forumos; LTRK biznesa datu krātuvē apkopota informācija par ārvalstīm un to uzņēmumu sadarbības piedāvājumiem, pieejamas ārvalstu biznesa iespēju datu bāzes; </w:t>
      </w:r>
      <w:r w:rsidR="00254934" w:rsidRPr="0003106C">
        <w:rPr>
          <w:sz w:val="26"/>
          <w:szCs w:val="26"/>
        </w:rPr>
        <w:t xml:space="preserve">LTRK </w:t>
      </w:r>
      <w:r w:rsidRPr="0003106C">
        <w:rPr>
          <w:sz w:val="26"/>
          <w:szCs w:val="26"/>
        </w:rPr>
        <w:t>piedāvā apgūt uzņēmējdarbībai nepieciešamās zināšanas un prasmes, rīko seminārus par uzņēmējiem aktuālām tēmām</w:t>
      </w:r>
      <w:r w:rsidR="00254934" w:rsidRPr="0003106C">
        <w:rPr>
          <w:sz w:val="26"/>
          <w:szCs w:val="26"/>
        </w:rPr>
        <w:t>,</w:t>
      </w:r>
      <w:r w:rsidRPr="0003106C">
        <w:rPr>
          <w:sz w:val="26"/>
          <w:szCs w:val="26"/>
        </w:rPr>
        <w:t xml:space="preserve"> izsniedz preču izcelsmes sertifikātus</w:t>
      </w:r>
      <w:r w:rsidR="00254934" w:rsidRPr="0003106C">
        <w:rPr>
          <w:sz w:val="26"/>
          <w:szCs w:val="26"/>
        </w:rPr>
        <w:t xml:space="preserve"> un</w:t>
      </w:r>
      <w:r w:rsidRPr="0003106C">
        <w:rPr>
          <w:sz w:val="26"/>
          <w:szCs w:val="26"/>
        </w:rPr>
        <w:t xml:space="preserve"> noformē dažādus ārējās tirdzniecības dokumentus.</w:t>
      </w:r>
    </w:p>
    <w:p w:rsidR="00372BE8" w:rsidRPr="0003106C" w:rsidRDefault="00ED1E30" w:rsidP="00372BE8">
      <w:pPr>
        <w:pStyle w:val="BodyTextIndent"/>
        <w:ind w:left="0" w:firstLine="567"/>
        <w:jc w:val="both"/>
        <w:rPr>
          <w:sz w:val="26"/>
          <w:szCs w:val="26"/>
        </w:rPr>
      </w:pPr>
      <w:r w:rsidRPr="0003106C">
        <w:rPr>
          <w:b/>
          <w:sz w:val="26"/>
          <w:szCs w:val="26"/>
        </w:rPr>
        <w:t>LDDK</w:t>
      </w:r>
      <w:r w:rsidR="00372BE8" w:rsidRPr="0003106C">
        <w:rPr>
          <w:sz w:val="26"/>
          <w:szCs w:val="26"/>
        </w:rPr>
        <w:t xml:space="preserve"> kā sociāli atbildīga darba devēju organizācija strādā Latvijas tautsaimniecības izaugsmei un darba devēju konkurētspējas palielināšanai globālās ekonomikas apstākļos. </w:t>
      </w:r>
      <w:r w:rsidRPr="0003106C">
        <w:rPr>
          <w:sz w:val="26"/>
          <w:szCs w:val="26"/>
        </w:rPr>
        <w:t>LDDK</w:t>
      </w:r>
      <w:r w:rsidR="00372BE8" w:rsidRPr="0003106C">
        <w:rPr>
          <w:sz w:val="26"/>
          <w:szCs w:val="26"/>
        </w:rPr>
        <w:t xml:space="preserve"> pārstāv darba devējus nozaru un reģionālajā, nacionālajā, Eiropas un starptautiskajā līmenī, tajā skaitā </w:t>
      </w:r>
      <w:r w:rsidR="0074497A" w:rsidRPr="0003106C">
        <w:rPr>
          <w:sz w:val="26"/>
          <w:szCs w:val="26"/>
        </w:rPr>
        <w:t xml:space="preserve">organizējot </w:t>
      </w:r>
      <w:r w:rsidR="00372BE8" w:rsidRPr="0003106C">
        <w:rPr>
          <w:sz w:val="26"/>
          <w:szCs w:val="26"/>
        </w:rPr>
        <w:t>Lietišķo sadarbības padomju darbīb</w:t>
      </w:r>
      <w:r w:rsidR="0074497A" w:rsidRPr="0003106C">
        <w:rPr>
          <w:sz w:val="26"/>
          <w:szCs w:val="26"/>
        </w:rPr>
        <w:t>u</w:t>
      </w:r>
      <w:r w:rsidR="00372BE8" w:rsidRPr="0003106C">
        <w:rPr>
          <w:sz w:val="26"/>
          <w:szCs w:val="26"/>
        </w:rPr>
        <w:t xml:space="preserve"> ar Krieviju, Ukrainu</w:t>
      </w:r>
      <w:r w:rsidR="0074497A" w:rsidRPr="0003106C">
        <w:rPr>
          <w:sz w:val="26"/>
          <w:szCs w:val="26"/>
        </w:rPr>
        <w:t>,</w:t>
      </w:r>
      <w:r w:rsidR="00372BE8" w:rsidRPr="0003106C">
        <w:rPr>
          <w:sz w:val="26"/>
          <w:szCs w:val="26"/>
        </w:rPr>
        <w:t xml:space="preserve"> Baltkrieviju</w:t>
      </w:r>
      <w:r w:rsidR="0074497A" w:rsidRPr="0003106C">
        <w:rPr>
          <w:sz w:val="26"/>
          <w:szCs w:val="26"/>
        </w:rPr>
        <w:t xml:space="preserve"> un Kazahstānu</w:t>
      </w:r>
      <w:r w:rsidR="00372BE8" w:rsidRPr="0003106C">
        <w:rPr>
          <w:sz w:val="26"/>
          <w:szCs w:val="26"/>
        </w:rPr>
        <w:t>.</w:t>
      </w:r>
    </w:p>
    <w:p w:rsidR="00BD45A5" w:rsidRPr="0003106C" w:rsidRDefault="00BD45A5" w:rsidP="00372BE8">
      <w:pPr>
        <w:pStyle w:val="BodyTextIndent"/>
        <w:ind w:left="0" w:firstLine="567"/>
        <w:jc w:val="both"/>
        <w:rPr>
          <w:sz w:val="26"/>
          <w:szCs w:val="26"/>
        </w:rPr>
      </w:pPr>
    </w:p>
    <w:p w:rsidR="00BD45A5" w:rsidRPr="0003106C" w:rsidRDefault="00BD45A5" w:rsidP="00372BE8">
      <w:pPr>
        <w:pStyle w:val="BodyTextIndent"/>
        <w:ind w:left="0" w:firstLine="567"/>
        <w:jc w:val="both"/>
        <w:rPr>
          <w:sz w:val="26"/>
          <w:szCs w:val="26"/>
        </w:rPr>
      </w:pPr>
    </w:p>
    <w:p w:rsidR="00F576D3" w:rsidRDefault="00F576D3" w:rsidP="000D7117">
      <w:pPr>
        <w:pStyle w:val="BodyTextIndent"/>
        <w:ind w:left="0" w:firstLine="567"/>
        <w:jc w:val="right"/>
        <w:rPr>
          <w:sz w:val="26"/>
          <w:szCs w:val="26"/>
        </w:rPr>
      </w:pPr>
    </w:p>
    <w:p w:rsidR="002E0ECD" w:rsidRPr="0003106C" w:rsidRDefault="000D7117" w:rsidP="000D7117">
      <w:pPr>
        <w:pStyle w:val="BodyTextIndent"/>
        <w:ind w:left="0" w:firstLine="567"/>
        <w:jc w:val="right"/>
        <w:rPr>
          <w:sz w:val="26"/>
          <w:szCs w:val="26"/>
        </w:rPr>
      </w:pPr>
      <w:r w:rsidRPr="0003106C">
        <w:rPr>
          <w:sz w:val="26"/>
          <w:szCs w:val="26"/>
        </w:rPr>
        <w:lastRenderedPageBreak/>
        <w:t>10.attēls</w:t>
      </w:r>
    </w:p>
    <w:p w:rsidR="000D7117" w:rsidRPr="0003106C" w:rsidRDefault="000D7117" w:rsidP="000D7117">
      <w:pPr>
        <w:pStyle w:val="BodyTextIndent"/>
        <w:ind w:left="0" w:firstLine="0"/>
        <w:jc w:val="center"/>
        <w:rPr>
          <w:b/>
          <w:sz w:val="26"/>
          <w:szCs w:val="26"/>
        </w:rPr>
      </w:pPr>
      <w:r w:rsidRPr="0003106C">
        <w:rPr>
          <w:b/>
          <w:sz w:val="26"/>
          <w:szCs w:val="26"/>
        </w:rPr>
        <w:t>Vienotā eksporta veicināšanas institucionālā sistēma</w:t>
      </w:r>
    </w:p>
    <w:p w:rsidR="000D7117" w:rsidRPr="0003106C" w:rsidRDefault="000D7117" w:rsidP="000D7117">
      <w:pPr>
        <w:pStyle w:val="BodyTextIndent"/>
        <w:ind w:left="0" w:firstLine="567"/>
        <w:jc w:val="center"/>
        <w:rPr>
          <w:sz w:val="26"/>
          <w:szCs w:val="26"/>
        </w:rPr>
      </w:pPr>
    </w:p>
    <w:p w:rsidR="002B05E5" w:rsidRPr="0003106C" w:rsidRDefault="002B05E5" w:rsidP="002B05E5">
      <w:pPr>
        <w:ind w:firstLine="567"/>
        <w:jc w:val="both"/>
        <w:rPr>
          <w:rFonts w:ascii="Arial" w:hAnsi="Arial" w:cs="Arial"/>
          <w:sz w:val="18"/>
          <w:szCs w:val="18"/>
        </w:rPr>
      </w:pPr>
      <w:r w:rsidRPr="0003106C">
        <w:rPr>
          <w:noProof/>
          <w:sz w:val="26"/>
          <w:szCs w:val="26"/>
          <w:lang w:eastAsia="lv-LV"/>
        </w:rPr>
        <mc:AlternateContent>
          <mc:Choice Requires="wps">
            <w:drawing>
              <wp:anchor distT="0" distB="0" distL="114300" distR="114300" simplePos="0" relativeHeight="251671552" behindDoc="1" locked="0" layoutInCell="1" allowOverlap="1" wp14:anchorId="427C980C" wp14:editId="40E1E65E">
                <wp:simplePos x="0" y="0"/>
                <wp:positionH relativeFrom="column">
                  <wp:posOffset>1325185</wp:posOffset>
                </wp:positionH>
                <wp:positionV relativeFrom="paragraph">
                  <wp:posOffset>420454</wp:posOffset>
                </wp:positionV>
                <wp:extent cx="3536830" cy="3476445"/>
                <wp:effectExtent l="0" t="0" r="26035" b="10160"/>
                <wp:wrapNone/>
                <wp:docPr id="17" name="Oval 17"/>
                <wp:cNvGraphicFramePr/>
                <a:graphic xmlns:a="http://schemas.openxmlformats.org/drawingml/2006/main">
                  <a:graphicData uri="http://schemas.microsoft.com/office/word/2010/wordprocessingShape">
                    <wps:wsp>
                      <wps:cNvSpPr/>
                      <wps:spPr>
                        <a:xfrm>
                          <a:off x="0" y="0"/>
                          <a:ext cx="3536830" cy="34764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04.35pt;margin-top:33.1pt;width:278.5pt;height:27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" fillcolor="#4f81bd [3204]" strokecolor="#243f60 [1604]" strokeweight="2pt"/>
            </w:pict>
          </mc:Fallback>
        </mc:AlternateContent>
      </w:r>
      <w:r w:rsidRPr="0003106C">
        <w:rPr>
          <w:noProof/>
          <w:sz w:val="26"/>
          <w:szCs w:val="26"/>
          <w:lang w:eastAsia="lv-LV"/>
        </w:rPr>
        <w:drawing>
          <wp:inline distT="0" distB="0" distL="0" distR="0" wp14:anchorId="354F851B" wp14:editId="46B2384C">
            <wp:extent cx="5486400" cy="4244975"/>
            <wp:effectExtent l="0" t="0" r="0" b="11747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B05E5" w:rsidRPr="0003106C" w:rsidRDefault="002B05E5" w:rsidP="002B05E5">
      <w:pPr>
        <w:pStyle w:val="BodyTextIndent"/>
        <w:ind w:left="0" w:firstLine="567"/>
        <w:jc w:val="both"/>
        <w:rPr>
          <w:sz w:val="26"/>
          <w:szCs w:val="26"/>
        </w:rPr>
      </w:pPr>
    </w:p>
    <w:p w:rsidR="002E0ECD" w:rsidRPr="0003106C" w:rsidRDefault="002E0ECD" w:rsidP="00A05627">
      <w:pPr>
        <w:pStyle w:val="BodyTextIndent"/>
        <w:ind w:left="0" w:firstLine="567"/>
        <w:jc w:val="both"/>
        <w:rPr>
          <w:sz w:val="26"/>
          <w:szCs w:val="26"/>
        </w:rPr>
      </w:pPr>
    </w:p>
    <w:p w:rsidR="002D1ECD" w:rsidRPr="0003106C" w:rsidRDefault="002D1ECD" w:rsidP="00A05627">
      <w:pPr>
        <w:pStyle w:val="BodyTextIndent"/>
        <w:ind w:left="0" w:firstLine="567"/>
        <w:jc w:val="both"/>
        <w:rPr>
          <w:sz w:val="26"/>
          <w:szCs w:val="26"/>
        </w:rPr>
      </w:pPr>
      <w:r w:rsidRPr="0003106C">
        <w:rPr>
          <w:sz w:val="26"/>
          <w:szCs w:val="26"/>
        </w:rPr>
        <w:t xml:space="preserve">Lai </w:t>
      </w:r>
      <w:r w:rsidR="00DB22EC" w:rsidRPr="0003106C">
        <w:rPr>
          <w:sz w:val="26"/>
          <w:szCs w:val="26"/>
        </w:rPr>
        <w:t xml:space="preserve">nodrošinātu mērķtiecīgu un lietderīgu nepieciešamo eksporta atbalsta pasākumu kopumu Latvijas uzņēmumiem, </w:t>
      </w:r>
      <w:r w:rsidR="002838F8" w:rsidRPr="0003106C">
        <w:rPr>
          <w:sz w:val="26"/>
          <w:szCs w:val="26"/>
        </w:rPr>
        <w:t>ļ</w:t>
      </w:r>
      <w:r w:rsidR="00DB22EC" w:rsidRPr="0003106C">
        <w:rPr>
          <w:sz w:val="26"/>
          <w:szCs w:val="26"/>
        </w:rPr>
        <w:t xml:space="preserve">oti būtiski ir nodrošināt efektīvu </w:t>
      </w:r>
      <w:r w:rsidRPr="0003106C">
        <w:rPr>
          <w:sz w:val="26"/>
          <w:szCs w:val="26"/>
        </w:rPr>
        <w:t>informācijas apmaiņu</w:t>
      </w:r>
      <w:r w:rsidR="002838F8" w:rsidRPr="0003106C">
        <w:rPr>
          <w:sz w:val="26"/>
          <w:szCs w:val="26"/>
        </w:rPr>
        <w:t xml:space="preserve"> un sadarbību</w:t>
      </w:r>
      <w:r w:rsidRPr="0003106C">
        <w:rPr>
          <w:sz w:val="26"/>
          <w:szCs w:val="26"/>
        </w:rPr>
        <w:t xml:space="preserve"> starp valsts institūcijām,</w:t>
      </w:r>
      <w:r w:rsidR="00DB22EC" w:rsidRPr="0003106C">
        <w:rPr>
          <w:sz w:val="26"/>
          <w:szCs w:val="26"/>
        </w:rPr>
        <w:t xml:space="preserve"> valsts un privāto sektoru attiecībā uz veiktajām un veicamajām eksporta veicināšanas aktivitātēm.</w:t>
      </w:r>
    </w:p>
    <w:p w:rsidR="00B2303A" w:rsidRPr="0003106C" w:rsidRDefault="00B832E7" w:rsidP="00A05627">
      <w:pPr>
        <w:ind w:firstLine="567"/>
        <w:jc w:val="both"/>
        <w:rPr>
          <w:sz w:val="26"/>
          <w:szCs w:val="26"/>
        </w:rPr>
      </w:pPr>
      <w:r w:rsidRPr="0003106C">
        <w:rPr>
          <w:sz w:val="26"/>
          <w:szCs w:val="26"/>
        </w:rPr>
        <w:t>Regulāra sadarbība starp Ekonomikas ministriju, LIAA,</w:t>
      </w:r>
      <w:r w:rsidR="00A219FE" w:rsidRPr="0003106C">
        <w:rPr>
          <w:sz w:val="26"/>
          <w:szCs w:val="26"/>
        </w:rPr>
        <w:t xml:space="preserve"> tai skaitā</w:t>
      </w:r>
      <w:r w:rsidRPr="0003106C">
        <w:rPr>
          <w:sz w:val="26"/>
          <w:szCs w:val="26"/>
        </w:rPr>
        <w:t xml:space="preserve"> </w:t>
      </w:r>
      <w:r w:rsidR="00A219FE" w:rsidRPr="0003106C">
        <w:rPr>
          <w:sz w:val="26"/>
          <w:szCs w:val="26"/>
        </w:rPr>
        <w:t>Latvijas Ārējām ekonomiskajām p</w:t>
      </w:r>
      <w:r w:rsidRPr="0003106C">
        <w:rPr>
          <w:sz w:val="26"/>
          <w:szCs w:val="26"/>
        </w:rPr>
        <w:t>ārstāvniecībām</w:t>
      </w:r>
      <w:r w:rsidR="00A219FE" w:rsidRPr="0003106C">
        <w:rPr>
          <w:sz w:val="26"/>
          <w:szCs w:val="26"/>
        </w:rPr>
        <w:t xml:space="preserve"> un</w:t>
      </w:r>
      <w:r w:rsidRPr="0003106C">
        <w:rPr>
          <w:sz w:val="26"/>
          <w:szCs w:val="26"/>
        </w:rPr>
        <w:t xml:space="preserve"> Ārlietu ministriju</w:t>
      </w:r>
      <w:r w:rsidR="00A219FE" w:rsidRPr="0003106C">
        <w:rPr>
          <w:sz w:val="26"/>
          <w:szCs w:val="26"/>
        </w:rPr>
        <w:t>, tai skaitā Latvijas</w:t>
      </w:r>
      <w:r w:rsidRPr="0003106C">
        <w:rPr>
          <w:sz w:val="26"/>
          <w:szCs w:val="26"/>
        </w:rPr>
        <w:t xml:space="preserve"> </w:t>
      </w:r>
      <w:r w:rsidR="00A219FE" w:rsidRPr="0003106C">
        <w:rPr>
          <w:sz w:val="26"/>
          <w:szCs w:val="26"/>
        </w:rPr>
        <w:t xml:space="preserve">diplomātiskajām un konsulārajām pārstāvniecībām </w:t>
      </w:r>
      <w:r w:rsidRPr="0003106C">
        <w:rPr>
          <w:sz w:val="26"/>
          <w:szCs w:val="26"/>
        </w:rPr>
        <w:t xml:space="preserve">tiek īstenota </w:t>
      </w:r>
      <w:r w:rsidRPr="0003106C">
        <w:rPr>
          <w:i/>
          <w:sz w:val="26"/>
          <w:szCs w:val="26"/>
        </w:rPr>
        <w:t>„</w:t>
      </w:r>
      <w:r w:rsidRPr="0003106C">
        <w:rPr>
          <w:b/>
          <w:i/>
          <w:sz w:val="26"/>
          <w:szCs w:val="26"/>
        </w:rPr>
        <w:t xml:space="preserve">Starpresoru vienošanās par sadarbību </w:t>
      </w:r>
      <w:r w:rsidRPr="0003106C">
        <w:rPr>
          <w:i/>
          <w:sz w:val="26"/>
          <w:szCs w:val="26"/>
        </w:rPr>
        <w:t xml:space="preserve">starp Latvijas Republikas Ekonomikas ministriju, Latvijas Republikas Ārlietu ministriju un Latvijas Investīciju un attīstības aģentūru, pārstāvot Latvijas ekonomiskās intereses ārvalstīs” </w:t>
      </w:r>
      <w:r w:rsidRPr="0003106C">
        <w:rPr>
          <w:sz w:val="26"/>
          <w:szCs w:val="26"/>
        </w:rPr>
        <w:t xml:space="preserve">ietvaros. </w:t>
      </w:r>
    </w:p>
    <w:p w:rsidR="00A05627" w:rsidRPr="0003106C" w:rsidRDefault="00A05627" w:rsidP="00A05627">
      <w:pPr>
        <w:ind w:firstLine="567"/>
        <w:jc w:val="both"/>
        <w:rPr>
          <w:color w:val="000000" w:themeColor="text1"/>
          <w:sz w:val="26"/>
          <w:szCs w:val="26"/>
        </w:rPr>
      </w:pPr>
      <w:r w:rsidRPr="0003106C">
        <w:rPr>
          <w:sz w:val="26"/>
          <w:szCs w:val="26"/>
          <w:lang w:eastAsia="en-US"/>
        </w:rPr>
        <w:t xml:space="preserve">Lai </w:t>
      </w:r>
      <w:r w:rsidR="003B0E5E" w:rsidRPr="0003106C">
        <w:rPr>
          <w:sz w:val="26"/>
          <w:szCs w:val="26"/>
          <w:lang w:eastAsia="en-US"/>
        </w:rPr>
        <w:t>nodrošinātu saskaņotu valsts institūciju un uzņēmējus pārstāvošo organizāciju iesaisti eksporta veicināšanā un investīciju piesaistē</w:t>
      </w:r>
      <w:r w:rsidR="009C74FB" w:rsidRPr="0003106C">
        <w:rPr>
          <w:sz w:val="26"/>
          <w:szCs w:val="26"/>
          <w:lang w:eastAsia="en-US"/>
        </w:rPr>
        <w:t>,</w:t>
      </w:r>
      <w:r w:rsidR="003B0E5E" w:rsidRPr="0003106C">
        <w:rPr>
          <w:sz w:val="26"/>
          <w:szCs w:val="26"/>
          <w:lang w:eastAsia="en-US"/>
        </w:rPr>
        <w:t xml:space="preserve"> </w:t>
      </w:r>
      <w:r w:rsidRPr="0003106C">
        <w:rPr>
          <w:sz w:val="26"/>
          <w:szCs w:val="26"/>
        </w:rPr>
        <w:t xml:space="preserve">ir parakstīts </w:t>
      </w:r>
      <w:r w:rsidRPr="0003106C">
        <w:rPr>
          <w:b/>
          <w:i/>
          <w:sz w:val="26"/>
          <w:szCs w:val="26"/>
        </w:rPr>
        <w:t>s</w:t>
      </w:r>
      <w:r w:rsidRPr="0003106C">
        <w:rPr>
          <w:b/>
          <w:i/>
          <w:sz w:val="26"/>
          <w:szCs w:val="26"/>
          <w:lang w:eastAsia="en-US"/>
        </w:rPr>
        <w:t>aprašanās memorands</w:t>
      </w:r>
      <w:r w:rsidRPr="0003106C">
        <w:rPr>
          <w:i/>
          <w:sz w:val="26"/>
          <w:szCs w:val="26"/>
          <w:lang w:eastAsia="en-US"/>
        </w:rPr>
        <w:t xml:space="preserve"> “Par sadarbību Latvijas ekonomisko interešu pārst</w:t>
      </w:r>
      <w:r w:rsidR="00DF725A" w:rsidRPr="0003106C">
        <w:rPr>
          <w:i/>
          <w:sz w:val="26"/>
          <w:szCs w:val="26"/>
          <w:lang w:eastAsia="en-US"/>
        </w:rPr>
        <w:t>ā</w:t>
      </w:r>
      <w:r w:rsidRPr="0003106C">
        <w:rPr>
          <w:i/>
          <w:sz w:val="26"/>
          <w:szCs w:val="26"/>
          <w:lang w:eastAsia="en-US"/>
        </w:rPr>
        <w:t>vībā ārvalstīs”</w:t>
      </w:r>
      <w:r w:rsidRPr="0003106C">
        <w:rPr>
          <w:sz w:val="26"/>
          <w:szCs w:val="26"/>
          <w:lang w:eastAsia="en-US"/>
        </w:rPr>
        <w:t xml:space="preserve"> starp Ārlietu ministriju, Ekonomikas ministriju, </w:t>
      </w:r>
      <w:r w:rsidR="00ED1E30" w:rsidRPr="0003106C">
        <w:rPr>
          <w:sz w:val="26"/>
          <w:szCs w:val="26"/>
          <w:lang w:eastAsia="en-US"/>
        </w:rPr>
        <w:t>LIAA, LTRK un LDDK</w:t>
      </w:r>
      <w:r w:rsidRPr="0003106C">
        <w:rPr>
          <w:sz w:val="26"/>
          <w:szCs w:val="26"/>
          <w:lang w:eastAsia="en-US"/>
        </w:rPr>
        <w:t xml:space="preserve">, kas paredz sadarbību, lai nodrošinātu </w:t>
      </w:r>
      <w:r w:rsidRPr="0003106C">
        <w:rPr>
          <w:sz w:val="26"/>
          <w:szCs w:val="26"/>
        </w:rPr>
        <w:t>koordinētu rīcību Latvijas ārējo ekonomisko interešu īstenošanā, balstoties uz uzņēmēju interesēm Latvijas ārējo ekonomisko attiecību jomā, stiprināt</w:t>
      </w:r>
      <w:r w:rsidR="004F0CAD" w:rsidRPr="0003106C">
        <w:rPr>
          <w:sz w:val="26"/>
          <w:szCs w:val="26"/>
        </w:rPr>
        <w:t>u</w:t>
      </w:r>
      <w:r w:rsidRPr="0003106C">
        <w:rPr>
          <w:sz w:val="26"/>
          <w:szCs w:val="26"/>
        </w:rPr>
        <w:t xml:space="preserve"> konstruktīvu dialogu ar uzņēmējiem viņu interešu pārstāvībā ārējās ekonomiskās diplomātijas un darbības jomā, veicināt</w:t>
      </w:r>
      <w:r w:rsidR="004F0CAD" w:rsidRPr="0003106C">
        <w:rPr>
          <w:sz w:val="26"/>
          <w:szCs w:val="26"/>
        </w:rPr>
        <w:t>u</w:t>
      </w:r>
      <w:r w:rsidRPr="0003106C">
        <w:rPr>
          <w:sz w:val="26"/>
          <w:szCs w:val="26"/>
        </w:rPr>
        <w:t xml:space="preserve"> Latvijas uzņēmēju informētību par ārējiem tirgiem un iespējām saņemt nepieciešamo atbalstu ārējo tirgu apgūšanā un veicināt</w:t>
      </w:r>
      <w:r w:rsidR="004F0CAD" w:rsidRPr="0003106C">
        <w:rPr>
          <w:sz w:val="26"/>
          <w:szCs w:val="26"/>
        </w:rPr>
        <w:t>u</w:t>
      </w:r>
      <w:r w:rsidRPr="0003106C">
        <w:rPr>
          <w:sz w:val="26"/>
          <w:szCs w:val="26"/>
        </w:rPr>
        <w:t xml:space="preserve"> ārvalstu uzņēmēju interesi par Latvijas eksportspējīgām precēm </w:t>
      </w:r>
      <w:r w:rsidRPr="0003106C">
        <w:rPr>
          <w:sz w:val="26"/>
          <w:szCs w:val="26"/>
        </w:rPr>
        <w:lastRenderedPageBreak/>
        <w:t>un pakalpojumiem, kā arī investīciju iespējām Latvijā.</w:t>
      </w:r>
      <w:r w:rsidR="0049311C" w:rsidRPr="0003106C">
        <w:rPr>
          <w:sz w:val="26"/>
          <w:szCs w:val="26"/>
        </w:rPr>
        <w:t xml:space="preserve"> </w:t>
      </w:r>
      <w:r w:rsidR="00491217" w:rsidRPr="0003106C">
        <w:rPr>
          <w:sz w:val="26"/>
          <w:szCs w:val="26"/>
        </w:rPr>
        <w:t>Minētās sadarbība</w:t>
      </w:r>
      <w:r w:rsidR="00DF725A" w:rsidRPr="0003106C">
        <w:rPr>
          <w:sz w:val="26"/>
          <w:szCs w:val="26"/>
        </w:rPr>
        <w:t>s</w:t>
      </w:r>
      <w:r w:rsidR="00491217" w:rsidRPr="0003106C">
        <w:rPr>
          <w:sz w:val="26"/>
          <w:szCs w:val="26"/>
        </w:rPr>
        <w:t xml:space="preserve"> īstenošanai ir izveidota </w:t>
      </w:r>
      <w:r w:rsidR="0049311C" w:rsidRPr="0003106C">
        <w:rPr>
          <w:sz w:val="26"/>
          <w:szCs w:val="26"/>
        </w:rPr>
        <w:t xml:space="preserve">Ārējās ekonomiskās politikas koordinācijas </w:t>
      </w:r>
      <w:r w:rsidR="0049311C" w:rsidRPr="0003106C">
        <w:rPr>
          <w:color w:val="000000" w:themeColor="text1"/>
          <w:sz w:val="26"/>
          <w:szCs w:val="26"/>
        </w:rPr>
        <w:t>padome</w:t>
      </w:r>
      <w:r w:rsidR="00827DB5" w:rsidRPr="0003106C">
        <w:rPr>
          <w:color w:val="000000" w:themeColor="text1"/>
          <w:sz w:val="26"/>
          <w:szCs w:val="26"/>
        </w:rPr>
        <w:t>,</w:t>
      </w:r>
      <w:r w:rsidR="00DF725A" w:rsidRPr="0003106C">
        <w:rPr>
          <w:color w:val="000000" w:themeColor="text1"/>
          <w:sz w:val="26"/>
          <w:szCs w:val="26"/>
        </w:rPr>
        <w:t xml:space="preserve"> kurā pārstāvētas Ārlietu, Ekonomikas, Satiksmes un Zemkopības ministrijas, Valsts prezidenta kanceleja, Ministru prezidenta birojs, </w:t>
      </w:r>
      <w:r w:rsidR="00BD1CC1" w:rsidRPr="0003106C">
        <w:rPr>
          <w:color w:val="000000" w:themeColor="text1"/>
          <w:sz w:val="26"/>
          <w:szCs w:val="26"/>
        </w:rPr>
        <w:t>LIAA, LTRK un LDDK</w:t>
      </w:r>
      <w:r w:rsidR="00DF725A" w:rsidRPr="0003106C">
        <w:rPr>
          <w:color w:val="000000" w:themeColor="text1"/>
          <w:sz w:val="26"/>
          <w:szCs w:val="26"/>
        </w:rPr>
        <w:t>.</w:t>
      </w:r>
      <w:r w:rsidR="00827DB5" w:rsidRPr="0003106C">
        <w:rPr>
          <w:color w:val="000000" w:themeColor="text1"/>
          <w:sz w:val="26"/>
          <w:szCs w:val="26"/>
        </w:rPr>
        <w:t xml:space="preserve"> </w:t>
      </w:r>
      <w:r w:rsidR="00DF725A" w:rsidRPr="0003106C">
        <w:rPr>
          <w:color w:val="000000" w:themeColor="text1"/>
          <w:sz w:val="26"/>
          <w:szCs w:val="26"/>
        </w:rPr>
        <w:t>Ārējās ekonomiskās politikas koordinācijas padomes</w:t>
      </w:r>
      <w:r w:rsidR="00DF725A" w:rsidRPr="0003106C">
        <w:rPr>
          <w:color w:val="000000" w:themeColor="text1"/>
        </w:rPr>
        <w:t xml:space="preserve"> </w:t>
      </w:r>
      <w:r w:rsidR="00496EDC" w:rsidRPr="0003106C">
        <w:rPr>
          <w:color w:val="000000" w:themeColor="text1"/>
          <w:sz w:val="26"/>
          <w:szCs w:val="26"/>
        </w:rPr>
        <w:t>mērķis ir nodrošināt saskaņotu valsts pārvaldes iestāžu un citu institūciju sadarbību sekmīgas ārējās ekonomiskās politikas veidošanā un īstenošanā Latvijas tautsaimniecības konkurētspējas celšanai</w:t>
      </w:r>
      <w:r w:rsidR="00303F86" w:rsidRPr="0003106C">
        <w:rPr>
          <w:color w:val="000000" w:themeColor="text1"/>
          <w:sz w:val="26"/>
          <w:szCs w:val="26"/>
        </w:rPr>
        <w:t xml:space="preserve">. </w:t>
      </w:r>
    </w:p>
    <w:p w:rsidR="00F438BB" w:rsidRPr="0003106C" w:rsidRDefault="00A05627" w:rsidP="00F438BB">
      <w:pPr>
        <w:ind w:firstLine="567"/>
        <w:jc w:val="both"/>
        <w:rPr>
          <w:sz w:val="26"/>
          <w:szCs w:val="26"/>
          <w:lang w:eastAsia="en-US"/>
        </w:rPr>
      </w:pPr>
      <w:r w:rsidRPr="0003106C">
        <w:rPr>
          <w:color w:val="000000" w:themeColor="text1"/>
          <w:sz w:val="26"/>
          <w:szCs w:val="26"/>
        </w:rPr>
        <w:t xml:space="preserve">Lai nodrošinātu savstarpēji saskaņotu un koordinētu eksporta atbalsta pakalpojumu sniegšanu uzņēmējiem, tiek izstrādāts ikgadējais Ekonomikas ministrijas, Ārlietu ministrijas, </w:t>
      </w:r>
      <w:r w:rsidR="00BD1CC1" w:rsidRPr="0003106C">
        <w:rPr>
          <w:color w:val="000000" w:themeColor="text1"/>
          <w:sz w:val="26"/>
          <w:szCs w:val="26"/>
        </w:rPr>
        <w:t xml:space="preserve">LTRK, LDDK, </w:t>
      </w:r>
      <w:r w:rsidRPr="0003106C">
        <w:rPr>
          <w:color w:val="000000" w:themeColor="text1"/>
          <w:sz w:val="26"/>
          <w:szCs w:val="26"/>
        </w:rPr>
        <w:t xml:space="preserve">Tūrisma attīstības valsts aģentūras </w:t>
      </w:r>
      <w:r w:rsidRPr="0003106C">
        <w:rPr>
          <w:sz w:val="26"/>
          <w:szCs w:val="26"/>
        </w:rPr>
        <w:t xml:space="preserve">un </w:t>
      </w:r>
      <w:r w:rsidR="00BD1CC1" w:rsidRPr="0003106C">
        <w:rPr>
          <w:sz w:val="26"/>
          <w:szCs w:val="26"/>
        </w:rPr>
        <w:t>LIAA</w:t>
      </w:r>
      <w:r w:rsidRPr="0003106C">
        <w:rPr>
          <w:rStyle w:val="Strong"/>
          <w:sz w:val="26"/>
          <w:szCs w:val="26"/>
        </w:rPr>
        <w:t xml:space="preserve"> ārējo ekonomisko aktivitāšu plāns</w:t>
      </w:r>
      <w:r w:rsidRPr="0003106C">
        <w:rPr>
          <w:rStyle w:val="Strong"/>
          <w:b w:val="0"/>
          <w:sz w:val="26"/>
          <w:szCs w:val="26"/>
        </w:rPr>
        <w:t>, kas tiek īstenots s</w:t>
      </w:r>
      <w:r w:rsidRPr="0003106C">
        <w:rPr>
          <w:sz w:val="26"/>
          <w:szCs w:val="26"/>
        </w:rPr>
        <w:t>adarbībā ar ārpakalpojumu</w:t>
      </w:r>
      <w:r w:rsidR="00EB7DC5" w:rsidRPr="0003106C">
        <w:rPr>
          <w:rStyle w:val="FootnoteReference"/>
          <w:sz w:val="26"/>
          <w:szCs w:val="26"/>
        </w:rPr>
        <w:footnoteReference w:id="27"/>
      </w:r>
      <w:r w:rsidRPr="0003106C">
        <w:rPr>
          <w:sz w:val="26"/>
          <w:szCs w:val="26"/>
        </w:rPr>
        <w:t xml:space="preserve"> sniedzējiem.</w:t>
      </w:r>
      <w:r w:rsidR="00E43E74" w:rsidRPr="0003106C">
        <w:rPr>
          <w:sz w:val="26"/>
          <w:szCs w:val="26"/>
        </w:rPr>
        <w:t xml:space="preserve"> </w:t>
      </w:r>
      <w:r w:rsidR="00F438BB" w:rsidRPr="0003106C">
        <w:rPr>
          <w:sz w:val="26"/>
          <w:szCs w:val="26"/>
          <w:lang w:eastAsia="en-US"/>
        </w:rPr>
        <w:t>Savukārt, kā vērtīgus informācijas avotus, atbalsta pakalpojumu sniedzējus vai sadarbības partnerus uzņēmumi, kuri vēlas uzsākt eksportu uz konkrēto valsti,</w:t>
      </w:r>
      <w:r w:rsidR="006C2D2F" w:rsidRPr="0003106C">
        <w:rPr>
          <w:sz w:val="26"/>
          <w:szCs w:val="26"/>
          <w:lang w:eastAsia="en-US"/>
        </w:rPr>
        <w:t xml:space="preserve"> kā arī valsts institūcijas</w:t>
      </w:r>
      <w:r w:rsidR="00F438BB" w:rsidRPr="0003106C">
        <w:rPr>
          <w:sz w:val="26"/>
          <w:szCs w:val="26"/>
          <w:lang w:eastAsia="en-US"/>
        </w:rPr>
        <w:t xml:space="preserve"> var apzināt un uzrunāt šajā </w:t>
      </w:r>
      <w:r w:rsidR="00F438BB" w:rsidRPr="0003106C">
        <w:rPr>
          <w:b/>
          <w:sz w:val="26"/>
          <w:szCs w:val="26"/>
          <w:lang w:eastAsia="en-US"/>
        </w:rPr>
        <w:t>valstī rezidējošos Latvijas iedzīvotājus, to dibinātās nevalstiskās organizācijas vai uzņēmumus</w:t>
      </w:r>
      <w:r w:rsidR="00F438BB" w:rsidRPr="0003106C">
        <w:rPr>
          <w:sz w:val="26"/>
          <w:szCs w:val="26"/>
          <w:lang w:eastAsia="en-US"/>
        </w:rPr>
        <w:t>.</w:t>
      </w:r>
    </w:p>
    <w:p w:rsidR="004215EF" w:rsidRPr="0003106C" w:rsidRDefault="004215EF" w:rsidP="0010221F">
      <w:pPr>
        <w:pStyle w:val="BodyTextIndent"/>
        <w:ind w:left="0" w:firstLine="567"/>
        <w:jc w:val="both"/>
        <w:rPr>
          <w:sz w:val="26"/>
          <w:szCs w:val="26"/>
        </w:rPr>
      </w:pPr>
    </w:p>
    <w:p w:rsidR="00CD2A63" w:rsidRPr="0003106C" w:rsidRDefault="00CD2A63" w:rsidP="0010221F">
      <w:pPr>
        <w:pStyle w:val="BodyTextIndent"/>
        <w:ind w:left="0" w:firstLine="567"/>
        <w:jc w:val="both"/>
        <w:rPr>
          <w:b/>
          <w:sz w:val="26"/>
          <w:szCs w:val="26"/>
        </w:rPr>
      </w:pPr>
    </w:p>
    <w:p w:rsidR="00DB4661" w:rsidRPr="0003106C" w:rsidRDefault="00DB4661" w:rsidP="00DB4661">
      <w:pPr>
        <w:pStyle w:val="Heading2"/>
        <w:tabs>
          <w:tab w:val="left" w:pos="851"/>
        </w:tabs>
        <w:autoSpaceDE w:val="0"/>
        <w:autoSpaceDN w:val="0"/>
        <w:adjustRightInd w:val="0"/>
        <w:spacing w:before="0"/>
        <w:ind w:left="360"/>
        <w:jc w:val="both"/>
        <w:rPr>
          <w:rFonts w:ascii="Times New Roman" w:eastAsia="Calibri" w:hAnsi="Times New Roman" w:cs="Times New Roman"/>
          <w:bCs w:val="0"/>
          <w:i w:val="0"/>
          <w:iCs w:val="0"/>
          <w:sz w:val="26"/>
          <w:szCs w:val="26"/>
        </w:rPr>
      </w:pPr>
      <w:bookmarkStart w:id="11" w:name="_Toc355961033"/>
      <w:r w:rsidRPr="0003106C">
        <w:rPr>
          <w:rFonts w:ascii="Times New Roman" w:eastAsia="Calibri" w:hAnsi="Times New Roman" w:cs="Times New Roman"/>
          <w:bCs w:val="0"/>
          <w:i w:val="0"/>
          <w:iCs w:val="0"/>
          <w:sz w:val="26"/>
          <w:szCs w:val="26"/>
        </w:rPr>
        <w:t xml:space="preserve">4.2.1. Eksporta </w:t>
      </w:r>
      <w:r w:rsidR="00155790" w:rsidRPr="0003106C">
        <w:rPr>
          <w:rFonts w:ascii="Times New Roman" w:eastAsia="Calibri" w:hAnsi="Times New Roman" w:cs="Times New Roman"/>
          <w:bCs w:val="0"/>
          <w:i w:val="0"/>
          <w:iCs w:val="0"/>
          <w:sz w:val="26"/>
          <w:szCs w:val="26"/>
        </w:rPr>
        <w:t>atbalsta pakalpojumi</w:t>
      </w:r>
      <w:bookmarkEnd w:id="11"/>
    </w:p>
    <w:p w:rsidR="00BD237F" w:rsidRPr="0003106C" w:rsidRDefault="00BD237F" w:rsidP="00BD237F">
      <w:pPr>
        <w:ind w:firstLine="567"/>
        <w:jc w:val="both"/>
        <w:rPr>
          <w:sz w:val="26"/>
          <w:szCs w:val="26"/>
        </w:rPr>
      </w:pPr>
      <w:r w:rsidRPr="0003106C">
        <w:rPr>
          <w:sz w:val="26"/>
          <w:szCs w:val="26"/>
        </w:rPr>
        <w:t>Modernas industriālās politikas viens no stūrakmeņiem, pie kuriem ir uzsākts darbs</w:t>
      </w:r>
      <w:r w:rsidR="00D277F1" w:rsidRPr="0003106C">
        <w:rPr>
          <w:sz w:val="26"/>
          <w:szCs w:val="26"/>
        </w:rPr>
        <w:t>,</w:t>
      </w:r>
      <w:r w:rsidRPr="0003106C">
        <w:rPr>
          <w:sz w:val="26"/>
          <w:szCs w:val="26"/>
        </w:rPr>
        <w:t xml:space="preserve"> ir valsts intervences jeb atbalsta plašākajā nozīmē definēšana gan nākamajam struktūrfondu plānošanas periodam, gan turpmākaj</w:t>
      </w:r>
      <w:r w:rsidR="00C72FC7" w:rsidRPr="0003106C">
        <w:rPr>
          <w:sz w:val="26"/>
          <w:szCs w:val="26"/>
        </w:rPr>
        <w:t>ie</w:t>
      </w:r>
      <w:r w:rsidRPr="0003106C">
        <w:rPr>
          <w:sz w:val="26"/>
          <w:szCs w:val="26"/>
        </w:rPr>
        <w:t>m vismaz septiņiem gadiem. Šā uzdevuma ietvaros tiks izmantotas pasaules ekonomistu vidū au</w:t>
      </w:r>
      <w:r w:rsidR="00D277F1" w:rsidRPr="0003106C">
        <w:rPr>
          <w:sz w:val="26"/>
          <w:szCs w:val="26"/>
        </w:rPr>
        <w:t>g</w:t>
      </w:r>
      <w:r w:rsidRPr="0003106C">
        <w:rPr>
          <w:sz w:val="26"/>
          <w:szCs w:val="26"/>
        </w:rPr>
        <w:t>sti vērtētas ekonomiskās koncepcijas, lai identificētu pastāvošās tirgus kļūdas, novērstu valsts intervences kļūdas pagātnē un identificētu šķēršļus uzņēmumu attīstībai un pārejai uz tādu produktu ražošanu, kuriem ir augstāka pievienotā vērtība.</w:t>
      </w:r>
    </w:p>
    <w:p w:rsidR="00BD237F" w:rsidRPr="0003106C" w:rsidRDefault="00BD237F" w:rsidP="00BD237F">
      <w:pPr>
        <w:ind w:firstLine="567"/>
        <w:jc w:val="both"/>
        <w:rPr>
          <w:sz w:val="26"/>
          <w:szCs w:val="26"/>
        </w:rPr>
      </w:pPr>
      <w:r w:rsidRPr="0003106C">
        <w:rPr>
          <w:sz w:val="26"/>
          <w:szCs w:val="26"/>
        </w:rPr>
        <w:t>Kopumā politikas mērķis ir veicināt ekonomikas strukturālās izmaiņas par labu preču un pakalpojumu ar augstāku pievienoto vērtību ražošanai, t.sk. rūpniecības lomas palielināšanai, rūpniecības un pakalpojumu modernizācijai un eksporta komplicētībai, kuram atgriezeniskā saite ir visu iedzīvotāju labklājības celšanās.</w:t>
      </w:r>
    </w:p>
    <w:p w:rsidR="00AE2F02" w:rsidRPr="0003106C" w:rsidRDefault="00AE2F02" w:rsidP="004847E6">
      <w:pPr>
        <w:ind w:firstLine="567"/>
        <w:jc w:val="both"/>
        <w:rPr>
          <w:sz w:val="26"/>
          <w:szCs w:val="26"/>
        </w:rPr>
      </w:pPr>
      <w:r w:rsidRPr="0003106C">
        <w:rPr>
          <w:sz w:val="26"/>
          <w:szCs w:val="26"/>
        </w:rPr>
        <w:t xml:space="preserve">Valsts </w:t>
      </w:r>
      <w:r w:rsidRPr="0003106C">
        <w:rPr>
          <w:b/>
          <w:sz w:val="26"/>
          <w:szCs w:val="26"/>
        </w:rPr>
        <w:t>eksporta atbalsta pakalpojum</w:t>
      </w:r>
      <w:r w:rsidR="00A40A06" w:rsidRPr="0003106C">
        <w:rPr>
          <w:b/>
          <w:sz w:val="26"/>
          <w:szCs w:val="26"/>
        </w:rPr>
        <w:t>i</w:t>
      </w:r>
      <w:r w:rsidR="00BD1EF3" w:rsidRPr="0003106C">
        <w:rPr>
          <w:b/>
          <w:sz w:val="26"/>
          <w:szCs w:val="26"/>
        </w:rPr>
        <w:t xml:space="preserve"> </w:t>
      </w:r>
      <w:r w:rsidR="00BD1EF3" w:rsidRPr="0003106C">
        <w:rPr>
          <w:sz w:val="26"/>
          <w:szCs w:val="26"/>
        </w:rPr>
        <w:t>tiek</w:t>
      </w:r>
      <w:r w:rsidRPr="0003106C">
        <w:rPr>
          <w:sz w:val="26"/>
          <w:szCs w:val="26"/>
        </w:rPr>
        <w:t xml:space="preserve"> fokusēt</w:t>
      </w:r>
      <w:r w:rsidR="00294DE2" w:rsidRPr="0003106C">
        <w:rPr>
          <w:sz w:val="26"/>
          <w:szCs w:val="26"/>
        </w:rPr>
        <w:t>i</w:t>
      </w:r>
      <w:r w:rsidRPr="0003106C">
        <w:rPr>
          <w:sz w:val="26"/>
          <w:szCs w:val="26"/>
        </w:rPr>
        <w:t xml:space="preserve"> </w:t>
      </w:r>
      <w:r w:rsidR="00BD1EF3" w:rsidRPr="0003106C">
        <w:rPr>
          <w:sz w:val="26"/>
          <w:szCs w:val="26"/>
        </w:rPr>
        <w:t xml:space="preserve">uz </w:t>
      </w:r>
      <w:r w:rsidRPr="0003106C">
        <w:rPr>
          <w:sz w:val="26"/>
          <w:szCs w:val="26"/>
        </w:rPr>
        <w:t>mērķa tirgiem</w:t>
      </w:r>
      <w:r w:rsidR="00BD1EF3" w:rsidRPr="0003106C">
        <w:rPr>
          <w:sz w:val="26"/>
          <w:szCs w:val="26"/>
        </w:rPr>
        <w:t>,</w:t>
      </w:r>
      <w:r w:rsidRPr="0003106C">
        <w:rPr>
          <w:sz w:val="26"/>
          <w:szCs w:val="26"/>
        </w:rPr>
        <w:t xml:space="preserve"> atbilstoši eksporta nozaru vajadzībām un iespējām. Galvenie atbalsta saņēmēji ir Latvijas uzņēmumi, kuri meklē savu preču un pakalpojumu noieta tirgus ārvalstīs</w:t>
      </w:r>
      <w:r w:rsidR="00E31147" w:rsidRPr="0003106C">
        <w:rPr>
          <w:sz w:val="26"/>
          <w:szCs w:val="26"/>
        </w:rPr>
        <w:t xml:space="preserve">. </w:t>
      </w:r>
      <w:r w:rsidR="00CE5CAF" w:rsidRPr="0003106C">
        <w:rPr>
          <w:sz w:val="26"/>
          <w:szCs w:val="26"/>
        </w:rPr>
        <w:t xml:space="preserve">Eksporta atbalsta pakalpojumu sniegšanā nodrošināta sadarbība un koordinācija starp valsts un privāto sektoru. </w:t>
      </w:r>
      <w:r w:rsidR="00E31147" w:rsidRPr="0003106C">
        <w:rPr>
          <w:sz w:val="26"/>
          <w:szCs w:val="26"/>
        </w:rPr>
        <w:t xml:space="preserve">Latvijas </w:t>
      </w:r>
      <w:r w:rsidR="00286875" w:rsidRPr="0003106C">
        <w:rPr>
          <w:sz w:val="26"/>
          <w:szCs w:val="26"/>
        </w:rPr>
        <w:t xml:space="preserve">eksporta </w:t>
      </w:r>
      <w:r w:rsidR="00D95156" w:rsidRPr="0003106C">
        <w:rPr>
          <w:sz w:val="26"/>
          <w:szCs w:val="26"/>
        </w:rPr>
        <w:t>SVID analīze iekļ</w:t>
      </w:r>
      <w:r w:rsidR="00513800" w:rsidRPr="0003106C">
        <w:rPr>
          <w:sz w:val="26"/>
          <w:szCs w:val="26"/>
        </w:rPr>
        <w:t>auta 5</w:t>
      </w:r>
      <w:r w:rsidR="00E31147" w:rsidRPr="0003106C">
        <w:rPr>
          <w:sz w:val="26"/>
          <w:szCs w:val="26"/>
        </w:rPr>
        <w:t>.pielikumā.</w:t>
      </w:r>
    </w:p>
    <w:p w:rsidR="006B00B4" w:rsidRPr="0003106C" w:rsidRDefault="006B00B4" w:rsidP="006B00B4">
      <w:pPr>
        <w:ind w:firstLine="567"/>
        <w:jc w:val="both"/>
        <w:rPr>
          <w:bCs/>
          <w:sz w:val="26"/>
          <w:szCs w:val="26"/>
        </w:rPr>
      </w:pPr>
      <w:r w:rsidRPr="0003106C">
        <w:rPr>
          <w:bCs/>
          <w:sz w:val="26"/>
          <w:szCs w:val="26"/>
        </w:rPr>
        <w:t>Eksporta atbalsta pakalpojumi ir paredzēti divu apakšmērķu sasniegšanai</w:t>
      </w:r>
      <w:r w:rsidR="001957A6" w:rsidRPr="0003106C">
        <w:rPr>
          <w:bCs/>
          <w:sz w:val="26"/>
          <w:szCs w:val="26"/>
        </w:rPr>
        <w:t xml:space="preserve">, </w:t>
      </w:r>
      <w:r w:rsidR="001957A6" w:rsidRPr="0003106C">
        <w:rPr>
          <w:sz w:val="26"/>
          <w:szCs w:val="26"/>
        </w:rPr>
        <w:t>vienlaikus izvērtējot un virzot nišas preces ar augtāku pievienoto vērtību, kurām ir vislielākais potenciāls šajos tirgos, vai preces, kuras varam piedāvāt par konkurētspējīgu cenu gala patēriņam vai iekļaušanai piegādes ķēdēs</w:t>
      </w:r>
      <w:r w:rsidRPr="0003106C">
        <w:rPr>
          <w:bCs/>
          <w:sz w:val="26"/>
          <w:szCs w:val="26"/>
        </w:rPr>
        <w:t>:</w:t>
      </w:r>
    </w:p>
    <w:p w:rsidR="006B00B4" w:rsidRPr="0003106C" w:rsidRDefault="006B00B4" w:rsidP="006D0373">
      <w:pPr>
        <w:pStyle w:val="ListParagraph"/>
        <w:numPr>
          <w:ilvl w:val="0"/>
          <w:numId w:val="23"/>
        </w:numPr>
        <w:spacing w:line="240" w:lineRule="auto"/>
        <w:ind w:left="993" w:hanging="284"/>
        <w:jc w:val="both"/>
        <w:rPr>
          <w:rFonts w:ascii="Times New Roman" w:hAnsi="Times New Roman"/>
          <w:sz w:val="26"/>
          <w:szCs w:val="26"/>
        </w:rPr>
      </w:pPr>
      <w:r w:rsidRPr="0003106C">
        <w:rPr>
          <w:rFonts w:ascii="Times New Roman" w:hAnsi="Times New Roman"/>
          <w:sz w:val="26"/>
          <w:szCs w:val="26"/>
        </w:rPr>
        <w:t>palīdzēt komersantiem nostiprināties jau esošos tirgos, atrast jaunus sadarbības partnerus, ievest Latvijas komersantiem kopumā zināmajos tirgos jaunus komersantus;</w:t>
      </w:r>
    </w:p>
    <w:p w:rsidR="006B00B4" w:rsidRPr="0003106C" w:rsidRDefault="006B00B4" w:rsidP="006D0373">
      <w:pPr>
        <w:pStyle w:val="ListParagraph"/>
        <w:numPr>
          <w:ilvl w:val="0"/>
          <w:numId w:val="23"/>
        </w:numPr>
        <w:spacing w:line="240" w:lineRule="auto"/>
        <w:ind w:left="993" w:hanging="284"/>
        <w:jc w:val="both"/>
        <w:rPr>
          <w:rFonts w:ascii="Times New Roman" w:hAnsi="Times New Roman"/>
          <w:sz w:val="26"/>
          <w:szCs w:val="26"/>
        </w:rPr>
      </w:pPr>
      <w:r w:rsidRPr="0003106C">
        <w:rPr>
          <w:rFonts w:ascii="Times New Roman" w:hAnsi="Times New Roman"/>
          <w:sz w:val="26"/>
          <w:szCs w:val="26"/>
        </w:rPr>
        <w:t>apgūt jaunus, Latvijas komersantiem maz zināmus tirgus.</w:t>
      </w:r>
    </w:p>
    <w:p w:rsidR="006B00B4" w:rsidRPr="0003106C" w:rsidRDefault="006B00B4" w:rsidP="004847E6">
      <w:pPr>
        <w:ind w:firstLine="567"/>
        <w:jc w:val="both"/>
        <w:rPr>
          <w:sz w:val="26"/>
          <w:szCs w:val="26"/>
        </w:rPr>
      </w:pPr>
    </w:p>
    <w:p w:rsidR="003B3E57" w:rsidRPr="0003106C" w:rsidRDefault="003B3E57" w:rsidP="004847E6">
      <w:pPr>
        <w:ind w:firstLine="567"/>
        <w:jc w:val="both"/>
        <w:rPr>
          <w:sz w:val="26"/>
          <w:szCs w:val="26"/>
        </w:rPr>
      </w:pPr>
    </w:p>
    <w:p w:rsidR="006B00B4" w:rsidRPr="0003106C" w:rsidRDefault="001957A6" w:rsidP="006B00B4">
      <w:pPr>
        <w:pStyle w:val="Heading2"/>
        <w:tabs>
          <w:tab w:val="left" w:pos="851"/>
        </w:tabs>
        <w:autoSpaceDE w:val="0"/>
        <w:autoSpaceDN w:val="0"/>
        <w:adjustRightInd w:val="0"/>
        <w:spacing w:before="0"/>
        <w:ind w:left="360"/>
        <w:jc w:val="both"/>
        <w:rPr>
          <w:rFonts w:ascii="Times New Roman" w:eastAsia="Calibri" w:hAnsi="Times New Roman" w:cs="Times New Roman"/>
          <w:bCs w:val="0"/>
          <w:i w:val="0"/>
          <w:iCs w:val="0"/>
          <w:sz w:val="26"/>
          <w:szCs w:val="26"/>
        </w:rPr>
      </w:pPr>
      <w:bookmarkStart w:id="12" w:name="_Toc355961034"/>
      <w:r w:rsidRPr="0003106C">
        <w:rPr>
          <w:rFonts w:ascii="Times New Roman" w:eastAsia="Calibri" w:hAnsi="Times New Roman" w:cs="Times New Roman"/>
          <w:bCs w:val="0"/>
          <w:i w:val="0"/>
          <w:iCs w:val="0"/>
          <w:sz w:val="26"/>
          <w:szCs w:val="26"/>
        </w:rPr>
        <w:lastRenderedPageBreak/>
        <w:t>4.2.2</w:t>
      </w:r>
      <w:r w:rsidR="009F36E4" w:rsidRPr="0003106C">
        <w:rPr>
          <w:rFonts w:ascii="Times New Roman" w:eastAsia="Calibri" w:hAnsi="Times New Roman" w:cs="Times New Roman"/>
          <w:bCs w:val="0"/>
          <w:i w:val="0"/>
          <w:iCs w:val="0"/>
          <w:sz w:val="26"/>
          <w:szCs w:val="26"/>
        </w:rPr>
        <w:t>. </w:t>
      </w:r>
      <w:r w:rsidR="006B00B4" w:rsidRPr="0003106C">
        <w:rPr>
          <w:rFonts w:ascii="Times New Roman" w:eastAsia="Calibri" w:hAnsi="Times New Roman" w:cs="Times New Roman"/>
          <w:bCs w:val="0"/>
          <w:i w:val="0"/>
          <w:iCs w:val="0"/>
          <w:sz w:val="26"/>
          <w:szCs w:val="26"/>
        </w:rPr>
        <w:t>Eksporta nozares</w:t>
      </w:r>
      <w:bookmarkEnd w:id="12"/>
    </w:p>
    <w:p w:rsidR="00623898" w:rsidRPr="0003106C" w:rsidRDefault="00D95156" w:rsidP="004847E6">
      <w:pPr>
        <w:ind w:firstLine="567"/>
        <w:jc w:val="both"/>
        <w:rPr>
          <w:sz w:val="26"/>
          <w:szCs w:val="26"/>
        </w:rPr>
      </w:pPr>
      <w:r w:rsidRPr="0003106C">
        <w:rPr>
          <w:sz w:val="26"/>
          <w:szCs w:val="26"/>
        </w:rPr>
        <w:t>P</w:t>
      </w:r>
      <w:r w:rsidR="00623898" w:rsidRPr="0003106C">
        <w:rPr>
          <w:sz w:val="26"/>
          <w:szCs w:val="26"/>
        </w:rPr>
        <w:t xml:space="preserve">rioritāri eksporta </w:t>
      </w:r>
      <w:r w:rsidR="00C511AB" w:rsidRPr="0003106C">
        <w:rPr>
          <w:sz w:val="26"/>
          <w:szCs w:val="26"/>
        </w:rPr>
        <w:t xml:space="preserve">atbalsta pakalpojumi </w:t>
      </w:r>
      <w:r w:rsidR="00623898" w:rsidRPr="0003106C">
        <w:rPr>
          <w:sz w:val="26"/>
          <w:szCs w:val="26"/>
        </w:rPr>
        <w:t>ir orientēti uz nozarēm, kuras Latvijas tautsaimniecībā v</w:t>
      </w:r>
      <w:r w:rsidR="00287778" w:rsidRPr="0003106C">
        <w:rPr>
          <w:sz w:val="26"/>
          <w:szCs w:val="26"/>
        </w:rPr>
        <w:t>eido lielāko ieguldījumu IKP un</w:t>
      </w:r>
      <w:r w:rsidR="003B3E57" w:rsidRPr="0003106C">
        <w:rPr>
          <w:sz w:val="26"/>
          <w:szCs w:val="26"/>
        </w:rPr>
        <w:t xml:space="preserve"> </w:t>
      </w:r>
      <w:r w:rsidR="00623898" w:rsidRPr="0003106C">
        <w:rPr>
          <w:sz w:val="26"/>
          <w:szCs w:val="26"/>
        </w:rPr>
        <w:t xml:space="preserve">kurām ir lielākais īpatsvars Latvijas preču </w:t>
      </w:r>
      <w:r w:rsidR="00614675" w:rsidRPr="0003106C">
        <w:rPr>
          <w:sz w:val="26"/>
          <w:szCs w:val="26"/>
        </w:rPr>
        <w:t xml:space="preserve">un pakalpojumu </w:t>
      </w:r>
      <w:r w:rsidR="00623898" w:rsidRPr="0003106C">
        <w:rPr>
          <w:sz w:val="26"/>
          <w:szCs w:val="26"/>
        </w:rPr>
        <w:t>kopējā eksportā</w:t>
      </w:r>
      <w:r w:rsidR="00E94303" w:rsidRPr="0003106C">
        <w:rPr>
          <w:sz w:val="26"/>
          <w:szCs w:val="26"/>
        </w:rPr>
        <w:t xml:space="preserve"> </w:t>
      </w:r>
      <w:r w:rsidR="00F97BAB" w:rsidRPr="0003106C">
        <w:rPr>
          <w:sz w:val="26"/>
          <w:szCs w:val="26"/>
        </w:rPr>
        <w:t>(</w:t>
      </w:r>
      <w:r w:rsidR="00EF5E18" w:rsidRPr="0003106C">
        <w:rPr>
          <w:sz w:val="26"/>
          <w:szCs w:val="26"/>
        </w:rPr>
        <w:t>izvēr</w:t>
      </w:r>
      <w:r w:rsidR="00AB4433" w:rsidRPr="0003106C">
        <w:rPr>
          <w:sz w:val="26"/>
          <w:szCs w:val="26"/>
        </w:rPr>
        <w:t>s</w:t>
      </w:r>
      <w:r w:rsidR="00EF5E18" w:rsidRPr="0003106C">
        <w:rPr>
          <w:sz w:val="26"/>
          <w:szCs w:val="26"/>
        </w:rPr>
        <w:t xml:space="preserve">tu skaidrojumu </w:t>
      </w:r>
      <w:r w:rsidR="00F97BAB" w:rsidRPr="0003106C">
        <w:rPr>
          <w:sz w:val="26"/>
          <w:szCs w:val="26"/>
        </w:rPr>
        <w:t>skat</w:t>
      </w:r>
      <w:r w:rsidR="00EF5E18" w:rsidRPr="0003106C">
        <w:rPr>
          <w:sz w:val="26"/>
          <w:szCs w:val="26"/>
        </w:rPr>
        <w:t xml:space="preserve">. </w:t>
      </w:r>
      <w:r w:rsidR="00513800" w:rsidRPr="0003106C">
        <w:rPr>
          <w:sz w:val="26"/>
          <w:szCs w:val="26"/>
        </w:rPr>
        <w:t>6</w:t>
      </w:r>
      <w:r w:rsidR="00EF5E18" w:rsidRPr="0003106C">
        <w:rPr>
          <w:sz w:val="26"/>
          <w:szCs w:val="26"/>
        </w:rPr>
        <w:t>.</w:t>
      </w:r>
      <w:r w:rsidR="006B00B4" w:rsidRPr="0003106C">
        <w:rPr>
          <w:sz w:val="26"/>
          <w:szCs w:val="26"/>
        </w:rPr>
        <w:t>pielikum</w:t>
      </w:r>
      <w:r w:rsidR="00EF5E18" w:rsidRPr="0003106C">
        <w:rPr>
          <w:sz w:val="26"/>
          <w:szCs w:val="26"/>
        </w:rPr>
        <w:t>ā</w:t>
      </w:r>
      <w:r w:rsidR="006B00B4" w:rsidRPr="0003106C">
        <w:rPr>
          <w:sz w:val="26"/>
          <w:szCs w:val="26"/>
        </w:rPr>
        <w:t>)</w:t>
      </w:r>
      <w:r w:rsidR="00623898" w:rsidRPr="0003106C">
        <w:rPr>
          <w:sz w:val="26"/>
          <w:szCs w:val="26"/>
        </w:rPr>
        <w:t xml:space="preserve">: </w:t>
      </w:r>
    </w:p>
    <w:p w:rsidR="005344BF" w:rsidRPr="0003106C" w:rsidRDefault="008F1125" w:rsidP="006D0373">
      <w:pPr>
        <w:pStyle w:val="ListParagraph"/>
        <w:numPr>
          <w:ilvl w:val="0"/>
          <w:numId w:val="24"/>
        </w:numPr>
        <w:ind w:left="993" w:hanging="284"/>
        <w:jc w:val="both"/>
        <w:rPr>
          <w:rFonts w:ascii="Times New Roman" w:hAnsi="Times New Roman"/>
          <w:sz w:val="26"/>
          <w:szCs w:val="26"/>
        </w:rPr>
      </w:pPr>
      <w:r w:rsidRPr="0003106C">
        <w:rPr>
          <w:rFonts w:ascii="Times New Roman" w:hAnsi="Times New Roman"/>
          <w:bCs/>
          <w:sz w:val="26"/>
          <w:szCs w:val="26"/>
        </w:rPr>
        <w:t>m</w:t>
      </w:r>
      <w:r w:rsidR="005344BF" w:rsidRPr="0003106C">
        <w:rPr>
          <w:rFonts w:ascii="Times New Roman" w:hAnsi="Times New Roman"/>
          <w:bCs/>
          <w:sz w:val="26"/>
          <w:szCs w:val="26"/>
        </w:rPr>
        <w:t xml:space="preserve">etālapstrāde un mašīnbūve; </w:t>
      </w:r>
    </w:p>
    <w:p w:rsidR="005344B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k</w:t>
      </w:r>
      <w:r w:rsidR="005344BF" w:rsidRPr="0003106C">
        <w:rPr>
          <w:rFonts w:ascii="Times New Roman" w:hAnsi="Times New Roman"/>
          <w:bCs/>
          <w:sz w:val="26"/>
          <w:szCs w:val="26"/>
        </w:rPr>
        <w:t>okrūpniecība;</w:t>
      </w:r>
    </w:p>
    <w:p w:rsidR="005344B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p</w:t>
      </w:r>
      <w:r w:rsidR="005344BF" w:rsidRPr="0003106C">
        <w:rPr>
          <w:rFonts w:ascii="Times New Roman" w:hAnsi="Times New Roman"/>
          <w:bCs/>
          <w:sz w:val="26"/>
          <w:szCs w:val="26"/>
        </w:rPr>
        <w:t>ārtikas rūpniecība;</w:t>
      </w:r>
    </w:p>
    <w:p w:rsidR="005344B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ķ</w:t>
      </w:r>
      <w:r w:rsidR="005344BF" w:rsidRPr="0003106C">
        <w:rPr>
          <w:rFonts w:ascii="Times New Roman" w:hAnsi="Times New Roman"/>
          <w:bCs/>
          <w:sz w:val="26"/>
          <w:szCs w:val="26"/>
        </w:rPr>
        <w:t>īmiskā rūpniecība un tās saskarnozares;</w:t>
      </w:r>
    </w:p>
    <w:p w:rsidR="005344B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v</w:t>
      </w:r>
      <w:r w:rsidR="005344BF" w:rsidRPr="0003106C">
        <w:rPr>
          <w:rFonts w:ascii="Times New Roman" w:hAnsi="Times New Roman"/>
          <w:bCs/>
          <w:sz w:val="26"/>
          <w:szCs w:val="26"/>
        </w:rPr>
        <w:t>ieglā rūpniecība;</w:t>
      </w:r>
    </w:p>
    <w:p w:rsidR="005344B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p</w:t>
      </w:r>
      <w:r w:rsidR="005344BF" w:rsidRPr="0003106C">
        <w:rPr>
          <w:rFonts w:ascii="Times New Roman" w:hAnsi="Times New Roman"/>
          <w:bCs/>
          <w:sz w:val="26"/>
          <w:szCs w:val="26"/>
        </w:rPr>
        <w:t>oligrāfija;</w:t>
      </w:r>
    </w:p>
    <w:p w:rsidR="005344B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b</w:t>
      </w:r>
      <w:r w:rsidR="005344BF" w:rsidRPr="0003106C">
        <w:rPr>
          <w:rFonts w:ascii="Times New Roman" w:hAnsi="Times New Roman"/>
          <w:bCs/>
          <w:sz w:val="26"/>
          <w:szCs w:val="26"/>
        </w:rPr>
        <w:t>ūvniecība, būvmateriālu ražošana;</w:t>
      </w:r>
    </w:p>
    <w:p w:rsidR="005344B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e</w:t>
      </w:r>
      <w:r w:rsidR="005344BF" w:rsidRPr="0003106C">
        <w:rPr>
          <w:rFonts w:ascii="Times New Roman" w:hAnsi="Times New Roman"/>
          <w:bCs/>
          <w:sz w:val="26"/>
          <w:szCs w:val="26"/>
        </w:rPr>
        <w:t>lektronika un optisko iekārtu ražošana;</w:t>
      </w:r>
    </w:p>
    <w:p w:rsidR="00CE5CA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t</w:t>
      </w:r>
      <w:r w:rsidR="00CE5CAF" w:rsidRPr="0003106C">
        <w:rPr>
          <w:rFonts w:ascii="Times New Roman" w:hAnsi="Times New Roman"/>
          <w:bCs/>
          <w:sz w:val="26"/>
          <w:szCs w:val="26"/>
        </w:rPr>
        <w:t>ransports un loģistika;</w:t>
      </w:r>
    </w:p>
    <w:p w:rsidR="00CE5CA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i</w:t>
      </w:r>
      <w:r w:rsidR="00CE5CAF" w:rsidRPr="0003106C">
        <w:rPr>
          <w:rFonts w:ascii="Times New Roman" w:hAnsi="Times New Roman"/>
          <w:bCs/>
          <w:sz w:val="26"/>
          <w:szCs w:val="26"/>
        </w:rPr>
        <w:t>nformācijas un komunikācijas tehnoloģijas;</w:t>
      </w:r>
    </w:p>
    <w:p w:rsidR="005344BF" w:rsidRPr="0003106C" w:rsidRDefault="008F1125" w:rsidP="006D0373">
      <w:pPr>
        <w:pStyle w:val="ListParagraph"/>
        <w:numPr>
          <w:ilvl w:val="0"/>
          <w:numId w:val="24"/>
        </w:numPr>
        <w:ind w:left="993" w:hanging="284"/>
        <w:jc w:val="both"/>
        <w:rPr>
          <w:rFonts w:ascii="Times New Roman" w:hAnsi="Times New Roman"/>
          <w:bCs/>
          <w:sz w:val="26"/>
          <w:szCs w:val="26"/>
        </w:rPr>
      </w:pPr>
      <w:r w:rsidRPr="0003106C">
        <w:rPr>
          <w:rFonts w:ascii="Times New Roman" w:hAnsi="Times New Roman"/>
          <w:bCs/>
          <w:sz w:val="26"/>
          <w:szCs w:val="26"/>
        </w:rPr>
        <w:t>t</w:t>
      </w:r>
      <w:r w:rsidR="00CE5CAF" w:rsidRPr="0003106C">
        <w:rPr>
          <w:rFonts w:ascii="Times New Roman" w:hAnsi="Times New Roman"/>
          <w:bCs/>
          <w:sz w:val="26"/>
          <w:szCs w:val="26"/>
        </w:rPr>
        <w:t>ūrisms.</w:t>
      </w:r>
    </w:p>
    <w:p w:rsidR="00405D80" w:rsidRPr="0003106C" w:rsidRDefault="00873148" w:rsidP="00F407CE">
      <w:pPr>
        <w:ind w:firstLine="567"/>
        <w:jc w:val="both"/>
        <w:rPr>
          <w:bCs/>
          <w:sz w:val="26"/>
          <w:szCs w:val="26"/>
        </w:rPr>
      </w:pPr>
      <w:r w:rsidRPr="0003106C">
        <w:rPr>
          <w:bCs/>
          <w:sz w:val="26"/>
          <w:szCs w:val="26"/>
        </w:rPr>
        <w:t>Vienlaikus, lai nodrošinātu augstāk</w:t>
      </w:r>
      <w:r w:rsidR="00C66D51" w:rsidRPr="0003106C">
        <w:rPr>
          <w:bCs/>
          <w:sz w:val="26"/>
          <w:szCs w:val="26"/>
        </w:rPr>
        <w:t>u eksportējamo preču un pakalpojumu</w:t>
      </w:r>
      <w:r w:rsidRPr="0003106C">
        <w:rPr>
          <w:bCs/>
          <w:sz w:val="26"/>
          <w:szCs w:val="26"/>
        </w:rPr>
        <w:t xml:space="preserve"> pievienoto vērtību</w:t>
      </w:r>
      <w:r w:rsidR="00C66D51" w:rsidRPr="0003106C">
        <w:rPr>
          <w:bCs/>
          <w:sz w:val="26"/>
          <w:szCs w:val="26"/>
        </w:rPr>
        <w:t>, ir jā</w:t>
      </w:r>
      <w:r w:rsidR="00E94303" w:rsidRPr="0003106C">
        <w:rPr>
          <w:bCs/>
          <w:sz w:val="26"/>
          <w:szCs w:val="26"/>
        </w:rPr>
        <w:t>orientējas</w:t>
      </w:r>
      <w:r w:rsidR="00C66D51" w:rsidRPr="0003106C">
        <w:rPr>
          <w:bCs/>
          <w:sz w:val="26"/>
          <w:szCs w:val="26"/>
        </w:rPr>
        <w:t xml:space="preserve"> ne tieši uz </w:t>
      </w:r>
      <w:r w:rsidR="00F407CE" w:rsidRPr="0003106C">
        <w:rPr>
          <w:bCs/>
          <w:sz w:val="26"/>
          <w:szCs w:val="26"/>
        </w:rPr>
        <w:t>no</w:t>
      </w:r>
      <w:r w:rsidR="00405D80" w:rsidRPr="0003106C">
        <w:rPr>
          <w:bCs/>
          <w:sz w:val="26"/>
          <w:szCs w:val="26"/>
        </w:rPr>
        <w:t>z</w:t>
      </w:r>
      <w:r w:rsidR="00006530" w:rsidRPr="0003106C">
        <w:rPr>
          <w:bCs/>
          <w:sz w:val="26"/>
          <w:szCs w:val="26"/>
        </w:rPr>
        <w:t>a</w:t>
      </w:r>
      <w:r w:rsidR="00F407CE" w:rsidRPr="0003106C">
        <w:rPr>
          <w:bCs/>
          <w:sz w:val="26"/>
          <w:szCs w:val="26"/>
        </w:rPr>
        <w:t>ru</w:t>
      </w:r>
      <w:r w:rsidR="00405D80" w:rsidRPr="0003106C">
        <w:rPr>
          <w:bCs/>
          <w:sz w:val="26"/>
          <w:szCs w:val="26"/>
        </w:rPr>
        <w:t xml:space="preserve"> atbalst</w:t>
      </w:r>
      <w:r w:rsidR="00C66D51" w:rsidRPr="0003106C">
        <w:rPr>
          <w:bCs/>
          <w:sz w:val="26"/>
          <w:szCs w:val="26"/>
        </w:rPr>
        <w:t xml:space="preserve">u, bet </w:t>
      </w:r>
      <w:r w:rsidR="00405D80" w:rsidRPr="0003106C">
        <w:rPr>
          <w:bCs/>
          <w:sz w:val="26"/>
          <w:szCs w:val="26"/>
        </w:rPr>
        <w:t>uz produktu/nišu a</w:t>
      </w:r>
      <w:r w:rsidR="00CE5CAF" w:rsidRPr="0003106C">
        <w:rPr>
          <w:bCs/>
          <w:sz w:val="26"/>
          <w:szCs w:val="26"/>
        </w:rPr>
        <w:t>tbalsta pieeju, kas sevī ietver</w:t>
      </w:r>
      <w:r w:rsidR="00405D80" w:rsidRPr="0003106C">
        <w:rPr>
          <w:bCs/>
          <w:sz w:val="26"/>
          <w:szCs w:val="26"/>
        </w:rPr>
        <w:t xml:space="preserve"> prioritāšu maiņu un lielāku eksporta veicināšanas aktivitāšu atbalstu par labu tiem produktiem, kas </w:t>
      </w:r>
      <w:r w:rsidR="006A70C9" w:rsidRPr="0003106C">
        <w:rPr>
          <w:bCs/>
          <w:sz w:val="26"/>
          <w:szCs w:val="26"/>
        </w:rPr>
        <w:t>ir ar augstāku pievienoto vērtību.</w:t>
      </w:r>
      <w:r w:rsidR="00006530" w:rsidRPr="0003106C">
        <w:rPr>
          <w:bCs/>
          <w:sz w:val="26"/>
          <w:szCs w:val="26"/>
        </w:rPr>
        <w:t xml:space="preserve"> </w:t>
      </w:r>
    </w:p>
    <w:p w:rsidR="00372BE8" w:rsidRPr="0003106C" w:rsidRDefault="00372BE8" w:rsidP="003B3E57">
      <w:pPr>
        <w:jc w:val="both"/>
        <w:rPr>
          <w:sz w:val="26"/>
          <w:szCs w:val="26"/>
        </w:rPr>
      </w:pPr>
    </w:p>
    <w:p w:rsidR="00372BE8" w:rsidRPr="0003106C" w:rsidRDefault="00372BE8" w:rsidP="003B3E57">
      <w:pPr>
        <w:jc w:val="both"/>
        <w:rPr>
          <w:bCs/>
          <w:sz w:val="26"/>
          <w:szCs w:val="26"/>
        </w:rPr>
      </w:pPr>
    </w:p>
    <w:p w:rsidR="006B00B4" w:rsidRPr="0003106C" w:rsidRDefault="001957A6" w:rsidP="006B00B4">
      <w:pPr>
        <w:pStyle w:val="Heading2"/>
        <w:tabs>
          <w:tab w:val="left" w:pos="851"/>
        </w:tabs>
        <w:autoSpaceDE w:val="0"/>
        <w:autoSpaceDN w:val="0"/>
        <w:adjustRightInd w:val="0"/>
        <w:spacing w:before="0"/>
        <w:ind w:left="360"/>
        <w:jc w:val="both"/>
        <w:rPr>
          <w:rFonts w:ascii="Times New Roman" w:eastAsia="Calibri" w:hAnsi="Times New Roman" w:cs="Times New Roman"/>
          <w:bCs w:val="0"/>
          <w:i w:val="0"/>
          <w:iCs w:val="0"/>
          <w:sz w:val="26"/>
          <w:szCs w:val="26"/>
        </w:rPr>
      </w:pPr>
      <w:bookmarkStart w:id="13" w:name="_Toc355961035"/>
      <w:r w:rsidRPr="0003106C">
        <w:rPr>
          <w:rFonts w:ascii="Times New Roman" w:eastAsia="Calibri" w:hAnsi="Times New Roman" w:cs="Times New Roman"/>
          <w:bCs w:val="0"/>
          <w:i w:val="0"/>
          <w:iCs w:val="0"/>
          <w:sz w:val="26"/>
          <w:szCs w:val="26"/>
        </w:rPr>
        <w:t>4.2.3</w:t>
      </w:r>
      <w:r w:rsidR="009F36E4" w:rsidRPr="0003106C">
        <w:rPr>
          <w:rFonts w:ascii="Times New Roman" w:eastAsia="Calibri" w:hAnsi="Times New Roman" w:cs="Times New Roman"/>
          <w:bCs w:val="0"/>
          <w:i w:val="0"/>
          <w:iCs w:val="0"/>
          <w:sz w:val="26"/>
          <w:szCs w:val="26"/>
        </w:rPr>
        <w:t>. </w:t>
      </w:r>
      <w:r w:rsidR="006B00B4" w:rsidRPr="0003106C">
        <w:rPr>
          <w:rFonts w:ascii="Times New Roman" w:eastAsia="Calibri" w:hAnsi="Times New Roman" w:cs="Times New Roman"/>
          <w:bCs w:val="0"/>
          <w:i w:val="0"/>
          <w:iCs w:val="0"/>
          <w:sz w:val="26"/>
          <w:szCs w:val="26"/>
        </w:rPr>
        <w:t>Eksporta mērķa valstis</w:t>
      </w:r>
      <w:bookmarkEnd w:id="13"/>
    </w:p>
    <w:p w:rsidR="00952C03" w:rsidRPr="0003106C" w:rsidRDefault="00952C03" w:rsidP="00952C03">
      <w:pPr>
        <w:ind w:firstLine="567"/>
        <w:jc w:val="both"/>
        <w:rPr>
          <w:sz w:val="26"/>
          <w:szCs w:val="26"/>
        </w:rPr>
      </w:pPr>
      <w:r w:rsidRPr="0003106C">
        <w:rPr>
          <w:sz w:val="26"/>
          <w:szCs w:val="26"/>
        </w:rPr>
        <w:t>Mērķa valstis, uz kurā</w:t>
      </w:r>
      <w:r w:rsidR="003B3E57" w:rsidRPr="0003106C">
        <w:rPr>
          <w:sz w:val="26"/>
          <w:szCs w:val="26"/>
        </w:rPr>
        <w:t>m</w:t>
      </w:r>
      <w:r w:rsidRPr="0003106C">
        <w:rPr>
          <w:sz w:val="26"/>
          <w:szCs w:val="26"/>
        </w:rPr>
        <w:t xml:space="preserve"> fokusē</w:t>
      </w:r>
      <w:r w:rsidR="00A32757" w:rsidRPr="0003106C">
        <w:rPr>
          <w:sz w:val="26"/>
          <w:szCs w:val="26"/>
        </w:rPr>
        <w:t>t eksporta atbalsta aktivitātes</w:t>
      </w:r>
      <w:r w:rsidR="00BF3CB7" w:rsidRPr="0003106C">
        <w:rPr>
          <w:sz w:val="26"/>
          <w:szCs w:val="26"/>
        </w:rPr>
        <w:t>,</w:t>
      </w:r>
      <w:r w:rsidRPr="0003106C">
        <w:rPr>
          <w:sz w:val="26"/>
          <w:szCs w:val="26"/>
        </w:rPr>
        <w:t xml:space="preserve"> </w:t>
      </w:r>
      <w:r w:rsidR="0094268A" w:rsidRPr="0003106C">
        <w:rPr>
          <w:sz w:val="26"/>
          <w:szCs w:val="26"/>
        </w:rPr>
        <w:t xml:space="preserve">regulāri </w:t>
      </w:r>
      <w:r w:rsidR="002308B8" w:rsidRPr="0003106C">
        <w:rPr>
          <w:sz w:val="26"/>
          <w:szCs w:val="26"/>
        </w:rPr>
        <w:t xml:space="preserve">tiek izvērtētas Ārējās ekonomiskās politikas koordinācijas padomē un </w:t>
      </w:r>
      <w:r w:rsidR="00A32757" w:rsidRPr="0003106C">
        <w:rPr>
          <w:sz w:val="26"/>
          <w:szCs w:val="26"/>
        </w:rPr>
        <w:t>noteiktas</w:t>
      </w:r>
      <w:r w:rsidRPr="0003106C">
        <w:rPr>
          <w:sz w:val="26"/>
          <w:szCs w:val="26"/>
        </w:rPr>
        <w:t xml:space="preserve"> balstoties uz šādiem kritērijiem:</w:t>
      </w:r>
    </w:p>
    <w:p w:rsidR="00952C03" w:rsidRPr="0003106C" w:rsidRDefault="00952C03" w:rsidP="00952C03">
      <w:pPr>
        <w:numPr>
          <w:ilvl w:val="0"/>
          <w:numId w:val="2"/>
        </w:numPr>
        <w:ind w:left="851" w:hanging="284"/>
        <w:jc w:val="both"/>
        <w:rPr>
          <w:sz w:val="26"/>
          <w:szCs w:val="26"/>
        </w:rPr>
      </w:pPr>
      <w:r w:rsidRPr="0003106C">
        <w:rPr>
          <w:sz w:val="26"/>
          <w:szCs w:val="26"/>
        </w:rPr>
        <w:t>nozīmīgi Latvijas eksporta tirgi;</w:t>
      </w:r>
    </w:p>
    <w:p w:rsidR="00952C03" w:rsidRPr="0003106C" w:rsidRDefault="00952C03" w:rsidP="00952C03">
      <w:pPr>
        <w:numPr>
          <w:ilvl w:val="0"/>
          <w:numId w:val="2"/>
        </w:numPr>
        <w:ind w:left="851" w:hanging="284"/>
        <w:jc w:val="both"/>
        <w:rPr>
          <w:i/>
          <w:sz w:val="26"/>
          <w:szCs w:val="26"/>
        </w:rPr>
      </w:pPr>
      <w:r w:rsidRPr="0003106C">
        <w:rPr>
          <w:sz w:val="26"/>
          <w:szCs w:val="26"/>
        </w:rPr>
        <w:t>tirgus lielums un izaugsmes potenciāls</w:t>
      </w:r>
      <w:r w:rsidR="00A32757" w:rsidRPr="0003106C">
        <w:rPr>
          <w:sz w:val="26"/>
          <w:szCs w:val="26"/>
        </w:rPr>
        <w:t>, ģeogrāfiski tuvi</w:t>
      </w:r>
      <w:r w:rsidRPr="0003106C">
        <w:rPr>
          <w:sz w:val="26"/>
          <w:szCs w:val="26"/>
        </w:rPr>
        <w:t>;</w:t>
      </w:r>
    </w:p>
    <w:p w:rsidR="00952C03" w:rsidRPr="0003106C" w:rsidRDefault="00952C03" w:rsidP="00952C03">
      <w:pPr>
        <w:numPr>
          <w:ilvl w:val="0"/>
          <w:numId w:val="2"/>
        </w:numPr>
        <w:ind w:left="851" w:hanging="284"/>
        <w:jc w:val="both"/>
        <w:rPr>
          <w:i/>
          <w:sz w:val="26"/>
          <w:szCs w:val="26"/>
        </w:rPr>
      </w:pPr>
      <w:r w:rsidRPr="0003106C">
        <w:rPr>
          <w:sz w:val="26"/>
          <w:szCs w:val="26"/>
        </w:rPr>
        <w:t>aktīva Latvijas uzņēmēj</w:t>
      </w:r>
      <w:r w:rsidR="00287778" w:rsidRPr="0003106C">
        <w:rPr>
          <w:sz w:val="26"/>
          <w:szCs w:val="26"/>
        </w:rPr>
        <w:t xml:space="preserve">u interese par konkrēto tirgu/ </w:t>
      </w:r>
      <w:r w:rsidRPr="0003106C">
        <w:rPr>
          <w:sz w:val="26"/>
          <w:szCs w:val="26"/>
        </w:rPr>
        <w:t>ārvalsts uzņēmēju interese par Latviju;</w:t>
      </w:r>
    </w:p>
    <w:p w:rsidR="000810B1" w:rsidRPr="0003106C" w:rsidRDefault="00952C03" w:rsidP="00952C03">
      <w:pPr>
        <w:numPr>
          <w:ilvl w:val="0"/>
          <w:numId w:val="2"/>
        </w:numPr>
        <w:ind w:left="851" w:hanging="284"/>
        <w:jc w:val="both"/>
        <w:rPr>
          <w:sz w:val="26"/>
          <w:szCs w:val="26"/>
        </w:rPr>
      </w:pPr>
      <w:r w:rsidRPr="0003106C">
        <w:rPr>
          <w:sz w:val="26"/>
          <w:szCs w:val="26"/>
        </w:rPr>
        <w:t>tirgus pieprasījuma atbilstība Latvijas piedāvājuma iespējām (tirgus nišas)</w:t>
      </w:r>
      <w:r w:rsidR="00327A61" w:rsidRPr="0003106C">
        <w:rPr>
          <w:sz w:val="26"/>
          <w:szCs w:val="26"/>
        </w:rPr>
        <w:t>.</w:t>
      </w:r>
    </w:p>
    <w:p w:rsidR="003B3E57" w:rsidRPr="0003106C" w:rsidRDefault="00952C03" w:rsidP="000C4235">
      <w:pPr>
        <w:ind w:right="-1" w:firstLine="567"/>
        <w:jc w:val="both"/>
        <w:rPr>
          <w:sz w:val="26"/>
          <w:szCs w:val="26"/>
        </w:rPr>
      </w:pPr>
      <w:r w:rsidRPr="0003106C">
        <w:rPr>
          <w:sz w:val="26"/>
          <w:szCs w:val="26"/>
        </w:rPr>
        <w:t>Latvijas galvenais un tradicionālais eksporta tirgus ir ES valstis</w:t>
      </w:r>
      <w:r w:rsidR="00E97A22" w:rsidRPr="0003106C">
        <w:rPr>
          <w:sz w:val="26"/>
          <w:szCs w:val="26"/>
        </w:rPr>
        <w:t>, no kuriem lielākie ir Lietuva un Igaunija</w:t>
      </w:r>
      <w:r w:rsidR="00BF3CB7" w:rsidRPr="0003106C">
        <w:rPr>
          <w:sz w:val="26"/>
          <w:szCs w:val="26"/>
        </w:rPr>
        <w:t>,</w:t>
      </w:r>
      <w:r w:rsidRPr="0003106C">
        <w:rPr>
          <w:sz w:val="26"/>
          <w:szCs w:val="26"/>
        </w:rPr>
        <w:t xml:space="preserve"> un tikai salīdzinoši nelielu daļu aizņem NVS un citas trešās valstis. Latvijas eksporta īpatsvars uz strauji augošām ekonomikām, piemēram, Ķīnu un Indiju</w:t>
      </w:r>
      <w:r w:rsidR="00BF3CB7" w:rsidRPr="0003106C">
        <w:rPr>
          <w:sz w:val="26"/>
          <w:szCs w:val="26"/>
        </w:rPr>
        <w:t>,</w:t>
      </w:r>
      <w:r w:rsidRPr="0003106C">
        <w:rPr>
          <w:sz w:val="26"/>
          <w:szCs w:val="26"/>
        </w:rPr>
        <w:t xml:space="preserve"> ir neliels. </w:t>
      </w:r>
    </w:p>
    <w:p w:rsidR="00372BE8" w:rsidRPr="0003106C" w:rsidRDefault="00952C03" w:rsidP="004847E6">
      <w:pPr>
        <w:ind w:right="-1" w:firstLine="567"/>
        <w:jc w:val="both"/>
        <w:rPr>
          <w:sz w:val="26"/>
          <w:szCs w:val="26"/>
        </w:rPr>
      </w:pPr>
      <w:r w:rsidRPr="0003106C">
        <w:rPr>
          <w:sz w:val="26"/>
          <w:szCs w:val="26"/>
        </w:rPr>
        <w:t>Attiecībā uz eksporta mērķa tirgiem</w:t>
      </w:r>
      <w:r w:rsidR="006C4331" w:rsidRPr="0003106C">
        <w:rPr>
          <w:sz w:val="26"/>
          <w:szCs w:val="26"/>
        </w:rPr>
        <w:t xml:space="preserve"> </w:t>
      </w:r>
      <w:r w:rsidRPr="0003106C">
        <w:rPr>
          <w:sz w:val="26"/>
          <w:szCs w:val="26"/>
        </w:rPr>
        <w:t>ir būtiski saglabāt un attīstīt eksportu uz va</w:t>
      </w:r>
      <w:r w:rsidR="001353DB" w:rsidRPr="0003106C">
        <w:rPr>
          <w:sz w:val="26"/>
          <w:szCs w:val="26"/>
        </w:rPr>
        <w:t>lstīm, kas vēsturiski ir bijuši</w:t>
      </w:r>
      <w:r w:rsidRPr="0003106C">
        <w:rPr>
          <w:sz w:val="26"/>
          <w:szCs w:val="26"/>
        </w:rPr>
        <w:t xml:space="preserve"> Latvijas galvenie eksporta partneri – ES </w:t>
      </w:r>
      <w:r w:rsidR="00C511AB" w:rsidRPr="0003106C">
        <w:rPr>
          <w:sz w:val="26"/>
          <w:szCs w:val="26"/>
        </w:rPr>
        <w:t xml:space="preserve">valstis </w:t>
      </w:r>
      <w:r w:rsidRPr="0003106C">
        <w:rPr>
          <w:sz w:val="26"/>
          <w:szCs w:val="26"/>
        </w:rPr>
        <w:t>un</w:t>
      </w:r>
      <w:r w:rsidR="00C511AB" w:rsidRPr="0003106C">
        <w:rPr>
          <w:sz w:val="26"/>
          <w:szCs w:val="26"/>
        </w:rPr>
        <w:t xml:space="preserve"> NVS valstis</w:t>
      </w:r>
      <w:r w:rsidRPr="0003106C">
        <w:rPr>
          <w:sz w:val="26"/>
          <w:szCs w:val="26"/>
        </w:rPr>
        <w:t xml:space="preserve">. </w:t>
      </w:r>
      <w:r w:rsidR="00195C62" w:rsidRPr="0003106C">
        <w:rPr>
          <w:sz w:val="26"/>
          <w:szCs w:val="26"/>
        </w:rPr>
        <w:t>Vienlaikus</w:t>
      </w:r>
      <w:r w:rsidRPr="0003106C">
        <w:rPr>
          <w:b/>
          <w:sz w:val="26"/>
          <w:szCs w:val="26"/>
        </w:rPr>
        <w:t xml:space="preserve"> </w:t>
      </w:r>
      <w:r w:rsidRPr="0003106C">
        <w:rPr>
          <w:sz w:val="26"/>
          <w:szCs w:val="26"/>
        </w:rPr>
        <w:t>nepieciešams sekmēt jaunu, strauji augošo tirgu (</w:t>
      </w:r>
      <w:r w:rsidR="00195C62" w:rsidRPr="0003106C">
        <w:rPr>
          <w:sz w:val="26"/>
          <w:szCs w:val="26"/>
        </w:rPr>
        <w:t xml:space="preserve">piemēram, </w:t>
      </w:r>
      <w:r w:rsidRPr="0003106C">
        <w:rPr>
          <w:i/>
          <w:sz w:val="26"/>
          <w:szCs w:val="26"/>
        </w:rPr>
        <w:t>BRIC</w:t>
      </w:r>
      <w:r w:rsidRPr="0003106C">
        <w:rPr>
          <w:sz w:val="26"/>
          <w:szCs w:val="26"/>
        </w:rPr>
        <w:t>) apgūšanu, sākotnēji</w:t>
      </w:r>
      <w:r w:rsidR="003B3E57" w:rsidRPr="0003106C">
        <w:rPr>
          <w:sz w:val="26"/>
          <w:szCs w:val="26"/>
        </w:rPr>
        <w:t>,</w:t>
      </w:r>
      <w:r w:rsidRPr="0003106C">
        <w:rPr>
          <w:sz w:val="26"/>
          <w:szCs w:val="26"/>
        </w:rPr>
        <w:t xml:space="preserve"> nodrošinot uzņēmējiem nepieciešamo informāciju, konsultatīvo atbalstu un sadarbības veicināšanu</w:t>
      </w:r>
      <w:r w:rsidR="00200B99" w:rsidRPr="0003106C">
        <w:rPr>
          <w:sz w:val="26"/>
          <w:szCs w:val="26"/>
        </w:rPr>
        <w:t xml:space="preserve"> </w:t>
      </w:r>
      <w:r w:rsidRPr="0003106C">
        <w:rPr>
          <w:sz w:val="26"/>
          <w:szCs w:val="26"/>
        </w:rPr>
        <w:t>valsts amatperso</w:t>
      </w:r>
      <w:r w:rsidR="00372BE8" w:rsidRPr="0003106C">
        <w:rPr>
          <w:sz w:val="26"/>
          <w:szCs w:val="26"/>
        </w:rPr>
        <w:t>nu un uzņēmēju vizīšu ietvaros.</w:t>
      </w:r>
    </w:p>
    <w:p w:rsidR="00327A61" w:rsidRPr="0003106C" w:rsidRDefault="00327A61" w:rsidP="00327A61">
      <w:pPr>
        <w:ind w:right="-1" w:firstLine="567"/>
        <w:jc w:val="both"/>
        <w:rPr>
          <w:sz w:val="26"/>
          <w:szCs w:val="26"/>
        </w:rPr>
      </w:pPr>
      <w:r w:rsidRPr="0003106C">
        <w:rPr>
          <w:sz w:val="26"/>
          <w:szCs w:val="26"/>
        </w:rPr>
        <w:t>Atbalsta pasākumi jāplāno, atbilstoši uzņēmēju interesei. Privātā sektora atbalsta pasākumi tiek piedāvāti, atbilstoši tirgus pieprasījumam un maksātspējai, dodot uzņēmējiem izvēles iespējas</w:t>
      </w:r>
      <w:r w:rsidR="000C4235" w:rsidRPr="0003106C">
        <w:rPr>
          <w:sz w:val="26"/>
          <w:szCs w:val="26"/>
        </w:rPr>
        <w:t>,</w:t>
      </w:r>
      <w:r w:rsidRPr="0003106C">
        <w:rPr>
          <w:sz w:val="26"/>
          <w:szCs w:val="26"/>
        </w:rPr>
        <w:t xml:space="preserve"> bet valsts atbalsta pasākumi jāorientē, atbilstoši uzņēmēju intereses kritiskai masai,</w:t>
      </w:r>
      <w:r w:rsidR="006C4331" w:rsidRPr="0003106C">
        <w:rPr>
          <w:sz w:val="26"/>
          <w:szCs w:val="26"/>
        </w:rPr>
        <w:t xml:space="preserve"> </w:t>
      </w:r>
      <w:r w:rsidRPr="0003106C">
        <w:rPr>
          <w:sz w:val="26"/>
          <w:szCs w:val="26"/>
        </w:rPr>
        <w:t>tie ir stratēģiski nozīmīgi nozarei.</w:t>
      </w:r>
    </w:p>
    <w:p w:rsidR="00530F1C" w:rsidRPr="0003106C" w:rsidRDefault="00530F1C" w:rsidP="004847E6">
      <w:pPr>
        <w:ind w:right="-1" w:firstLine="567"/>
        <w:jc w:val="both"/>
        <w:rPr>
          <w:sz w:val="26"/>
          <w:szCs w:val="26"/>
        </w:rPr>
      </w:pPr>
    </w:p>
    <w:p w:rsidR="00C511AB" w:rsidRPr="0003106C" w:rsidRDefault="003D6D9C" w:rsidP="004847E6">
      <w:pPr>
        <w:ind w:right="-1" w:firstLine="567"/>
        <w:jc w:val="both"/>
        <w:rPr>
          <w:sz w:val="26"/>
          <w:szCs w:val="26"/>
        </w:rPr>
      </w:pPr>
      <w:r w:rsidRPr="0003106C">
        <w:rPr>
          <w:sz w:val="26"/>
          <w:szCs w:val="26"/>
        </w:rPr>
        <w:t xml:space="preserve"> </w:t>
      </w:r>
    </w:p>
    <w:p w:rsidR="001957A6" w:rsidRPr="0003106C" w:rsidRDefault="001957A6" w:rsidP="001957A6">
      <w:pPr>
        <w:pStyle w:val="Heading2"/>
        <w:tabs>
          <w:tab w:val="left" w:pos="851"/>
        </w:tabs>
        <w:autoSpaceDE w:val="0"/>
        <w:autoSpaceDN w:val="0"/>
        <w:adjustRightInd w:val="0"/>
        <w:spacing w:before="0"/>
        <w:ind w:left="360"/>
        <w:jc w:val="both"/>
        <w:rPr>
          <w:rFonts w:ascii="Times New Roman" w:hAnsi="Times New Roman"/>
          <w:b w:val="0"/>
          <w:sz w:val="26"/>
          <w:szCs w:val="26"/>
        </w:rPr>
      </w:pPr>
      <w:bookmarkStart w:id="14" w:name="_Toc355961036"/>
      <w:r w:rsidRPr="0003106C">
        <w:rPr>
          <w:rFonts w:ascii="Times New Roman" w:eastAsia="Calibri" w:hAnsi="Times New Roman" w:cs="Times New Roman"/>
          <w:bCs w:val="0"/>
          <w:i w:val="0"/>
          <w:iCs w:val="0"/>
          <w:sz w:val="26"/>
          <w:szCs w:val="26"/>
        </w:rPr>
        <w:lastRenderedPageBreak/>
        <w:t>4.2.4. Eksporta atbalsta pakalpojumu sniegšanas process un galvenās aktivitātes</w:t>
      </w:r>
      <w:bookmarkEnd w:id="14"/>
    </w:p>
    <w:p w:rsidR="007B153D" w:rsidRPr="0003106C" w:rsidRDefault="006C4331" w:rsidP="004847E6">
      <w:pPr>
        <w:ind w:firstLine="567"/>
        <w:jc w:val="both"/>
        <w:rPr>
          <w:sz w:val="26"/>
          <w:szCs w:val="26"/>
        </w:rPr>
      </w:pPr>
      <w:r w:rsidRPr="0003106C">
        <w:rPr>
          <w:sz w:val="26"/>
          <w:szCs w:val="26"/>
        </w:rPr>
        <w:t xml:space="preserve">Lai uzņēmums sekmīgi </w:t>
      </w:r>
      <w:r w:rsidR="003D19D5" w:rsidRPr="0003106C">
        <w:rPr>
          <w:sz w:val="26"/>
          <w:szCs w:val="26"/>
        </w:rPr>
        <w:t>uzsāktu un īstenotu eksporta darījumus, tam ir jāiziet vairāki secīgi posmi: jānosaka savs eksporta potenciāls, jāizvēlas mērķa tirgus un jānoformulē uzņēmuma eksporta stratēģija. Daudzi Latvijas uzņēmumi sekmīgi darbojas un ir salīdzinoši konkurētspējīgi iekšējā tirgū, taču, uzsākot eksportu, saskaras ne tikai ar tādiem faktoriem kā konkurence ar ārvalstu vietējiem ražotājiem un citu</w:t>
      </w:r>
      <w:r w:rsidR="00A32757" w:rsidRPr="0003106C">
        <w:rPr>
          <w:sz w:val="26"/>
          <w:szCs w:val="26"/>
        </w:rPr>
        <w:t xml:space="preserve"> valstu</w:t>
      </w:r>
      <w:r w:rsidR="003D19D5" w:rsidRPr="0003106C">
        <w:rPr>
          <w:sz w:val="26"/>
          <w:szCs w:val="26"/>
        </w:rPr>
        <w:t xml:space="preserve"> impo</w:t>
      </w:r>
      <w:r w:rsidR="00A32757" w:rsidRPr="0003106C">
        <w:rPr>
          <w:sz w:val="26"/>
          <w:szCs w:val="26"/>
        </w:rPr>
        <w:t>rtu, īstermiņa izmaksu pieaugumu</w:t>
      </w:r>
      <w:r w:rsidR="003D19D5" w:rsidRPr="0003106C">
        <w:rPr>
          <w:sz w:val="26"/>
          <w:szCs w:val="26"/>
        </w:rPr>
        <w:t xml:space="preserve"> un investīciju nepieciešamību ražošanas jaudu palielināšanai vai produktu pielāgošanai mērķa tirgus prasībām, bet arī informācijas un zināšanu trūkumu par eksporta tirgiem, kā arī</w:t>
      </w:r>
      <w:r w:rsidR="0011190D" w:rsidRPr="0003106C">
        <w:rPr>
          <w:sz w:val="26"/>
          <w:szCs w:val="26"/>
        </w:rPr>
        <w:t xml:space="preserve"> atšķirīgu uzņēmējdarbības vidi un tā ietekmē radītajām tirdzniecību kropļojošām barjerām,</w:t>
      </w:r>
      <w:r w:rsidR="003D19D5" w:rsidRPr="0003106C">
        <w:rPr>
          <w:sz w:val="26"/>
          <w:szCs w:val="26"/>
        </w:rPr>
        <w:t xml:space="preserve"> kultūru un valodas barjeru. Daudziem Latvijas uzņēmumiem nav pietiekamas pieredzes un zināšanu</w:t>
      </w:r>
      <w:r w:rsidR="00BF3CB7" w:rsidRPr="0003106C">
        <w:rPr>
          <w:sz w:val="26"/>
          <w:szCs w:val="26"/>
        </w:rPr>
        <w:t>,</w:t>
      </w:r>
      <w:r w:rsidR="003D19D5" w:rsidRPr="0003106C">
        <w:rPr>
          <w:sz w:val="26"/>
          <w:szCs w:val="26"/>
        </w:rPr>
        <w:t xml:space="preserve"> kā radīt un pārdot savu zīmolu un preci gala patērētājam. Latvijas eksportētāji pārsvarā ir mazie un vidējie uzņēmumi, un īstenot mārketinga aktivitātes ārvalstīs daudziem no tiem ir sarežģīti, īpaši tas attiecas uz jauniem, ģeogrāfiski attāliem eksporta tirgiem.</w:t>
      </w:r>
      <w:r w:rsidRPr="0003106C">
        <w:rPr>
          <w:sz w:val="26"/>
          <w:szCs w:val="26"/>
        </w:rPr>
        <w:t xml:space="preserve"> </w:t>
      </w:r>
      <w:r w:rsidR="003D19D5" w:rsidRPr="0003106C">
        <w:rPr>
          <w:sz w:val="26"/>
          <w:szCs w:val="26"/>
        </w:rPr>
        <w:t>Eksporta t</w:t>
      </w:r>
      <w:r w:rsidR="003D19D5" w:rsidRPr="0003106C">
        <w:rPr>
          <w:spacing w:val="-2"/>
          <w:sz w:val="26"/>
          <w:szCs w:val="26"/>
        </w:rPr>
        <w:t>irgos, kuros tradicionāli pastāv augsta konkurence, prioritāras ir mārketinga un pārdošanas spējas, precīzi piegādes termiņi un efektīva loģistika.</w:t>
      </w:r>
      <w:r w:rsidR="003D19D5" w:rsidRPr="0003106C">
        <w:rPr>
          <w:sz w:val="26"/>
          <w:szCs w:val="26"/>
        </w:rPr>
        <w:t xml:space="preserve"> Lai gan uzņēmumi apzinās eksporta mārketinga pasākumu lietderību un nepieciešamību, nepietiek</w:t>
      </w:r>
      <w:r w:rsidR="00BF3CB7" w:rsidRPr="0003106C">
        <w:rPr>
          <w:sz w:val="26"/>
          <w:szCs w:val="26"/>
        </w:rPr>
        <w:t>amais</w:t>
      </w:r>
      <w:r w:rsidR="003D19D5" w:rsidRPr="0003106C">
        <w:rPr>
          <w:sz w:val="26"/>
          <w:szCs w:val="26"/>
        </w:rPr>
        <w:t xml:space="preserve"> finansējums ir būtisk</w:t>
      </w:r>
      <w:r w:rsidR="0019677B" w:rsidRPr="0003106C">
        <w:rPr>
          <w:sz w:val="26"/>
          <w:szCs w:val="26"/>
        </w:rPr>
        <w:t xml:space="preserve">s </w:t>
      </w:r>
      <w:r w:rsidR="00896CD2" w:rsidRPr="0003106C">
        <w:rPr>
          <w:sz w:val="26"/>
          <w:szCs w:val="26"/>
        </w:rPr>
        <w:t>šķērslis</w:t>
      </w:r>
      <w:r w:rsidR="003D19D5" w:rsidRPr="0003106C">
        <w:rPr>
          <w:sz w:val="26"/>
          <w:szCs w:val="26"/>
        </w:rPr>
        <w:t xml:space="preserve"> j</w:t>
      </w:r>
      <w:r w:rsidR="00C97149" w:rsidRPr="0003106C">
        <w:rPr>
          <w:sz w:val="26"/>
          <w:szCs w:val="26"/>
        </w:rPr>
        <w:t>aunu eksporta tirgu apgūšanai. </w:t>
      </w:r>
    </w:p>
    <w:p w:rsidR="00C511AB" w:rsidRPr="0003106C" w:rsidRDefault="00C97149" w:rsidP="004847E6">
      <w:pPr>
        <w:ind w:firstLine="567"/>
        <w:jc w:val="both"/>
        <w:rPr>
          <w:sz w:val="26"/>
          <w:szCs w:val="26"/>
        </w:rPr>
      </w:pPr>
      <w:r w:rsidRPr="0003106C">
        <w:rPr>
          <w:sz w:val="26"/>
          <w:szCs w:val="26"/>
        </w:rPr>
        <w:t xml:space="preserve">Eksporta atbalsta </w:t>
      </w:r>
      <w:r w:rsidR="00C511AB" w:rsidRPr="0003106C">
        <w:rPr>
          <w:sz w:val="26"/>
          <w:szCs w:val="26"/>
        </w:rPr>
        <w:t>pasākumu kopumu, kas nepieciešams, lai sasniegtu augstāk minētos apakšmērķus, nosaka klients – Latvijas komersants</w:t>
      </w:r>
      <w:r w:rsidR="00C511AB" w:rsidRPr="0003106C">
        <w:t xml:space="preserve">. </w:t>
      </w:r>
      <w:r w:rsidR="00312E33" w:rsidRPr="0003106C">
        <w:rPr>
          <w:sz w:val="26"/>
          <w:szCs w:val="26"/>
        </w:rPr>
        <w:t xml:space="preserve">Valsts finansētu eksporta atbalsta pasākumu kopumu īsteno LIAA. </w:t>
      </w:r>
      <w:r w:rsidR="00C511AB" w:rsidRPr="0003106C">
        <w:rPr>
          <w:sz w:val="26"/>
          <w:szCs w:val="26"/>
        </w:rPr>
        <w:t xml:space="preserve">Atbilstoši komersantu vajadzībai tiek izvēlētas valstis, kurās tiek </w:t>
      </w:r>
      <w:r w:rsidRPr="0003106C">
        <w:rPr>
          <w:sz w:val="26"/>
          <w:szCs w:val="26"/>
        </w:rPr>
        <w:t>īstenoti</w:t>
      </w:r>
      <w:r w:rsidR="00C511AB" w:rsidRPr="0003106C">
        <w:rPr>
          <w:sz w:val="26"/>
          <w:szCs w:val="26"/>
        </w:rPr>
        <w:t xml:space="preserve"> </w:t>
      </w:r>
      <w:r w:rsidR="00845C6F" w:rsidRPr="0003106C">
        <w:rPr>
          <w:sz w:val="26"/>
          <w:szCs w:val="26"/>
        </w:rPr>
        <w:t>eksporta</w:t>
      </w:r>
      <w:r w:rsidR="00C511AB" w:rsidRPr="0003106C">
        <w:rPr>
          <w:sz w:val="26"/>
          <w:szCs w:val="26"/>
        </w:rPr>
        <w:t xml:space="preserve"> atbalsta pasākumi, izvēlēti </w:t>
      </w:r>
      <w:r w:rsidR="00845C6F" w:rsidRPr="0003106C">
        <w:rPr>
          <w:sz w:val="26"/>
          <w:szCs w:val="26"/>
        </w:rPr>
        <w:t>eksporta</w:t>
      </w:r>
      <w:r w:rsidR="00C511AB" w:rsidRPr="0003106C">
        <w:rPr>
          <w:sz w:val="26"/>
          <w:szCs w:val="26"/>
        </w:rPr>
        <w:t xml:space="preserve"> atbalsta pasākumu veidi, noteikta regularitāte, institucionālais ietvars</w:t>
      </w:r>
      <w:r w:rsidR="00C7005A" w:rsidRPr="0003106C">
        <w:rPr>
          <w:sz w:val="26"/>
          <w:szCs w:val="26"/>
        </w:rPr>
        <w:t xml:space="preserve"> un</w:t>
      </w:r>
      <w:r w:rsidR="00C511AB" w:rsidRPr="0003106C">
        <w:rPr>
          <w:sz w:val="26"/>
          <w:szCs w:val="26"/>
        </w:rPr>
        <w:t xml:space="preserve"> finansiālie atbalsta instrumenti. Eksporta</w:t>
      </w:r>
      <w:r w:rsidR="00C7005A" w:rsidRPr="0003106C">
        <w:rPr>
          <w:sz w:val="26"/>
          <w:szCs w:val="26"/>
        </w:rPr>
        <w:t xml:space="preserve"> atbalsta pasākumi tiek īstenoti</w:t>
      </w:r>
      <w:r w:rsidR="00C511AB" w:rsidRPr="0003106C">
        <w:rPr>
          <w:sz w:val="26"/>
          <w:szCs w:val="26"/>
        </w:rPr>
        <w:t xml:space="preserve">  trīs galvenajos virzienos:</w:t>
      </w:r>
    </w:p>
    <w:p w:rsidR="00C511AB" w:rsidRPr="0003106C" w:rsidRDefault="00896CD2" w:rsidP="00FA0B27">
      <w:pPr>
        <w:numPr>
          <w:ilvl w:val="0"/>
          <w:numId w:val="2"/>
        </w:numPr>
        <w:ind w:left="851" w:hanging="284"/>
        <w:jc w:val="both"/>
        <w:rPr>
          <w:sz w:val="26"/>
          <w:szCs w:val="26"/>
        </w:rPr>
      </w:pPr>
      <w:r w:rsidRPr="0003106C">
        <w:rPr>
          <w:sz w:val="26"/>
          <w:szCs w:val="26"/>
        </w:rPr>
        <w:t>i</w:t>
      </w:r>
      <w:r w:rsidR="00C511AB" w:rsidRPr="0003106C">
        <w:rPr>
          <w:sz w:val="26"/>
          <w:szCs w:val="26"/>
        </w:rPr>
        <w:t>nformatīvais un konsultatīvais atbalsts;</w:t>
      </w:r>
    </w:p>
    <w:p w:rsidR="00C511AB" w:rsidRPr="0003106C" w:rsidRDefault="00896CD2" w:rsidP="00FA0B27">
      <w:pPr>
        <w:numPr>
          <w:ilvl w:val="0"/>
          <w:numId w:val="2"/>
        </w:numPr>
        <w:ind w:left="851" w:hanging="284"/>
        <w:jc w:val="both"/>
        <w:rPr>
          <w:sz w:val="26"/>
          <w:szCs w:val="26"/>
        </w:rPr>
      </w:pPr>
      <w:r w:rsidRPr="0003106C">
        <w:rPr>
          <w:sz w:val="26"/>
          <w:szCs w:val="26"/>
        </w:rPr>
        <w:t>a</w:t>
      </w:r>
      <w:r w:rsidR="00C511AB" w:rsidRPr="0003106C">
        <w:rPr>
          <w:sz w:val="26"/>
          <w:szCs w:val="26"/>
        </w:rPr>
        <w:t>tbalsts sadarbības partneru atrašanā un sadarbības veicināšan</w:t>
      </w:r>
      <w:r w:rsidR="00BF3CB7" w:rsidRPr="0003106C">
        <w:rPr>
          <w:sz w:val="26"/>
          <w:szCs w:val="26"/>
        </w:rPr>
        <w:t>ā</w:t>
      </w:r>
      <w:r w:rsidR="00C511AB" w:rsidRPr="0003106C">
        <w:rPr>
          <w:sz w:val="26"/>
          <w:szCs w:val="26"/>
        </w:rPr>
        <w:t>;</w:t>
      </w:r>
    </w:p>
    <w:p w:rsidR="00C511AB" w:rsidRPr="0003106C" w:rsidRDefault="00896CD2" w:rsidP="00FA0B27">
      <w:pPr>
        <w:numPr>
          <w:ilvl w:val="0"/>
          <w:numId w:val="2"/>
        </w:numPr>
        <w:ind w:left="851" w:hanging="284"/>
        <w:jc w:val="both"/>
        <w:rPr>
          <w:sz w:val="26"/>
          <w:szCs w:val="26"/>
        </w:rPr>
      </w:pPr>
      <w:r w:rsidRPr="0003106C">
        <w:rPr>
          <w:sz w:val="26"/>
          <w:szCs w:val="26"/>
        </w:rPr>
        <w:t>ā</w:t>
      </w:r>
      <w:r w:rsidR="00C511AB" w:rsidRPr="0003106C">
        <w:rPr>
          <w:sz w:val="26"/>
          <w:szCs w:val="26"/>
        </w:rPr>
        <w:t xml:space="preserve">rējā ekonomiskā pārstāvība un eksporta mārketings. </w:t>
      </w:r>
    </w:p>
    <w:p w:rsidR="00952C03" w:rsidRPr="0003106C" w:rsidRDefault="00952C03" w:rsidP="00C511AB">
      <w:pPr>
        <w:ind w:firstLine="360"/>
        <w:jc w:val="both"/>
        <w:rPr>
          <w:rFonts w:eastAsia="MS Mincho"/>
          <w:sz w:val="26"/>
          <w:szCs w:val="26"/>
        </w:rPr>
      </w:pPr>
    </w:p>
    <w:p w:rsidR="00CE5CAF" w:rsidRPr="0003106C" w:rsidRDefault="003C5928" w:rsidP="00D44504">
      <w:pPr>
        <w:spacing w:before="120"/>
        <w:ind w:firstLine="567"/>
        <w:jc w:val="both"/>
        <w:rPr>
          <w:sz w:val="26"/>
          <w:szCs w:val="26"/>
        </w:rPr>
      </w:pPr>
      <w:r w:rsidRPr="0003106C">
        <w:rPr>
          <w:sz w:val="26"/>
          <w:szCs w:val="26"/>
        </w:rPr>
        <w:t xml:space="preserve">Eksporta atbalsta pakalpojumi komersantiem tiek piedāvāti atkarībā no to gatavības eksportēt vai eksportspējas. </w:t>
      </w:r>
      <w:r w:rsidR="00BF3842" w:rsidRPr="0003106C">
        <w:rPr>
          <w:sz w:val="26"/>
          <w:szCs w:val="26"/>
        </w:rPr>
        <w:t xml:space="preserve">Bez Ekonomikas ministrijas – LIAA eksporta atbalsta pakalpojumus </w:t>
      </w:r>
      <w:r w:rsidR="002E5853" w:rsidRPr="0003106C">
        <w:rPr>
          <w:sz w:val="26"/>
          <w:szCs w:val="26"/>
        </w:rPr>
        <w:t>(</w:t>
      </w:r>
      <w:r w:rsidR="001F5FD1" w:rsidRPr="0003106C">
        <w:rPr>
          <w:sz w:val="26"/>
          <w:szCs w:val="26"/>
        </w:rPr>
        <w:t>papildus informāciju skat. arī 7</w:t>
      </w:r>
      <w:r w:rsidR="002E5853" w:rsidRPr="0003106C">
        <w:rPr>
          <w:sz w:val="26"/>
          <w:szCs w:val="26"/>
        </w:rPr>
        <w:t xml:space="preserve">.pielikumā) </w:t>
      </w:r>
      <w:r w:rsidR="001325D6" w:rsidRPr="0003106C">
        <w:rPr>
          <w:sz w:val="26"/>
          <w:szCs w:val="26"/>
        </w:rPr>
        <w:t xml:space="preserve">bez maksas </w:t>
      </w:r>
      <w:r w:rsidR="00BF3842" w:rsidRPr="0003106C">
        <w:rPr>
          <w:sz w:val="26"/>
          <w:szCs w:val="26"/>
        </w:rPr>
        <w:t>sniedz arī Zemkopības ministrija, Satiksmes m</w:t>
      </w:r>
      <w:r w:rsidR="00EA01E8" w:rsidRPr="0003106C">
        <w:rPr>
          <w:sz w:val="26"/>
          <w:szCs w:val="26"/>
        </w:rPr>
        <w:t>inistrija, Veselības ministrija,</w:t>
      </w:r>
      <w:r w:rsidR="00BF3842" w:rsidRPr="0003106C">
        <w:rPr>
          <w:sz w:val="26"/>
          <w:szCs w:val="26"/>
        </w:rPr>
        <w:t xml:space="preserve"> Iz</w:t>
      </w:r>
      <w:r w:rsidR="00EA01E8" w:rsidRPr="0003106C">
        <w:rPr>
          <w:sz w:val="26"/>
          <w:szCs w:val="26"/>
        </w:rPr>
        <w:t>glītības un zinātnes ministrija</w:t>
      </w:r>
      <w:r w:rsidR="00BF3842" w:rsidRPr="0003106C">
        <w:rPr>
          <w:sz w:val="26"/>
          <w:szCs w:val="26"/>
        </w:rPr>
        <w:t>, kas</w:t>
      </w:r>
      <w:r w:rsidR="00392AAB" w:rsidRPr="0003106C">
        <w:rPr>
          <w:sz w:val="26"/>
          <w:szCs w:val="26"/>
        </w:rPr>
        <w:t xml:space="preserve"> </w:t>
      </w:r>
      <w:r w:rsidR="00BF3842" w:rsidRPr="0003106C">
        <w:rPr>
          <w:sz w:val="26"/>
          <w:szCs w:val="26"/>
        </w:rPr>
        <w:t xml:space="preserve">izstrādā un īsteno eksporta veicināšanas politiku savā atbildībā esošo nozaru eksportspējas celšanai, izmantojot gan valsts, gan Eiropas Savienības fondu ietvaros pieejamos finanšu resursus. </w:t>
      </w:r>
      <w:r w:rsidR="00C97149" w:rsidRPr="0003106C">
        <w:rPr>
          <w:sz w:val="26"/>
          <w:szCs w:val="26"/>
        </w:rPr>
        <w:t xml:space="preserve">Eksporta atbalsta pasākumus īsteno arī Ārlietu ministrija, izmantojot </w:t>
      </w:r>
      <w:r w:rsidR="000744B7" w:rsidRPr="0003106C">
        <w:rPr>
          <w:sz w:val="26"/>
          <w:szCs w:val="26"/>
        </w:rPr>
        <w:t>Latvijas diplomātiskās un konsulārās pārstāvniecības</w:t>
      </w:r>
      <w:r w:rsidR="00CE5CAF" w:rsidRPr="0003106C">
        <w:rPr>
          <w:sz w:val="26"/>
          <w:szCs w:val="26"/>
        </w:rPr>
        <w:t>, kā arī uzņēmējus pārstāvošās organizācijas (LTRK, LDDK, nozaru asociācijas, u.c.), konsultāciju uzņēmumi</w:t>
      </w:r>
      <w:r w:rsidR="007E2707" w:rsidRPr="0003106C">
        <w:rPr>
          <w:sz w:val="26"/>
          <w:szCs w:val="26"/>
        </w:rPr>
        <w:t xml:space="preserve">, </w:t>
      </w:r>
      <w:r w:rsidR="007E2707" w:rsidRPr="0003106C">
        <w:rPr>
          <w:bCs/>
          <w:sz w:val="26"/>
          <w:szCs w:val="26"/>
        </w:rPr>
        <w:t>Latvijas Garantiju aģentūra, sedzot ar eksporta darījumiem saistītos politiskos un komerciālos riskus</w:t>
      </w:r>
      <w:r w:rsidR="00392AAB" w:rsidRPr="0003106C">
        <w:rPr>
          <w:sz w:val="26"/>
          <w:szCs w:val="26"/>
        </w:rPr>
        <w:t xml:space="preserve"> </w:t>
      </w:r>
      <w:r w:rsidR="00CE5CAF" w:rsidRPr="0003106C">
        <w:rPr>
          <w:sz w:val="26"/>
          <w:szCs w:val="26"/>
        </w:rPr>
        <w:t>u.c.</w:t>
      </w:r>
    </w:p>
    <w:p w:rsidR="003230AC" w:rsidRPr="0003106C" w:rsidRDefault="003230AC" w:rsidP="001255DC">
      <w:pPr>
        <w:ind w:firstLine="567"/>
        <w:jc w:val="both"/>
        <w:rPr>
          <w:sz w:val="26"/>
          <w:szCs w:val="26"/>
        </w:rPr>
      </w:pPr>
    </w:p>
    <w:p w:rsidR="00117755" w:rsidRPr="0003106C" w:rsidRDefault="00117755" w:rsidP="00117755">
      <w:pPr>
        <w:ind w:firstLine="567"/>
        <w:jc w:val="both"/>
        <w:rPr>
          <w:sz w:val="26"/>
          <w:szCs w:val="26"/>
        </w:rPr>
      </w:pPr>
      <w:r w:rsidRPr="0003106C">
        <w:rPr>
          <w:b/>
          <w:sz w:val="26"/>
          <w:szCs w:val="26"/>
        </w:rPr>
        <w:t>Komersantiem, kuri vēl tikai domā uzsākt eksportu</w:t>
      </w:r>
      <w:r w:rsidRPr="0003106C">
        <w:rPr>
          <w:sz w:val="26"/>
          <w:szCs w:val="26"/>
        </w:rPr>
        <w:t>, bet nav tam gatavi</w:t>
      </w:r>
      <w:r w:rsidR="0008720D" w:rsidRPr="0003106C">
        <w:rPr>
          <w:sz w:val="26"/>
          <w:szCs w:val="26"/>
        </w:rPr>
        <w:t xml:space="preserve"> tiek piedāvāts</w:t>
      </w:r>
      <w:r w:rsidRPr="0003106C">
        <w:rPr>
          <w:sz w:val="26"/>
          <w:szCs w:val="26"/>
        </w:rPr>
        <w:t>:</w:t>
      </w:r>
    </w:p>
    <w:p w:rsidR="00117755" w:rsidRPr="0003106C" w:rsidRDefault="00117755" w:rsidP="00FA0B27">
      <w:pPr>
        <w:numPr>
          <w:ilvl w:val="0"/>
          <w:numId w:val="2"/>
        </w:numPr>
        <w:ind w:left="851" w:hanging="284"/>
        <w:jc w:val="both"/>
        <w:rPr>
          <w:sz w:val="26"/>
          <w:szCs w:val="26"/>
        </w:rPr>
      </w:pPr>
      <w:r w:rsidRPr="0003106C">
        <w:rPr>
          <w:sz w:val="26"/>
          <w:szCs w:val="26"/>
        </w:rPr>
        <w:t>apmeklēt informatīvos eksporta apmācību seminārus un seminārus par ārējiem tirgiem</w:t>
      </w:r>
      <w:r w:rsidR="008546AC" w:rsidRPr="0003106C">
        <w:rPr>
          <w:sz w:val="26"/>
          <w:szCs w:val="26"/>
        </w:rPr>
        <w:t>;</w:t>
      </w:r>
      <w:r w:rsidRPr="0003106C">
        <w:rPr>
          <w:sz w:val="26"/>
          <w:szCs w:val="26"/>
        </w:rPr>
        <w:t xml:space="preserve"> </w:t>
      </w:r>
    </w:p>
    <w:p w:rsidR="00117755" w:rsidRPr="0003106C" w:rsidRDefault="00117755" w:rsidP="00FA0B27">
      <w:pPr>
        <w:numPr>
          <w:ilvl w:val="0"/>
          <w:numId w:val="2"/>
        </w:numPr>
        <w:ind w:left="851" w:hanging="284"/>
        <w:jc w:val="both"/>
        <w:rPr>
          <w:sz w:val="26"/>
          <w:szCs w:val="26"/>
        </w:rPr>
      </w:pPr>
      <w:r w:rsidRPr="0003106C">
        <w:rPr>
          <w:sz w:val="26"/>
          <w:szCs w:val="26"/>
        </w:rPr>
        <w:t>izmantot LIAA sagatavotos eksportprasmju mācību materiālus</w:t>
      </w:r>
      <w:r w:rsidR="008546AC" w:rsidRPr="0003106C">
        <w:rPr>
          <w:sz w:val="26"/>
          <w:szCs w:val="26"/>
        </w:rPr>
        <w:t>;</w:t>
      </w:r>
      <w:r w:rsidRPr="0003106C">
        <w:rPr>
          <w:sz w:val="26"/>
          <w:szCs w:val="26"/>
        </w:rPr>
        <w:t xml:space="preserve"> </w:t>
      </w:r>
    </w:p>
    <w:p w:rsidR="00117755" w:rsidRPr="0003106C" w:rsidRDefault="0008720D" w:rsidP="00FA0B27">
      <w:pPr>
        <w:numPr>
          <w:ilvl w:val="0"/>
          <w:numId w:val="2"/>
        </w:numPr>
        <w:ind w:left="851" w:hanging="284"/>
        <w:jc w:val="both"/>
        <w:rPr>
          <w:sz w:val="26"/>
          <w:szCs w:val="26"/>
        </w:rPr>
      </w:pPr>
      <w:r w:rsidRPr="0003106C">
        <w:rPr>
          <w:sz w:val="26"/>
          <w:szCs w:val="26"/>
        </w:rPr>
        <w:lastRenderedPageBreak/>
        <w:t xml:space="preserve">izmantot </w:t>
      </w:r>
      <w:r w:rsidR="00CE5CAF" w:rsidRPr="0003106C">
        <w:rPr>
          <w:sz w:val="26"/>
          <w:szCs w:val="26"/>
        </w:rPr>
        <w:t xml:space="preserve">LIAA sagatavoto </w:t>
      </w:r>
      <w:r w:rsidR="00117755" w:rsidRPr="0003106C">
        <w:rPr>
          <w:sz w:val="26"/>
          <w:szCs w:val="26"/>
        </w:rPr>
        <w:t>informāciju par ārējiem tirgiem.</w:t>
      </w:r>
    </w:p>
    <w:p w:rsidR="00117755" w:rsidRPr="0003106C" w:rsidRDefault="00117755" w:rsidP="001255DC">
      <w:pPr>
        <w:ind w:firstLine="567"/>
        <w:jc w:val="both"/>
        <w:rPr>
          <w:b/>
          <w:bCs/>
          <w:sz w:val="26"/>
          <w:szCs w:val="26"/>
        </w:rPr>
      </w:pPr>
    </w:p>
    <w:p w:rsidR="00117755" w:rsidRPr="0003106C" w:rsidRDefault="00117755" w:rsidP="002E0E05">
      <w:pPr>
        <w:keepNext/>
        <w:ind w:firstLine="567"/>
        <w:jc w:val="both"/>
        <w:rPr>
          <w:b/>
          <w:bCs/>
          <w:sz w:val="26"/>
          <w:szCs w:val="26"/>
        </w:rPr>
      </w:pPr>
      <w:r w:rsidRPr="0003106C">
        <w:rPr>
          <w:b/>
          <w:bCs/>
          <w:sz w:val="26"/>
          <w:szCs w:val="26"/>
        </w:rPr>
        <w:t xml:space="preserve">Eksportspējīgiem komersantiem tiek piedāvāts: </w:t>
      </w:r>
    </w:p>
    <w:p w:rsidR="00117755" w:rsidRPr="0003106C" w:rsidRDefault="00954DAF" w:rsidP="00FA0B27">
      <w:pPr>
        <w:numPr>
          <w:ilvl w:val="0"/>
          <w:numId w:val="2"/>
        </w:numPr>
        <w:ind w:left="851" w:hanging="284"/>
        <w:jc w:val="both"/>
        <w:rPr>
          <w:sz w:val="26"/>
          <w:szCs w:val="26"/>
        </w:rPr>
      </w:pPr>
      <w:r w:rsidRPr="0003106C">
        <w:rPr>
          <w:sz w:val="26"/>
          <w:szCs w:val="26"/>
        </w:rPr>
        <w:t xml:space="preserve">Latvijas Ārējo ekonomisko pārstāvniecību </w:t>
      </w:r>
      <w:r w:rsidR="008546AC" w:rsidRPr="0003106C">
        <w:rPr>
          <w:sz w:val="26"/>
          <w:szCs w:val="26"/>
        </w:rPr>
        <w:t>pakalpojumi;</w:t>
      </w:r>
      <w:r w:rsidR="003C5928" w:rsidRPr="0003106C">
        <w:rPr>
          <w:sz w:val="26"/>
          <w:szCs w:val="26"/>
        </w:rPr>
        <w:t xml:space="preserve"> </w:t>
      </w:r>
    </w:p>
    <w:p w:rsidR="000744B7" w:rsidRPr="0003106C" w:rsidRDefault="000744B7" w:rsidP="00FA0B27">
      <w:pPr>
        <w:numPr>
          <w:ilvl w:val="0"/>
          <w:numId w:val="2"/>
        </w:numPr>
        <w:ind w:left="851" w:hanging="284"/>
        <w:jc w:val="both"/>
        <w:rPr>
          <w:sz w:val="26"/>
          <w:szCs w:val="26"/>
        </w:rPr>
      </w:pPr>
      <w:r w:rsidRPr="0003106C">
        <w:rPr>
          <w:sz w:val="26"/>
          <w:szCs w:val="26"/>
        </w:rPr>
        <w:t>Latvijas diplomātisk</w:t>
      </w:r>
      <w:r w:rsidR="00443304" w:rsidRPr="0003106C">
        <w:rPr>
          <w:sz w:val="26"/>
          <w:szCs w:val="26"/>
        </w:rPr>
        <w:t>o</w:t>
      </w:r>
      <w:r w:rsidRPr="0003106C">
        <w:rPr>
          <w:sz w:val="26"/>
          <w:szCs w:val="26"/>
        </w:rPr>
        <w:t xml:space="preserve"> un konsulār</w:t>
      </w:r>
      <w:r w:rsidR="00443304" w:rsidRPr="0003106C">
        <w:rPr>
          <w:sz w:val="26"/>
          <w:szCs w:val="26"/>
        </w:rPr>
        <w:t>o</w:t>
      </w:r>
      <w:r w:rsidRPr="0003106C">
        <w:rPr>
          <w:sz w:val="26"/>
          <w:szCs w:val="26"/>
        </w:rPr>
        <w:t xml:space="preserve"> pārstāvniecību pakalpojumi;</w:t>
      </w:r>
    </w:p>
    <w:p w:rsidR="00117755" w:rsidRPr="0003106C" w:rsidRDefault="003C5928" w:rsidP="00FA0B27">
      <w:pPr>
        <w:numPr>
          <w:ilvl w:val="0"/>
          <w:numId w:val="2"/>
        </w:numPr>
        <w:ind w:left="851" w:hanging="284"/>
        <w:jc w:val="both"/>
        <w:rPr>
          <w:sz w:val="26"/>
          <w:szCs w:val="26"/>
        </w:rPr>
      </w:pPr>
      <w:r w:rsidRPr="0003106C">
        <w:rPr>
          <w:sz w:val="26"/>
          <w:szCs w:val="26"/>
        </w:rPr>
        <w:t>dalība tirdzniecības misijās, indivi</w:t>
      </w:r>
      <w:r w:rsidR="001353DB" w:rsidRPr="0003106C">
        <w:rPr>
          <w:sz w:val="26"/>
          <w:szCs w:val="26"/>
        </w:rPr>
        <w:t>duālās biznesa vizītē</w:t>
      </w:r>
      <w:r w:rsidR="008546AC" w:rsidRPr="0003106C">
        <w:rPr>
          <w:sz w:val="26"/>
          <w:szCs w:val="26"/>
        </w:rPr>
        <w:t>s ārvalstī</w:t>
      </w:r>
      <w:r w:rsidR="001353DB" w:rsidRPr="0003106C">
        <w:rPr>
          <w:sz w:val="26"/>
          <w:szCs w:val="26"/>
        </w:rPr>
        <w:t>s</w:t>
      </w:r>
      <w:r w:rsidR="008546AC" w:rsidRPr="0003106C">
        <w:rPr>
          <w:sz w:val="26"/>
          <w:szCs w:val="26"/>
        </w:rPr>
        <w:t>;</w:t>
      </w:r>
      <w:r w:rsidRPr="0003106C">
        <w:rPr>
          <w:sz w:val="26"/>
          <w:szCs w:val="26"/>
        </w:rPr>
        <w:t xml:space="preserve"> </w:t>
      </w:r>
    </w:p>
    <w:p w:rsidR="006B00B4" w:rsidRPr="0003106C" w:rsidRDefault="000744B7" w:rsidP="00FA0B27">
      <w:pPr>
        <w:numPr>
          <w:ilvl w:val="0"/>
          <w:numId w:val="2"/>
        </w:numPr>
        <w:ind w:left="851" w:hanging="284"/>
        <w:jc w:val="both"/>
        <w:rPr>
          <w:sz w:val="26"/>
          <w:szCs w:val="26"/>
        </w:rPr>
      </w:pPr>
      <w:r w:rsidRPr="0003106C">
        <w:rPr>
          <w:sz w:val="26"/>
          <w:szCs w:val="26"/>
        </w:rPr>
        <w:t>dalība nacionālajos stendos</w:t>
      </w:r>
      <w:r w:rsidR="00CE5CAF" w:rsidRPr="0003106C">
        <w:rPr>
          <w:sz w:val="26"/>
          <w:szCs w:val="26"/>
        </w:rPr>
        <w:t xml:space="preserve"> starptautiskajās izstādēs</w:t>
      </w:r>
      <w:r w:rsidRPr="0003106C">
        <w:rPr>
          <w:sz w:val="26"/>
          <w:szCs w:val="26"/>
        </w:rPr>
        <w:t>.</w:t>
      </w:r>
    </w:p>
    <w:p w:rsidR="00A17FAA" w:rsidRPr="0003106C" w:rsidRDefault="00A17FAA" w:rsidP="00A17FAA">
      <w:pPr>
        <w:pStyle w:val="BodyTextIndent"/>
        <w:ind w:left="0" w:firstLine="567"/>
        <w:jc w:val="both"/>
        <w:rPr>
          <w:sz w:val="26"/>
          <w:szCs w:val="26"/>
        </w:rPr>
      </w:pPr>
    </w:p>
    <w:p w:rsidR="003230AC" w:rsidRPr="0003106C" w:rsidRDefault="003230AC" w:rsidP="003230AC">
      <w:pPr>
        <w:keepNext/>
        <w:spacing w:after="120"/>
        <w:ind w:firstLine="567"/>
        <w:jc w:val="both"/>
        <w:rPr>
          <w:sz w:val="26"/>
          <w:szCs w:val="26"/>
        </w:rPr>
      </w:pPr>
      <w:r w:rsidRPr="0003106C">
        <w:rPr>
          <w:sz w:val="26"/>
          <w:szCs w:val="26"/>
        </w:rPr>
        <w:t xml:space="preserve">Visiem komersantiem, kuri eksportē vai plāno uzsākt eksportu, informatīvais atbalsts tiek sniegts arī </w:t>
      </w:r>
      <w:r w:rsidR="006C13AB" w:rsidRPr="0003106C">
        <w:rPr>
          <w:sz w:val="26"/>
          <w:szCs w:val="26"/>
        </w:rPr>
        <w:t>caur</w:t>
      </w:r>
      <w:r w:rsidRPr="0003106C">
        <w:rPr>
          <w:sz w:val="26"/>
          <w:szCs w:val="26"/>
        </w:rPr>
        <w:t xml:space="preserve"> interneta mājas lapu, kurā regulāri tiek iekļauta aktualizēta</w:t>
      </w:r>
      <w:r w:rsidR="00A43BF1" w:rsidRPr="0003106C">
        <w:rPr>
          <w:sz w:val="26"/>
          <w:szCs w:val="26"/>
        </w:rPr>
        <w:t>,</w:t>
      </w:r>
      <w:r w:rsidRPr="0003106C">
        <w:rPr>
          <w:sz w:val="26"/>
          <w:szCs w:val="26"/>
        </w:rPr>
        <w:t xml:space="preserve"> pārskatāmi strukturēta informācija. </w:t>
      </w:r>
      <w:r w:rsidR="00607990" w:rsidRPr="0003106C">
        <w:rPr>
          <w:sz w:val="26"/>
          <w:szCs w:val="26"/>
        </w:rPr>
        <w:t>Šo mājas lapu</w:t>
      </w:r>
      <w:r w:rsidR="00CC264A" w:rsidRPr="0003106C">
        <w:rPr>
          <w:sz w:val="26"/>
          <w:szCs w:val="26"/>
        </w:rPr>
        <w:t xml:space="preserve">, kas ir vienota </w:t>
      </w:r>
      <w:r w:rsidR="003B3DAE" w:rsidRPr="0003106C">
        <w:rPr>
          <w:sz w:val="26"/>
          <w:szCs w:val="26"/>
        </w:rPr>
        <w:t xml:space="preserve">ar </w:t>
      </w:r>
      <w:r w:rsidR="00CC264A" w:rsidRPr="0003106C">
        <w:rPr>
          <w:sz w:val="26"/>
          <w:szCs w:val="26"/>
        </w:rPr>
        <w:t>Latvijas investīciju piesaistes mājas lap</w:t>
      </w:r>
      <w:r w:rsidR="00D06680" w:rsidRPr="0003106C">
        <w:rPr>
          <w:sz w:val="26"/>
          <w:szCs w:val="26"/>
        </w:rPr>
        <w:t>u</w:t>
      </w:r>
      <w:r w:rsidR="00CC264A" w:rsidRPr="0003106C">
        <w:rPr>
          <w:sz w:val="26"/>
          <w:szCs w:val="26"/>
        </w:rPr>
        <w:t xml:space="preserve">, </w:t>
      </w:r>
      <w:r w:rsidR="00607990" w:rsidRPr="0003106C">
        <w:rPr>
          <w:sz w:val="26"/>
          <w:szCs w:val="26"/>
        </w:rPr>
        <w:t>pilnveido un regulāri aktualizē LIAA</w:t>
      </w:r>
      <w:r w:rsidR="00CC264A" w:rsidRPr="0003106C">
        <w:rPr>
          <w:sz w:val="26"/>
          <w:szCs w:val="26"/>
        </w:rPr>
        <w:t xml:space="preserve"> (skatīt arī 4.3.5.sadaļā „V</w:t>
      </w:r>
      <w:r w:rsidRPr="0003106C">
        <w:rPr>
          <w:sz w:val="26"/>
          <w:szCs w:val="26"/>
        </w:rPr>
        <w:t>ienot</w:t>
      </w:r>
      <w:r w:rsidR="00774860" w:rsidRPr="0003106C">
        <w:rPr>
          <w:sz w:val="26"/>
          <w:szCs w:val="26"/>
        </w:rPr>
        <w:t>ā</w:t>
      </w:r>
      <w:r w:rsidRPr="0003106C">
        <w:rPr>
          <w:sz w:val="26"/>
          <w:szCs w:val="26"/>
        </w:rPr>
        <w:t xml:space="preserve"> informācijas sistēma – datu bāze</w:t>
      </w:r>
      <w:r w:rsidR="006B086C" w:rsidRPr="0003106C">
        <w:rPr>
          <w:sz w:val="26"/>
          <w:szCs w:val="26"/>
        </w:rPr>
        <w:t>”</w:t>
      </w:r>
      <w:r w:rsidR="00774860" w:rsidRPr="0003106C">
        <w:rPr>
          <w:sz w:val="26"/>
          <w:szCs w:val="26"/>
        </w:rPr>
        <w:t>)</w:t>
      </w:r>
      <w:r w:rsidR="003A530E" w:rsidRPr="0003106C">
        <w:rPr>
          <w:sz w:val="26"/>
          <w:szCs w:val="26"/>
        </w:rPr>
        <w:t>.</w:t>
      </w:r>
    </w:p>
    <w:p w:rsidR="00E43E74" w:rsidRPr="0003106C" w:rsidRDefault="002D191D" w:rsidP="00E43E74">
      <w:pPr>
        <w:spacing w:after="150"/>
        <w:ind w:firstLine="567"/>
        <w:jc w:val="both"/>
        <w:rPr>
          <w:sz w:val="26"/>
          <w:szCs w:val="26"/>
        </w:rPr>
      </w:pPr>
      <w:r w:rsidRPr="0003106C">
        <w:rPr>
          <w:sz w:val="26"/>
          <w:szCs w:val="26"/>
          <w:lang w:eastAsia="en-US"/>
        </w:rPr>
        <w:t>M</w:t>
      </w:r>
      <w:r w:rsidR="00E43E74" w:rsidRPr="0003106C">
        <w:rPr>
          <w:sz w:val="26"/>
          <w:szCs w:val="26"/>
          <w:lang w:eastAsia="en-US"/>
        </w:rPr>
        <w:t xml:space="preserve">ājas lapa ir </w:t>
      </w:r>
      <w:r w:rsidR="00E43E74" w:rsidRPr="0003106C">
        <w:rPr>
          <w:b/>
          <w:sz w:val="26"/>
          <w:szCs w:val="26"/>
          <w:lang w:eastAsia="en-US"/>
        </w:rPr>
        <w:t>vienota informācijas sistēma</w:t>
      </w:r>
      <w:r w:rsidR="00E43E74" w:rsidRPr="0003106C">
        <w:rPr>
          <w:sz w:val="26"/>
          <w:szCs w:val="26"/>
          <w:lang w:eastAsia="en-US"/>
        </w:rPr>
        <w:t xml:space="preserve"> gan Latvijas uzņēmumiem par ārvalstu tirgiem, gan ārvalstu kompānijām par biznesa vidi Latvijā un investīciju iespējām. </w:t>
      </w:r>
      <w:r w:rsidRPr="0003106C">
        <w:rPr>
          <w:sz w:val="26"/>
          <w:szCs w:val="26"/>
          <w:lang w:eastAsia="en-US"/>
        </w:rPr>
        <w:t>M</w:t>
      </w:r>
      <w:r w:rsidR="00E43E74" w:rsidRPr="0003106C">
        <w:rPr>
          <w:sz w:val="26"/>
          <w:szCs w:val="26"/>
          <w:lang w:eastAsia="en-US"/>
        </w:rPr>
        <w:t xml:space="preserve">ājas lapā sadaļā </w:t>
      </w:r>
      <w:r w:rsidR="00A43BF1" w:rsidRPr="0003106C">
        <w:rPr>
          <w:sz w:val="26"/>
          <w:szCs w:val="26"/>
          <w:lang w:eastAsia="en-US"/>
        </w:rPr>
        <w:t>„E</w:t>
      </w:r>
      <w:r w:rsidR="00E43E74" w:rsidRPr="0003106C">
        <w:rPr>
          <w:sz w:val="26"/>
          <w:szCs w:val="26"/>
          <w:lang w:eastAsia="en-US"/>
        </w:rPr>
        <w:t>ksportētājiem</w:t>
      </w:r>
      <w:r w:rsidR="00A43BF1" w:rsidRPr="0003106C">
        <w:rPr>
          <w:sz w:val="26"/>
          <w:szCs w:val="26"/>
          <w:lang w:eastAsia="en-US"/>
        </w:rPr>
        <w:t>”</w:t>
      </w:r>
      <w:r w:rsidR="00E43E74" w:rsidRPr="0003106C">
        <w:rPr>
          <w:sz w:val="26"/>
          <w:szCs w:val="26"/>
          <w:lang w:eastAsia="en-US"/>
        </w:rPr>
        <w:t xml:space="preserve"> ir strukturēta informācija par ārvalstu tirgiem, tai skaitā informācija par politisko sistēmu, uzņēmējdarbības vidi, ekonomiku, Latvijas sadarbību ar </w:t>
      </w:r>
      <w:r w:rsidR="003A530E" w:rsidRPr="0003106C">
        <w:rPr>
          <w:sz w:val="26"/>
          <w:szCs w:val="26"/>
          <w:lang w:eastAsia="en-US"/>
        </w:rPr>
        <w:t xml:space="preserve">konkrēto </w:t>
      </w:r>
      <w:r w:rsidR="00E43E74" w:rsidRPr="0003106C">
        <w:rPr>
          <w:sz w:val="26"/>
          <w:szCs w:val="26"/>
          <w:lang w:eastAsia="en-US"/>
        </w:rPr>
        <w:t xml:space="preserve">valsti. Valstu informācija tiek regulāri papildināta ar tirgus informāciju, pieejamiem pētījumiem, prezentācijām no semināriem par attiecīgo tirgu, galveno izstāžu sarakstu u.c. </w:t>
      </w:r>
      <w:r w:rsidRPr="0003106C">
        <w:rPr>
          <w:sz w:val="26"/>
          <w:szCs w:val="26"/>
          <w:lang w:eastAsia="en-US"/>
        </w:rPr>
        <w:t>M</w:t>
      </w:r>
      <w:r w:rsidR="00E43E74" w:rsidRPr="0003106C">
        <w:rPr>
          <w:sz w:val="26"/>
          <w:szCs w:val="26"/>
          <w:lang w:eastAsia="en-US"/>
        </w:rPr>
        <w:t>ājas lapā elektroniskā veidā ir pieejami prioritāro nozaru bukleti, kas ietver informāciju par eksportspējīgajiem nozares uzņēmumiem.</w:t>
      </w:r>
      <w:r w:rsidR="001A7FF0" w:rsidRPr="0003106C">
        <w:rPr>
          <w:sz w:val="26"/>
          <w:szCs w:val="26"/>
          <w:lang w:eastAsia="en-US"/>
        </w:rPr>
        <w:t xml:space="preserve"> </w:t>
      </w:r>
      <w:r w:rsidRPr="0003106C">
        <w:rPr>
          <w:sz w:val="26"/>
          <w:szCs w:val="26"/>
          <w:lang w:eastAsia="en-US"/>
        </w:rPr>
        <w:t>Mājas lapā ir saite uz ārējo tirdzniecības portālu</w:t>
      </w:r>
      <w:r w:rsidR="00E43E74" w:rsidRPr="0003106C">
        <w:rPr>
          <w:sz w:val="26"/>
          <w:szCs w:val="26"/>
          <w:lang w:eastAsia="en-US"/>
        </w:rPr>
        <w:t xml:space="preserve"> ExIm</w:t>
      </w:r>
      <w:r w:rsidRPr="0003106C">
        <w:rPr>
          <w:sz w:val="26"/>
          <w:szCs w:val="26"/>
          <w:lang w:eastAsia="en-US"/>
        </w:rPr>
        <w:t>, kurā</w:t>
      </w:r>
      <w:r w:rsidR="00E43E74" w:rsidRPr="0003106C">
        <w:rPr>
          <w:sz w:val="26"/>
          <w:szCs w:val="26"/>
          <w:lang w:eastAsia="en-US"/>
        </w:rPr>
        <w:t xml:space="preserve"> tiek izvietota visa informācija par eksporta veicināšanas aktivitātēm, pasākumiem Latvijā un </w:t>
      </w:r>
      <w:r w:rsidR="00A43BF1" w:rsidRPr="0003106C">
        <w:rPr>
          <w:sz w:val="26"/>
          <w:szCs w:val="26"/>
          <w:lang w:eastAsia="en-US"/>
        </w:rPr>
        <w:t>ārvalstī</w:t>
      </w:r>
      <w:r w:rsidR="00E43E74" w:rsidRPr="0003106C">
        <w:rPr>
          <w:sz w:val="26"/>
          <w:szCs w:val="26"/>
          <w:lang w:eastAsia="en-US"/>
        </w:rPr>
        <w:t xml:space="preserve">s, </w:t>
      </w:r>
      <w:r w:rsidR="008F46FD" w:rsidRPr="0003106C">
        <w:rPr>
          <w:sz w:val="26"/>
          <w:szCs w:val="26"/>
          <w:lang w:eastAsia="en-US"/>
        </w:rPr>
        <w:t>un kurā</w:t>
      </w:r>
      <w:r w:rsidR="00E43E74" w:rsidRPr="0003106C">
        <w:rPr>
          <w:sz w:val="26"/>
          <w:szCs w:val="26"/>
          <w:lang w:eastAsia="en-US"/>
        </w:rPr>
        <w:t xml:space="preserve"> tiek saņemta </w:t>
      </w:r>
      <w:r w:rsidR="00030A1A" w:rsidRPr="0003106C">
        <w:rPr>
          <w:sz w:val="26"/>
          <w:szCs w:val="26"/>
          <w:lang w:eastAsia="en-US"/>
        </w:rPr>
        <w:t xml:space="preserve">informācija </w:t>
      </w:r>
      <w:r w:rsidR="00E43E74" w:rsidRPr="0003106C">
        <w:rPr>
          <w:sz w:val="26"/>
          <w:szCs w:val="26"/>
          <w:lang w:eastAsia="en-US"/>
        </w:rPr>
        <w:t>no dažādām institūcijām un organizācijām</w:t>
      </w:r>
      <w:r w:rsidR="008F46FD" w:rsidRPr="0003106C">
        <w:rPr>
          <w:sz w:val="26"/>
          <w:szCs w:val="26"/>
          <w:lang w:eastAsia="en-US"/>
        </w:rPr>
        <w:t xml:space="preserve"> Latvijā un ārvalstīs</w:t>
      </w:r>
      <w:r w:rsidR="00E43E74" w:rsidRPr="0003106C">
        <w:rPr>
          <w:sz w:val="26"/>
          <w:szCs w:val="26"/>
          <w:lang w:eastAsia="en-US"/>
        </w:rPr>
        <w:t>, kā arī visi saņemtie biznesa piedāvājumi.</w:t>
      </w:r>
      <w:r w:rsidR="008F46FD" w:rsidRPr="0003106C">
        <w:rPr>
          <w:sz w:val="26"/>
          <w:szCs w:val="26"/>
        </w:rPr>
        <w:t xml:space="preserve"> </w:t>
      </w:r>
      <w:r w:rsidR="008F46FD" w:rsidRPr="0003106C">
        <w:rPr>
          <w:sz w:val="26"/>
          <w:szCs w:val="26"/>
          <w:lang w:eastAsia="en-US"/>
        </w:rPr>
        <w:t xml:space="preserve">Uzņēmumus var atlasīt gan pēc nozares, gan atslēgas vārdiem profilā, gan apgrozījuma un eksporta apjoma. </w:t>
      </w:r>
      <w:r w:rsidR="00E43E74" w:rsidRPr="0003106C">
        <w:rPr>
          <w:sz w:val="26"/>
          <w:szCs w:val="26"/>
          <w:lang w:eastAsia="en-US"/>
        </w:rPr>
        <w:t>Savukārt ārvalstu kompānijas mājas lapā var atrast izvērstu informāciju angļu</w:t>
      </w:r>
      <w:r w:rsidR="00A43BF1" w:rsidRPr="0003106C">
        <w:rPr>
          <w:sz w:val="26"/>
          <w:szCs w:val="26"/>
          <w:lang w:eastAsia="en-US"/>
        </w:rPr>
        <w:t xml:space="preserve"> (krievu, japāņu, ķīniešu</w:t>
      </w:r>
      <w:r w:rsidR="00E43E74" w:rsidRPr="0003106C">
        <w:rPr>
          <w:sz w:val="26"/>
          <w:szCs w:val="26"/>
          <w:lang w:eastAsia="en-US"/>
        </w:rPr>
        <w:t>)</w:t>
      </w:r>
      <w:r w:rsidR="00A43BF1" w:rsidRPr="0003106C">
        <w:rPr>
          <w:sz w:val="26"/>
          <w:szCs w:val="26"/>
          <w:lang w:eastAsia="en-US"/>
        </w:rPr>
        <w:t xml:space="preserve"> valodā</w:t>
      </w:r>
      <w:r w:rsidR="00E43E74" w:rsidRPr="0003106C">
        <w:rPr>
          <w:sz w:val="26"/>
          <w:szCs w:val="26"/>
          <w:lang w:eastAsia="en-US"/>
        </w:rPr>
        <w:t xml:space="preserve"> par Latvijas biznesa vidi, prioritāro nozaru konkurētspējas priekšrocībām, investīciju iespējām, </w:t>
      </w:r>
      <w:r w:rsidR="00E43E74" w:rsidRPr="0003106C">
        <w:rPr>
          <w:i/>
          <w:sz w:val="26"/>
          <w:szCs w:val="26"/>
          <w:lang w:eastAsia="en-US"/>
        </w:rPr>
        <w:t>„Business Guide”</w:t>
      </w:r>
      <w:r w:rsidR="00E43E74" w:rsidRPr="0003106C">
        <w:rPr>
          <w:sz w:val="26"/>
          <w:szCs w:val="26"/>
          <w:lang w:eastAsia="en-US"/>
        </w:rPr>
        <w:t xml:space="preserve">, </w:t>
      </w:r>
      <w:r w:rsidR="008F46FD" w:rsidRPr="0003106C">
        <w:rPr>
          <w:sz w:val="26"/>
          <w:szCs w:val="26"/>
          <w:lang w:eastAsia="en-US"/>
        </w:rPr>
        <w:t>īstenotajiem</w:t>
      </w:r>
      <w:r w:rsidR="00E43E74" w:rsidRPr="0003106C">
        <w:rPr>
          <w:sz w:val="26"/>
          <w:szCs w:val="26"/>
          <w:lang w:eastAsia="en-US"/>
        </w:rPr>
        <w:t xml:space="preserve"> investīciju projektiem, valsts atbalsta programmām investoriem.</w:t>
      </w:r>
      <w:r w:rsidR="008F46FD" w:rsidRPr="0003106C">
        <w:rPr>
          <w:sz w:val="26"/>
          <w:szCs w:val="26"/>
          <w:lang w:eastAsia="en-US"/>
        </w:rPr>
        <w:t xml:space="preserve"> </w:t>
      </w:r>
    </w:p>
    <w:p w:rsidR="00F758D3" w:rsidRPr="0003106C" w:rsidRDefault="00F758D3" w:rsidP="00A17FAA">
      <w:pPr>
        <w:pStyle w:val="BodyTextIndent"/>
        <w:ind w:left="0" w:firstLine="567"/>
        <w:jc w:val="both"/>
        <w:rPr>
          <w:sz w:val="26"/>
          <w:szCs w:val="26"/>
        </w:rPr>
      </w:pPr>
    </w:p>
    <w:p w:rsidR="0008720D" w:rsidRPr="0003106C" w:rsidRDefault="0008720D" w:rsidP="00916A50">
      <w:pPr>
        <w:keepNext/>
        <w:ind w:firstLine="567"/>
        <w:jc w:val="both"/>
        <w:rPr>
          <w:b/>
          <w:bCs/>
          <w:sz w:val="26"/>
          <w:szCs w:val="26"/>
        </w:rPr>
      </w:pPr>
      <w:r w:rsidRPr="0003106C">
        <w:rPr>
          <w:b/>
          <w:bCs/>
          <w:sz w:val="26"/>
          <w:szCs w:val="26"/>
        </w:rPr>
        <w:t>Latvijas Ārējās ekonomiskās pārstāvniecības</w:t>
      </w:r>
      <w:r w:rsidR="00F3189F" w:rsidRPr="0003106C">
        <w:rPr>
          <w:b/>
          <w:bCs/>
          <w:sz w:val="26"/>
          <w:szCs w:val="26"/>
        </w:rPr>
        <w:t xml:space="preserve"> un diplomātiskās un konsulārās pārstāvniecības ārvalstīs</w:t>
      </w:r>
    </w:p>
    <w:p w:rsidR="00916A50" w:rsidRPr="0003106C" w:rsidRDefault="00623898" w:rsidP="00916A50">
      <w:pPr>
        <w:pStyle w:val="NormalWeb"/>
        <w:spacing w:before="0" w:beforeAutospacing="0" w:after="0" w:afterAutospacing="0"/>
        <w:ind w:firstLine="567"/>
        <w:jc w:val="both"/>
        <w:rPr>
          <w:bCs/>
          <w:sz w:val="26"/>
          <w:szCs w:val="26"/>
          <w:lang w:eastAsia="en-US"/>
        </w:rPr>
      </w:pPr>
      <w:r w:rsidRPr="0003106C">
        <w:rPr>
          <w:bCs/>
          <w:sz w:val="26"/>
          <w:szCs w:val="26"/>
          <w:lang w:eastAsia="en-US"/>
        </w:rPr>
        <w:t xml:space="preserve">Viens no efektīvākajiem instrumentiem eksporta apjomu palielināšanai ir Latvijas Ārējās ekonomiskās pārstāvniecības un Latvijas diplomātiskās un konsulārās pārstāvniecības ārvalstīs. </w:t>
      </w:r>
      <w:r w:rsidR="00916A50" w:rsidRPr="0003106C">
        <w:rPr>
          <w:bCs/>
          <w:sz w:val="26"/>
          <w:szCs w:val="26"/>
          <w:lang w:eastAsia="en-US"/>
        </w:rPr>
        <w:t>Pašlaik ārvalstīs darbojas</w:t>
      </w:r>
      <w:r w:rsidR="00916A50" w:rsidRPr="0003106C">
        <w:rPr>
          <w:bCs/>
          <w:lang w:eastAsia="en-US"/>
        </w:rPr>
        <w:t xml:space="preserve"> </w:t>
      </w:r>
      <w:r w:rsidR="00916A50" w:rsidRPr="0003106C">
        <w:rPr>
          <w:bCs/>
          <w:sz w:val="26"/>
          <w:szCs w:val="26"/>
          <w:lang w:eastAsia="en-US"/>
        </w:rPr>
        <w:t xml:space="preserve">44 </w:t>
      </w:r>
      <w:r w:rsidR="00267761" w:rsidRPr="0003106C">
        <w:rPr>
          <w:bCs/>
          <w:sz w:val="26"/>
          <w:szCs w:val="26"/>
          <w:lang w:eastAsia="en-US"/>
        </w:rPr>
        <w:t xml:space="preserve">Latvijas </w:t>
      </w:r>
      <w:r w:rsidR="00916A50" w:rsidRPr="0003106C">
        <w:rPr>
          <w:bCs/>
          <w:sz w:val="26"/>
          <w:szCs w:val="26"/>
          <w:lang w:eastAsia="en-US"/>
        </w:rPr>
        <w:t>diplomātiskās un konsulārās pārstāvniecības: 35 vēstniecības; 6 pastāvīgās pārstāvniecības, 1 ģenerālkonsulāts</w:t>
      </w:r>
      <w:r w:rsidR="0035739C" w:rsidRPr="0003106C">
        <w:rPr>
          <w:bCs/>
          <w:sz w:val="26"/>
          <w:szCs w:val="26"/>
          <w:lang w:eastAsia="en-US"/>
        </w:rPr>
        <w:t xml:space="preserve"> un 2 konsulāti. Latvijai ir 140 goda konsuli un 13</w:t>
      </w:r>
      <w:r w:rsidR="00916A50" w:rsidRPr="0003106C">
        <w:rPr>
          <w:bCs/>
          <w:sz w:val="26"/>
          <w:szCs w:val="26"/>
          <w:lang w:eastAsia="en-US"/>
        </w:rPr>
        <w:t xml:space="preserve"> goda ģenerālkonsuli ārvalstīs, kuriem uzticēts veikt Latvijas valsti reprezentējošas un konsulārās funkcijas. Vēstniecību galvenās funkcijas ir politekonomisko attiecību uzturēšana valsts līmenī, sadarbība daudzpusējos formātos un politiskais lobijs problēmjautājumu risināšanā. </w:t>
      </w:r>
      <w:r w:rsidR="00916A50" w:rsidRPr="0003106C">
        <w:rPr>
          <w:bCs/>
          <w:sz w:val="26"/>
          <w:szCs w:val="26"/>
        </w:rPr>
        <w:t xml:space="preserve">Latvijas diplomātiskās un konsulārās pārstāvniecības ārvalstīs, it īpaši valstīs, kurās nav Latvijas Ārējās ekonomiskās pārstāvniecības, </w:t>
      </w:r>
      <w:r w:rsidR="00916A50" w:rsidRPr="0003106C">
        <w:rPr>
          <w:bCs/>
          <w:sz w:val="26"/>
          <w:szCs w:val="26"/>
          <w:lang w:eastAsia="en-US"/>
        </w:rPr>
        <w:t>veicina Latvijas uzņēmēju biznesa kontaktu veidošanu un sniedz atbalstu uzņēmumu ieiešanai tirgū</w:t>
      </w:r>
      <w:r w:rsidR="00CF2258" w:rsidRPr="0003106C">
        <w:rPr>
          <w:bCs/>
          <w:sz w:val="26"/>
          <w:szCs w:val="26"/>
          <w:lang w:eastAsia="en-US"/>
        </w:rPr>
        <w:t>, kā arī ārvalstu investīciju piesaistei.</w:t>
      </w:r>
    </w:p>
    <w:p w:rsidR="000B5860" w:rsidRPr="0003106C" w:rsidRDefault="00ED168B" w:rsidP="00916A50">
      <w:pPr>
        <w:pStyle w:val="BodyTextIndent"/>
        <w:keepNext/>
        <w:ind w:left="0" w:firstLine="567"/>
        <w:jc w:val="both"/>
        <w:rPr>
          <w:bCs/>
          <w:sz w:val="26"/>
          <w:szCs w:val="26"/>
        </w:rPr>
      </w:pPr>
      <w:r w:rsidRPr="0003106C">
        <w:rPr>
          <w:bCs/>
          <w:sz w:val="26"/>
          <w:szCs w:val="26"/>
        </w:rPr>
        <w:t>2012.gadā ārvalstīs darbojā</w:t>
      </w:r>
      <w:r w:rsidR="00623898" w:rsidRPr="0003106C">
        <w:rPr>
          <w:bCs/>
          <w:sz w:val="26"/>
          <w:szCs w:val="26"/>
        </w:rPr>
        <w:t xml:space="preserve">s </w:t>
      </w:r>
      <w:r w:rsidR="001255DC" w:rsidRPr="0003106C">
        <w:rPr>
          <w:bCs/>
          <w:sz w:val="26"/>
          <w:szCs w:val="26"/>
        </w:rPr>
        <w:t xml:space="preserve">13 </w:t>
      </w:r>
      <w:r w:rsidR="00BF3CB7" w:rsidRPr="0003106C">
        <w:rPr>
          <w:bCs/>
          <w:sz w:val="26"/>
          <w:szCs w:val="26"/>
        </w:rPr>
        <w:t>Latvijas Ārējās ekonomiskās pārstāvniecības</w:t>
      </w:r>
      <w:r w:rsidR="001255DC" w:rsidRPr="0003106C">
        <w:rPr>
          <w:bCs/>
          <w:sz w:val="26"/>
          <w:szCs w:val="26"/>
        </w:rPr>
        <w:t xml:space="preserve"> – </w:t>
      </w:r>
      <w:r w:rsidR="00623898" w:rsidRPr="0003106C">
        <w:rPr>
          <w:bCs/>
          <w:sz w:val="26"/>
          <w:szCs w:val="26"/>
        </w:rPr>
        <w:t xml:space="preserve">Apvienotajā Karalistē, Vācijā, Zviedrijā, Francijā, Nīderlandē, Norvēģijā, Dānijā, </w:t>
      </w:r>
      <w:r w:rsidR="00623898" w:rsidRPr="0003106C">
        <w:rPr>
          <w:bCs/>
          <w:sz w:val="26"/>
          <w:szCs w:val="26"/>
        </w:rPr>
        <w:lastRenderedPageBreak/>
        <w:t xml:space="preserve">Polijā, Japānā, </w:t>
      </w:r>
      <w:r w:rsidR="001255DC" w:rsidRPr="0003106C">
        <w:rPr>
          <w:bCs/>
          <w:sz w:val="26"/>
          <w:szCs w:val="26"/>
        </w:rPr>
        <w:t xml:space="preserve">Krievijā, Lietuvā, </w:t>
      </w:r>
      <w:r w:rsidR="00623898" w:rsidRPr="0003106C">
        <w:rPr>
          <w:bCs/>
          <w:sz w:val="26"/>
          <w:szCs w:val="26"/>
        </w:rPr>
        <w:t>Ukrainā</w:t>
      </w:r>
      <w:r w:rsidR="001255DC" w:rsidRPr="0003106C">
        <w:rPr>
          <w:bCs/>
          <w:sz w:val="26"/>
          <w:szCs w:val="26"/>
        </w:rPr>
        <w:t xml:space="preserve"> un Ķīnā</w:t>
      </w:r>
      <w:r w:rsidRPr="0003106C">
        <w:rPr>
          <w:bCs/>
          <w:sz w:val="26"/>
          <w:szCs w:val="26"/>
        </w:rPr>
        <w:t>, kā arī</w:t>
      </w:r>
      <w:r w:rsidR="00623898" w:rsidRPr="0003106C">
        <w:rPr>
          <w:bCs/>
          <w:sz w:val="26"/>
          <w:szCs w:val="26"/>
        </w:rPr>
        <w:t xml:space="preserve"> </w:t>
      </w:r>
      <w:r w:rsidR="00954DAF" w:rsidRPr="0003106C">
        <w:rPr>
          <w:bCs/>
          <w:sz w:val="26"/>
          <w:szCs w:val="26"/>
        </w:rPr>
        <w:t>2012.gad</w:t>
      </w:r>
      <w:r w:rsidRPr="0003106C">
        <w:rPr>
          <w:bCs/>
          <w:sz w:val="26"/>
          <w:szCs w:val="26"/>
        </w:rPr>
        <w:t xml:space="preserve">a otrajā pusē </w:t>
      </w:r>
      <w:r w:rsidR="00623898" w:rsidRPr="0003106C">
        <w:rPr>
          <w:bCs/>
          <w:sz w:val="26"/>
          <w:szCs w:val="26"/>
        </w:rPr>
        <w:t>darbu uzsāk</w:t>
      </w:r>
      <w:r w:rsidRPr="0003106C">
        <w:rPr>
          <w:bCs/>
          <w:sz w:val="26"/>
          <w:szCs w:val="26"/>
        </w:rPr>
        <w:t>a</w:t>
      </w:r>
      <w:r w:rsidR="00623898" w:rsidRPr="0003106C">
        <w:rPr>
          <w:bCs/>
          <w:sz w:val="26"/>
          <w:szCs w:val="26"/>
        </w:rPr>
        <w:t xml:space="preserve"> </w:t>
      </w:r>
      <w:r w:rsidR="0051213E" w:rsidRPr="0003106C">
        <w:rPr>
          <w:bCs/>
          <w:sz w:val="26"/>
          <w:szCs w:val="26"/>
        </w:rPr>
        <w:t>Latvijas Ārējā ekonomiskā p</w:t>
      </w:r>
      <w:r w:rsidR="001255DC" w:rsidRPr="0003106C">
        <w:rPr>
          <w:bCs/>
          <w:sz w:val="26"/>
          <w:szCs w:val="26"/>
        </w:rPr>
        <w:t>ārstāvniecība</w:t>
      </w:r>
      <w:r w:rsidR="00623898" w:rsidRPr="0003106C">
        <w:rPr>
          <w:bCs/>
          <w:sz w:val="26"/>
          <w:szCs w:val="26"/>
        </w:rPr>
        <w:t xml:space="preserve"> </w:t>
      </w:r>
      <w:r w:rsidR="001255DC" w:rsidRPr="0003106C">
        <w:rPr>
          <w:bCs/>
          <w:sz w:val="26"/>
          <w:szCs w:val="26"/>
        </w:rPr>
        <w:t>Baltkrievijā</w:t>
      </w:r>
      <w:r w:rsidR="00623898" w:rsidRPr="0003106C">
        <w:rPr>
          <w:bCs/>
          <w:sz w:val="26"/>
          <w:szCs w:val="26"/>
        </w:rPr>
        <w:t xml:space="preserve">. </w:t>
      </w:r>
      <w:r w:rsidR="0051213E" w:rsidRPr="0003106C">
        <w:rPr>
          <w:bCs/>
          <w:sz w:val="26"/>
          <w:szCs w:val="26"/>
        </w:rPr>
        <w:t>Latvijas Ārējo ekonomisko</w:t>
      </w:r>
      <w:r w:rsidR="0051213E" w:rsidRPr="0003106C">
        <w:rPr>
          <w:bCs/>
          <w:i/>
          <w:sz w:val="26"/>
          <w:szCs w:val="26"/>
        </w:rPr>
        <w:t xml:space="preserve"> </w:t>
      </w:r>
      <w:r w:rsidR="0051213E" w:rsidRPr="0003106C">
        <w:rPr>
          <w:bCs/>
          <w:sz w:val="26"/>
          <w:szCs w:val="26"/>
        </w:rPr>
        <w:t>p</w:t>
      </w:r>
      <w:r w:rsidR="00623898" w:rsidRPr="0003106C">
        <w:rPr>
          <w:bCs/>
          <w:sz w:val="26"/>
          <w:szCs w:val="26"/>
        </w:rPr>
        <w:t xml:space="preserve">ārstāvniecību </w:t>
      </w:r>
      <w:r w:rsidR="00954DAF" w:rsidRPr="0003106C">
        <w:rPr>
          <w:bCs/>
          <w:sz w:val="26"/>
          <w:szCs w:val="26"/>
        </w:rPr>
        <w:t xml:space="preserve">atvēršanas </w:t>
      </w:r>
      <w:r w:rsidR="00623898" w:rsidRPr="0003106C">
        <w:rPr>
          <w:bCs/>
          <w:sz w:val="26"/>
          <w:szCs w:val="26"/>
        </w:rPr>
        <w:t>valstu izvēle ir balstīta uz</w:t>
      </w:r>
      <w:r w:rsidR="00686E7C" w:rsidRPr="0003106C">
        <w:rPr>
          <w:bCs/>
          <w:sz w:val="26"/>
          <w:szCs w:val="26"/>
        </w:rPr>
        <w:t xml:space="preserve"> 4.3.5.sadaļā noteiktajiem kritērijiem</w:t>
      </w:r>
      <w:r w:rsidR="00030A1A" w:rsidRPr="0003106C">
        <w:rPr>
          <w:bCs/>
          <w:sz w:val="26"/>
          <w:szCs w:val="26"/>
        </w:rPr>
        <w:t>.</w:t>
      </w:r>
    </w:p>
    <w:p w:rsidR="00EF5E18" w:rsidRPr="0003106C" w:rsidRDefault="00623898" w:rsidP="000B5860">
      <w:pPr>
        <w:pStyle w:val="BodyTextIndent"/>
        <w:ind w:left="0" w:firstLine="567"/>
        <w:jc w:val="both"/>
        <w:rPr>
          <w:bCs/>
          <w:i/>
          <w:sz w:val="26"/>
          <w:szCs w:val="26"/>
        </w:rPr>
      </w:pPr>
      <w:r w:rsidRPr="0003106C">
        <w:rPr>
          <w:bCs/>
          <w:sz w:val="26"/>
          <w:szCs w:val="26"/>
        </w:rPr>
        <w:t xml:space="preserve">Būtiski ir turpināt </w:t>
      </w:r>
      <w:r w:rsidR="00EF5E18" w:rsidRPr="0003106C">
        <w:rPr>
          <w:bCs/>
          <w:sz w:val="26"/>
          <w:szCs w:val="26"/>
        </w:rPr>
        <w:t xml:space="preserve">vērtēt </w:t>
      </w:r>
      <w:r w:rsidR="00142B70" w:rsidRPr="0003106C">
        <w:rPr>
          <w:bCs/>
          <w:sz w:val="26"/>
          <w:szCs w:val="26"/>
        </w:rPr>
        <w:t xml:space="preserve">Latvijas Ārējās ekonomisko pārstāvniecību </w:t>
      </w:r>
      <w:r w:rsidRPr="0003106C">
        <w:rPr>
          <w:bCs/>
          <w:sz w:val="26"/>
          <w:szCs w:val="26"/>
        </w:rPr>
        <w:t xml:space="preserve">tīkla </w:t>
      </w:r>
      <w:r w:rsidR="00EF5E18" w:rsidRPr="0003106C">
        <w:rPr>
          <w:bCs/>
          <w:sz w:val="26"/>
          <w:szCs w:val="26"/>
        </w:rPr>
        <w:t xml:space="preserve">darbības efektivitāti, nodrošinot </w:t>
      </w:r>
      <w:r w:rsidR="00200B99" w:rsidRPr="0003106C">
        <w:rPr>
          <w:bCs/>
          <w:sz w:val="26"/>
          <w:szCs w:val="26"/>
        </w:rPr>
        <w:t xml:space="preserve">pārstāvniecību </w:t>
      </w:r>
      <w:r w:rsidR="00EF5E18" w:rsidRPr="0003106C">
        <w:rPr>
          <w:bCs/>
          <w:sz w:val="26"/>
          <w:szCs w:val="26"/>
        </w:rPr>
        <w:t xml:space="preserve">darbību mērķa </w:t>
      </w:r>
      <w:r w:rsidR="00200B99" w:rsidRPr="0003106C">
        <w:rPr>
          <w:bCs/>
          <w:sz w:val="26"/>
          <w:szCs w:val="26"/>
        </w:rPr>
        <w:t>valstīs</w:t>
      </w:r>
      <w:r w:rsidR="00686E7C" w:rsidRPr="0003106C">
        <w:rPr>
          <w:bCs/>
          <w:sz w:val="26"/>
          <w:szCs w:val="26"/>
        </w:rPr>
        <w:t>.</w:t>
      </w:r>
      <w:r w:rsidR="00CA4C38" w:rsidRPr="0003106C">
        <w:rPr>
          <w:bCs/>
          <w:sz w:val="26"/>
          <w:szCs w:val="26"/>
        </w:rPr>
        <w:t xml:space="preserve"> </w:t>
      </w:r>
    </w:p>
    <w:p w:rsidR="00A17FAA" w:rsidRPr="0003106C" w:rsidRDefault="00A17FAA" w:rsidP="00EF5E18">
      <w:pPr>
        <w:pStyle w:val="BodyTextIndent"/>
        <w:ind w:left="0" w:firstLine="567"/>
        <w:jc w:val="both"/>
        <w:rPr>
          <w:sz w:val="26"/>
          <w:szCs w:val="26"/>
        </w:rPr>
      </w:pPr>
    </w:p>
    <w:p w:rsidR="0008720D" w:rsidRPr="0003106C" w:rsidRDefault="0008720D" w:rsidP="001255DC">
      <w:pPr>
        <w:ind w:firstLine="567"/>
        <w:jc w:val="both"/>
        <w:rPr>
          <w:b/>
          <w:sz w:val="26"/>
          <w:szCs w:val="26"/>
        </w:rPr>
      </w:pPr>
      <w:r w:rsidRPr="0003106C">
        <w:rPr>
          <w:b/>
          <w:sz w:val="26"/>
          <w:szCs w:val="26"/>
        </w:rPr>
        <w:t>Tirdzniecības misijas un individuālās vizītes</w:t>
      </w:r>
    </w:p>
    <w:p w:rsidR="00623898" w:rsidRPr="0003106C" w:rsidRDefault="00623898" w:rsidP="001255DC">
      <w:pPr>
        <w:ind w:firstLine="567"/>
        <w:jc w:val="both"/>
        <w:rPr>
          <w:bCs/>
          <w:sz w:val="26"/>
          <w:szCs w:val="26"/>
        </w:rPr>
      </w:pPr>
      <w:r w:rsidRPr="0003106C">
        <w:rPr>
          <w:sz w:val="26"/>
          <w:szCs w:val="26"/>
        </w:rPr>
        <w:t>L</w:t>
      </w:r>
      <w:r w:rsidRPr="0003106C">
        <w:rPr>
          <w:bCs/>
          <w:sz w:val="26"/>
          <w:szCs w:val="26"/>
        </w:rPr>
        <w:t xml:space="preserve">ai veicinātu komersantu piekļuvi eksporta tirgiem, tiek organizētas uzņēmēju </w:t>
      </w:r>
      <w:r w:rsidRPr="0003106C">
        <w:rPr>
          <w:b/>
          <w:bCs/>
          <w:sz w:val="26"/>
          <w:szCs w:val="26"/>
        </w:rPr>
        <w:t xml:space="preserve">tirdzniecības misijas </w:t>
      </w:r>
      <w:r w:rsidRPr="0003106C">
        <w:rPr>
          <w:bCs/>
          <w:sz w:val="26"/>
          <w:szCs w:val="26"/>
        </w:rPr>
        <w:t>uz ārvalstīm, kuru ietvaros tiek rīkoti biznesa forumi, semināri, komersantu apaļā galda tikšanās, kontaktbiržas, izstāžu apmeklējumi</w:t>
      </w:r>
      <w:r w:rsidR="00EA01E8" w:rsidRPr="0003106C">
        <w:rPr>
          <w:bCs/>
          <w:sz w:val="26"/>
          <w:szCs w:val="26"/>
        </w:rPr>
        <w:t>,</w:t>
      </w:r>
      <w:r w:rsidRPr="0003106C">
        <w:rPr>
          <w:bCs/>
          <w:sz w:val="26"/>
          <w:szCs w:val="26"/>
        </w:rPr>
        <w:t xml:space="preserve"> individuālas tikšanās ar potenciālajiem sadarbības partneriem, kā arī neformāli pasākumi. </w:t>
      </w:r>
      <w:r w:rsidRPr="0003106C">
        <w:rPr>
          <w:sz w:val="26"/>
          <w:szCs w:val="26"/>
        </w:rPr>
        <w:t xml:space="preserve">Komersantiem tiek organizētas individuālās tikšanās ar potenciālajiem partneriem, kas atbilst komersanta </w:t>
      </w:r>
      <w:r w:rsidR="001255DC" w:rsidRPr="0003106C">
        <w:rPr>
          <w:sz w:val="26"/>
          <w:szCs w:val="26"/>
        </w:rPr>
        <w:t>–</w:t>
      </w:r>
      <w:r w:rsidRPr="0003106C">
        <w:rPr>
          <w:sz w:val="26"/>
          <w:szCs w:val="26"/>
        </w:rPr>
        <w:t xml:space="preserve"> misijas dalībnieka profilam un iepriekš norādītajiem potenciālā sadarbības partnera kritērijiem.</w:t>
      </w:r>
    </w:p>
    <w:p w:rsidR="00623898" w:rsidRPr="0003106C" w:rsidRDefault="00623898" w:rsidP="001255DC">
      <w:pPr>
        <w:ind w:firstLine="567"/>
        <w:jc w:val="both"/>
        <w:rPr>
          <w:sz w:val="26"/>
          <w:szCs w:val="26"/>
        </w:rPr>
      </w:pPr>
      <w:r w:rsidRPr="0003106C">
        <w:rPr>
          <w:sz w:val="26"/>
          <w:szCs w:val="26"/>
        </w:rPr>
        <w:t>Balstoties uz nozares komersantu pieprasījuma analīzi par attiecīgo tirgu un veicot attiecīgā tirgus izpēti, tiek plānots, kurās valstīs atti</w:t>
      </w:r>
      <w:r w:rsidR="003565E6" w:rsidRPr="0003106C">
        <w:rPr>
          <w:sz w:val="26"/>
          <w:szCs w:val="26"/>
        </w:rPr>
        <w:t>ecīgās nozares komersantiem orga</w:t>
      </w:r>
      <w:r w:rsidRPr="0003106C">
        <w:rPr>
          <w:sz w:val="26"/>
          <w:szCs w:val="26"/>
        </w:rPr>
        <w:t>nizēt tirdzniecības misijas un ar kādu regularitāti.</w:t>
      </w:r>
      <w:r w:rsidR="003565E6" w:rsidRPr="0003106C">
        <w:rPr>
          <w:sz w:val="26"/>
          <w:szCs w:val="26"/>
        </w:rPr>
        <w:t xml:space="preserve"> </w:t>
      </w:r>
      <w:r w:rsidRPr="0003106C">
        <w:rPr>
          <w:sz w:val="26"/>
          <w:szCs w:val="26"/>
        </w:rPr>
        <w:t>Tirdzniecības misijas tiek organizētas vienas vai vairāku radniecīgu nozaru komersantiem atkarībā no komersantu vēlmēm. Tās tiek organizētas arī augstāko valsts amatpersonu ārvalstu vizīšu ietvaros (va</w:t>
      </w:r>
      <w:r w:rsidR="003565E6" w:rsidRPr="0003106C">
        <w:rPr>
          <w:sz w:val="26"/>
          <w:szCs w:val="26"/>
        </w:rPr>
        <w:t>irāku nozaru komersantiem), tādē</w:t>
      </w:r>
      <w:r w:rsidRPr="0003106C">
        <w:rPr>
          <w:sz w:val="26"/>
          <w:szCs w:val="26"/>
        </w:rPr>
        <w:t>jādi</w:t>
      </w:r>
      <w:r w:rsidR="003565E6" w:rsidRPr="0003106C">
        <w:rPr>
          <w:sz w:val="26"/>
          <w:szCs w:val="26"/>
        </w:rPr>
        <w:t>,</w:t>
      </w:r>
      <w:r w:rsidRPr="0003106C">
        <w:rPr>
          <w:sz w:val="26"/>
          <w:szCs w:val="26"/>
        </w:rPr>
        <w:t xml:space="preserve"> iegūstot daudz lielāku </w:t>
      </w:r>
      <w:r w:rsidR="00EA01E8" w:rsidRPr="0003106C">
        <w:rPr>
          <w:sz w:val="26"/>
          <w:szCs w:val="26"/>
        </w:rPr>
        <w:t>nozīmi</w:t>
      </w:r>
      <w:r w:rsidRPr="0003106C">
        <w:rPr>
          <w:sz w:val="26"/>
          <w:szCs w:val="26"/>
        </w:rPr>
        <w:t xml:space="preserve"> no ārvalstu komersantu skatu punkta.</w:t>
      </w:r>
    </w:p>
    <w:p w:rsidR="00623898" w:rsidRPr="0003106C" w:rsidRDefault="00623898" w:rsidP="001255DC">
      <w:pPr>
        <w:ind w:firstLine="567"/>
        <w:jc w:val="both"/>
        <w:rPr>
          <w:sz w:val="26"/>
          <w:szCs w:val="26"/>
        </w:rPr>
      </w:pPr>
      <w:r w:rsidRPr="0003106C">
        <w:rPr>
          <w:sz w:val="26"/>
          <w:szCs w:val="26"/>
        </w:rPr>
        <w:t>Atbilstoši komers</w:t>
      </w:r>
      <w:r w:rsidR="00287778" w:rsidRPr="0003106C">
        <w:rPr>
          <w:sz w:val="26"/>
          <w:szCs w:val="26"/>
        </w:rPr>
        <w:t>a</w:t>
      </w:r>
      <w:r w:rsidRPr="0003106C">
        <w:rPr>
          <w:sz w:val="26"/>
          <w:szCs w:val="26"/>
        </w:rPr>
        <w:t xml:space="preserve">ntu tiešam pieprasījumam tiek organizētas </w:t>
      </w:r>
      <w:r w:rsidRPr="0003106C">
        <w:rPr>
          <w:b/>
          <w:sz w:val="26"/>
          <w:szCs w:val="26"/>
        </w:rPr>
        <w:t>komersantu individuālās biznesa vizītes ārvalstīs</w:t>
      </w:r>
      <w:r w:rsidRPr="0003106C">
        <w:rPr>
          <w:sz w:val="26"/>
          <w:szCs w:val="26"/>
        </w:rPr>
        <w:t xml:space="preserve"> – galvenokārt, tajās valstīs, kur atrodas </w:t>
      </w:r>
      <w:r w:rsidR="0051213E" w:rsidRPr="0003106C">
        <w:rPr>
          <w:sz w:val="26"/>
          <w:szCs w:val="26"/>
        </w:rPr>
        <w:t>Latvijas Ārējās ekonomiskās p</w:t>
      </w:r>
      <w:r w:rsidRPr="0003106C">
        <w:rPr>
          <w:sz w:val="26"/>
          <w:szCs w:val="26"/>
        </w:rPr>
        <w:t xml:space="preserve">ārstāvniecības vai </w:t>
      </w:r>
      <w:r w:rsidR="008536EA" w:rsidRPr="0003106C">
        <w:rPr>
          <w:bCs/>
          <w:sz w:val="26"/>
          <w:szCs w:val="26"/>
        </w:rPr>
        <w:t>Latvijas diplomātiskās un konsulārās pārstāvniecības ārvalstīs</w:t>
      </w:r>
      <w:r w:rsidRPr="0003106C">
        <w:rPr>
          <w:sz w:val="26"/>
          <w:szCs w:val="26"/>
        </w:rPr>
        <w:t xml:space="preserve">. LIAA darbinieki komersantam palīdz sagatavot uzņēmuma profilu, kas tiek </w:t>
      </w:r>
      <w:r w:rsidR="003565E6" w:rsidRPr="0003106C">
        <w:rPr>
          <w:sz w:val="26"/>
          <w:szCs w:val="26"/>
        </w:rPr>
        <w:t>no</w:t>
      </w:r>
      <w:r w:rsidRPr="0003106C">
        <w:rPr>
          <w:sz w:val="26"/>
          <w:szCs w:val="26"/>
        </w:rPr>
        <w:t>sūtīts potenciāla</w:t>
      </w:r>
      <w:r w:rsidR="003565E6" w:rsidRPr="0003106C">
        <w:rPr>
          <w:sz w:val="26"/>
          <w:szCs w:val="26"/>
        </w:rPr>
        <w:t xml:space="preserve">jiem partneriem, balstoties uz </w:t>
      </w:r>
      <w:r w:rsidRPr="0003106C">
        <w:rPr>
          <w:sz w:val="26"/>
          <w:szCs w:val="26"/>
        </w:rPr>
        <w:t xml:space="preserve">komersanta interesēm un prasībām, tiek izveidots potenciālo partneru saraksts, sadarbībā ar </w:t>
      </w:r>
      <w:r w:rsidR="0051213E" w:rsidRPr="0003106C">
        <w:rPr>
          <w:sz w:val="26"/>
          <w:szCs w:val="26"/>
        </w:rPr>
        <w:t>Latvijas Ārējo ekonomisko p</w:t>
      </w:r>
      <w:r w:rsidRPr="0003106C">
        <w:rPr>
          <w:sz w:val="26"/>
          <w:szCs w:val="26"/>
        </w:rPr>
        <w:t xml:space="preserve">ārstāvniecību vai </w:t>
      </w:r>
      <w:r w:rsidR="008536EA" w:rsidRPr="0003106C">
        <w:rPr>
          <w:bCs/>
          <w:sz w:val="26"/>
          <w:szCs w:val="26"/>
        </w:rPr>
        <w:t>Latvijas diplomātisko un konsulāro pārstāvniecību ārvalstīs</w:t>
      </w:r>
      <w:r w:rsidR="00456750" w:rsidRPr="0003106C">
        <w:rPr>
          <w:sz w:val="26"/>
          <w:szCs w:val="26"/>
        </w:rPr>
        <w:t xml:space="preserve"> </w:t>
      </w:r>
      <w:r w:rsidRPr="0003106C">
        <w:rPr>
          <w:sz w:val="26"/>
          <w:szCs w:val="26"/>
        </w:rPr>
        <w:t>tiek uzrunāti potenciālie partneri un sastādīta vizītes programma.</w:t>
      </w:r>
      <w:r w:rsidR="00287778" w:rsidRPr="0003106C">
        <w:rPr>
          <w:sz w:val="26"/>
          <w:szCs w:val="26"/>
        </w:rPr>
        <w:t xml:space="preserve"> </w:t>
      </w:r>
      <w:r w:rsidRPr="0003106C">
        <w:rPr>
          <w:sz w:val="26"/>
          <w:szCs w:val="26"/>
        </w:rPr>
        <w:t>Individuālās biznesa vizītes tiek organizētas eksportspējīgiem komersantiem. Komersantu galvenie ieguvumi</w:t>
      </w:r>
      <w:r w:rsidR="009336A8" w:rsidRPr="0003106C">
        <w:rPr>
          <w:sz w:val="26"/>
          <w:szCs w:val="26"/>
        </w:rPr>
        <w:t>,</w:t>
      </w:r>
      <w:r w:rsidRPr="0003106C">
        <w:rPr>
          <w:sz w:val="26"/>
          <w:szCs w:val="26"/>
        </w:rPr>
        <w:t xml:space="preserve"> dodoties individuālās vizītēs</w:t>
      </w:r>
      <w:r w:rsidR="009336A8" w:rsidRPr="0003106C">
        <w:rPr>
          <w:sz w:val="26"/>
          <w:szCs w:val="26"/>
        </w:rPr>
        <w:t>,</w:t>
      </w:r>
      <w:r w:rsidRPr="0003106C">
        <w:rPr>
          <w:sz w:val="26"/>
          <w:szCs w:val="26"/>
        </w:rPr>
        <w:t xml:space="preserve"> ir nepastarpināt</w:t>
      </w:r>
      <w:r w:rsidR="008546AC" w:rsidRPr="0003106C">
        <w:rPr>
          <w:sz w:val="26"/>
          <w:szCs w:val="26"/>
        </w:rPr>
        <w:t>a</w:t>
      </w:r>
      <w:r w:rsidRPr="0003106C">
        <w:rPr>
          <w:sz w:val="26"/>
          <w:szCs w:val="26"/>
        </w:rPr>
        <w:t xml:space="preserve"> vizīt</w:t>
      </w:r>
      <w:r w:rsidR="008546AC" w:rsidRPr="0003106C">
        <w:rPr>
          <w:sz w:val="26"/>
          <w:szCs w:val="26"/>
        </w:rPr>
        <w:t>e</w:t>
      </w:r>
      <w:r w:rsidRPr="0003106C">
        <w:rPr>
          <w:sz w:val="26"/>
          <w:szCs w:val="26"/>
        </w:rPr>
        <w:t xml:space="preserve"> pie potenciālajiem sadarbības partneriem, ietaupīti laika un līdzekļu resursi, iespēja saņemt kompetentu konsultāciju par interesējošo eksporta tirgu.</w:t>
      </w:r>
    </w:p>
    <w:p w:rsidR="0008720D" w:rsidRPr="0003106C" w:rsidRDefault="0008720D" w:rsidP="001255DC">
      <w:pPr>
        <w:ind w:firstLine="567"/>
        <w:jc w:val="both"/>
        <w:rPr>
          <w:b/>
          <w:sz w:val="26"/>
          <w:szCs w:val="26"/>
        </w:rPr>
      </w:pPr>
    </w:p>
    <w:p w:rsidR="0008720D" w:rsidRPr="0003106C" w:rsidRDefault="0008720D" w:rsidP="008536EA">
      <w:pPr>
        <w:keepNext/>
        <w:ind w:firstLine="567"/>
        <w:jc w:val="both"/>
        <w:rPr>
          <w:b/>
          <w:sz w:val="26"/>
          <w:szCs w:val="26"/>
        </w:rPr>
      </w:pPr>
      <w:r w:rsidRPr="0003106C">
        <w:rPr>
          <w:b/>
          <w:sz w:val="26"/>
          <w:szCs w:val="26"/>
        </w:rPr>
        <w:t>Nacionālie stendi</w:t>
      </w:r>
    </w:p>
    <w:p w:rsidR="00623898" w:rsidRPr="0003106C" w:rsidRDefault="00623898" w:rsidP="008536EA">
      <w:pPr>
        <w:keepNext/>
        <w:ind w:firstLine="567"/>
        <w:jc w:val="both"/>
        <w:rPr>
          <w:sz w:val="26"/>
          <w:szCs w:val="26"/>
        </w:rPr>
      </w:pPr>
      <w:r w:rsidRPr="0003106C">
        <w:rPr>
          <w:sz w:val="26"/>
          <w:szCs w:val="26"/>
        </w:rPr>
        <w:t>Lai demonstrētu dažādu nozaru potenciālu un iepazīstinātu ārvalstu kompānijas ar Latvijas produktu klāstu, piesaistot ES struktū</w:t>
      </w:r>
      <w:r w:rsidR="0032076B" w:rsidRPr="0003106C">
        <w:rPr>
          <w:sz w:val="26"/>
          <w:szCs w:val="26"/>
        </w:rPr>
        <w:t>rfondu finansējumu, 2011.-2013.</w:t>
      </w:r>
      <w:r w:rsidRPr="0003106C">
        <w:rPr>
          <w:sz w:val="26"/>
          <w:szCs w:val="26"/>
        </w:rPr>
        <w:t xml:space="preserve">gados tiek organizēti nacionālie stendi starptautiskajās nozaru izstādēs gan </w:t>
      </w:r>
      <w:r w:rsidR="00456750" w:rsidRPr="0003106C">
        <w:rPr>
          <w:sz w:val="26"/>
          <w:szCs w:val="26"/>
        </w:rPr>
        <w:t>ES</w:t>
      </w:r>
      <w:r w:rsidRPr="0003106C">
        <w:rPr>
          <w:sz w:val="26"/>
          <w:szCs w:val="26"/>
        </w:rPr>
        <w:t xml:space="preserve">, gan ārpus tās. Latvijas komersantiem tiek piedāvāta vieta nacionālajā stendā, kā arī sniegts atbalsts sagatavojoties izstādei, uzrunājot potenciālos partnerus, organizējot tikšanās un strādājot stendā. Valstis un izstādes, kurās organizēt nacionālos stendus, tiek izvēlētas sadarbībā ar nozaru asociācijām. Papildus minētajam, komersantiem, kuri piedalās starptautiskajās izstādēs ar saviem individuālajiem stendiem, atkarībā no pieprasījuma valstīs, kurās ir atvērtas </w:t>
      </w:r>
      <w:r w:rsidR="009336A8" w:rsidRPr="0003106C">
        <w:rPr>
          <w:sz w:val="26"/>
          <w:szCs w:val="26"/>
        </w:rPr>
        <w:t>Latvijas Ārējās ekonomiskās p</w:t>
      </w:r>
      <w:r w:rsidRPr="0003106C">
        <w:rPr>
          <w:sz w:val="26"/>
          <w:szCs w:val="26"/>
        </w:rPr>
        <w:t xml:space="preserve">ārstāvniecības, tiek sniegts atbalsts tiešā mārketinga </w:t>
      </w:r>
      <w:r w:rsidR="001255DC" w:rsidRPr="0003106C">
        <w:rPr>
          <w:sz w:val="26"/>
          <w:szCs w:val="26"/>
        </w:rPr>
        <w:t>īstenošanai</w:t>
      </w:r>
      <w:r w:rsidRPr="0003106C">
        <w:rPr>
          <w:sz w:val="26"/>
          <w:szCs w:val="26"/>
        </w:rPr>
        <w:t>.</w:t>
      </w:r>
    </w:p>
    <w:p w:rsidR="0008720D" w:rsidRPr="0003106C" w:rsidRDefault="0008720D" w:rsidP="004B56DF">
      <w:pPr>
        <w:ind w:firstLine="567"/>
        <w:jc w:val="both"/>
        <w:rPr>
          <w:b/>
          <w:sz w:val="26"/>
          <w:szCs w:val="26"/>
        </w:rPr>
      </w:pPr>
    </w:p>
    <w:p w:rsidR="0008720D" w:rsidRPr="0003106C" w:rsidRDefault="0008720D" w:rsidP="00216CDA">
      <w:pPr>
        <w:keepNext/>
        <w:ind w:firstLine="567"/>
        <w:jc w:val="both"/>
        <w:rPr>
          <w:b/>
          <w:sz w:val="26"/>
          <w:szCs w:val="26"/>
        </w:rPr>
      </w:pPr>
      <w:r w:rsidRPr="0003106C">
        <w:rPr>
          <w:b/>
          <w:sz w:val="26"/>
          <w:szCs w:val="26"/>
        </w:rPr>
        <w:lastRenderedPageBreak/>
        <w:t>Semināri par ārējiem tirgiem</w:t>
      </w:r>
    </w:p>
    <w:p w:rsidR="00623898" w:rsidRPr="0003106C" w:rsidRDefault="00623898" w:rsidP="00216CDA">
      <w:pPr>
        <w:keepNext/>
        <w:ind w:firstLine="567"/>
        <w:jc w:val="both"/>
        <w:rPr>
          <w:sz w:val="26"/>
          <w:szCs w:val="26"/>
        </w:rPr>
      </w:pPr>
      <w:r w:rsidRPr="0003106C">
        <w:rPr>
          <w:sz w:val="26"/>
          <w:szCs w:val="26"/>
        </w:rPr>
        <w:t>Lai mudinātu komersantus meklēt jaunus noieta tirgus, informētu par citu komersantu sekmīgu darbību esošajos tirgos, paplašinātu uzņēmēju zināšanas par būtiskiem jautājumiem eksportā un pilnveidot</w:t>
      </w:r>
      <w:r w:rsidR="009336A8" w:rsidRPr="0003106C">
        <w:rPr>
          <w:sz w:val="26"/>
          <w:szCs w:val="26"/>
        </w:rPr>
        <w:t>u</w:t>
      </w:r>
      <w:r w:rsidRPr="0003106C">
        <w:rPr>
          <w:sz w:val="26"/>
          <w:szCs w:val="26"/>
        </w:rPr>
        <w:t xml:space="preserve"> uzņēmēju zināšanas par veiksmīgu biznesa sadarbību, tiek org</w:t>
      </w:r>
      <w:r w:rsidR="00456750" w:rsidRPr="0003106C">
        <w:rPr>
          <w:sz w:val="26"/>
          <w:szCs w:val="26"/>
        </w:rPr>
        <w:t>anizēti informatīvi</w:t>
      </w:r>
      <w:r w:rsidRPr="0003106C">
        <w:rPr>
          <w:sz w:val="26"/>
          <w:szCs w:val="26"/>
        </w:rPr>
        <w:t xml:space="preserve"> semināri par ārējiem tirgiem, kuros tiek sniegta aktuālākā informācija par jaunumiem un tendencēm ārējos tirgos. Semināru valstu izvēle tiek balstīta uz pasaules attīstības tendencēm, </w:t>
      </w:r>
      <w:r w:rsidR="00307A40" w:rsidRPr="0003106C">
        <w:rPr>
          <w:sz w:val="26"/>
          <w:szCs w:val="26"/>
        </w:rPr>
        <w:t>aktualitātēm</w:t>
      </w:r>
      <w:r w:rsidRPr="0003106C">
        <w:rPr>
          <w:sz w:val="26"/>
          <w:szCs w:val="26"/>
        </w:rPr>
        <w:t xml:space="preserve">, plānotām tirdzniecības misijām, valsts augstāko </w:t>
      </w:r>
      <w:r w:rsidR="00FD0A42" w:rsidRPr="0003106C">
        <w:rPr>
          <w:sz w:val="26"/>
          <w:szCs w:val="26"/>
        </w:rPr>
        <w:t>amatpersonu</w:t>
      </w:r>
      <w:r w:rsidRPr="0003106C">
        <w:rPr>
          <w:sz w:val="26"/>
          <w:szCs w:val="26"/>
        </w:rPr>
        <w:t xml:space="preserve"> vizītēm ārvalstīs, ko pavadīs Latvijas komersantu biznesa delegācijas, lai jau pirms pasākuma komersanti tiktu sagat</w:t>
      </w:r>
      <w:r w:rsidR="003C5928" w:rsidRPr="0003106C">
        <w:rPr>
          <w:sz w:val="26"/>
          <w:szCs w:val="26"/>
        </w:rPr>
        <w:t>a</w:t>
      </w:r>
      <w:r w:rsidRPr="0003106C">
        <w:rPr>
          <w:sz w:val="26"/>
          <w:szCs w:val="26"/>
        </w:rPr>
        <w:t>voti plānotajai aktivitātei.</w:t>
      </w:r>
    </w:p>
    <w:p w:rsidR="00704125" w:rsidRPr="0003106C" w:rsidRDefault="00704125" w:rsidP="004B56DF">
      <w:pPr>
        <w:ind w:right="-143" w:firstLine="567"/>
        <w:jc w:val="both"/>
        <w:rPr>
          <w:sz w:val="26"/>
          <w:szCs w:val="26"/>
        </w:rPr>
      </w:pPr>
    </w:p>
    <w:p w:rsidR="004B56DF" w:rsidRPr="0003106C" w:rsidRDefault="007D46B0" w:rsidP="004B56DF">
      <w:pPr>
        <w:ind w:right="-143" w:firstLine="567"/>
        <w:jc w:val="both"/>
        <w:rPr>
          <w:b/>
          <w:sz w:val="26"/>
          <w:szCs w:val="26"/>
        </w:rPr>
      </w:pPr>
      <w:r w:rsidRPr="0003106C">
        <w:rPr>
          <w:b/>
          <w:sz w:val="26"/>
          <w:szCs w:val="26"/>
        </w:rPr>
        <w:t>K</w:t>
      </w:r>
      <w:r w:rsidR="004B56DF" w:rsidRPr="0003106C">
        <w:rPr>
          <w:b/>
          <w:sz w:val="26"/>
          <w:szCs w:val="26"/>
        </w:rPr>
        <w:t>lasteru veidošana</w:t>
      </w:r>
    </w:p>
    <w:p w:rsidR="009C125E" w:rsidRPr="0003106C" w:rsidRDefault="004B56DF" w:rsidP="004B56DF">
      <w:pPr>
        <w:ind w:right="-143" w:firstLine="567"/>
        <w:jc w:val="both"/>
        <w:rPr>
          <w:sz w:val="26"/>
          <w:szCs w:val="26"/>
        </w:rPr>
      </w:pPr>
      <w:r w:rsidRPr="0003106C">
        <w:rPr>
          <w:sz w:val="26"/>
          <w:szCs w:val="26"/>
        </w:rPr>
        <w:t>Starpnozaru sadarbība un klasteru attīstība, apvienojot resursus un zināšanas, nodrošina inovācijas straujāku attīstību un plašāku pielietošanu</w:t>
      </w:r>
      <w:r w:rsidR="00F36992" w:rsidRPr="0003106C">
        <w:rPr>
          <w:sz w:val="26"/>
          <w:szCs w:val="26"/>
        </w:rPr>
        <w:t>, veicina klasteru dalībnieku starptautisko atpazīstamību un iesaistīšanos starptautiskos sadarbības projektos</w:t>
      </w:r>
      <w:r w:rsidRPr="0003106C">
        <w:rPr>
          <w:sz w:val="26"/>
          <w:szCs w:val="26"/>
        </w:rPr>
        <w:t xml:space="preserve">. </w:t>
      </w:r>
      <w:r w:rsidR="00F36992" w:rsidRPr="0003106C">
        <w:rPr>
          <w:sz w:val="26"/>
          <w:szCs w:val="26"/>
        </w:rPr>
        <w:t xml:space="preserve">Klasteru ietvaros tiek </w:t>
      </w:r>
      <w:r w:rsidR="00307A40" w:rsidRPr="0003106C">
        <w:rPr>
          <w:sz w:val="26"/>
          <w:szCs w:val="26"/>
        </w:rPr>
        <w:t>sekmē</w:t>
      </w:r>
      <w:r w:rsidR="009336A8" w:rsidRPr="0003106C">
        <w:rPr>
          <w:sz w:val="26"/>
          <w:szCs w:val="26"/>
        </w:rPr>
        <w:t>ta</w:t>
      </w:r>
      <w:r w:rsidR="00307A40" w:rsidRPr="0003106C">
        <w:rPr>
          <w:sz w:val="26"/>
          <w:szCs w:val="26"/>
        </w:rPr>
        <w:t xml:space="preserve"> uzņēmumu specializācija jomās, kurās identificētas nozares konkurētspējas priekšrocības un kas orientētas uz produktu un pakalpojumu augstākas pievienotās vērtības radīšanu, kā arī iesaistīšan</w:t>
      </w:r>
      <w:r w:rsidR="009336A8" w:rsidRPr="0003106C">
        <w:rPr>
          <w:sz w:val="26"/>
          <w:szCs w:val="26"/>
        </w:rPr>
        <w:t>o</w:t>
      </w:r>
      <w:r w:rsidR="00307A40" w:rsidRPr="0003106C">
        <w:rPr>
          <w:sz w:val="26"/>
          <w:szCs w:val="26"/>
        </w:rPr>
        <w:t>s piegādes</w:t>
      </w:r>
      <w:r w:rsidR="00030A1A" w:rsidRPr="0003106C">
        <w:rPr>
          <w:sz w:val="26"/>
          <w:szCs w:val="26"/>
        </w:rPr>
        <w:t xml:space="preserve"> </w:t>
      </w:r>
      <w:r w:rsidR="00307A40" w:rsidRPr="0003106C">
        <w:rPr>
          <w:sz w:val="26"/>
          <w:szCs w:val="26"/>
        </w:rPr>
        <w:t>ķēdēs.</w:t>
      </w:r>
      <w:r w:rsidR="00F36992" w:rsidRPr="0003106C">
        <w:rPr>
          <w:sz w:val="26"/>
          <w:szCs w:val="26"/>
        </w:rPr>
        <w:t xml:space="preserve">  </w:t>
      </w:r>
      <w:r w:rsidR="00307A40" w:rsidRPr="0003106C">
        <w:rPr>
          <w:sz w:val="26"/>
          <w:szCs w:val="26"/>
        </w:rPr>
        <w:t xml:space="preserve"> </w:t>
      </w:r>
    </w:p>
    <w:p w:rsidR="00307A40" w:rsidRPr="0003106C" w:rsidRDefault="00307A40" w:rsidP="004B56DF">
      <w:pPr>
        <w:ind w:right="-143" w:firstLine="567"/>
        <w:jc w:val="both"/>
        <w:rPr>
          <w:sz w:val="26"/>
          <w:szCs w:val="26"/>
        </w:rPr>
      </w:pPr>
    </w:p>
    <w:p w:rsidR="0014193B" w:rsidRPr="0003106C" w:rsidRDefault="0014193B" w:rsidP="0014193B">
      <w:pPr>
        <w:keepNext/>
        <w:ind w:firstLine="567"/>
        <w:jc w:val="both"/>
        <w:rPr>
          <w:bCs/>
          <w:i/>
          <w:sz w:val="26"/>
          <w:szCs w:val="26"/>
        </w:rPr>
      </w:pPr>
      <w:r w:rsidRPr="0003106C">
        <w:rPr>
          <w:b/>
          <w:sz w:val="26"/>
          <w:szCs w:val="26"/>
        </w:rPr>
        <w:t>Pamatpakalpojumu klāsts</w:t>
      </w:r>
      <w:r w:rsidRPr="0003106C">
        <w:rPr>
          <w:sz w:val="26"/>
          <w:szCs w:val="26"/>
        </w:rPr>
        <w:t xml:space="preserve">, ko nodrošina valsts institūcijas – </w:t>
      </w:r>
      <w:r w:rsidRPr="0003106C">
        <w:rPr>
          <w:bCs/>
          <w:sz w:val="26"/>
          <w:szCs w:val="26"/>
        </w:rPr>
        <w:t xml:space="preserve">Latvijas Ārējās ekonomiskās pārstāvniecības un diplomātiskās un konsulārās pārstāvniecības ārvalstīs, ir sniedzams ārvalstīs, kurās ir efektīva un lietderīga to atrašanās un darbība. </w:t>
      </w:r>
      <w:r w:rsidR="00D71BFF" w:rsidRPr="0003106C">
        <w:rPr>
          <w:bCs/>
          <w:sz w:val="26"/>
          <w:szCs w:val="26"/>
        </w:rPr>
        <w:t>No valsts puses ir jānodrošina, ka tiek sagatavota vispusīga, analītiska un objektīva informācija par ārvalstu tirgiem. P</w:t>
      </w:r>
      <w:r w:rsidRPr="0003106C">
        <w:rPr>
          <w:bCs/>
          <w:sz w:val="26"/>
          <w:szCs w:val="26"/>
        </w:rPr>
        <w:t>akalpojumu īstenošana</w:t>
      </w:r>
      <w:r w:rsidR="00D71BFF" w:rsidRPr="0003106C">
        <w:rPr>
          <w:bCs/>
          <w:sz w:val="26"/>
          <w:szCs w:val="26"/>
        </w:rPr>
        <w:t>, kompetenču un atbildības sadalījums</w:t>
      </w:r>
      <w:r w:rsidRPr="0003106C">
        <w:rPr>
          <w:bCs/>
          <w:sz w:val="26"/>
          <w:szCs w:val="26"/>
        </w:rPr>
        <w:t xml:space="preserve"> vai </w:t>
      </w:r>
      <w:r w:rsidR="00D71BFF" w:rsidRPr="0003106C">
        <w:rPr>
          <w:bCs/>
          <w:sz w:val="26"/>
          <w:szCs w:val="26"/>
        </w:rPr>
        <w:t xml:space="preserve">to </w:t>
      </w:r>
      <w:r w:rsidRPr="0003106C">
        <w:rPr>
          <w:bCs/>
          <w:sz w:val="26"/>
          <w:szCs w:val="26"/>
        </w:rPr>
        <w:t>nodošana īstenošanai ārpakalpojumu sniedzējam ir izvērtējama no līdzšinējās īstenošanas pieredzes un iesaistīto pušu (EM, LIAA, ĀM, LTRK un LDDK) iespējām nodrošināt kvalitatīvus un efektīvus pakalpojumus</w:t>
      </w:r>
      <w:r w:rsidR="007B153D" w:rsidRPr="0003106C">
        <w:rPr>
          <w:bCs/>
          <w:sz w:val="26"/>
          <w:szCs w:val="26"/>
        </w:rPr>
        <w:t>, piemēram</w:t>
      </w:r>
      <w:r w:rsidR="00B658C8" w:rsidRPr="0003106C">
        <w:rPr>
          <w:bCs/>
          <w:sz w:val="26"/>
          <w:szCs w:val="26"/>
        </w:rPr>
        <w:t>,</w:t>
      </w:r>
      <w:r w:rsidRPr="0003106C">
        <w:rPr>
          <w:bCs/>
          <w:sz w:val="26"/>
          <w:szCs w:val="26"/>
        </w:rPr>
        <w:t xml:space="preserve"> kā ārpakalpojumi ir īstenojami semināri, tirgus apskatu un internetā iekļautās informācijas satura sagatavošanas un aktualizēšanas pakalpojumi, mārketinga aktivitātes Latvijas uzņēmēju un LIAA kā atbalsta punkta popularizēšanai u.c.</w:t>
      </w:r>
      <w:r w:rsidR="00D71BFF" w:rsidRPr="0003106C">
        <w:rPr>
          <w:bCs/>
          <w:i/>
          <w:sz w:val="26"/>
          <w:szCs w:val="26"/>
        </w:rPr>
        <w:t xml:space="preserve"> </w:t>
      </w:r>
    </w:p>
    <w:p w:rsidR="00E670B2" w:rsidRPr="0003106C" w:rsidRDefault="00E670B2" w:rsidP="00E670B2">
      <w:pPr>
        <w:pStyle w:val="PlainText"/>
        <w:ind w:firstLine="567"/>
        <w:jc w:val="both"/>
        <w:rPr>
          <w:rFonts w:ascii="Times New Roman" w:hAnsi="Times New Roman"/>
          <w:sz w:val="26"/>
          <w:szCs w:val="26"/>
          <w:lang w:eastAsia="en-US" w:bidi="ar-SA"/>
        </w:rPr>
      </w:pPr>
    </w:p>
    <w:p w:rsidR="001D596D" w:rsidRPr="0003106C" w:rsidRDefault="00955BBC" w:rsidP="001D596D">
      <w:pPr>
        <w:keepNext/>
        <w:keepLines/>
        <w:ind w:right="-143"/>
        <w:jc w:val="both"/>
        <w:rPr>
          <w:b/>
          <w:sz w:val="26"/>
          <w:szCs w:val="26"/>
        </w:rPr>
      </w:pPr>
      <w:r w:rsidRPr="0003106C">
        <w:rPr>
          <w:b/>
          <w:sz w:val="26"/>
          <w:szCs w:val="26"/>
        </w:rPr>
        <w:t>Būtiskākie u</w:t>
      </w:r>
      <w:r w:rsidR="001D596D" w:rsidRPr="0003106C">
        <w:rPr>
          <w:b/>
          <w:sz w:val="26"/>
          <w:szCs w:val="26"/>
        </w:rPr>
        <w:t>zdevumi:</w:t>
      </w:r>
    </w:p>
    <w:p w:rsidR="00200B99" w:rsidRPr="0003106C" w:rsidRDefault="00200B99" w:rsidP="006D0373">
      <w:pPr>
        <w:pStyle w:val="ListParagraph"/>
        <w:numPr>
          <w:ilvl w:val="0"/>
          <w:numId w:val="21"/>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Ekonomikas ministrijai</w:t>
      </w:r>
      <w:r w:rsidR="007B153D" w:rsidRPr="0003106C">
        <w:rPr>
          <w:rFonts w:ascii="Times New Roman" w:eastAsia="MS Mincho" w:hAnsi="Times New Roman"/>
          <w:sz w:val="26"/>
          <w:szCs w:val="26"/>
          <w:lang w:eastAsia="ja-JP"/>
        </w:rPr>
        <w:t>, LIAA</w:t>
      </w:r>
      <w:r w:rsidRPr="0003106C">
        <w:rPr>
          <w:rFonts w:ascii="Times New Roman" w:eastAsia="MS Mincho" w:hAnsi="Times New Roman"/>
          <w:sz w:val="26"/>
          <w:szCs w:val="26"/>
          <w:lang w:eastAsia="ja-JP"/>
        </w:rPr>
        <w:t xml:space="preserve"> nodrošināt Latvijas Ārējo ekonomisko pārstāvniecību tīkla darbību</w:t>
      </w:r>
      <w:r w:rsidR="007F4FE2" w:rsidRPr="0003106C">
        <w:rPr>
          <w:rFonts w:ascii="Times New Roman" w:eastAsia="MS Mincho" w:hAnsi="Times New Roman"/>
          <w:sz w:val="26"/>
          <w:szCs w:val="26"/>
          <w:lang w:eastAsia="ja-JP"/>
        </w:rPr>
        <w:t xml:space="preserve"> un paplašināšanos</w:t>
      </w:r>
      <w:r w:rsidRPr="0003106C">
        <w:rPr>
          <w:rFonts w:ascii="Times New Roman" w:eastAsia="MS Mincho" w:hAnsi="Times New Roman"/>
          <w:sz w:val="26"/>
          <w:szCs w:val="26"/>
          <w:lang w:eastAsia="ja-JP"/>
        </w:rPr>
        <w:t xml:space="preserve"> uzņēmējiem nozīmīgos eksporta tirgos, vienlaikus vērtējot tā efektivitāti.</w:t>
      </w:r>
    </w:p>
    <w:p w:rsidR="00200B99" w:rsidRPr="0003106C" w:rsidRDefault="00200B99" w:rsidP="006D0373">
      <w:pPr>
        <w:pStyle w:val="ListParagraph"/>
        <w:numPr>
          <w:ilvl w:val="0"/>
          <w:numId w:val="21"/>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Ekonomikas ministrijai</w:t>
      </w:r>
      <w:r w:rsidR="004D6D83" w:rsidRPr="0003106C">
        <w:rPr>
          <w:rFonts w:ascii="Times New Roman" w:eastAsia="MS Mincho" w:hAnsi="Times New Roman"/>
          <w:sz w:val="26"/>
          <w:szCs w:val="26"/>
          <w:lang w:eastAsia="ja-JP"/>
        </w:rPr>
        <w:t>, LI</w:t>
      </w:r>
      <w:r w:rsidR="00CE5CAF" w:rsidRPr="0003106C">
        <w:rPr>
          <w:rFonts w:ascii="Times New Roman" w:eastAsia="MS Mincho" w:hAnsi="Times New Roman"/>
          <w:sz w:val="26"/>
          <w:szCs w:val="26"/>
          <w:lang w:eastAsia="ja-JP"/>
        </w:rPr>
        <w:t>AA</w:t>
      </w:r>
      <w:r w:rsidRPr="0003106C">
        <w:rPr>
          <w:rFonts w:ascii="Times New Roman" w:eastAsia="MS Mincho" w:hAnsi="Times New Roman"/>
          <w:sz w:val="26"/>
          <w:szCs w:val="26"/>
          <w:lang w:eastAsia="ja-JP"/>
        </w:rPr>
        <w:t>, Ārlietu ministrijai</w:t>
      </w:r>
      <w:r w:rsidR="00D57279" w:rsidRPr="0003106C">
        <w:rPr>
          <w:rFonts w:ascii="Times New Roman" w:eastAsia="MS Mincho" w:hAnsi="Times New Roman"/>
          <w:sz w:val="26"/>
          <w:szCs w:val="26"/>
          <w:lang w:eastAsia="ja-JP"/>
        </w:rPr>
        <w:t xml:space="preserve"> </w:t>
      </w:r>
      <w:r w:rsidRPr="0003106C">
        <w:rPr>
          <w:rFonts w:ascii="Times New Roman" w:eastAsia="MS Mincho" w:hAnsi="Times New Roman"/>
          <w:sz w:val="26"/>
          <w:szCs w:val="26"/>
          <w:lang w:eastAsia="ja-JP"/>
        </w:rPr>
        <w:t xml:space="preserve">nodrošināt efektīvu sadarbību ar citām iesaistītajām institūcijām un uzņēmējus pārstāvošajām organizācijām eksporta atbalsta pasākumu </w:t>
      </w:r>
      <w:r w:rsidR="00CE5CAF" w:rsidRPr="0003106C">
        <w:rPr>
          <w:rFonts w:ascii="Times New Roman" w:eastAsia="MS Mincho" w:hAnsi="Times New Roman"/>
          <w:sz w:val="26"/>
          <w:szCs w:val="26"/>
          <w:lang w:eastAsia="ja-JP"/>
        </w:rPr>
        <w:t xml:space="preserve">plānošanā un </w:t>
      </w:r>
      <w:r w:rsidR="004D6D83" w:rsidRPr="0003106C">
        <w:rPr>
          <w:rFonts w:ascii="Times New Roman" w:eastAsia="MS Mincho" w:hAnsi="Times New Roman"/>
          <w:sz w:val="26"/>
          <w:szCs w:val="26"/>
          <w:lang w:eastAsia="ja-JP"/>
        </w:rPr>
        <w:t>īstenošanā.</w:t>
      </w:r>
    </w:p>
    <w:p w:rsidR="004B56DF" w:rsidRPr="0003106C" w:rsidRDefault="001D596D" w:rsidP="006D0373">
      <w:pPr>
        <w:pStyle w:val="ListParagraph"/>
        <w:numPr>
          <w:ilvl w:val="0"/>
          <w:numId w:val="21"/>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Ekonomikas ministrijai</w:t>
      </w:r>
      <w:r w:rsidR="00CE5CAF" w:rsidRPr="0003106C">
        <w:rPr>
          <w:rFonts w:ascii="Times New Roman" w:eastAsia="MS Mincho" w:hAnsi="Times New Roman"/>
          <w:sz w:val="26"/>
          <w:szCs w:val="26"/>
          <w:lang w:eastAsia="ja-JP"/>
        </w:rPr>
        <w:t>, LIAA</w:t>
      </w:r>
      <w:r w:rsidRPr="0003106C">
        <w:rPr>
          <w:rFonts w:ascii="Times New Roman" w:eastAsia="MS Mincho" w:hAnsi="Times New Roman"/>
          <w:sz w:val="26"/>
          <w:szCs w:val="26"/>
          <w:lang w:eastAsia="ja-JP"/>
        </w:rPr>
        <w:t xml:space="preserve"> </w:t>
      </w:r>
      <w:r w:rsidR="00BA1284" w:rsidRPr="0003106C">
        <w:rPr>
          <w:rFonts w:ascii="Times New Roman" w:eastAsia="MS Mincho" w:hAnsi="Times New Roman"/>
          <w:sz w:val="26"/>
          <w:szCs w:val="26"/>
          <w:lang w:eastAsia="ja-JP"/>
        </w:rPr>
        <w:t>un ĀM</w:t>
      </w:r>
      <w:r w:rsidR="00D57279" w:rsidRPr="0003106C">
        <w:rPr>
          <w:rFonts w:ascii="Times New Roman" w:eastAsia="MS Mincho" w:hAnsi="Times New Roman"/>
          <w:sz w:val="26"/>
          <w:szCs w:val="26"/>
          <w:lang w:eastAsia="ja-JP"/>
        </w:rPr>
        <w:t xml:space="preserve"> </w:t>
      </w:r>
      <w:r w:rsidRPr="0003106C">
        <w:rPr>
          <w:rFonts w:ascii="Times New Roman" w:eastAsia="MS Mincho" w:hAnsi="Times New Roman"/>
          <w:sz w:val="26"/>
          <w:szCs w:val="26"/>
          <w:lang w:eastAsia="ja-JP"/>
        </w:rPr>
        <w:t>nodrošināt  tiešos eksporta atbalsta pakalpo</w:t>
      </w:r>
      <w:r w:rsidR="00FF714D" w:rsidRPr="0003106C">
        <w:rPr>
          <w:rFonts w:ascii="Times New Roman" w:eastAsia="MS Mincho" w:hAnsi="Times New Roman"/>
          <w:sz w:val="26"/>
          <w:szCs w:val="26"/>
          <w:lang w:eastAsia="ja-JP"/>
        </w:rPr>
        <w:t>jumus Latvijas komersantiem.</w:t>
      </w:r>
    </w:p>
    <w:p w:rsidR="000D339D" w:rsidRPr="0003106C" w:rsidRDefault="000D339D" w:rsidP="000D339D">
      <w:pPr>
        <w:pStyle w:val="ListParagraph"/>
        <w:numPr>
          <w:ilvl w:val="0"/>
          <w:numId w:val="21"/>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LIAA organizēt uzņēmumu nacionālos stendus starptautiskajās izstādēs ārvalstīs.</w:t>
      </w:r>
    </w:p>
    <w:p w:rsidR="00EA4C9D" w:rsidRPr="0003106C" w:rsidRDefault="00EA4C9D" w:rsidP="00EA4C9D">
      <w:pPr>
        <w:pStyle w:val="ListParagraph"/>
        <w:numPr>
          <w:ilvl w:val="0"/>
          <w:numId w:val="21"/>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LIAA nodrošināt nepieciešamos informatīvos atbalsta pakalpojumus, tai skaitā  seminārus un konsultācijas, par ārējās tirdzniecības jautājumiem, kā arī uzturēt un pilnveidot LIAA mājas lapu eksportētājiem.</w:t>
      </w:r>
    </w:p>
    <w:p w:rsidR="00494919" w:rsidRPr="0003106C" w:rsidRDefault="000D339D" w:rsidP="00494919">
      <w:pPr>
        <w:pStyle w:val="ListParagraph"/>
        <w:numPr>
          <w:ilvl w:val="0"/>
          <w:numId w:val="21"/>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lastRenderedPageBreak/>
        <w:t>LIAA organizēt eksporta atbalsta pakalpojumus Latvijā – ārvalstu kompāniju, kas vēlas izvietot pasūtījumus vai pirkt Latv</w:t>
      </w:r>
      <w:r w:rsidR="00AD7173" w:rsidRPr="0003106C">
        <w:rPr>
          <w:rFonts w:ascii="Times New Roman" w:eastAsia="MS Mincho" w:hAnsi="Times New Roman"/>
          <w:sz w:val="26"/>
          <w:szCs w:val="26"/>
          <w:lang w:eastAsia="ja-JP"/>
        </w:rPr>
        <w:t>ijas produktus, vizītes Latvijā.</w:t>
      </w:r>
    </w:p>
    <w:p w:rsidR="00994F51" w:rsidRPr="0003106C" w:rsidRDefault="008C599A" w:rsidP="00494919">
      <w:pPr>
        <w:pStyle w:val="ListParagraph"/>
        <w:numPr>
          <w:ilvl w:val="0"/>
          <w:numId w:val="21"/>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Ekonomikas ministrijai, LIAA nodrošinā</w:t>
      </w:r>
      <w:r w:rsidR="00B658C8" w:rsidRPr="0003106C">
        <w:rPr>
          <w:rFonts w:ascii="Times New Roman" w:eastAsia="MS Mincho" w:hAnsi="Times New Roman"/>
          <w:sz w:val="26"/>
          <w:szCs w:val="26"/>
          <w:lang w:eastAsia="ja-JP"/>
        </w:rPr>
        <w:t>t Eiropas B</w:t>
      </w:r>
      <w:r w:rsidRPr="0003106C">
        <w:rPr>
          <w:rFonts w:ascii="Times New Roman" w:eastAsia="MS Mincho" w:hAnsi="Times New Roman"/>
          <w:sz w:val="26"/>
          <w:szCs w:val="26"/>
          <w:lang w:eastAsia="ja-JP"/>
        </w:rPr>
        <w:t>iznesa atbalsta tīkla (EEN) darbību. Par turpmāko tīkla darbības formāta paplašināšanu pēc 2014.gada jālemj pēc Eiropas Komisijas jauno nosacījumu attiecībā uz EEN tīkla administrēšanu definēšanas.</w:t>
      </w:r>
    </w:p>
    <w:p w:rsidR="00494919" w:rsidRPr="0003106C" w:rsidRDefault="00494919" w:rsidP="00494919">
      <w:pPr>
        <w:pStyle w:val="ListParagraph"/>
        <w:spacing w:after="80" w:line="240" w:lineRule="auto"/>
        <w:ind w:left="993"/>
        <w:contextualSpacing w:val="0"/>
        <w:jc w:val="both"/>
        <w:rPr>
          <w:rFonts w:ascii="Times New Roman" w:eastAsia="MS Mincho" w:hAnsi="Times New Roman"/>
          <w:sz w:val="26"/>
          <w:szCs w:val="26"/>
          <w:lang w:eastAsia="ja-JP"/>
        </w:rPr>
      </w:pPr>
    </w:p>
    <w:p w:rsidR="00E06E94" w:rsidRPr="0003106C" w:rsidRDefault="00073024" w:rsidP="00E06E94">
      <w:pPr>
        <w:pStyle w:val="Heading2"/>
        <w:tabs>
          <w:tab w:val="left" w:pos="851"/>
        </w:tabs>
        <w:autoSpaceDE w:val="0"/>
        <w:autoSpaceDN w:val="0"/>
        <w:adjustRightInd w:val="0"/>
        <w:spacing w:before="0"/>
        <w:ind w:left="360"/>
        <w:rPr>
          <w:rFonts w:ascii="Times New Roman" w:eastAsia="Calibri" w:hAnsi="Times New Roman" w:cs="Times New Roman"/>
          <w:bCs w:val="0"/>
          <w:i w:val="0"/>
          <w:iCs w:val="0"/>
          <w:sz w:val="26"/>
          <w:szCs w:val="26"/>
        </w:rPr>
      </w:pPr>
      <w:bookmarkStart w:id="15" w:name="_Toc355961037"/>
      <w:r w:rsidRPr="0003106C">
        <w:rPr>
          <w:rFonts w:ascii="Times New Roman" w:eastAsia="Calibri" w:hAnsi="Times New Roman" w:cs="Times New Roman"/>
          <w:bCs w:val="0"/>
          <w:i w:val="0"/>
          <w:iCs w:val="0"/>
          <w:sz w:val="26"/>
          <w:szCs w:val="26"/>
        </w:rPr>
        <w:t>4</w:t>
      </w:r>
      <w:r w:rsidR="00E06E94" w:rsidRPr="0003106C">
        <w:rPr>
          <w:rFonts w:ascii="Times New Roman" w:eastAsia="Calibri" w:hAnsi="Times New Roman" w:cs="Times New Roman"/>
          <w:bCs w:val="0"/>
          <w:i w:val="0"/>
          <w:iCs w:val="0"/>
          <w:sz w:val="26"/>
          <w:szCs w:val="26"/>
        </w:rPr>
        <w:t xml:space="preserve">.3. ĀTI </w:t>
      </w:r>
      <w:r w:rsidR="006B00B4" w:rsidRPr="0003106C">
        <w:rPr>
          <w:rFonts w:ascii="Times New Roman" w:eastAsia="Calibri" w:hAnsi="Times New Roman" w:cs="Times New Roman"/>
          <w:bCs w:val="0"/>
          <w:i w:val="0"/>
          <w:iCs w:val="0"/>
          <w:sz w:val="26"/>
          <w:szCs w:val="26"/>
        </w:rPr>
        <w:t>veicināšana</w:t>
      </w:r>
      <w:bookmarkEnd w:id="15"/>
    </w:p>
    <w:p w:rsidR="005C7669" w:rsidRPr="0003106C" w:rsidRDefault="00B337A6" w:rsidP="005C7669">
      <w:pPr>
        <w:ind w:firstLine="567"/>
        <w:jc w:val="both"/>
        <w:rPr>
          <w:sz w:val="26"/>
          <w:szCs w:val="26"/>
        </w:rPr>
      </w:pPr>
      <w:r w:rsidRPr="0003106C">
        <w:rPr>
          <w:sz w:val="26"/>
          <w:szCs w:val="26"/>
        </w:rPr>
        <w:t xml:space="preserve">Veicot </w:t>
      </w:r>
      <w:r w:rsidR="00CD74CF" w:rsidRPr="0003106C">
        <w:rPr>
          <w:sz w:val="26"/>
          <w:szCs w:val="26"/>
        </w:rPr>
        <w:t>līdzšinējo</w:t>
      </w:r>
      <w:r w:rsidRPr="0003106C">
        <w:rPr>
          <w:sz w:val="26"/>
          <w:szCs w:val="26"/>
        </w:rPr>
        <w:t xml:space="preserve"> ĀTI piesaistes procesa izvērtējumu, var secināt, ka galvenās</w:t>
      </w:r>
      <w:r w:rsidR="00C15AAB" w:rsidRPr="0003106C">
        <w:rPr>
          <w:sz w:val="26"/>
          <w:szCs w:val="26"/>
        </w:rPr>
        <w:t xml:space="preserve"> </w:t>
      </w:r>
      <w:r w:rsidRPr="0003106C">
        <w:rPr>
          <w:sz w:val="26"/>
          <w:szCs w:val="26"/>
        </w:rPr>
        <w:t>problēmas saistītas</w:t>
      </w:r>
      <w:r w:rsidR="00C15AAB" w:rsidRPr="0003106C">
        <w:rPr>
          <w:sz w:val="26"/>
          <w:szCs w:val="26"/>
        </w:rPr>
        <w:t xml:space="preserve"> ar </w:t>
      </w:r>
      <w:r w:rsidR="00045F8B" w:rsidRPr="0003106C">
        <w:rPr>
          <w:sz w:val="26"/>
          <w:szCs w:val="26"/>
        </w:rPr>
        <w:t xml:space="preserve">nepieciešamību uzlabot uzņēmējdarbības vidi, </w:t>
      </w:r>
      <w:r w:rsidR="00C15AAB" w:rsidRPr="0003106C">
        <w:rPr>
          <w:sz w:val="26"/>
          <w:szCs w:val="26"/>
        </w:rPr>
        <w:t>funkciju dublēš</w:t>
      </w:r>
      <w:r w:rsidRPr="0003106C">
        <w:rPr>
          <w:sz w:val="26"/>
          <w:szCs w:val="26"/>
        </w:rPr>
        <w:t>anos sistēmas dalībnieku starpā un nepietiekami īstenoto ĀTI projektu pēcapkalpošanu</w:t>
      </w:r>
      <w:r w:rsidR="00045F8B" w:rsidRPr="0003106C">
        <w:rPr>
          <w:sz w:val="26"/>
          <w:szCs w:val="26"/>
        </w:rPr>
        <w:t>.</w:t>
      </w:r>
      <w:r w:rsidRPr="0003106C">
        <w:rPr>
          <w:sz w:val="26"/>
          <w:szCs w:val="26"/>
        </w:rPr>
        <w:t xml:space="preserve"> </w:t>
      </w:r>
      <w:r w:rsidR="0050748E" w:rsidRPr="0003106C">
        <w:rPr>
          <w:sz w:val="26"/>
          <w:szCs w:val="26"/>
        </w:rPr>
        <w:t xml:space="preserve">Gan valsts institūciju starpā, gan starp valsts institūcijām un privātā/nevalstiskā sektora dalībniekiem šobrīd ir novērojama funkciju dublēšanās un neefektīva sadarbības īstenošana, </w:t>
      </w:r>
      <w:r w:rsidR="0087289F" w:rsidRPr="0003106C">
        <w:rPr>
          <w:sz w:val="26"/>
          <w:szCs w:val="26"/>
        </w:rPr>
        <w:t xml:space="preserve">tai skaitā netiek pietiekami nodrošināta </w:t>
      </w:r>
      <w:r w:rsidR="0050748E" w:rsidRPr="0003106C">
        <w:rPr>
          <w:sz w:val="26"/>
          <w:szCs w:val="26"/>
        </w:rPr>
        <w:t>infor</w:t>
      </w:r>
      <w:r w:rsidR="0087289F" w:rsidRPr="0003106C">
        <w:rPr>
          <w:sz w:val="26"/>
          <w:szCs w:val="26"/>
        </w:rPr>
        <w:t>mācijas apmaiņa un darbību koordinēšana</w:t>
      </w:r>
      <w:r w:rsidR="0050748E" w:rsidRPr="0003106C">
        <w:rPr>
          <w:sz w:val="26"/>
          <w:szCs w:val="26"/>
        </w:rPr>
        <w:t>.</w:t>
      </w:r>
      <w:r w:rsidR="005C7669" w:rsidRPr="0003106C">
        <w:rPr>
          <w:sz w:val="26"/>
          <w:szCs w:val="26"/>
        </w:rPr>
        <w:t xml:space="preserve"> Jāatzīst, ka</w:t>
      </w:r>
      <w:r w:rsidR="00030A1A" w:rsidRPr="0003106C">
        <w:rPr>
          <w:sz w:val="26"/>
          <w:szCs w:val="26"/>
        </w:rPr>
        <w:t>,</w:t>
      </w:r>
      <w:r w:rsidR="005C7669" w:rsidRPr="0003106C">
        <w:rPr>
          <w:sz w:val="26"/>
          <w:szCs w:val="26"/>
        </w:rPr>
        <w:t xml:space="preserve"> kopumā vērtējot, valsts sektorā un pašvaldībās strādājošo, kuru darbs ir saist</w:t>
      </w:r>
      <w:r w:rsidR="002450AC" w:rsidRPr="0003106C">
        <w:rPr>
          <w:sz w:val="26"/>
          <w:szCs w:val="26"/>
        </w:rPr>
        <w:t>īts</w:t>
      </w:r>
      <w:r w:rsidR="005C7669" w:rsidRPr="0003106C">
        <w:rPr>
          <w:sz w:val="26"/>
          <w:szCs w:val="26"/>
        </w:rPr>
        <w:t xml:space="preserve"> ar investīciju piesais</w:t>
      </w:r>
      <w:r w:rsidR="0082492E" w:rsidRPr="0003106C">
        <w:rPr>
          <w:sz w:val="26"/>
          <w:szCs w:val="26"/>
        </w:rPr>
        <w:t xml:space="preserve">ti, </w:t>
      </w:r>
      <w:r w:rsidR="00030A1A" w:rsidRPr="0003106C">
        <w:rPr>
          <w:sz w:val="26"/>
          <w:szCs w:val="26"/>
        </w:rPr>
        <w:t xml:space="preserve">skaitā </w:t>
      </w:r>
      <w:r w:rsidR="0082492E" w:rsidRPr="0003106C">
        <w:rPr>
          <w:sz w:val="26"/>
          <w:szCs w:val="26"/>
        </w:rPr>
        <w:t>ir novērojama intelektuālās kapacitātes nepietiekamība.</w:t>
      </w:r>
      <w:r w:rsidR="00974DEB" w:rsidRPr="0003106C">
        <w:rPr>
          <w:sz w:val="26"/>
          <w:szCs w:val="26"/>
        </w:rPr>
        <w:t xml:space="preserve"> Šobrīd investori Latvijā visbiežāk sastopas ar ierēdniecības atbalstu investīciju projektu apkalpošanā, taču </w:t>
      </w:r>
      <w:r w:rsidR="002450AC" w:rsidRPr="0003106C">
        <w:rPr>
          <w:sz w:val="26"/>
          <w:szCs w:val="26"/>
        </w:rPr>
        <w:t xml:space="preserve">tie </w:t>
      </w:r>
      <w:r w:rsidR="00974DEB" w:rsidRPr="0003106C">
        <w:rPr>
          <w:sz w:val="26"/>
          <w:szCs w:val="26"/>
        </w:rPr>
        <w:t>neizprot investoru intereses biznesa attīstībā. Tādēļ aktuāla ir nepieciešamība rast investoriem pieņemamākos, elastīg</w:t>
      </w:r>
      <w:r w:rsidR="002450AC" w:rsidRPr="0003106C">
        <w:rPr>
          <w:sz w:val="26"/>
          <w:szCs w:val="26"/>
        </w:rPr>
        <w:t>ākos</w:t>
      </w:r>
      <w:r w:rsidR="00974DEB" w:rsidRPr="0003106C">
        <w:rPr>
          <w:sz w:val="26"/>
          <w:szCs w:val="26"/>
        </w:rPr>
        <w:t xml:space="preserve"> un proaktīv</w:t>
      </w:r>
      <w:r w:rsidR="002450AC" w:rsidRPr="0003106C">
        <w:rPr>
          <w:sz w:val="26"/>
          <w:szCs w:val="26"/>
        </w:rPr>
        <w:t>ākos</w:t>
      </w:r>
      <w:r w:rsidR="00974DEB" w:rsidRPr="0003106C">
        <w:rPr>
          <w:sz w:val="26"/>
          <w:szCs w:val="26"/>
        </w:rPr>
        <w:t xml:space="preserve"> risinājumus investīciju projektu apkalpošanas atbalsta saņemšanai.</w:t>
      </w:r>
    </w:p>
    <w:p w:rsidR="005463B7" w:rsidRPr="0003106C" w:rsidRDefault="00B262F1" w:rsidP="00B262F1">
      <w:pPr>
        <w:ind w:firstLine="567"/>
        <w:jc w:val="both"/>
        <w:rPr>
          <w:sz w:val="26"/>
          <w:szCs w:val="26"/>
        </w:rPr>
      </w:pPr>
      <w:r w:rsidRPr="0003106C">
        <w:rPr>
          <w:sz w:val="26"/>
          <w:szCs w:val="26"/>
        </w:rPr>
        <w:t xml:space="preserve">Joprojām </w:t>
      </w:r>
      <w:r w:rsidR="005463B7" w:rsidRPr="0003106C">
        <w:rPr>
          <w:sz w:val="26"/>
          <w:szCs w:val="26"/>
        </w:rPr>
        <w:t xml:space="preserve">daudzi ārvalstu investīciju projekti tiek zaudēti neatrisinātu problēmjautājumu dēļ, piemēram, izglītības sistēmas </w:t>
      </w:r>
      <w:r w:rsidR="00F436E7" w:rsidRPr="0003106C">
        <w:rPr>
          <w:sz w:val="26"/>
          <w:szCs w:val="26"/>
        </w:rPr>
        <w:t xml:space="preserve">dēļ, kas nenodrošina nozaru vajadzības un izaugsmi, </w:t>
      </w:r>
      <w:r w:rsidR="005463B7" w:rsidRPr="0003106C">
        <w:rPr>
          <w:sz w:val="26"/>
          <w:szCs w:val="26"/>
        </w:rPr>
        <w:t xml:space="preserve">kvalificēta darbaspēka trūkuma dēļ, teritorijas plānojuma nepilnību, kā arī industriālo zemes gabalu un infrastruktūras trūkuma dēļ. </w:t>
      </w:r>
    </w:p>
    <w:p w:rsidR="005463B7" w:rsidRPr="0003106C" w:rsidRDefault="005463B7" w:rsidP="00B262F1">
      <w:pPr>
        <w:ind w:firstLine="567"/>
        <w:jc w:val="both"/>
        <w:rPr>
          <w:sz w:val="26"/>
          <w:szCs w:val="26"/>
        </w:rPr>
      </w:pPr>
      <w:r w:rsidRPr="0003106C">
        <w:rPr>
          <w:sz w:val="26"/>
          <w:szCs w:val="26"/>
        </w:rPr>
        <w:t xml:space="preserve">Latvijā ienāk jauna veida nozares, kuras var </w:t>
      </w:r>
      <w:r w:rsidR="002450AC" w:rsidRPr="0003106C">
        <w:rPr>
          <w:sz w:val="26"/>
          <w:szCs w:val="26"/>
        </w:rPr>
        <w:t xml:space="preserve">nodrošināt </w:t>
      </w:r>
      <w:r w:rsidRPr="0003106C">
        <w:rPr>
          <w:sz w:val="26"/>
          <w:szCs w:val="26"/>
        </w:rPr>
        <w:t xml:space="preserve">nopietna apjoma nodarbinātību – globālie biznesa pakalpojumi, kas sevī ietver ārpakalpojumu centrus un dalīto pakalpojumu centrus. Taču, lai cilvēkiem būtu iespējams strādāt šajās nozarēs, ir nepieciešamas tādas prasmju kombinācijas, kuras pagaidām Latvijā atrodamas ierobežotos apjomos. </w:t>
      </w:r>
      <w:r w:rsidR="00B262F1" w:rsidRPr="0003106C">
        <w:rPr>
          <w:sz w:val="26"/>
          <w:szCs w:val="26"/>
        </w:rPr>
        <w:t>Tādēļ tiek uzsāktas aktivitātes</w:t>
      </w:r>
      <w:r w:rsidRPr="0003106C">
        <w:rPr>
          <w:sz w:val="26"/>
          <w:szCs w:val="26"/>
        </w:rPr>
        <w:t xml:space="preserve"> sabiedrības informēšanai un izglītošanai par šo nozari, lai risinātu šī brīža problēmu </w:t>
      </w:r>
      <w:r w:rsidR="00B262F1" w:rsidRPr="0003106C">
        <w:rPr>
          <w:sz w:val="26"/>
          <w:szCs w:val="26"/>
        </w:rPr>
        <w:t>–</w:t>
      </w:r>
      <w:r w:rsidRPr="0003106C">
        <w:rPr>
          <w:sz w:val="26"/>
          <w:szCs w:val="26"/>
        </w:rPr>
        <w:t xml:space="preserve"> Latvijā trūkst darbinieku ar norvēģu, dāņu, zviedru, somu valodu, kā arī ļoti labām angļu valodas zināšanām; IT speciālistu zināšanu līmenis ir pietiekams, taču to skaits ir pārāk mazs, lai lielas kompānijas īsā laikā spētu nokomplektēt darbi</w:t>
      </w:r>
      <w:r w:rsidR="00B262F1" w:rsidRPr="0003106C">
        <w:rPr>
          <w:sz w:val="26"/>
          <w:szCs w:val="26"/>
        </w:rPr>
        <w:t>niekus IT pakalpojumu centriem, kā arī</w:t>
      </w:r>
      <w:r w:rsidRPr="0003106C">
        <w:rPr>
          <w:sz w:val="26"/>
          <w:szCs w:val="26"/>
        </w:rPr>
        <w:t xml:space="preserve"> trūkst darbinieku, kuri ieguvuši konkrētu specialitāti (finanšu, IT, personālvadības jomā) savienojumā ar atbilstošām svešvalodu zināšanām. </w:t>
      </w:r>
    </w:p>
    <w:p w:rsidR="002B4EFF" w:rsidRPr="0003106C" w:rsidRDefault="002B4EFF" w:rsidP="002B4EFF">
      <w:pPr>
        <w:pStyle w:val="Heading2"/>
        <w:ind w:firstLine="567"/>
        <w:rPr>
          <w:rFonts w:ascii="Times New Roman" w:hAnsi="Times New Roman" w:cs="Times New Roman"/>
          <w:i w:val="0"/>
          <w:sz w:val="26"/>
          <w:szCs w:val="26"/>
        </w:rPr>
      </w:pPr>
      <w:bookmarkStart w:id="16" w:name="_Toc355961038"/>
      <w:r w:rsidRPr="0003106C">
        <w:rPr>
          <w:rFonts w:ascii="Times New Roman" w:hAnsi="Times New Roman" w:cs="Times New Roman"/>
          <w:i w:val="0"/>
          <w:sz w:val="26"/>
          <w:szCs w:val="26"/>
        </w:rPr>
        <w:t>4.3.1. ĀTI piesaistes process</w:t>
      </w:r>
      <w:bookmarkEnd w:id="16"/>
    </w:p>
    <w:p w:rsidR="00E06E94" w:rsidRPr="0003106C" w:rsidRDefault="00E06E94" w:rsidP="00E06E94">
      <w:pPr>
        <w:ind w:firstLine="567"/>
        <w:jc w:val="both"/>
        <w:rPr>
          <w:sz w:val="26"/>
          <w:szCs w:val="26"/>
        </w:rPr>
      </w:pPr>
      <w:r w:rsidRPr="0003106C">
        <w:rPr>
          <w:sz w:val="26"/>
          <w:szCs w:val="26"/>
        </w:rPr>
        <w:t>Lai mērķtiecīgi koncentrētu pieejamos resursus un palielinātu atdevi no tiem ĀTI piesai</w:t>
      </w:r>
      <w:r w:rsidR="00161EE7" w:rsidRPr="0003106C">
        <w:rPr>
          <w:sz w:val="26"/>
          <w:szCs w:val="26"/>
        </w:rPr>
        <w:t>s</w:t>
      </w:r>
      <w:r w:rsidRPr="0003106C">
        <w:rPr>
          <w:sz w:val="26"/>
          <w:szCs w:val="26"/>
        </w:rPr>
        <w:t xml:space="preserve">tē, </w:t>
      </w:r>
      <w:r w:rsidR="0059237B" w:rsidRPr="0003106C">
        <w:rPr>
          <w:sz w:val="26"/>
          <w:szCs w:val="26"/>
        </w:rPr>
        <w:t>turpmākās rīcības pamatprincipi</w:t>
      </w:r>
      <w:r w:rsidRPr="0003106C">
        <w:rPr>
          <w:sz w:val="26"/>
          <w:szCs w:val="26"/>
        </w:rPr>
        <w:t>:</w:t>
      </w:r>
    </w:p>
    <w:p w:rsidR="00E06E94" w:rsidRPr="0003106C" w:rsidRDefault="00E06E94" w:rsidP="00133FC6">
      <w:pPr>
        <w:pStyle w:val="ListParagraph"/>
        <w:keepNext/>
        <w:numPr>
          <w:ilvl w:val="0"/>
          <w:numId w:val="5"/>
        </w:numPr>
        <w:spacing w:line="240" w:lineRule="auto"/>
        <w:jc w:val="both"/>
        <w:rPr>
          <w:rFonts w:ascii="Times New Roman" w:hAnsi="Times New Roman"/>
          <w:sz w:val="26"/>
          <w:szCs w:val="26"/>
        </w:rPr>
      </w:pPr>
      <w:r w:rsidRPr="0003106C">
        <w:rPr>
          <w:rFonts w:ascii="Times New Roman" w:hAnsi="Times New Roman"/>
          <w:sz w:val="26"/>
          <w:szCs w:val="26"/>
        </w:rPr>
        <w:lastRenderedPageBreak/>
        <w:t xml:space="preserve">paplašināta un aktīva </w:t>
      </w:r>
      <w:r w:rsidRPr="0003106C">
        <w:rPr>
          <w:rFonts w:ascii="Times New Roman" w:hAnsi="Times New Roman"/>
          <w:b/>
          <w:sz w:val="26"/>
          <w:szCs w:val="26"/>
        </w:rPr>
        <w:t xml:space="preserve">ĀTI piesaistes </w:t>
      </w:r>
      <w:r w:rsidR="00312E4A" w:rsidRPr="0003106C">
        <w:rPr>
          <w:rFonts w:ascii="Times New Roman" w:hAnsi="Times New Roman"/>
          <w:b/>
          <w:sz w:val="26"/>
          <w:szCs w:val="26"/>
        </w:rPr>
        <w:t>politika</w:t>
      </w:r>
      <w:r w:rsidRPr="0003106C">
        <w:rPr>
          <w:rFonts w:ascii="Times New Roman" w:hAnsi="Times New Roman"/>
          <w:sz w:val="26"/>
          <w:szCs w:val="26"/>
        </w:rPr>
        <w:t>, saskaņā ar kuru tiek īstenotas turpmākās ar investīciju piesaisti saistītās aktivitātes;</w:t>
      </w:r>
    </w:p>
    <w:p w:rsidR="00E06E94" w:rsidRPr="0003106C" w:rsidRDefault="00E06E94" w:rsidP="00133FC6">
      <w:pPr>
        <w:pStyle w:val="ListParagraph"/>
        <w:keepNext/>
        <w:numPr>
          <w:ilvl w:val="0"/>
          <w:numId w:val="5"/>
        </w:numPr>
        <w:spacing w:line="240" w:lineRule="auto"/>
        <w:jc w:val="both"/>
        <w:rPr>
          <w:rFonts w:ascii="Times New Roman" w:hAnsi="Times New Roman"/>
          <w:sz w:val="26"/>
          <w:szCs w:val="26"/>
        </w:rPr>
      </w:pPr>
      <w:r w:rsidRPr="0003106C">
        <w:rPr>
          <w:rFonts w:ascii="Times New Roman" w:hAnsi="Times New Roman"/>
          <w:sz w:val="26"/>
          <w:szCs w:val="26"/>
        </w:rPr>
        <w:t xml:space="preserve">investīciju piesaistes </w:t>
      </w:r>
      <w:r w:rsidRPr="0003106C">
        <w:rPr>
          <w:rFonts w:ascii="Times New Roman" w:hAnsi="Times New Roman"/>
          <w:b/>
          <w:sz w:val="26"/>
          <w:szCs w:val="26"/>
        </w:rPr>
        <w:t>mārketinga aktivitātes</w:t>
      </w:r>
      <w:r w:rsidRPr="0003106C">
        <w:rPr>
          <w:rFonts w:ascii="Times New Roman" w:hAnsi="Times New Roman"/>
          <w:sz w:val="26"/>
          <w:szCs w:val="26"/>
        </w:rPr>
        <w:t>.</w:t>
      </w:r>
    </w:p>
    <w:p w:rsidR="00E06E94" w:rsidRPr="0003106C" w:rsidRDefault="00E06E94" w:rsidP="00E06E94">
      <w:pPr>
        <w:pStyle w:val="ListParagraph"/>
        <w:keepNext/>
        <w:spacing w:line="240" w:lineRule="auto"/>
        <w:jc w:val="both"/>
        <w:rPr>
          <w:rFonts w:ascii="Times New Roman" w:hAnsi="Times New Roman"/>
          <w:sz w:val="26"/>
          <w:szCs w:val="26"/>
        </w:rPr>
      </w:pPr>
    </w:p>
    <w:p w:rsidR="00E06E94" w:rsidRPr="0003106C" w:rsidRDefault="00E06E94" w:rsidP="00E06E94">
      <w:pPr>
        <w:pStyle w:val="ListParagraph"/>
        <w:keepNext/>
        <w:spacing w:line="240" w:lineRule="auto"/>
        <w:ind w:left="0" w:firstLine="567"/>
        <w:jc w:val="both"/>
        <w:rPr>
          <w:rFonts w:ascii="Times New Roman" w:hAnsi="Times New Roman"/>
          <w:sz w:val="26"/>
          <w:szCs w:val="26"/>
        </w:rPr>
      </w:pPr>
      <w:r w:rsidRPr="0003106C">
        <w:rPr>
          <w:rFonts w:ascii="Times New Roman" w:hAnsi="Times New Roman"/>
          <w:sz w:val="26"/>
          <w:szCs w:val="26"/>
          <w:u w:val="single"/>
        </w:rPr>
        <w:t>Pamata rīcība ĀTI piesaistei</w:t>
      </w:r>
      <w:r w:rsidRPr="0003106C">
        <w:rPr>
          <w:rFonts w:ascii="Times New Roman" w:hAnsi="Times New Roman"/>
          <w:sz w:val="26"/>
          <w:szCs w:val="26"/>
        </w:rPr>
        <w:t xml:space="preserve"> tiek īstenota trijos virzienos:</w:t>
      </w:r>
    </w:p>
    <w:p w:rsidR="00E06E94" w:rsidRPr="0003106C" w:rsidRDefault="00E06E94" w:rsidP="00133FC6">
      <w:pPr>
        <w:pStyle w:val="ListParagraph"/>
        <w:numPr>
          <w:ilvl w:val="0"/>
          <w:numId w:val="9"/>
        </w:numPr>
        <w:spacing w:after="120" w:line="240" w:lineRule="auto"/>
        <w:ind w:left="714" w:hanging="357"/>
        <w:jc w:val="both"/>
        <w:rPr>
          <w:rFonts w:ascii="Times New Roman" w:hAnsi="Times New Roman"/>
          <w:sz w:val="26"/>
          <w:szCs w:val="26"/>
          <w:lang w:eastAsia="lv-LV"/>
        </w:rPr>
      </w:pPr>
      <w:r w:rsidRPr="0003106C">
        <w:rPr>
          <w:rFonts w:ascii="Times New Roman" w:hAnsi="Times New Roman"/>
          <w:sz w:val="26"/>
          <w:szCs w:val="26"/>
          <w:lang w:eastAsia="lv-LV"/>
        </w:rPr>
        <w:t>mērķtiecīgi aktīvi īstenojot pasākumus ĀTI piesaistei mērķa valstīs, koncentrējot tās uz pamatnostādnēs noteiktajām mērķa nozarēm ĀTI piesaistei</w:t>
      </w:r>
      <w:r w:rsidR="006725D9" w:rsidRPr="0003106C">
        <w:rPr>
          <w:rFonts w:ascii="Times New Roman" w:hAnsi="Times New Roman"/>
          <w:sz w:val="26"/>
          <w:szCs w:val="26"/>
          <w:lang w:eastAsia="lv-LV"/>
        </w:rPr>
        <w:t>, tai skaitā piesaistot ārpakalpojumus</w:t>
      </w:r>
      <w:r w:rsidRPr="0003106C">
        <w:rPr>
          <w:rFonts w:ascii="Times New Roman" w:hAnsi="Times New Roman"/>
          <w:sz w:val="26"/>
          <w:szCs w:val="26"/>
          <w:lang w:eastAsia="lv-LV"/>
        </w:rPr>
        <w:t>;</w:t>
      </w:r>
    </w:p>
    <w:p w:rsidR="00E06E94" w:rsidRPr="0003106C" w:rsidRDefault="00E06E94" w:rsidP="00133FC6">
      <w:pPr>
        <w:pStyle w:val="ListParagraph"/>
        <w:numPr>
          <w:ilvl w:val="0"/>
          <w:numId w:val="9"/>
        </w:numPr>
        <w:spacing w:after="120" w:line="240" w:lineRule="auto"/>
        <w:ind w:left="714" w:hanging="357"/>
        <w:jc w:val="both"/>
        <w:rPr>
          <w:rFonts w:ascii="Times New Roman" w:hAnsi="Times New Roman"/>
          <w:sz w:val="26"/>
          <w:szCs w:val="26"/>
          <w:lang w:eastAsia="lv-LV"/>
        </w:rPr>
      </w:pPr>
      <w:r w:rsidRPr="0003106C">
        <w:rPr>
          <w:rFonts w:ascii="Times New Roman" w:hAnsi="Times New Roman"/>
          <w:sz w:val="26"/>
          <w:szCs w:val="26"/>
          <w:lang w:eastAsia="lv-LV"/>
        </w:rPr>
        <w:t xml:space="preserve">apkalpojot investīciju pieprasījumus, kuri saņemti Latvijas valsts pārvaldes institūcijās, </w:t>
      </w:r>
      <w:r w:rsidR="001F6657" w:rsidRPr="0003106C">
        <w:rPr>
          <w:rFonts w:ascii="Times New Roman" w:hAnsi="Times New Roman"/>
          <w:sz w:val="26"/>
          <w:szCs w:val="26"/>
          <w:lang w:eastAsia="lv-LV"/>
        </w:rPr>
        <w:t>uz</w:t>
      </w:r>
      <w:r w:rsidR="00161EE7" w:rsidRPr="0003106C">
        <w:rPr>
          <w:rFonts w:ascii="Times New Roman" w:hAnsi="Times New Roman"/>
          <w:sz w:val="26"/>
          <w:szCs w:val="26"/>
          <w:lang w:eastAsia="lv-LV"/>
        </w:rPr>
        <w:t>ņēmējus pārstāvošās organizācijā</w:t>
      </w:r>
      <w:r w:rsidR="001F6657" w:rsidRPr="0003106C">
        <w:rPr>
          <w:rFonts w:ascii="Times New Roman" w:hAnsi="Times New Roman"/>
          <w:sz w:val="26"/>
          <w:szCs w:val="26"/>
          <w:lang w:eastAsia="lv-LV"/>
        </w:rPr>
        <w:t xml:space="preserve">s </w:t>
      </w:r>
      <w:r w:rsidRPr="0003106C">
        <w:rPr>
          <w:rFonts w:ascii="Times New Roman" w:hAnsi="Times New Roman"/>
          <w:sz w:val="26"/>
          <w:szCs w:val="26"/>
          <w:lang w:eastAsia="lv-LV"/>
        </w:rPr>
        <w:t xml:space="preserve">(LTRK, LDDK u.c.), ārvalstu investoru pārstāvošās organizācijās, </w:t>
      </w:r>
      <w:r w:rsidRPr="0003106C">
        <w:rPr>
          <w:rFonts w:ascii="Times New Roman" w:hAnsi="Times New Roman"/>
          <w:sz w:val="26"/>
          <w:szCs w:val="26"/>
        </w:rPr>
        <w:t>konsultantu kompānijās u.c.</w:t>
      </w:r>
    </w:p>
    <w:p w:rsidR="00E06E94" w:rsidRPr="0003106C" w:rsidRDefault="00E06E94" w:rsidP="00133FC6">
      <w:pPr>
        <w:pStyle w:val="ListParagraph"/>
        <w:numPr>
          <w:ilvl w:val="0"/>
          <w:numId w:val="9"/>
        </w:numPr>
        <w:spacing w:after="120" w:line="240" w:lineRule="auto"/>
        <w:ind w:left="714" w:hanging="357"/>
        <w:jc w:val="both"/>
        <w:rPr>
          <w:rFonts w:ascii="Times New Roman" w:hAnsi="Times New Roman"/>
          <w:sz w:val="26"/>
          <w:szCs w:val="26"/>
          <w:lang w:eastAsia="lv-LV"/>
        </w:rPr>
      </w:pPr>
      <w:r w:rsidRPr="0003106C">
        <w:rPr>
          <w:rFonts w:ascii="Times New Roman" w:hAnsi="Times New Roman"/>
          <w:sz w:val="26"/>
          <w:szCs w:val="26"/>
          <w:lang w:eastAsia="lv-LV"/>
        </w:rPr>
        <w:t>saskaņota un savlaicīga rīcība</w:t>
      </w:r>
      <w:r w:rsidR="00161EE7" w:rsidRPr="0003106C">
        <w:rPr>
          <w:rFonts w:ascii="Times New Roman" w:hAnsi="Times New Roman"/>
          <w:sz w:val="26"/>
          <w:szCs w:val="26"/>
          <w:lang w:eastAsia="lv-LV"/>
        </w:rPr>
        <w:t>,</w:t>
      </w:r>
      <w:r w:rsidRPr="0003106C">
        <w:rPr>
          <w:rFonts w:ascii="Times New Roman" w:hAnsi="Times New Roman"/>
          <w:sz w:val="26"/>
          <w:szCs w:val="26"/>
          <w:lang w:eastAsia="lv-LV"/>
        </w:rPr>
        <w:t xml:space="preserve"> saņemot informāciju par iespējamām ĀTI piesaistes iespējām (</w:t>
      </w:r>
      <w:r w:rsidRPr="0003106C">
        <w:rPr>
          <w:rFonts w:ascii="Times New Roman" w:hAnsi="Times New Roman"/>
          <w:i/>
          <w:sz w:val="26"/>
          <w:szCs w:val="26"/>
        </w:rPr>
        <w:t>Ad hoc</w:t>
      </w:r>
      <w:r w:rsidRPr="0003106C">
        <w:rPr>
          <w:rFonts w:ascii="Times New Roman" w:hAnsi="Times New Roman"/>
          <w:sz w:val="26"/>
          <w:szCs w:val="26"/>
        </w:rPr>
        <w:t xml:space="preserve"> rīcība).</w:t>
      </w:r>
    </w:p>
    <w:p w:rsidR="007028EE" w:rsidRPr="0003106C" w:rsidRDefault="007028EE" w:rsidP="007028EE">
      <w:pPr>
        <w:pStyle w:val="ListParagraph"/>
        <w:ind w:left="426"/>
      </w:pPr>
    </w:p>
    <w:tbl>
      <w:tblPr>
        <w:tblW w:w="9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2"/>
      </w:tblGrid>
      <w:tr w:rsidR="001E0AA2" w:rsidRPr="0003106C" w:rsidTr="007028EE">
        <w:tc>
          <w:tcPr>
            <w:tcW w:w="9192" w:type="dxa"/>
            <w:shd w:val="clear" w:color="auto" w:fill="F2F2F2"/>
          </w:tcPr>
          <w:p w:rsidR="007028EE" w:rsidRPr="0003106C" w:rsidRDefault="007028EE" w:rsidP="003B7D2D">
            <w:pPr>
              <w:shd w:val="clear" w:color="auto" w:fill="F2F2F2"/>
              <w:spacing w:line="288" w:lineRule="auto"/>
              <w:jc w:val="center"/>
              <w:rPr>
                <w:rFonts w:ascii="Cambria" w:hAnsi="Cambria"/>
                <w:i/>
                <w:iCs/>
                <w:sz w:val="28"/>
                <w:szCs w:val="28"/>
              </w:rPr>
            </w:pPr>
            <w:r w:rsidRPr="0003106C">
              <w:rPr>
                <w:i/>
                <w:sz w:val="26"/>
                <w:szCs w:val="26"/>
              </w:rPr>
              <w:t>ĀTI piesaistei ir svarīgi veidot vienotu, dinamisku, uz ciešu sadarbību balstītu investīciju piesaistes procesu, kurā ar noteiktu atbildību un kompetenci darbojas visi investīciju piesaistei nozīmīgie dalībnieki – valsts institūcijas, privātais sektors, pašvaldīb</w:t>
            </w:r>
            <w:r w:rsidR="003B7D2D" w:rsidRPr="0003106C">
              <w:rPr>
                <w:i/>
                <w:sz w:val="26"/>
                <w:szCs w:val="26"/>
              </w:rPr>
              <w:t>as un zinātniskās institūcijas. V</w:t>
            </w:r>
            <w:r w:rsidRPr="0003106C">
              <w:rPr>
                <w:i/>
                <w:sz w:val="26"/>
                <w:szCs w:val="26"/>
              </w:rPr>
              <w:t xml:space="preserve">eiksmīgai </w:t>
            </w:r>
            <w:r w:rsidR="00161EE7" w:rsidRPr="0003106C">
              <w:rPr>
                <w:i/>
                <w:sz w:val="26"/>
                <w:szCs w:val="26"/>
              </w:rPr>
              <w:t>ĀTI piesaistē</w:t>
            </w:r>
            <w:r w:rsidRPr="0003106C">
              <w:rPr>
                <w:i/>
                <w:sz w:val="26"/>
                <w:szCs w:val="26"/>
              </w:rPr>
              <w:t xml:space="preserve"> nozīmīga loma ir </w:t>
            </w:r>
            <w:r w:rsidR="003B7D2D" w:rsidRPr="0003106C">
              <w:rPr>
                <w:i/>
                <w:sz w:val="26"/>
                <w:szCs w:val="26"/>
              </w:rPr>
              <w:t>Latvijas kā uzņēmējdarbībai un investīcijām labvēlīgas vides pozicionēšana</w:t>
            </w:r>
            <w:r w:rsidR="00161EE7" w:rsidRPr="0003106C">
              <w:rPr>
                <w:i/>
                <w:sz w:val="26"/>
                <w:szCs w:val="26"/>
              </w:rPr>
              <w:t>i</w:t>
            </w:r>
            <w:r w:rsidR="003B7D2D" w:rsidRPr="0003106C">
              <w:rPr>
                <w:i/>
                <w:sz w:val="26"/>
                <w:szCs w:val="26"/>
              </w:rPr>
              <w:t xml:space="preserve"> un </w:t>
            </w:r>
            <w:r w:rsidRPr="0003106C">
              <w:rPr>
                <w:i/>
                <w:sz w:val="26"/>
                <w:szCs w:val="26"/>
              </w:rPr>
              <w:t>mārketinga pasā</w:t>
            </w:r>
            <w:r w:rsidR="00161EE7" w:rsidRPr="0003106C">
              <w:rPr>
                <w:i/>
                <w:sz w:val="26"/>
                <w:szCs w:val="26"/>
              </w:rPr>
              <w:t>kumu plānošanai un īstenošanai</w:t>
            </w:r>
            <w:r w:rsidR="003B7D2D" w:rsidRPr="0003106C">
              <w:rPr>
                <w:i/>
                <w:sz w:val="26"/>
                <w:szCs w:val="26"/>
              </w:rPr>
              <w:t>,</w:t>
            </w:r>
            <w:r w:rsidRPr="0003106C">
              <w:rPr>
                <w:i/>
                <w:sz w:val="26"/>
                <w:szCs w:val="26"/>
              </w:rPr>
              <w:t xml:space="preserve"> investoru ieinteresēšanai par uzņēmējdarbības iespējām un priekšrocībām Latvijā.</w:t>
            </w:r>
          </w:p>
        </w:tc>
      </w:tr>
    </w:tbl>
    <w:p w:rsidR="007028EE" w:rsidRPr="0003106C" w:rsidRDefault="007028EE" w:rsidP="007028EE">
      <w:pPr>
        <w:pStyle w:val="ListParagraph"/>
      </w:pPr>
    </w:p>
    <w:p w:rsidR="007028EE" w:rsidRPr="0003106C" w:rsidRDefault="007028EE" w:rsidP="00E06E94">
      <w:pPr>
        <w:ind w:firstLine="567"/>
        <w:jc w:val="both"/>
        <w:rPr>
          <w:sz w:val="26"/>
          <w:szCs w:val="26"/>
        </w:rPr>
      </w:pPr>
    </w:p>
    <w:p w:rsidR="000D0D05" w:rsidRPr="0003106C" w:rsidRDefault="000D0D05" w:rsidP="000D0D05">
      <w:pPr>
        <w:spacing w:before="40" w:after="40"/>
        <w:ind w:firstLine="567"/>
        <w:jc w:val="both"/>
        <w:rPr>
          <w:sz w:val="26"/>
          <w:szCs w:val="26"/>
        </w:rPr>
      </w:pPr>
      <w:bookmarkStart w:id="17" w:name="_Toc305487027"/>
      <w:r w:rsidRPr="0003106C">
        <w:rPr>
          <w:sz w:val="26"/>
          <w:szCs w:val="26"/>
        </w:rPr>
        <w:t>ĀTI piesaistes</w:t>
      </w:r>
      <w:r w:rsidR="00C65F49" w:rsidRPr="0003106C">
        <w:rPr>
          <w:sz w:val="26"/>
          <w:szCs w:val="26"/>
        </w:rPr>
        <w:t xml:space="preserve"> </w:t>
      </w:r>
      <w:r w:rsidR="003B7D2D" w:rsidRPr="0003106C">
        <w:rPr>
          <w:sz w:val="26"/>
          <w:szCs w:val="26"/>
        </w:rPr>
        <w:t>procesā</w:t>
      </w:r>
      <w:r w:rsidRPr="0003106C">
        <w:rPr>
          <w:sz w:val="26"/>
          <w:szCs w:val="26"/>
        </w:rPr>
        <w:t xml:space="preserve"> </w:t>
      </w:r>
      <w:r w:rsidR="003B7D2D" w:rsidRPr="0003106C">
        <w:rPr>
          <w:sz w:val="26"/>
          <w:szCs w:val="26"/>
        </w:rPr>
        <w:t xml:space="preserve">galvenā loma ir </w:t>
      </w:r>
      <w:r w:rsidRPr="0003106C">
        <w:rPr>
          <w:sz w:val="26"/>
          <w:szCs w:val="26"/>
        </w:rPr>
        <w:t>LIA</w:t>
      </w:r>
      <w:r w:rsidR="003B7D2D" w:rsidRPr="0003106C">
        <w:rPr>
          <w:sz w:val="26"/>
          <w:szCs w:val="26"/>
        </w:rPr>
        <w:t xml:space="preserve">A, </w:t>
      </w:r>
      <w:r w:rsidRPr="0003106C">
        <w:rPr>
          <w:sz w:val="26"/>
          <w:szCs w:val="26"/>
        </w:rPr>
        <w:t xml:space="preserve">nodrošinot saskaņotu LIAA darbinieku rīcību, </w:t>
      </w:r>
      <w:r w:rsidR="003B7D2D" w:rsidRPr="0003106C">
        <w:rPr>
          <w:sz w:val="26"/>
          <w:szCs w:val="26"/>
        </w:rPr>
        <w:t>ciešu</w:t>
      </w:r>
      <w:r w:rsidRPr="0003106C">
        <w:rPr>
          <w:sz w:val="26"/>
          <w:szCs w:val="26"/>
        </w:rPr>
        <w:t xml:space="preserve"> sadarbību ar citām valsts iestādēm</w:t>
      </w:r>
      <w:r w:rsidR="003B7D2D" w:rsidRPr="0003106C">
        <w:rPr>
          <w:sz w:val="26"/>
          <w:szCs w:val="26"/>
        </w:rPr>
        <w:t>, pašvaldībām</w:t>
      </w:r>
      <w:r w:rsidRPr="0003106C">
        <w:rPr>
          <w:sz w:val="26"/>
          <w:szCs w:val="26"/>
        </w:rPr>
        <w:t xml:space="preserve">, nevalstiskajām organizācijām un </w:t>
      </w:r>
      <w:r w:rsidR="00E8496F" w:rsidRPr="0003106C">
        <w:rPr>
          <w:sz w:val="26"/>
          <w:szCs w:val="26"/>
        </w:rPr>
        <w:t xml:space="preserve">citu investoru informācijas kanālu apzināšanu un iesaistīšanu. </w:t>
      </w:r>
      <w:r w:rsidRPr="0003106C">
        <w:rPr>
          <w:sz w:val="26"/>
          <w:szCs w:val="26"/>
        </w:rPr>
        <w:t>Investori tiek apkalpoti, sniedzot tiem nepieciešamo informatīv</w:t>
      </w:r>
      <w:r w:rsidR="003B7D2D" w:rsidRPr="0003106C">
        <w:rPr>
          <w:sz w:val="26"/>
          <w:szCs w:val="26"/>
        </w:rPr>
        <w:t>o atbalstu un atbalstu sadarbībai</w:t>
      </w:r>
      <w:r w:rsidRPr="0003106C">
        <w:rPr>
          <w:sz w:val="26"/>
          <w:szCs w:val="26"/>
        </w:rPr>
        <w:t xml:space="preserve"> ar valsts un pašvaldības institūcijām. </w:t>
      </w:r>
      <w:r w:rsidR="006F4274" w:rsidRPr="0003106C">
        <w:rPr>
          <w:sz w:val="26"/>
          <w:szCs w:val="26"/>
        </w:rPr>
        <w:t xml:space="preserve">Ņemot vērā, ka investoru plāni var mainīties atbilstoši saņemtajai informācijai, nepieciešams nodrošināt elastīgu un proaktīvu rīcību investoru apkalpošanā. </w:t>
      </w:r>
      <w:r w:rsidRPr="0003106C">
        <w:rPr>
          <w:sz w:val="26"/>
          <w:szCs w:val="26"/>
        </w:rPr>
        <w:t>ĀTI piesaistes</w:t>
      </w:r>
      <w:r w:rsidR="00C65F49" w:rsidRPr="0003106C">
        <w:rPr>
          <w:sz w:val="26"/>
          <w:szCs w:val="26"/>
        </w:rPr>
        <w:t xml:space="preserve"> </w:t>
      </w:r>
      <w:r w:rsidRPr="0003106C">
        <w:rPr>
          <w:sz w:val="26"/>
          <w:szCs w:val="26"/>
        </w:rPr>
        <w:t>process paredz saskaņotu ministriju, pašvaldību, infrastruktūras uzņēmumu un valsts iestāžu rīcību stratēģiski nozīmīgu vietējo un ĀTI investīciju projektu īstenošanā, kā arī privātā un akadēmiskā sektora pārstāvju līdzdalību, nodrošinot nepieciešamo informāciju ārvalstu investoru ieinteresēšanai par investīciju iespējām Latvijā, kā arī esošo šķēršļu identificēšanā. ĀTI piesaistes</w:t>
      </w:r>
      <w:r w:rsidR="00C65F49" w:rsidRPr="0003106C">
        <w:rPr>
          <w:sz w:val="26"/>
          <w:szCs w:val="26"/>
        </w:rPr>
        <w:t xml:space="preserve"> </w:t>
      </w:r>
      <w:r w:rsidRPr="0003106C">
        <w:rPr>
          <w:sz w:val="26"/>
          <w:szCs w:val="26"/>
        </w:rPr>
        <w:t>procesa ietvaros ir izveidota Lielo un stratēģiski nozīmīgo investīciju projektu koordinācijas padome, kura risina jautājumus, kas saistīti ar konkrētu investīciju projektu īstenošanu un investīciju vides uzlabošanu</w:t>
      </w:r>
      <w:r w:rsidR="003B7D2D" w:rsidRPr="0003106C">
        <w:rPr>
          <w:sz w:val="26"/>
          <w:szCs w:val="26"/>
        </w:rPr>
        <w:t>.</w:t>
      </w:r>
      <w:r w:rsidR="00C65F49" w:rsidRPr="0003106C">
        <w:rPr>
          <w:sz w:val="26"/>
          <w:szCs w:val="26"/>
        </w:rPr>
        <w:t xml:space="preserve"> </w:t>
      </w:r>
      <w:r w:rsidR="003B7D2D" w:rsidRPr="0003106C">
        <w:rPr>
          <w:sz w:val="26"/>
          <w:szCs w:val="26"/>
        </w:rPr>
        <w:t>I</w:t>
      </w:r>
      <w:r w:rsidRPr="0003106C">
        <w:rPr>
          <w:sz w:val="26"/>
          <w:szCs w:val="26"/>
        </w:rPr>
        <w:t>zvērstu ĀTI piesaistes</w:t>
      </w:r>
      <w:r w:rsidRPr="0003106C">
        <w:rPr>
          <w:b/>
          <w:sz w:val="26"/>
          <w:szCs w:val="26"/>
        </w:rPr>
        <w:t xml:space="preserve"> </w:t>
      </w:r>
      <w:r w:rsidRPr="0003106C">
        <w:rPr>
          <w:sz w:val="26"/>
          <w:szCs w:val="26"/>
        </w:rPr>
        <w:t xml:space="preserve">procesa aprakstu skat. </w:t>
      </w:r>
      <w:r w:rsidR="001F5FD1" w:rsidRPr="0003106C">
        <w:rPr>
          <w:sz w:val="26"/>
          <w:szCs w:val="26"/>
        </w:rPr>
        <w:t>8</w:t>
      </w:r>
      <w:r w:rsidR="003B7D2D" w:rsidRPr="0003106C">
        <w:rPr>
          <w:sz w:val="26"/>
          <w:szCs w:val="26"/>
        </w:rPr>
        <w:t>.pielikumā,</w:t>
      </w:r>
      <w:r w:rsidR="00F149F1" w:rsidRPr="0003106C">
        <w:rPr>
          <w:sz w:val="26"/>
          <w:szCs w:val="26"/>
        </w:rPr>
        <w:t xml:space="preserve"> </w:t>
      </w:r>
      <w:r w:rsidR="00DD2128" w:rsidRPr="0003106C">
        <w:rPr>
          <w:sz w:val="26"/>
          <w:szCs w:val="26"/>
        </w:rPr>
        <w:t xml:space="preserve">savukārt, </w:t>
      </w:r>
      <w:r w:rsidR="003B7D2D" w:rsidRPr="0003106C">
        <w:rPr>
          <w:sz w:val="26"/>
          <w:szCs w:val="26"/>
        </w:rPr>
        <w:t>l</w:t>
      </w:r>
      <w:r w:rsidR="00CE5CAF" w:rsidRPr="0003106C">
        <w:rPr>
          <w:sz w:val="26"/>
          <w:szCs w:val="26"/>
        </w:rPr>
        <w:t>īdzšinējā</w:t>
      </w:r>
      <w:r w:rsidR="00F149F1" w:rsidRPr="0003106C">
        <w:rPr>
          <w:sz w:val="26"/>
          <w:szCs w:val="26"/>
        </w:rPr>
        <w:t xml:space="preserve"> ĀTI piesaistes proc</w:t>
      </w:r>
      <w:r w:rsidR="00CE5CAF" w:rsidRPr="0003106C">
        <w:rPr>
          <w:sz w:val="26"/>
          <w:szCs w:val="26"/>
        </w:rPr>
        <w:t xml:space="preserve">esa apraksts </w:t>
      </w:r>
      <w:r w:rsidR="00F149F1" w:rsidRPr="0003106C">
        <w:rPr>
          <w:sz w:val="26"/>
          <w:szCs w:val="26"/>
        </w:rPr>
        <w:t xml:space="preserve">iekļauts </w:t>
      </w:r>
      <w:r w:rsidR="00E32A06" w:rsidRPr="0003106C">
        <w:rPr>
          <w:sz w:val="26"/>
          <w:szCs w:val="26"/>
        </w:rPr>
        <w:t>9</w:t>
      </w:r>
      <w:r w:rsidR="00F149F1" w:rsidRPr="0003106C">
        <w:rPr>
          <w:sz w:val="26"/>
          <w:szCs w:val="26"/>
        </w:rPr>
        <w:t>.pielikumā.</w:t>
      </w:r>
    </w:p>
    <w:p w:rsidR="000D0D05" w:rsidRPr="0003106C" w:rsidRDefault="000D0D05" w:rsidP="000D0D05">
      <w:pPr>
        <w:pStyle w:val="Default"/>
        <w:spacing w:before="20"/>
        <w:rPr>
          <w:b/>
          <w:color w:val="auto"/>
          <w:sz w:val="26"/>
          <w:szCs w:val="26"/>
        </w:rPr>
      </w:pPr>
    </w:p>
    <w:p w:rsidR="000D0D05" w:rsidRPr="0003106C" w:rsidRDefault="000D0D05" w:rsidP="000D0D05">
      <w:pPr>
        <w:pStyle w:val="Default"/>
        <w:spacing w:before="20"/>
        <w:rPr>
          <w:b/>
          <w:color w:val="auto"/>
          <w:sz w:val="26"/>
          <w:szCs w:val="26"/>
          <w:lang w:eastAsia="en-US"/>
        </w:rPr>
      </w:pPr>
      <w:r w:rsidRPr="0003106C">
        <w:rPr>
          <w:b/>
          <w:color w:val="auto"/>
          <w:sz w:val="26"/>
          <w:szCs w:val="26"/>
        </w:rPr>
        <w:t xml:space="preserve">ĀTI piesaistes </w:t>
      </w:r>
      <w:r w:rsidRPr="0003106C">
        <w:rPr>
          <w:b/>
          <w:color w:val="auto"/>
          <w:sz w:val="26"/>
          <w:szCs w:val="26"/>
          <w:lang w:eastAsia="en-US"/>
        </w:rPr>
        <w:t>procesa ieviešanā izdalāmi šādi posmi:</w:t>
      </w:r>
    </w:p>
    <w:p w:rsidR="000D0D05" w:rsidRPr="0003106C" w:rsidRDefault="000D0D05" w:rsidP="006D0373">
      <w:pPr>
        <w:pStyle w:val="BodyText"/>
        <w:widowControl w:val="0"/>
        <w:numPr>
          <w:ilvl w:val="0"/>
          <w:numId w:val="30"/>
        </w:numPr>
        <w:tabs>
          <w:tab w:val="left" w:pos="851"/>
        </w:tabs>
        <w:spacing w:after="40"/>
        <w:jc w:val="both"/>
        <w:rPr>
          <w:sz w:val="26"/>
          <w:szCs w:val="26"/>
        </w:rPr>
      </w:pPr>
      <w:r w:rsidRPr="0003106C">
        <w:rPr>
          <w:i/>
          <w:sz w:val="26"/>
          <w:szCs w:val="26"/>
        </w:rPr>
        <w:t>Mērķa nozaru analīze</w:t>
      </w:r>
      <w:r w:rsidRPr="0003106C">
        <w:rPr>
          <w:sz w:val="26"/>
          <w:szCs w:val="26"/>
        </w:rPr>
        <w:t xml:space="preserve"> – Latvijas tautsaimniecības novērtēšana, nozaru analīze, mērķa nozaru noteikšana, kā arī regulāra informācijas atjaunošana par ekonomisko situāciju nozarēs.</w:t>
      </w:r>
    </w:p>
    <w:p w:rsidR="000D0D05" w:rsidRPr="0003106C" w:rsidRDefault="000D0D05" w:rsidP="006D0373">
      <w:pPr>
        <w:pStyle w:val="BodyText"/>
        <w:widowControl w:val="0"/>
        <w:numPr>
          <w:ilvl w:val="0"/>
          <w:numId w:val="30"/>
        </w:numPr>
        <w:tabs>
          <w:tab w:val="left" w:pos="851"/>
        </w:tabs>
        <w:spacing w:after="40"/>
        <w:jc w:val="both"/>
        <w:rPr>
          <w:sz w:val="26"/>
          <w:szCs w:val="26"/>
        </w:rPr>
      </w:pPr>
      <w:r w:rsidRPr="0003106C">
        <w:rPr>
          <w:i/>
          <w:sz w:val="26"/>
          <w:szCs w:val="26"/>
        </w:rPr>
        <w:t>Latvijas mārketinga instrumentu sagatavošana</w:t>
      </w:r>
      <w:r w:rsidRPr="0003106C">
        <w:rPr>
          <w:sz w:val="26"/>
          <w:szCs w:val="26"/>
        </w:rPr>
        <w:t xml:space="preserve"> – m</w:t>
      </w:r>
      <w:r w:rsidR="00646966" w:rsidRPr="0003106C">
        <w:rPr>
          <w:sz w:val="26"/>
          <w:szCs w:val="26"/>
        </w:rPr>
        <w:t>ā</w:t>
      </w:r>
      <w:r w:rsidRPr="0003106C">
        <w:rPr>
          <w:sz w:val="26"/>
          <w:szCs w:val="26"/>
        </w:rPr>
        <w:t xml:space="preserve">rketinga plānu, nepieciešamo materiālu sagatavošana un īstenošana </w:t>
      </w:r>
      <w:r w:rsidR="006A796B" w:rsidRPr="0003106C">
        <w:rPr>
          <w:sz w:val="26"/>
          <w:szCs w:val="26"/>
        </w:rPr>
        <w:t>mērķa valstīs</w:t>
      </w:r>
      <w:r w:rsidRPr="0003106C">
        <w:rPr>
          <w:sz w:val="26"/>
          <w:szCs w:val="26"/>
        </w:rPr>
        <w:t>.</w:t>
      </w:r>
    </w:p>
    <w:p w:rsidR="000D0D05" w:rsidRPr="0003106C" w:rsidRDefault="000D0D05" w:rsidP="006D0373">
      <w:pPr>
        <w:pStyle w:val="BodyText"/>
        <w:widowControl w:val="0"/>
        <w:numPr>
          <w:ilvl w:val="0"/>
          <w:numId w:val="30"/>
        </w:numPr>
        <w:tabs>
          <w:tab w:val="left" w:pos="851"/>
        </w:tabs>
        <w:spacing w:after="40"/>
        <w:jc w:val="both"/>
        <w:rPr>
          <w:sz w:val="26"/>
          <w:szCs w:val="26"/>
        </w:rPr>
      </w:pPr>
      <w:r w:rsidRPr="0003106C">
        <w:rPr>
          <w:i/>
          <w:sz w:val="26"/>
          <w:szCs w:val="26"/>
        </w:rPr>
        <w:lastRenderedPageBreak/>
        <w:t>Piedāvājuma sagatavošana investoriem</w:t>
      </w:r>
      <w:r w:rsidRPr="0003106C">
        <w:rPr>
          <w:sz w:val="26"/>
          <w:szCs w:val="26"/>
        </w:rPr>
        <w:t xml:space="preserve"> – Latvijas </w:t>
      </w:r>
      <w:r w:rsidR="006A796B" w:rsidRPr="0003106C">
        <w:rPr>
          <w:sz w:val="26"/>
          <w:szCs w:val="26"/>
        </w:rPr>
        <w:t>uzņēmēju</w:t>
      </w:r>
      <w:r w:rsidRPr="0003106C">
        <w:rPr>
          <w:sz w:val="26"/>
          <w:szCs w:val="26"/>
        </w:rPr>
        <w:t xml:space="preserve"> investīciju projektu apzināšana un </w:t>
      </w:r>
      <w:r w:rsidR="006A796B" w:rsidRPr="0003106C">
        <w:rPr>
          <w:sz w:val="26"/>
          <w:szCs w:val="26"/>
        </w:rPr>
        <w:t xml:space="preserve">atbalsts </w:t>
      </w:r>
      <w:r w:rsidRPr="0003106C">
        <w:rPr>
          <w:sz w:val="26"/>
          <w:szCs w:val="26"/>
        </w:rPr>
        <w:t>piedāvājuma noformēša</w:t>
      </w:r>
      <w:r w:rsidR="006A796B" w:rsidRPr="0003106C">
        <w:rPr>
          <w:sz w:val="26"/>
          <w:szCs w:val="26"/>
        </w:rPr>
        <w:t>n</w:t>
      </w:r>
      <w:r w:rsidR="002018B0" w:rsidRPr="0003106C">
        <w:rPr>
          <w:sz w:val="26"/>
          <w:szCs w:val="26"/>
        </w:rPr>
        <w:t>ā</w:t>
      </w:r>
      <w:r w:rsidRPr="0003106C">
        <w:rPr>
          <w:sz w:val="26"/>
          <w:szCs w:val="26"/>
        </w:rPr>
        <w:t>, zināšanu, jaunu pētniecības rezultātu un attīstības projektu novērtēšan</w:t>
      </w:r>
      <w:r w:rsidR="002018B0" w:rsidRPr="0003106C">
        <w:rPr>
          <w:sz w:val="26"/>
          <w:szCs w:val="26"/>
        </w:rPr>
        <w:t>ā</w:t>
      </w:r>
      <w:r w:rsidRPr="0003106C">
        <w:rPr>
          <w:sz w:val="26"/>
          <w:szCs w:val="26"/>
        </w:rPr>
        <w:t xml:space="preserve"> un </w:t>
      </w:r>
      <w:r w:rsidR="006A796B" w:rsidRPr="0003106C">
        <w:rPr>
          <w:sz w:val="26"/>
          <w:szCs w:val="26"/>
        </w:rPr>
        <w:t>atbalsts piedāvājumu sagatavošanā</w:t>
      </w:r>
      <w:r w:rsidRPr="0003106C">
        <w:rPr>
          <w:sz w:val="26"/>
          <w:szCs w:val="26"/>
        </w:rPr>
        <w:t xml:space="preserve"> investoriem.</w:t>
      </w:r>
    </w:p>
    <w:p w:rsidR="000D0D05" w:rsidRPr="0003106C" w:rsidRDefault="000D0D05" w:rsidP="006D0373">
      <w:pPr>
        <w:pStyle w:val="BodyText"/>
        <w:widowControl w:val="0"/>
        <w:numPr>
          <w:ilvl w:val="0"/>
          <w:numId w:val="30"/>
        </w:numPr>
        <w:tabs>
          <w:tab w:val="left" w:pos="851"/>
        </w:tabs>
        <w:spacing w:after="40"/>
        <w:jc w:val="both"/>
        <w:rPr>
          <w:sz w:val="26"/>
          <w:szCs w:val="26"/>
        </w:rPr>
      </w:pPr>
      <w:r w:rsidRPr="0003106C">
        <w:rPr>
          <w:i/>
          <w:sz w:val="26"/>
          <w:szCs w:val="26"/>
          <w:lang w:eastAsia="en-US"/>
        </w:rPr>
        <w:t>Potenciālo investoru uzrunāšana</w:t>
      </w:r>
      <w:r w:rsidRPr="0003106C">
        <w:rPr>
          <w:sz w:val="26"/>
          <w:szCs w:val="26"/>
          <w:lang w:eastAsia="en-US"/>
        </w:rPr>
        <w:t xml:space="preserve"> – </w:t>
      </w:r>
      <w:r w:rsidR="006A796B" w:rsidRPr="0003106C">
        <w:rPr>
          <w:sz w:val="26"/>
          <w:szCs w:val="26"/>
          <w:lang w:eastAsia="en-US"/>
        </w:rPr>
        <w:t>potenciālo investoru apzināšana</w:t>
      </w:r>
      <w:r w:rsidR="003B7D2D" w:rsidRPr="0003106C">
        <w:rPr>
          <w:sz w:val="26"/>
          <w:szCs w:val="26"/>
          <w:lang w:eastAsia="en-US"/>
        </w:rPr>
        <w:t xml:space="preserve"> </w:t>
      </w:r>
      <w:r w:rsidRPr="0003106C">
        <w:rPr>
          <w:sz w:val="26"/>
          <w:szCs w:val="26"/>
          <w:lang w:eastAsia="en-US"/>
        </w:rPr>
        <w:t xml:space="preserve">un </w:t>
      </w:r>
      <w:r w:rsidR="006A796B" w:rsidRPr="0003106C">
        <w:rPr>
          <w:sz w:val="26"/>
          <w:szCs w:val="26"/>
          <w:lang w:eastAsia="en-US"/>
        </w:rPr>
        <w:t xml:space="preserve">mērķtiecīga </w:t>
      </w:r>
      <w:r w:rsidRPr="0003106C">
        <w:rPr>
          <w:sz w:val="26"/>
          <w:szCs w:val="26"/>
          <w:lang w:eastAsia="en-US"/>
        </w:rPr>
        <w:t>potenciālo investoru uzrunāšana.</w:t>
      </w:r>
    </w:p>
    <w:p w:rsidR="000D0D05" w:rsidRPr="0003106C" w:rsidRDefault="000D0D05" w:rsidP="006D0373">
      <w:pPr>
        <w:pStyle w:val="BodyText"/>
        <w:widowControl w:val="0"/>
        <w:numPr>
          <w:ilvl w:val="0"/>
          <w:numId w:val="30"/>
        </w:numPr>
        <w:tabs>
          <w:tab w:val="left" w:pos="851"/>
        </w:tabs>
        <w:spacing w:after="40"/>
        <w:jc w:val="both"/>
        <w:rPr>
          <w:sz w:val="26"/>
          <w:szCs w:val="26"/>
        </w:rPr>
      </w:pPr>
      <w:r w:rsidRPr="0003106C">
        <w:rPr>
          <w:i/>
          <w:sz w:val="26"/>
          <w:szCs w:val="26"/>
        </w:rPr>
        <w:t>Atbalsts jaunu investīciju projektu ieviešanai</w:t>
      </w:r>
      <w:r w:rsidRPr="0003106C">
        <w:rPr>
          <w:sz w:val="26"/>
          <w:szCs w:val="26"/>
        </w:rPr>
        <w:t xml:space="preserve"> – pasākumi valsts un pašvaldību institūciju kompetences ietvaros, kas nepieciešami, lai atvieglotu un veicinātu jaunu projektu uzsākšanu Latvijā, pasākumi, lai operatīvi novērstu šķēršļus nozīmīgu projektu ieviešanai, pasākumi kvalitatīvas informācijas sagatavošanai un nodrošināšanai visiem investīciju piesaistes kanāliem.</w:t>
      </w:r>
    </w:p>
    <w:p w:rsidR="000D0D05" w:rsidRPr="0003106C" w:rsidRDefault="00E27D01" w:rsidP="006D0373">
      <w:pPr>
        <w:pStyle w:val="BodyText"/>
        <w:widowControl w:val="0"/>
        <w:numPr>
          <w:ilvl w:val="0"/>
          <w:numId w:val="30"/>
        </w:numPr>
        <w:tabs>
          <w:tab w:val="left" w:pos="851"/>
        </w:tabs>
        <w:spacing w:after="40"/>
        <w:jc w:val="both"/>
        <w:rPr>
          <w:sz w:val="26"/>
          <w:szCs w:val="26"/>
        </w:rPr>
      </w:pPr>
      <w:r w:rsidRPr="0003106C">
        <w:rPr>
          <w:i/>
          <w:sz w:val="26"/>
          <w:szCs w:val="26"/>
        </w:rPr>
        <w:t>Projektu pēc</w:t>
      </w:r>
      <w:r w:rsidR="000D0D05" w:rsidRPr="0003106C">
        <w:rPr>
          <w:i/>
          <w:sz w:val="26"/>
          <w:szCs w:val="26"/>
        </w:rPr>
        <w:t>apkalpošana („follow-up”)</w:t>
      </w:r>
      <w:r w:rsidR="000D0D05" w:rsidRPr="0003106C">
        <w:rPr>
          <w:sz w:val="26"/>
          <w:szCs w:val="26"/>
        </w:rPr>
        <w:t xml:space="preserve"> – projektu </w:t>
      </w:r>
      <w:r w:rsidR="0038256B" w:rsidRPr="0003106C">
        <w:rPr>
          <w:sz w:val="26"/>
          <w:szCs w:val="26"/>
        </w:rPr>
        <w:t xml:space="preserve">monitorēšanas sistēmas izveide, projektu </w:t>
      </w:r>
      <w:r w:rsidR="000D0D05" w:rsidRPr="0003106C">
        <w:rPr>
          <w:sz w:val="26"/>
          <w:szCs w:val="26"/>
        </w:rPr>
        <w:t>īstenošanas novērtēšana, komunikācija ar investoriem un pašvaldībām, lai noskaidrotu projekta ieviešanas gaitu, rezultātu un iesaistīto personu viedokli par projekta pozitīvajiem un negatīvajiem aspektiem</w:t>
      </w:r>
      <w:r w:rsidR="002018B0" w:rsidRPr="0003106C">
        <w:rPr>
          <w:sz w:val="26"/>
          <w:szCs w:val="26"/>
        </w:rPr>
        <w:t>.</w:t>
      </w:r>
      <w:r w:rsidR="000D0D05" w:rsidRPr="0003106C">
        <w:rPr>
          <w:sz w:val="26"/>
          <w:szCs w:val="26"/>
        </w:rPr>
        <w:t xml:space="preserve"> </w:t>
      </w:r>
      <w:r w:rsidR="00B32080" w:rsidRPr="0003106C">
        <w:rPr>
          <w:sz w:val="26"/>
          <w:szCs w:val="26"/>
        </w:rPr>
        <w:t>T</w:t>
      </w:r>
      <w:r w:rsidR="000D0D05" w:rsidRPr="0003106C">
        <w:rPr>
          <w:sz w:val="26"/>
          <w:szCs w:val="26"/>
        </w:rPr>
        <w:t xml:space="preserve">ā rezultātā </w:t>
      </w:r>
      <w:r w:rsidR="00B32080" w:rsidRPr="0003106C">
        <w:rPr>
          <w:sz w:val="26"/>
          <w:szCs w:val="26"/>
        </w:rPr>
        <w:t xml:space="preserve">tiktu noteikti </w:t>
      </w:r>
      <w:r w:rsidR="000D0D05" w:rsidRPr="0003106C">
        <w:rPr>
          <w:sz w:val="26"/>
          <w:szCs w:val="26"/>
        </w:rPr>
        <w:t>veic</w:t>
      </w:r>
      <w:r w:rsidR="00B32080" w:rsidRPr="0003106C">
        <w:rPr>
          <w:sz w:val="26"/>
          <w:szCs w:val="26"/>
        </w:rPr>
        <w:t>amie</w:t>
      </w:r>
      <w:r w:rsidR="000D0D05" w:rsidRPr="0003106C">
        <w:rPr>
          <w:sz w:val="26"/>
          <w:szCs w:val="26"/>
        </w:rPr>
        <w:t xml:space="preserve"> pasākumi, lai uzlabotu Latvijas investīciju vidi un rosinātu esošos investorus paplašināt savu darbību, kas vienlaikus bū</w:t>
      </w:r>
      <w:r w:rsidR="00B32080" w:rsidRPr="0003106C">
        <w:rPr>
          <w:sz w:val="26"/>
          <w:szCs w:val="26"/>
        </w:rPr>
        <w:t>tu</w:t>
      </w:r>
      <w:r w:rsidR="000D0D05" w:rsidRPr="0003106C">
        <w:rPr>
          <w:sz w:val="26"/>
          <w:szCs w:val="26"/>
        </w:rPr>
        <w:t xml:space="preserve"> arī pozitīvs signāls jaunajiem investoriem.</w:t>
      </w:r>
    </w:p>
    <w:p w:rsidR="007D1129" w:rsidRPr="0003106C" w:rsidRDefault="007D1129" w:rsidP="007D1129">
      <w:pPr>
        <w:pStyle w:val="Heading2"/>
        <w:ind w:firstLine="567"/>
        <w:rPr>
          <w:rFonts w:ascii="Times New Roman" w:hAnsi="Times New Roman" w:cs="Times New Roman"/>
          <w:i w:val="0"/>
          <w:sz w:val="26"/>
          <w:szCs w:val="26"/>
        </w:rPr>
      </w:pPr>
      <w:bookmarkStart w:id="18" w:name="_Toc305487028"/>
      <w:bookmarkStart w:id="19" w:name="_Toc355961039"/>
      <w:r w:rsidRPr="0003106C">
        <w:rPr>
          <w:rFonts w:ascii="Times New Roman" w:hAnsi="Times New Roman" w:cs="Times New Roman"/>
          <w:i w:val="0"/>
          <w:sz w:val="26"/>
          <w:szCs w:val="26"/>
        </w:rPr>
        <w:t>4.3.2. Mērķa nozares ĀTI piesaistei</w:t>
      </w:r>
      <w:bookmarkEnd w:id="18"/>
      <w:bookmarkEnd w:id="19"/>
    </w:p>
    <w:p w:rsidR="007D1129" w:rsidRPr="0003106C" w:rsidRDefault="007D1129" w:rsidP="007D1129">
      <w:pPr>
        <w:pStyle w:val="BodyText"/>
        <w:keepNext/>
        <w:ind w:firstLine="567"/>
        <w:jc w:val="both"/>
        <w:rPr>
          <w:sz w:val="26"/>
          <w:szCs w:val="26"/>
        </w:rPr>
      </w:pPr>
      <w:r w:rsidRPr="0003106C">
        <w:rPr>
          <w:sz w:val="26"/>
          <w:szCs w:val="26"/>
        </w:rPr>
        <w:t>Lai īstenotu pamatnostādņu mērķi, pamatojoties uz Latvijas salī</w:t>
      </w:r>
      <w:r w:rsidR="00E32A06" w:rsidRPr="0003106C">
        <w:rPr>
          <w:sz w:val="26"/>
          <w:szCs w:val="26"/>
        </w:rPr>
        <w:t>dzinošajām priekšrocībām (skat.10</w:t>
      </w:r>
      <w:r w:rsidRPr="0003106C">
        <w:rPr>
          <w:sz w:val="26"/>
          <w:szCs w:val="26"/>
        </w:rPr>
        <w:t>.pielikumu) un Latvijas statistiku ĀTI piesaistē</w:t>
      </w:r>
      <w:r w:rsidR="00B32080" w:rsidRPr="0003106C">
        <w:rPr>
          <w:sz w:val="26"/>
          <w:szCs w:val="26"/>
        </w:rPr>
        <w:t>,</w:t>
      </w:r>
      <w:r w:rsidRPr="0003106C">
        <w:rPr>
          <w:sz w:val="26"/>
          <w:szCs w:val="26"/>
        </w:rPr>
        <w:t xml:space="preserve"> un nodrošinātu stabilu Latvijas tautsaimniecības attīstību, ir identificētas astoņas mērķa nozares, kurās pastāv visaugstākās perspektīvas piesaistīt ārvalstu tiešās investīcijas:</w:t>
      </w:r>
    </w:p>
    <w:p w:rsidR="007D1129" w:rsidRPr="0003106C" w:rsidRDefault="007D1129" w:rsidP="007D1129">
      <w:pPr>
        <w:pStyle w:val="BodyText"/>
        <w:numPr>
          <w:ilvl w:val="0"/>
          <w:numId w:val="15"/>
        </w:numPr>
        <w:autoSpaceDE w:val="0"/>
        <w:autoSpaceDN w:val="0"/>
        <w:spacing w:before="20" w:afterLines="20" w:after="48"/>
        <w:ind w:left="993" w:hanging="295"/>
        <w:rPr>
          <w:sz w:val="26"/>
          <w:szCs w:val="26"/>
        </w:rPr>
      </w:pPr>
      <w:r w:rsidRPr="0003106C">
        <w:rPr>
          <w:sz w:val="26"/>
          <w:szCs w:val="26"/>
        </w:rPr>
        <w:t>metālapstrāde un mašīnbūve (C24-25; C27-30)</w:t>
      </w:r>
      <w:r w:rsidRPr="0003106C">
        <w:rPr>
          <w:rStyle w:val="FootnoteReference"/>
          <w:sz w:val="26"/>
          <w:szCs w:val="26"/>
        </w:rPr>
        <w:footnoteReference w:id="28"/>
      </w:r>
      <w:r w:rsidRPr="0003106C">
        <w:rPr>
          <w:sz w:val="26"/>
          <w:szCs w:val="26"/>
        </w:rPr>
        <w:t>;</w:t>
      </w:r>
    </w:p>
    <w:p w:rsidR="007D1129" w:rsidRPr="0003106C" w:rsidRDefault="007D1129" w:rsidP="007D1129">
      <w:pPr>
        <w:pStyle w:val="BodyText"/>
        <w:numPr>
          <w:ilvl w:val="0"/>
          <w:numId w:val="15"/>
        </w:numPr>
        <w:autoSpaceDE w:val="0"/>
        <w:autoSpaceDN w:val="0"/>
        <w:spacing w:before="20" w:afterLines="20" w:after="48"/>
        <w:ind w:left="993" w:hanging="295"/>
        <w:rPr>
          <w:sz w:val="26"/>
          <w:szCs w:val="26"/>
        </w:rPr>
      </w:pPr>
      <w:r w:rsidRPr="0003106C">
        <w:rPr>
          <w:sz w:val="26"/>
          <w:szCs w:val="26"/>
        </w:rPr>
        <w:t>transports un loģistika (H49-52);</w:t>
      </w:r>
    </w:p>
    <w:p w:rsidR="007D1129" w:rsidRPr="0003106C" w:rsidRDefault="007D1129" w:rsidP="007D1129">
      <w:pPr>
        <w:pStyle w:val="BodyText"/>
        <w:numPr>
          <w:ilvl w:val="0"/>
          <w:numId w:val="15"/>
        </w:numPr>
        <w:autoSpaceDE w:val="0"/>
        <w:autoSpaceDN w:val="0"/>
        <w:spacing w:before="20" w:afterLines="20" w:after="48"/>
        <w:ind w:left="993" w:hanging="295"/>
        <w:rPr>
          <w:sz w:val="26"/>
          <w:szCs w:val="26"/>
        </w:rPr>
      </w:pPr>
      <w:r w:rsidRPr="0003106C">
        <w:rPr>
          <w:sz w:val="26"/>
          <w:szCs w:val="26"/>
        </w:rPr>
        <w:t xml:space="preserve">informācijas tehnoloģijas (J62-63) un </w:t>
      </w:r>
      <w:r w:rsidR="00AF3590" w:rsidRPr="0003106C">
        <w:rPr>
          <w:sz w:val="26"/>
          <w:szCs w:val="26"/>
        </w:rPr>
        <w:t xml:space="preserve">pakalpojumu </w:t>
      </w:r>
      <w:r w:rsidRPr="0003106C">
        <w:rPr>
          <w:sz w:val="26"/>
          <w:szCs w:val="26"/>
        </w:rPr>
        <w:t>biroji (M69-71, M72.1, M73-74</w:t>
      </w:r>
      <w:r w:rsidR="00A173BD" w:rsidRPr="0003106C">
        <w:rPr>
          <w:sz w:val="26"/>
          <w:szCs w:val="26"/>
        </w:rPr>
        <w:t>, N82.1-82.2</w:t>
      </w:r>
      <w:r w:rsidR="00AF3590" w:rsidRPr="0003106C">
        <w:rPr>
          <w:sz w:val="26"/>
          <w:szCs w:val="26"/>
        </w:rPr>
        <w:t>,82.9</w:t>
      </w:r>
      <w:r w:rsidRPr="0003106C">
        <w:rPr>
          <w:sz w:val="26"/>
          <w:szCs w:val="26"/>
        </w:rPr>
        <w:t>);</w:t>
      </w:r>
    </w:p>
    <w:p w:rsidR="007D1129" w:rsidRPr="0003106C" w:rsidRDefault="007D1129" w:rsidP="007D1129">
      <w:pPr>
        <w:pStyle w:val="BodyText"/>
        <w:numPr>
          <w:ilvl w:val="0"/>
          <w:numId w:val="15"/>
        </w:numPr>
        <w:autoSpaceDE w:val="0"/>
        <w:autoSpaceDN w:val="0"/>
        <w:spacing w:before="20" w:afterLines="20" w:after="48"/>
        <w:ind w:left="993" w:hanging="295"/>
        <w:rPr>
          <w:sz w:val="26"/>
          <w:szCs w:val="26"/>
        </w:rPr>
      </w:pPr>
      <w:r w:rsidRPr="0003106C">
        <w:rPr>
          <w:sz w:val="26"/>
          <w:szCs w:val="26"/>
        </w:rPr>
        <w:t>dzīvības zinātnes (</w:t>
      </w:r>
      <w:r w:rsidRPr="0003106C">
        <w:rPr>
          <w:i/>
          <w:iCs/>
          <w:sz w:val="26"/>
          <w:szCs w:val="26"/>
        </w:rPr>
        <w:t xml:space="preserve">Life sciences </w:t>
      </w:r>
      <w:r w:rsidRPr="0003106C">
        <w:rPr>
          <w:sz w:val="26"/>
          <w:szCs w:val="26"/>
        </w:rPr>
        <w:t>– farmācija, biotehnoloģijas cilvēka veselības, veterinārijas un agrobiotehnoloģiju nozar</w:t>
      </w:r>
      <w:r w:rsidR="00B32080" w:rsidRPr="0003106C">
        <w:rPr>
          <w:sz w:val="26"/>
          <w:szCs w:val="26"/>
        </w:rPr>
        <w:t>e</w:t>
      </w:r>
      <w:r w:rsidRPr="0003106C">
        <w:rPr>
          <w:sz w:val="26"/>
          <w:szCs w:val="26"/>
        </w:rPr>
        <w:t>s) (C20-21, C32.5, M72.1);</w:t>
      </w:r>
    </w:p>
    <w:p w:rsidR="007D1129" w:rsidRPr="0003106C" w:rsidRDefault="007D1129" w:rsidP="007D1129">
      <w:pPr>
        <w:pStyle w:val="BodyText"/>
        <w:numPr>
          <w:ilvl w:val="0"/>
          <w:numId w:val="15"/>
        </w:numPr>
        <w:spacing w:before="20" w:afterLines="20" w:after="48"/>
        <w:ind w:left="993" w:hanging="295"/>
        <w:rPr>
          <w:sz w:val="26"/>
          <w:szCs w:val="26"/>
        </w:rPr>
      </w:pPr>
      <w:r w:rsidRPr="0003106C">
        <w:rPr>
          <w:sz w:val="26"/>
          <w:szCs w:val="26"/>
        </w:rPr>
        <w:t>veselības aprūpe (Q86-88);</w:t>
      </w:r>
    </w:p>
    <w:p w:rsidR="007D1129" w:rsidRPr="0003106C" w:rsidRDefault="007D1129" w:rsidP="007D1129">
      <w:pPr>
        <w:pStyle w:val="BodyText"/>
        <w:numPr>
          <w:ilvl w:val="0"/>
          <w:numId w:val="15"/>
        </w:numPr>
        <w:spacing w:before="20" w:afterLines="20" w:after="48"/>
        <w:ind w:left="993" w:hanging="295"/>
        <w:rPr>
          <w:sz w:val="26"/>
          <w:szCs w:val="26"/>
        </w:rPr>
      </w:pPr>
      <w:r w:rsidRPr="0003106C">
        <w:rPr>
          <w:sz w:val="26"/>
          <w:szCs w:val="26"/>
        </w:rPr>
        <w:t>kokrūpniecība (C16, C31);</w:t>
      </w:r>
    </w:p>
    <w:p w:rsidR="007D1129" w:rsidRPr="0003106C" w:rsidRDefault="007D1129" w:rsidP="007D1129">
      <w:pPr>
        <w:pStyle w:val="BodyText"/>
        <w:numPr>
          <w:ilvl w:val="0"/>
          <w:numId w:val="15"/>
        </w:numPr>
        <w:spacing w:before="20" w:afterLines="20" w:after="48"/>
        <w:ind w:left="993" w:hanging="295"/>
        <w:jc w:val="both"/>
        <w:rPr>
          <w:sz w:val="26"/>
          <w:szCs w:val="26"/>
        </w:rPr>
      </w:pPr>
      <w:r w:rsidRPr="0003106C">
        <w:rPr>
          <w:sz w:val="26"/>
          <w:szCs w:val="26"/>
        </w:rPr>
        <w:t>zaļās tehnoloģijas (</w:t>
      </w:r>
      <w:r w:rsidRPr="0003106C">
        <w:rPr>
          <w:i/>
          <w:iCs/>
          <w:sz w:val="26"/>
          <w:szCs w:val="26"/>
        </w:rPr>
        <w:t xml:space="preserve">Greentech – </w:t>
      </w:r>
      <w:r w:rsidRPr="0003106C">
        <w:rPr>
          <w:sz w:val="26"/>
          <w:szCs w:val="26"/>
        </w:rPr>
        <w:t>atjaunojamā enerģija, notekūdeņu apsaimniekošana, kā arī cieto atkritumu un pārstrādājamo materiālu apsaimniekošana, tehnoloģiju un iekārtu ražošana šajās nozar</w:t>
      </w:r>
      <w:r w:rsidR="00B32080" w:rsidRPr="0003106C">
        <w:rPr>
          <w:sz w:val="26"/>
          <w:szCs w:val="26"/>
        </w:rPr>
        <w:t>e</w:t>
      </w:r>
      <w:r w:rsidRPr="0003106C">
        <w:rPr>
          <w:sz w:val="26"/>
          <w:szCs w:val="26"/>
        </w:rPr>
        <w:t>s) (D35, E36-38);</w:t>
      </w:r>
    </w:p>
    <w:p w:rsidR="007D1129" w:rsidRPr="0003106C" w:rsidRDefault="007D1129" w:rsidP="007D1129">
      <w:pPr>
        <w:pStyle w:val="BodyText"/>
        <w:numPr>
          <w:ilvl w:val="0"/>
          <w:numId w:val="15"/>
        </w:numPr>
        <w:spacing w:before="20" w:afterLines="20" w:after="48"/>
        <w:ind w:left="993" w:hanging="295"/>
        <w:rPr>
          <w:sz w:val="26"/>
          <w:szCs w:val="26"/>
        </w:rPr>
      </w:pPr>
      <w:r w:rsidRPr="0003106C">
        <w:rPr>
          <w:sz w:val="26"/>
          <w:szCs w:val="26"/>
        </w:rPr>
        <w:t>pārtikas rūpniecība (C10-11).</w:t>
      </w:r>
    </w:p>
    <w:p w:rsidR="005D4C0B" w:rsidRPr="0003106C" w:rsidRDefault="005D4C0B" w:rsidP="00415FFF">
      <w:pPr>
        <w:pStyle w:val="BodyText"/>
        <w:keepNext/>
        <w:spacing w:before="120" w:after="0"/>
        <w:ind w:firstLine="567"/>
        <w:rPr>
          <w:color w:val="000000"/>
          <w:sz w:val="26"/>
          <w:szCs w:val="26"/>
        </w:rPr>
      </w:pPr>
      <w:r w:rsidRPr="0003106C">
        <w:rPr>
          <w:color w:val="000000"/>
          <w:sz w:val="26"/>
          <w:szCs w:val="26"/>
        </w:rPr>
        <w:t>Būtiskākie kritēriji, ku</w:t>
      </w:r>
      <w:r w:rsidR="00161EE7" w:rsidRPr="0003106C">
        <w:rPr>
          <w:color w:val="000000"/>
          <w:sz w:val="26"/>
          <w:szCs w:val="26"/>
        </w:rPr>
        <w:t>ri tika izmantoti nozaru izvēlē</w:t>
      </w:r>
      <w:r w:rsidRPr="0003106C">
        <w:rPr>
          <w:color w:val="000000"/>
          <w:sz w:val="26"/>
          <w:szCs w:val="26"/>
        </w:rPr>
        <w:t xml:space="preserve">: </w:t>
      </w:r>
    </w:p>
    <w:p w:rsidR="005D4C0B" w:rsidRPr="0003106C" w:rsidRDefault="005D4C0B" w:rsidP="00494919">
      <w:pPr>
        <w:pStyle w:val="Default"/>
        <w:keepNext/>
        <w:numPr>
          <w:ilvl w:val="0"/>
          <w:numId w:val="25"/>
        </w:numPr>
        <w:tabs>
          <w:tab w:val="clear" w:pos="720"/>
          <w:tab w:val="num" w:pos="993"/>
        </w:tabs>
        <w:spacing w:after="60"/>
        <w:ind w:left="993" w:hanging="284"/>
        <w:jc w:val="both"/>
        <w:rPr>
          <w:sz w:val="26"/>
          <w:szCs w:val="26"/>
        </w:rPr>
      </w:pPr>
      <w:r w:rsidRPr="0003106C">
        <w:rPr>
          <w:sz w:val="26"/>
          <w:szCs w:val="26"/>
        </w:rPr>
        <w:t xml:space="preserve">uz ārējo pieprasījumu vērstas ražošanas un pakalpojumu sniegšanas iespējas; </w:t>
      </w:r>
    </w:p>
    <w:p w:rsidR="005D4C0B" w:rsidRPr="0003106C" w:rsidRDefault="005D4C0B" w:rsidP="00494919">
      <w:pPr>
        <w:pStyle w:val="Default"/>
        <w:keepNext/>
        <w:numPr>
          <w:ilvl w:val="0"/>
          <w:numId w:val="25"/>
        </w:numPr>
        <w:tabs>
          <w:tab w:val="clear" w:pos="720"/>
          <w:tab w:val="num" w:pos="993"/>
        </w:tabs>
        <w:spacing w:after="60"/>
        <w:ind w:left="993" w:hanging="284"/>
        <w:jc w:val="both"/>
        <w:rPr>
          <w:sz w:val="26"/>
          <w:szCs w:val="26"/>
        </w:rPr>
      </w:pPr>
      <w:r w:rsidRPr="0003106C">
        <w:rPr>
          <w:sz w:val="26"/>
          <w:szCs w:val="26"/>
        </w:rPr>
        <w:t xml:space="preserve">izglītības un pētniecības institūciju konkurētspēja; </w:t>
      </w:r>
    </w:p>
    <w:p w:rsidR="005D4C0B" w:rsidRPr="0003106C" w:rsidRDefault="005D4C0B" w:rsidP="00494919">
      <w:pPr>
        <w:pStyle w:val="Default"/>
        <w:numPr>
          <w:ilvl w:val="0"/>
          <w:numId w:val="25"/>
        </w:numPr>
        <w:tabs>
          <w:tab w:val="clear" w:pos="720"/>
          <w:tab w:val="num" w:pos="993"/>
        </w:tabs>
        <w:spacing w:after="60"/>
        <w:ind w:left="993" w:hanging="284"/>
        <w:jc w:val="both"/>
        <w:rPr>
          <w:sz w:val="26"/>
          <w:szCs w:val="26"/>
        </w:rPr>
      </w:pPr>
      <w:r w:rsidRPr="0003106C">
        <w:rPr>
          <w:sz w:val="26"/>
          <w:szCs w:val="26"/>
        </w:rPr>
        <w:t xml:space="preserve">Latvijas ģeopolitiskais novietojums; </w:t>
      </w:r>
    </w:p>
    <w:p w:rsidR="005D4C0B" w:rsidRPr="0003106C" w:rsidRDefault="005D4C0B" w:rsidP="00494919">
      <w:pPr>
        <w:pStyle w:val="Default"/>
        <w:numPr>
          <w:ilvl w:val="0"/>
          <w:numId w:val="25"/>
        </w:numPr>
        <w:tabs>
          <w:tab w:val="clear" w:pos="720"/>
          <w:tab w:val="num" w:pos="993"/>
        </w:tabs>
        <w:spacing w:after="60"/>
        <w:ind w:left="993" w:hanging="284"/>
        <w:jc w:val="both"/>
        <w:rPr>
          <w:sz w:val="26"/>
          <w:szCs w:val="26"/>
        </w:rPr>
      </w:pPr>
      <w:r w:rsidRPr="0003106C">
        <w:rPr>
          <w:sz w:val="26"/>
          <w:szCs w:val="26"/>
        </w:rPr>
        <w:t xml:space="preserve">pieejamie Latvijas dabas resursi; </w:t>
      </w:r>
    </w:p>
    <w:p w:rsidR="005D4C0B" w:rsidRPr="0003106C" w:rsidRDefault="005D4C0B" w:rsidP="00494919">
      <w:pPr>
        <w:pStyle w:val="Default"/>
        <w:numPr>
          <w:ilvl w:val="0"/>
          <w:numId w:val="25"/>
        </w:numPr>
        <w:tabs>
          <w:tab w:val="clear" w:pos="720"/>
          <w:tab w:val="num" w:pos="993"/>
        </w:tabs>
        <w:spacing w:after="60"/>
        <w:ind w:left="993" w:hanging="284"/>
        <w:jc w:val="both"/>
        <w:rPr>
          <w:sz w:val="26"/>
          <w:szCs w:val="26"/>
        </w:rPr>
      </w:pPr>
      <w:r w:rsidRPr="0003106C">
        <w:rPr>
          <w:sz w:val="26"/>
          <w:szCs w:val="26"/>
        </w:rPr>
        <w:lastRenderedPageBreak/>
        <w:t xml:space="preserve">darbaspēka prasmes un tradīcijas ilgākā laika posmā; </w:t>
      </w:r>
    </w:p>
    <w:p w:rsidR="005D4C0B" w:rsidRPr="0003106C" w:rsidRDefault="005D4C0B" w:rsidP="00494919">
      <w:pPr>
        <w:pStyle w:val="Default"/>
        <w:numPr>
          <w:ilvl w:val="0"/>
          <w:numId w:val="25"/>
        </w:numPr>
        <w:tabs>
          <w:tab w:val="clear" w:pos="720"/>
          <w:tab w:val="num" w:pos="993"/>
        </w:tabs>
        <w:spacing w:after="60"/>
        <w:ind w:left="993" w:hanging="284"/>
        <w:jc w:val="both"/>
        <w:rPr>
          <w:sz w:val="26"/>
          <w:szCs w:val="26"/>
        </w:rPr>
      </w:pPr>
      <w:r w:rsidRPr="0003106C">
        <w:rPr>
          <w:sz w:val="26"/>
          <w:szCs w:val="26"/>
        </w:rPr>
        <w:t>nozares izaugsmes temps un iespējas;</w:t>
      </w:r>
    </w:p>
    <w:p w:rsidR="005D4C0B" w:rsidRPr="0003106C" w:rsidRDefault="005D4C0B" w:rsidP="00494919">
      <w:pPr>
        <w:pStyle w:val="Default"/>
        <w:numPr>
          <w:ilvl w:val="0"/>
          <w:numId w:val="25"/>
        </w:numPr>
        <w:tabs>
          <w:tab w:val="clear" w:pos="720"/>
          <w:tab w:val="num" w:pos="993"/>
        </w:tabs>
        <w:spacing w:after="60"/>
        <w:ind w:left="993" w:hanging="284"/>
        <w:jc w:val="both"/>
        <w:rPr>
          <w:sz w:val="26"/>
          <w:szCs w:val="26"/>
        </w:rPr>
      </w:pPr>
      <w:r w:rsidRPr="0003106C">
        <w:rPr>
          <w:sz w:val="26"/>
          <w:szCs w:val="26"/>
        </w:rPr>
        <w:t>atbilstība kopējiem ES politikas mērķiem.</w:t>
      </w:r>
    </w:p>
    <w:p w:rsidR="00DB04BD" w:rsidRPr="0003106C" w:rsidRDefault="007D1129" w:rsidP="00161EE7">
      <w:pPr>
        <w:pStyle w:val="BodyText"/>
        <w:ind w:firstLine="567"/>
        <w:jc w:val="both"/>
        <w:rPr>
          <w:sz w:val="26"/>
          <w:szCs w:val="26"/>
        </w:rPr>
      </w:pPr>
      <w:r w:rsidRPr="0003106C">
        <w:rPr>
          <w:sz w:val="26"/>
          <w:szCs w:val="26"/>
        </w:rPr>
        <w:t xml:space="preserve">Attiecīgo nozaru, kā arī </w:t>
      </w:r>
      <w:r w:rsidR="00974A06" w:rsidRPr="0003106C">
        <w:rPr>
          <w:sz w:val="26"/>
          <w:szCs w:val="26"/>
        </w:rPr>
        <w:t xml:space="preserve">to </w:t>
      </w:r>
      <w:r w:rsidRPr="0003106C">
        <w:rPr>
          <w:sz w:val="26"/>
          <w:szCs w:val="26"/>
        </w:rPr>
        <w:t xml:space="preserve">konkurētspēju priekšrocību uzskaitījums un konkrētās jomas, kurās ĀTI piesaistāmas, norādītas </w:t>
      </w:r>
      <w:r w:rsidR="007A5498" w:rsidRPr="0003106C">
        <w:rPr>
          <w:sz w:val="26"/>
          <w:szCs w:val="26"/>
        </w:rPr>
        <w:t>1</w:t>
      </w:r>
      <w:r w:rsidR="00E32A06" w:rsidRPr="0003106C">
        <w:rPr>
          <w:sz w:val="26"/>
          <w:szCs w:val="26"/>
        </w:rPr>
        <w:t>1</w:t>
      </w:r>
      <w:r w:rsidRPr="0003106C">
        <w:rPr>
          <w:sz w:val="26"/>
          <w:szCs w:val="26"/>
        </w:rPr>
        <w:t xml:space="preserve">.pielikumā. </w:t>
      </w:r>
      <w:bookmarkStart w:id="20" w:name="_Toc305487029"/>
    </w:p>
    <w:p w:rsidR="007D1129" w:rsidRPr="0003106C" w:rsidRDefault="007D1129" w:rsidP="007D1129">
      <w:pPr>
        <w:pStyle w:val="Heading2"/>
        <w:ind w:firstLine="567"/>
        <w:rPr>
          <w:rFonts w:ascii="Times New Roman" w:hAnsi="Times New Roman" w:cs="Times New Roman"/>
          <w:i w:val="0"/>
          <w:sz w:val="26"/>
          <w:szCs w:val="26"/>
        </w:rPr>
      </w:pPr>
      <w:bookmarkStart w:id="21" w:name="_Toc355961040"/>
      <w:r w:rsidRPr="0003106C">
        <w:rPr>
          <w:rFonts w:ascii="Times New Roman" w:hAnsi="Times New Roman" w:cs="Times New Roman"/>
          <w:i w:val="0"/>
          <w:sz w:val="26"/>
          <w:szCs w:val="26"/>
        </w:rPr>
        <w:t>4.3.3. ĀTI piesaistes mērķa valstis</w:t>
      </w:r>
      <w:bookmarkEnd w:id="20"/>
      <w:bookmarkEnd w:id="21"/>
    </w:p>
    <w:p w:rsidR="007D1129" w:rsidRPr="0003106C" w:rsidRDefault="007D1129" w:rsidP="007D1129">
      <w:pPr>
        <w:pStyle w:val="Default"/>
        <w:keepNext/>
        <w:ind w:firstLine="567"/>
        <w:jc w:val="both"/>
        <w:rPr>
          <w:color w:val="auto"/>
          <w:sz w:val="26"/>
          <w:szCs w:val="26"/>
        </w:rPr>
      </w:pPr>
      <w:r w:rsidRPr="0003106C">
        <w:rPr>
          <w:color w:val="auto"/>
          <w:sz w:val="26"/>
          <w:szCs w:val="26"/>
        </w:rPr>
        <w:t xml:space="preserve">ĀTI piesaistes mērķa valstu definēšana ļauj mērķtiecīgi plānot un orientēt LIAA un citu ĀTI piesaistē iesaistīto institūciju darbību, tādējādi iespējami efektīvāk izmantojot pieejamos finanšu un cilvēkresursus, lai sasniegtu ĀTI piesaistes mērķi – ĀTI piesaiste uz ārējo pieprasījumu orientētās nozarēs. Vienlaikus mērķa valstu noteikšana neierobežo komersantu un to pārstāvošo organizāciju ĀTI piesaistes aktivitātes citās valstīs. </w:t>
      </w:r>
    </w:p>
    <w:p w:rsidR="007D1129" w:rsidRPr="0003106C" w:rsidRDefault="007D1129" w:rsidP="007D1129">
      <w:pPr>
        <w:pStyle w:val="Default"/>
        <w:spacing w:after="60"/>
        <w:ind w:firstLine="567"/>
        <w:jc w:val="both"/>
        <w:rPr>
          <w:color w:val="auto"/>
          <w:sz w:val="26"/>
          <w:szCs w:val="26"/>
        </w:rPr>
      </w:pPr>
      <w:r w:rsidRPr="0003106C">
        <w:rPr>
          <w:color w:val="auto"/>
          <w:sz w:val="26"/>
          <w:szCs w:val="26"/>
        </w:rPr>
        <w:t>Mērķa valstis, no kurām piesaistīt investīcijas, tika noteiktas</w:t>
      </w:r>
      <w:r w:rsidR="00B32080" w:rsidRPr="0003106C">
        <w:rPr>
          <w:color w:val="auto"/>
          <w:sz w:val="26"/>
          <w:szCs w:val="26"/>
        </w:rPr>
        <w:t>,</w:t>
      </w:r>
      <w:r w:rsidRPr="0003106C">
        <w:rPr>
          <w:color w:val="auto"/>
          <w:sz w:val="26"/>
          <w:szCs w:val="26"/>
        </w:rPr>
        <w:t xml:space="preserve"> pamatojoties uz šādiem izvērtēšanas kritērijiem:</w:t>
      </w:r>
    </w:p>
    <w:p w:rsidR="007D1129" w:rsidRPr="0003106C" w:rsidRDefault="007D1129" w:rsidP="007D1129">
      <w:pPr>
        <w:pStyle w:val="Default"/>
        <w:numPr>
          <w:ilvl w:val="0"/>
          <w:numId w:val="6"/>
        </w:numPr>
        <w:spacing w:after="60"/>
        <w:ind w:left="851" w:hanging="284"/>
        <w:jc w:val="both"/>
        <w:rPr>
          <w:color w:val="auto"/>
          <w:sz w:val="26"/>
          <w:szCs w:val="26"/>
        </w:rPr>
      </w:pPr>
      <w:r w:rsidRPr="0003106C">
        <w:rPr>
          <w:color w:val="auto"/>
          <w:sz w:val="26"/>
          <w:szCs w:val="26"/>
        </w:rPr>
        <w:t>ģeogrāfiski tuvas kaimiņvalstis, kur</w:t>
      </w:r>
      <w:r w:rsidR="00161EE7" w:rsidRPr="0003106C">
        <w:rPr>
          <w:color w:val="auto"/>
          <w:sz w:val="26"/>
          <w:szCs w:val="26"/>
        </w:rPr>
        <w:t>ās</w:t>
      </w:r>
      <w:r w:rsidRPr="0003106C">
        <w:rPr>
          <w:color w:val="auto"/>
          <w:sz w:val="26"/>
          <w:szCs w:val="26"/>
        </w:rPr>
        <w:t xml:space="preserve"> Latvija ir atpazīstama, un nav jāiegulda papildu resursi inform</w:t>
      </w:r>
      <w:r w:rsidR="00B32080" w:rsidRPr="0003106C">
        <w:rPr>
          <w:color w:val="auto"/>
          <w:sz w:val="26"/>
          <w:szCs w:val="26"/>
        </w:rPr>
        <w:t>atīviem</w:t>
      </w:r>
      <w:r w:rsidRPr="0003106C">
        <w:rPr>
          <w:color w:val="auto"/>
          <w:sz w:val="26"/>
          <w:szCs w:val="26"/>
        </w:rPr>
        <w:t xml:space="preserve"> pasākumiem;</w:t>
      </w:r>
    </w:p>
    <w:p w:rsidR="007D1129" w:rsidRPr="0003106C" w:rsidRDefault="007D1129" w:rsidP="007D1129">
      <w:pPr>
        <w:pStyle w:val="Default"/>
        <w:numPr>
          <w:ilvl w:val="0"/>
          <w:numId w:val="6"/>
        </w:numPr>
        <w:spacing w:after="60"/>
        <w:ind w:left="851" w:hanging="284"/>
        <w:jc w:val="both"/>
        <w:rPr>
          <w:color w:val="auto"/>
          <w:sz w:val="26"/>
          <w:szCs w:val="26"/>
        </w:rPr>
      </w:pPr>
      <w:r w:rsidRPr="0003106C">
        <w:rPr>
          <w:color w:val="auto"/>
          <w:sz w:val="26"/>
          <w:szCs w:val="26"/>
        </w:rPr>
        <w:t xml:space="preserve">ekonomiski stabilas un attīstītas valstis, kurās ir </w:t>
      </w:r>
      <w:r w:rsidRPr="0003106C">
        <w:rPr>
          <w:color w:val="auto"/>
          <w:sz w:val="26"/>
          <w:szCs w:val="26"/>
          <w:shd w:val="clear" w:color="auto" w:fill="FFFFFF"/>
        </w:rPr>
        <w:t xml:space="preserve">attīstītas </w:t>
      </w:r>
      <w:r w:rsidR="006A796B" w:rsidRPr="0003106C">
        <w:rPr>
          <w:color w:val="auto"/>
          <w:sz w:val="26"/>
          <w:szCs w:val="26"/>
          <w:shd w:val="clear" w:color="auto" w:fill="FFFFFF"/>
        </w:rPr>
        <w:t xml:space="preserve">pamatnostādnēs </w:t>
      </w:r>
      <w:r w:rsidRPr="0003106C">
        <w:rPr>
          <w:color w:val="auto"/>
          <w:sz w:val="26"/>
          <w:szCs w:val="26"/>
          <w:shd w:val="clear" w:color="auto" w:fill="FFFFFF"/>
        </w:rPr>
        <w:t xml:space="preserve"> identificētās</w:t>
      </w:r>
      <w:r w:rsidRPr="0003106C">
        <w:rPr>
          <w:color w:val="auto"/>
          <w:sz w:val="26"/>
          <w:szCs w:val="26"/>
        </w:rPr>
        <w:t xml:space="preserve"> mērķa nozares un attiecīgās valsts nozaru attīstības potenciāls un vajadzības atbilst perspektīvas starpvalstu sadarbības iespējām; </w:t>
      </w:r>
    </w:p>
    <w:p w:rsidR="007D1129" w:rsidRPr="0003106C" w:rsidRDefault="007D1129" w:rsidP="007D1129">
      <w:pPr>
        <w:pStyle w:val="Default"/>
        <w:numPr>
          <w:ilvl w:val="0"/>
          <w:numId w:val="6"/>
        </w:numPr>
        <w:spacing w:after="60"/>
        <w:ind w:left="851" w:hanging="284"/>
        <w:jc w:val="both"/>
        <w:rPr>
          <w:color w:val="auto"/>
          <w:sz w:val="26"/>
          <w:szCs w:val="26"/>
        </w:rPr>
      </w:pPr>
      <w:r w:rsidRPr="0003106C">
        <w:rPr>
          <w:color w:val="auto"/>
          <w:sz w:val="26"/>
          <w:szCs w:val="26"/>
        </w:rPr>
        <w:t xml:space="preserve">valstis, no kurām globāli ir lielākās izejošo investīciju plūsmas – ASV, Francija, Vācija, Lielbritānijas un Ziemeļīrijas Apvienotā </w:t>
      </w:r>
      <w:r w:rsidR="00B32080" w:rsidRPr="0003106C">
        <w:rPr>
          <w:color w:val="auto"/>
          <w:sz w:val="26"/>
          <w:szCs w:val="26"/>
        </w:rPr>
        <w:t>K</w:t>
      </w:r>
      <w:r w:rsidRPr="0003106C">
        <w:rPr>
          <w:color w:val="auto"/>
          <w:sz w:val="26"/>
          <w:szCs w:val="26"/>
        </w:rPr>
        <w:t xml:space="preserve">araliste (turpmāk – Apvienotā </w:t>
      </w:r>
      <w:r w:rsidR="00B32080" w:rsidRPr="0003106C">
        <w:rPr>
          <w:color w:val="auto"/>
          <w:sz w:val="26"/>
          <w:szCs w:val="26"/>
        </w:rPr>
        <w:t>K</w:t>
      </w:r>
      <w:r w:rsidRPr="0003106C">
        <w:rPr>
          <w:color w:val="auto"/>
          <w:sz w:val="26"/>
          <w:szCs w:val="26"/>
        </w:rPr>
        <w:t>araliste), Japāna, Ķīna, Krievija, Indija.</w:t>
      </w:r>
    </w:p>
    <w:p w:rsidR="007D1129" w:rsidRPr="0003106C" w:rsidRDefault="007D1129" w:rsidP="007D1129">
      <w:pPr>
        <w:pStyle w:val="Default"/>
        <w:spacing w:after="60"/>
        <w:ind w:firstLine="567"/>
        <w:jc w:val="both"/>
        <w:rPr>
          <w:color w:val="auto"/>
          <w:sz w:val="26"/>
          <w:szCs w:val="26"/>
        </w:rPr>
      </w:pPr>
      <w:r w:rsidRPr="0003106C">
        <w:rPr>
          <w:color w:val="auto"/>
          <w:sz w:val="26"/>
          <w:szCs w:val="26"/>
        </w:rPr>
        <w:t>Ņemot vērā iepriekš definētos kritērijus pamatnostādnēs noteiktajām mērķa nozarēm</w:t>
      </w:r>
      <w:r w:rsidR="00B32080" w:rsidRPr="0003106C">
        <w:rPr>
          <w:color w:val="auto"/>
          <w:sz w:val="26"/>
          <w:szCs w:val="26"/>
        </w:rPr>
        <w:t>,</w:t>
      </w:r>
      <w:r w:rsidRPr="0003106C">
        <w:rPr>
          <w:color w:val="auto"/>
          <w:sz w:val="26"/>
          <w:szCs w:val="26"/>
        </w:rPr>
        <w:t xml:space="preserve"> ārvalstu investīciju piesaistes aktivitātes tiks </w:t>
      </w:r>
      <w:r w:rsidR="0038256B" w:rsidRPr="0003106C">
        <w:rPr>
          <w:color w:val="auto"/>
          <w:sz w:val="26"/>
          <w:szCs w:val="26"/>
        </w:rPr>
        <w:t>īstenotas</w:t>
      </w:r>
      <w:r w:rsidRPr="0003106C">
        <w:rPr>
          <w:color w:val="auto"/>
          <w:sz w:val="26"/>
          <w:szCs w:val="26"/>
        </w:rPr>
        <w:t xml:space="preserve"> galvenokārt sekojošās mērķa valstīs (prioritātes kategoriju ietvaros valst</w:t>
      </w:r>
      <w:r w:rsidR="006A796B" w:rsidRPr="0003106C">
        <w:rPr>
          <w:color w:val="auto"/>
          <w:sz w:val="26"/>
          <w:szCs w:val="26"/>
        </w:rPr>
        <w:t>i</w:t>
      </w:r>
      <w:r w:rsidRPr="0003106C">
        <w:rPr>
          <w:color w:val="auto"/>
          <w:sz w:val="26"/>
          <w:szCs w:val="26"/>
        </w:rPr>
        <w:t>s grupētas alfabēta secībā):</w:t>
      </w:r>
    </w:p>
    <w:p w:rsidR="007D1129" w:rsidRPr="0003106C" w:rsidRDefault="007D1129" w:rsidP="007D1129">
      <w:pPr>
        <w:pStyle w:val="Default"/>
        <w:spacing w:after="60"/>
        <w:ind w:firstLine="567"/>
        <w:jc w:val="both"/>
        <w:rPr>
          <w:color w:val="auto"/>
          <w:sz w:val="26"/>
          <w:szCs w:val="26"/>
        </w:rPr>
      </w:pPr>
    </w:p>
    <w:p w:rsidR="007D1129" w:rsidRPr="0003106C" w:rsidRDefault="007D1129" w:rsidP="007D1129">
      <w:pPr>
        <w:pStyle w:val="Default"/>
        <w:spacing w:after="60"/>
        <w:ind w:firstLine="567"/>
        <w:jc w:val="both"/>
        <w:rPr>
          <w:color w:val="auto"/>
          <w:sz w:val="26"/>
          <w:szCs w:val="26"/>
        </w:rPr>
      </w:pPr>
    </w:p>
    <w:p w:rsidR="007D1129" w:rsidRPr="0003106C" w:rsidRDefault="007D1129" w:rsidP="007D1129">
      <w:pPr>
        <w:pStyle w:val="Default"/>
        <w:keepNext/>
        <w:jc w:val="right"/>
        <w:rPr>
          <w:color w:val="auto"/>
          <w:sz w:val="26"/>
          <w:szCs w:val="26"/>
        </w:rPr>
      </w:pPr>
      <w:r w:rsidRPr="0003106C">
        <w:rPr>
          <w:color w:val="auto"/>
          <w:sz w:val="26"/>
          <w:szCs w:val="26"/>
        </w:rPr>
        <w:t>1.tabula</w:t>
      </w:r>
    </w:p>
    <w:p w:rsidR="007D1129" w:rsidRPr="0003106C" w:rsidRDefault="007D1129" w:rsidP="007D1129">
      <w:pPr>
        <w:pStyle w:val="Default"/>
        <w:keepNext/>
        <w:spacing w:after="120"/>
        <w:jc w:val="center"/>
        <w:rPr>
          <w:b/>
          <w:color w:val="auto"/>
          <w:sz w:val="26"/>
          <w:szCs w:val="26"/>
        </w:rPr>
      </w:pPr>
      <w:r w:rsidRPr="0003106C">
        <w:rPr>
          <w:b/>
          <w:color w:val="auto"/>
          <w:sz w:val="26"/>
          <w:szCs w:val="26"/>
        </w:rPr>
        <w:t>Mērķa valstis (alfabētiskā kārtībā)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977"/>
        <w:gridCol w:w="2693"/>
      </w:tblGrid>
      <w:tr w:rsidR="001E0AA2" w:rsidRPr="0003106C" w:rsidTr="00DA4ED5">
        <w:trPr>
          <w:tblHeader/>
        </w:trPr>
        <w:tc>
          <w:tcPr>
            <w:tcW w:w="2943" w:type="dxa"/>
            <w:shd w:val="clear" w:color="auto" w:fill="DBE5F1"/>
          </w:tcPr>
          <w:p w:rsidR="007D1129" w:rsidRPr="0003106C" w:rsidRDefault="007D1129" w:rsidP="00DA4ED5">
            <w:pPr>
              <w:pStyle w:val="Default"/>
              <w:keepNext/>
              <w:spacing w:before="20" w:after="20"/>
              <w:jc w:val="center"/>
              <w:rPr>
                <w:b/>
                <w:color w:val="auto"/>
                <w:lang w:eastAsia="en-US"/>
              </w:rPr>
            </w:pPr>
            <w:r w:rsidRPr="0003106C">
              <w:rPr>
                <w:b/>
                <w:color w:val="auto"/>
                <w:lang w:eastAsia="en-US"/>
              </w:rPr>
              <w:t>Augsti prioritārās valstis</w:t>
            </w:r>
          </w:p>
        </w:tc>
        <w:tc>
          <w:tcPr>
            <w:tcW w:w="2977" w:type="dxa"/>
            <w:shd w:val="clear" w:color="auto" w:fill="DBE5F1"/>
          </w:tcPr>
          <w:p w:rsidR="007D1129" w:rsidRPr="0003106C" w:rsidRDefault="007D1129" w:rsidP="00DA4ED5">
            <w:pPr>
              <w:pStyle w:val="Default"/>
              <w:keepNext/>
              <w:spacing w:before="20" w:after="20"/>
              <w:jc w:val="center"/>
              <w:rPr>
                <w:b/>
                <w:color w:val="auto"/>
                <w:lang w:eastAsia="en-US"/>
              </w:rPr>
            </w:pPr>
            <w:r w:rsidRPr="0003106C">
              <w:rPr>
                <w:b/>
                <w:color w:val="auto"/>
                <w:lang w:eastAsia="en-US"/>
              </w:rPr>
              <w:t>Prioritārās valstis</w:t>
            </w:r>
          </w:p>
        </w:tc>
        <w:tc>
          <w:tcPr>
            <w:tcW w:w="2693" w:type="dxa"/>
            <w:shd w:val="clear" w:color="auto" w:fill="DBE5F1"/>
          </w:tcPr>
          <w:p w:rsidR="007D1129" w:rsidRPr="0003106C" w:rsidRDefault="007D1129" w:rsidP="00DA4ED5">
            <w:pPr>
              <w:pStyle w:val="Default"/>
              <w:keepNext/>
              <w:spacing w:before="20" w:after="20"/>
              <w:jc w:val="center"/>
              <w:rPr>
                <w:b/>
                <w:color w:val="auto"/>
                <w:lang w:eastAsia="en-US"/>
              </w:rPr>
            </w:pPr>
            <w:r w:rsidRPr="0003106C">
              <w:rPr>
                <w:b/>
                <w:color w:val="auto"/>
                <w:lang w:eastAsia="en-US"/>
              </w:rPr>
              <w:t>Sekundārās valstis</w:t>
            </w:r>
          </w:p>
        </w:tc>
      </w:tr>
      <w:tr w:rsidR="001E0AA2" w:rsidRPr="0003106C" w:rsidTr="00DA4ED5">
        <w:tc>
          <w:tcPr>
            <w:tcW w:w="8613" w:type="dxa"/>
            <w:gridSpan w:val="3"/>
          </w:tcPr>
          <w:p w:rsidR="007D1129" w:rsidRPr="0003106C" w:rsidRDefault="007D1129" w:rsidP="00DA4ED5">
            <w:pPr>
              <w:pStyle w:val="Default"/>
              <w:spacing w:before="20" w:after="20"/>
              <w:jc w:val="center"/>
              <w:rPr>
                <w:b/>
                <w:color w:val="auto"/>
                <w:lang w:eastAsia="en-US"/>
              </w:rPr>
            </w:pPr>
            <w:r w:rsidRPr="0003106C">
              <w:rPr>
                <w:b/>
                <w:color w:val="auto"/>
              </w:rPr>
              <w:t>Metālapstrāde un mašīnbūve</w:t>
            </w:r>
          </w:p>
        </w:tc>
      </w:tr>
      <w:tr w:rsidR="001E0AA2" w:rsidRPr="0003106C" w:rsidTr="00DA4ED5">
        <w:tc>
          <w:tcPr>
            <w:tcW w:w="2943" w:type="dxa"/>
          </w:tcPr>
          <w:p w:rsidR="007D1129" w:rsidRPr="0003106C" w:rsidRDefault="007D1129" w:rsidP="00DA4ED5">
            <w:pPr>
              <w:pStyle w:val="Default"/>
              <w:spacing w:before="20" w:after="20"/>
              <w:rPr>
                <w:color w:val="auto"/>
                <w:lang w:eastAsia="en-US"/>
              </w:rPr>
            </w:pPr>
            <w:r w:rsidRPr="0003106C">
              <w:rPr>
                <w:color w:val="auto"/>
                <w:lang w:eastAsia="en-US"/>
              </w:rPr>
              <w:t xml:space="preserve">Apvienotā </w:t>
            </w:r>
            <w:r w:rsidR="004F5C73" w:rsidRPr="0003106C">
              <w:rPr>
                <w:color w:val="auto"/>
                <w:lang w:eastAsia="en-US"/>
              </w:rPr>
              <w:t>K</w:t>
            </w:r>
            <w:r w:rsidRPr="0003106C">
              <w:rPr>
                <w:color w:val="auto"/>
                <w:lang w:eastAsia="en-US"/>
              </w:rPr>
              <w:t>araliste, Francija, Japāna, Nīderlande, Norvēģija, Vācija, Zviedrija</w:t>
            </w:r>
          </w:p>
        </w:tc>
        <w:tc>
          <w:tcPr>
            <w:tcW w:w="2977" w:type="dxa"/>
          </w:tcPr>
          <w:p w:rsidR="007D1129" w:rsidRPr="0003106C" w:rsidRDefault="007D1129" w:rsidP="00DA4ED5">
            <w:pPr>
              <w:pStyle w:val="Default"/>
              <w:spacing w:before="20" w:after="20"/>
              <w:rPr>
                <w:color w:val="auto"/>
                <w:lang w:eastAsia="en-US"/>
              </w:rPr>
            </w:pPr>
            <w:r w:rsidRPr="0003106C">
              <w:rPr>
                <w:color w:val="auto"/>
                <w:lang w:eastAsia="en-US"/>
              </w:rPr>
              <w:t>Dānija, Krievija, Ķīna, Somija</w:t>
            </w:r>
          </w:p>
        </w:tc>
        <w:tc>
          <w:tcPr>
            <w:tcW w:w="2693" w:type="dxa"/>
          </w:tcPr>
          <w:p w:rsidR="007D1129" w:rsidRPr="0003106C" w:rsidRDefault="007D1129" w:rsidP="00DA4ED5">
            <w:pPr>
              <w:pStyle w:val="Default"/>
              <w:spacing w:before="20" w:after="20"/>
              <w:rPr>
                <w:color w:val="auto"/>
                <w:lang w:eastAsia="en-US"/>
              </w:rPr>
            </w:pPr>
            <w:r w:rsidRPr="0003106C">
              <w:rPr>
                <w:color w:val="auto"/>
                <w:lang w:eastAsia="en-US"/>
              </w:rPr>
              <w:t xml:space="preserve">Indija, Itālija, Korejas Republika un citas valstis </w:t>
            </w:r>
          </w:p>
        </w:tc>
      </w:tr>
      <w:tr w:rsidR="001E0AA2" w:rsidRPr="0003106C" w:rsidTr="00DA4ED5">
        <w:tc>
          <w:tcPr>
            <w:tcW w:w="8613" w:type="dxa"/>
            <w:gridSpan w:val="3"/>
          </w:tcPr>
          <w:p w:rsidR="007D1129" w:rsidRPr="0003106C" w:rsidRDefault="007D1129" w:rsidP="00DA4ED5">
            <w:pPr>
              <w:pStyle w:val="Default"/>
              <w:spacing w:before="20" w:after="20"/>
              <w:jc w:val="center"/>
              <w:rPr>
                <w:color w:val="auto"/>
                <w:lang w:eastAsia="en-US"/>
              </w:rPr>
            </w:pPr>
            <w:r w:rsidRPr="0003106C">
              <w:rPr>
                <w:b/>
                <w:color w:val="auto"/>
                <w:lang w:eastAsia="en-US"/>
              </w:rPr>
              <w:t>Transports un loģistika</w:t>
            </w:r>
          </w:p>
        </w:tc>
      </w:tr>
      <w:tr w:rsidR="001E0AA2" w:rsidRPr="0003106C" w:rsidTr="00DA4ED5">
        <w:tc>
          <w:tcPr>
            <w:tcW w:w="2943" w:type="dxa"/>
          </w:tcPr>
          <w:p w:rsidR="007D1129" w:rsidRPr="0003106C" w:rsidRDefault="007D1129" w:rsidP="00DA4ED5">
            <w:pPr>
              <w:pStyle w:val="Default"/>
              <w:spacing w:before="20" w:after="20"/>
              <w:rPr>
                <w:color w:val="auto"/>
                <w:lang w:eastAsia="en-US"/>
              </w:rPr>
            </w:pPr>
            <w:r w:rsidRPr="0003106C">
              <w:rPr>
                <w:color w:val="auto"/>
                <w:lang w:eastAsia="en-US"/>
              </w:rPr>
              <w:t xml:space="preserve">Apvienotā </w:t>
            </w:r>
            <w:r w:rsidR="004F5C73" w:rsidRPr="0003106C">
              <w:rPr>
                <w:color w:val="auto"/>
                <w:lang w:eastAsia="en-US"/>
              </w:rPr>
              <w:t>K</w:t>
            </w:r>
            <w:r w:rsidRPr="0003106C">
              <w:rPr>
                <w:color w:val="auto"/>
                <w:lang w:eastAsia="en-US"/>
              </w:rPr>
              <w:t>araliste, ASV,</w:t>
            </w:r>
            <w:r w:rsidRPr="0003106C">
              <w:rPr>
                <w:color w:val="auto"/>
              </w:rPr>
              <w:t xml:space="preserve"> </w:t>
            </w:r>
            <w:r w:rsidRPr="0003106C">
              <w:rPr>
                <w:color w:val="auto"/>
                <w:lang w:eastAsia="en-US"/>
              </w:rPr>
              <w:t>Francija,</w:t>
            </w:r>
            <w:r w:rsidRPr="0003106C">
              <w:rPr>
                <w:color w:val="auto"/>
              </w:rPr>
              <w:t xml:space="preserve"> Kazahstāna, </w:t>
            </w:r>
            <w:r w:rsidRPr="0003106C">
              <w:rPr>
                <w:color w:val="auto"/>
                <w:lang w:eastAsia="en-US"/>
              </w:rPr>
              <w:t xml:space="preserve">Krievija, Ķīna </w:t>
            </w:r>
          </w:p>
        </w:tc>
        <w:tc>
          <w:tcPr>
            <w:tcW w:w="2977" w:type="dxa"/>
          </w:tcPr>
          <w:p w:rsidR="007D1129" w:rsidRPr="0003106C" w:rsidRDefault="007D1129" w:rsidP="00DA4ED5">
            <w:pPr>
              <w:pStyle w:val="Default"/>
              <w:spacing w:before="20" w:after="20"/>
              <w:rPr>
                <w:color w:val="auto"/>
                <w:lang w:eastAsia="en-US"/>
              </w:rPr>
            </w:pPr>
            <w:r w:rsidRPr="0003106C">
              <w:rPr>
                <w:color w:val="auto"/>
              </w:rPr>
              <w:t>Baltkrievija,</w:t>
            </w:r>
            <w:r w:rsidRPr="0003106C">
              <w:rPr>
                <w:color w:val="auto"/>
                <w:lang w:eastAsia="en-US"/>
              </w:rPr>
              <w:t xml:space="preserve"> Dānija, Nīderlande,</w:t>
            </w:r>
            <w:r w:rsidRPr="0003106C">
              <w:rPr>
                <w:color w:val="auto"/>
              </w:rPr>
              <w:t xml:space="preserve"> Norvēģija, </w:t>
            </w:r>
            <w:r w:rsidRPr="0003106C">
              <w:rPr>
                <w:color w:val="auto"/>
                <w:lang w:eastAsia="en-US"/>
              </w:rPr>
              <w:t>Singapūra,</w:t>
            </w:r>
            <w:r w:rsidRPr="0003106C">
              <w:rPr>
                <w:color w:val="auto"/>
              </w:rPr>
              <w:t xml:space="preserve"> Somija, Vācija, Zviedrija</w:t>
            </w:r>
          </w:p>
        </w:tc>
        <w:tc>
          <w:tcPr>
            <w:tcW w:w="2693" w:type="dxa"/>
          </w:tcPr>
          <w:p w:rsidR="007D1129" w:rsidRPr="0003106C" w:rsidRDefault="007D1129" w:rsidP="00DA4ED5">
            <w:pPr>
              <w:pStyle w:val="Default"/>
              <w:spacing w:before="20" w:after="20"/>
              <w:rPr>
                <w:color w:val="auto"/>
                <w:lang w:eastAsia="en-US"/>
              </w:rPr>
            </w:pPr>
            <w:r w:rsidRPr="0003106C">
              <w:rPr>
                <w:color w:val="auto"/>
                <w:lang w:eastAsia="en-US"/>
              </w:rPr>
              <w:t>Japāna un citas valstis</w:t>
            </w:r>
          </w:p>
        </w:tc>
      </w:tr>
      <w:tr w:rsidR="001E0AA2" w:rsidRPr="0003106C" w:rsidTr="00DA4ED5">
        <w:tc>
          <w:tcPr>
            <w:tcW w:w="8613" w:type="dxa"/>
            <w:gridSpan w:val="3"/>
          </w:tcPr>
          <w:p w:rsidR="007D1129" w:rsidRPr="0003106C" w:rsidRDefault="007D1129" w:rsidP="00DA4ED5">
            <w:pPr>
              <w:pStyle w:val="BodyText"/>
              <w:tabs>
                <w:tab w:val="left" w:pos="851"/>
              </w:tabs>
              <w:autoSpaceDE w:val="0"/>
              <w:autoSpaceDN w:val="0"/>
              <w:adjustRightInd w:val="0"/>
              <w:spacing w:before="20"/>
              <w:ind w:firstLine="567"/>
              <w:jc w:val="center"/>
              <w:rPr>
                <w:b/>
              </w:rPr>
            </w:pPr>
            <w:r w:rsidRPr="0003106C">
              <w:rPr>
                <w:b/>
              </w:rPr>
              <w:t>Informācijas tehnoloģijas</w:t>
            </w:r>
          </w:p>
          <w:p w:rsidR="007D1129" w:rsidRPr="0003106C" w:rsidRDefault="007D1129" w:rsidP="00572F92">
            <w:pPr>
              <w:pStyle w:val="Default"/>
              <w:spacing w:after="20"/>
              <w:ind w:firstLine="567"/>
              <w:jc w:val="center"/>
              <w:rPr>
                <w:color w:val="auto"/>
                <w:lang w:eastAsia="en-US"/>
              </w:rPr>
            </w:pPr>
            <w:r w:rsidRPr="0003106C">
              <w:rPr>
                <w:color w:val="auto"/>
                <w:lang w:eastAsia="en-US"/>
              </w:rPr>
              <w:t xml:space="preserve">(ieskaitot </w:t>
            </w:r>
            <w:r w:rsidR="00572F92" w:rsidRPr="0003106C">
              <w:rPr>
                <w:color w:val="auto"/>
                <w:lang w:eastAsia="en-US"/>
              </w:rPr>
              <w:t xml:space="preserve">globālo biznesa pakalpojumu </w:t>
            </w:r>
            <w:r w:rsidRPr="0003106C">
              <w:rPr>
                <w:color w:val="auto"/>
                <w:lang w:eastAsia="en-US"/>
              </w:rPr>
              <w:t>jomu)</w:t>
            </w:r>
          </w:p>
        </w:tc>
      </w:tr>
      <w:tr w:rsidR="001E0AA2" w:rsidRPr="0003106C" w:rsidTr="00DA4ED5">
        <w:tc>
          <w:tcPr>
            <w:tcW w:w="2943" w:type="dxa"/>
          </w:tcPr>
          <w:p w:rsidR="007D1129" w:rsidRPr="0003106C" w:rsidRDefault="007D1129" w:rsidP="00DA4ED5">
            <w:pPr>
              <w:pStyle w:val="Default"/>
              <w:spacing w:before="20" w:after="20"/>
              <w:rPr>
                <w:color w:val="auto"/>
                <w:lang w:eastAsia="en-US"/>
              </w:rPr>
            </w:pPr>
            <w:r w:rsidRPr="0003106C">
              <w:rPr>
                <w:color w:val="auto"/>
                <w:lang w:eastAsia="en-US"/>
              </w:rPr>
              <w:t xml:space="preserve">Apvienotā </w:t>
            </w:r>
            <w:r w:rsidR="004F5C73" w:rsidRPr="0003106C">
              <w:rPr>
                <w:color w:val="auto"/>
                <w:lang w:eastAsia="en-US"/>
              </w:rPr>
              <w:t>K</w:t>
            </w:r>
            <w:r w:rsidRPr="0003106C">
              <w:rPr>
                <w:color w:val="auto"/>
                <w:lang w:eastAsia="en-US"/>
              </w:rPr>
              <w:t xml:space="preserve">araliste, ASV, Indija, Japāna, Somija, </w:t>
            </w:r>
            <w:r w:rsidRPr="0003106C">
              <w:rPr>
                <w:color w:val="auto"/>
                <w:lang w:eastAsia="en-US"/>
              </w:rPr>
              <w:lastRenderedPageBreak/>
              <w:t>Vācija, Zviedrija</w:t>
            </w:r>
          </w:p>
        </w:tc>
        <w:tc>
          <w:tcPr>
            <w:tcW w:w="2977" w:type="dxa"/>
          </w:tcPr>
          <w:p w:rsidR="007D1129" w:rsidRPr="0003106C" w:rsidRDefault="007D1129" w:rsidP="00DA4ED5">
            <w:pPr>
              <w:pStyle w:val="Default"/>
              <w:spacing w:before="20" w:after="20"/>
              <w:rPr>
                <w:color w:val="auto"/>
                <w:lang w:eastAsia="en-US"/>
              </w:rPr>
            </w:pPr>
            <w:r w:rsidRPr="0003106C">
              <w:rPr>
                <w:color w:val="auto"/>
                <w:lang w:eastAsia="en-US"/>
              </w:rPr>
              <w:lastRenderedPageBreak/>
              <w:t xml:space="preserve">Dānija, Izraēla, Korejas Republika, Krievija, Ķīna, </w:t>
            </w:r>
            <w:r w:rsidRPr="0003106C">
              <w:rPr>
                <w:color w:val="auto"/>
                <w:lang w:eastAsia="en-US"/>
              </w:rPr>
              <w:lastRenderedPageBreak/>
              <w:t>Nīderlande, Norvēģija</w:t>
            </w:r>
          </w:p>
        </w:tc>
        <w:tc>
          <w:tcPr>
            <w:tcW w:w="2693" w:type="dxa"/>
          </w:tcPr>
          <w:p w:rsidR="007D1129" w:rsidRPr="0003106C" w:rsidRDefault="007D1129" w:rsidP="00DA4ED5">
            <w:pPr>
              <w:pStyle w:val="Default"/>
              <w:spacing w:before="20" w:after="20"/>
              <w:rPr>
                <w:color w:val="auto"/>
                <w:lang w:eastAsia="en-US"/>
              </w:rPr>
            </w:pPr>
            <w:r w:rsidRPr="0003106C">
              <w:rPr>
                <w:color w:val="auto"/>
                <w:lang w:eastAsia="en-US"/>
              </w:rPr>
              <w:lastRenderedPageBreak/>
              <w:t>Francija, Singapūra un citas valstis</w:t>
            </w:r>
          </w:p>
        </w:tc>
      </w:tr>
      <w:tr w:rsidR="001E0AA2" w:rsidRPr="0003106C" w:rsidTr="00DA4ED5">
        <w:tc>
          <w:tcPr>
            <w:tcW w:w="8613" w:type="dxa"/>
            <w:gridSpan w:val="3"/>
          </w:tcPr>
          <w:p w:rsidR="007D1129" w:rsidRPr="0003106C" w:rsidRDefault="007D1129" w:rsidP="00DA4ED5">
            <w:pPr>
              <w:pStyle w:val="Default"/>
              <w:spacing w:before="20" w:after="20"/>
              <w:ind w:firstLine="567"/>
              <w:jc w:val="center"/>
              <w:rPr>
                <w:color w:val="auto"/>
                <w:lang w:eastAsia="en-US"/>
              </w:rPr>
            </w:pPr>
            <w:r w:rsidRPr="0003106C">
              <w:rPr>
                <w:b/>
                <w:color w:val="auto"/>
                <w:lang w:eastAsia="en-US"/>
              </w:rPr>
              <w:lastRenderedPageBreak/>
              <w:t>Dzīvības</w:t>
            </w:r>
            <w:r w:rsidRPr="0003106C">
              <w:rPr>
                <w:color w:val="auto"/>
                <w:lang w:eastAsia="en-US"/>
              </w:rPr>
              <w:t xml:space="preserve"> </w:t>
            </w:r>
            <w:r w:rsidRPr="0003106C">
              <w:rPr>
                <w:b/>
                <w:color w:val="auto"/>
                <w:lang w:eastAsia="en-US"/>
              </w:rPr>
              <w:t>zinātnes</w:t>
            </w:r>
          </w:p>
        </w:tc>
      </w:tr>
      <w:tr w:rsidR="001E0AA2" w:rsidRPr="0003106C" w:rsidTr="00DA4ED5">
        <w:tc>
          <w:tcPr>
            <w:tcW w:w="2943" w:type="dxa"/>
          </w:tcPr>
          <w:p w:rsidR="007D1129" w:rsidRPr="0003106C" w:rsidRDefault="00241805" w:rsidP="00DA4ED5">
            <w:pPr>
              <w:pStyle w:val="Default"/>
              <w:spacing w:before="20" w:after="20"/>
              <w:ind w:firstLine="14"/>
              <w:rPr>
                <w:color w:val="auto"/>
                <w:lang w:eastAsia="en-US"/>
              </w:rPr>
            </w:pPr>
            <w:r w:rsidRPr="0003106C">
              <w:rPr>
                <w:color w:val="auto"/>
                <w:lang w:eastAsia="en-US"/>
              </w:rPr>
              <w:t>Apvienotā K</w:t>
            </w:r>
            <w:r w:rsidR="007D1129" w:rsidRPr="0003106C">
              <w:rPr>
                <w:color w:val="auto"/>
                <w:lang w:eastAsia="en-US"/>
              </w:rPr>
              <w:t xml:space="preserve">araliste, ASV, Francija, Japāna, Vācija, Zviedrija </w:t>
            </w:r>
          </w:p>
        </w:tc>
        <w:tc>
          <w:tcPr>
            <w:tcW w:w="2977" w:type="dxa"/>
          </w:tcPr>
          <w:p w:rsidR="007D1129" w:rsidRPr="0003106C" w:rsidRDefault="007D1129" w:rsidP="00DA4ED5">
            <w:pPr>
              <w:pStyle w:val="Default"/>
              <w:spacing w:before="20" w:after="20"/>
              <w:rPr>
                <w:color w:val="auto"/>
                <w:lang w:eastAsia="en-US"/>
              </w:rPr>
            </w:pPr>
            <w:r w:rsidRPr="0003106C">
              <w:rPr>
                <w:color w:val="auto"/>
                <w:lang w:eastAsia="en-US"/>
              </w:rPr>
              <w:t>Dānija, Izraēla, Nīderlande, Norvēģija, Somija</w:t>
            </w:r>
          </w:p>
        </w:tc>
        <w:tc>
          <w:tcPr>
            <w:tcW w:w="2693" w:type="dxa"/>
          </w:tcPr>
          <w:p w:rsidR="007D1129" w:rsidRPr="0003106C" w:rsidRDefault="007D1129" w:rsidP="00DA4ED5">
            <w:pPr>
              <w:pStyle w:val="Default"/>
              <w:spacing w:before="20" w:after="20"/>
              <w:rPr>
                <w:color w:val="auto"/>
                <w:lang w:eastAsia="en-US"/>
              </w:rPr>
            </w:pPr>
            <w:r w:rsidRPr="0003106C">
              <w:rPr>
                <w:color w:val="auto"/>
                <w:lang w:eastAsia="en-US"/>
              </w:rPr>
              <w:t>Indija, Krievija un citas valstis</w:t>
            </w:r>
          </w:p>
        </w:tc>
      </w:tr>
      <w:tr w:rsidR="001E0AA2" w:rsidRPr="0003106C" w:rsidTr="00DA4ED5">
        <w:tc>
          <w:tcPr>
            <w:tcW w:w="8613" w:type="dxa"/>
            <w:gridSpan w:val="3"/>
          </w:tcPr>
          <w:p w:rsidR="007D1129" w:rsidRPr="0003106C" w:rsidRDefault="007D1129" w:rsidP="00DA4ED5">
            <w:pPr>
              <w:pStyle w:val="Default"/>
              <w:spacing w:before="20" w:after="20"/>
              <w:jc w:val="center"/>
              <w:rPr>
                <w:b/>
                <w:color w:val="auto"/>
                <w:lang w:eastAsia="en-US"/>
              </w:rPr>
            </w:pPr>
            <w:r w:rsidRPr="0003106C">
              <w:rPr>
                <w:b/>
                <w:color w:val="auto"/>
              </w:rPr>
              <w:t>Veselības aprūpe</w:t>
            </w:r>
          </w:p>
        </w:tc>
      </w:tr>
      <w:tr w:rsidR="001E0AA2" w:rsidRPr="0003106C" w:rsidTr="00DA4ED5">
        <w:tc>
          <w:tcPr>
            <w:tcW w:w="2943" w:type="dxa"/>
          </w:tcPr>
          <w:p w:rsidR="007D1129" w:rsidRPr="0003106C" w:rsidRDefault="00241805" w:rsidP="00DA4ED5">
            <w:pPr>
              <w:pStyle w:val="Default"/>
              <w:spacing w:before="20" w:after="20"/>
              <w:rPr>
                <w:color w:val="auto"/>
                <w:lang w:eastAsia="en-US"/>
              </w:rPr>
            </w:pPr>
            <w:r w:rsidRPr="0003106C">
              <w:rPr>
                <w:color w:val="auto"/>
                <w:lang w:eastAsia="en-US"/>
              </w:rPr>
              <w:t>Apvienotā K</w:t>
            </w:r>
            <w:r w:rsidR="007D1129" w:rsidRPr="0003106C">
              <w:rPr>
                <w:color w:val="auto"/>
                <w:lang w:eastAsia="en-US"/>
              </w:rPr>
              <w:t>araliste, Dānija, Izraēla, Krievija, Norvēģija, Somija, Vācija, Zviedrija</w:t>
            </w:r>
          </w:p>
        </w:tc>
        <w:tc>
          <w:tcPr>
            <w:tcW w:w="2977" w:type="dxa"/>
          </w:tcPr>
          <w:p w:rsidR="007D1129" w:rsidRPr="0003106C" w:rsidRDefault="007D1129" w:rsidP="00DA4ED5">
            <w:pPr>
              <w:pStyle w:val="Default"/>
              <w:spacing w:before="20" w:after="20"/>
              <w:rPr>
                <w:color w:val="auto"/>
                <w:lang w:eastAsia="en-US"/>
              </w:rPr>
            </w:pPr>
            <w:r w:rsidRPr="0003106C">
              <w:rPr>
                <w:color w:val="auto"/>
                <w:lang w:eastAsia="en-US"/>
              </w:rPr>
              <w:t>ASV, Francija, Nīderlande</w:t>
            </w:r>
          </w:p>
        </w:tc>
        <w:tc>
          <w:tcPr>
            <w:tcW w:w="2693" w:type="dxa"/>
          </w:tcPr>
          <w:p w:rsidR="007D1129" w:rsidRPr="0003106C" w:rsidRDefault="007D1129" w:rsidP="00DA4ED5">
            <w:pPr>
              <w:pStyle w:val="Default"/>
              <w:spacing w:before="20" w:after="20"/>
              <w:ind w:firstLine="34"/>
              <w:rPr>
                <w:color w:val="auto"/>
                <w:lang w:eastAsia="en-US"/>
              </w:rPr>
            </w:pPr>
            <w:r w:rsidRPr="0003106C">
              <w:rPr>
                <w:color w:val="auto"/>
                <w:lang w:eastAsia="en-US"/>
              </w:rPr>
              <w:t>Citas valstis</w:t>
            </w:r>
          </w:p>
        </w:tc>
      </w:tr>
      <w:tr w:rsidR="001E0AA2" w:rsidRPr="0003106C" w:rsidTr="00DA4ED5">
        <w:tc>
          <w:tcPr>
            <w:tcW w:w="8613" w:type="dxa"/>
            <w:gridSpan w:val="3"/>
          </w:tcPr>
          <w:p w:rsidR="007D1129" w:rsidRPr="0003106C" w:rsidRDefault="007D1129" w:rsidP="00DA4ED5">
            <w:pPr>
              <w:pStyle w:val="Default"/>
              <w:spacing w:before="20" w:after="20"/>
              <w:ind w:firstLine="567"/>
              <w:jc w:val="center"/>
              <w:rPr>
                <w:color w:val="auto"/>
                <w:lang w:eastAsia="en-US"/>
              </w:rPr>
            </w:pPr>
            <w:r w:rsidRPr="0003106C">
              <w:rPr>
                <w:b/>
                <w:color w:val="auto"/>
              </w:rPr>
              <w:t>Kokrūpniecība</w:t>
            </w:r>
          </w:p>
        </w:tc>
      </w:tr>
      <w:tr w:rsidR="001E0AA2" w:rsidRPr="0003106C" w:rsidTr="00DA4ED5">
        <w:tc>
          <w:tcPr>
            <w:tcW w:w="2943" w:type="dxa"/>
          </w:tcPr>
          <w:p w:rsidR="007D1129" w:rsidRPr="0003106C" w:rsidRDefault="00241805" w:rsidP="00DA4ED5">
            <w:pPr>
              <w:pStyle w:val="Default"/>
              <w:spacing w:before="20" w:after="20"/>
              <w:rPr>
                <w:color w:val="auto"/>
                <w:lang w:eastAsia="en-US"/>
              </w:rPr>
            </w:pPr>
            <w:r w:rsidRPr="0003106C">
              <w:rPr>
                <w:color w:val="auto"/>
                <w:lang w:eastAsia="en-US"/>
              </w:rPr>
              <w:t>Apvienotā K</w:t>
            </w:r>
            <w:r w:rsidR="007D1129" w:rsidRPr="0003106C">
              <w:rPr>
                <w:color w:val="auto"/>
                <w:lang w:eastAsia="en-US"/>
              </w:rPr>
              <w:t>araliste, Dānija, Francija, Norvēģija, Somija, Vācija, Zviedrija</w:t>
            </w:r>
          </w:p>
        </w:tc>
        <w:tc>
          <w:tcPr>
            <w:tcW w:w="2977" w:type="dxa"/>
          </w:tcPr>
          <w:p w:rsidR="007D1129" w:rsidRPr="0003106C" w:rsidRDefault="007D1129" w:rsidP="00DA4ED5">
            <w:pPr>
              <w:pStyle w:val="Default"/>
              <w:spacing w:before="20" w:after="20"/>
              <w:rPr>
                <w:color w:val="auto"/>
                <w:lang w:eastAsia="en-US"/>
              </w:rPr>
            </w:pPr>
            <w:r w:rsidRPr="0003106C">
              <w:rPr>
                <w:color w:val="auto"/>
                <w:lang w:eastAsia="en-US"/>
              </w:rPr>
              <w:t>ASV, Japāna, Krievija, Nīderlande</w:t>
            </w:r>
          </w:p>
        </w:tc>
        <w:tc>
          <w:tcPr>
            <w:tcW w:w="2693" w:type="dxa"/>
          </w:tcPr>
          <w:p w:rsidR="007D1129" w:rsidRPr="0003106C" w:rsidRDefault="007D1129" w:rsidP="00DA4ED5">
            <w:pPr>
              <w:pStyle w:val="Default"/>
              <w:spacing w:before="20" w:after="20"/>
              <w:rPr>
                <w:color w:val="auto"/>
                <w:lang w:eastAsia="en-US"/>
              </w:rPr>
            </w:pPr>
            <w:r w:rsidRPr="0003106C">
              <w:rPr>
                <w:color w:val="auto"/>
                <w:lang w:eastAsia="en-US"/>
              </w:rPr>
              <w:t>Ķīna un citas valstis</w:t>
            </w:r>
          </w:p>
        </w:tc>
      </w:tr>
      <w:tr w:rsidR="001E0AA2" w:rsidRPr="0003106C" w:rsidTr="00DA4ED5">
        <w:tc>
          <w:tcPr>
            <w:tcW w:w="8613" w:type="dxa"/>
            <w:gridSpan w:val="3"/>
          </w:tcPr>
          <w:p w:rsidR="007D1129" w:rsidRPr="0003106C" w:rsidRDefault="007D1129" w:rsidP="00DA4ED5">
            <w:pPr>
              <w:pStyle w:val="Default"/>
              <w:spacing w:before="20" w:after="20"/>
              <w:ind w:firstLine="567"/>
              <w:jc w:val="center"/>
              <w:rPr>
                <w:color w:val="auto"/>
                <w:lang w:eastAsia="en-US"/>
              </w:rPr>
            </w:pPr>
            <w:r w:rsidRPr="0003106C">
              <w:rPr>
                <w:b/>
                <w:color w:val="auto"/>
                <w:lang w:eastAsia="en-US"/>
              </w:rPr>
              <w:t>Zaļās</w:t>
            </w:r>
            <w:r w:rsidRPr="0003106C">
              <w:rPr>
                <w:color w:val="auto"/>
                <w:lang w:eastAsia="en-US"/>
              </w:rPr>
              <w:t xml:space="preserve"> </w:t>
            </w:r>
            <w:r w:rsidRPr="0003106C">
              <w:rPr>
                <w:b/>
                <w:color w:val="auto"/>
                <w:lang w:eastAsia="en-US"/>
              </w:rPr>
              <w:t>tehnoloģijas</w:t>
            </w:r>
          </w:p>
        </w:tc>
      </w:tr>
      <w:tr w:rsidR="001E0AA2" w:rsidRPr="0003106C" w:rsidTr="00DA4ED5">
        <w:tc>
          <w:tcPr>
            <w:tcW w:w="2943" w:type="dxa"/>
          </w:tcPr>
          <w:p w:rsidR="007D1129" w:rsidRPr="0003106C" w:rsidRDefault="007D1129" w:rsidP="00DA4ED5">
            <w:pPr>
              <w:pStyle w:val="Default"/>
              <w:spacing w:before="20" w:after="20"/>
              <w:rPr>
                <w:color w:val="auto"/>
                <w:lang w:eastAsia="en-US"/>
              </w:rPr>
            </w:pPr>
            <w:r w:rsidRPr="0003106C">
              <w:rPr>
                <w:color w:val="auto"/>
                <w:lang w:eastAsia="en-US"/>
              </w:rPr>
              <w:t>Dānija, Nīderlande, Norvēģija, Somija, Vācija, Zviedrija</w:t>
            </w:r>
          </w:p>
        </w:tc>
        <w:tc>
          <w:tcPr>
            <w:tcW w:w="2977" w:type="dxa"/>
          </w:tcPr>
          <w:p w:rsidR="007D1129" w:rsidRPr="0003106C" w:rsidRDefault="00241805" w:rsidP="00DA4ED5">
            <w:pPr>
              <w:pStyle w:val="Default"/>
              <w:spacing w:before="20" w:after="20"/>
              <w:rPr>
                <w:color w:val="auto"/>
                <w:lang w:eastAsia="en-US"/>
              </w:rPr>
            </w:pPr>
            <w:r w:rsidRPr="0003106C">
              <w:rPr>
                <w:color w:val="auto"/>
                <w:lang w:eastAsia="en-US"/>
              </w:rPr>
              <w:t>Apvienotā K</w:t>
            </w:r>
            <w:r w:rsidR="007D1129" w:rsidRPr="0003106C">
              <w:rPr>
                <w:color w:val="auto"/>
                <w:lang w:eastAsia="en-US"/>
              </w:rPr>
              <w:t>araliste, ASV, Francija, Japāna, Krievija</w:t>
            </w:r>
          </w:p>
        </w:tc>
        <w:tc>
          <w:tcPr>
            <w:tcW w:w="2693" w:type="dxa"/>
          </w:tcPr>
          <w:p w:rsidR="007D1129" w:rsidRPr="0003106C" w:rsidRDefault="007D1129" w:rsidP="00DA4ED5">
            <w:pPr>
              <w:pStyle w:val="Default"/>
              <w:spacing w:before="20" w:after="20"/>
              <w:ind w:hanging="13"/>
              <w:rPr>
                <w:color w:val="auto"/>
                <w:lang w:eastAsia="en-US"/>
              </w:rPr>
            </w:pPr>
            <w:r w:rsidRPr="0003106C">
              <w:rPr>
                <w:color w:val="auto"/>
                <w:lang w:eastAsia="en-US"/>
              </w:rPr>
              <w:t>Ķīna un citas valstis</w:t>
            </w:r>
          </w:p>
        </w:tc>
      </w:tr>
      <w:tr w:rsidR="001E0AA2" w:rsidRPr="0003106C" w:rsidTr="00DA4ED5">
        <w:tc>
          <w:tcPr>
            <w:tcW w:w="8613" w:type="dxa"/>
            <w:gridSpan w:val="3"/>
          </w:tcPr>
          <w:p w:rsidR="007D1129" w:rsidRPr="0003106C" w:rsidRDefault="007D1129" w:rsidP="00DA4ED5">
            <w:pPr>
              <w:pStyle w:val="Default"/>
              <w:spacing w:before="20" w:after="20"/>
              <w:ind w:firstLine="567"/>
              <w:jc w:val="center"/>
              <w:rPr>
                <w:color w:val="auto"/>
                <w:lang w:eastAsia="en-US"/>
              </w:rPr>
            </w:pPr>
            <w:r w:rsidRPr="0003106C">
              <w:rPr>
                <w:b/>
                <w:color w:val="auto"/>
                <w:lang w:eastAsia="en-US"/>
              </w:rPr>
              <w:t>Pārtikas rūpniecība</w:t>
            </w:r>
          </w:p>
        </w:tc>
      </w:tr>
      <w:tr w:rsidR="001E0AA2" w:rsidRPr="0003106C" w:rsidTr="00DA4ED5">
        <w:tc>
          <w:tcPr>
            <w:tcW w:w="2943" w:type="dxa"/>
          </w:tcPr>
          <w:p w:rsidR="007D1129" w:rsidRPr="0003106C" w:rsidRDefault="007D1129" w:rsidP="00DA4ED5">
            <w:pPr>
              <w:pStyle w:val="Default"/>
              <w:spacing w:before="20" w:after="20"/>
              <w:ind w:hanging="14"/>
              <w:rPr>
                <w:color w:val="auto"/>
                <w:lang w:eastAsia="en-US"/>
              </w:rPr>
            </w:pPr>
            <w:r w:rsidRPr="0003106C">
              <w:rPr>
                <w:color w:val="auto"/>
                <w:lang w:eastAsia="en-US"/>
              </w:rPr>
              <w:t>Dānija, Krievija, Somija, Vācija, Zviedrija</w:t>
            </w:r>
          </w:p>
        </w:tc>
        <w:tc>
          <w:tcPr>
            <w:tcW w:w="2977" w:type="dxa"/>
          </w:tcPr>
          <w:p w:rsidR="007D1129" w:rsidRPr="0003106C" w:rsidRDefault="007D1129" w:rsidP="00DA4ED5">
            <w:pPr>
              <w:pStyle w:val="Default"/>
              <w:spacing w:before="20" w:after="20"/>
              <w:ind w:hanging="17"/>
              <w:rPr>
                <w:color w:val="auto"/>
                <w:lang w:eastAsia="en-US"/>
              </w:rPr>
            </w:pPr>
            <w:r w:rsidRPr="0003106C">
              <w:rPr>
                <w:color w:val="auto"/>
                <w:lang w:eastAsia="en-US"/>
              </w:rPr>
              <w:t>ASV, Dānija, Īrija, Nīderlande</w:t>
            </w:r>
          </w:p>
        </w:tc>
        <w:tc>
          <w:tcPr>
            <w:tcW w:w="2693" w:type="dxa"/>
          </w:tcPr>
          <w:p w:rsidR="007D1129" w:rsidRPr="0003106C" w:rsidRDefault="007D1129" w:rsidP="00DA4ED5">
            <w:pPr>
              <w:pStyle w:val="Default"/>
              <w:spacing w:before="20" w:after="20"/>
              <w:rPr>
                <w:color w:val="auto"/>
                <w:lang w:eastAsia="en-US"/>
              </w:rPr>
            </w:pPr>
            <w:r w:rsidRPr="0003106C">
              <w:rPr>
                <w:color w:val="auto"/>
                <w:lang w:eastAsia="en-US"/>
              </w:rPr>
              <w:t xml:space="preserve">Apvienotā </w:t>
            </w:r>
            <w:r w:rsidR="004F5C73" w:rsidRPr="0003106C">
              <w:rPr>
                <w:color w:val="auto"/>
                <w:lang w:eastAsia="en-US"/>
              </w:rPr>
              <w:t>K</w:t>
            </w:r>
            <w:r w:rsidRPr="0003106C">
              <w:rPr>
                <w:color w:val="auto"/>
                <w:lang w:eastAsia="en-US"/>
              </w:rPr>
              <w:t>araliste, Francija, Itālija, Ķīna un citas valstis</w:t>
            </w:r>
          </w:p>
        </w:tc>
      </w:tr>
    </w:tbl>
    <w:p w:rsidR="007D1129" w:rsidRPr="0003106C" w:rsidRDefault="007D1129" w:rsidP="007D1129">
      <w:pPr>
        <w:ind w:firstLine="567"/>
        <w:jc w:val="both"/>
        <w:rPr>
          <w:sz w:val="26"/>
          <w:szCs w:val="26"/>
        </w:rPr>
      </w:pPr>
      <w:r w:rsidRPr="0003106C">
        <w:rPr>
          <w:sz w:val="26"/>
          <w:szCs w:val="26"/>
        </w:rPr>
        <w:t xml:space="preserve">Attiecībā uz tālajām valstīm </w:t>
      </w:r>
      <w:r w:rsidR="001143BE" w:rsidRPr="0003106C">
        <w:rPr>
          <w:sz w:val="26"/>
          <w:szCs w:val="26"/>
        </w:rPr>
        <w:t>–</w:t>
      </w:r>
      <w:r w:rsidRPr="0003106C">
        <w:rPr>
          <w:sz w:val="26"/>
          <w:szCs w:val="26"/>
        </w:rPr>
        <w:t xml:space="preserve"> Ķīna, Japāna un Indija</w:t>
      </w:r>
      <w:r w:rsidR="004F5C73" w:rsidRPr="0003106C">
        <w:rPr>
          <w:sz w:val="26"/>
          <w:szCs w:val="26"/>
        </w:rPr>
        <w:t>,</w:t>
      </w:r>
      <w:r w:rsidRPr="0003106C">
        <w:rPr>
          <w:sz w:val="26"/>
          <w:szCs w:val="26"/>
        </w:rPr>
        <w:t xml:space="preserve"> Latvija jāpozicionē kā punkts tālākai piekļuvei gan ES tirgum, gan NVS tirgiem.</w:t>
      </w:r>
    </w:p>
    <w:p w:rsidR="007D1129" w:rsidRPr="0003106C" w:rsidRDefault="007D1129" w:rsidP="007D1129">
      <w:pPr>
        <w:ind w:firstLine="567"/>
        <w:jc w:val="both"/>
        <w:rPr>
          <w:sz w:val="26"/>
          <w:szCs w:val="26"/>
        </w:rPr>
      </w:pPr>
    </w:p>
    <w:p w:rsidR="007D1129" w:rsidRPr="0003106C" w:rsidRDefault="007D1129" w:rsidP="007D1129">
      <w:pPr>
        <w:pStyle w:val="Heading2"/>
        <w:ind w:firstLine="567"/>
        <w:rPr>
          <w:rFonts w:ascii="Times New Roman" w:hAnsi="Times New Roman" w:cs="Times New Roman"/>
          <w:i w:val="0"/>
          <w:sz w:val="26"/>
          <w:szCs w:val="26"/>
        </w:rPr>
      </w:pPr>
      <w:bookmarkStart w:id="22" w:name="_Toc355961041"/>
      <w:r w:rsidRPr="0003106C">
        <w:rPr>
          <w:rFonts w:ascii="Times New Roman" w:hAnsi="Times New Roman" w:cs="Times New Roman"/>
          <w:i w:val="0"/>
          <w:sz w:val="26"/>
          <w:szCs w:val="26"/>
        </w:rPr>
        <w:t>4.3.4. Investīciju piedāvājums</w:t>
      </w:r>
      <w:bookmarkEnd w:id="22"/>
    </w:p>
    <w:p w:rsidR="006C5C26" w:rsidRPr="0003106C" w:rsidRDefault="00D33E2B" w:rsidP="006C5C26">
      <w:pPr>
        <w:pStyle w:val="EYNormal"/>
        <w:spacing w:after="0"/>
        <w:ind w:firstLine="567"/>
        <w:jc w:val="both"/>
        <w:rPr>
          <w:rFonts w:ascii="Times New Roman" w:hAnsi="Times New Roman"/>
          <w:kern w:val="0"/>
          <w:sz w:val="26"/>
          <w:szCs w:val="26"/>
          <w:lang w:eastAsia="lv-LV"/>
        </w:rPr>
      </w:pPr>
      <w:r w:rsidRPr="0003106C">
        <w:rPr>
          <w:rFonts w:ascii="Times New Roman" w:hAnsi="Times New Roman"/>
          <w:kern w:val="0"/>
          <w:sz w:val="26"/>
          <w:szCs w:val="26"/>
          <w:lang w:eastAsia="lv-LV"/>
        </w:rPr>
        <w:t xml:space="preserve">Latvijai ir jākoncentrējas uz investīcijām labvēlīgas vides piedāvājumu, aktīvi strādājot pie uzņēmējdarbības šķēršļu novēršanas, konkurētspējīgu uzņēmējdarbības izmaksu un atbilstošas infrastruktūras nodrošināšanas, vienlaikus piedāvājot investīciju stimulējošus atbalsta pasākumus. </w:t>
      </w:r>
    </w:p>
    <w:p w:rsidR="00FB7B2F" w:rsidRPr="0003106C" w:rsidRDefault="00D33E2B" w:rsidP="006C5C26">
      <w:pPr>
        <w:pStyle w:val="EYNormal"/>
        <w:spacing w:after="0"/>
        <w:ind w:firstLine="567"/>
        <w:jc w:val="both"/>
        <w:rPr>
          <w:rFonts w:ascii="Times New Roman" w:eastAsia="MS Mincho" w:hAnsi="Times New Roman"/>
          <w:sz w:val="26"/>
          <w:szCs w:val="26"/>
        </w:rPr>
      </w:pPr>
      <w:r w:rsidRPr="0003106C">
        <w:rPr>
          <w:rFonts w:ascii="Times New Roman" w:hAnsi="Times New Roman"/>
          <w:kern w:val="0"/>
          <w:sz w:val="26"/>
          <w:szCs w:val="26"/>
          <w:lang w:eastAsia="lv-LV"/>
        </w:rPr>
        <w:t>Sadarbībā ar nozaru asociācijām</w:t>
      </w:r>
      <w:r w:rsidR="006C5C26" w:rsidRPr="0003106C">
        <w:rPr>
          <w:rFonts w:ascii="Times New Roman" w:hAnsi="Times New Roman"/>
          <w:kern w:val="0"/>
          <w:sz w:val="26"/>
          <w:szCs w:val="26"/>
          <w:lang w:eastAsia="lv-LV"/>
        </w:rPr>
        <w:t>,</w:t>
      </w:r>
      <w:r w:rsidRPr="0003106C">
        <w:rPr>
          <w:rFonts w:ascii="Times New Roman" w:hAnsi="Times New Roman"/>
          <w:kern w:val="0"/>
          <w:sz w:val="26"/>
          <w:szCs w:val="26"/>
          <w:lang w:eastAsia="lv-LV"/>
        </w:rPr>
        <w:t xml:space="preserve"> uzņēmējus pārstāvošajām organizācijām </w:t>
      </w:r>
      <w:r w:rsidR="006C5C26" w:rsidRPr="0003106C">
        <w:rPr>
          <w:rFonts w:ascii="Times New Roman" w:hAnsi="Times New Roman"/>
          <w:kern w:val="0"/>
          <w:sz w:val="26"/>
          <w:szCs w:val="26"/>
          <w:lang w:eastAsia="lv-LV"/>
        </w:rPr>
        <w:t>un citiem ārējiem konsultantiem</w:t>
      </w:r>
      <w:r w:rsidR="004F5C73" w:rsidRPr="0003106C">
        <w:rPr>
          <w:rFonts w:ascii="Times New Roman" w:hAnsi="Times New Roman"/>
          <w:kern w:val="0"/>
          <w:sz w:val="26"/>
          <w:szCs w:val="26"/>
          <w:lang w:eastAsia="lv-LV"/>
        </w:rPr>
        <w:t>,</w:t>
      </w:r>
      <w:r w:rsidR="006C5C26" w:rsidRPr="0003106C">
        <w:rPr>
          <w:rFonts w:ascii="Times New Roman" w:hAnsi="Times New Roman"/>
          <w:kern w:val="0"/>
          <w:sz w:val="26"/>
          <w:szCs w:val="26"/>
          <w:lang w:eastAsia="lv-LV"/>
        </w:rPr>
        <w:t xml:space="preserve"> LIAA jāorganizē</w:t>
      </w:r>
      <w:r w:rsidRPr="0003106C">
        <w:rPr>
          <w:rFonts w:ascii="Times New Roman" w:hAnsi="Times New Roman"/>
          <w:kern w:val="0"/>
          <w:sz w:val="26"/>
          <w:szCs w:val="26"/>
          <w:lang w:eastAsia="lv-LV"/>
        </w:rPr>
        <w:t xml:space="preserve"> </w:t>
      </w:r>
      <w:r w:rsidR="006C5C26" w:rsidRPr="0003106C">
        <w:rPr>
          <w:rFonts w:ascii="Times New Roman" w:eastAsia="MS Mincho" w:hAnsi="Times New Roman"/>
          <w:sz w:val="26"/>
          <w:szCs w:val="26"/>
        </w:rPr>
        <w:t>ekonomiskās analīzes pētījumi par mē</w:t>
      </w:r>
      <w:r w:rsidR="00FB7B2F" w:rsidRPr="0003106C">
        <w:rPr>
          <w:rFonts w:ascii="Times New Roman" w:eastAsia="MS Mincho" w:hAnsi="Times New Roman"/>
          <w:sz w:val="26"/>
          <w:szCs w:val="26"/>
        </w:rPr>
        <w:t>rķa nozaru iespējamo attīstību</w:t>
      </w:r>
      <w:r w:rsidR="005C6ACB" w:rsidRPr="0003106C">
        <w:rPr>
          <w:rFonts w:ascii="Times New Roman" w:eastAsia="MS Mincho" w:hAnsi="Times New Roman"/>
          <w:sz w:val="26"/>
          <w:szCs w:val="26"/>
        </w:rPr>
        <w:t>, kā rezultātā tiek</w:t>
      </w:r>
      <w:r w:rsidR="00FB7B2F" w:rsidRPr="0003106C">
        <w:rPr>
          <w:rFonts w:ascii="Times New Roman" w:eastAsia="MS Mincho" w:hAnsi="Times New Roman"/>
          <w:sz w:val="26"/>
          <w:szCs w:val="26"/>
        </w:rPr>
        <w:t>:</w:t>
      </w:r>
    </w:p>
    <w:p w:rsidR="00FB7B2F" w:rsidRPr="0003106C" w:rsidRDefault="006C5C26" w:rsidP="00FB7B2F">
      <w:pPr>
        <w:pStyle w:val="EYNormal"/>
        <w:numPr>
          <w:ilvl w:val="0"/>
          <w:numId w:val="36"/>
        </w:numPr>
        <w:spacing w:after="0"/>
        <w:jc w:val="both"/>
        <w:rPr>
          <w:rFonts w:ascii="Times New Roman" w:hAnsi="Times New Roman"/>
          <w:kern w:val="0"/>
          <w:sz w:val="26"/>
          <w:szCs w:val="26"/>
          <w:lang w:eastAsia="lv-LV"/>
        </w:rPr>
      </w:pPr>
      <w:r w:rsidRPr="0003106C">
        <w:rPr>
          <w:rFonts w:ascii="Times New Roman" w:eastAsia="MS Mincho" w:hAnsi="Times New Roman"/>
          <w:sz w:val="26"/>
          <w:szCs w:val="26"/>
        </w:rPr>
        <w:t>identificēt</w:t>
      </w:r>
      <w:r w:rsidR="005C6ACB" w:rsidRPr="0003106C">
        <w:rPr>
          <w:rFonts w:ascii="Times New Roman" w:eastAsia="MS Mincho" w:hAnsi="Times New Roman"/>
          <w:sz w:val="26"/>
          <w:szCs w:val="26"/>
        </w:rPr>
        <w:t>as</w:t>
      </w:r>
      <w:r w:rsidRPr="0003106C">
        <w:rPr>
          <w:rFonts w:ascii="Times New Roman" w:eastAsia="MS Mincho" w:hAnsi="Times New Roman"/>
          <w:sz w:val="26"/>
          <w:szCs w:val="26"/>
        </w:rPr>
        <w:t xml:space="preserve"> investīcijām pievilcīgākās un ekonomiski pamatotākās nišas</w:t>
      </w:r>
      <w:r w:rsidR="00FB7B2F" w:rsidRPr="0003106C">
        <w:rPr>
          <w:rFonts w:ascii="Times New Roman" w:eastAsia="MS Mincho" w:hAnsi="Times New Roman"/>
          <w:sz w:val="26"/>
          <w:szCs w:val="26"/>
        </w:rPr>
        <w:t>;</w:t>
      </w:r>
    </w:p>
    <w:p w:rsidR="00FB7B2F" w:rsidRPr="0003106C" w:rsidRDefault="00FB7B2F" w:rsidP="00FB7B2F">
      <w:pPr>
        <w:pStyle w:val="EYNormal"/>
        <w:numPr>
          <w:ilvl w:val="0"/>
          <w:numId w:val="36"/>
        </w:numPr>
        <w:spacing w:after="0"/>
        <w:jc w:val="both"/>
        <w:rPr>
          <w:rFonts w:ascii="Times New Roman" w:hAnsi="Times New Roman"/>
          <w:kern w:val="0"/>
          <w:sz w:val="26"/>
          <w:szCs w:val="26"/>
          <w:lang w:eastAsia="lv-LV"/>
        </w:rPr>
      </w:pPr>
      <w:r w:rsidRPr="0003106C">
        <w:rPr>
          <w:rFonts w:ascii="Times New Roman" w:eastAsia="MS Mincho" w:hAnsi="Times New Roman"/>
          <w:sz w:val="26"/>
          <w:szCs w:val="26"/>
        </w:rPr>
        <w:t>izvērt</w:t>
      </w:r>
      <w:r w:rsidR="005C6ACB" w:rsidRPr="0003106C">
        <w:rPr>
          <w:rFonts w:ascii="Times New Roman" w:eastAsia="MS Mincho" w:hAnsi="Times New Roman"/>
          <w:sz w:val="26"/>
          <w:szCs w:val="26"/>
        </w:rPr>
        <w:t>ē</w:t>
      </w:r>
      <w:r w:rsidRPr="0003106C">
        <w:rPr>
          <w:rFonts w:ascii="Times New Roman" w:eastAsia="MS Mincho" w:hAnsi="Times New Roman"/>
          <w:sz w:val="26"/>
          <w:szCs w:val="26"/>
        </w:rPr>
        <w:t>t</w:t>
      </w:r>
      <w:r w:rsidR="005C6ACB" w:rsidRPr="0003106C">
        <w:rPr>
          <w:rFonts w:ascii="Times New Roman" w:eastAsia="MS Mincho" w:hAnsi="Times New Roman"/>
          <w:sz w:val="26"/>
          <w:szCs w:val="26"/>
        </w:rPr>
        <w:t>as</w:t>
      </w:r>
      <w:r w:rsidRPr="0003106C">
        <w:rPr>
          <w:rFonts w:ascii="Times New Roman" w:eastAsia="MS Mincho" w:hAnsi="Times New Roman"/>
          <w:sz w:val="26"/>
          <w:szCs w:val="26"/>
        </w:rPr>
        <w:t xml:space="preserve"> iespējas iekļauties piegāžu ķēdē</w:t>
      </w:r>
      <w:r w:rsidR="008A0DC0" w:rsidRPr="0003106C">
        <w:rPr>
          <w:rFonts w:ascii="Times New Roman" w:eastAsia="MS Mincho" w:hAnsi="Times New Roman"/>
          <w:sz w:val="26"/>
          <w:szCs w:val="26"/>
        </w:rPr>
        <w:t>s</w:t>
      </w:r>
      <w:r w:rsidRPr="0003106C">
        <w:rPr>
          <w:rFonts w:ascii="Times New Roman" w:eastAsia="MS Mincho" w:hAnsi="Times New Roman"/>
          <w:sz w:val="26"/>
          <w:szCs w:val="26"/>
        </w:rPr>
        <w:t>;</w:t>
      </w:r>
    </w:p>
    <w:p w:rsidR="00FB7B2F" w:rsidRPr="0003106C" w:rsidRDefault="00FB7B2F" w:rsidP="00FB7B2F">
      <w:pPr>
        <w:pStyle w:val="EYNormal"/>
        <w:numPr>
          <w:ilvl w:val="0"/>
          <w:numId w:val="36"/>
        </w:numPr>
        <w:spacing w:after="0"/>
        <w:jc w:val="both"/>
        <w:rPr>
          <w:rFonts w:ascii="Times New Roman" w:hAnsi="Times New Roman"/>
          <w:kern w:val="0"/>
          <w:sz w:val="26"/>
          <w:szCs w:val="26"/>
          <w:lang w:eastAsia="lv-LV"/>
        </w:rPr>
      </w:pPr>
      <w:r w:rsidRPr="0003106C">
        <w:rPr>
          <w:rFonts w:ascii="Times New Roman" w:eastAsia="MS Mincho" w:hAnsi="Times New Roman"/>
          <w:sz w:val="26"/>
          <w:szCs w:val="26"/>
        </w:rPr>
        <w:t>veidot</w:t>
      </w:r>
      <w:r w:rsidR="005C6ACB" w:rsidRPr="0003106C">
        <w:rPr>
          <w:rFonts w:ascii="Times New Roman" w:eastAsia="MS Mincho" w:hAnsi="Times New Roman"/>
          <w:sz w:val="26"/>
          <w:szCs w:val="26"/>
        </w:rPr>
        <w:t>as</w:t>
      </w:r>
      <w:r w:rsidRPr="0003106C">
        <w:rPr>
          <w:rFonts w:ascii="Times New Roman" w:eastAsia="MS Mincho" w:hAnsi="Times New Roman"/>
          <w:sz w:val="26"/>
          <w:szCs w:val="26"/>
        </w:rPr>
        <w:t xml:space="preserve"> </w:t>
      </w:r>
      <w:r w:rsidR="00AD72B4" w:rsidRPr="0003106C">
        <w:rPr>
          <w:rFonts w:ascii="Times New Roman" w:eastAsia="MS Mincho" w:hAnsi="Times New Roman"/>
          <w:sz w:val="26"/>
          <w:szCs w:val="26"/>
        </w:rPr>
        <w:t xml:space="preserve">dažādas uzņēmumu sadarbības formas </w:t>
      </w:r>
      <w:r w:rsidRPr="0003106C">
        <w:rPr>
          <w:rFonts w:ascii="Times New Roman" w:eastAsia="MS Mincho" w:hAnsi="Times New Roman"/>
          <w:sz w:val="26"/>
          <w:szCs w:val="26"/>
        </w:rPr>
        <w:t>atbilstoš</w:t>
      </w:r>
      <w:r w:rsidR="005C6ACB" w:rsidRPr="0003106C">
        <w:rPr>
          <w:rFonts w:ascii="Times New Roman" w:eastAsia="MS Mincho" w:hAnsi="Times New Roman"/>
          <w:sz w:val="26"/>
          <w:szCs w:val="26"/>
        </w:rPr>
        <w:t>u</w:t>
      </w:r>
      <w:r w:rsidRPr="0003106C">
        <w:rPr>
          <w:rFonts w:ascii="Times New Roman" w:eastAsia="MS Mincho" w:hAnsi="Times New Roman"/>
          <w:sz w:val="26"/>
          <w:szCs w:val="26"/>
        </w:rPr>
        <w:t xml:space="preserve"> piedāv</w:t>
      </w:r>
      <w:r w:rsidR="005C6ACB" w:rsidRPr="0003106C">
        <w:rPr>
          <w:rFonts w:ascii="Times New Roman" w:eastAsia="MS Mincho" w:hAnsi="Times New Roman"/>
          <w:sz w:val="26"/>
          <w:szCs w:val="26"/>
        </w:rPr>
        <w:t>ājumu</w:t>
      </w:r>
      <w:r w:rsidRPr="0003106C">
        <w:rPr>
          <w:rFonts w:ascii="Times New Roman" w:eastAsia="MS Mincho" w:hAnsi="Times New Roman"/>
          <w:sz w:val="26"/>
          <w:szCs w:val="26"/>
        </w:rPr>
        <w:t xml:space="preserve"> vai pasūtījuma sagatavošanai</w:t>
      </w:r>
      <w:r w:rsidR="005C6ACB" w:rsidRPr="0003106C">
        <w:rPr>
          <w:rFonts w:ascii="Times New Roman" w:eastAsia="MS Mincho" w:hAnsi="Times New Roman"/>
          <w:sz w:val="26"/>
          <w:szCs w:val="26"/>
        </w:rPr>
        <w:t xml:space="preserve">, nodrošināts </w:t>
      </w:r>
      <w:r w:rsidRPr="0003106C">
        <w:rPr>
          <w:rFonts w:ascii="Times New Roman" w:eastAsia="MS Mincho" w:hAnsi="Times New Roman"/>
          <w:sz w:val="26"/>
          <w:szCs w:val="26"/>
        </w:rPr>
        <w:t>īstenošanas mehānism</w:t>
      </w:r>
      <w:r w:rsidR="004F5C73" w:rsidRPr="0003106C">
        <w:rPr>
          <w:rFonts w:ascii="Times New Roman" w:eastAsia="MS Mincho" w:hAnsi="Times New Roman"/>
          <w:sz w:val="26"/>
          <w:szCs w:val="26"/>
        </w:rPr>
        <w:t>s</w:t>
      </w:r>
      <w:r w:rsidRPr="0003106C">
        <w:rPr>
          <w:rFonts w:ascii="Times New Roman" w:eastAsia="MS Mincho" w:hAnsi="Times New Roman"/>
          <w:sz w:val="26"/>
          <w:szCs w:val="26"/>
        </w:rPr>
        <w:t>;</w:t>
      </w:r>
    </w:p>
    <w:p w:rsidR="006C5C26" w:rsidRPr="0003106C" w:rsidRDefault="001F63AA" w:rsidP="00FB7B2F">
      <w:pPr>
        <w:pStyle w:val="EYNormal"/>
        <w:numPr>
          <w:ilvl w:val="0"/>
          <w:numId w:val="36"/>
        </w:numPr>
        <w:spacing w:after="0"/>
        <w:jc w:val="both"/>
        <w:rPr>
          <w:rFonts w:ascii="Times New Roman" w:hAnsi="Times New Roman"/>
          <w:kern w:val="0"/>
          <w:sz w:val="26"/>
          <w:szCs w:val="26"/>
          <w:lang w:eastAsia="lv-LV"/>
        </w:rPr>
      </w:pPr>
      <w:r w:rsidRPr="0003106C">
        <w:rPr>
          <w:rFonts w:ascii="Times New Roman" w:eastAsia="MS Mincho" w:hAnsi="Times New Roman"/>
          <w:sz w:val="26"/>
          <w:szCs w:val="26"/>
        </w:rPr>
        <w:t>ģener</w:t>
      </w:r>
      <w:r w:rsidR="00AD72B4" w:rsidRPr="0003106C">
        <w:rPr>
          <w:rFonts w:ascii="Times New Roman" w:eastAsia="MS Mincho" w:hAnsi="Times New Roman"/>
          <w:sz w:val="26"/>
          <w:szCs w:val="26"/>
        </w:rPr>
        <w:t>ē</w:t>
      </w:r>
      <w:r w:rsidRPr="0003106C">
        <w:rPr>
          <w:rFonts w:ascii="Times New Roman" w:eastAsia="MS Mincho" w:hAnsi="Times New Roman"/>
          <w:sz w:val="26"/>
          <w:szCs w:val="26"/>
        </w:rPr>
        <w:t>t</w:t>
      </w:r>
      <w:r w:rsidR="00AD72B4" w:rsidRPr="0003106C">
        <w:rPr>
          <w:rFonts w:ascii="Times New Roman" w:eastAsia="MS Mincho" w:hAnsi="Times New Roman"/>
          <w:sz w:val="26"/>
          <w:szCs w:val="26"/>
        </w:rPr>
        <w:t>as</w:t>
      </w:r>
      <w:r w:rsidRPr="0003106C">
        <w:rPr>
          <w:rFonts w:ascii="Times New Roman" w:eastAsia="MS Mincho" w:hAnsi="Times New Roman"/>
          <w:sz w:val="26"/>
          <w:szCs w:val="26"/>
        </w:rPr>
        <w:t xml:space="preserve"> idejas par  jauniem projektiem un attīstības </w:t>
      </w:r>
      <w:r w:rsidR="00AD72B4" w:rsidRPr="0003106C">
        <w:rPr>
          <w:rFonts w:ascii="Times New Roman" w:eastAsia="MS Mincho" w:hAnsi="Times New Roman"/>
          <w:sz w:val="26"/>
          <w:szCs w:val="26"/>
        </w:rPr>
        <w:t>iespējām;</w:t>
      </w:r>
    </w:p>
    <w:p w:rsidR="00AD72B4" w:rsidRPr="0003106C" w:rsidRDefault="00AD72B4" w:rsidP="00FB7B2F">
      <w:pPr>
        <w:pStyle w:val="EYNormal"/>
        <w:numPr>
          <w:ilvl w:val="0"/>
          <w:numId w:val="36"/>
        </w:numPr>
        <w:spacing w:after="0"/>
        <w:jc w:val="both"/>
        <w:rPr>
          <w:rFonts w:ascii="Times New Roman" w:hAnsi="Times New Roman"/>
          <w:kern w:val="0"/>
          <w:sz w:val="26"/>
          <w:szCs w:val="26"/>
          <w:lang w:eastAsia="lv-LV"/>
        </w:rPr>
      </w:pPr>
      <w:r w:rsidRPr="0003106C">
        <w:rPr>
          <w:rFonts w:ascii="Times New Roman" w:eastAsia="MS Mincho" w:hAnsi="Times New Roman"/>
          <w:sz w:val="26"/>
          <w:szCs w:val="26"/>
        </w:rPr>
        <w:t>radītas preces un pakalpojumi ar augstāku pievienoto vērtību;</w:t>
      </w:r>
    </w:p>
    <w:p w:rsidR="008A0DC0" w:rsidRPr="0003106C" w:rsidRDefault="008A0DC0" w:rsidP="00FB7B2F">
      <w:pPr>
        <w:pStyle w:val="EYNormal"/>
        <w:numPr>
          <w:ilvl w:val="0"/>
          <w:numId w:val="36"/>
        </w:numPr>
        <w:spacing w:after="0"/>
        <w:jc w:val="both"/>
        <w:rPr>
          <w:rFonts w:ascii="Times New Roman" w:hAnsi="Times New Roman"/>
          <w:kern w:val="0"/>
          <w:sz w:val="26"/>
          <w:szCs w:val="26"/>
          <w:lang w:eastAsia="lv-LV"/>
        </w:rPr>
      </w:pPr>
      <w:r w:rsidRPr="0003106C">
        <w:rPr>
          <w:rFonts w:ascii="Times New Roman" w:eastAsia="MS Mincho" w:hAnsi="Times New Roman"/>
          <w:sz w:val="26"/>
          <w:szCs w:val="26"/>
        </w:rPr>
        <w:t>nodrošināts atbilstošs – kvalificēts un prasmīgs darbaspēks;</w:t>
      </w:r>
    </w:p>
    <w:p w:rsidR="008A0DC0" w:rsidRPr="0003106C" w:rsidRDefault="008A0DC0" w:rsidP="00FB7B2F">
      <w:pPr>
        <w:pStyle w:val="EYNormal"/>
        <w:numPr>
          <w:ilvl w:val="0"/>
          <w:numId w:val="36"/>
        </w:numPr>
        <w:spacing w:after="0"/>
        <w:jc w:val="both"/>
        <w:rPr>
          <w:rFonts w:ascii="Times New Roman" w:hAnsi="Times New Roman"/>
          <w:kern w:val="0"/>
          <w:sz w:val="26"/>
          <w:szCs w:val="26"/>
          <w:lang w:eastAsia="lv-LV"/>
        </w:rPr>
      </w:pPr>
      <w:r w:rsidRPr="0003106C">
        <w:rPr>
          <w:rFonts w:ascii="Times New Roman" w:eastAsia="MS Mincho" w:hAnsi="Times New Roman"/>
          <w:sz w:val="26"/>
          <w:szCs w:val="26"/>
        </w:rPr>
        <w:t>īstenota zinātnes un pētniecības iesaiste nozaru attīstībā;</w:t>
      </w:r>
    </w:p>
    <w:p w:rsidR="00AD72B4" w:rsidRPr="0003106C" w:rsidRDefault="00C71E3C" w:rsidP="00FB7B2F">
      <w:pPr>
        <w:pStyle w:val="EYNormal"/>
        <w:numPr>
          <w:ilvl w:val="0"/>
          <w:numId w:val="36"/>
        </w:numPr>
        <w:spacing w:after="0"/>
        <w:jc w:val="both"/>
        <w:rPr>
          <w:rFonts w:ascii="Times New Roman" w:hAnsi="Times New Roman"/>
          <w:kern w:val="0"/>
          <w:sz w:val="26"/>
          <w:szCs w:val="26"/>
          <w:lang w:eastAsia="lv-LV"/>
        </w:rPr>
      </w:pPr>
      <w:r w:rsidRPr="0003106C">
        <w:rPr>
          <w:rFonts w:ascii="Times New Roman" w:hAnsi="Times New Roman"/>
          <w:kern w:val="0"/>
          <w:sz w:val="26"/>
          <w:szCs w:val="26"/>
          <w:lang w:eastAsia="lv-LV"/>
        </w:rPr>
        <w:t>tiek veidoti nepieciešamie valsts intervences instrumenti u.c.</w:t>
      </w:r>
    </w:p>
    <w:p w:rsidR="00C71E3C" w:rsidRPr="0003106C" w:rsidRDefault="00C71E3C" w:rsidP="00C71E3C">
      <w:pPr>
        <w:pStyle w:val="EYNormal"/>
        <w:spacing w:after="0"/>
        <w:ind w:left="927"/>
        <w:jc w:val="both"/>
        <w:rPr>
          <w:rFonts w:ascii="Times New Roman" w:hAnsi="Times New Roman"/>
          <w:kern w:val="0"/>
          <w:sz w:val="26"/>
          <w:szCs w:val="26"/>
          <w:lang w:eastAsia="lv-LV"/>
        </w:rPr>
      </w:pPr>
    </w:p>
    <w:p w:rsidR="00997580" w:rsidRPr="0003106C" w:rsidRDefault="00997580" w:rsidP="00997580">
      <w:pPr>
        <w:pStyle w:val="EYNormal"/>
        <w:spacing w:after="0"/>
        <w:ind w:firstLine="567"/>
        <w:jc w:val="both"/>
        <w:rPr>
          <w:rFonts w:ascii="Times New Roman" w:hAnsi="Times New Roman"/>
          <w:kern w:val="0"/>
          <w:sz w:val="26"/>
          <w:szCs w:val="26"/>
          <w:lang w:eastAsia="lv-LV"/>
        </w:rPr>
      </w:pPr>
      <w:r w:rsidRPr="0003106C">
        <w:rPr>
          <w:rFonts w:ascii="Times New Roman" w:hAnsi="Times New Roman"/>
          <w:kern w:val="0"/>
          <w:sz w:val="26"/>
          <w:szCs w:val="26"/>
          <w:lang w:eastAsia="lv-LV"/>
        </w:rPr>
        <w:t xml:space="preserve">Svarīgi ir veicināt kvalitatīvu biznesa ideju plūsmu un sniegt atbalstu Latvijas uzņēmējiem perspektīvu investīciju projektu sagatavošanā un attīstīšanā. Saskaņā ar </w:t>
      </w:r>
      <w:r w:rsidRPr="0003106C">
        <w:rPr>
          <w:rFonts w:ascii="Times New Roman" w:hAnsi="Times New Roman"/>
          <w:kern w:val="0"/>
          <w:sz w:val="26"/>
          <w:szCs w:val="26"/>
          <w:lang w:eastAsia="lv-LV"/>
        </w:rPr>
        <w:lastRenderedPageBreak/>
        <w:t>uzņēmēju interesi, šie investīciju piedāvājumi ir pieejami LIAA</w:t>
      </w:r>
      <w:r w:rsidR="002018B0" w:rsidRPr="0003106C">
        <w:rPr>
          <w:rFonts w:ascii="Times New Roman" w:hAnsi="Times New Roman"/>
          <w:kern w:val="0"/>
          <w:sz w:val="26"/>
          <w:szCs w:val="26"/>
          <w:lang w:eastAsia="lv-LV"/>
        </w:rPr>
        <w:t>,</w:t>
      </w:r>
      <w:r w:rsidRPr="0003106C">
        <w:rPr>
          <w:rFonts w:ascii="Times New Roman" w:hAnsi="Times New Roman"/>
          <w:kern w:val="0"/>
          <w:sz w:val="26"/>
          <w:szCs w:val="26"/>
          <w:lang w:eastAsia="lv-LV"/>
        </w:rPr>
        <w:t xml:space="preserve"> un tiem tiek meklēti potenciālie investori.</w:t>
      </w:r>
    </w:p>
    <w:p w:rsidR="00E315CB" w:rsidRPr="0003106C" w:rsidRDefault="00AF2313" w:rsidP="00E315CB">
      <w:pPr>
        <w:pStyle w:val="PlainText"/>
        <w:ind w:firstLine="567"/>
        <w:jc w:val="both"/>
        <w:rPr>
          <w:rFonts w:ascii="Times New Roman" w:hAnsi="Times New Roman"/>
          <w:sz w:val="26"/>
          <w:szCs w:val="26"/>
          <w:lang w:bidi="ar-SA"/>
        </w:rPr>
      </w:pPr>
      <w:r w:rsidRPr="0003106C">
        <w:rPr>
          <w:rFonts w:ascii="Times New Roman" w:eastAsia="MS Mincho" w:hAnsi="Times New Roman"/>
          <w:sz w:val="26"/>
          <w:szCs w:val="26"/>
        </w:rPr>
        <w:t>No v</w:t>
      </w:r>
      <w:r w:rsidR="001F63AA" w:rsidRPr="0003106C">
        <w:rPr>
          <w:rFonts w:ascii="Times New Roman" w:eastAsia="MS Mincho" w:hAnsi="Times New Roman"/>
          <w:sz w:val="26"/>
          <w:szCs w:val="26"/>
        </w:rPr>
        <w:t xml:space="preserve">alsts </w:t>
      </w:r>
      <w:r w:rsidRPr="0003106C">
        <w:rPr>
          <w:rFonts w:ascii="Times New Roman" w:eastAsia="MS Mincho" w:hAnsi="Times New Roman"/>
          <w:sz w:val="26"/>
          <w:szCs w:val="26"/>
        </w:rPr>
        <w:t>puses ir jāatbalsta stratēģiski nozīmīgu</w:t>
      </w:r>
      <w:r w:rsidR="001F63AA" w:rsidRPr="0003106C">
        <w:rPr>
          <w:rFonts w:ascii="Times New Roman" w:eastAsia="MS Mincho" w:hAnsi="Times New Roman"/>
          <w:sz w:val="26"/>
          <w:szCs w:val="26"/>
        </w:rPr>
        <w:t xml:space="preserve"> investīciju projekt</w:t>
      </w:r>
      <w:r w:rsidRPr="0003106C">
        <w:rPr>
          <w:rFonts w:ascii="Times New Roman" w:eastAsia="MS Mincho" w:hAnsi="Times New Roman"/>
          <w:sz w:val="26"/>
          <w:szCs w:val="26"/>
        </w:rPr>
        <w:t>u ieviešana</w:t>
      </w:r>
      <w:r w:rsidR="00BF0550" w:rsidRPr="0003106C">
        <w:rPr>
          <w:rFonts w:ascii="Times New Roman" w:eastAsia="MS Mincho" w:hAnsi="Times New Roman"/>
          <w:sz w:val="26"/>
          <w:szCs w:val="26"/>
        </w:rPr>
        <w:t xml:space="preserve">, </w:t>
      </w:r>
      <w:r w:rsidR="00D33E2B" w:rsidRPr="0003106C">
        <w:rPr>
          <w:rFonts w:ascii="Times New Roman" w:hAnsi="Times New Roman"/>
          <w:sz w:val="26"/>
          <w:szCs w:val="26"/>
        </w:rPr>
        <w:t xml:space="preserve"> sagatavo</w:t>
      </w:r>
      <w:r w:rsidR="00BF0550" w:rsidRPr="0003106C">
        <w:rPr>
          <w:rFonts w:ascii="Times New Roman" w:hAnsi="Times New Roman"/>
          <w:sz w:val="26"/>
          <w:szCs w:val="26"/>
        </w:rPr>
        <w:t>jot</w:t>
      </w:r>
      <w:r w:rsidR="00D33E2B" w:rsidRPr="0003106C">
        <w:rPr>
          <w:rFonts w:ascii="Times New Roman" w:hAnsi="Times New Roman"/>
          <w:sz w:val="26"/>
          <w:szCs w:val="26"/>
        </w:rPr>
        <w:t xml:space="preserve"> kvalitatīvu informāciju potenciālajiem investoriem</w:t>
      </w:r>
      <w:r w:rsidR="00D43B5B" w:rsidRPr="0003106C">
        <w:rPr>
          <w:rFonts w:ascii="Times New Roman" w:hAnsi="Times New Roman"/>
          <w:sz w:val="26"/>
          <w:szCs w:val="26"/>
        </w:rPr>
        <w:t xml:space="preserve"> par tiem, kad tie</w:t>
      </w:r>
      <w:r w:rsidR="005463B7" w:rsidRPr="0003106C">
        <w:rPr>
          <w:rFonts w:ascii="Times New Roman" w:hAnsi="Times New Roman"/>
          <w:sz w:val="26"/>
          <w:szCs w:val="26"/>
        </w:rPr>
        <w:t xml:space="preserve"> ir</w:t>
      </w:r>
      <w:r w:rsidR="00D43B5B" w:rsidRPr="0003106C">
        <w:rPr>
          <w:rFonts w:ascii="Times New Roman" w:hAnsi="Times New Roman"/>
          <w:sz w:val="26"/>
          <w:szCs w:val="26"/>
        </w:rPr>
        <w:t xml:space="preserve"> </w:t>
      </w:r>
      <w:r w:rsidR="00D43B5B" w:rsidRPr="0003106C">
        <w:rPr>
          <w:rFonts w:ascii="Times New Roman" w:eastAsia="MS Mincho" w:hAnsi="Times New Roman"/>
          <w:sz w:val="26"/>
          <w:szCs w:val="26"/>
        </w:rPr>
        <w:t>sagatavoti īstenošanai.</w:t>
      </w:r>
    </w:p>
    <w:p w:rsidR="00D43B5B" w:rsidRPr="0003106C" w:rsidRDefault="006412F8" w:rsidP="006412F8">
      <w:pPr>
        <w:ind w:firstLine="567"/>
        <w:jc w:val="both"/>
        <w:rPr>
          <w:sz w:val="26"/>
          <w:szCs w:val="26"/>
        </w:rPr>
      </w:pPr>
      <w:r w:rsidRPr="0003106C">
        <w:rPr>
          <w:sz w:val="26"/>
          <w:szCs w:val="26"/>
        </w:rPr>
        <w:t>Būtiski ir nodalīt in</w:t>
      </w:r>
      <w:r w:rsidR="006A796B" w:rsidRPr="0003106C">
        <w:rPr>
          <w:sz w:val="26"/>
          <w:szCs w:val="26"/>
        </w:rPr>
        <w:t xml:space="preserve">vestīciju projektus no </w:t>
      </w:r>
      <w:r w:rsidR="0008166C" w:rsidRPr="0003106C">
        <w:rPr>
          <w:sz w:val="26"/>
          <w:szCs w:val="26"/>
        </w:rPr>
        <w:t xml:space="preserve">valsts un pašvaldību ar </w:t>
      </w:r>
      <w:r w:rsidR="006A796B" w:rsidRPr="0003106C">
        <w:rPr>
          <w:sz w:val="26"/>
          <w:szCs w:val="26"/>
        </w:rPr>
        <w:t xml:space="preserve">iepirkuma </w:t>
      </w:r>
      <w:r w:rsidR="0008166C" w:rsidRPr="0003106C">
        <w:rPr>
          <w:sz w:val="26"/>
          <w:szCs w:val="26"/>
        </w:rPr>
        <w:t xml:space="preserve">procesu īstenotiem pasūtījumiem. </w:t>
      </w:r>
      <w:r w:rsidRPr="0003106C">
        <w:rPr>
          <w:sz w:val="26"/>
          <w:szCs w:val="26"/>
        </w:rPr>
        <w:t xml:space="preserve"> </w:t>
      </w:r>
    </w:p>
    <w:p w:rsidR="006412F8" w:rsidRPr="0003106C" w:rsidRDefault="00D43B5B" w:rsidP="006412F8">
      <w:pPr>
        <w:ind w:firstLine="567"/>
        <w:jc w:val="both"/>
        <w:rPr>
          <w:sz w:val="26"/>
          <w:szCs w:val="26"/>
        </w:rPr>
      </w:pPr>
      <w:r w:rsidRPr="0003106C">
        <w:rPr>
          <w:sz w:val="26"/>
          <w:szCs w:val="26"/>
        </w:rPr>
        <w:t>Ņemot vērā lielākās daļas Riet</w:t>
      </w:r>
      <w:r w:rsidR="005463B7" w:rsidRPr="0003106C">
        <w:rPr>
          <w:sz w:val="26"/>
          <w:szCs w:val="26"/>
        </w:rPr>
        <w:t xml:space="preserve">umeiropas valstu praksi, turpmāk </w:t>
      </w:r>
      <w:r w:rsidRPr="0003106C">
        <w:rPr>
          <w:sz w:val="26"/>
          <w:szCs w:val="26"/>
        </w:rPr>
        <w:t>ne</w:t>
      </w:r>
      <w:r w:rsidR="005463B7" w:rsidRPr="0003106C">
        <w:rPr>
          <w:sz w:val="26"/>
          <w:szCs w:val="26"/>
        </w:rPr>
        <w:t xml:space="preserve">tiek veidots </w:t>
      </w:r>
      <w:r w:rsidRPr="0003106C">
        <w:rPr>
          <w:sz w:val="26"/>
          <w:szCs w:val="26"/>
        </w:rPr>
        <w:t>investīciju projektu portfeli</w:t>
      </w:r>
      <w:r w:rsidR="005463B7" w:rsidRPr="0003106C">
        <w:rPr>
          <w:sz w:val="26"/>
          <w:szCs w:val="26"/>
        </w:rPr>
        <w:t>s</w:t>
      </w:r>
      <w:r w:rsidRPr="0003106C">
        <w:rPr>
          <w:sz w:val="26"/>
          <w:szCs w:val="26"/>
        </w:rPr>
        <w:t>, kurā ir iekļauti konkrēti projekti, ko valsts institūcijas</w:t>
      </w:r>
      <w:r w:rsidR="005463B7" w:rsidRPr="0003106C">
        <w:rPr>
          <w:sz w:val="26"/>
          <w:szCs w:val="26"/>
        </w:rPr>
        <w:t xml:space="preserve"> piedāvātu ārvalstu investoriem</w:t>
      </w:r>
      <w:r w:rsidR="00D22468" w:rsidRPr="0003106C">
        <w:rPr>
          <w:rStyle w:val="FootnoteReference"/>
          <w:sz w:val="26"/>
          <w:szCs w:val="26"/>
        </w:rPr>
        <w:footnoteReference w:id="29"/>
      </w:r>
      <w:r w:rsidR="00D22468" w:rsidRPr="0003106C">
        <w:rPr>
          <w:sz w:val="26"/>
          <w:szCs w:val="26"/>
        </w:rPr>
        <w:t xml:space="preserve">. </w:t>
      </w:r>
    </w:p>
    <w:p w:rsidR="005558D8" w:rsidRPr="0003106C" w:rsidRDefault="005558D8" w:rsidP="00093CEB">
      <w:pPr>
        <w:pStyle w:val="EYNormal"/>
        <w:spacing w:after="0"/>
        <w:ind w:firstLine="567"/>
        <w:jc w:val="both"/>
        <w:rPr>
          <w:rFonts w:ascii="Times New Roman" w:hAnsi="Times New Roman"/>
          <w:kern w:val="0"/>
          <w:sz w:val="26"/>
          <w:szCs w:val="26"/>
          <w:lang w:eastAsia="lv-LV"/>
        </w:rPr>
      </w:pPr>
    </w:p>
    <w:p w:rsidR="00E06E94" w:rsidRPr="0003106C" w:rsidRDefault="00073024" w:rsidP="00E06E94">
      <w:pPr>
        <w:pStyle w:val="Heading2"/>
        <w:ind w:firstLine="567"/>
        <w:rPr>
          <w:rFonts w:ascii="Times New Roman" w:hAnsi="Times New Roman" w:cs="Times New Roman"/>
          <w:i w:val="0"/>
          <w:sz w:val="26"/>
          <w:szCs w:val="26"/>
        </w:rPr>
      </w:pPr>
      <w:bookmarkStart w:id="23" w:name="_Toc355961042"/>
      <w:r w:rsidRPr="0003106C">
        <w:rPr>
          <w:rFonts w:ascii="Times New Roman" w:hAnsi="Times New Roman" w:cs="Times New Roman"/>
          <w:i w:val="0"/>
          <w:sz w:val="26"/>
          <w:szCs w:val="26"/>
        </w:rPr>
        <w:t>4</w:t>
      </w:r>
      <w:r w:rsidR="007D1129" w:rsidRPr="0003106C">
        <w:rPr>
          <w:rFonts w:ascii="Times New Roman" w:hAnsi="Times New Roman" w:cs="Times New Roman"/>
          <w:i w:val="0"/>
          <w:sz w:val="26"/>
          <w:szCs w:val="26"/>
        </w:rPr>
        <w:t>.3.</w:t>
      </w:r>
      <w:r w:rsidR="00F149F1" w:rsidRPr="0003106C">
        <w:rPr>
          <w:rFonts w:ascii="Times New Roman" w:hAnsi="Times New Roman" w:cs="Times New Roman"/>
          <w:i w:val="0"/>
          <w:sz w:val="26"/>
          <w:szCs w:val="26"/>
        </w:rPr>
        <w:t>5</w:t>
      </w:r>
      <w:r w:rsidR="00E06E94" w:rsidRPr="0003106C">
        <w:rPr>
          <w:rFonts w:ascii="Times New Roman" w:hAnsi="Times New Roman" w:cs="Times New Roman"/>
          <w:i w:val="0"/>
          <w:sz w:val="26"/>
          <w:szCs w:val="26"/>
        </w:rPr>
        <w:t>. </w:t>
      </w:r>
      <w:bookmarkEnd w:id="17"/>
      <w:r w:rsidR="00312E4A" w:rsidRPr="0003106C">
        <w:rPr>
          <w:rFonts w:ascii="Times New Roman" w:hAnsi="Times New Roman" w:cs="Times New Roman"/>
          <w:i w:val="0"/>
          <w:sz w:val="26"/>
          <w:szCs w:val="26"/>
        </w:rPr>
        <w:t xml:space="preserve">ĀTI piesaistes </w:t>
      </w:r>
      <w:r w:rsidR="00B62F27" w:rsidRPr="0003106C">
        <w:rPr>
          <w:rFonts w:ascii="Times New Roman" w:hAnsi="Times New Roman" w:cs="Times New Roman"/>
          <w:i w:val="0"/>
          <w:sz w:val="26"/>
          <w:szCs w:val="26"/>
        </w:rPr>
        <w:t xml:space="preserve">institucionālais </w:t>
      </w:r>
      <w:r w:rsidR="00F659DC" w:rsidRPr="0003106C">
        <w:rPr>
          <w:rFonts w:ascii="Times New Roman" w:hAnsi="Times New Roman" w:cs="Times New Roman"/>
          <w:i w:val="0"/>
          <w:sz w:val="26"/>
          <w:szCs w:val="26"/>
        </w:rPr>
        <w:t xml:space="preserve">ietvars </w:t>
      </w:r>
      <w:r w:rsidR="00B62F27" w:rsidRPr="0003106C">
        <w:rPr>
          <w:rFonts w:ascii="Times New Roman" w:hAnsi="Times New Roman" w:cs="Times New Roman"/>
          <w:i w:val="0"/>
          <w:sz w:val="26"/>
          <w:szCs w:val="26"/>
        </w:rPr>
        <w:t>un resursi</w:t>
      </w:r>
      <w:bookmarkEnd w:id="23"/>
    </w:p>
    <w:p w:rsidR="000D2056" w:rsidRPr="0003106C" w:rsidRDefault="000D2056" w:rsidP="00297FA6">
      <w:pPr>
        <w:ind w:firstLine="567"/>
        <w:jc w:val="both"/>
        <w:rPr>
          <w:bCs/>
          <w:sz w:val="26"/>
          <w:szCs w:val="26"/>
        </w:rPr>
      </w:pPr>
      <w:r w:rsidRPr="0003106C">
        <w:rPr>
          <w:sz w:val="26"/>
          <w:szCs w:val="26"/>
        </w:rPr>
        <w:t>Sadarbība valsts institūciju līmenī atbilstoši konkrētās institūcijas kompetencei, notiek starp Ekonomikas ministriju, LIAA, Ārlietu ministriju, Ministru prezidenta biroju un Valsts prezidenta kanceleju, kā arī konkrētos jautājumos ar Satiksmes, Zemkopības un Vides aizsardzības un reģionālās attīstības ministrijām. ĀTI piesaistē informatīvo un rīcības atbalstu konkrētā jomā un aktivitātēs sniedz nozaru asociācijas, LDDK un LTRK, ārvalstu investoru komercpārstāvniecības, investīciju baņķieri, auditor</w:t>
      </w:r>
      <w:r w:rsidR="0088189B" w:rsidRPr="0003106C">
        <w:rPr>
          <w:sz w:val="26"/>
          <w:szCs w:val="26"/>
        </w:rPr>
        <w:t xml:space="preserve">u </w:t>
      </w:r>
      <w:r w:rsidRPr="0003106C">
        <w:rPr>
          <w:sz w:val="26"/>
          <w:szCs w:val="26"/>
        </w:rPr>
        <w:t>kompānijas, zvērinātu advokātu biroji, konsultāciju uzņēmumi u.c.</w:t>
      </w:r>
    </w:p>
    <w:p w:rsidR="00297FA6" w:rsidRPr="0003106C" w:rsidRDefault="00F149F1" w:rsidP="00297FA6">
      <w:pPr>
        <w:ind w:firstLine="567"/>
        <w:jc w:val="both"/>
        <w:rPr>
          <w:sz w:val="26"/>
          <w:szCs w:val="26"/>
        </w:rPr>
      </w:pPr>
      <w:r w:rsidRPr="0003106C">
        <w:rPr>
          <w:bCs/>
          <w:sz w:val="26"/>
          <w:szCs w:val="26"/>
        </w:rPr>
        <w:t xml:space="preserve">LIAA un </w:t>
      </w:r>
      <w:r w:rsidR="00297FA6" w:rsidRPr="0003106C">
        <w:rPr>
          <w:bCs/>
          <w:sz w:val="26"/>
          <w:szCs w:val="26"/>
        </w:rPr>
        <w:t>Latvijas Ārējās</w:t>
      </w:r>
      <w:r w:rsidRPr="0003106C">
        <w:rPr>
          <w:bCs/>
          <w:sz w:val="26"/>
          <w:szCs w:val="26"/>
        </w:rPr>
        <w:t xml:space="preserve"> ekonomiskās pārstāvniecības </w:t>
      </w:r>
      <w:r w:rsidR="00297FA6" w:rsidRPr="0003106C">
        <w:rPr>
          <w:bCs/>
          <w:sz w:val="26"/>
          <w:szCs w:val="26"/>
        </w:rPr>
        <w:t xml:space="preserve">pakalpojumus Latvijas komersantiem un ārvalstu investoriem nodrošina pēc </w:t>
      </w:r>
      <w:r w:rsidR="00297FA6" w:rsidRPr="0003106C">
        <w:rPr>
          <w:bCs/>
          <w:i/>
          <w:sz w:val="26"/>
          <w:szCs w:val="26"/>
        </w:rPr>
        <w:t>„vienas pieturas aģentūras”</w:t>
      </w:r>
      <w:r w:rsidR="00297FA6" w:rsidRPr="0003106C">
        <w:rPr>
          <w:b/>
          <w:bCs/>
          <w:sz w:val="26"/>
          <w:szCs w:val="26"/>
        </w:rPr>
        <w:t xml:space="preserve"> </w:t>
      </w:r>
      <w:r w:rsidR="00297FA6" w:rsidRPr="0003106C">
        <w:rPr>
          <w:bCs/>
          <w:sz w:val="26"/>
          <w:szCs w:val="26"/>
        </w:rPr>
        <w:t xml:space="preserve">principa. </w:t>
      </w:r>
      <w:r w:rsidR="00297FA6" w:rsidRPr="0003106C">
        <w:rPr>
          <w:sz w:val="26"/>
          <w:szCs w:val="26"/>
        </w:rPr>
        <w:t xml:space="preserve">LIAA un </w:t>
      </w:r>
      <w:r w:rsidRPr="0003106C">
        <w:rPr>
          <w:sz w:val="26"/>
          <w:szCs w:val="26"/>
        </w:rPr>
        <w:t>Latvijas Ārēj</w:t>
      </w:r>
      <w:r w:rsidR="002018B0" w:rsidRPr="0003106C">
        <w:rPr>
          <w:sz w:val="26"/>
          <w:szCs w:val="26"/>
        </w:rPr>
        <w:t>ās</w:t>
      </w:r>
      <w:r w:rsidRPr="0003106C">
        <w:rPr>
          <w:sz w:val="26"/>
          <w:szCs w:val="26"/>
        </w:rPr>
        <w:t xml:space="preserve"> ekonomisk</w:t>
      </w:r>
      <w:r w:rsidR="002018B0" w:rsidRPr="0003106C">
        <w:rPr>
          <w:sz w:val="26"/>
          <w:szCs w:val="26"/>
        </w:rPr>
        <w:t>ās</w:t>
      </w:r>
      <w:r w:rsidRPr="0003106C">
        <w:rPr>
          <w:sz w:val="26"/>
          <w:szCs w:val="26"/>
        </w:rPr>
        <w:t xml:space="preserve"> pārstāvniecības </w:t>
      </w:r>
      <w:r w:rsidR="00297FA6" w:rsidRPr="0003106C">
        <w:rPr>
          <w:sz w:val="26"/>
          <w:szCs w:val="26"/>
        </w:rPr>
        <w:t>darbojas potenciālo un esošo investoru apkalpošanā – nodrošina ar nepieciešamo informāciju, komunicē ar attiecīgajām institūcijām, piedāvā investīciju projektu īstenošanas vietas un atbilstošos investīciju stimulus.</w:t>
      </w:r>
    </w:p>
    <w:p w:rsidR="00297FA6" w:rsidRPr="0003106C" w:rsidRDefault="00297FA6" w:rsidP="00297FA6">
      <w:pPr>
        <w:ind w:right="-143" w:firstLine="567"/>
        <w:jc w:val="both"/>
        <w:rPr>
          <w:sz w:val="26"/>
          <w:szCs w:val="26"/>
        </w:rPr>
      </w:pPr>
      <w:r w:rsidRPr="0003106C">
        <w:rPr>
          <w:b/>
          <w:sz w:val="26"/>
          <w:szCs w:val="26"/>
        </w:rPr>
        <w:t>Latvijas Ārējo ekonomisko pārstāvniecību</w:t>
      </w:r>
      <w:r w:rsidRPr="0003106C">
        <w:rPr>
          <w:sz w:val="26"/>
          <w:szCs w:val="26"/>
        </w:rPr>
        <w:t xml:space="preserve"> izvietošanā</w:t>
      </w:r>
      <w:r w:rsidR="003B2538" w:rsidRPr="0003106C">
        <w:rPr>
          <w:sz w:val="26"/>
          <w:szCs w:val="26"/>
        </w:rPr>
        <w:t xml:space="preserve"> un efektivitātes nolūkos</w:t>
      </w:r>
      <w:r w:rsidRPr="0003106C">
        <w:rPr>
          <w:sz w:val="26"/>
          <w:szCs w:val="26"/>
        </w:rPr>
        <w:t xml:space="preserve"> jāvērtē šādi kritēriji:</w:t>
      </w:r>
    </w:p>
    <w:p w:rsidR="006326F5" w:rsidRPr="0003106C" w:rsidRDefault="00297FA6" w:rsidP="006326F5">
      <w:pPr>
        <w:pStyle w:val="ListParagraph"/>
        <w:numPr>
          <w:ilvl w:val="0"/>
          <w:numId w:val="50"/>
        </w:numPr>
        <w:spacing w:line="240" w:lineRule="auto"/>
        <w:ind w:left="851" w:hanging="284"/>
        <w:jc w:val="both"/>
        <w:rPr>
          <w:rFonts w:ascii="Times New Roman" w:hAnsi="Times New Roman"/>
          <w:sz w:val="26"/>
          <w:szCs w:val="26"/>
        </w:rPr>
      </w:pPr>
      <w:r w:rsidRPr="0003106C">
        <w:rPr>
          <w:rFonts w:ascii="Times New Roman" w:hAnsi="Times New Roman"/>
          <w:sz w:val="26"/>
          <w:szCs w:val="26"/>
        </w:rPr>
        <w:t>no mērķa valsts izejošo ārvalstu tiešo investīciju apjoms, īpašu vērību pievēršot investīcijām ražošanas sektora attīstībā</w:t>
      </w:r>
      <w:r w:rsidR="006326F5" w:rsidRPr="0003106C">
        <w:rPr>
          <w:rFonts w:ascii="Times New Roman" w:hAnsi="Times New Roman"/>
          <w:sz w:val="26"/>
          <w:szCs w:val="26"/>
        </w:rPr>
        <w:t xml:space="preserve"> </w:t>
      </w:r>
      <w:r w:rsidR="00AC4E9B" w:rsidRPr="0003106C">
        <w:rPr>
          <w:rFonts w:ascii="Times New Roman" w:hAnsi="Times New Roman"/>
          <w:sz w:val="26"/>
          <w:szCs w:val="26"/>
        </w:rPr>
        <w:t xml:space="preserve">(izejošās </w:t>
      </w:r>
      <w:r w:rsidR="003B573B" w:rsidRPr="0003106C">
        <w:rPr>
          <w:rFonts w:ascii="Times New Roman" w:hAnsi="Times New Roman"/>
          <w:sz w:val="26"/>
          <w:szCs w:val="26"/>
        </w:rPr>
        <w:t xml:space="preserve">tiešās nefinanšu </w:t>
      </w:r>
      <w:r w:rsidR="00AC4E9B" w:rsidRPr="0003106C">
        <w:rPr>
          <w:rFonts w:ascii="Times New Roman" w:hAnsi="Times New Roman"/>
          <w:sz w:val="26"/>
          <w:szCs w:val="26"/>
        </w:rPr>
        <w:t xml:space="preserve">investīcijas pārsniedz </w:t>
      </w:r>
      <w:r w:rsidR="008D65E2" w:rsidRPr="0003106C">
        <w:rPr>
          <w:rFonts w:ascii="Times New Roman" w:hAnsi="Times New Roman"/>
          <w:sz w:val="26"/>
          <w:szCs w:val="26"/>
        </w:rPr>
        <w:t>3</w:t>
      </w:r>
      <w:r w:rsidR="00AC4E9B" w:rsidRPr="0003106C">
        <w:rPr>
          <w:rFonts w:ascii="Times New Roman" w:hAnsi="Times New Roman"/>
          <w:sz w:val="26"/>
          <w:szCs w:val="26"/>
        </w:rPr>
        <w:t xml:space="preserve">% no pasaules </w:t>
      </w:r>
      <w:r w:rsidR="003B573B" w:rsidRPr="0003106C">
        <w:rPr>
          <w:rFonts w:ascii="Times New Roman" w:hAnsi="Times New Roman"/>
          <w:sz w:val="26"/>
          <w:szCs w:val="26"/>
        </w:rPr>
        <w:t>ĀTI</w:t>
      </w:r>
      <w:r w:rsidR="00AC4E9B" w:rsidRPr="0003106C">
        <w:rPr>
          <w:rFonts w:ascii="Times New Roman" w:hAnsi="Times New Roman"/>
          <w:sz w:val="26"/>
          <w:szCs w:val="26"/>
        </w:rPr>
        <w:t xml:space="preserve"> plūsm</w:t>
      </w:r>
      <w:r w:rsidR="003B573B" w:rsidRPr="0003106C">
        <w:rPr>
          <w:rFonts w:ascii="Times New Roman" w:hAnsi="Times New Roman"/>
          <w:sz w:val="26"/>
          <w:szCs w:val="26"/>
        </w:rPr>
        <w:t>ām</w:t>
      </w:r>
      <w:r w:rsidR="00AC4E9B" w:rsidRPr="0003106C">
        <w:rPr>
          <w:rFonts w:ascii="Times New Roman" w:hAnsi="Times New Roman"/>
          <w:sz w:val="26"/>
          <w:szCs w:val="26"/>
        </w:rPr>
        <w:t>);</w:t>
      </w:r>
    </w:p>
    <w:p w:rsidR="00297FA6" w:rsidRPr="0003106C" w:rsidRDefault="00297FA6" w:rsidP="00297FA6">
      <w:pPr>
        <w:numPr>
          <w:ilvl w:val="0"/>
          <w:numId w:val="2"/>
        </w:numPr>
        <w:ind w:left="851" w:hanging="284"/>
        <w:jc w:val="both"/>
        <w:rPr>
          <w:sz w:val="26"/>
          <w:szCs w:val="26"/>
        </w:rPr>
      </w:pPr>
      <w:r w:rsidRPr="0003106C">
        <w:rPr>
          <w:sz w:val="26"/>
          <w:szCs w:val="26"/>
        </w:rPr>
        <w:t>maksātspējīgs mērķa valsts tirgus</w:t>
      </w:r>
      <w:r w:rsidR="00AC4E9B" w:rsidRPr="0003106C">
        <w:rPr>
          <w:sz w:val="26"/>
          <w:szCs w:val="26"/>
        </w:rPr>
        <w:t xml:space="preserve"> (</w:t>
      </w:r>
      <w:r w:rsidR="003B573B" w:rsidRPr="0003106C">
        <w:rPr>
          <w:sz w:val="26"/>
          <w:szCs w:val="26"/>
        </w:rPr>
        <w:t>tais skaitā, strauji augošie tirgi, kuru</w:t>
      </w:r>
      <w:r w:rsidR="00AC4E9B" w:rsidRPr="0003106C">
        <w:rPr>
          <w:sz w:val="26"/>
          <w:szCs w:val="26"/>
        </w:rPr>
        <w:t xml:space="preserve"> tirgus daļa lielāka par 5% no pasaules IKP</w:t>
      </w:r>
      <w:r w:rsidR="003B573B" w:rsidRPr="0003106C">
        <w:rPr>
          <w:sz w:val="26"/>
          <w:szCs w:val="26"/>
        </w:rPr>
        <w:t>)</w:t>
      </w:r>
      <w:r w:rsidRPr="0003106C">
        <w:rPr>
          <w:sz w:val="26"/>
          <w:szCs w:val="26"/>
        </w:rPr>
        <w:t>;</w:t>
      </w:r>
    </w:p>
    <w:p w:rsidR="00AD236D" w:rsidRPr="0003106C" w:rsidRDefault="00AD236D" w:rsidP="00AD236D">
      <w:pPr>
        <w:numPr>
          <w:ilvl w:val="0"/>
          <w:numId w:val="2"/>
        </w:numPr>
        <w:ind w:left="851" w:hanging="284"/>
        <w:jc w:val="both"/>
        <w:rPr>
          <w:sz w:val="26"/>
          <w:szCs w:val="26"/>
        </w:rPr>
      </w:pPr>
      <w:r w:rsidRPr="0003106C">
        <w:rPr>
          <w:sz w:val="26"/>
          <w:szCs w:val="26"/>
        </w:rPr>
        <w:t>Latvijas eksporta apjoms uz mērķa valsti</w:t>
      </w:r>
      <w:r w:rsidR="00AC4E9B" w:rsidRPr="0003106C">
        <w:rPr>
          <w:sz w:val="26"/>
          <w:szCs w:val="26"/>
        </w:rPr>
        <w:t xml:space="preserve"> </w:t>
      </w:r>
      <w:r w:rsidR="003B573B" w:rsidRPr="0003106C">
        <w:rPr>
          <w:sz w:val="26"/>
          <w:szCs w:val="26"/>
        </w:rPr>
        <w:t>(tirgi</w:t>
      </w:r>
      <w:r w:rsidR="00AC4E9B" w:rsidRPr="0003106C">
        <w:rPr>
          <w:sz w:val="26"/>
          <w:szCs w:val="26"/>
        </w:rPr>
        <w:t>, kuros Latvijas eksporta daļa pārsniedz 2% no kopējā Latvijas eksporta</w:t>
      </w:r>
      <w:r w:rsidR="003B573B" w:rsidRPr="0003106C">
        <w:rPr>
          <w:sz w:val="26"/>
          <w:szCs w:val="26"/>
        </w:rPr>
        <w:t>)</w:t>
      </w:r>
      <w:r w:rsidRPr="0003106C">
        <w:rPr>
          <w:sz w:val="26"/>
          <w:szCs w:val="26"/>
        </w:rPr>
        <w:t>;</w:t>
      </w:r>
    </w:p>
    <w:p w:rsidR="00297FA6" w:rsidRPr="0003106C" w:rsidRDefault="00297FA6" w:rsidP="00297FA6">
      <w:pPr>
        <w:numPr>
          <w:ilvl w:val="0"/>
          <w:numId w:val="2"/>
        </w:numPr>
        <w:ind w:left="851" w:hanging="284"/>
        <w:jc w:val="both"/>
        <w:rPr>
          <w:sz w:val="26"/>
          <w:szCs w:val="26"/>
        </w:rPr>
      </w:pPr>
      <w:r w:rsidRPr="0003106C">
        <w:rPr>
          <w:sz w:val="26"/>
          <w:szCs w:val="26"/>
        </w:rPr>
        <w:t>Latvijas uzņēmēju prioritārās eksporta valstis atbilstoši nozaru interesēm;</w:t>
      </w:r>
    </w:p>
    <w:p w:rsidR="00297FA6" w:rsidRPr="0003106C" w:rsidRDefault="00297FA6" w:rsidP="00297FA6">
      <w:pPr>
        <w:numPr>
          <w:ilvl w:val="0"/>
          <w:numId w:val="2"/>
        </w:numPr>
        <w:ind w:left="851" w:hanging="284"/>
        <w:jc w:val="both"/>
        <w:rPr>
          <w:sz w:val="26"/>
          <w:szCs w:val="26"/>
        </w:rPr>
      </w:pPr>
      <w:r w:rsidRPr="0003106C">
        <w:rPr>
          <w:sz w:val="26"/>
          <w:szCs w:val="26"/>
        </w:rPr>
        <w:t>mērķa tirgu ģeogrāfiskais tuvums;</w:t>
      </w:r>
    </w:p>
    <w:p w:rsidR="00297FA6" w:rsidRPr="0003106C" w:rsidRDefault="00297FA6" w:rsidP="00297FA6">
      <w:pPr>
        <w:numPr>
          <w:ilvl w:val="0"/>
          <w:numId w:val="2"/>
        </w:numPr>
        <w:ind w:left="851" w:hanging="284"/>
        <w:jc w:val="both"/>
        <w:rPr>
          <w:sz w:val="26"/>
          <w:szCs w:val="26"/>
        </w:rPr>
      </w:pPr>
      <w:r w:rsidRPr="0003106C">
        <w:rPr>
          <w:sz w:val="26"/>
          <w:szCs w:val="26"/>
        </w:rPr>
        <w:t>mērķa valsts uzņēmēju intensīva interese par Latviju (t.sk., identificētie sadarbības piedāvājumi augstāko valsts amatpersonu vizīšu ietvaros);</w:t>
      </w:r>
    </w:p>
    <w:p w:rsidR="00297FA6" w:rsidRPr="0003106C" w:rsidRDefault="00297FA6" w:rsidP="00297FA6">
      <w:pPr>
        <w:numPr>
          <w:ilvl w:val="0"/>
          <w:numId w:val="2"/>
        </w:numPr>
        <w:ind w:left="851" w:hanging="284"/>
        <w:jc w:val="both"/>
        <w:rPr>
          <w:sz w:val="26"/>
          <w:szCs w:val="26"/>
        </w:rPr>
      </w:pPr>
      <w:r w:rsidRPr="0003106C">
        <w:rPr>
          <w:sz w:val="26"/>
          <w:szCs w:val="26"/>
        </w:rPr>
        <w:t>reģionālā pārstāvniecība (viena pārstāvniecība</w:t>
      </w:r>
      <w:r w:rsidR="002F1F98" w:rsidRPr="0003106C">
        <w:rPr>
          <w:sz w:val="26"/>
          <w:szCs w:val="26"/>
        </w:rPr>
        <w:t xml:space="preserve"> strādā noteiktā reģionā, kas ap</w:t>
      </w:r>
      <w:r w:rsidRPr="0003106C">
        <w:rPr>
          <w:sz w:val="26"/>
          <w:szCs w:val="26"/>
        </w:rPr>
        <w:t>tver vairākas valstis);</w:t>
      </w:r>
    </w:p>
    <w:p w:rsidR="00297FA6" w:rsidRPr="0003106C" w:rsidRDefault="00297FA6" w:rsidP="00297FA6">
      <w:pPr>
        <w:numPr>
          <w:ilvl w:val="0"/>
          <w:numId w:val="2"/>
        </w:numPr>
        <w:ind w:left="851" w:hanging="284"/>
        <w:jc w:val="both"/>
        <w:rPr>
          <w:sz w:val="26"/>
          <w:szCs w:val="26"/>
        </w:rPr>
      </w:pPr>
      <w:r w:rsidRPr="0003106C">
        <w:rPr>
          <w:sz w:val="26"/>
          <w:szCs w:val="26"/>
        </w:rPr>
        <w:t>mērķa valsts priekšrocīb</w:t>
      </w:r>
      <w:r w:rsidR="00AD236D" w:rsidRPr="0003106C">
        <w:rPr>
          <w:sz w:val="26"/>
          <w:szCs w:val="26"/>
        </w:rPr>
        <w:t>as līgumtiesiskajos nosacījumos;</w:t>
      </w:r>
    </w:p>
    <w:p w:rsidR="00297FA6" w:rsidRPr="0003106C" w:rsidRDefault="00297FA6" w:rsidP="00297FA6">
      <w:pPr>
        <w:numPr>
          <w:ilvl w:val="0"/>
          <w:numId w:val="2"/>
        </w:numPr>
        <w:ind w:left="851" w:hanging="284"/>
        <w:jc w:val="both"/>
        <w:rPr>
          <w:sz w:val="26"/>
          <w:szCs w:val="26"/>
        </w:rPr>
      </w:pPr>
      <w:r w:rsidRPr="0003106C">
        <w:rPr>
          <w:sz w:val="26"/>
          <w:szCs w:val="26"/>
        </w:rPr>
        <w:t>informācija par kaimiņvalstu vai citu konkurentu izvēli, atverot savas pārstāvniecības.</w:t>
      </w:r>
    </w:p>
    <w:p w:rsidR="00297FA6" w:rsidRPr="0003106C" w:rsidRDefault="00297FA6" w:rsidP="00297FA6">
      <w:pPr>
        <w:ind w:firstLine="567"/>
        <w:jc w:val="both"/>
        <w:rPr>
          <w:sz w:val="26"/>
          <w:szCs w:val="26"/>
        </w:rPr>
      </w:pPr>
    </w:p>
    <w:p w:rsidR="000D2056" w:rsidRPr="0003106C" w:rsidRDefault="00F149F1" w:rsidP="002E573E">
      <w:pPr>
        <w:ind w:firstLine="567"/>
        <w:jc w:val="both"/>
        <w:rPr>
          <w:sz w:val="26"/>
          <w:szCs w:val="26"/>
        </w:rPr>
      </w:pPr>
      <w:r w:rsidRPr="0003106C">
        <w:rPr>
          <w:sz w:val="26"/>
          <w:szCs w:val="26"/>
        </w:rPr>
        <w:lastRenderedPageBreak/>
        <w:t xml:space="preserve">Profesionālai investoru apkalpošanai nepieciešams kāpināt LIAA un </w:t>
      </w:r>
      <w:r w:rsidRPr="0003106C">
        <w:rPr>
          <w:bCs/>
          <w:sz w:val="26"/>
          <w:szCs w:val="26"/>
        </w:rPr>
        <w:t>Latvijas Ārēj</w:t>
      </w:r>
      <w:r w:rsidR="002018B0" w:rsidRPr="0003106C">
        <w:rPr>
          <w:bCs/>
          <w:sz w:val="26"/>
          <w:szCs w:val="26"/>
        </w:rPr>
        <w:t>o</w:t>
      </w:r>
      <w:r w:rsidRPr="0003106C">
        <w:rPr>
          <w:bCs/>
          <w:sz w:val="26"/>
          <w:szCs w:val="26"/>
        </w:rPr>
        <w:t xml:space="preserve"> ekonomisko pārstāvniecību kapacitāti</w:t>
      </w:r>
      <w:r w:rsidR="00486CE3" w:rsidRPr="0003106C">
        <w:rPr>
          <w:bCs/>
          <w:sz w:val="26"/>
          <w:szCs w:val="26"/>
        </w:rPr>
        <w:t>, pārskatot uzdevumus Latvijas ārējiem ekonomiskajiem pārstāvjiem par labu ĀTI, piesaistot papildus cilvēkresursu</w:t>
      </w:r>
      <w:r w:rsidR="004F5C73" w:rsidRPr="0003106C">
        <w:rPr>
          <w:bCs/>
          <w:sz w:val="26"/>
          <w:szCs w:val="26"/>
        </w:rPr>
        <w:t>s</w:t>
      </w:r>
      <w:r w:rsidR="008E4BEB" w:rsidRPr="0003106C">
        <w:rPr>
          <w:bCs/>
          <w:sz w:val="26"/>
          <w:szCs w:val="26"/>
        </w:rPr>
        <w:t xml:space="preserve"> un ārpakalpojumus</w:t>
      </w:r>
      <w:r w:rsidR="00486CE3" w:rsidRPr="0003106C">
        <w:rPr>
          <w:bCs/>
          <w:sz w:val="26"/>
          <w:szCs w:val="26"/>
        </w:rPr>
        <w:t xml:space="preserve">, </w:t>
      </w:r>
      <w:r w:rsidR="008E4BEB" w:rsidRPr="0003106C">
        <w:rPr>
          <w:bCs/>
          <w:sz w:val="26"/>
          <w:szCs w:val="26"/>
        </w:rPr>
        <w:t>nodrošinot</w:t>
      </w:r>
      <w:r w:rsidR="005B1D6D" w:rsidRPr="0003106C">
        <w:rPr>
          <w:bCs/>
          <w:sz w:val="26"/>
          <w:szCs w:val="26"/>
        </w:rPr>
        <w:t xml:space="preserve"> pārstāvniecības</w:t>
      </w:r>
      <w:r w:rsidR="001F65E6" w:rsidRPr="0003106C">
        <w:rPr>
          <w:bCs/>
          <w:sz w:val="26"/>
          <w:szCs w:val="26"/>
        </w:rPr>
        <w:t xml:space="preserve"> augsti prioritāros tirgos</w:t>
      </w:r>
      <w:r w:rsidRPr="0003106C">
        <w:rPr>
          <w:bCs/>
          <w:sz w:val="26"/>
          <w:szCs w:val="26"/>
        </w:rPr>
        <w:t xml:space="preserve"> un īsteno</w:t>
      </w:r>
      <w:r w:rsidR="004F5C73" w:rsidRPr="0003106C">
        <w:rPr>
          <w:bCs/>
          <w:sz w:val="26"/>
          <w:szCs w:val="26"/>
        </w:rPr>
        <w:t>jot</w:t>
      </w:r>
      <w:r w:rsidRPr="0003106C">
        <w:rPr>
          <w:bCs/>
          <w:sz w:val="26"/>
          <w:szCs w:val="26"/>
        </w:rPr>
        <w:t xml:space="preserve"> atbilstošu darbinieku motivācijas sistēmu, </w:t>
      </w:r>
      <w:r w:rsidR="008E4BEB" w:rsidRPr="0003106C">
        <w:rPr>
          <w:bCs/>
          <w:sz w:val="26"/>
          <w:szCs w:val="26"/>
        </w:rPr>
        <w:t xml:space="preserve">koncentrējot LIAA darbību uz ĀTI piesaisti un eksporta veicināšanu, </w:t>
      </w:r>
      <w:r w:rsidRPr="0003106C">
        <w:rPr>
          <w:bCs/>
          <w:sz w:val="26"/>
          <w:szCs w:val="26"/>
        </w:rPr>
        <w:t xml:space="preserve">vienlaikus nodalot no LIAA pamatfunkcijām Eiropas Savienības struktūrfondu administrēšanas funkciju. </w:t>
      </w:r>
    </w:p>
    <w:p w:rsidR="000E58FE" w:rsidRPr="0003106C" w:rsidRDefault="000E58FE" w:rsidP="000E58FE">
      <w:pPr>
        <w:ind w:firstLine="567"/>
        <w:jc w:val="both"/>
        <w:rPr>
          <w:sz w:val="26"/>
          <w:szCs w:val="26"/>
        </w:rPr>
      </w:pPr>
      <w:r w:rsidRPr="0003106C">
        <w:rPr>
          <w:sz w:val="26"/>
          <w:szCs w:val="26"/>
        </w:rPr>
        <w:t xml:space="preserve"> </w:t>
      </w:r>
      <w:r w:rsidR="00477F0B" w:rsidRPr="0003106C">
        <w:rPr>
          <w:sz w:val="26"/>
          <w:szCs w:val="26"/>
        </w:rPr>
        <w:t xml:space="preserve"> </w:t>
      </w:r>
    </w:p>
    <w:p w:rsidR="00B36425" w:rsidRPr="0003106C" w:rsidRDefault="00B36425" w:rsidP="00415FFF">
      <w:pPr>
        <w:pStyle w:val="BodyTextIndent"/>
        <w:keepNext/>
        <w:ind w:left="0" w:firstLine="567"/>
        <w:jc w:val="right"/>
        <w:rPr>
          <w:sz w:val="26"/>
          <w:szCs w:val="26"/>
        </w:rPr>
      </w:pPr>
      <w:r w:rsidRPr="0003106C">
        <w:rPr>
          <w:sz w:val="26"/>
          <w:szCs w:val="26"/>
        </w:rPr>
        <w:t>11.attēls</w:t>
      </w:r>
    </w:p>
    <w:p w:rsidR="00B36425" w:rsidRPr="0003106C" w:rsidRDefault="00B36425" w:rsidP="00415FFF">
      <w:pPr>
        <w:pStyle w:val="BodyTextIndent"/>
        <w:keepNext/>
        <w:ind w:left="0" w:firstLine="0"/>
        <w:jc w:val="center"/>
        <w:rPr>
          <w:b/>
          <w:sz w:val="26"/>
          <w:szCs w:val="26"/>
        </w:rPr>
      </w:pPr>
      <w:r w:rsidRPr="0003106C">
        <w:rPr>
          <w:b/>
          <w:sz w:val="26"/>
          <w:szCs w:val="26"/>
        </w:rPr>
        <w:t>Vienotā ĀTI piesaistes institucionālā sistēma</w:t>
      </w:r>
    </w:p>
    <w:p w:rsidR="00B36425" w:rsidRPr="0003106C" w:rsidRDefault="00B36425" w:rsidP="00415FFF">
      <w:pPr>
        <w:keepNext/>
        <w:spacing w:after="120"/>
        <w:ind w:firstLine="567"/>
        <w:jc w:val="both"/>
        <w:rPr>
          <w:sz w:val="26"/>
          <w:szCs w:val="26"/>
        </w:rPr>
      </w:pPr>
    </w:p>
    <w:p w:rsidR="00B433E2" w:rsidRPr="0003106C" w:rsidRDefault="00B433E2" w:rsidP="00415FFF">
      <w:pPr>
        <w:pStyle w:val="BodyTextIndent"/>
        <w:keepNext/>
        <w:ind w:left="0" w:firstLine="567"/>
        <w:jc w:val="both"/>
        <w:rPr>
          <w:b/>
          <w:sz w:val="26"/>
          <w:szCs w:val="26"/>
        </w:rPr>
      </w:pPr>
      <w:r w:rsidRPr="0003106C">
        <w:rPr>
          <w:noProof/>
          <w:sz w:val="26"/>
          <w:szCs w:val="26"/>
          <w:lang w:eastAsia="lv-LV"/>
        </w:rPr>
        <mc:AlternateContent>
          <mc:Choice Requires="wps">
            <w:drawing>
              <wp:anchor distT="0" distB="0" distL="114300" distR="114300" simplePos="0" relativeHeight="251680768" behindDoc="0" locked="0" layoutInCell="1" allowOverlap="1" wp14:anchorId="3E268D22" wp14:editId="68011CCD">
                <wp:simplePos x="0" y="0"/>
                <wp:positionH relativeFrom="column">
                  <wp:posOffset>3723640</wp:posOffset>
                </wp:positionH>
                <wp:positionV relativeFrom="paragraph">
                  <wp:posOffset>553085</wp:posOffset>
                </wp:positionV>
                <wp:extent cx="236855" cy="262255"/>
                <wp:effectExtent l="6350" t="31750" r="36195" b="17145"/>
                <wp:wrapNone/>
                <wp:docPr id="26" name="Down Arrow 26"/>
                <wp:cNvGraphicFramePr/>
                <a:graphic xmlns:a="http://schemas.openxmlformats.org/drawingml/2006/main">
                  <a:graphicData uri="http://schemas.microsoft.com/office/word/2010/wordprocessingShape">
                    <wps:wsp>
                      <wps:cNvSpPr/>
                      <wps:spPr>
                        <a:xfrm rot="6928327">
                          <a:off x="0" y="0"/>
                          <a:ext cx="236855"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293.2pt;margin-top:43.55pt;width:18.65pt;height:20.65pt;rotation:756758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" adj="11846" fillcolor="#4f81bd [3204]" strokecolor="#243f60 [1604]" strokeweight="2pt"/>
            </w:pict>
          </mc:Fallback>
        </mc:AlternateContent>
      </w:r>
      <w:r w:rsidRPr="0003106C">
        <w:rPr>
          <w:noProof/>
          <w:sz w:val="26"/>
          <w:szCs w:val="26"/>
          <w:lang w:eastAsia="lv-LV"/>
        </w:rPr>
        <mc:AlternateContent>
          <mc:Choice Requires="wps">
            <w:drawing>
              <wp:anchor distT="0" distB="0" distL="114300" distR="114300" simplePos="0" relativeHeight="251679744" behindDoc="0" locked="0" layoutInCell="1" allowOverlap="1" wp14:anchorId="0DBAE14E" wp14:editId="55623857">
                <wp:simplePos x="0" y="0"/>
                <wp:positionH relativeFrom="column">
                  <wp:posOffset>4791075</wp:posOffset>
                </wp:positionH>
                <wp:positionV relativeFrom="paragraph">
                  <wp:posOffset>1708785</wp:posOffset>
                </wp:positionV>
                <wp:extent cx="236855" cy="262255"/>
                <wp:effectExtent l="38100" t="19050" r="10795" b="42545"/>
                <wp:wrapNone/>
                <wp:docPr id="25" name="Down Arrow 25"/>
                <wp:cNvGraphicFramePr/>
                <a:graphic xmlns:a="http://schemas.openxmlformats.org/drawingml/2006/main">
                  <a:graphicData uri="http://schemas.microsoft.com/office/word/2010/wordprocessingShape">
                    <wps:wsp>
                      <wps:cNvSpPr/>
                      <wps:spPr>
                        <a:xfrm rot="9831546">
                          <a:off x="0" y="0"/>
                          <a:ext cx="236855"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377.25pt;margin-top:134.55pt;width:18.65pt;height:20.65pt;rotation:1073867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" adj="11846" fillcolor="#4f81bd [3204]" strokecolor="#243f60 [1604]" strokeweight="2pt"/>
            </w:pict>
          </mc:Fallback>
        </mc:AlternateContent>
      </w:r>
      <w:r w:rsidRPr="0003106C">
        <w:rPr>
          <w:noProof/>
          <w:sz w:val="26"/>
          <w:szCs w:val="26"/>
          <w:lang w:eastAsia="lv-LV"/>
        </w:rPr>
        <mc:AlternateContent>
          <mc:Choice Requires="wps">
            <w:drawing>
              <wp:anchor distT="0" distB="0" distL="114300" distR="114300" simplePos="0" relativeHeight="251678720" behindDoc="0" locked="0" layoutInCell="1" allowOverlap="1" wp14:anchorId="341834A1" wp14:editId="1FA7C1DB">
                <wp:simplePos x="0" y="0"/>
                <wp:positionH relativeFrom="column">
                  <wp:posOffset>4478020</wp:posOffset>
                </wp:positionH>
                <wp:positionV relativeFrom="paragraph">
                  <wp:posOffset>3271520</wp:posOffset>
                </wp:positionV>
                <wp:extent cx="236855" cy="262255"/>
                <wp:effectExtent l="38100" t="0" r="0" b="23495"/>
                <wp:wrapNone/>
                <wp:docPr id="23" name="Down Arrow 23"/>
                <wp:cNvGraphicFramePr/>
                <a:graphic xmlns:a="http://schemas.openxmlformats.org/drawingml/2006/main">
                  <a:graphicData uri="http://schemas.microsoft.com/office/word/2010/wordprocessingShape">
                    <wps:wsp>
                      <wps:cNvSpPr/>
                      <wps:spPr>
                        <a:xfrm rot="13399146">
                          <a:off x="0" y="0"/>
                          <a:ext cx="236855"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352.6pt;margin-top:257.6pt;width:18.65pt;height:20.65pt;rotation:-895751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" adj="11846" fillcolor="#4f81bd [3204]" strokecolor="#243f60 [1604]" strokeweight="2pt"/>
            </w:pict>
          </mc:Fallback>
        </mc:AlternateContent>
      </w:r>
      <w:r w:rsidRPr="0003106C">
        <w:rPr>
          <w:noProof/>
          <w:sz w:val="26"/>
          <w:szCs w:val="26"/>
          <w:lang w:eastAsia="lv-LV"/>
        </w:rPr>
        <mc:AlternateContent>
          <mc:Choice Requires="wps">
            <w:drawing>
              <wp:anchor distT="0" distB="0" distL="114300" distR="114300" simplePos="0" relativeHeight="251675648" behindDoc="0" locked="0" layoutInCell="1" allowOverlap="1" wp14:anchorId="01C4BF56" wp14:editId="73ECF25F">
                <wp:simplePos x="0" y="0"/>
                <wp:positionH relativeFrom="column">
                  <wp:posOffset>1308100</wp:posOffset>
                </wp:positionH>
                <wp:positionV relativeFrom="paragraph">
                  <wp:posOffset>1711325</wp:posOffset>
                </wp:positionV>
                <wp:extent cx="236855" cy="262255"/>
                <wp:effectExtent l="38100" t="38100" r="10795" b="23495"/>
                <wp:wrapNone/>
                <wp:docPr id="19" name="Down Arrow 19"/>
                <wp:cNvGraphicFramePr/>
                <a:graphic xmlns:a="http://schemas.openxmlformats.org/drawingml/2006/main">
                  <a:graphicData uri="http://schemas.microsoft.com/office/word/2010/wordprocessingShape">
                    <wps:wsp>
                      <wps:cNvSpPr/>
                      <wps:spPr>
                        <a:xfrm rot="951455">
                          <a:off x="0" y="0"/>
                          <a:ext cx="236855"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103pt;margin-top:134.75pt;width:18.65pt;height:20.65pt;rotation:103924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" adj="11846" fillcolor="#4f81bd [3204]" strokecolor="#243f60 [1604]" strokeweight="2pt"/>
            </w:pict>
          </mc:Fallback>
        </mc:AlternateContent>
      </w:r>
      <w:r w:rsidRPr="0003106C">
        <w:rPr>
          <w:noProof/>
          <w:sz w:val="26"/>
          <w:szCs w:val="26"/>
          <w:lang w:eastAsia="lv-LV"/>
        </w:rPr>
        <mc:AlternateContent>
          <mc:Choice Requires="wps">
            <w:drawing>
              <wp:anchor distT="0" distB="0" distL="114300" distR="114300" simplePos="0" relativeHeight="251676672" behindDoc="0" locked="0" layoutInCell="1" allowOverlap="1" wp14:anchorId="641B2631" wp14:editId="009503FD">
                <wp:simplePos x="0" y="0"/>
                <wp:positionH relativeFrom="column">
                  <wp:posOffset>1564640</wp:posOffset>
                </wp:positionH>
                <wp:positionV relativeFrom="paragraph">
                  <wp:posOffset>3187065</wp:posOffset>
                </wp:positionV>
                <wp:extent cx="236855" cy="262255"/>
                <wp:effectExtent l="38100" t="38100" r="10795" b="0"/>
                <wp:wrapNone/>
                <wp:docPr id="20" name="Down Arrow 20"/>
                <wp:cNvGraphicFramePr/>
                <a:graphic xmlns:a="http://schemas.openxmlformats.org/drawingml/2006/main">
                  <a:graphicData uri="http://schemas.microsoft.com/office/word/2010/wordprocessingShape">
                    <wps:wsp>
                      <wps:cNvSpPr/>
                      <wps:spPr>
                        <a:xfrm rot="19096872">
                          <a:off x="0" y="0"/>
                          <a:ext cx="236855"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123.2pt;margin-top:250.95pt;width:18.65pt;height:20.65pt;rotation:-273408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" adj="11846" fillcolor="#4f81bd [3204]" strokecolor="#243f60 [1604]" strokeweight="2pt"/>
            </w:pict>
          </mc:Fallback>
        </mc:AlternateContent>
      </w:r>
      <w:r w:rsidRPr="0003106C">
        <w:rPr>
          <w:noProof/>
          <w:sz w:val="26"/>
          <w:szCs w:val="26"/>
          <w:lang w:eastAsia="lv-LV"/>
        </w:rPr>
        <mc:AlternateContent>
          <mc:Choice Requires="wps">
            <w:drawing>
              <wp:anchor distT="0" distB="0" distL="114300" distR="114300" simplePos="0" relativeHeight="251677696" behindDoc="0" locked="0" layoutInCell="1" allowOverlap="1" wp14:anchorId="6FC6C0BF" wp14:editId="36DD564D">
                <wp:simplePos x="0" y="0"/>
                <wp:positionH relativeFrom="column">
                  <wp:posOffset>3002280</wp:posOffset>
                </wp:positionH>
                <wp:positionV relativeFrom="paragraph">
                  <wp:posOffset>3948184</wp:posOffset>
                </wp:positionV>
                <wp:extent cx="237216" cy="262826"/>
                <wp:effectExtent l="6350" t="12700" r="36195" b="36195"/>
                <wp:wrapNone/>
                <wp:docPr id="22" name="Down Arrow 22"/>
                <wp:cNvGraphicFramePr/>
                <a:graphic xmlns:a="http://schemas.openxmlformats.org/drawingml/2006/main">
                  <a:graphicData uri="http://schemas.microsoft.com/office/word/2010/wordprocessingShape">
                    <wps:wsp>
                      <wps:cNvSpPr/>
                      <wps:spPr>
                        <a:xfrm rot="16200000">
                          <a:off x="0" y="0"/>
                          <a:ext cx="237216" cy="2628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236.4pt;margin-top:310.9pt;width:18.7pt;height:20.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" adj="11852" fillcolor="#4f81bd [3204]" strokecolor="#243f60 [1604]" strokeweight="2pt"/>
            </w:pict>
          </mc:Fallback>
        </mc:AlternateContent>
      </w:r>
      <w:r w:rsidRPr="0003106C">
        <w:rPr>
          <w:noProof/>
          <w:sz w:val="26"/>
          <w:szCs w:val="26"/>
          <w:lang w:eastAsia="lv-LV"/>
        </w:rPr>
        <mc:AlternateContent>
          <mc:Choice Requires="wps">
            <w:drawing>
              <wp:anchor distT="0" distB="0" distL="114300" distR="114300" simplePos="0" relativeHeight="251674624" behindDoc="0" locked="0" layoutInCell="1" allowOverlap="1" wp14:anchorId="64449107" wp14:editId="357C9734">
                <wp:simplePos x="0" y="0"/>
                <wp:positionH relativeFrom="column">
                  <wp:posOffset>2261235</wp:posOffset>
                </wp:positionH>
                <wp:positionV relativeFrom="paragraph">
                  <wp:posOffset>606425</wp:posOffset>
                </wp:positionV>
                <wp:extent cx="237216" cy="262826"/>
                <wp:effectExtent l="6350" t="31750" r="36195" b="17145"/>
                <wp:wrapNone/>
                <wp:docPr id="13" name="Down Arrow 13"/>
                <wp:cNvGraphicFramePr/>
                <a:graphic xmlns:a="http://schemas.openxmlformats.org/drawingml/2006/main">
                  <a:graphicData uri="http://schemas.microsoft.com/office/word/2010/wordprocessingShape">
                    <wps:wsp>
                      <wps:cNvSpPr/>
                      <wps:spPr>
                        <a:xfrm rot="3746112">
                          <a:off x="0" y="0"/>
                          <a:ext cx="237216" cy="2628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178.05pt;margin-top:47.75pt;width:18.7pt;height:20.7pt;rotation:409175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" adj="11852" fillcolor="#4f81bd [3204]" strokecolor="#243f60 [1604]" strokeweight="2pt"/>
            </w:pict>
          </mc:Fallback>
        </mc:AlternateContent>
      </w:r>
      <w:r w:rsidRPr="0003106C">
        <w:rPr>
          <w:noProof/>
          <w:sz w:val="26"/>
          <w:szCs w:val="26"/>
          <w:lang w:eastAsia="lv-LV"/>
        </w:rPr>
        <mc:AlternateContent>
          <mc:Choice Requires="wps">
            <w:drawing>
              <wp:anchor distT="0" distB="0" distL="114300" distR="114300" simplePos="0" relativeHeight="251673600" behindDoc="1" locked="0" layoutInCell="1" allowOverlap="1" wp14:anchorId="07C181AE" wp14:editId="2598B73F">
                <wp:simplePos x="0" y="0"/>
                <wp:positionH relativeFrom="column">
                  <wp:posOffset>1356995</wp:posOffset>
                </wp:positionH>
                <wp:positionV relativeFrom="paragraph">
                  <wp:posOffset>551815</wp:posOffset>
                </wp:positionV>
                <wp:extent cx="3629025" cy="3533775"/>
                <wp:effectExtent l="0" t="0" r="28575" b="28575"/>
                <wp:wrapNone/>
                <wp:docPr id="27" name="Oval 27"/>
                <wp:cNvGraphicFramePr/>
                <a:graphic xmlns:a="http://schemas.openxmlformats.org/drawingml/2006/main">
                  <a:graphicData uri="http://schemas.microsoft.com/office/word/2010/wordprocessingShape">
                    <wps:wsp>
                      <wps:cNvSpPr/>
                      <wps:spPr>
                        <a:xfrm>
                          <a:off x="0" y="0"/>
                          <a:ext cx="3629025" cy="3533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106.85pt;margin-top:43.45pt;width:285.75pt;height:278.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" fillcolor="white [3212]" strokecolor="#243f60 [1604]" strokeweight="2pt"/>
            </w:pict>
          </mc:Fallback>
        </mc:AlternateContent>
      </w:r>
      <w:r w:rsidRPr="0003106C">
        <w:rPr>
          <w:noProof/>
          <w:sz w:val="26"/>
          <w:szCs w:val="26"/>
          <w:lang w:eastAsia="lv-LV"/>
        </w:rPr>
        <w:drawing>
          <wp:inline distT="0" distB="0" distL="0" distR="0" wp14:anchorId="6EBAA6DA" wp14:editId="099FF787">
            <wp:extent cx="5486400" cy="4244975"/>
            <wp:effectExtent l="0" t="0" r="0" b="11747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433E2" w:rsidRPr="0003106C" w:rsidRDefault="00B433E2" w:rsidP="004F2A4E">
      <w:pPr>
        <w:pStyle w:val="BodyTextIndent"/>
        <w:ind w:left="0" w:firstLine="567"/>
        <w:jc w:val="both"/>
        <w:rPr>
          <w:b/>
          <w:sz w:val="26"/>
          <w:szCs w:val="26"/>
        </w:rPr>
      </w:pPr>
    </w:p>
    <w:p w:rsidR="00B433E2" w:rsidRPr="0003106C" w:rsidRDefault="00B433E2" w:rsidP="004F2A4E">
      <w:pPr>
        <w:pStyle w:val="BodyTextIndent"/>
        <w:ind w:left="0" w:firstLine="567"/>
        <w:jc w:val="both"/>
        <w:rPr>
          <w:b/>
          <w:sz w:val="26"/>
          <w:szCs w:val="26"/>
        </w:rPr>
      </w:pPr>
    </w:p>
    <w:p w:rsidR="00266055" w:rsidRPr="0003106C" w:rsidRDefault="00266055" w:rsidP="004D154D">
      <w:pPr>
        <w:keepNext/>
        <w:spacing w:after="120"/>
        <w:ind w:firstLine="567"/>
        <w:jc w:val="both"/>
        <w:rPr>
          <w:sz w:val="26"/>
          <w:szCs w:val="26"/>
        </w:rPr>
      </w:pPr>
      <w:r w:rsidRPr="0003106C">
        <w:rPr>
          <w:b/>
          <w:sz w:val="26"/>
          <w:szCs w:val="26"/>
        </w:rPr>
        <w:t>Vienotā informācijas sistēma – datu bāze</w:t>
      </w:r>
    </w:p>
    <w:p w:rsidR="00C55B60" w:rsidRPr="0003106C" w:rsidRDefault="007F23FB" w:rsidP="004D154D">
      <w:pPr>
        <w:keepNext/>
        <w:spacing w:after="120"/>
        <w:ind w:firstLine="567"/>
        <w:jc w:val="both"/>
        <w:rPr>
          <w:sz w:val="26"/>
          <w:szCs w:val="26"/>
        </w:rPr>
      </w:pPr>
      <w:r w:rsidRPr="0003106C">
        <w:rPr>
          <w:sz w:val="26"/>
          <w:szCs w:val="26"/>
        </w:rPr>
        <w:t>ĀTI piesaistē iesaistīto institūciju savstarpējās sadarbības veicināšanai un ĀTI piesaistes procesa efektīvāka monitoringa ieviešanai</w:t>
      </w:r>
      <w:r w:rsidR="007E7106" w:rsidRPr="0003106C">
        <w:rPr>
          <w:sz w:val="26"/>
          <w:szCs w:val="26"/>
        </w:rPr>
        <w:t xml:space="preserve">, lai </w:t>
      </w:r>
      <w:r w:rsidR="00AE4045" w:rsidRPr="0003106C">
        <w:rPr>
          <w:sz w:val="26"/>
          <w:szCs w:val="26"/>
        </w:rPr>
        <w:t xml:space="preserve">ĀTI piesaistes process </w:t>
      </w:r>
      <w:r w:rsidR="007E7106" w:rsidRPr="0003106C">
        <w:rPr>
          <w:sz w:val="26"/>
          <w:szCs w:val="26"/>
        </w:rPr>
        <w:t xml:space="preserve">būtu </w:t>
      </w:r>
      <w:r w:rsidR="00AE4045" w:rsidRPr="0003106C">
        <w:rPr>
          <w:sz w:val="26"/>
          <w:szCs w:val="26"/>
        </w:rPr>
        <w:t>izsekojams un novērtējams</w:t>
      </w:r>
      <w:r w:rsidR="007E7106" w:rsidRPr="0003106C">
        <w:rPr>
          <w:sz w:val="26"/>
          <w:szCs w:val="26"/>
        </w:rPr>
        <w:t xml:space="preserve">, </w:t>
      </w:r>
      <w:r w:rsidR="00266055" w:rsidRPr="0003106C">
        <w:rPr>
          <w:sz w:val="26"/>
          <w:szCs w:val="26"/>
        </w:rPr>
        <w:t>jānodrošina</w:t>
      </w:r>
      <w:r w:rsidRPr="0003106C">
        <w:rPr>
          <w:sz w:val="26"/>
          <w:szCs w:val="26"/>
        </w:rPr>
        <w:t xml:space="preserve"> vienotā informācijas</w:t>
      </w:r>
      <w:r w:rsidR="00350B7B" w:rsidRPr="0003106C">
        <w:rPr>
          <w:sz w:val="26"/>
          <w:szCs w:val="26"/>
        </w:rPr>
        <w:t xml:space="preserve"> sistēma – </w:t>
      </w:r>
      <w:r w:rsidRPr="0003106C">
        <w:rPr>
          <w:sz w:val="26"/>
          <w:szCs w:val="26"/>
        </w:rPr>
        <w:t>datu bāze</w:t>
      </w:r>
      <w:r w:rsidR="00C55B60" w:rsidRPr="0003106C">
        <w:rPr>
          <w:sz w:val="26"/>
          <w:szCs w:val="26"/>
        </w:rPr>
        <w:t>, kurā ti</w:t>
      </w:r>
      <w:r w:rsidR="005724F2" w:rsidRPr="0003106C">
        <w:rPr>
          <w:sz w:val="26"/>
          <w:szCs w:val="26"/>
        </w:rPr>
        <w:t>ek</w:t>
      </w:r>
      <w:r w:rsidR="00C55B60" w:rsidRPr="0003106C">
        <w:rPr>
          <w:sz w:val="26"/>
          <w:szCs w:val="26"/>
        </w:rPr>
        <w:t xml:space="preserve"> iekļauta informācija</w:t>
      </w:r>
      <w:r w:rsidR="002F4B28" w:rsidRPr="0003106C">
        <w:rPr>
          <w:sz w:val="26"/>
          <w:szCs w:val="26"/>
        </w:rPr>
        <w:t xml:space="preserve"> par</w:t>
      </w:r>
      <w:r w:rsidR="00C55B60" w:rsidRPr="0003106C">
        <w:rPr>
          <w:sz w:val="26"/>
          <w:szCs w:val="26"/>
        </w:rPr>
        <w:t>:</w:t>
      </w:r>
    </w:p>
    <w:p w:rsidR="00C55B60" w:rsidRPr="0003106C" w:rsidRDefault="00C55B60" w:rsidP="00C55B60">
      <w:pPr>
        <w:numPr>
          <w:ilvl w:val="0"/>
          <w:numId w:val="2"/>
        </w:numPr>
        <w:ind w:left="851" w:hanging="284"/>
        <w:jc w:val="both"/>
        <w:rPr>
          <w:sz w:val="26"/>
          <w:szCs w:val="26"/>
        </w:rPr>
      </w:pPr>
      <w:r w:rsidRPr="0003106C">
        <w:rPr>
          <w:sz w:val="26"/>
          <w:szCs w:val="26"/>
        </w:rPr>
        <w:t>investoru</w:t>
      </w:r>
      <w:r w:rsidR="002F4B28" w:rsidRPr="0003106C">
        <w:rPr>
          <w:sz w:val="26"/>
          <w:szCs w:val="26"/>
        </w:rPr>
        <w:t xml:space="preserve"> (pamatinformācija)</w:t>
      </w:r>
      <w:r w:rsidRPr="0003106C">
        <w:rPr>
          <w:sz w:val="26"/>
          <w:szCs w:val="26"/>
        </w:rPr>
        <w:t>, viņa interesi Latvijā – prasībām un nosacījumiem;</w:t>
      </w:r>
    </w:p>
    <w:p w:rsidR="00C55B60" w:rsidRPr="0003106C" w:rsidRDefault="00C55B60" w:rsidP="00C55B60">
      <w:pPr>
        <w:numPr>
          <w:ilvl w:val="0"/>
          <w:numId w:val="2"/>
        </w:numPr>
        <w:ind w:left="851" w:hanging="284"/>
        <w:jc w:val="both"/>
        <w:rPr>
          <w:sz w:val="26"/>
          <w:szCs w:val="26"/>
        </w:rPr>
      </w:pPr>
      <w:r w:rsidRPr="0003106C">
        <w:rPr>
          <w:sz w:val="26"/>
          <w:szCs w:val="26"/>
        </w:rPr>
        <w:t>projektā līdz šim veikt</w:t>
      </w:r>
      <w:r w:rsidR="001F4856" w:rsidRPr="0003106C">
        <w:rPr>
          <w:sz w:val="26"/>
          <w:szCs w:val="26"/>
        </w:rPr>
        <w:t>ajām</w:t>
      </w:r>
      <w:r w:rsidRPr="0003106C">
        <w:rPr>
          <w:sz w:val="26"/>
          <w:szCs w:val="26"/>
        </w:rPr>
        <w:t xml:space="preserve"> darbīb</w:t>
      </w:r>
      <w:r w:rsidR="001F4856" w:rsidRPr="0003106C">
        <w:rPr>
          <w:sz w:val="26"/>
          <w:szCs w:val="26"/>
        </w:rPr>
        <w:t>ām</w:t>
      </w:r>
      <w:r w:rsidRPr="0003106C">
        <w:rPr>
          <w:sz w:val="26"/>
          <w:szCs w:val="26"/>
        </w:rPr>
        <w:t xml:space="preserve">; </w:t>
      </w:r>
    </w:p>
    <w:p w:rsidR="00C55B60" w:rsidRPr="0003106C" w:rsidRDefault="00C55B60" w:rsidP="00C55B60">
      <w:pPr>
        <w:numPr>
          <w:ilvl w:val="0"/>
          <w:numId w:val="2"/>
        </w:numPr>
        <w:ind w:left="851" w:hanging="284"/>
        <w:jc w:val="both"/>
        <w:rPr>
          <w:sz w:val="26"/>
          <w:szCs w:val="26"/>
        </w:rPr>
      </w:pPr>
      <w:r w:rsidRPr="0003106C">
        <w:rPr>
          <w:sz w:val="26"/>
          <w:szCs w:val="26"/>
        </w:rPr>
        <w:t>ĀTI piesaistes fāz</w:t>
      </w:r>
      <w:r w:rsidR="001F4856" w:rsidRPr="0003106C">
        <w:rPr>
          <w:sz w:val="26"/>
          <w:szCs w:val="26"/>
        </w:rPr>
        <w:t xml:space="preserve">i, kurā </w:t>
      </w:r>
      <w:r w:rsidRPr="0003106C">
        <w:rPr>
          <w:sz w:val="26"/>
          <w:szCs w:val="26"/>
        </w:rPr>
        <w:t xml:space="preserve"> </w:t>
      </w:r>
      <w:r w:rsidR="001F4856" w:rsidRPr="0003106C">
        <w:rPr>
          <w:sz w:val="26"/>
          <w:szCs w:val="26"/>
        </w:rPr>
        <w:t xml:space="preserve">atrodas </w:t>
      </w:r>
      <w:r w:rsidRPr="0003106C">
        <w:rPr>
          <w:sz w:val="26"/>
          <w:szCs w:val="26"/>
        </w:rPr>
        <w:t xml:space="preserve">projekts; </w:t>
      </w:r>
    </w:p>
    <w:p w:rsidR="00C55B60" w:rsidRPr="0003106C" w:rsidRDefault="00C55B60" w:rsidP="00C55B60">
      <w:pPr>
        <w:numPr>
          <w:ilvl w:val="0"/>
          <w:numId w:val="2"/>
        </w:numPr>
        <w:ind w:left="851" w:hanging="284"/>
        <w:jc w:val="both"/>
        <w:rPr>
          <w:sz w:val="26"/>
          <w:szCs w:val="26"/>
        </w:rPr>
      </w:pPr>
      <w:r w:rsidRPr="0003106C">
        <w:rPr>
          <w:sz w:val="26"/>
          <w:szCs w:val="26"/>
        </w:rPr>
        <w:t>iemesl</w:t>
      </w:r>
      <w:r w:rsidR="001F4856" w:rsidRPr="0003106C">
        <w:rPr>
          <w:sz w:val="26"/>
          <w:szCs w:val="26"/>
        </w:rPr>
        <w:t>iem, kuru</w:t>
      </w:r>
      <w:r w:rsidRPr="0003106C">
        <w:rPr>
          <w:sz w:val="26"/>
          <w:szCs w:val="26"/>
        </w:rPr>
        <w:t xml:space="preserve"> dēļ projekts ir pašreizējā fāzē;</w:t>
      </w:r>
    </w:p>
    <w:p w:rsidR="00C55B60" w:rsidRPr="0003106C" w:rsidRDefault="001F4856" w:rsidP="00C55B60">
      <w:pPr>
        <w:numPr>
          <w:ilvl w:val="0"/>
          <w:numId w:val="2"/>
        </w:numPr>
        <w:ind w:left="851" w:hanging="284"/>
        <w:jc w:val="both"/>
        <w:rPr>
          <w:sz w:val="26"/>
          <w:szCs w:val="26"/>
        </w:rPr>
      </w:pPr>
      <w:r w:rsidRPr="0003106C">
        <w:rPr>
          <w:sz w:val="26"/>
          <w:szCs w:val="26"/>
        </w:rPr>
        <w:t xml:space="preserve">to, </w:t>
      </w:r>
      <w:r w:rsidR="00C55B60" w:rsidRPr="0003106C">
        <w:rPr>
          <w:sz w:val="26"/>
          <w:szCs w:val="26"/>
        </w:rPr>
        <w:t xml:space="preserve">kas </w:t>
      </w:r>
      <w:r w:rsidRPr="0003106C">
        <w:rPr>
          <w:sz w:val="26"/>
          <w:szCs w:val="26"/>
        </w:rPr>
        <w:t xml:space="preserve">ir </w:t>
      </w:r>
      <w:r w:rsidR="00C55B60" w:rsidRPr="0003106C">
        <w:rPr>
          <w:sz w:val="26"/>
          <w:szCs w:val="26"/>
        </w:rPr>
        <w:t>nepieciešams, lai projekts veiksmīgi pārietu nākamajā posmā;</w:t>
      </w:r>
    </w:p>
    <w:p w:rsidR="00C55B60" w:rsidRPr="0003106C" w:rsidRDefault="00C55B60" w:rsidP="00C55B60">
      <w:pPr>
        <w:numPr>
          <w:ilvl w:val="0"/>
          <w:numId w:val="2"/>
        </w:numPr>
        <w:ind w:left="851" w:hanging="284"/>
        <w:jc w:val="both"/>
        <w:rPr>
          <w:sz w:val="26"/>
          <w:szCs w:val="26"/>
        </w:rPr>
      </w:pPr>
      <w:r w:rsidRPr="0003106C">
        <w:rPr>
          <w:sz w:val="26"/>
          <w:szCs w:val="26"/>
        </w:rPr>
        <w:lastRenderedPageBreak/>
        <w:t>sniegt</w:t>
      </w:r>
      <w:r w:rsidR="001F4856" w:rsidRPr="0003106C">
        <w:rPr>
          <w:sz w:val="26"/>
          <w:szCs w:val="26"/>
        </w:rPr>
        <w:t>o</w:t>
      </w:r>
      <w:r w:rsidRPr="0003106C">
        <w:rPr>
          <w:sz w:val="26"/>
          <w:szCs w:val="26"/>
        </w:rPr>
        <w:t xml:space="preserve"> institucionāl</w:t>
      </w:r>
      <w:r w:rsidR="001F4856" w:rsidRPr="0003106C">
        <w:rPr>
          <w:sz w:val="26"/>
          <w:szCs w:val="26"/>
        </w:rPr>
        <w:t>o</w:t>
      </w:r>
      <w:r w:rsidRPr="0003106C">
        <w:rPr>
          <w:sz w:val="26"/>
          <w:szCs w:val="26"/>
        </w:rPr>
        <w:t xml:space="preserve"> un finansiāl</w:t>
      </w:r>
      <w:r w:rsidR="001F4856" w:rsidRPr="0003106C">
        <w:rPr>
          <w:sz w:val="26"/>
          <w:szCs w:val="26"/>
        </w:rPr>
        <w:t>o</w:t>
      </w:r>
      <w:r w:rsidRPr="0003106C">
        <w:rPr>
          <w:sz w:val="26"/>
          <w:szCs w:val="26"/>
        </w:rPr>
        <w:t xml:space="preserve"> atbalst</w:t>
      </w:r>
      <w:r w:rsidR="001F4856" w:rsidRPr="0003106C">
        <w:rPr>
          <w:sz w:val="26"/>
          <w:szCs w:val="26"/>
        </w:rPr>
        <w:t>u</w:t>
      </w:r>
      <w:r w:rsidRPr="0003106C">
        <w:rPr>
          <w:sz w:val="26"/>
          <w:szCs w:val="26"/>
        </w:rPr>
        <w:t>;</w:t>
      </w:r>
    </w:p>
    <w:p w:rsidR="00C55B60" w:rsidRPr="0003106C" w:rsidRDefault="009E2A8B" w:rsidP="00C55B60">
      <w:pPr>
        <w:numPr>
          <w:ilvl w:val="0"/>
          <w:numId w:val="2"/>
        </w:numPr>
        <w:ind w:left="851" w:hanging="284"/>
        <w:jc w:val="both"/>
        <w:rPr>
          <w:sz w:val="26"/>
          <w:szCs w:val="26"/>
        </w:rPr>
      </w:pPr>
      <w:r w:rsidRPr="0003106C">
        <w:rPr>
          <w:sz w:val="26"/>
          <w:szCs w:val="26"/>
        </w:rPr>
        <w:t>problēm</w:t>
      </w:r>
      <w:r w:rsidR="001F4856" w:rsidRPr="0003106C">
        <w:rPr>
          <w:sz w:val="26"/>
          <w:szCs w:val="26"/>
        </w:rPr>
        <w:t>ām</w:t>
      </w:r>
      <w:r w:rsidRPr="0003106C">
        <w:rPr>
          <w:sz w:val="26"/>
          <w:szCs w:val="26"/>
        </w:rPr>
        <w:t xml:space="preserve">, ar kādām </w:t>
      </w:r>
      <w:r w:rsidR="00C64B3E" w:rsidRPr="0003106C">
        <w:rPr>
          <w:sz w:val="26"/>
          <w:szCs w:val="26"/>
        </w:rPr>
        <w:t xml:space="preserve">investors </w:t>
      </w:r>
      <w:r w:rsidRPr="0003106C">
        <w:rPr>
          <w:sz w:val="26"/>
          <w:szCs w:val="26"/>
        </w:rPr>
        <w:t>sask</w:t>
      </w:r>
      <w:r w:rsidR="001F4856" w:rsidRPr="0003106C">
        <w:rPr>
          <w:sz w:val="26"/>
          <w:szCs w:val="26"/>
        </w:rPr>
        <w:t>ā</w:t>
      </w:r>
      <w:r w:rsidRPr="0003106C">
        <w:rPr>
          <w:sz w:val="26"/>
          <w:szCs w:val="26"/>
        </w:rPr>
        <w:t>ries</w:t>
      </w:r>
      <w:r w:rsidR="00D440DB" w:rsidRPr="0003106C">
        <w:rPr>
          <w:sz w:val="26"/>
          <w:szCs w:val="26"/>
        </w:rPr>
        <w:t>, to risināšanas gait</w:t>
      </w:r>
      <w:r w:rsidR="001F4856" w:rsidRPr="0003106C">
        <w:rPr>
          <w:sz w:val="26"/>
          <w:szCs w:val="26"/>
        </w:rPr>
        <w:t>u</w:t>
      </w:r>
      <w:r w:rsidR="00D440DB" w:rsidRPr="0003106C">
        <w:rPr>
          <w:sz w:val="26"/>
          <w:szCs w:val="26"/>
        </w:rPr>
        <w:t>, iesaistīt</w:t>
      </w:r>
      <w:r w:rsidR="001F4856" w:rsidRPr="0003106C">
        <w:rPr>
          <w:sz w:val="26"/>
          <w:szCs w:val="26"/>
        </w:rPr>
        <w:t>ajām</w:t>
      </w:r>
      <w:r w:rsidR="00D440DB" w:rsidRPr="0003106C">
        <w:rPr>
          <w:sz w:val="26"/>
          <w:szCs w:val="26"/>
        </w:rPr>
        <w:t xml:space="preserve"> institūcij</w:t>
      </w:r>
      <w:r w:rsidR="001F4856" w:rsidRPr="0003106C">
        <w:rPr>
          <w:sz w:val="26"/>
          <w:szCs w:val="26"/>
        </w:rPr>
        <w:t>ām</w:t>
      </w:r>
      <w:r w:rsidRPr="0003106C">
        <w:rPr>
          <w:sz w:val="26"/>
          <w:szCs w:val="26"/>
        </w:rPr>
        <w:t>;</w:t>
      </w:r>
    </w:p>
    <w:p w:rsidR="00D440DB" w:rsidRPr="0003106C" w:rsidRDefault="00D440DB" w:rsidP="00C55B60">
      <w:pPr>
        <w:numPr>
          <w:ilvl w:val="0"/>
          <w:numId w:val="2"/>
        </w:numPr>
        <w:ind w:left="851" w:hanging="284"/>
        <w:jc w:val="both"/>
        <w:rPr>
          <w:sz w:val="26"/>
          <w:szCs w:val="26"/>
        </w:rPr>
      </w:pPr>
      <w:r w:rsidRPr="0003106C">
        <w:rPr>
          <w:sz w:val="26"/>
          <w:szCs w:val="26"/>
        </w:rPr>
        <w:t>termiņi</w:t>
      </w:r>
      <w:r w:rsidR="001F4856" w:rsidRPr="0003106C">
        <w:rPr>
          <w:sz w:val="26"/>
          <w:szCs w:val="26"/>
        </w:rPr>
        <w:t>em</w:t>
      </w:r>
      <w:r w:rsidRPr="0003106C">
        <w:rPr>
          <w:sz w:val="26"/>
          <w:szCs w:val="26"/>
        </w:rPr>
        <w:t>, kad nepieciešams kontaktēties ar investoru, apspriežam</w:t>
      </w:r>
      <w:r w:rsidR="001F4856" w:rsidRPr="0003106C">
        <w:rPr>
          <w:sz w:val="26"/>
          <w:szCs w:val="26"/>
        </w:rPr>
        <w:t>ajiem</w:t>
      </w:r>
      <w:r w:rsidRPr="0003106C">
        <w:rPr>
          <w:sz w:val="26"/>
          <w:szCs w:val="26"/>
        </w:rPr>
        <w:t xml:space="preserve"> jautājumi</w:t>
      </w:r>
      <w:r w:rsidR="001F4856" w:rsidRPr="0003106C">
        <w:rPr>
          <w:sz w:val="26"/>
          <w:szCs w:val="26"/>
        </w:rPr>
        <w:t>em</w:t>
      </w:r>
      <w:r w:rsidRPr="0003106C">
        <w:rPr>
          <w:sz w:val="26"/>
          <w:szCs w:val="26"/>
        </w:rPr>
        <w:t>;</w:t>
      </w:r>
    </w:p>
    <w:p w:rsidR="00D440DB" w:rsidRPr="0003106C" w:rsidRDefault="00D440DB" w:rsidP="00C55B60">
      <w:pPr>
        <w:numPr>
          <w:ilvl w:val="0"/>
          <w:numId w:val="2"/>
        </w:numPr>
        <w:ind w:left="851" w:hanging="284"/>
        <w:jc w:val="both"/>
        <w:rPr>
          <w:sz w:val="26"/>
          <w:szCs w:val="26"/>
        </w:rPr>
      </w:pPr>
      <w:r w:rsidRPr="0003106C">
        <w:rPr>
          <w:sz w:val="26"/>
          <w:szCs w:val="26"/>
        </w:rPr>
        <w:t>regulār</w:t>
      </w:r>
      <w:r w:rsidR="001F4856" w:rsidRPr="0003106C">
        <w:rPr>
          <w:sz w:val="26"/>
          <w:szCs w:val="26"/>
        </w:rPr>
        <w:t>u</w:t>
      </w:r>
      <w:r w:rsidRPr="0003106C">
        <w:rPr>
          <w:sz w:val="26"/>
          <w:szCs w:val="26"/>
        </w:rPr>
        <w:t xml:space="preserve"> projekta pēcapkal</w:t>
      </w:r>
      <w:r w:rsidR="002018B0" w:rsidRPr="0003106C">
        <w:rPr>
          <w:sz w:val="26"/>
          <w:szCs w:val="26"/>
        </w:rPr>
        <w:t>p</w:t>
      </w:r>
      <w:r w:rsidRPr="0003106C">
        <w:rPr>
          <w:sz w:val="26"/>
          <w:szCs w:val="26"/>
        </w:rPr>
        <w:t>ošanas plānošan</w:t>
      </w:r>
      <w:r w:rsidR="001F4856" w:rsidRPr="0003106C">
        <w:rPr>
          <w:sz w:val="26"/>
          <w:szCs w:val="26"/>
        </w:rPr>
        <w:t>u</w:t>
      </w:r>
      <w:r w:rsidRPr="0003106C">
        <w:rPr>
          <w:sz w:val="26"/>
          <w:szCs w:val="26"/>
        </w:rPr>
        <w:t>, norādot termiņus, iesaistītās institūcijas, personas, apspriežam</w:t>
      </w:r>
      <w:r w:rsidR="001F4856" w:rsidRPr="0003106C">
        <w:rPr>
          <w:sz w:val="26"/>
          <w:szCs w:val="26"/>
        </w:rPr>
        <w:t>os</w:t>
      </w:r>
      <w:r w:rsidRPr="0003106C">
        <w:rPr>
          <w:sz w:val="26"/>
          <w:szCs w:val="26"/>
        </w:rPr>
        <w:t xml:space="preserve"> jautājum</w:t>
      </w:r>
      <w:r w:rsidR="001F4856" w:rsidRPr="0003106C">
        <w:rPr>
          <w:sz w:val="26"/>
          <w:szCs w:val="26"/>
        </w:rPr>
        <w:t>us</w:t>
      </w:r>
      <w:r w:rsidRPr="0003106C">
        <w:rPr>
          <w:sz w:val="26"/>
          <w:szCs w:val="26"/>
        </w:rPr>
        <w:t>, veicam</w:t>
      </w:r>
      <w:r w:rsidR="001F4856" w:rsidRPr="0003106C">
        <w:rPr>
          <w:sz w:val="26"/>
          <w:szCs w:val="26"/>
        </w:rPr>
        <w:t>os</w:t>
      </w:r>
      <w:r w:rsidRPr="0003106C">
        <w:rPr>
          <w:sz w:val="26"/>
          <w:szCs w:val="26"/>
        </w:rPr>
        <w:t xml:space="preserve"> saistīt</w:t>
      </w:r>
      <w:r w:rsidR="001F4856" w:rsidRPr="0003106C">
        <w:rPr>
          <w:sz w:val="26"/>
          <w:szCs w:val="26"/>
        </w:rPr>
        <w:t>os</w:t>
      </w:r>
      <w:r w:rsidRPr="0003106C">
        <w:rPr>
          <w:sz w:val="26"/>
          <w:szCs w:val="26"/>
        </w:rPr>
        <w:t xml:space="preserve"> uzdevum</w:t>
      </w:r>
      <w:r w:rsidR="001F4856" w:rsidRPr="0003106C">
        <w:rPr>
          <w:sz w:val="26"/>
          <w:szCs w:val="26"/>
        </w:rPr>
        <w:t>us</w:t>
      </w:r>
      <w:r w:rsidRPr="0003106C">
        <w:rPr>
          <w:sz w:val="26"/>
          <w:szCs w:val="26"/>
        </w:rPr>
        <w:t xml:space="preserve"> u.c.</w:t>
      </w:r>
    </w:p>
    <w:p w:rsidR="00D440DB" w:rsidRPr="0003106C" w:rsidRDefault="00D440DB" w:rsidP="00D440DB">
      <w:pPr>
        <w:ind w:left="851"/>
        <w:jc w:val="both"/>
        <w:rPr>
          <w:sz w:val="26"/>
          <w:szCs w:val="26"/>
        </w:rPr>
      </w:pPr>
    </w:p>
    <w:p w:rsidR="00DF1102" w:rsidRPr="0003106C" w:rsidRDefault="007F23FB" w:rsidP="00962727">
      <w:pPr>
        <w:spacing w:after="120"/>
        <w:ind w:firstLine="567"/>
        <w:jc w:val="both"/>
        <w:rPr>
          <w:sz w:val="26"/>
          <w:szCs w:val="26"/>
        </w:rPr>
      </w:pPr>
      <w:r w:rsidRPr="0003106C">
        <w:rPr>
          <w:sz w:val="26"/>
          <w:szCs w:val="26"/>
        </w:rPr>
        <w:t>V</w:t>
      </w:r>
      <w:r w:rsidR="00E06E94" w:rsidRPr="0003106C">
        <w:rPr>
          <w:sz w:val="26"/>
          <w:szCs w:val="26"/>
        </w:rPr>
        <w:t xml:space="preserve">isām </w:t>
      </w:r>
      <w:r w:rsidRPr="0003106C">
        <w:rPr>
          <w:sz w:val="26"/>
          <w:szCs w:val="26"/>
        </w:rPr>
        <w:t xml:space="preserve">procesā iesaistītajām </w:t>
      </w:r>
      <w:r w:rsidR="00E06E94" w:rsidRPr="0003106C">
        <w:rPr>
          <w:sz w:val="26"/>
          <w:szCs w:val="26"/>
        </w:rPr>
        <w:t>institūcijām jānodrošina</w:t>
      </w:r>
      <w:r w:rsidR="00486CE3" w:rsidRPr="0003106C">
        <w:rPr>
          <w:sz w:val="26"/>
          <w:szCs w:val="26"/>
        </w:rPr>
        <w:t xml:space="preserve"> nekavējoša</w:t>
      </w:r>
      <w:r w:rsidR="00E06E94" w:rsidRPr="0003106C">
        <w:rPr>
          <w:sz w:val="26"/>
          <w:szCs w:val="26"/>
        </w:rPr>
        <w:t xml:space="preserve"> aktuālās informācijas nodošana vienot</w:t>
      </w:r>
      <w:r w:rsidR="001F4856" w:rsidRPr="0003106C">
        <w:rPr>
          <w:sz w:val="26"/>
          <w:szCs w:val="26"/>
        </w:rPr>
        <w:t>ajā</w:t>
      </w:r>
      <w:r w:rsidR="00E06E94" w:rsidRPr="0003106C">
        <w:rPr>
          <w:sz w:val="26"/>
          <w:szCs w:val="26"/>
        </w:rPr>
        <w:t xml:space="preserve"> informācijas sistēmā</w:t>
      </w:r>
      <w:r w:rsidR="002D6CE5" w:rsidRPr="0003106C">
        <w:rPr>
          <w:sz w:val="26"/>
          <w:szCs w:val="26"/>
        </w:rPr>
        <w:t>.</w:t>
      </w:r>
      <w:r w:rsidR="00E06E94" w:rsidRPr="0003106C">
        <w:rPr>
          <w:sz w:val="26"/>
          <w:szCs w:val="26"/>
        </w:rPr>
        <w:t xml:space="preserve"> </w:t>
      </w:r>
      <w:r w:rsidR="002D6CE5" w:rsidRPr="0003106C">
        <w:rPr>
          <w:sz w:val="26"/>
          <w:szCs w:val="26"/>
        </w:rPr>
        <w:t>I</w:t>
      </w:r>
      <w:r w:rsidR="00E06E94" w:rsidRPr="0003106C">
        <w:rPr>
          <w:sz w:val="26"/>
          <w:szCs w:val="26"/>
        </w:rPr>
        <w:t xml:space="preserve">nformācijas plūsmas par investīciju piesaistes </w:t>
      </w:r>
      <w:r w:rsidR="00C55B60" w:rsidRPr="0003106C">
        <w:rPr>
          <w:sz w:val="26"/>
          <w:szCs w:val="26"/>
        </w:rPr>
        <w:t xml:space="preserve">un nosprausto uzdevumu izpildi administrē LIAA. </w:t>
      </w:r>
      <w:r w:rsidR="00B505B5" w:rsidRPr="0003106C">
        <w:rPr>
          <w:sz w:val="26"/>
          <w:szCs w:val="26"/>
        </w:rPr>
        <w:t xml:space="preserve">LIAA </w:t>
      </w:r>
      <w:r w:rsidR="002018B0" w:rsidRPr="0003106C">
        <w:rPr>
          <w:sz w:val="26"/>
          <w:szCs w:val="26"/>
        </w:rPr>
        <w:t>jā</w:t>
      </w:r>
      <w:r w:rsidR="00B505B5" w:rsidRPr="0003106C">
        <w:rPr>
          <w:sz w:val="26"/>
          <w:szCs w:val="26"/>
        </w:rPr>
        <w:t xml:space="preserve">apkopo informācija par </w:t>
      </w:r>
      <w:r w:rsidR="00752E0C" w:rsidRPr="0003106C">
        <w:rPr>
          <w:sz w:val="26"/>
          <w:szCs w:val="26"/>
        </w:rPr>
        <w:t xml:space="preserve">esošo un potenciālo </w:t>
      </w:r>
      <w:r w:rsidR="00B505B5" w:rsidRPr="0003106C">
        <w:rPr>
          <w:sz w:val="26"/>
          <w:szCs w:val="26"/>
        </w:rPr>
        <w:t>investoru pieprasījumiem un interesēm, kā arī šķēršļiem un jānodrošina tās novadīšana līdz attiecīg</w:t>
      </w:r>
      <w:r w:rsidR="001F4856" w:rsidRPr="0003106C">
        <w:rPr>
          <w:sz w:val="26"/>
          <w:szCs w:val="26"/>
        </w:rPr>
        <w:t>ajām</w:t>
      </w:r>
      <w:r w:rsidR="00B505B5" w:rsidRPr="0003106C">
        <w:rPr>
          <w:sz w:val="26"/>
          <w:szCs w:val="26"/>
        </w:rPr>
        <w:t xml:space="preserve"> pašvaldībām vai iesaistītajām institūcijām</w:t>
      </w:r>
      <w:r w:rsidR="00486CE3" w:rsidRPr="0003106C">
        <w:rPr>
          <w:sz w:val="26"/>
          <w:szCs w:val="26"/>
        </w:rPr>
        <w:t>,</w:t>
      </w:r>
      <w:r w:rsidR="00B505B5" w:rsidRPr="0003106C">
        <w:rPr>
          <w:sz w:val="26"/>
          <w:szCs w:val="26"/>
        </w:rPr>
        <w:t xml:space="preserve"> vai nozaru asociācijām. </w:t>
      </w:r>
      <w:r w:rsidR="00962727" w:rsidRPr="0003106C">
        <w:rPr>
          <w:sz w:val="26"/>
          <w:szCs w:val="26"/>
        </w:rPr>
        <w:t>Kopumā sistēmai ir jābūt</w:t>
      </w:r>
      <w:r w:rsidR="00DF1102" w:rsidRPr="0003106C">
        <w:rPr>
          <w:sz w:val="26"/>
          <w:szCs w:val="26"/>
        </w:rPr>
        <w:t xml:space="preserve"> ērt</w:t>
      </w:r>
      <w:r w:rsidR="00962727" w:rsidRPr="0003106C">
        <w:rPr>
          <w:sz w:val="26"/>
          <w:szCs w:val="26"/>
        </w:rPr>
        <w:t xml:space="preserve">i lietojamai un ar plašu funkcionālo iespēju klāstu, piemēram, aktualizējot ierakstus, tiek </w:t>
      </w:r>
      <w:r w:rsidR="001F4856" w:rsidRPr="0003106C">
        <w:rPr>
          <w:sz w:val="26"/>
          <w:szCs w:val="26"/>
        </w:rPr>
        <w:t xml:space="preserve">nodrošināta </w:t>
      </w:r>
      <w:r w:rsidR="00DF1102" w:rsidRPr="0003106C">
        <w:rPr>
          <w:sz w:val="26"/>
          <w:szCs w:val="26"/>
        </w:rPr>
        <w:t xml:space="preserve">automātiska e-pasta izsūtīšana tiem </w:t>
      </w:r>
      <w:r w:rsidR="00962727" w:rsidRPr="0003106C">
        <w:rPr>
          <w:sz w:val="26"/>
          <w:szCs w:val="26"/>
        </w:rPr>
        <w:t>sistēmas lietotājiem</w:t>
      </w:r>
      <w:r w:rsidR="00DF1102" w:rsidRPr="0003106C">
        <w:rPr>
          <w:sz w:val="26"/>
          <w:szCs w:val="26"/>
        </w:rPr>
        <w:t>, kuri ir saistīti ar konkrētu klientu</w:t>
      </w:r>
      <w:r w:rsidR="00C64B3E" w:rsidRPr="0003106C">
        <w:rPr>
          <w:sz w:val="26"/>
          <w:szCs w:val="26"/>
        </w:rPr>
        <w:t xml:space="preserve"> – </w:t>
      </w:r>
      <w:r w:rsidR="00DF1102" w:rsidRPr="0003106C">
        <w:rPr>
          <w:sz w:val="26"/>
          <w:szCs w:val="26"/>
        </w:rPr>
        <w:t>potenciālo investoru vai konkrētu mērķa valsti/nozari</w:t>
      </w:r>
      <w:r w:rsidR="00AE4973" w:rsidRPr="0003106C">
        <w:rPr>
          <w:sz w:val="26"/>
          <w:szCs w:val="26"/>
        </w:rPr>
        <w:t>; ir iespējas uzstādīt īpašus atgādinājumus saistībā ar uzdevumu izpildes kontroli.</w:t>
      </w:r>
    </w:p>
    <w:p w:rsidR="00AC01BA" w:rsidRPr="0003106C" w:rsidRDefault="00AC68CB" w:rsidP="00AC01BA">
      <w:pPr>
        <w:ind w:firstLine="567"/>
        <w:jc w:val="both"/>
        <w:rPr>
          <w:sz w:val="26"/>
          <w:szCs w:val="26"/>
          <w:lang w:eastAsia="en-US"/>
        </w:rPr>
      </w:pPr>
      <w:r w:rsidRPr="0003106C">
        <w:rPr>
          <w:sz w:val="26"/>
          <w:szCs w:val="26"/>
          <w:lang w:eastAsia="en-US"/>
        </w:rPr>
        <w:t>Ar mērķi veicināt Latvijas atpazīstamību un piesaistīt ĀTI</w:t>
      </w:r>
      <w:r w:rsidR="00C64B3E" w:rsidRPr="0003106C">
        <w:rPr>
          <w:sz w:val="26"/>
          <w:szCs w:val="26"/>
          <w:lang w:eastAsia="en-US"/>
        </w:rPr>
        <w:t>, kā arī veicināt</w:t>
      </w:r>
      <w:r w:rsidR="00486CE3" w:rsidRPr="0003106C">
        <w:rPr>
          <w:sz w:val="26"/>
          <w:szCs w:val="26"/>
          <w:lang w:eastAsia="en-US"/>
        </w:rPr>
        <w:t xml:space="preserve"> Latvijas uzņēmumu iespējas iziet ārvalstu tirgos</w:t>
      </w:r>
      <w:r w:rsidRPr="0003106C">
        <w:rPr>
          <w:sz w:val="26"/>
          <w:szCs w:val="26"/>
          <w:lang w:eastAsia="en-US"/>
        </w:rPr>
        <w:t xml:space="preserve">, </w:t>
      </w:r>
      <w:r w:rsidR="00486CE3" w:rsidRPr="0003106C">
        <w:rPr>
          <w:sz w:val="26"/>
          <w:szCs w:val="26"/>
          <w:lang w:eastAsia="en-US"/>
        </w:rPr>
        <w:t xml:space="preserve">nepieciešams vērtēt iespējas Ārlietu ministrijai, Ekonomikas ministrijai un LIAA, ņemot vērā plānotās aktivitātes un darbības mērķus, fiziskai vai juridiskai personai piešķirt </w:t>
      </w:r>
      <w:r w:rsidR="00486CE3" w:rsidRPr="0003106C">
        <w:rPr>
          <w:b/>
          <w:sz w:val="26"/>
          <w:szCs w:val="26"/>
          <w:lang w:eastAsia="en-US"/>
        </w:rPr>
        <w:t>Latvijas atpazīstamības veicinātāja</w:t>
      </w:r>
      <w:r w:rsidR="00486CE3" w:rsidRPr="0003106C">
        <w:rPr>
          <w:sz w:val="26"/>
          <w:szCs w:val="26"/>
          <w:lang w:eastAsia="en-US"/>
        </w:rPr>
        <w:t xml:space="preserve"> (</w:t>
      </w:r>
      <w:r w:rsidR="00486CE3" w:rsidRPr="0003106C">
        <w:rPr>
          <w:i/>
          <w:sz w:val="26"/>
          <w:szCs w:val="26"/>
          <w:lang w:eastAsia="en-US"/>
        </w:rPr>
        <w:t>promoter)</w:t>
      </w:r>
      <w:r w:rsidR="00486CE3" w:rsidRPr="0003106C">
        <w:rPr>
          <w:sz w:val="26"/>
          <w:szCs w:val="26"/>
          <w:lang w:eastAsia="en-US"/>
        </w:rPr>
        <w:t xml:space="preserve"> </w:t>
      </w:r>
      <w:r w:rsidR="00486CE3" w:rsidRPr="0003106C">
        <w:rPr>
          <w:b/>
          <w:sz w:val="26"/>
          <w:szCs w:val="26"/>
          <w:lang w:eastAsia="en-US"/>
        </w:rPr>
        <w:t>statusu</w:t>
      </w:r>
      <w:r w:rsidR="009E3E88" w:rsidRPr="0003106C">
        <w:rPr>
          <w:rStyle w:val="FootnoteReference"/>
          <w:b/>
          <w:sz w:val="26"/>
          <w:szCs w:val="26"/>
          <w:lang w:eastAsia="en-US"/>
        </w:rPr>
        <w:footnoteReference w:id="30"/>
      </w:r>
      <w:r w:rsidR="00774EE5" w:rsidRPr="0003106C">
        <w:rPr>
          <w:sz w:val="26"/>
          <w:szCs w:val="26"/>
          <w:lang w:eastAsia="en-US"/>
        </w:rPr>
        <w:t>, veidojot plašu komunikācijas tīklu un nodrošinot savstarpēju informācijas plūsmu</w:t>
      </w:r>
      <w:r w:rsidR="00486CE3" w:rsidRPr="0003106C">
        <w:rPr>
          <w:sz w:val="26"/>
          <w:szCs w:val="26"/>
          <w:lang w:eastAsia="en-US"/>
        </w:rPr>
        <w:t>.</w:t>
      </w:r>
      <w:r w:rsidR="00323A7B" w:rsidRPr="0003106C">
        <w:rPr>
          <w:sz w:val="26"/>
          <w:szCs w:val="26"/>
          <w:lang w:eastAsia="en-US"/>
        </w:rPr>
        <w:t xml:space="preserve"> </w:t>
      </w:r>
      <w:r w:rsidR="00F7329F" w:rsidRPr="0003106C">
        <w:rPr>
          <w:sz w:val="26"/>
          <w:szCs w:val="26"/>
          <w:lang w:eastAsia="en-US"/>
        </w:rPr>
        <w:t>Jau šobrīd ar Latvijas vārdu tiek saistīti ārvalstīs pazīstami valsts pārstāvji, kuri ir vai ir bijuši aktīvi savā darb</w:t>
      </w:r>
      <w:r w:rsidR="003404FD" w:rsidRPr="0003106C">
        <w:rPr>
          <w:sz w:val="26"/>
          <w:szCs w:val="26"/>
          <w:lang w:eastAsia="en-US"/>
        </w:rPr>
        <w:t>ībā</w:t>
      </w:r>
      <w:r w:rsidR="00F7329F" w:rsidRPr="0003106C">
        <w:rPr>
          <w:sz w:val="26"/>
          <w:szCs w:val="26"/>
          <w:lang w:eastAsia="en-US"/>
        </w:rPr>
        <w:t xml:space="preserve"> –</w:t>
      </w:r>
      <w:r w:rsidR="003404FD" w:rsidRPr="0003106C">
        <w:rPr>
          <w:sz w:val="26"/>
          <w:szCs w:val="26"/>
          <w:lang w:eastAsia="en-US"/>
        </w:rPr>
        <w:t xml:space="preserve"> </w:t>
      </w:r>
      <w:r w:rsidR="00C306DE" w:rsidRPr="0003106C">
        <w:rPr>
          <w:sz w:val="26"/>
          <w:szCs w:val="26"/>
          <w:lang w:eastAsia="en-US"/>
        </w:rPr>
        <w:t>dažādu profesiju, piemēram</w:t>
      </w:r>
      <w:r w:rsidR="00BF54FF" w:rsidRPr="0003106C">
        <w:rPr>
          <w:sz w:val="26"/>
          <w:szCs w:val="26"/>
          <w:lang w:eastAsia="en-US"/>
        </w:rPr>
        <w:t>,</w:t>
      </w:r>
      <w:r w:rsidR="00C306DE" w:rsidRPr="0003106C">
        <w:rPr>
          <w:sz w:val="26"/>
          <w:szCs w:val="26"/>
          <w:lang w:eastAsia="en-US"/>
        </w:rPr>
        <w:t xml:space="preserve"> mākslinieki, sportisti, ārsti,</w:t>
      </w:r>
      <w:r w:rsidR="00F7329F" w:rsidRPr="0003106C">
        <w:rPr>
          <w:sz w:val="26"/>
          <w:szCs w:val="26"/>
          <w:lang w:eastAsia="en-US"/>
        </w:rPr>
        <w:t xml:space="preserve"> pārstāvji</w:t>
      </w:r>
      <w:r w:rsidR="003404FD" w:rsidRPr="0003106C">
        <w:rPr>
          <w:sz w:val="26"/>
          <w:szCs w:val="26"/>
          <w:lang w:eastAsia="en-US"/>
        </w:rPr>
        <w:t xml:space="preserve"> un augsta līmeņa amatpersonas (bijušie diplomāti un augsta līmeņa amatpersonas)</w:t>
      </w:r>
      <w:r w:rsidR="00F7329F" w:rsidRPr="0003106C">
        <w:rPr>
          <w:sz w:val="26"/>
          <w:szCs w:val="26"/>
          <w:lang w:eastAsia="en-US"/>
        </w:rPr>
        <w:t xml:space="preserve">. </w:t>
      </w:r>
      <w:r w:rsidR="00F530D2" w:rsidRPr="0003106C">
        <w:rPr>
          <w:sz w:val="26"/>
          <w:szCs w:val="26"/>
          <w:lang w:eastAsia="en-US"/>
        </w:rPr>
        <w:t>S</w:t>
      </w:r>
      <w:r w:rsidR="00F7329F" w:rsidRPr="0003106C">
        <w:rPr>
          <w:sz w:val="26"/>
          <w:szCs w:val="26"/>
          <w:lang w:eastAsia="en-US"/>
        </w:rPr>
        <w:t xml:space="preserve">abiedrībā </w:t>
      </w:r>
      <w:r w:rsidR="00BF54FF" w:rsidRPr="0003106C">
        <w:rPr>
          <w:sz w:val="26"/>
          <w:szCs w:val="26"/>
          <w:lang w:eastAsia="en-US"/>
        </w:rPr>
        <w:t>zināmie</w:t>
      </w:r>
      <w:r w:rsidR="00F7329F" w:rsidRPr="0003106C">
        <w:rPr>
          <w:sz w:val="26"/>
          <w:szCs w:val="26"/>
          <w:lang w:eastAsia="en-US"/>
        </w:rPr>
        <w:t xml:space="preserve"> pārstāvji, kuriem ir plaši starptautiskie kontakti, ir piesaistāmi Latvijas tautsai</w:t>
      </w:r>
      <w:r w:rsidR="00C64B3E" w:rsidRPr="0003106C">
        <w:rPr>
          <w:sz w:val="26"/>
          <w:szCs w:val="26"/>
          <w:lang w:eastAsia="en-US"/>
        </w:rPr>
        <w:t>mniecības izaugsmes veicināšanā</w:t>
      </w:r>
      <w:r w:rsidR="00F7329F" w:rsidRPr="0003106C">
        <w:rPr>
          <w:sz w:val="26"/>
          <w:szCs w:val="26"/>
          <w:lang w:eastAsia="en-US"/>
        </w:rPr>
        <w:t xml:space="preserve">.  </w:t>
      </w:r>
    </w:p>
    <w:p w:rsidR="0095044A" w:rsidRPr="0003106C" w:rsidRDefault="0095044A" w:rsidP="0095044A">
      <w:pPr>
        <w:ind w:firstLine="567"/>
        <w:jc w:val="both"/>
        <w:rPr>
          <w:rFonts w:ascii="Verdana" w:hAnsi="Verdana"/>
          <w:sz w:val="18"/>
          <w:szCs w:val="18"/>
        </w:rPr>
      </w:pPr>
      <w:r w:rsidRPr="0003106C">
        <w:rPr>
          <w:sz w:val="26"/>
          <w:szCs w:val="26"/>
        </w:rPr>
        <w:t xml:space="preserve">Veiksmīga ĀTI procesa īstenošanā ir svarīga arī </w:t>
      </w:r>
      <w:r w:rsidRPr="0003106C">
        <w:rPr>
          <w:b/>
          <w:sz w:val="26"/>
          <w:szCs w:val="26"/>
        </w:rPr>
        <w:t>iesaistīto personu motivācija</w:t>
      </w:r>
      <w:r w:rsidRPr="0003106C">
        <w:rPr>
          <w:sz w:val="26"/>
          <w:szCs w:val="26"/>
        </w:rPr>
        <w:t xml:space="preserve">, tāpēc ar investīciju piesaisti saistīto institūciju vadībai </w:t>
      </w:r>
      <w:r w:rsidR="001C413A" w:rsidRPr="0003106C">
        <w:rPr>
          <w:sz w:val="26"/>
          <w:szCs w:val="26"/>
        </w:rPr>
        <w:t xml:space="preserve">ir </w:t>
      </w:r>
      <w:r w:rsidRPr="0003106C">
        <w:rPr>
          <w:sz w:val="26"/>
          <w:szCs w:val="26"/>
        </w:rPr>
        <w:t>nepieciešam</w:t>
      </w:r>
      <w:r w:rsidR="001C413A" w:rsidRPr="0003106C">
        <w:rPr>
          <w:sz w:val="26"/>
          <w:szCs w:val="26"/>
        </w:rPr>
        <w:t>s</w:t>
      </w:r>
      <w:r w:rsidRPr="0003106C">
        <w:rPr>
          <w:sz w:val="26"/>
          <w:szCs w:val="26"/>
        </w:rPr>
        <w:t xml:space="preserve"> pārskatīt esošo motivācijas sistēmu, akcentu liekot uz par investīciju piesaisti atbildīgo darbinieku novērtēšanu un materiālo stimulēšanu – atbilstošas mēnešalgas noteikšanu, piemaks</w:t>
      </w:r>
      <w:r w:rsidR="001C413A" w:rsidRPr="0003106C">
        <w:rPr>
          <w:sz w:val="26"/>
          <w:szCs w:val="26"/>
        </w:rPr>
        <w:t>u</w:t>
      </w:r>
      <w:r w:rsidRPr="0003106C">
        <w:rPr>
          <w:sz w:val="26"/>
          <w:szCs w:val="26"/>
        </w:rPr>
        <w:t>, prēmij</w:t>
      </w:r>
      <w:r w:rsidR="001C413A" w:rsidRPr="0003106C">
        <w:rPr>
          <w:sz w:val="26"/>
          <w:szCs w:val="26"/>
        </w:rPr>
        <w:t>u</w:t>
      </w:r>
      <w:r w:rsidRPr="0003106C">
        <w:rPr>
          <w:sz w:val="26"/>
          <w:szCs w:val="26"/>
        </w:rPr>
        <w:t>, naudas balv</w:t>
      </w:r>
      <w:r w:rsidR="001C413A" w:rsidRPr="0003106C">
        <w:rPr>
          <w:sz w:val="26"/>
          <w:szCs w:val="26"/>
        </w:rPr>
        <w:t>u</w:t>
      </w:r>
      <w:r w:rsidRPr="0003106C">
        <w:rPr>
          <w:sz w:val="26"/>
          <w:szCs w:val="26"/>
        </w:rPr>
        <w:t>, pabalstu un kompensāciju piešķiršanu</w:t>
      </w:r>
      <w:r w:rsidRPr="0003106C">
        <w:rPr>
          <w:i/>
          <w:sz w:val="26"/>
          <w:szCs w:val="26"/>
        </w:rPr>
        <w:t xml:space="preserve"> saskaņā ar Valsts un pašvaldību institūciju amatpersonu un darbinieku atlīdzības likumā noteiktajām iespējām</w:t>
      </w:r>
      <w:r w:rsidRPr="0003106C">
        <w:rPr>
          <w:sz w:val="26"/>
          <w:szCs w:val="26"/>
        </w:rPr>
        <w:t xml:space="preserve">, – piemērojot atbilstošu mēnešalgu noteiktajos atalgojuma intervālos, nodrošinot piemaksas un prēmijas par papildus darbu un īpašiem sasniegumiem valsts vai pašvaldības labā. </w:t>
      </w:r>
    </w:p>
    <w:p w:rsidR="0095044A" w:rsidRPr="0003106C" w:rsidRDefault="0095044A" w:rsidP="0095044A">
      <w:pPr>
        <w:ind w:firstLine="567"/>
        <w:jc w:val="both"/>
        <w:rPr>
          <w:sz w:val="26"/>
          <w:szCs w:val="26"/>
        </w:rPr>
      </w:pPr>
      <w:r w:rsidRPr="0003106C">
        <w:rPr>
          <w:sz w:val="26"/>
          <w:szCs w:val="26"/>
        </w:rPr>
        <w:t xml:space="preserve"> Ņemot vērā situāciju, ka krīzes un pēckrīzes gados ievērojami tika sašaurinātas iespējas valsts un pašvaldību iestādēm piemērot materiālo stimulēšanu, kā arī valsts un pašvaldību budžetu ieņēmumi krasi saruka, samazinot izdevumus darbinieku atlīdzībai,</w:t>
      </w:r>
      <w:r w:rsidR="001C413A" w:rsidRPr="0003106C">
        <w:rPr>
          <w:sz w:val="26"/>
          <w:szCs w:val="26"/>
        </w:rPr>
        <w:t xml:space="preserve"> ir</w:t>
      </w:r>
      <w:r w:rsidRPr="0003106C">
        <w:rPr>
          <w:sz w:val="26"/>
          <w:szCs w:val="26"/>
        </w:rPr>
        <w:t xml:space="preserve"> nepieciešams pārskatīt un veikt attiecīgas korekcijas gan </w:t>
      </w:r>
      <w:r w:rsidRPr="0003106C">
        <w:rPr>
          <w:i/>
          <w:sz w:val="26"/>
          <w:szCs w:val="26"/>
        </w:rPr>
        <w:t>Valsts un pašvaldību institūciju amatpersonu un darbinieku atlīdzības likumā</w:t>
      </w:r>
      <w:r w:rsidRPr="0003106C">
        <w:rPr>
          <w:sz w:val="26"/>
          <w:szCs w:val="26"/>
        </w:rPr>
        <w:t xml:space="preserve">, gan paredzēt izdevumu atlīdzībai palielinājumu, lai varētu nodrošināt finansiālo segumu materiālajai stimulēšanai. </w:t>
      </w:r>
      <w:r w:rsidR="006E5F39" w:rsidRPr="0003106C">
        <w:rPr>
          <w:sz w:val="26"/>
          <w:szCs w:val="26"/>
        </w:rPr>
        <w:t>Salīdzinot, piemēram</w:t>
      </w:r>
      <w:r w:rsidR="002018B0" w:rsidRPr="0003106C">
        <w:rPr>
          <w:sz w:val="26"/>
          <w:szCs w:val="26"/>
        </w:rPr>
        <w:t>,</w:t>
      </w:r>
      <w:r w:rsidR="006E5F39" w:rsidRPr="0003106C">
        <w:rPr>
          <w:sz w:val="26"/>
          <w:szCs w:val="26"/>
        </w:rPr>
        <w:t xml:space="preserve"> LIAA darbinieku vidējo atalgojumu ar privāto </w:t>
      </w:r>
      <w:r w:rsidR="006E5F39" w:rsidRPr="0003106C">
        <w:rPr>
          <w:sz w:val="26"/>
          <w:szCs w:val="26"/>
        </w:rPr>
        <w:lastRenderedPageBreak/>
        <w:t>sektoru, jāsecina, ka tas ir aptuveni divas reizes zemāks nekā p</w:t>
      </w:r>
      <w:r w:rsidR="004A22CE" w:rsidRPr="0003106C">
        <w:rPr>
          <w:sz w:val="26"/>
          <w:szCs w:val="26"/>
        </w:rPr>
        <w:t>rivātajā sektorā strādājošajiem</w:t>
      </w:r>
      <w:r w:rsidR="006E5F39" w:rsidRPr="0003106C">
        <w:rPr>
          <w:sz w:val="26"/>
          <w:szCs w:val="26"/>
        </w:rPr>
        <w:t xml:space="preserve"> (</w:t>
      </w:r>
      <w:r w:rsidR="004A22CE" w:rsidRPr="0003106C">
        <w:rPr>
          <w:sz w:val="26"/>
          <w:szCs w:val="26"/>
        </w:rPr>
        <w:t>LIAA centrālā birojā, neiekļaujot Latvijas Ārējās ekonomiskajās</w:t>
      </w:r>
      <w:r w:rsidR="006E5F39" w:rsidRPr="0003106C">
        <w:rPr>
          <w:sz w:val="26"/>
          <w:szCs w:val="26"/>
        </w:rPr>
        <w:t xml:space="preserve"> </w:t>
      </w:r>
      <w:r w:rsidR="004A22CE" w:rsidRPr="0003106C">
        <w:rPr>
          <w:sz w:val="26"/>
          <w:szCs w:val="26"/>
        </w:rPr>
        <w:t>pārstāvniecībās strādājošos,</w:t>
      </w:r>
      <w:r w:rsidR="006E5F39" w:rsidRPr="0003106C">
        <w:rPr>
          <w:sz w:val="26"/>
          <w:szCs w:val="26"/>
        </w:rPr>
        <w:t xml:space="preserve"> darbinieku vidējais atalgojums 2011.gada decembrī bija 662,4 lati, kamēr aptuvenais vidējais atalgojums tā saucamajās „Lielā četrinieka” audita/konsultāciju kompānijās (</w:t>
      </w:r>
      <w:r w:rsidR="006E5F39" w:rsidRPr="0003106C">
        <w:rPr>
          <w:i/>
          <w:sz w:val="26"/>
          <w:szCs w:val="26"/>
        </w:rPr>
        <w:t>Ernst &amp; Young, PriceWaterhouse Coopers, Deloitte, KPMG</w:t>
      </w:r>
      <w:r w:rsidR="006E5F39" w:rsidRPr="0003106C">
        <w:rPr>
          <w:sz w:val="26"/>
          <w:szCs w:val="26"/>
        </w:rPr>
        <w:t>) Latvijā 2011.gada de</w:t>
      </w:r>
      <w:r w:rsidR="004A22CE" w:rsidRPr="0003106C">
        <w:rPr>
          <w:sz w:val="26"/>
          <w:szCs w:val="26"/>
        </w:rPr>
        <w:t>cembrī bija aptuveni 1 300 latu</w:t>
      </w:r>
      <w:r w:rsidR="006E5F39" w:rsidRPr="0003106C">
        <w:rPr>
          <w:sz w:val="26"/>
          <w:szCs w:val="26"/>
        </w:rPr>
        <w:t>)</w:t>
      </w:r>
      <w:r w:rsidR="004A22CE" w:rsidRPr="0003106C">
        <w:rPr>
          <w:sz w:val="26"/>
          <w:szCs w:val="26"/>
        </w:rPr>
        <w:t>.</w:t>
      </w:r>
    </w:p>
    <w:p w:rsidR="00D87A38" w:rsidRPr="0003106C" w:rsidRDefault="0095044A" w:rsidP="00D36893">
      <w:pPr>
        <w:ind w:firstLine="567"/>
        <w:jc w:val="both"/>
        <w:rPr>
          <w:bCs/>
          <w:sz w:val="26"/>
          <w:szCs w:val="26"/>
        </w:rPr>
      </w:pPr>
      <w:r w:rsidRPr="0003106C">
        <w:rPr>
          <w:sz w:val="26"/>
          <w:szCs w:val="26"/>
        </w:rPr>
        <w:t>Bez materiālās stimulēšanas attiecīgās iestādes vadītāja kompetencē ir nodrošināt arī citus motivācijas faktorus, piemēram, nodrošin</w:t>
      </w:r>
      <w:r w:rsidR="001C413A" w:rsidRPr="0003106C">
        <w:rPr>
          <w:sz w:val="26"/>
          <w:szCs w:val="26"/>
        </w:rPr>
        <w:t>ā</w:t>
      </w:r>
      <w:r w:rsidRPr="0003106C">
        <w:rPr>
          <w:sz w:val="26"/>
          <w:szCs w:val="26"/>
        </w:rPr>
        <w:t>t labus darba apstākļus, elastīgākus nosacījumus attiecībā uz darba grafiku</w:t>
      </w:r>
      <w:r w:rsidR="00EA0E91" w:rsidRPr="0003106C">
        <w:rPr>
          <w:sz w:val="26"/>
          <w:szCs w:val="26"/>
        </w:rPr>
        <w:t xml:space="preserve"> un vietu, atzinības izteikšan</w:t>
      </w:r>
      <w:r w:rsidR="001C413A" w:rsidRPr="0003106C">
        <w:rPr>
          <w:sz w:val="26"/>
          <w:szCs w:val="26"/>
        </w:rPr>
        <w:t>a</w:t>
      </w:r>
      <w:r w:rsidRPr="0003106C">
        <w:rPr>
          <w:sz w:val="26"/>
          <w:szCs w:val="26"/>
        </w:rPr>
        <w:t>.</w:t>
      </w:r>
      <w:r w:rsidR="006E5F39" w:rsidRPr="0003106C">
        <w:rPr>
          <w:sz w:val="26"/>
          <w:szCs w:val="26"/>
        </w:rPr>
        <w:t xml:space="preserve"> Privātajā konsultāciju uzņēmumā lielāks uzsvars ir uz darbinieku atbalstu mācību/attīstības un transporta ziņā, kā arī dažādu organizācijas pasākumu organizēšan</w:t>
      </w:r>
      <w:r w:rsidR="001C413A" w:rsidRPr="0003106C">
        <w:rPr>
          <w:sz w:val="26"/>
          <w:szCs w:val="26"/>
        </w:rPr>
        <w:t>u</w:t>
      </w:r>
      <w:r w:rsidR="00EA0E91" w:rsidRPr="0003106C">
        <w:rPr>
          <w:sz w:val="26"/>
          <w:szCs w:val="26"/>
        </w:rPr>
        <w:t xml:space="preserve"> (skat 1</w:t>
      </w:r>
      <w:r w:rsidR="00E32A06" w:rsidRPr="0003106C">
        <w:rPr>
          <w:sz w:val="26"/>
          <w:szCs w:val="26"/>
        </w:rPr>
        <w:t>2</w:t>
      </w:r>
      <w:r w:rsidR="00EA0E91" w:rsidRPr="0003106C">
        <w:rPr>
          <w:sz w:val="26"/>
          <w:szCs w:val="26"/>
        </w:rPr>
        <w:t>.pielikumu)</w:t>
      </w:r>
      <w:r w:rsidR="006E5F39" w:rsidRPr="0003106C">
        <w:rPr>
          <w:sz w:val="26"/>
          <w:szCs w:val="26"/>
        </w:rPr>
        <w:t xml:space="preserve">. </w:t>
      </w:r>
    </w:p>
    <w:p w:rsidR="00D36893" w:rsidRPr="0003106C" w:rsidRDefault="00D36893" w:rsidP="00D36893">
      <w:pPr>
        <w:ind w:firstLine="567"/>
        <w:jc w:val="both"/>
        <w:rPr>
          <w:bCs/>
          <w:sz w:val="26"/>
          <w:szCs w:val="26"/>
        </w:rPr>
      </w:pPr>
    </w:p>
    <w:p w:rsidR="00FE1E3C" w:rsidRPr="0003106C" w:rsidRDefault="00926D4B" w:rsidP="00FE1E3C">
      <w:pPr>
        <w:pStyle w:val="Heading2"/>
        <w:tabs>
          <w:tab w:val="left" w:pos="851"/>
        </w:tabs>
        <w:autoSpaceDE w:val="0"/>
        <w:autoSpaceDN w:val="0"/>
        <w:adjustRightInd w:val="0"/>
        <w:spacing w:before="0"/>
        <w:ind w:left="360"/>
        <w:rPr>
          <w:rFonts w:ascii="Times New Roman" w:eastAsia="Calibri" w:hAnsi="Times New Roman" w:cs="Times New Roman"/>
          <w:bCs w:val="0"/>
          <w:i w:val="0"/>
          <w:iCs w:val="0"/>
          <w:sz w:val="26"/>
          <w:szCs w:val="26"/>
        </w:rPr>
      </w:pPr>
      <w:bookmarkStart w:id="24" w:name="_Toc355961043"/>
      <w:r w:rsidRPr="0003106C">
        <w:rPr>
          <w:rFonts w:ascii="Times New Roman" w:hAnsi="Times New Roman" w:cs="Times New Roman"/>
          <w:i w:val="0"/>
          <w:sz w:val="26"/>
          <w:szCs w:val="26"/>
        </w:rPr>
        <w:t>4.3.6. </w:t>
      </w:r>
      <w:r w:rsidR="00FE1E3C" w:rsidRPr="0003106C">
        <w:rPr>
          <w:rFonts w:ascii="Times New Roman" w:eastAsia="Calibri" w:hAnsi="Times New Roman" w:cs="Times New Roman"/>
          <w:bCs w:val="0"/>
          <w:i w:val="0"/>
          <w:iCs w:val="0"/>
          <w:sz w:val="26"/>
          <w:szCs w:val="26"/>
        </w:rPr>
        <w:t>Pašvaldības loma investīciju piesaistē</w:t>
      </w:r>
      <w:bookmarkEnd w:id="24"/>
      <w:r w:rsidR="00FE1E3C" w:rsidRPr="0003106C">
        <w:rPr>
          <w:rFonts w:ascii="Times New Roman" w:eastAsia="Calibri" w:hAnsi="Times New Roman" w:cs="Times New Roman"/>
          <w:bCs w:val="0"/>
          <w:i w:val="0"/>
          <w:iCs w:val="0"/>
          <w:sz w:val="26"/>
          <w:szCs w:val="26"/>
        </w:rPr>
        <w:t xml:space="preserve"> </w:t>
      </w:r>
    </w:p>
    <w:p w:rsidR="00402351" w:rsidRPr="00402351" w:rsidRDefault="00402351" w:rsidP="00402351">
      <w:pPr>
        <w:ind w:right="17" w:firstLine="567"/>
        <w:jc w:val="both"/>
        <w:rPr>
          <w:sz w:val="26"/>
          <w:szCs w:val="26"/>
        </w:rPr>
      </w:pPr>
      <w:r w:rsidRPr="00402351">
        <w:rPr>
          <w:sz w:val="26"/>
          <w:szCs w:val="26"/>
        </w:rPr>
        <w:t>Lai īstenotu kvalitatīvus priekšdarbus un nodrošinātu veiksmīgu investīciju piesaistes procesu, nepieciešama pašvaldību aktīva līdzdalība, jo jebkurš investīciju projekts tiek īstenots kādā pašvaldības teritorijā. Pašvaldības gatavība (</w:t>
      </w:r>
      <w:proofErr w:type="spellStart"/>
      <w:r w:rsidRPr="00402351">
        <w:rPr>
          <w:sz w:val="26"/>
          <w:szCs w:val="26"/>
        </w:rPr>
        <w:t>t.sk</w:t>
      </w:r>
      <w:proofErr w:type="spellEnd"/>
      <w:r w:rsidRPr="00402351">
        <w:rPr>
          <w:sz w:val="26"/>
          <w:szCs w:val="26"/>
        </w:rPr>
        <w:t xml:space="preserve">. infrastruktūras stāvoklis </w:t>
      </w:r>
      <w:proofErr w:type="spellStart"/>
      <w:r w:rsidRPr="00402351">
        <w:rPr>
          <w:sz w:val="26"/>
          <w:szCs w:val="26"/>
        </w:rPr>
        <w:t>u.c</w:t>
      </w:r>
      <w:proofErr w:type="spellEnd"/>
      <w:r w:rsidRPr="00402351">
        <w:rPr>
          <w:sz w:val="26"/>
          <w:szCs w:val="26"/>
        </w:rPr>
        <w:t xml:space="preserve">.) un rīcība ir viens no nozīmīgākajiem faktoriem, kas ietekmē to,  vai uzņēmējs pieņems pozitīvu lēmumu par savas uzņēmējdarbības īstenošanu konkrētajā pašvaldībā. Līdzšinējā pieredze ar pašvaldībām bieži vien ir diametrāli pretēja, jo ir pašvaldības, kuras apzinās uzņēmējdarbības nozīmi pašvaldības attīstības un labklājības nodrošināšanā un ir veikušas daudzus priekšdarbus uzņēmējdarbības veicināšanai savā teritorijā, tajā pašā laikā ir pašvaldības, kuras ir pasīvas un eksistē uz valstī īstenotās finansējuma sadales savstarpējās izlīdzināšanas principiem. Ņemot vērā Latvijas mērogus un darbaspēka koncentrēšanos Rīgā un ap to, būtiski ir veidot spēcīgus un konkurētspējīgus nacionālās un reģionālās nozīmes attīstības centrus (9+21). Šiem centriem ir jāveicina reģionu attīstība un konkurētspēja, darbojoties kā reģiona attīstības virzītājspēkiem, sekmējot pašvaldību savstarpējo sadarbību un papildinātību, radot priekšnoteikumus un labvēlīgu vidi kvalitatīva darbaspēka un uzņēmīgu uzņēmēju esamībai pašvaldībā – piesaistot investīcijas uzņēmumos un cilvēkus darbavietās, tādejādi nodrošinot nodarbinātības iespējas arī apkārtējo teritoriju iedzīvotājiem. Latvijā vēsturiski ir attīstījušās  industriālās zonas republikas pilsētās un bijušajos rajonu centros, kas Latvijas ilgtspējīgas attīstības stratēģijā līdz 2030.gadam noteikti kā starptautiskas (4), nacionālas (5) un reģionālas nozīmes attīstības centri (21). Šajās zonās koncentrējas liela daļa pilsētās esošo ražotāju, tāpēc būtiski ir nodrošināt šīs teritorijas ar atbilstošu publisko infrastruktūru (ceļiem, komunikācijām </w:t>
      </w:r>
      <w:proofErr w:type="spellStart"/>
      <w:r w:rsidRPr="00402351">
        <w:rPr>
          <w:sz w:val="26"/>
          <w:szCs w:val="26"/>
        </w:rPr>
        <w:t>u.c</w:t>
      </w:r>
      <w:proofErr w:type="spellEnd"/>
      <w:r w:rsidRPr="00402351">
        <w:rPr>
          <w:sz w:val="26"/>
          <w:szCs w:val="26"/>
        </w:rPr>
        <w:t>.). Deviņās republikas pilsētās jeb nacionālas nozīmes attīstības centros  (Rīga, Daugavpils, Jēkabpils, Jelgava, Jūrmala, Liepāja, Rēzekne, Valmiera un Ventspils) dzīvo 51% valsts iedzīvotāju un tajās darbojas 70,8% komercsabiedrību un individuālo komersantu</w:t>
      </w:r>
      <w:r w:rsidRPr="00402351">
        <w:rPr>
          <w:rStyle w:val="FootnoteReference"/>
          <w:sz w:val="26"/>
          <w:szCs w:val="26"/>
        </w:rPr>
        <w:footnoteReference w:customMarkFollows="1" w:id="31"/>
        <w:t>[1]</w:t>
      </w:r>
      <w:r w:rsidRPr="00402351">
        <w:rPr>
          <w:sz w:val="26"/>
          <w:szCs w:val="26"/>
        </w:rPr>
        <w:t>.</w:t>
      </w:r>
    </w:p>
    <w:p w:rsidR="00402351" w:rsidRPr="00402351" w:rsidRDefault="00402351" w:rsidP="00402351">
      <w:pPr>
        <w:ind w:firstLine="567"/>
        <w:jc w:val="both"/>
        <w:rPr>
          <w:sz w:val="26"/>
          <w:szCs w:val="26"/>
        </w:rPr>
      </w:pPr>
      <w:r w:rsidRPr="00402351">
        <w:rPr>
          <w:sz w:val="26"/>
          <w:szCs w:val="26"/>
        </w:rPr>
        <w:t>Lai sekmētu ekonomisko aktivitāti un investoru piesaisti, pašvaldībām to autonomo funkciju izpildes ietvaros, cik tas iespējams ierobežotā budžeta finansējuma ietvaros, ir:</w:t>
      </w:r>
    </w:p>
    <w:p w:rsidR="00402351" w:rsidRPr="00402351" w:rsidRDefault="00402351" w:rsidP="00402351">
      <w:pPr>
        <w:pStyle w:val="ListParagraph"/>
        <w:numPr>
          <w:ilvl w:val="0"/>
          <w:numId w:val="32"/>
        </w:numPr>
        <w:autoSpaceDE w:val="0"/>
        <w:autoSpaceDN w:val="0"/>
        <w:spacing w:line="240" w:lineRule="auto"/>
        <w:ind w:left="993" w:hanging="284"/>
        <w:contextualSpacing w:val="0"/>
        <w:jc w:val="both"/>
        <w:rPr>
          <w:rFonts w:ascii="Times New Roman" w:hAnsi="Times New Roman"/>
          <w:sz w:val="26"/>
          <w:szCs w:val="26"/>
        </w:rPr>
      </w:pPr>
      <w:r w:rsidRPr="00402351">
        <w:rPr>
          <w:rFonts w:ascii="Times New Roman" w:hAnsi="Times New Roman"/>
          <w:sz w:val="26"/>
          <w:szCs w:val="26"/>
        </w:rPr>
        <w:lastRenderedPageBreak/>
        <w:t>jānodrošina attīstības plānošanas dokumentu izstrāde (tai skaitā, paredzot, industriālās teritorijas attīstības iespējas; veidojot pašvaldības specializāciju uzņēmējdarbībā</w:t>
      </w:r>
      <w:r w:rsidRPr="00402351">
        <w:rPr>
          <w:rStyle w:val="FootnoteReference"/>
          <w:rFonts w:ascii="Times New Roman" w:hAnsi="Times New Roman"/>
          <w:sz w:val="26"/>
          <w:szCs w:val="26"/>
        </w:rPr>
        <w:footnoteReference w:id="32"/>
      </w:r>
      <w:r w:rsidRPr="00402351">
        <w:rPr>
          <w:rFonts w:ascii="Times New Roman" w:hAnsi="Times New Roman"/>
          <w:sz w:val="26"/>
          <w:szCs w:val="26"/>
        </w:rPr>
        <w:t>);</w:t>
      </w:r>
    </w:p>
    <w:p w:rsidR="00402351" w:rsidRPr="00402351" w:rsidRDefault="00402351" w:rsidP="00402351">
      <w:pPr>
        <w:pStyle w:val="ListParagraph"/>
        <w:numPr>
          <w:ilvl w:val="0"/>
          <w:numId w:val="32"/>
        </w:numPr>
        <w:autoSpaceDE w:val="0"/>
        <w:autoSpaceDN w:val="0"/>
        <w:spacing w:line="240" w:lineRule="auto"/>
        <w:ind w:left="993" w:hanging="284"/>
        <w:contextualSpacing w:val="0"/>
        <w:jc w:val="both"/>
        <w:rPr>
          <w:rFonts w:ascii="Times New Roman" w:hAnsi="Times New Roman"/>
          <w:sz w:val="26"/>
          <w:szCs w:val="26"/>
        </w:rPr>
      </w:pPr>
      <w:r w:rsidRPr="00402351">
        <w:rPr>
          <w:rFonts w:ascii="Times New Roman" w:hAnsi="Times New Roman"/>
          <w:sz w:val="26"/>
          <w:szCs w:val="26"/>
        </w:rPr>
        <w:t>jānodrošina</w:t>
      </w:r>
      <w:r w:rsidRPr="00402351" w:rsidDel="00182F48">
        <w:rPr>
          <w:rFonts w:ascii="Times New Roman" w:hAnsi="Times New Roman"/>
          <w:sz w:val="26"/>
          <w:szCs w:val="26"/>
        </w:rPr>
        <w:t xml:space="preserve"> </w:t>
      </w:r>
      <w:r w:rsidRPr="00402351">
        <w:rPr>
          <w:rFonts w:ascii="Times New Roman" w:hAnsi="Times New Roman"/>
          <w:sz w:val="26"/>
          <w:szCs w:val="26"/>
        </w:rPr>
        <w:t>vienošanās panākšana starp iedzīvotājiem par pašvaldības attīstību un zonējumu, pieejamo resursu izmantošanu (tai skaitā gudri vadīt sabiedriskās apspriedes par pašvaldības attīstības jautājumiem);</w:t>
      </w:r>
    </w:p>
    <w:p w:rsidR="00402351" w:rsidRPr="00402351" w:rsidRDefault="00402351" w:rsidP="00402351">
      <w:pPr>
        <w:pStyle w:val="ListParagraph"/>
        <w:numPr>
          <w:ilvl w:val="0"/>
          <w:numId w:val="32"/>
        </w:numPr>
        <w:autoSpaceDE w:val="0"/>
        <w:autoSpaceDN w:val="0"/>
        <w:spacing w:line="240" w:lineRule="auto"/>
        <w:ind w:left="993" w:hanging="284"/>
        <w:contextualSpacing w:val="0"/>
        <w:jc w:val="both"/>
        <w:rPr>
          <w:rFonts w:ascii="Times New Roman" w:hAnsi="Times New Roman"/>
          <w:sz w:val="26"/>
          <w:szCs w:val="26"/>
        </w:rPr>
      </w:pPr>
      <w:r w:rsidRPr="00402351">
        <w:rPr>
          <w:rFonts w:ascii="Times New Roman" w:hAnsi="Times New Roman"/>
          <w:sz w:val="26"/>
          <w:szCs w:val="26"/>
        </w:rPr>
        <w:t>jānodrošina atbilstošas un kvalitatīvas publiskās infrastruktūras pieejamība;</w:t>
      </w:r>
    </w:p>
    <w:p w:rsidR="00402351" w:rsidRPr="00402351" w:rsidRDefault="00402351" w:rsidP="00402351">
      <w:pPr>
        <w:pStyle w:val="ListParagraph"/>
        <w:numPr>
          <w:ilvl w:val="0"/>
          <w:numId w:val="32"/>
        </w:numPr>
        <w:autoSpaceDE w:val="0"/>
        <w:autoSpaceDN w:val="0"/>
        <w:spacing w:line="240" w:lineRule="auto"/>
        <w:ind w:left="993" w:hanging="284"/>
        <w:contextualSpacing w:val="0"/>
        <w:jc w:val="both"/>
        <w:rPr>
          <w:rFonts w:ascii="Times New Roman" w:hAnsi="Times New Roman"/>
          <w:sz w:val="26"/>
          <w:szCs w:val="26"/>
        </w:rPr>
      </w:pPr>
      <w:r w:rsidRPr="00402351">
        <w:rPr>
          <w:rFonts w:ascii="Times New Roman" w:hAnsi="Times New Roman"/>
          <w:sz w:val="26"/>
          <w:szCs w:val="26"/>
        </w:rPr>
        <w:t xml:space="preserve">jānodrošina industriālo zonu sakārtošana un plānošana – primāri uz ražošanu un pakalpojumu sniegšanu uz ārējo pieprasījumu vērstās nozarēs un nozarēs, kurās ir pieejami vietējie resursi, paredzot perspektīvā trūkstošos resursus piesaistīt kā no Latvijas, tā no ārvalstīm; </w:t>
      </w:r>
    </w:p>
    <w:p w:rsidR="00402351" w:rsidRPr="00402351" w:rsidRDefault="00402351" w:rsidP="00402351">
      <w:pPr>
        <w:pStyle w:val="ListParagraph"/>
        <w:numPr>
          <w:ilvl w:val="0"/>
          <w:numId w:val="32"/>
        </w:numPr>
        <w:autoSpaceDE w:val="0"/>
        <w:autoSpaceDN w:val="0"/>
        <w:spacing w:line="240" w:lineRule="auto"/>
        <w:ind w:left="993" w:hanging="284"/>
        <w:contextualSpacing w:val="0"/>
        <w:jc w:val="both"/>
        <w:rPr>
          <w:rFonts w:ascii="Times New Roman" w:hAnsi="Times New Roman"/>
          <w:sz w:val="26"/>
          <w:szCs w:val="26"/>
        </w:rPr>
      </w:pPr>
      <w:r w:rsidRPr="00402351">
        <w:rPr>
          <w:rFonts w:ascii="Times New Roman" w:hAnsi="Times New Roman"/>
          <w:sz w:val="26"/>
          <w:szCs w:val="26"/>
        </w:rPr>
        <w:t>jāveicina kompetenta un prasmīga darbaspēka pieejamība</w:t>
      </w:r>
      <w:r>
        <w:rPr>
          <w:rFonts w:ascii="Times New Roman" w:hAnsi="Times New Roman"/>
          <w:sz w:val="26"/>
          <w:szCs w:val="26"/>
        </w:rPr>
        <w:t xml:space="preserve"> </w:t>
      </w:r>
      <w:r w:rsidRPr="00402351">
        <w:rPr>
          <w:rFonts w:ascii="Times New Roman" w:hAnsi="Times New Roman"/>
          <w:sz w:val="26"/>
          <w:szCs w:val="26"/>
        </w:rPr>
        <w:t>un nodrošinot atbilstošas izglītības un prasmju pieejamību;</w:t>
      </w:r>
    </w:p>
    <w:p w:rsidR="00402351" w:rsidRPr="00402351" w:rsidRDefault="00402351" w:rsidP="00402351">
      <w:pPr>
        <w:pStyle w:val="ListParagraph"/>
        <w:numPr>
          <w:ilvl w:val="0"/>
          <w:numId w:val="32"/>
        </w:numPr>
        <w:autoSpaceDE w:val="0"/>
        <w:autoSpaceDN w:val="0"/>
        <w:spacing w:line="240" w:lineRule="auto"/>
        <w:ind w:left="993" w:hanging="284"/>
        <w:contextualSpacing w:val="0"/>
        <w:jc w:val="both"/>
        <w:rPr>
          <w:rFonts w:ascii="Times New Roman" w:hAnsi="Times New Roman"/>
          <w:sz w:val="26"/>
          <w:szCs w:val="26"/>
        </w:rPr>
      </w:pPr>
      <w:r w:rsidRPr="00402351">
        <w:rPr>
          <w:rFonts w:ascii="Times New Roman" w:hAnsi="Times New Roman"/>
          <w:sz w:val="26"/>
          <w:szCs w:val="26"/>
        </w:rPr>
        <w:t>jāveicina kompetentu speciālistu piesaiste pašvaldībā uzņēmējdarbības un investīciju piesaistes jomā, kuri pārvalda svešvalodas un ir motivēti veicināt uzņēmējdarbību pašvaldībā.</w:t>
      </w:r>
    </w:p>
    <w:p w:rsidR="00402351" w:rsidRPr="00402351" w:rsidRDefault="00402351" w:rsidP="00402351">
      <w:pPr>
        <w:jc w:val="both"/>
        <w:rPr>
          <w:sz w:val="26"/>
          <w:szCs w:val="26"/>
        </w:rPr>
      </w:pPr>
    </w:p>
    <w:p w:rsidR="00402351" w:rsidRPr="00402351" w:rsidRDefault="00402351" w:rsidP="00402351">
      <w:pPr>
        <w:autoSpaceDE w:val="0"/>
        <w:autoSpaceDN w:val="0"/>
        <w:ind w:firstLine="567"/>
        <w:jc w:val="both"/>
        <w:rPr>
          <w:sz w:val="26"/>
          <w:szCs w:val="26"/>
        </w:rPr>
      </w:pPr>
      <w:r w:rsidRPr="00402351">
        <w:rPr>
          <w:sz w:val="26"/>
          <w:szCs w:val="26"/>
        </w:rPr>
        <w:t>Pašvaldību izglītošanai un kapacitātēs celšanai LIAA un VARAM ir regulāri jāīsteno informatīvie un apmācību pasākumi pašvaldībām par uzņēmējdarbības un ĀTI lomu pašvaldību attīstībā, kā arī par praktiskiem uzņēmējdarbības atbalsta jautājumiem, kas pamatā ir saistīti ar administratīvā sloga mazināšanu un nodokļu politikas īstenošanu un ĀTI piesaistes procesa jautājumiem un investīciju piesaistes metodēm. Vairāki pasākumi, kas attiecas uz pašvaldību lomu ekonomiskās aktivitātes veicināšanā un privāto investīciju piesaistē, tiek plānoti Reģionālās politikas pamatnostādnēs.</w:t>
      </w:r>
    </w:p>
    <w:p w:rsidR="00402351" w:rsidRPr="00402351" w:rsidRDefault="00402351" w:rsidP="00402351">
      <w:pPr>
        <w:autoSpaceDE w:val="0"/>
        <w:autoSpaceDN w:val="0"/>
        <w:ind w:firstLine="567"/>
        <w:jc w:val="both"/>
        <w:rPr>
          <w:sz w:val="26"/>
          <w:szCs w:val="26"/>
        </w:rPr>
      </w:pPr>
    </w:p>
    <w:p w:rsidR="00402351" w:rsidRPr="00402351" w:rsidRDefault="00402351" w:rsidP="00402351">
      <w:pPr>
        <w:autoSpaceDE w:val="0"/>
        <w:autoSpaceDN w:val="0"/>
        <w:ind w:firstLine="567"/>
        <w:jc w:val="both"/>
        <w:rPr>
          <w:sz w:val="26"/>
          <w:szCs w:val="26"/>
        </w:rPr>
      </w:pPr>
      <w:r w:rsidRPr="00402351">
        <w:rPr>
          <w:sz w:val="26"/>
          <w:szCs w:val="26"/>
        </w:rPr>
        <w:t>Savukārt valsts pārvaldei ir jānodrošina, ka sabiedriskās apspriešanas process nenotiek formāli un kalpo kā efektīvs instruments interešu saskaņošanai un kopēju mērķu sasniegšanai.</w:t>
      </w:r>
    </w:p>
    <w:p w:rsidR="00402351" w:rsidRPr="00402351" w:rsidRDefault="00402351" w:rsidP="00402351">
      <w:pPr>
        <w:autoSpaceDE w:val="0"/>
        <w:autoSpaceDN w:val="0"/>
        <w:ind w:firstLine="567"/>
        <w:jc w:val="both"/>
        <w:rPr>
          <w:sz w:val="26"/>
          <w:szCs w:val="26"/>
        </w:rPr>
      </w:pPr>
      <w:r w:rsidRPr="00402351">
        <w:rPr>
          <w:sz w:val="26"/>
          <w:szCs w:val="26"/>
        </w:rPr>
        <w:t>Svarīgākie faktori, kas nosaka investora izvēli un ir iekļaujami pašvaldības specializācijas izstrādē ir:</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transporta un loģistikas infrastruktūra;</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 xml:space="preserve">cita pieejamā infrastruktūra – elektrība, gāze, telekomunikācijas </w:t>
      </w:r>
      <w:proofErr w:type="spellStart"/>
      <w:r w:rsidRPr="00402351">
        <w:rPr>
          <w:rFonts w:ascii="Times New Roman" w:hAnsi="Times New Roman"/>
          <w:sz w:val="26"/>
          <w:szCs w:val="26"/>
        </w:rPr>
        <w:t>u.c</w:t>
      </w:r>
      <w:proofErr w:type="spellEnd"/>
      <w:r w:rsidRPr="00402351">
        <w:rPr>
          <w:rFonts w:ascii="Times New Roman" w:hAnsi="Times New Roman"/>
          <w:sz w:val="26"/>
          <w:szCs w:val="26"/>
        </w:rPr>
        <w:t>.;</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darbaspēka prasmes, izglītība, pieejamība, izmaksas un produktivitāte;</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darba kultūra, darbinieku gatavība apgūt jaunas prasmes un pielāgoties prasībām;</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vietējais tirgus vai pieeja ārvalstu tirgiem;</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pašvaldības iekasētie nodokļi un nodevas, to atvieglojumi;</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resursu izmaksas;</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sociālais klimats, kultūras īpatnības un izklaides iespējas – vai tā būs vieta, kur dzīvot, strādāt un atpūsties.</w:t>
      </w:r>
    </w:p>
    <w:p w:rsidR="00402351" w:rsidRPr="00402351" w:rsidRDefault="00402351" w:rsidP="00402351">
      <w:pPr>
        <w:rPr>
          <w:i/>
          <w:iCs/>
          <w:sz w:val="26"/>
          <w:szCs w:val="26"/>
        </w:rPr>
      </w:pPr>
    </w:p>
    <w:p w:rsidR="00402351" w:rsidRPr="00402351" w:rsidRDefault="00402351" w:rsidP="00402351">
      <w:pPr>
        <w:autoSpaceDE w:val="0"/>
        <w:autoSpaceDN w:val="0"/>
        <w:ind w:firstLine="567"/>
        <w:rPr>
          <w:sz w:val="26"/>
          <w:szCs w:val="26"/>
        </w:rPr>
      </w:pPr>
      <w:r w:rsidRPr="00402351">
        <w:rPr>
          <w:sz w:val="26"/>
          <w:szCs w:val="26"/>
        </w:rPr>
        <w:t>Pašvaldību ieguvumi no investīciju piesaistes:</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jaunu ilgtermiņa darba vietu radīšana;</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lastRenderedPageBreak/>
        <w:t>stimulē jaunas izaugsmes iespējas esošajiem uzņēmumiem un veicina jaunu uzņēmumu veidošanos – gan saistībā ar kopējās labklājības celšanos, gan tieši saistīto – apkalpojošo uzņēmumu nepieciešamību;</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palielinās nodokļu ieņēmumi;</w:t>
      </w:r>
    </w:p>
    <w:p w:rsidR="00402351" w:rsidRPr="00402351" w:rsidRDefault="00402351" w:rsidP="00402351">
      <w:pPr>
        <w:pStyle w:val="EYNormal"/>
        <w:numPr>
          <w:ilvl w:val="0"/>
          <w:numId w:val="36"/>
        </w:numPr>
        <w:spacing w:after="0"/>
        <w:jc w:val="both"/>
        <w:rPr>
          <w:rFonts w:ascii="Times New Roman" w:hAnsi="Times New Roman"/>
          <w:sz w:val="26"/>
          <w:szCs w:val="26"/>
        </w:rPr>
      </w:pPr>
      <w:r w:rsidRPr="00402351">
        <w:rPr>
          <w:rFonts w:ascii="Times New Roman" w:hAnsi="Times New Roman"/>
          <w:sz w:val="26"/>
          <w:szCs w:val="26"/>
        </w:rPr>
        <w:t>pašvaldības tēla uzlabošana.</w:t>
      </w:r>
    </w:p>
    <w:p w:rsidR="00402351" w:rsidRDefault="00402351" w:rsidP="000D20F8">
      <w:pPr>
        <w:ind w:right="17" w:firstLine="567"/>
        <w:jc w:val="both"/>
        <w:rPr>
          <w:bCs/>
          <w:sz w:val="26"/>
          <w:szCs w:val="26"/>
        </w:rPr>
      </w:pPr>
    </w:p>
    <w:p w:rsidR="00E06E94" w:rsidRPr="0003106C" w:rsidRDefault="00073024" w:rsidP="00E06E94">
      <w:pPr>
        <w:pStyle w:val="Heading2"/>
        <w:ind w:firstLine="567"/>
        <w:rPr>
          <w:rFonts w:ascii="Times New Roman" w:hAnsi="Times New Roman" w:cs="Times New Roman"/>
          <w:i w:val="0"/>
          <w:sz w:val="26"/>
          <w:szCs w:val="26"/>
        </w:rPr>
      </w:pPr>
      <w:bookmarkStart w:id="25" w:name="_Toc305487030"/>
      <w:bookmarkStart w:id="26" w:name="_Toc355961044"/>
      <w:r w:rsidRPr="0003106C">
        <w:rPr>
          <w:rFonts w:ascii="Times New Roman" w:hAnsi="Times New Roman" w:cs="Times New Roman"/>
          <w:i w:val="0"/>
          <w:sz w:val="26"/>
          <w:szCs w:val="26"/>
        </w:rPr>
        <w:t>4</w:t>
      </w:r>
      <w:r w:rsidR="00EB7C13" w:rsidRPr="0003106C">
        <w:rPr>
          <w:rFonts w:ascii="Times New Roman" w:hAnsi="Times New Roman" w:cs="Times New Roman"/>
          <w:i w:val="0"/>
          <w:sz w:val="26"/>
          <w:szCs w:val="26"/>
        </w:rPr>
        <w:t>.3.</w:t>
      </w:r>
      <w:r w:rsidR="00926D4B" w:rsidRPr="0003106C">
        <w:rPr>
          <w:rFonts w:ascii="Times New Roman" w:hAnsi="Times New Roman" w:cs="Times New Roman"/>
          <w:i w:val="0"/>
          <w:sz w:val="26"/>
          <w:szCs w:val="26"/>
        </w:rPr>
        <w:t>7</w:t>
      </w:r>
      <w:r w:rsidR="00E06E94" w:rsidRPr="0003106C">
        <w:rPr>
          <w:rFonts w:ascii="Times New Roman" w:hAnsi="Times New Roman" w:cs="Times New Roman"/>
          <w:i w:val="0"/>
          <w:sz w:val="26"/>
          <w:szCs w:val="26"/>
        </w:rPr>
        <w:t>. Mārketinga aktivitātes</w:t>
      </w:r>
      <w:bookmarkEnd w:id="25"/>
      <w:bookmarkEnd w:id="26"/>
    </w:p>
    <w:p w:rsidR="00565855" w:rsidRPr="0003106C" w:rsidRDefault="00587231" w:rsidP="00565855">
      <w:pPr>
        <w:ind w:firstLine="567"/>
        <w:jc w:val="both"/>
        <w:rPr>
          <w:sz w:val="26"/>
          <w:szCs w:val="26"/>
        </w:rPr>
      </w:pPr>
      <w:r w:rsidRPr="0003106C">
        <w:rPr>
          <w:sz w:val="26"/>
          <w:szCs w:val="26"/>
        </w:rPr>
        <w:t>Kopumā vērtējot pasaules tendences ĀTI piesaistes procesiem, tā</w:t>
      </w:r>
      <w:r w:rsidR="0041014B" w:rsidRPr="0003106C">
        <w:rPr>
          <w:sz w:val="26"/>
          <w:szCs w:val="26"/>
        </w:rPr>
        <w:t>s</w:t>
      </w:r>
      <w:r w:rsidRPr="0003106C">
        <w:rPr>
          <w:sz w:val="26"/>
          <w:szCs w:val="26"/>
        </w:rPr>
        <w:t xml:space="preserve"> ir līdzīgas un nosacīti iedalāmas </w:t>
      </w:r>
      <w:r w:rsidR="00565855" w:rsidRPr="0003106C">
        <w:rPr>
          <w:sz w:val="26"/>
          <w:szCs w:val="26"/>
        </w:rPr>
        <w:t>„</w:t>
      </w:r>
      <w:r w:rsidRPr="0003106C">
        <w:rPr>
          <w:sz w:val="26"/>
          <w:szCs w:val="26"/>
        </w:rPr>
        <w:t>četrās paaudzēs</w:t>
      </w:r>
      <w:r w:rsidR="00565855" w:rsidRPr="0003106C">
        <w:rPr>
          <w:sz w:val="26"/>
          <w:szCs w:val="26"/>
        </w:rPr>
        <w:t>”</w:t>
      </w:r>
      <w:r w:rsidR="00565855" w:rsidRPr="0003106C">
        <w:rPr>
          <w:rStyle w:val="FootnoteReference"/>
          <w:sz w:val="26"/>
          <w:szCs w:val="26"/>
        </w:rPr>
        <w:footnoteReference w:id="33"/>
      </w:r>
      <w:r w:rsidRPr="0003106C">
        <w:rPr>
          <w:sz w:val="26"/>
          <w:szCs w:val="26"/>
        </w:rPr>
        <w:t xml:space="preserve"> –</w:t>
      </w:r>
      <w:r w:rsidR="00565855" w:rsidRPr="0003106C">
        <w:rPr>
          <w:sz w:val="26"/>
          <w:szCs w:val="26"/>
        </w:rPr>
        <w:t xml:space="preserve"> sākotnēji ti</w:t>
      </w:r>
      <w:r w:rsidR="00C47CDB" w:rsidRPr="0003106C">
        <w:rPr>
          <w:sz w:val="26"/>
          <w:szCs w:val="26"/>
        </w:rPr>
        <w:t>ek</w:t>
      </w:r>
      <w:r w:rsidRPr="0003106C">
        <w:rPr>
          <w:sz w:val="26"/>
          <w:szCs w:val="26"/>
        </w:rPr>
        <w:t xml:space="preserve"> liberalizēt</w:t>
      </w:r>
      <w:r w:rsidR="00565855" w:rsidRPr="0003106C">
        <w:rPr>
          <w:sz w:val="26"/>
          <w:szCs w:val="26"/>
        </w:rPr>
        <w:t>a</w:t>
      </w:r>
      <w:r w:rsidRPr="0003106C">
        <w:rPr>
          <w:sz w:val="26"/>
          <w:szCs w:val="26"/>
        </w:rPr>
        <w:t xml:space="preserve"> </w:t>
      </w:r>
      <w:r w:rsidR="00565855" w:rsidRPr="0003106C">
        <w:rPr>
          <w:sz w:val="26"/>
          <w:szCs w:val="26"/>
        </w:rPr>
        <w:t>normatīvā</w:t>
      </w:r>
      <w:r w:rsidRPr="0003106C">
        <w:rPr>
          <w:sz w:val="26"/>
          <w:szCs w:val="26"/>
        </w:rPr>
        <w:t xml:space="preserve"> sistēm</w:t>
      </w:r>
      <w:r w:rsidR="00565855" w:rsidRPr="0003106C">
        <w:rPr>
          <w:sz w:val="26"/>
          <w:szCs w:val="26"/>
        </w:rPr>
        <w:t>a un pieņemta tirgum draudzīga politika</w:t>
      </w:r>
      <w:r w:rsidRPr="0003106C">
        <w:rPr>
          <w:sz w:val="26"/>
          <w:szCs w:val="26"/>
        </w:rPr>
        <w:t>,</w:t>
      </w:r>
      <w:r w:rsidR="00565855" w:rsidRPr="0003106C">
        <w:rPr>
          <w:sz w:val="26"/>
          <w:szCs w:val="26"/>
        </w:rPr>
        <w:t xml:space="preserve"> „otrajā paaudzē” – tiek izveidotas </w:t>
      </w:r>
      <w:r w:rsidRPr="0003106C">
        <w:rPr>
          <w:sz w:val="26"/>
          <w:szCs w:val="26"/>
        </w:rPr>
        <w:t>investīciju veicināšanas</w:t>
      </w:r>
      <w:r w:rsidR="00565855" w:rsidRPr="0003106C">
        <w:rPr>
          <w:sz w:val="26"/>
          <w:szCs w:val="26"/>
        </w:rPr>
        <w:t>-piesaistes aģentūras</w:t>
      </w:r>
      <w:r w:rsidRPr="0003106C">
        <w:rPr>
          <w:sz w:val="26"/>
          <w:szCs w:val="26"/>
        </w:rPr>
        <w:t xml:space="preserve">, </w:t>
      </w:r>
      <w:r w:rsidR="00565855" w:rsidRPr="0003106C">
        <w:rPr>
          <w:sz w:val="26"/>
          <w:szCs w:val="26"/>
        </w:rPr>
        <w:t>„trešajā paaudzē” – tiek izvēlētas mērķa nozares (vai pat atsevišķi uzņēmumi), kas ir novērtēti kā atbilstoši, lai uzņemtu investīcijas.</w:t>
      </w:r>
      <w:r w:rsidRPr="0003106C">
        <w:rPr>
          <w:sz w:val="26"/>
          <w:szCs w:val="26"/>
        </w:rPr>
        <w:t xml:space="preserve"> Pēdējos gados </w:t>
      </w:r>
      <w:r w:rsidR="00565855" w:rsidRPr="0003106C">
        <w:rPr>
          <w:sz w:val="26"/>
          <w:szCs w:val="26"/>
        </w:rPr>
        <w:t xml:space="preserve">ir pieaugusi </w:t>
      </w:r>
      <w:r w:rsidRPr="0003106C">
        <w:rPr>
          <w:sz w:val="26"/>
          <w:szCs w:val="26"/>
        </w:rPr>
        <w:t>izpratne, ka ne vis</w:t>
      </w:r>
      <w:r w:rsidR="00565855" w:rsidRPr="0003106C">
        <w:rPr>
          <w:sz w:val="26"/>
          <w:szCs w:val="26"/>
        </w:rPr>
        <w:t>as</w:t>
      </w:r>
      <w:r w:rsidRPr="0003106C">
        <w:rPr>
          <w:sz w:val="26"/>
          <w:szCs w:val="26"/>
        </w:rPr>
        <w:t xml:space="preserve"> ĀTI ir vienlīdz vēlam</w:t>
      </w:r>
      <w:r w:rsidR="00565855" w:rsidRPr="0003106C">
        <w:rPr>
          <w:sz w:val="26"/>
          <w:szCs w:val="26"/>
        </w:rPr>
        <w:t>as, tādēļ veidojas „ceturtā paaudze”, kur koncentrēšanās notiek uz ilgtspējīgu ĀTI piesaisti</w:t>
      </w:r>
      <w:r w:rsidRPr="0003106C">
        <w:rPr>
          <w:sz w:val="26"/>
          <w:szCs w:val="26"/>
        </w:rPr>
        <w:t xml:space="preserve">. </w:t>
      </w:r>
      <w:r w:rsidR="00565855" w:rsidRPr="0003106C">
        <w:rPr>
          <w:sz w:val="26"/>
          <w:szCs w:val="26"/>
        </w:rPr>
        <w:t xml:space="preserve">Ilgtspējīgas investīcijas nodrošina ekonomisko izaugsmi, vides </w:t>
      </w:r>
      <w:r w:rsidR="004B1F9B" w:rsidRPr="0003106C">
        <w:rPr>
          <w:sz w:val="26"/>
          <w:szCs w:val="26"/>
        </w:rPr>
        <w:t>ilgtspējī</w:t>
      </w:r>
      <w:r w:rsidR="00C47CDB" w:rsidRPr="0003106C">
        <w:rPr>
          <w:sz w:val="26"/>
          <w:szCs w:val="26"/>
        </w:rPr>
        <w:t>b</w:t>
      </w:r>
      <w:r w:rsidR="004B1F9B" w:rsidRPr="0003106C">
        <w:rPr>
          <w:sz w:val="26"/>
          <w:szCs w:val="26"/>
        </w:rPr>
        <w:t>u</w:t>
      </w:r>
      <w:r w:rsidR="00565855" w:rsidRPr="0003106C">
        <w:rPr>
          <w:sz w:val="26"/>
          <w:szCs w:val="26"/>
        </w:rPr>
        <w:t>, sabiedr</w:t>
      </w:r>
      <w:r w:rsidR="004B1F9B" w:rsidRPr="0003106C">
        <w:rPr>
          <w:sz w:val="26"/>
          <w:szCs w:val="26"/>
        </w:rPr>
        <w:t>ības attīstību, labu pārvaldību, tādejādi dodot ieguldījumu kopējā v</w:t>
      </w:r>
      <w:r w:rsidR="00565855" w:rsidRPr="0003106C">
        <w:rPr>
          <w:sz w:val="26"/>
          <w:szCs w:val="26"/>
        </w:rPr>
        <w:t xml:space="preserve">alsts ilgtspējīgā attīstībā. </w:t>
      </w:r>
      <w:r w:rsidR="004B1F9B" w:rsidRPr="0003106C">
        <w:rPr>
          <w:sz w:val="26"/>
          <w:szCs w:val="26"/>
        </w:rPr>
        <w:t>Pēdējos gados p</w:t>
      </w:r>
      <w:r w:rsidR="00565855" w:rsidRPr="0003106C">
        <w:rPr>
          <w:sz w:val="26"/>
          <w:szCs w:val="26"/>
        </w:rPr>
        <w:t>asaules valstis virzās no mērķa „pēc iespējas vairāk ĀTI” uz šo investīciju kvalitātes novērtēšanu.</w:t>
      </w:r>
    </w:p>
    <w:p w:rsidR="00565855" w:rsidRPr="0003106C" w:rsidRDefault="00565855" w:rsidP="00565855">
      <w:pPr>
        <w:pStyle w:val="ListParagraph"/>
        <w:autoSpaceDE w:val="0"/>
        <w:autoSpaceDN w:val="0"/>
        <w:spacing w:line="240" w:lineRule="auto"/>
        <w:ind w:left="0" w:firstLine="567"/>
        <w:contextualSpacing w:val="0"/>
        <w:jc w:val="both"/>
        <w:rPr>
          <w:rFonts w:ascii="Times New Roman" w:eastAsia="Times New Roman" w:hAnsi="Times New Roman"/>
          <w:sz w:val="26"/>
          <w:szCs w:val="26"/>
          <w:lang w:eastAsia="lv-LV"/>
        </w:rPr>
      </w:pPr>
      <w:r w:rsidRPr="0003106C">
        <w:rPr>
          <w:rFonts w:ascii="Times New Roman" w:eastAsia="Times New Roman" w:hAnsi="Times New Roman"/>
          <w:sz w:val="26"/>
          <w:szCs w:val="26"/>
          <w:lang w:eastAsia="lv-LV"/>
        </w:rPr>
        <w:t xml:space="preserve">Rietumeiropas valstu vidū investīciju piesaistē valda </w:t>
      </w:r>
      <w:r w:rsidR="004B1F9B" w:rsidRPr="0003106C">
        <w:rPr>
          <w:rFonts w:ascii="Times New Roman" w:eastAsia="Times New Roman" w:hAnsi="Times New Roman"/>
          <w:sz w:val="26"/>
          <w:szCs w:val="26"/>
          <w:lang w:eastAsia="lv-LV"/>
        </w:rPr>
        <w:t xml:space="preserve">uz konkrēta investora vajadzībām orientēta piedāvājuma sagatavošana, </w:t>
      </w:r>
      <w:r w:rsidRPr="0003106C">
        <w:rPr>
          <w:rFonts w:ascii="Times New Roman" w:eastAsia="Times New Roman" w:hAnsi="Times New Roman"/>
          <w:sz w:val="26"/>
          <w:szCs w:val="26"/>
          <w:lang w:eastAsia="lv-LV"/>
        </w:rPr>
        <w:t>kas nozīmē, ka pielāgošan</w:t>
      </w:r>
      <w:r w:rsidR="004B1F9B" w:rsidRPr="0003106C">
        <w:rPr>
          <w:rFonts w:ascii="Times New Roman" w:eastAsia="Times New Roman" w:hAnsi="Times New Roman"/>
          <w:sz w:val="26"/>
          <w:szCs w:val="26"/>
          <w:lang w:eastAsia="lv-LV"/>
        </w:rPr>
        <w:t>ās notiek katram investoram</w:t>
      </w:r>
      <w:r w:rsidR="00C47CDB" w:rsidRPr="0003106C">
        <w:rPr>
          <w:rFonts w:ascii="Times New Roman" w:eastAsia="Times New Roman" w:hAnsi="Times New Roman"/>
          <w:sz w:val="26"/>
          <w:szCs w:val="26"/>
          <w:lang w:eastAsia="lv-LV"/>
        </w:rPr>
        <w:t xml:space="preserve"> individuāli</w:t>
      </w:r>
      <w:r w:rsidR="004B1F9B" w:rsidRPr="0003106C">
        <w:rPr>
          <w:rFonts w:ascii="Times New Roman" w:eastAsia="Times New Roman" w:hAnsi="Times New Roman"/>
          <w:sz w:val="26"/>
          <w:szCs w:val="26"/>
          <w:lang w:eastAsia="lv-LV"/>
        </w:rPr>
        <w:t xml:space="preserve">, </w:t>
      </w:r>
      <w:r w:rsidRPr="0003106C">
        <w:rPr>
          <w:rFonts w:ascii="Times New Roman" w:eastAsia="Times New Roman" w:hAnsi="Times New Roman"/>
          <w:sz w:val="26"/>
          <w:szCs w:val="26"/>
          <w:lang w:eastAsia="lv-LV"/>
        </w:rPr>
        <w:t>piedāvā</w:t>
      </w:r>
      <w:r w:rsidR="004B1F9B" w:rsidRPr="0003106C">
        <w:rPr>
          <w:rFonts w:ascii="Times New Roman" w:eastAsia="Times New Roman" w:hAnsi="Times New Roman"/>
          <w:sz w:val="26"/>
          <w:szCs w:val="26"/>
          <w:lang w:eastAsia="lv-LV"/>
        </w:rPr>
        <w:t>jot</w:t>
      </w:r>
      <w:r w:rsidRPr="0003106C">
        <w:rPr>
          <w:rFonts w:ascii="Times New Roman" w:eastAsia="Times New Roman" w:hAnsi="Times New Roman"/>
          <w:sz w:val="26"/>
          <w:szCs w:val="26"/>
          <w:lang w:eastAsia="lv-LV"/>
        </w:rPr>
        <w:t xml:space="preserve"> tieši viņam nepieciešamo, vienlaikus izvērtējot šo investīciju tālāku attīstību, kas tādējādi sasaucas ar t.s. „</w:t>
      </w:r>
      <w:r w:rsidR="004B1F9B" w:rsidRPr="0003106C">
        <w:rPr>
          <w:rFonts w:ascii="Times New Roman" w:eastAsia="Times New Roman" w:hAnsi="Times New Roman"/>
          <w:sz w:val="26"/>
          <w:szCs w:val="26"/>
          <w:lang w:eastAsia="lv-LV"/>
        </w:rPr>
        <w:t xml:space="preserve">ceturtās </w:t>
      </w:r>
      <w:r w:rsidR="0041014B" w:rsidRPr="0003106C">
        <w:rPr>
          <w:rFonts w:ascii="Times New Roman" w:eastAsia="Times New Roman" w:hAnsi="Times New Roman"/>
          <w:sz w:val="26"/>
          <w:szCs w:val="26"/>
          <w:lang w:eastAsia="lv-LV"/>
        </w:rPr>
        <w:t>paaudzes” ĀTI</w:t>
      </w:r>
      <w:r w:rsidR="004B1F9B" w:rsidRPr="0003106C">
        <w:rPr>
          <w:rFonts w:ascii="Times New Roman" w:eastAsia="Times New Roman" w:hAnsi="Times New Roman"/>
          <w:sz w:val="26"/>
          <w:szCs w:val="26"/>
          <w:lang w:eastAsia="lv-LV"/>
        </w:rPr>
        <w:t xml:space="preserve"> piesaisti.</w:t>
      </w:r>
    </w:p>
    <w:p w:rsidR="00E06E94" w:rsidRPr="0003106C" w:rsidRDefault="0053373C" w:rsidP="00E06E94">
      <w:pPr>
        <w:spacing w:before="60"/>
        <w:ind w:firstLine="567"/>
        <w:jc w:val="both"/>
        <w:rPr>
          <w:sz w:val="26"/>
          <w:szCs w:val="26"/>
        </w:rPr>
      </w:pPr>
      <w:r w:rsidRPr="0003106C">
        <w:rPr>
          <w:sz w:val="26"/>
          <w:szCs w:val="26"/>
        </w:rPr>
        <w:t>Latvijas ĀTI piesaistes m</w:t>
      </w:r>
      <w:r w:rsidR="00E06E94" w:rsidRPr="0003106C">
        <w:rPr>
          <w:sz w:val="26"/>
          <w:szCs w:val="26"/>
        </w:rPr>
        <w:t>ārketinga pasākumu mērķis ir</w:t>
      </w:r>
      <w:r w:rsidR="0093041E" w:rsidRPr="0003106C">
        <w:rPr>
          <w:sz w:val="26"/>
          <w:szCs w:val="26"/>
        </w:rPr>
        <w:t xml:space="preserve"> </w:t>
      </w:r>
      <w:r w:rsidR="00E06E94" w:rsidRPr="0003106C">
        <w:rPr>
          <w:sz w:val="26"/>
          <w:szCs w:val="26"/>
        </w:rPr>
        <w:t xml:space="preserve">radīt interesi ārvalstu uzņēmējiem (stratēģiskajiem investoriem) un </w:t>
      </w:r>
      <w:r w:rsidR="00CA4418" w:rsidRPr="0003106C">
        <w:rPr>
          <w:sz w:val="26"/>
          <w:szCs w:val="26"/>
        </w:rPr>
        <w:t>uzņēmumu</w:t>
      </w:r>
      <w:r w:rsidR="00E06E94" w:rsidRPr="0003106C">
        <w:rPr>
          <w:sz w:val="26"/>
          <w:szCs w:val="26"/>
        </w:rPr>
        <w:t xml:space="preserve"> vadītājiem par iespējām izvietot Latvijā ražojošus vai eksportorientētus pakalpojumu uzņēmumus, pozicionēt Latviju kā izdevīgu vietu investīcijām, tādejādi nodrošinot jaunu ĀTI ieplūdi Latvijas ekonomikā.</w:t>
      </w:r>
      <w:r w:rsidR="00CA4418" w:rsidRPr="0003106C">
        <w:rPr>
          <w:sz w:val="26"/>
          <w:szCs w:val="26"/>
        </w:rPr>
        <w:t xml:space="preserve"> Atbilstoši tirgus prioritātei ir noteiktas mārketinga aktivitātes, kas tiks veiktas attiecīgajā mērķa valstu kategorijā.</w:t>
      </w:r>
    </w:p>
    <w:p w:rsidR="00463387" w:rsidRPr="0003106C" w:rsidRDefault="00E06E94" w:rsidP="00463387">
      <w:pPr>
        <w:spacing w:after="120"/>
        <w:ind w:firstLine="567"/>
        <w:jc w:val="both"/>
        <w:rPr>
          <w:sz w:val="26"/>
          <w:szCs w:val="26"/>
        </w:rPr>
      </w:pPr>
      <w:r w:rsidRPr="0003106C">
        <w:rPr>
          <w:sz w:val="26"/>
          <w:szCs w:val="26"/>
        </w:rPr>
        <w:t>Katrai no augsti prioritārajām un prioritārajām mērķa valstīm, veicot padziļinātu valsts analīzi</w:t>
      </w:r>
      <w:r w:rsidR="003C247C" w:rsidRPr="0003106C">
        <w:rPr>
          <w:sz w:val="26"/>
          <w:szCs w:val="26"/>
        </w:rPr>
        <w:t xml:space="preserve"> un potenciālo investoru identificēšanu</w:t>
      </w:r>
      <w:r w:rsidRPr="0003106C">
        <w:rPr>
          <w:sz w:val="26"/>
          <w:szCs w:val="26"/>
        </w:rPr>
        <w:t xml:space="preserve">, tiek sagatavots </w:t>
      </w:r>
      <w:r w:rsidRPr="0003106C">
        <w:rPr>
          <w:b/>
          <w:sz w:val="26"/>
          <w:szCs w:val="26"/>
        </w:rPr>
        <w:t>mārketinga plāns</w:t>
      </w:r>
      <w:r w:rsidRPr="0003106C">
        <w:rPr>
          <w:sz w:val="26"/>
          <w:szCs w:val="26"/>
        </w:rPr>
        <w:t>, kurā tiek noteikti kādi produkti, ar kādiem pasākumiem un/vai rīcībām un kam tiek piedāvāti</w:t>
      </w:r>
      <w:r w:rsidR="00BE2FD9" w:rsidRPr="0003106C">
        <w:rPr>
          <w:sz w:val="26"/>
          <w:szCs w:val="26"/>
        </w:rPr>
        <w:t>.</w:t>
      </w:r>
      <w:r w:rsidRPr="0003106C">
        <w:rPr>
          <w:sz w:val="26"/>
          <w:szCs w:val="26"/>
        </w:rPr>
        <w:t xml:space="preserve"> </w:t>
      </w:r>
      <w:r w:rsidR="003077C3" w:rsidRPr="0003106C">
        <w:rPr>
          <w:sz w:val="26"/>
          <w:szCs w:val="26"/>
        </w:rPr>
        <w:t xml:space="preserve">Investīciju nepieciešamību nosaka ne tikai vajadzība pēc papildus finanšu resursiem, bet arī iespēja papildināt Latvijas ekonomiku ar jaunām zināšanām un kompetencēm, ko sniedz stratēģisku investoru ienākšana, </w:t>
      </w:r>
      <w:r w:rsidR="0055626B" w:rsidRPr="0003106C">
        <w:rPr>
          <w:sz w:val="26"/>
          <w:szCs w:val="26"/>
        </w:rPr>
        <w:t xml:space="preserve">iespēja </w:t>
      </w:r>
      <w:r w:rsidR="003077C3" w:rsidRPr="0003106C">
        <w:rPr>
          <w:sz w:val="26"/>
          <w:szCs w:val="26"/>
        </w:rPr>
        <w:t>novērtēt sava uzņēmuma darbības aspektus, ko sniedz riska kapitāla iespēju izmantošana vai arī palielināt noieta un eksporta tirgu, piesaist</w:t>
      </w:r>
      <w:r w:rsidR="0055626B" w:rsidRPr="0003106C">
        <w:rPr>
          <w:sz w:val="26"/>
          <w:szCs w:val="26"/>
        </w:rPr>
        <w:t>ot</w:t>
      </w:r>
      <w:r w:rsidR="003077C3" w:rsidRPr="0003106C">
        <w:rPr>
          <w:sz w:val="26"/>
          <w:szCs w:val="26"/>
        </w:rPr>
        <w:t xml:space="preserve"> nozares vadošos, labas reputācijas starptautiskos uzņēmumus.</w:t>
      </w:r>
      <w:r w:rsidR="00FE47A4" w:rsidRPr="0003106C">
        <w:rPr>
          <w:sz w:val="26"/>
          <w:szCs w:val="26"/>
        </w:rPr>
        <w:t xml:space="preserve"> Mērķa auditorija ir</w:t>
      </w:r>
      <w:r w:rsidR="0093041E" w:rsidRPr="0003106C">
        <w:rPr>
          <w:sz w:val="26"/>
          <w:szCs w:val="26"/>
        </w:rPr>
        <w:t xml:space="preserve"> </w:t>
      </w:r>
      <w:r w:rsidR="003D1B69" w:rsidRPr="0003106C">
        <w:rPr>
          <w:sz w:val="26"/>
          <w:szCs w:val="26"/>
        </w:rPr>
        <w:t>l</w:t>
      </w:r>
      <w:r w:rsidR="00FE47A4" w:rsidRPr="0003106C">
        <w:rPr>
          <w:sz w:val="26"/>
          <w:szCs w:val="26"/>
        </w:rPr>
        <w:t>ēmumu pieņēmēji</w:t>
      </w:r>
      <w:r w:rsidR="00FE47A4" w:rsidRPr="0003106C">
        <w:rPr>
          <w:b/>
          <w:sz w:val="26"/>
          <w:szCs w:val="26"/>
        </w:rPr>
        <w:t xml:space="preserve"> – </w:t>
      </w:r>
      <w:r w:rsidR="00FE47A4" w:rsidRPr="0003106C">
        <w:rPr>
          <w:sz w:val="26"/>
          <w:szCs w:val="26"/>
        </w:rPr>
        <w:t xml:space="preserve">ĀTI piesaistes mērķa nozaru uzņēmēji mērķa valstīs – lielu un multinacionālu akciju sabiedrību vadītāji (valdes locekļi, izpilddirektori – </w:t>
      </w:r>
      <w:r w:rsidR="00FE47A4" w:rsidRPr="0003106C">
        <w:rPr>
          <w:i/>
          <w:sz w:val="26"/>
          <w:szCs w:val="26"/>
        </w:rPr>
        <w:t>chief executive officer</w:t>
      </w:r>
      <w:r w:rsidR="003D14CD" w:rsidRPr="0003106C">
        <w:rPr>
          <w:i/>
          <w:sz w:val="26"/>
          <w:szCs w:val="26"/>
        </w:rPr>
        <w:t>s</w:t>
      </w:r>
      <w:r w:rsidR="00FE47A4" w:rsidRPr="0003106C">
        <w:rPr>
          <w:sz w:val="26"/>
          <w:szCs w:val="26"/>
        </w:rPr>
        <w:t xml:space="preserve">), vidēju un lielu ģimenes uzņēmumu īpašnieki un attīstības struktūrvienību vadītāji (biznesa attīstības direktori – </w:t>
      </w:r>
      <w:r w:rsidR="00FE47A4" w:rsidRPr="0003106C">
        <w:rPr>
          <w:i/>
          <w:sz w:val="26"/>
          <w:szCs w:val="26"/>
        </w:rPr>
        <w:t>business development director</w:t>
      </w:r>
      <w:r w:rsidR="003D14CD" w:rsidRPr="0003106C">
        <w:rPr>
          <w:i/>
          <w:sz w:val="26"/>
          <w:szCs w:val="26"/>
        </w:rPr>
        <w:t>s</w:t>
      </w:r>
      <w:r w:rsidR="00FE47A4" w:rsidRPr="0003106C">
        <w:rPr>
          <w:sz w:val="26"/>
          <w:szCs w:val="26"/>
        </w:rPr>
        <w:t>), biznesa izvietošanas konsultanti (</w:t>
      </w:r>
      <w:r w:rsidR="00FE47A4" w:rsidRPr="0003106C">
        <w:rPr>
          <w:i/>
          <w:sz w:val="26"/>
          <w:szCs w:val="26"/>
        </w:rPr>
        <w:t>location consultants</w:t>
      </w:r>
      <w:r w:rsidR="00FE47A4" w:rsidRPr="0003106C">
        <w:rPr>
          <w:sz w:val="26"/>
          <w:szCs w:val="26"/>
        </w:rPr>
        <w:t xml:space="preserve">). </w:t>
      </w:r>
    </w:p>
    <w:p w:rsidR="00FE47A4" w:rsidRPr="0003106C" w:rsidRDefault="00FE47A4" w:rsidP="00FE47A4">
      <w:pPr>
        <w:ind w:firstLine="567"/>
        <w:jc w:val="both"/>
        <w:rPr>
          <w:sz w:val="26"/>
          <w:szCs w:val="26"/>
        </w:rPr>
      </w:pPr>
      <w:r w:rsidRPr="0003106C">
        <w:rPr>
          <w:sz w:val="26"/>
          <w:szCs w:val="26"/>
        </w:rPr>
        <w:lastRenderedPageBreak/>
        <w:t>Lai nodrošinātu efektīvu pieejamo resursu izlietošanu un ĀTI piesaistes procesu, jāpiesaista ārpakalpojumu sniedzēji – ārvalstu kompānijas, kas strādā ar investoriem un pārzina to intereses. Šādi ārpakalpojumu sniedzēji sagatavo potenciālo investoru sarakstus</w:t>
      </w:r>
      <w:r w:rsidR="006E5F39" w:rsidRPr="0003106C">
        <w:rPr>
          <w:sz w:val="26"/>
          <w:szCs w:val="26"/>
        </w:rPr>
        <w:t xml:space="preserve">, apzina </w:t>
      </w:r>
      <w:r w:rsidR="0041014B" w:rsidRPr="0003106C">
        <w:rPr>
          <w:sz w:val="26"/>
          <w:szCs w:val="26"/>
        </w:rPr>
        <w:t xml:space="preserve">to investīciju stratēģijas </w:t>
      </w:r>
      <w:r w:rsidRPr="0003106C">
        <w:rPr>
          <w:sz w:val="26"/>
          <w:szCs w:val="26"/>
        </w:rPr>
        <w:t>un nodod tos LIAA tālākai rīcībai. Savukārt LIAA</w:t>
      </w:r>
      <w:r w:rsidR="00CB25BC" w:rsidRPr="0003106C">
        <w:rPr>
          <w:sz w:val="26"/>
          <w:szCs w:val="26"/>
        </w:rPr>
        <w:t>, papildinot ar</w:t>
      </w:r>
      <w:r w:rsidRPr="0003106C">
        <w:rPr>
          <w:sz w:val="26"/>
          <w:szCs w:val="26"/>
        </w:rPr>
        <w:t xml:space="preserve"> </w:t>
      </w:r>
      <w:r w:rsidR="00DF4234" w:rsidRPr="0003106C">
        <w:rPr>
          <w:sz w:val="26"/>
          <w:szCs w:val="26"/>
        </w:rPr>
        <w:t>Latvijas Ārējo ekonomisk</w:t>
      </w:r>
      <w:r w:rsidR="002018B0" w:rsidRPr="0003106C">
        <w:rPr>
          <w:sz w:val="26"/>
          <w:szCs w:val="26"/>
        </w:rPr>
        <w:t>o</w:t>
      </w:r>
      <w:r w:rsidR="00DF4234" w:rsidRPr="0003106C">
        <w:rPr>
          <w:sz w:val="26"/>
          <w:szCs w:val="26"/>
        </w:rPr>
        <w:t xml:space="preserve"> pārstāvniecību darbinieku apzinātajiem potenciālajiem investoriem, </w:t>
      </w:r>
      <w:r w:rsidRPr="0003106C">
        <w:rPr>
          <w:sz w:val="26"/>
          <w:szCs w:val="26"/>
        </w:rPr>
        <w:t>sadarbībā ar ĀTI piesaistes procesa dalībniekiem to</w:t>
      </w:r>
      <w:r w:rsidR="0055626B" w:rsidRPr="0003106C">
        <w:rPr>
          <w:sz w:val="26"/>
          <w:szCs w:val="26"/>
        </w:rPr>
        <w:t>s</w:t>
      </w:r>
      <w:r w:rsidRPr="0003106C">
        <w:rPr>
          <w:sz w:val="26"/>
          <w:szCs w:val="26"/>
        </w:rPr>
        <w:t xml:space="preserve"> izvērtē un lemj par potenciālo investoru izvēli, uz kuriem tiek koncentrētas tālākās īpaši plānotās aktivitātes. </w:t>
      </w:r>
    </w:p>
    <w:p w:rsidR="00463387" w:rsidRPr="0003106C" w:rsidRDefault="00463387" w:rsidP="00463387">
      <w:pPr>
        <w:spacing w:before="60"/>
        <w:ind w:firstLine="567"/>
        <w:jc w:val="both"/>
        <w:rPr>
          <w:sz w:val="26"/>
          <w:szCs w:val="26"/>
        </w:rPr>
      </w:pPr>
      <w:r w:rsidRPr="0003106C">
        <w:rPr>
          <w:sz w:val="26"/>
          <w:szCs w:val="26"/>
        </w:rPr>
        <w:t xml:space="preserve">Mērķa nozares investīciju piedāvājums konkrētā mērķa valstī tiek nodots, īstenojot noteiktus mārketinga plāna pasākumus caur iepriekš izvēlētiem mārketinga kanāliem. </w:t>
      </w:r>
    </w:p>
    <w:p w:rsidR="00463387" w:rsidRPr="0003106C" w:rsidRDefault="00463387" w:rsidP="00463387">
      <w:pPr>
        <w:ind w:firstLine="567"/>
        <w:jc w:val="both"/>
        <w:rPr>
          <w:sz w:val="26"/>
          <w:szCs w:val="26"/>
        </w:rPr>
      </w:pPr>
      <w:r w:rsidRPr="0003106C">
        <w:rPr>
          <w:sz w:val="26"/>
          <w:szCs w:val="26"/>
        </w:rPr>
        <w:t>Galvenie pasākumi mārketinga aktivitāšu nodrošināšanai:</w:t>
      </w:r>
    </w:p>
    <w:p w:rsidR="00463387" w:rsidRPr="0003106C" w:rsidRDefault="00463387" w:rsidP="00463387">
      <w:pPr>
        <w:pStyle w:val="ListParagraph"/>
        <w:numPr>
          <w:ilvl w:val="0"/>
          <w:numId w:val="8"/>
        </w:numPr>
        <w:spacing w:after="200" w:line="240" w:lineRule="auto"/>
        <w:ind w:left="851" w:hanging="284"/>
        <w:jc w:val="both"/>
        <w:rPr>
          <w:rFonts w:ascii="Times New Roman" w:eastAsia="MS Mincho" w:hAnsi="Times New Roman"/>
          <w:sz w:val="26"/>
          <w:szCs w:val="26"/>
        </w:rPr>
      </w:pPr>
      <w:r w:rsidRPr="0003106C">
        <w:rPr>
          <w:rFonts w:ascii="Times New Roman" w:eastAsia="MS Mincho" w:hAnsi="Times New Roman"/>
          <w:sz w:val="26"/>
          <w:szCs w:val="26"/>
        </w:rPr>
        <w:t>izstrādāt ekonomiskās analīzes (</w:t>
      </w:r>
      <w:r w:rsidRPr="0003106C">
        <w:rPr>
          <w:rFonts w:ascii="Times New Roman" w:eastAsia="MS Mincho" w:hAnsi="Times New Roman"/>
          <w:i/>
          <w:sz w:val="26"/>
          <w:szCs w:val="26"/>
        </w:rPr>
        <w:t>feasibility</w:t>
      </w:r>
      <w:r w:rsidRPr="0003106C">
        <w:rPr>
          <w:rFonts w:ascii="Times New Roman" w:eastAsia="MS Mincho" w:hAnsi="Times New Roman"/>
          <w:sz w:val="26"/>
          <w:szCs w:val="26"/>
        </w:rPr>
        <w:t>) pētījumus par mērķa nozaru iespējamo attīstību, identificēt investīcijām pievilcīgākās un ekonomiski pamatotākās nišas un nozares;</w:t>
      </w:r>
    </w:p>
    <w:p w:rsidR="00463387" w:rsidRPr="0003106C" w:rsidRDefault="00463387" w:rsidP="00463387">
      <w:pPr>
        <w:pStyle w:val="ListParagraph"/>
        <w:numPr>
          <w:ilvl w:val="0"/>
          <w:numId w:val="8"/>
        </w:numPr>
        <w:spacing w:before="20" w:afterLines="20" w:after="48" w:line="240" w:lineRule="auto"/>
        <w:ind w:left="851" w:hanging="284"/>
        <w:jc w:val="both"/>
        <w:rPr>
          <w:rFonts w:ascii="Times New Roman" w:eastAsia="MS Mincho" w:hAnsi="Times New Roman"/>
          <w:sz w:val="26"/>
          <w:szCs w:val="26"/>
        </w:rPr>
      </w:pPr>
      <w:r w:rsidRPr="0003106C">
        <w:rPr>
          <w:rFonts w:ascii="Times New Roman" w:eastAsia="MS Mincho" w:hAnsi="Times New Roman"/>
          <w:sz w:val="26"/>
          <w:szCs w:val="26"/>
        </w:rPr>
        <w:t>izstrādāt un atjaunot informatīvos, vienota standarta, mārketinga materiālus par investīciju iespējām Latvijā (prezentācijas par investīciju iespējām, mērķa nozarēm Latvijā, ĀTI piesaistes procesu, faktu lapas, mērķa nozaru m</w:t>
      </w:r>
      <w:r w:rsidR="002018B0" w:rsidRPr="0003106C">
        <w:rPr>
          <w:rFonts w:ascii="Times New Roman" w:eastAsia="MS Mincho" w:hAnsi="Times New Roman"/>
          <w:sz w:val="26"/>
          <w:szCs w:val="26"/>
        </w:rPr>
        <w:t>ā</w:t>
      </w:r>
      <w:r w:rsidRPr="0003106C">
        <w:rPr>
          <w:rFonts w:ascii="Times New Roman" w:eastAsia="MS Mincho" w:hAnsi="Times New Roman"/>
          <w:sz w:val="26"/>
          <w:szCs w:val="26"/>
        </w:rPr>
        <w:t xml:space="preserve">rketinga brošūras); </w:t>
      </w:r>
    </w:p>
    <w:p w:rsidR="00463387" w:rsidRPr="0003106C" w:rsidRDefault="00463387" w:rsidP="00463387">
      <w:pPr>
        <w:pStyle w:val="ListParagraph"/>
        <w:numPr>
          <w:ilvl w:val="0"/>
          <w:numId w:val="8"/>
        </w:numPr>
        <w:spacing w:after="200" w:line="240" w:lineRule="auto"/>
        <w:ind w:left="851" w:hanging="284"/>
        <w:jc w:val="both"/>
        <w:rPr>
          <w:rFonts w:ascii="Times New Roman" w:hAnsi="Times New Roman"/>
          <w:sz w:val="26"/>
          <w:szCs w:val="26"/>
        </w:rPr>
      </w:pPr>
      <w:r w:rsidRPr="0003106C">
        <w:rPr>
          <w:rFonts w:ascii="Times New Roman" w:eastAsia="MS Mincho" w:hAnsi="Times New Roman"/>
          <w:sz w:val="26"/>
          <w:szCs w:val="26"/>
        </w:rPr>
        <w:t>mārketinga plānu izstrāde augsti prioritārajām un prioritārajām mērķa valstīm u.c.</w:t>
      </w:r>
    </w:p>
    <w:p w:rsidR="001C4D20" w:rsidRPr="0003106C" w:rsidRDefault="001C4D20" w:rsidP="00E06E94">
      <w:pPr>
        <w:ind w:firstLine="567"/>
        <w:jc w:val="both"/>
        <w:rPr>
          <w:sz w:val="26"/>
          <w:szCs w:val="26"/>
        </w:rPr>
      </w:pPr>
      <w:r w:rsidRPr="0003106C">
        <w:rPr>
          <w:sz w:val="26"/>
          <w:szCs w:val="26"/>
        </w:rPr>
        <w:t>Efektīvai ĀTI piesaistes rīcībai ārpakalpojumi piesaistāmi ne tikai potenciālo investoru identificēšan</w:t>
      </w:r>
      <w:r w:rsidR="0055626B" w:rsidRPr="0003106C">
        <w:rPr>
          <w:sz w:val="26"/>
          <w:szCs w:val="26"/>
        </w:rPr>
        <w:t>ā</w:t>
      </w:r>
      <w:r w:rsidRPr="0003106C">
        <w:rPr>
          <w:sz w:val="26"/>
          <w:szCs w:val="26"/>
        </w:rPr>
        <w:t>, bet arī to uzrunāšanā un piedāvājumu mārketēšanā.</w:t>
      </w:r>
    </w:p>
    <w:p w:rsidR="00E06E94" w:rsidRPr="0003106C" w:rsidRDefault="00E06E94" w:rsidP="00E06E94">
      <w:pPr>
        <w:ind w:firstLine="567"/>
        <w:jc w:val="both"/>
        <w:rPr>
          <w:sz w:val="26"/>
          <w:szCs w:val="26"/>
        </w:rPr>
      </w:pPr>
      <w:r w:rsidRPr="0003106C">
        <w:rPr>
          <w:sz w:val="26"/>
          <w:szCs w:val="26"/>
        </w:rPr>
        <w:t xml:space="preserve">Lai nodrošinātu ātru, efektīvu un korektu informācijas nodošanu, </w:t>
      </w:r>
      <w:r w:rsidR="00DF4234" w:rsidRPr="0003106C">
        <w:rPr>
          <w:sz w:val="26"/>
          <w:szCs w:val="26"/>
        </w:rPr>
        <w:t xml:space="preserve">izmantojami  </w:t>
      </w:r>
      <w:r w:rsidRPr="0003106C">
        <w:rPr>
          <w:sz w:val="26"/>
          <w:szCs w:val="26"/>
        </w:rPr>
        <w:t>šādi mārketinga kanāli:</w:t>
      </w:r>
    </w:p>
    <w:p w:rsidR="00E06E94" w:rsidRPr="0003106C" w:rsidRDefault="00E06E94" w:rsidP="007571BD">
      <w:pPr>
        <w:numPr>
          <w:ilvl w:val="0"/>
          <w:numId w:val="7"/>
        </w:numPr>
        <w:tabs>
          <w:tab w:val="clear" w:pos="1211"/>
        </w:tabs>
        <w:ind w:left="993" w:hanging="426"/>
        <w:jc w:val="both"/>
        <w:rPr>
          <w:sz w:val="26"/>
          <w:szCs w:val="26"/>
        </w:rPr>
      </w:pPr>
      <w:r w:rsidRPr="0003106C">
        <w:rPr>
          <w:sz w:val="26"/>
          <w:szCs w:val="26"/>
        </w:rPr>
        <w:t>masu mediji (prese, televīzija, internets);</w:t>
      </w:r>
    </w:p>
    <w:p w:rsidR="00E06E94" w:rsidRPr="0003106C" w:rsidRDefault="00E06E94" w:rsidP="007571BD">
      <w:pPr>
        <w:numPr>
          <w:ilvl w:val="0"/>
          <w:numId w:val="7"/>
        </w:numPr>
        <w:tabs>
          <w:tab w:val="clear" w:pos="1211"/>
        </w:tabs>
        <w:ind w:left="993" w:hanging="426"/>
        <w:jc w:val="both"/>
        <w:rPr>
          <w:sz w:val="26"/>
          <w:szCs w:val="26"/>
        </w:rPr>
      </w:pPr>
      <w:r w:rsidRPr="0003106C">
        <w:rPr>
          <w:sz w:val="26"/>
          <w:szCs w:val="26"/>
        </w:rPr>
        <w:t>sociālie tīkli internetā (</w:t>
      </w:r>
      <w:r w:rsidR="0050748E" w:rsidRPr="0003106C">
        <w:rPr>
          <w:sz w:val="26"/>
          <w:szCs w:val="26"/>
        </w:rPr>
        <w:t xml:space="preserve">Twitter, </w:t>
      </w:r>
      <w:r w:rsidRPr="0003106C">
        <w:rPr>
          <w:sz w:val="26"/>
          <w:szCs w:val="26"/>
        </w:rPr>
        <w:t>Facebook, LinkedIn, Plaxo u.c.);</w:t>
      </w:r>
    </w:p>
    <w:p w:rsidR="00E06E94" w:rsidRPr="0003106C" w:rsidRDefault="00E06E94" w:rsidP="007571BD">
      <w:pPr>
        <w:numPr>
          <w:ilvl w:val="0"/>
          <w:numId w:val="7"/>
        </w:numPr>
        <w:tabs>
          <w:tab w:val="clear" w:pos="1211"/>
        </w:tabs>
        <w:ind w:left="993" w:hanging="426"/>
        <w:jc w:val="both"/>
        <w:rPr>
          <w:sz w:val="26"/>
          <w:szCs w:val="26"/>
        </w:rPr>
      </w:pPr>
      <w:r w:rsidRPr="0003106C">
        <w:rPr>
          <w:sz w:val="26"/>
          <w:szCs w:val="26"/>
        </w:rPr>
        <w:t>semināri, specializētas konferences, investīciju izstādes, kontaktbiržas u.c. pasākumi uzņēmējiem;</w:t>
      </w:r>
    </w:p>
    <w:p w:rsidR="00DF4234" w:rsidRPr="0003106C" w:rsidRDefault="00E06E94" w:rsidP="00DF4234">
      <w:pPr>
        <w:numPr>
          <w:ilvl w:val="0"/>
          <w:numId w:val="7"/>
        </w:numPr>
        <w:tabs>
          <w:tab w:val="clear" w:pos="1211"/>
        </w:tabs>
        <w:ind w:left="993" w:hanging="426"/>
        <w:jc w:val="both"/>
        <w:rPr>
          <w:sz w:val="26"/>
          <w:szCs w:val="26"/>
        </w:rPr>
      </w:pPr>
      <w:r w:rsidRPr="0003106C">
        <w:rPr>
          <w:sz w:val="26"/>
          <w:szCs w:val="26"/>
        </w:rPr>
        <w:t>tiešais m</w:t>
      </w:r>
      <w:r w:rsidR="0055626B" w:rsidRPr="0003106C">
        <w:rPr>
          <w:sz w:val="26"/>
          <w:szCs w:val="26"/>
        </w:rPr>
        <w:t>ā</w:t>
      </w:r>
      <w:r w:rsidRPr="0003106C">
        <w:rPr>
          <w:sz w:val="26"/>
          <w:szCs w:val="26"/>
        </w:rPr>
        <w:t>rketings;</w:t>
      </w:r>
    </w:p>
    <w:p w:rsidR="00E06E94" w:rsidRPr="0003106C" w:rsidRDefault="00E06E94" w:rsidP="007571BD">
      <w:pPr>
        <w:numPr>
          <w:ilvl w:val="0"/>
          <w:numId w:val="7"/>
        </w:numPr>
        <w:tabs>
          <w:tab w:val="clear" w:pos="1211"/>
        </w:tabs>
        <w:ind w:left="993" w:hanging="426"/>
        <w:jc w:val="both"/>
        <w:rPr>
          <w:sz w:val="26"/>
          <w:szCs w:val="26"/>
        </w:rPr>
      </w:pPr>
      <w:r w:rsidRPr="0003106C">
        <w:rPr>
          <w:sz w:val="26"/>
          <w:szCs w:val="26"/>
        </w:rPr>
        <w:t>nevalstisko organizāciju, starpt</w:t>
      </w:r>
      <w:r w:rsidR="00CA4418" w:rsidRPr="0003106C">
        <w:rPr>
          <w:sz w:val="26"/>
          <w:szCs w:val="26"/>
        </w:rPr>
        <w:t>autiskie konsultāciju, advokātu</w:t>
      </w:r>
      <w:r w:rsidRPr="0003106C">
        <w:rPr>
          <w:sz w:val="26"/>
          <w:szCs w:val="26"/>
        </w:rPr>
        <w:t xml:space="preserve"> biroji;</w:t>
      </w:r>
    </w:p>
    <w:p w:rsidR="00E06E94" w:rsidRPr="0003106C" w:rsidRDefault="00BE2FD9" w:rsidP="007571BD">
      <w:pPr>
        <w:numPr>
          <w:ilvl w:val="0"/>
          <w:numId w:val="7"/>
        </w:numPr>
        <w:tabs>
          <w:tab w:val="clear" w:pos="1211"/>
        </w:tabs>
        <w:ind w:left="993" w:hanging="426"/>
        <w:jc w:val="both"/>
        <w:rPr>
          <w:sz w:val="26"/>
          <w:szCs w:val="26"/>
        </w:rPr>
      </w:pPr>
      <w:r w:rsidRPr="0003106C">
        <w:rPr>
          <w:sz w:val="26"/>
          <w:szCs w:val="26"/>
        </w:rPr>
        <w:t>augstu valsts amatpersonu vizītes</w:t>
      </w:r>
      <w:r w:rsidR="00E06E94" w:rsidRPr="0003106C">
        <w:rPr>
          <w:sz w:val="26"/>
          <w:szCs w:val="26"/>
        </w:rPr>
        <w:t>.</w:t>
      </w:r>
    </w:p>
    <w:p w:rsidR="00E06E94" w:rsidRPr="0003106C" w:rsidRDefault="00E06E94" w:rsidP="00E06E94">
      <w:pPr>
        <w:ind w:firstLine="567"/>
        <w:jc w:val="both"/>
        <w:rPr>
          <w:sz w:val="26"/>
          <w:szCs w:val="26"/>
        </w:rPr>
      </w:pPr>
    </w:p>
    <w:p w:rsidR="00323AB3" w:rsidRPr="0003106C" w:rsidRDefault="001D5761" w:rsidP="00323AB3">
      <w:pPr>
        <w:spacing w:after="120"/>
        <w:ind w:firstLine="567"/>
        <w:jc w:val="both"/>
        <w:rPr>
          <w:sz w:val="26"/>
          <w:szCs w:val="26"/>
        </w:rPr>
      </w:pPr>
      <w:r w:rsidRPr="0003106C">
        <w:rPr>
          <w:sz w:val="26"/>
          <w:szCs w:val="26"/>
        </w:rPr>
        <w:t xml:space="preserve">Latvijas tēls ārvalstu investoru acīs </w:t>
      </w:r>
      <w:r w:rsidR="00297239" w:rsidRPr="0003106C">
        <w:rPr>
          <w:sz w:val="26"/>
          <w:szCs w:val="26"/>
        </w:rPr>
        <w:t>nav izveidojies pietiekami pozitīvs un veiksmīgs</w:t>
      </w:r>
      <w:r w:rsidRPr="0003106C">
        <w:rPr>
          <w:sz w:val="26"/>
          <w:szCs w:val="26"/>
        </w:rPr>
        <w:t>, kā pamatā biežāk ir nevis objektīvi fakti, bet valsts institūciju nespēja izcelt tos aspektus, kas veido Latvijas konkurētspējas priekšrocīb</w:t>
      </w:r>
      <w:r w:rsidR="009F558F" w:rsidRPr="0003106C">
        <w:rPr>
          <w:sz w:val="26"/>
          <w:szCs w:val="26"/>
        </w:rPr>
        <w:t>as</w:t>
      </w:r>
      <w:r w:rsidRPr="0003106C">
        <w:rPr>
          <w:sz w:val="26"/>
          <w:szCs w:val="26"/>
        </w:rPr>
        <w:t>. Tādēļ ir jānodrošina</w:t>
      </w:r>
      <w:r w:rsidR="00BE5274" w:rsidRPr="0003106C">
        <w:rPr>
          <w:sz w:val="26"/>
          <w:szCs w:val="26"/>
        </w:rPr>
        <w:t xml:space="preserve"> viegli atrodamas</w:t>
      </w:r>
      <w:r w:rsidR="009F558F" w:rsidRPr="0003106C">
        <w:rPr>
          <w:sz w:val="26"/>
          <w:szCs w:val="26"/>
        </w:rPr>
        <w:t>,</w:t>
      </w:r>
      <w:r w:rsidRPr="0003106C">
        <w:rPr>
          <w:sz w:val="26"/>
          <w:szCs w:val="26"/>
        </w:rPr>
        <w:t xml:space="preserve"> o</w:t>
      </w:r>
      <w:r w:rsidR="009223FD" w:rsidRPr="0003106C">
        <w:rPr>
          <w:sz w:val="26"/>
          <w:szCs w:val="26"/>
        </w:rPr>
        <w:t>bjektīvas</w:t>
      </w:r>
      <w:r w:rsidR="009F558F" w:rsidRPr="0003106C">
        <w:rPr>
          <w:sz w:val="26"/>
          <w:szCs w:val="26"/>
        </w:rPr>
        <w:t>,</w:t>
      </w:r>
      <w:r w:rsidR="009223FD" w:rsidRPr="0003106C">
        <w:rPr>
          <w:sz w:val="26"/>
          <w:szCs w:val="26"/>
        </w:rPr>
        <w:t xml:space="preserve"> salīdzinošas un koncentrēti apkopotas informācijas pieejamība</w:t>
      </w:r>
      <w:r w:rsidR="00BE5274" w:rsidRPr="0003106C">
        <w:rPr>
          <w:sz w:val="26"/>
          <w:szCs w:val="26"/>
        </w:rPr>
        <w:t xml:space="preserve"> internetā </w:t>
      </w:r>
      <w:r w:rsidR="000D16B5" w:rsidRPr="0003106C">
        <w:rPr>
          <w:sz w:val="26"/>
          <w:szCs w:val="26"/>
        </w:rPr>
        <w:t>–</w:t>
      </w:r>
      <w:r w:rsidR="00F65DA2" w:rsidRPr="0003106C">
        <w:rPr>
          <w:sz w:val="26"/>
          <w:szCs w:val="26"/>
        </w:rPr>
        <w:t xml:space="preserve"> </w:t>
      </w:r>
      <w:r w:rsidR="00CA4418" w:rsidRPr="0003106C">
        <w:rPr>
          <w:sz w:val="26"/>
          <w:szCs w:val="26"/>
        </w:rPr>
        <w:t>Latvijas investīciju piesaistes mājas lap</w:t>
      </w:r>
      <w:r w:rsidR="009F558F" w:rsidRPr="0003106C">
        <w:rPr>
          <w:sz w:val="26"/>
          <w:szCs w:val="26"/>
        </w:rPr>
        <w:t>ā</w:t>
      </w:r>
      <w:r w:rsidR="00CA4418" w:rsidRPr="0003106C">
        <w:rPr>
          <w:sz w:val="26"/>
          <w:szCs w:val="26"/>
        </w:rPr>
        <w:t xml:space="preserve"> ar</w:t>
      </w:r>
      <w:r w:rsidR="0093041E" w:rsidRPr="0003106C">
        <w:rPr>
          <w:sz w:val="26"/>
          <w:szCs w:val="26"/>
        </w:rPr>
        <w:t xml:space="preserve"> </w:t>
      </w:r>
      <w:r w:rsidR="00102837" w:rsidRPr="0003106C">
        <w:rPr>
          <w:b/>
          <w:sz w:val="26"/>
          <w:szCs w:val="26"/>
        </w:rPr>
        <w:t>pamatinformāciju</w:t>
      </w:r>
      <w:r w:rsidR="001737B0" w:rsidRPr="0003106C">
        <w:rPr>
          <w:rStyle w:val="FootnoteReference"/>
          <w:b/>
          <w:sz w:val="26"/>
          <w:szCs w:val="26"/>
        </w:rPr>
        <w:footnoteReference w:id="34"/>
      </w:r>
      <w:r w:rsidR="00102837" w:rsidRPr="0003106C">
        <w:rPr>
          <w:b/>
          <w:sz w:val="26"/>
          <w:szCs w:val="26"/>
        </w:rPr>
        <w:t xml:space="preserve"> par </w:t>
      </w:r>
      <w:r w:rsidR="00C57F3F" w:rsidRPr="0003106C">
        <w:rPr>
          <w:b/>
          <w:sz w:val="26"/>
          <w:szCs w:val="26"/>
        </w:rPr>
        <w:t>Latvij</w:t>
      </w:r>
      <w:r w:rsidR="00102837" w:rsidRPr="0003106C">
        <w:rPr>
          <w:b/>
          <w:sz w:val="26"/>
          <w:szCs w:val="26"/>
        </w:rPr>
        <w:t>u</w:t>
      </w:r>
      <w:r w:rsidR="001B4DEE" w:rsidRPr="0003106C">
        <w:rPr>
          <w:sz w:val="26"/>
          <w:szCs w:val="26"/>
        </w:rPr>
        <w:t>, kas</w:t>
      </w:r>
      <w:r w:rsidR="009223FD" w:rsidRPr="0003106C">
        <w:rPr>
          <w:sz w:val="26"/>
          <w:szCs w:val="26"/>
        </w:rPr>
        <w:t xml:space="preserve"> </w:t>
      </w:r>
      <w:r w:rsidR="00A1525B" w:rsidRPr="0003106C">
        <w:rPr>
          <w:sz w:val="26"/>
          <w:szCs w:val="26"/>
        </w:rPr>
        <w:t>gan nodrošinātu investoriem viegli pieejamu</w:t>
      </w:r>
      <w:r w:rsidR="008726C3" w:rsidRPr="0003106C">
        <w:rPr>
          <w:sz w:val="26"/>
          <w:szCs w:val="26"/>
        </w:rPr>
        <w:t xml:space="preserve"> un uztveramu,</w:t>
      </w:r>
      <w:r w:rsidR="00A1525B" w:rsidRPr="0003106C">
        <w:rPr>
          <w:sz w:val="26"/>
          <w:szCs w:val="26"/>
        </w:rPr>
        <w:t xml:space="preserve"> detalizētu </w:t>
      </w:r>
      <w:r w:rsidR="008726C3" w:rsidRPr="0003106C">
        <w:rPr>
          <w:sz w:val="26"/>
          <w:szCs w:val="26"/>
        </w:rPr>
        <w:t xml:space="preserve">un regulāri aktualizētu </w:t>
      </w:r>
      <w:r w:rsidR="00A1525B" w:rsidRPr="0003106C">
        <w:rPr>
          <w:sz w:val="26"/>
          <w:szCs w:val="26"/>
        </w:rPr>
        <w:t>informāciju</w:t>
      </w:r>
      <w:r w:rsidR="009F558F" w:rsidRPr="0003106C">
        <w:rPr>
          <w:sz w:val="26"/>
          <w:szCs w:val="26"/>
        </w:rPr>
        <w:t>,</w:t>
      </w:r>
      <w:r w:rsidR="00A1525B" w:rsidRPr="0003106C">
        <w:rPr>
          <w:sz w:val="26"/>
          <w:szCs w:val="26"/>
        </w:rPr>
        <w:t xml:space="preserve"> kāpēc izvēlēties tieši Latviju </w:t>
      </w:r>
      <w:r w:rsidR="008726C3" w:rsidRPr="0003106C">
        <w:rPr>
          <w:sz w:val="26"/>
          <w:szCs w:val="26"/>
        </w:rPr>
        <w:t xml:space="preserve">– </w:t>
      </w:r>
      <w:r w:rsidR="00A1525B" w:rsidRPr="0003106C">
        <w:rPr>
          <w:sz w:val="26"/>
          <w:szCs w:val="26"/>
        </w:rPr>
        <w:t>par tās priekšrocībām, stiprajām pusēm, kā arī nosacījumiem</w:t>
      </w:r>
      <w:r w:rsidR="00323AB3" w:rsidRPr="0003106C">
        <w:rPr>
          <w:sz w:val="26"/>
          <w:szCs w:val="26"/>
        </w:rPr>
        <w:t>:</w:t>
      </w:r>
    </w:p>
    <w:p w:rsidR="003637FB" w:rsidRPr="0003106C" w:rsidRDefault="003637FB"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pamatinformācija par valsti, tai skaitā par ģeogrāfiski izdevīgo izvietojumu,  transporta infrastruktūru;</w:t>
      </w:r>
    </w:p>
    <w:p w:rsidR="00CB766D" w:rsidRPr="0003106C" w:rsidRDefault="00CB766D"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lastRenderedPageBreak/>
        <w:t xml:space="preserve">par nozarēm, to piedāvājumu un potenciālu; </w:t>
      </w:r>
    </w:p>
    <w:p w:rsidR="008726C3" w:rsidRPr="0003106C" w:rsidRDefault="008726C3"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industriālajām</w:t>
      </w:r>
      <w:r w:rsidR="008A12D2" w:rsidRPr="0003106C">
        <w:rPr>
          <w:rFonts w:ascii="Times New Roman" w:eastAsia="MS Mincho" w:hAnsi="Times New Roman"/>
          <w:sz w:val="26"/>
          <w:szCs w:val="26"/>
        </w:rPr>
        <w:t xml:space="preserve"> un tehnoloģiskajām</w:t>
      </w:r>
      <w:r w:rsidRPr="0003106C">
        <w:rPr>
          <w:rFonts w:ascii="Times New Roman" w:eastAsia="MS Mincho" w:hAnsi="Times New Roman"/>
          <w:sz w:val="26"/>
          <w:szCs w:val="26"/>
        </w:rPr>
        <w:t xml:space="preserve"> teritorijām visā Latvijā;</w:t>
      </w:r>
    </w:p>
    <w:p w:rsidR="008A12D2" w:rsidRPr="0003106C" w:rsidRDefault="00A70C4D"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 xml:space="preserve">brīvostām un </w:t>
      </w:r>
      <w:r w:rsidR="008A12D2" w:rsidRPr="0003106C">
        <w:rPr>
          <w:rFonts w:ascii="Times New Roman" w:eastAsia="MS Mincho" w:hAnsi="Times New Roman"/>
          <w:sz w:val="26"/>
          <w:szCs w:val="26"/>
        </w:rPr>
        <w:t>speciālaj</w:t>
      </w:r>
      <w:r w:rsidRPr="0003106C">
        <w:rPr>
          <w:rFonts w:ascii="Times New Roman" w:eastAsia="MS Mincho" w:hAnsi="Times New Roman"/>
          <w:sz w:val="26"/>
          <w:szCs w:val="26"/>
        </w:rPr>
        <w:t>ā</w:t>
      </w:r>
      <w:r w:rsidR="008A12D2" w:rsidRPr="0003106C">
        <w:rPr>
          <w:rFonts w:ascii="Times New Roman" w:eastAsia="MS Mincho" w:hAnsi="Times New Roman"/>
          <w:sz w:val="26"/>
          <w:szCs w:val="26"/>
        </w:rPr>
        <w:t>m ekonomiskajām zonām;</w:t>
      </w:r>
    </w:p>
    <w:p w:rsidR="008726C3" w:rsidRPr="0003106C" w:rsidRDefault="008726C3"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pieejamajiem industriāli apbūvējamajiem zemes gabaliem;</w:t>
      </w:r>
    </w:p>
    <w:p w:rsidR="004A4423" w:rsidRPr="0003106C" w:rsidRDefault="00D666C6"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 xml:space="preserve">par </w:t>
      </w:r>
      <w:r w:rsidR="001B4DEE" w:rsidRPr="0003106C">
        <w:rPr>
          <w:rFonts w:ascii="Times New Roman" w:eastAsia="MS Mincho" w:hAnsi="Times New Roman"/>
          <w:sz w:val="26"/>
          <w:szCs w:val="26"/>
        </w:rPr>
        <w:t>L</w:t>
      </w:r>
      <w:r w:rsidR="009223FD" w:rsidRPr="0003106C">
        <w:rPr>
          <w:rFonts w:ascii="Times New Roman" w:eastAsia="MS Mincho" w:hAnsi="Times New Roman"/>
          <w:sz w:val="26"/>
          <w:szCs w:val="26"/>
        </w:rPr>
        <w:t>atvijas</w:t>
      </w:r>
      <w:r w:rsidRPr="0003106C">
        <w:rPr>
          <w:rFonts w:ascii="Times New Roman" w:eastAsia="MS Mincho" w:hAnsi="Times New Roman"/>
          <w:sz w:val="26"/>
          <w:szCs w:val="26"/>
        </w:rPr>
        <w:t xml:space="preserve"> uzņēmējdarbības vidi</w:t>
      </w:r>
      <w:r w:rsidR="004A4423" w:rsidRPr="0003106C">
        <w:rPr>
          <w:rFonts w:ascii="Times New Roman" w:eastAsia="MS Mincho" w:hAnsi="Times New Roman"/>
          <w:sz w:val="26"/>
          <w:szCs w:val="26"/>
        </w:rPr>
        <w:t xml:space="preserve"> (nodokļiem, administratīvajām procedūr</w:t>
      </w:r>
      <w:r w:rsidR="001000A6" w:rsidRPr="0003106C">
        <w:rPr>
          <w:rFonts w:ascii="Times New Roman" w:eastAsia="MS Mincho" w:hAnsi="Times New Roman"/>
          <w:sz w:val="26"/>
          <w:szCs w:val="26"/>
        </w:rPr>
        <w:t>ām</w:t>
      </w:r>
      <w:r w:rsidR="008A12D2" w:rsidRPr="0003106C">
        <w:rPr>
          <w:rFonts w:ascii="Times New Roman" w:eastAsia="MS Mincho" w:hAnsi="Times New Roman"/>
          <w:sz w:val="26"/>
          <w:szCs w:val="26"/>
        </w:rPr>
        <w:t xml:space="preserve"> un prasībām</w:t>
      </w:r>
      <w:r w:rsidR="001000A6" w:rsidRPr="0003106C">
        <w:rPr>
          <w:rFonts w:ascii="Times New Roman" w:eastAsia="MS Mincho" w:hAnsi="Times New Roman"/>
          <w:sz w:val="26"/>
          <w:szCs w:val="26"/>
        </w:rPr>
        <w:t xml:space="preserve">, kas saistītas ar uzņēmuma </w:t>
      </w:r>
      <w:r w:rsidR="008A12D2" w:rsidRPr="0003106C">
        <w:rPr>
          <w:rFonts w:ascii="Times New Roman" w:eastAsia="MS Mincho" w:hAnsi="Times New Roman"/>
          <w:sz w:val="26"/>
          <w:szCs w:val="26"/>
        </w:rPr>
        <w:t>izveidi</w:t>
      </w:r>
      <w:r w:rsidR="0093041E" w:rsidRPr="0003106C">
        <w:rPr>
          <w:rFonts w:ascii="Times New Roman" w:eastAsia="MS Mincho" w:hAnsi="Times New Roman"/>
          <w:sz w:val="26"/>
          <w:szCs w:val="26"/>
        </w:rPr>
        <w:t xml:space="preserve"> </w:t>
      </w:r>
      <w:r w:rsidR="008726C3" w:rsidRPr="0003106C">
        <w:rPr>
          <w:rFonts w:ascii="Times New Roman" w:eastAsia="MS Mincho" w:hAnsi="Times New Roman"/>
          <w:sz w:val="26"/>
          <w:szCs w:val="26"/>
        </w:rPr>
        <w:t>u.c.</w:t>
      </w:r>
      <w:r w:rsidR="001000A6" w:rsidRPr="0003106C">
        <w:rPr>
          <w:rFonts w:ascii="Times New Roman" w:eastAsia="MS Mincho" w:hAnsi="Times New Roman"/>
          <w:sz w:val="26"/>
          <w:szCs w:val="26"/>
        </w:rPr>
        <w:t xml:space="preserve">) </w:t>
      </w:r>
      <w:r w:rsidR="004A4423" w:rsidRPr="0003106C">
        <w:rPr>
          <w:rFonts w:ascii="Times New Roman" w:eastAsia="MS Mincho" w:hAnsi="Times New Roman"/>
          <w:sz w:val="26"/>
          <w:szCs w:val="26"/>
        </w:rPr>
        <w:t>;</w:t>
      </w:r>
    </w:p>
    <w:p w:rsidR="001000A6" w:rsidRPr="0003106C" w:rsidRDefault="001000A6"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tiesiskajiem nosacījumiem;</w:t>
      </w:r>
    </w:p>
    <w:p w:rsidR="00102837" w:rsidRPr="0003106C" w:rsidRDefault="00102837"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resursiem</w:t>
      </w:r>
      <w:r w:rsidR="00812D60" w:rsidRPr="0003106C">
        <w:rPr>
          <w:rFonts w:ascii="Times New Roman" w:eastAsia="MS Mincho" w:hAnsi="Times New Roman"/>
          <w:sz w:val="26"/>
          <w:szCs w:val="26"/>
        </w:rPr>
        <w:t xml:space="preserve"> (dabas, darbasp</w:t>
      </w:r>
      <w:r w:rsidR="001000A6" w:rsidRPr="0003106C">
        <w:rPr>
          <w:rFonts w:ascii="Times New Roman" w:eastAsia="MS Mincho" w:hAnsi="Times New Roman"/>
          <w:sz w:val="26"/>
          <w:szCs w:val="26"/>
        </w:rPr>
        <w:t>ēks</w:t>
      </w:r>
      <w:r w:rsidR="00812D60" w:rsidRPr="0003106C">
        <w:rPr>
          <w:rFonts w:ascii="Times New Roman" w:eastAsia="MS Mincho" w:hAnsi="Times New Roman"/>
          <w:sz w:val="26"/>
          <w:szCs w:val="26"/>
        </w:rPr>
        <w:t>)</w:t>
      </w:r>
      <w:r w:rsidRPr="0003106C">
        <w:rPr>
          <w:rFonts w:ascii="Times New Roman" w:eastAsia="MS Mincho" w:hAnsi="Times New Roman"/>
          <w:sz w:val="26"/>
          <w:szCs w:val="26"/>
        </w:rPr>
        <w:t>;</w:t>
      </w:r>
    </w:p>
    <w:p w:rsidR="00812D60" w:rsidRPr="0003106C" w:rsidRDefault="00102837"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izglītības iestādēm</w:t>
      </w:r>
      <w:r w:rsidR="00812D60" w:rsidRPr="0003106C">
        <w:rPr>
          <w:rFonts w:ascii="Times New Roman" w:eastAsia="MS Mincho" w:hAnsi="Times New Roman"/>
          <w:sz w:val="26"/>
          <w:szCs w:val="26"/>
        </w:rPr>
        <w:t xml:space="preserve">  un to specializāciju, konkurētspēju starptautiskā mērogā;</w:t>
      </w:r>
    </w:p>
    <w:p w:rsidR="00102837" w:rsidRPr="0003106C" w:rsidRDefault="00812D60"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zinātniskajām institūcijām un to sasniegumiem</w:t>
      </w:r>
      <w:r w:rsidR="00102837" w:rsidRPr="0003106C">
        <w:rPr>
          <w:rFonts w:ascii="Times New Roman" w:eastAsia="MS Mincho" w:hAnsi="Times New Roman"/>
          <w:sz w:val="26"/>
          <w:szCs w:val="26"/>
        </w:rPr>
        <w:t>;</w:t>
      </w:r>
    </w:p>
    <w:p w:rsidR="00812D60" w:rsidRPr="0003106C" w:rsidRDefault="00812D60"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migrācijas politiku un iespējām nokārtot attiecīgās formalitātes;</w:t>
      </w:r>
    </w:p>
    <w:p w:rsidR="00812D60" w:rsidRPr="0003106C" w:rsidRDefault="00812D60"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labajiem piemēriem, veiksmes stāstiem;</w:t>
      </w:r>
    </w:p>
    <w:p w:rsidR="008A12D2" w:rsidRPr="0003106C" w:rsidRDefault="008A12D2"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LIAA sniegto pakalpojumu klāst</w:t>
      </w:r>
      <w:r w:rsidR="009F558F" w:rsidRPr="0003106C">
        <w:rPr>
          <w:rFonts w:ascii="Times New Roman" w:eastAsia="MS Mincho" w:hAnsi="Times New Roman"/>
          <w:sz w:val="26"/>
          <w:szCs w:val="26"/>
        </w:rPr>
        <w:t>u</w:t>
      </w:r>
      <w:r w:rsidRPr="0003106C">
        <w:rPr>
          <w:rFonts w:ascii="Times New Roman" w:eastAsia="MS Mincho" w:hAnsi="Times New Roman"/>
          <w:sz w:val="26"/>
          <w:szCs w:val="26"/>
        </w:rPr>
        <w:t>;</w:t>
      </w:r>
    </w:p>
    <w:p w:rsidR="00102837" w:rsidRPr="0003106C" w:rsidRDefault="00102837" w:rsidP="007571BD">
      <w:pPr>
        <w:pStyle w:val="EYNormal"/>
        <w:numPr>
          <w:ilvl w:val="0"/>
          <w:numId w:val="36"/>
        </w:numPr>
        <w:spacing w:after="0"/>
        <w:jc w:val="both"/>
        <w:rPr>
          <w:rFonts w:ascii="Times New Roman" w:eastAsia="MS Mincho" w:hAnsi="Times New Roman"/>
          <w:sz w:val="26"/>
          <w:szCs w:val="26"/>
        </w:rPr>
      </w:pPr>
      <w:r w:rsidRPr="0003106C">
        <w:rPr>
          <w:rFonts w:ascii="Times New Roman" w:eastAsia="MS Mincho" w:hAnsi="Times New Roman"/>
          <w:sz w:val="26"/>
          <w:szCs w:val="26"/>
        </w:rPr>
        <w:t xml:space="preserve">u.c. aspektiem, kas varētu būt nozīmīgi potenciālajiem ārvalstu investoriem. </w:t>
      </w:r>
    </w:p>
    <w:p w:rsidR="004A4423" w:rsidRPr="0003106C" w:rsidRDefault="004A4423" w:rsidP="00812D60">
      <w:pPr>
        <w:ind w:left="1211"/>
        <w:jc w:val="both"/>
        <w:rPr>
          <w:sz w:val="26"/>
          <w:szCs w:val="26"/>
        </w:rPr>
      </w:pPr>
    </w:p>
    <w:p w:rsidR="00CA4418" w:rsidRPr="0003106C" w:rsidRDefault="009223FD" w:rsidP="00EE7B34">
      <w:pPr>
        <w:spacing w:after="120"/>
        <w:ind w:firstLine="567"/>
        <w:jc w:val="both"/>
        <w:rPr>
          <w:sz w:val="26"/>
          <w:szCs w:val="26"/>
        </w:rPr>
      </w:pPr>
      <w:r w:rsidRPr="0003106C">
        <w:rPr>
          <w:b/>
          <w:sz w:val="26"/>
          <w:szCs w:val="26"/>
        </w:rPr>
        <w:t>LIAA atpazīstamība</w:t>
      </w:r>
      <w:r w:rsidRPr="0003106C">
        <w:rPr>
          <w:sz w:val="26"/>
          <w:szCs w:val="26"/>
        </w:rPr>
        <w:t xml:space="preserve"> ir </w:t>
      </w:r>
      <w:r w:rsidR="000D16B5" w:rsidRPr="0003106C">
        <w:rPr>
          <w:sz w:val="26"/>
          <w:szCs w:val="26"/>
        </w:rPr>
        <w:t>zemākā līmenī nekā vēlētos un ne vienmēr ā</w:t>
      </w:r>
      <w:r w:rsidRPr="0003106C">
        <w:rPr>
          <w:sz w:val="26"/>
          <w:szCs w:val="26"/>
        </w:rPr>
        <w:t xml:space="preserve">rvalstu investoriem </w:t>
      </w:r>
      <w:r w:rsidR="000D16B5" w:rsidRPr="0003106C">
        <w:rPr>
          <w:sz w:val="26"/>
          <w:szCs w:val="26"/>
        </w:rPr>
        <w:t>ir</w:t>
      </w:r>
      <w:r w:rsidRPr="0003106C">
        <w:rPr>
          <w:sz w:val="26"/>
          <w:szCs w:val="26"/>
        </w:rPr>
        <w:t xml:space="preserve"> skaidrs, ka LIAA ir pirmais komunikācijas kanāls, ar kuru tiem vajadzētu sazināties, ja tie vēlas </w:t>
      </w:r>
      <w:r w:rsidR="009F558F" w:rsidRPr="0003106C">
        <w:rPr>
          <w:sz w:val="26"/>
          <w:szCs w:val="26"/>
        </w:rPr>
        <w:t xml:space="preserve">veikt </w:t>
      </w:r>
      <w:r w:rsidRPr="0003106C">
        <w:rPr>
          <w:sz w:val="26"/>
          <w:szCs w:val="26"/>
        </w:rPr>
        <w:t>ieguldī</w:t>
      </w:r>
      <w:r w:rsidR="009F558F" w:rsidRPr="0003106C">
        <w:rPr>
          <w:sz w:val="26"/>
          <w:szCs w:val="26"/>
        </w:rPr>
        <w:t>jumus</w:t>
      </w:r>
      <w:r w:rsidRPr="0003106C">
        <w:rPr>
          <w:sz w:val="26"/>
          <w:szCs w:val="26"/>
        </w:rPr>
        <w:t xml:space="preserve"> La</w:t>
      </w:r>
      <w:r w:rsidR="000D16B5" w:rsidRPr="0003106C">
        <w:rPr>
          <w:sz w:val="26"/>
          <w:szCs w:val="26"/>
        </w:rPr>
        <w:t xml:space="preserve">tvijā. Līdz ar to ir nepieciešams </w:t>
      </w:r>
      <w:r w:rsidR="00CA4418" w:rsidRPr="0003106C">
        <w:rPr>
          <w:sz w:val="26"/>
          <w:szCs w:val="26"/>
        </w:rPr>
        <w:t xml:space="preserve">veikt </w:t>
      </w:r>
      <w:r w:rsidR="00477CF6" w:rsidRPr="0003106C">
        <w:rPr>
          <w:sz w:val="26"/>
          <w:szCs w:val="26"/>
        </w:rPr>
        <w:t xml:space="preserve">mērķtiecīgākus </w:t>
      </w:r>
      <w:r w:rsidR="00CA4418" w:rsidRPr="0003106C">
        <w:rPr>
          <w:sz w:val="26"/>
          <w:szCs w:val="26"/>
        </w:rPr>
        <w:t>pasākumus arī</w:t>
      </w:r>
      <w:r w:rsidR="000D16B5" w:rsidRPr="0003106C">
        <w:rPr>
          <w:sz w:val="26"/>
          <w:szCs w:val="26"/>
        </w:rPr>
        <w:t xml:space="preserve"> LIAA atpazīstamības veicināš</w:t>
      </w:r>
      <w:r w:rsidR="00527449" w:rsidRPr="0003106C">
        <w:rPr>
          <w:sz w:val="26"/>
          <w:szCs w:val="26"/>
        </w:rPr>
        <w:t>a</w:t>
      </w:r>
      <w:r w:rsidR="00CA4418" w:rsidRPr="0003106C">
        <w:rPr>
          <w:sz w:val="26"/>
          <w:szCs w:val="26"/>
        </w:rPr>
        <w:t>nai</w:t>
      </w:r>
      <w:r w:rsidR="000D16B5" w:rsidRPr="0003106C">
        <w:rPr>
          <w:sz w:val="26"/>
          <w:szCs w:val="26"/>
        </w:rPr>
        <w:t xml:space="preserve"> caur dažādiem mārketinga kanāliem</w:t>
      </w:r>
      <w:r w:rsidR="007604FD" w:rsidRPr="0003106C">
        <w:rPr>
          <w:sz w:val="26"/>
          <w:szCs w:val="26"/>
        </w:rPr>
        <w:t xml:space="preserve">, kā arī </w:t>
      </w:r>
      <w:r w:rsidR="009F558F" w:rsidRPr="0003106C">
        <w:rPr>
          <w:sz w:val="26"/>
          <w:szCs w:val="26"/>
        </w:rPr>
        <w:t>ir nepieciešams iesaistīt</w:t>
      </w:r>
      <w:r w:rsidR="007604FD" w:rsidRPr="0003106C">
        <w:rPr>
          <w:sz w:val="26"/>
          <w:szCs w:val="26"/>
        </w:rPr>
        <w:t xml:space="preserve"> </w:t>
      </w:r>
      <w:r w:rsidR="008A12D2" w:rsidRPr="0003106C">
        <w:rPr>
          <w:sz w:val="26"/>
          <w:szCs w:val="26"/>
        </w:rPr>
        <w:t xml:space="preserve">valsts </w:t>
      </w:r>
      <w:r w:rsidR="007604FD" w:rsidRPr="0003106C">
        <w:rPr>
          <w:sz w:val="26"/>
          <w:szCs w:val="26"/>
        </w:rPr>
        <w:t xml:space="preserve">institūcijas </w:t>
      </w:r>
      <w:r w:rsidR="008A12D2" w:rsidRPr="0003106C">
        <w:rPr>
          <w:sz w:val="26"/>
          <w:szCs w:val="26"/>
        </w:rPr>
        <w:t xml:space="preserve">un uzņēmējus  </w:t>
      </w:r>
      <w:r w:rsidR="007604FD" w:rsidRPr="0003106C">
        <w:rPr>
          <w:sz w:val="26"/>
          <w:szCs w:val="26"/>
        </w:rPr>
        <w:t>pārstāvošās organizācijas</w:t>
      </w:r>
      <w:r w:rsidR="000D16B5" w:rsidRPr="0003106C">
        <w:rPr>
          <w:sz w:val="26"/>
          <w:szCs w:val="26"/>
        </w:rPr>
        <w:t>.</w:t>
      </w:r>
      <w:r w:rsidR="00EE7B34" w:rsidRPr="0003106C">
        <w:rPr>
          <w:sz w:val="26"/>
          <w:szCs w:val="26"/>
        </w:rPr>
        <w:t xml:space="preserve"> </w:t>
      </w:r>
    </w:p>
    <w:p w:rsidR="008A12D2" w:rsidRPr="0003106C" w:rsidRDefault="003637FB" w:rsidP="008A12D2">
      <w:pPr>
        <w:spacing w:after="120"/>
        <w:ind w:firstLine="567"/>
        <w:jc w:val="both"/>
        <w:rPr>
          <w:sz w:val="26"/>
          <w:szCs w:val="26"/>
        </w:rPr>
      </w:pPr>
      <w:r w:rsidRPr="0003106C">
        <w:rPr>
          <w:sz w:val="26"/>
          <w:szCs w:val="26"/>
        </w:rPr>
        <w:t xml:space="preserve">Lai varētu noteikt iedarbīgākos un efektīvākos kanālus, kurus izmanto ārvalstu investori, iegūstot informāciju par Latviju, </w:t>
      </w:r>
      <w:r w:rsidR="008A12D2" w:rsidRPr="0003106C">
        <w:rPr>
          <w:sz w:val="26"/>
          <w:szCs w:val="26"/>
        </w:rPr>
        <w:t>LIAA ir jāizveido mārketinga un informācij</w:t>
      </w:r>
      <w:r w:rsidRPr="0003106C">
        <w:rPr>
          <w:sz w:val="26"/>
          <w:szCs w:val="26"/>
        </w:rPr>
        <w:t>as kanālu novērtēšanas process.</w:t>
      </w:r>
    </w:p>
    <w:p w:rsidR="006E5F39" w:rsidRPr="0003106C" w:rsidRDefault="006E5F39" w:rsidP="006E5F39">
      <w:pPr>
        <w:pStyle w:val="Heading2"/>
        <w:ind w:firstLine="567"/>
        <w:rPr>
          <w:rFonts w:ascii="Times New Roman" w:hAnsi="Times New Roman" w:cs="Times New Roman"/>
          <w:i w:val="0"/>
          <w:sz w:val="26"/>
          <w:szCs w:val="26"/>
        </w:rPr>
      </w:pPr>
      <w:bookmarkStart w:id="27" w:name="_Toc355961045"/>
      <w:r w:rsidRPr="0003106C">
        <w:rPr>
          <w:rFonts w:ascii="Times New Roman" w:hAnsi="Times New Roman" w:cs="Times New Roman"/>
          <w:i w:val="0"/>
          <w:sz w:val="26"/>
          <w:szCs w:val="26"/>
        </w:rPr>
        <w:t>4.3.</w:t>
      </w:r>
      <w:r w:rsidR="00926D4B" w:rsidRPr="0003106C">
        <w:rPr>
          <w:rFonts w:ascii="Times New Roman" w:hAnsi="Times New Roman" w:cs="Times New Roman"/>
          <w:i w:val="0"/>
          <w:sz w:val="26"/>
          <w:szCs w:val="26"/>
        </w:rPr>
        <w:t>8</w:t>
      </w:r>
      <w:r w:rsidRPr="0003106C">
        <w:rPr>
          <w:rFonts w:ascii="Times New Roman" w:hAnsi="Times New Roman" w:cs="Times New Roman"/>
          <w:i w:val="0"/>
          <w:sz w:val="26"/>
          <w:szCs w:val="26"/>
        </w:rPr>
        <w:t>. ĀTI piesaistes process 201</w:t>
      </w:r>
      <w:r w:rsidR="001E15C4" w:rsidRPr="0003106C">
        <w:rPr>
          <w:rFonts w:ascii="Times New Roman" w:hAnsi="Times New Roman" w:cs="Times New Roman"/>
          <w:i w:val="0"/>
          <w:sz w:val="26"/>
          <w:szCs w:val="26"/>
        </w:rPr>
        <w:t>3</w:t>
      </w:r>
      <w:r w:rsidR="00120390" w:rsidRPr="0003106C">
        <w:rPr>
          <w:rFonts w:ascii="Times New Roman" w:hAnsi="Times New Roman" w:cs="Times New Roman"/>
          <w:i w:val="0"/>
          <w:sz w:val="26"/>
          <w:szCs w:val="26"/>
        </w:rPr>
        <w:t>.-2015</w:t>
      </w:r>
      <w:r w:rsidRPr="0003106C">
        <w:rPr>
          <w:rFonts w:ascii="Times New Roman" w:hAnsi="Times New Roman" w:cs="Times New Roman"/>
          <w:i w:val="0"/>
          <w:sz w:val="26"/>
          <w:szCs w:val="26"/>
        </w:rPr>
        <w:t>.gadam</w:t>
      </w:r>
      <w:bookmarkEnd w:id="27"/>
    </w:p>
    <w:p w:rsidR="00E8496F" w:rsidRPr="0003106C" w:rsidRDefault="00E8496F" w:rsidP="00E8496F">
      <w:pPr>
        <w:ind w:firstLine="567"/>
        <w:jc w:val="both"/>
        <w:rPr>
          <w:sz w:val="26"/>
          <w:szCs w:val="26"/>
        </w:rPr>
      </w:pPr>
      <w:r w:rsidRPr="0003106C">
        <w:rPr>
          <w:sz w:val="26"/>
          <w:szCs w:val="26"/>
        </w:rPr>
        <w:t xml:space="preserve">Ņemot vērā ierobežotos cilvēku un finanšu resursus, </w:t>
      </w:r>
      <w:r w:rsidRPr="0003106C">
        <w:rPr>
          <w:sz w:val="26"/>
          <w:szCs w:val="26"/>
          <w:u w:val="single"/>
        </w:rPr>
        <w:t>ĀTI piesaisti 201</w:t>
      </w:r>
      <w:r w:rsidR="001E15C4" w:rsidRPr="0003106C">
        <w:rPr>
          <w:sz w:val="26"/>
          <w:szCs w:val="26"/>
          <w:u w:val="single"/>
        </w:rPr>
        <w:t>3</w:t>
      </w:r>
      <w:r w:rsidRPr="0003106C">
        <w:rPr>
          <w:sz w:val="26"/>
          <w:szCs w:val="26"/>
          <w:u w:val="single"/>
        </w:rPr>
        <w:t>.-2014.gadā</w:t>
      </w:r>
      <w:r w:rsidRPr="0003106C">
        <w:rPr>
          <w:sz w:val="26"/>
          <w:szCs w:val="26"/>
        </w:rPr>
        <w:t xml:space="preserve"> īsteno, piemērojot divu līmeņu stratēģiju:</w:t>
      </w:r>
    </w:p>
    <w:p w:rsidR="00E8496F" w:rsidRPr="0003106C" w:rsidRDefault="00E8496F" w:rsidP="00E8496F">
      <w:pPr>
        <w:pStyle w:val="ListParagraph"/>
        <w:numPr>
          <w:ilvl w:val="0"/>
          <w:numId w:val="11"/>
        </w:numPr>
        <w:spacing w:line="240" w:lineRule="auto"/>
        <w:ind w:left="709" w:hanging="283"/>
        <w:jc w:val="both"/>
        <w:rPr>
          <w:rFonts w:ascii="Times New Roman" w:hAnsi="Times New Roman"/>
          <w:sz w:val="26"/>
          <w:szCs w:val="26"/>
          <w:lang w:eastAsia="lv-LV"/>
        </w:rPr>
      </w:pPr>
      <w:r w:rsidRPr="0003106C">
        <w:rPr>
          <w:rFonts w:ascii="Times New Roman" w:hAnsi="Times New Roman"/>
          <w:sz w:val="26"/>
          <w:szCs w:val="26"/>
          <w:lang w:eastAsia="lv-LV"/>
        </w:rPr>
        <w:t>resursu un aktivitāšu koncentrēšana uz nelielu skaitu mērķa valstīm un atsevišķām mērķa nozarēm;</w:t>
      </w:r>
    </w:p>
    <w:p w:rsidR="00E8496F" w:rsidRPr="0003106C" w:rsidRDefault="00E8496F" w:rsidP="00E8496F">
      <w:pPr>
        <w:pStyle w:val="ListParagraph"/>
        <w:numPr>
          <w:ilvl w:val="0"/>
          <w:numId w:val="11"/>
        </w:numPr>
        <w:spacing w:line="240" w:lineRule="auto"/>
        <w:ind w:left="709" w:hanging="283"/>
        <w:jc w:val="both"/>
        <w:rPr>
          <w:rFonts w:ascii="Times New Roman" w:hAnsi="Times New Roman"/>
          <w:sz w:val="26"/>
          <w:szCs w:val="26"/>
          <w:lang w:eastAsia="lv-LV"/>
        </w:rPr>
      </w:pPr>
      <w:r w:rsidRPr="0003106C">
        <w:rPr>
          <w:rFonts w:ascii="Times New Roman" w:hAnsi="Times New Roman"/>
          <w:sz w:val="26"/>
          <w:szCs w:val="26"/>
          <w:lang w:eastAsia="lv-LV"/>
        </w:rPr>
        <w:t>pārējās noteiktās pamata ĀTI piesaistes aktivitātes īsteno – pieejamo resursu un iespēju ietvaros.</w:t>
      </w:r>
    </w:p>
    <w:p w:rsidR="006E5F39" w:rsidRPr="0003106C" w:rsidRDefault="00E8496F" w:rsidP="006E5F39">
      <w:pPr>
        <w:keepNext/>
        <w:ind w:firstLine="567"/>
        <w:jc w:val="both"/>
        <w:rPr>
          <w:sz w:val="26"/>
          <w:szCs w:val="26"/>
        </w:rPr>
      </w:pPr>
      <w:r w:rsidRPr="0003106C">
        <w:rPr>
          <w:sz w:val="26"/>
          <w:szCs w:val="26"/>
        </w:rPr>
        <w:t>A</w:t>
      </w:r>
      <w:r w:rsidR="006E5F39" w:rsidRPr="0003106C">
        <w:rPr>
          <w:sz w:val="26"/>
          <w:szCs w:val="26"/>
        </w:rPr>
        <w:t>ktivitātes, kas tiek īstenotas piemērojot ĀTI piesaistes procesu un veicot noteiktas mārketinga aktivitātes, tiek koncentrētas attiecībā uz šādām prioritārām valstīm:</w:t>
      </w:r>
    </w:p>
    <w:p w:rsidR="006E5F39" w:rsidRPr="0003106C" w:rsidRDefault="006E5F39" w:rsidP="006E5F39">
      <w:pPr>
        <w:pStyle w:val="ListParagraph"/>
        <w:numPr>
          <w:ilvl w:val="0"/>
          <w:numId w:val="12"/>
        </w:numPr>
        <w:spacing w:line="240" w:lineRule="auto"/>
        <w:ind w:left="993" w:hanging="284"/>
        <w:contextualSpacing w:val="0"/>
        <w:rPr>
          <w:rFonts w:ascii="Times New Roman" w:eastAsia="MS Mincho" w:hAnsi="Times New Roman"/>
          <w:sz w:val="26"/>
          <w:szCs w:val="26"/>
          <w:lang w:eastAsia="ja-JP"/>
        </w:rPr>
      </w:pPr>
      <w:r w:rsidRPr="0003106C">
        <w:rPr>
          <w:rFonts w:ascii="Times New Roman" w:eastAsia="MS Mincho" w:hAnsi="Times New Roman"/>
          <w:sz w:val="26"/>
          <w:szCs w:val="26"/>
          <w:lang w:eastAsia="ja-JP"/>
        </w:rPr>
        <w:t>Ziemeļvalstis;</w:t>
      </w:r>
    </w:p>
    <w:p w:rsidR="006E5F39" w:rsidRPr="0003106C" w:rsidRDefault="006E5F39" w:rsidP="006E5F39">
      <w:pPr>
        <w:pStyle w:val="ListParagraph"/>
        <w:numPr>
          <w:ilvl w:val="0"/>
          <w:numId w:val="12"/>
        </w:numPr>
        <w:spacing w:line="240" w:lineRule="auto"/>
        <w:ind w:left="993" w:hanging="284"/>
        <w:contextualSpacing w:val="0"/>
        <w:rPr>
          <w:rFonts w:ascii="Times New Roman" w:eastAsia="MS Mincho" w:hAnsi="Times New Roman"/>
          <w:sz w:val="26"/>
          <w:szCs w:val="26"/>
          <w:lang w:eastAsia="ja-JP"/>
        </w:rPr>
      </w:pPr>
      <w:r w:rsidRPr="0003106C">
        <w:rPr>
          <w:rFonts w:ascii="Times New Roman" w:eastAsia="MS Mincho" w:hAnsi="Times New Roman"/>
          <w:sz w:val="26"/>
          <w:szCs w:val="26"/>
          <w:lang w:eastAsia="ja-JP"/>
        </w:rPr>
        <w:t>Vācija;</w:t>
      </w:r>
    </w:p>
    <w:p w:rsidR="006E5F39" w:rsidRPr="0003106C" w:rsidRDefault="006E5F39" w:rsidP="006E5F39">
      <w:pPr>
        <w:pStyle w:val="ListParagraph"/>
        <w:numPr>
          <w:ilvl w:val="0"/>
          <w:numId w:val="12"/>
        </w:numPr>
        <w:spacing w:line="240" w:lineRule="auto"/>
        <w:ind w:left="993" w:hanging="284"/>
        <w:contextualSpacing w:val="0"/>
        <w:rPr>
          <w:rFonts w:ascii="Times New Roman" w:eastAsia="MS Mincho" w:hAnsi="Times New Roman"/>
          <w:sz w:val="26"/>
          <w:szCs w:val="26"/>
          <w:lang w:eastAsia="ja-JP"/>
        </w:rPr>
      </w:pPr>
      <w:r w:rsidRPr="0003106C">
        <w:rPr>
          <w:rFonts w:ascii="Times New Roman" w:eastAsia="MS Mincho" w:hAnsi="Times New Roman"/>
          <w:sz w:val="26"/>
          <w:szCs w:val="26"/>
          <w:lang w:eastAsia="ja-JP"/>
        </w:rPr>
        <w:t>Apvienotā Karaliste.</w:t>
      </w:r>
    </w:p>
    <w:p w:rsidR="006E5F39" w:rsidRPr="0003106C" w:rsidRDefault="006E5F39" w:rsidP="006E5F39">
      <w:pPr>
        <w:pStyle w:val="ListParagraph"/>
        <w:spacing w:line="240" w:lineRule="auto"/>
        <w:ind w:left="993"/>
        <w:contextualSpacing w:val="0"/>
        <w:rPr>
          <w:rFonts w:ascii="Times New Roman" w:eastAsia="MS Mincho" w:hAnsi="Times New Roman"/>
          <w:sz w:val="26"/>
          <w:szCs w:val="26"/>
          <w:lang w:eastAsia="ja-JP"/>
        </w:rPr>
      </w:pPr>
    </w:p>
    <w:p w:rsidR="006E5F39" w:rsidRPr="0003106C" w:rsidRDefault="006E5F39" w:rsidP="006E5F39">
      <w:pPr>
        <w:ind w:firstLine="567"/>
        <w:jc w:val="both"/>
        <w:rPr>
          <w:sz w:val="26"/>
          <w:szCs w:val="26"/>
        </w:rPr>
      </w:pPr>
      <w:r w:rsidRPr="0003106C">
        <w:rPr>
          <w:sz w:val="26"/>
          <w:szCs w:val="26"/>
        </w:rPr>
        <w:t>Mērķa nozares un jomas, kurās tiek sagatavoti/attīstīti piedāvājumi un tie</w:t>
      </w:r>
      <w:r w:rsidR="002018B0" w:rsidRPr="0003106C">
        <w:rPr>
          <w:sz w:val="26"/>
          <w:szCs w:val="26"/>
        </w:rPr>
        <w:t>k</w:t>
      </w:r>
      <w:r w:rsidRPr="0003106C">
        <w:rPr>
          <w:sz w:val="26"/>
          <w:szCs w:val="26"/>
        </w:rPr>
        <w:t xml:space="preserve"> aktīvi piedāvāti ārvalstu investoriem</w:t>
      </w:r>
      <w:r w:rsidR="009E1DE5" w:rsidRPr="0003106C">
        <w:rPr>
          <w:sz w:val="26"/>
          <w:szCs w:val="26"/>
        </w:rPr>
        <w:t>,</w:t>
      </w:r>
      <w:r w:rsidRPr="0003106C">
        <w:rPr>
          <w:sz w:val="26"/>
          <w:szCs w:val="26"/>
        </w:rPr>
        <w:t xml:space="preserve"> ir metālapstrāde un mašīnbūve, kokrūpniecība un informācijas tehnoloģijas, tai skaitā </w:t>
      </w:r>
      <w:r w:rsidR="00572F92" w:rsidRPr="0003106C">
        <w:rPr>
          <w:sz w:val="26"/>
          <w:szCs w:val="26"/>
        </w:rPr>
        <w:t xml:space="preserve">globālie biznesa pakalpojumi –  ārpakalpojumu centru </w:t>
      </w:r>
      <w:r w:rsidR="009E3CF6" w:rsidRPr="0003106C">
        <w:rPr>
          <w:sz w:val="26"/>
          <w:szCs w:val="26"/>
        </w:rPr>
        <w:t>(</w:t>
      </w:r>
      <w:r w:rsidR="009E3CF6" w:rsidRPr="0003106C">
        <w:rPr>
          <w:i/>
          <w:sz w:val="26"/>
          <w:szCs w:val="26"/>
        </w:rPr>
        <w:t xml:space="preserve">„business process outsourcing”) </w:t>
      </w:r>
      <w:r w:rsidR="00572F92" w:rsidRPr="0003106C">
        <w:rPr>
          <w:sz w:val="26"/>
          <w:szCs w:val="26"/>
        </w:rPr>
        <w:t>un dalīto pakalpojumu centru</w:t>
      </w:r>
      <w:r w:rsidRPr="0003106C">
        <w:rPr>
          <w:i/>
          <w:sz w:val="26"/>
          <w:szCs w:val="26"/>
        </w:rPr>
        <w:t xml:space="preserve"> </w:t>
      </w:r>
      <w:r w:rsidRPr="0003106C">
        <w:rPr>
          <w:sz w:val="26"/>
          <w:szCs w:val="26"/>
        </w:rPr>
        <w:t>(</w:t>
      </w:r>
      <w:r w:rsidRPr="0003106C">
        <w:rPr>
          <w:i/>
          <w:sz w:val="26"/>
          <w:szCs w:val="26"/>
        </w:rPr>
        <w:t>„shared service</w:t>
      </w:r>
      <w:r w:rsidR="001335B2" w:rsidRPr="0003106C">
        <w:rPr>
          <w:i/>
          <w:sz w:val="26"/>
          <w:szCs w:val="26"/>
        </w:rPr>
        <w:t xml:space="preserve"> </w:t>
      </w:r>
      <w:r w:rsidRPr="0003106C">
        <w:rPr>
          <w:i/>
          <w:sz w:val="26"/>
          <w:szCs w:val="26"/>
        </w:rPr>
        <w:t>center”)</w:t>
      </w:r>
      <w:r w:rsidRPr="0003106C">
        <w:rPr>
          <w:sz w:val="26"/>
          <w:szCs w:val="26"/>
        </w:rPr>
        <w:t xml:space="preserve"> izveide.</w:t>
      </w:r>
    </w:p>
    <w:p w:rsidR="006E5F39" w:rsidRPr="0003106C" w:rsidRDefault="006E5F39" w:rsidP="006E5F39">
      <w:pPr>
        <w:ind w:firstLine="567"/>
        <w:jc w:val="both"/>
        <w:rPr>
          <w:sz w:val="26"/>
          <w:szCs w:val="26"/>
        </w:rPr>
      </w:pPr>
      <w:r w:rsidRPr="0003106C">
        <w:rPr>
          <w:sz w:val="26"/>
          <w:szCs w:val="26"/>
        </w:rPr>
        <w:t>Lai nodrošinātu esošā ĀTI piesaistes procesa efektivitāti prioritārajās valstīs, nepieciešams palielināt ar investīciju piesaisti saistīto attiecīgo Latvijas Ārēj</w:t>
      </w:r>
      <w:r w:rsidR="002018B0" w:rsidRPr="0003106C">
        <w:rPr>
          <w:sz w:val="26"/>
          <w:szCs w:val="26"/>
        </w:rPr>
        <w:t>o</w:t>
      </w:r>
      <w:r w:rsidRPr="0003106C">
        <w:rPr>
          <w:sz w:val="26"/>
          <w:szCs w:val="26"/>
        </w:rPr>
        <w:t xml:space="preserve"> </w:t>
      </w:r>
      <w:r w:rsidRPr="0003106C">
        <w:rPr>
          <w:sz w:val="26"/>
          <w:szCs w:val="26"/>
        </w:rPr>
        <w:lastRenderedPageBreak/>
        <w:t>ekonomisk</w:t>
      </w:r>
      <w:r w:rsidR="002018B0" w:rsidRPr="0003106C">
        <w:rPr>
          <w:sz w:val="26"/>
          <w:szCs w:val="26"/>
        </w:rPr>
        <w:t>o</w:t>
      </w:r>
      <w:r w:rsidRPr="0003106C">
        <w:rPr>
          <w:sz w:val="26"/>
          <w:szCs w:val="26"/>
        </w:rPr>
        <w:t xml:space="preserve"> pārstāvniecību aktivitāšu apjomu, vienlaikus izvērtējot kapacitātes stiprināšanas iespējas tajās un piesaist</w:t>
      </w:r>
      <w:r w:rsidR="009E1DE5" w:rsidRPr="0003106C">
        <w:rPr>
          <w:sz w:val="26"/>
          <w:szCs w:val="26"/>
        </w:rPr>
        <w:t>ot</w:t>
      </w:r>
      <w:r w:rsidRPr="0003106C">
        <w:rPr>
          <w:sz w:val="26"/>
          <w:szCs w:val="26"/>
        </w:rPr>
        <w:t xml:space="preserve"> ārvalstu kompāniju sniegtos ārpakalpojumus potenciālo investoru identificēšanai, mārketinga plānu izstrād</w:t>
      </w:r>
      <w:r w:rsidR="009E1DE5" w:rsidRPr="0003106C">
        <w:rPr>
          <w:sz w:val="26"/>
          <w:szCs w:val="26"/>
        </w:rPr>
        <w:t>ei</w:t>
      </w:r>
      <w:r w:rsidRPr="0003106C">
        <w:rPr>
          <w:sz w:val="26"/>
          <w:szCs w:val="26"/>
        </w:rPr>
        <w:t xml:space="preserve"> un mārketinga aktivitāšu īstenošan</w:t>
      </w:r>
      <w:r w:rsidR="009E1DE5" w:rsidRPr="0003106C">
        <w:rPr>
          <w:sz w:val="26"/>
          <w:szCs w:val="26"/>
        </w:rPr>
        <w:t>ai</w:t>
      </w:r>
      <w:r w:rsidRPr="0003106C">
        <w:rPr>
          <w:sz w:val="26"/>
          <w:szCs w:val="26"/>
        </w:rPr>
        <w:t xml:space="preserve">. </w:t>
      </w:r>
    </w:p>
    <w:p w:rsidR="003637FB" w:rsidRPr="0003106C" w:rsidRDefault="003637FB" w:rsidP="008A12D2">
      <w:pPr>
        <w:spacing w:after="120"/>
        <w:ind w:firstLine="567"/>
        <w:jc w:val="both"/>
        <w:rPr>
          <w:sz w:val="26"/>
          <w:szCs w:val="26"/>
        </w:rPr>
      </w:pPr>
    </w:p>
    <w:p w:rsidR="0062098C" w:rsidRPr="0003106C" w:rsidRDefault="0062098C" w:rsidP="0062098C">
      <w:pPr>
        <w:pStyle w:val="Heading2"/>
        <w:ind w:firstLine="567"/>
        <w:rPr>
          <w:rFonts w:ascii="Times New Roman" w:hAnsi="Times New Roman" w:cs="Times New Roman"/>
          <w:i w:val="0"/>
          <w:sz w:val="26"/>
          <w:szCs w:val="26"/>
        </w:rPr>
      </w:pPr>
      <w:bookmarkStart w:id="28" w:name="_Toc355961046"/>
      <w:r w:rsidRPr="0003106C">
        <w:rPr>
          <w:rFonts w:ascii="Times New Roman" w:hAnsi="Times New Roman" w:cs="Times New Roman"/>
          <w:i w:val="0"/>
          <w:sz w:val="26"/>
          <w:szCs w:val="26"/>
        </w:rPr>
        <w:t>4.3.</w:t>
      </w:r>
      <w:r w:rsidR="00926D4B" w:rsidRPr="0003106C">
        <w:rPr>
          <w:rFonts w:ascii="Times New Roman" w:hAnsi="Times New Roman" w:cs="Times New Roman"/>
          <w:i w:val="0"/>
          <w:sz w:val="26"/>
          <w:szCs w:val="26"/>
        </w:rPr>
        <w:t>9</w:t>
      </w:r>
      <w:r w:rsidRPr="0003106C">
        <w:rPr>
          <w:rFonts w:ascii="Times New Roman" w:hAnsi="Times New Roman" w:cs="Times New Roman"/>
          <w:i w:val="0"/>
          <w:sz w:val="26"/>
          <w:szCs w:val="26"/>
        </w:rPr>
        <w:t>. Investīciju projektu pēcapkalpošana</w:t>
      </w:r>
      <w:bookmarkEnd w:id="28"/>
      <w:r w:rsidRPr="0003106C">
        <w:rPr>
          <w:rFonts w:ascii="Times New Roman" w:hAnsi="Times New Roman" w:cs="Times New Roman"/>
          <w:i w:val="0"/>
          <w:sz w:val="26"/>
          <w:szCs w:val="26"/>
        </w:rPr>
        <w:t xml:space="preserve"> </w:t>
      </w:r>
    </w:p>
    <w:p w:rsidR="000C69ED" w:rsidRPr="0003106C" w:rsidRDefault="000C69ED" w:rsidP="000C69ED">
      <w:pPr>
        <w:spacing w:after="120"/>
        <w:ind w:firstLine="567"/>
        <w:jc w:val="both"/>
        <w:rPr>
          <w:sz w:val="26"/>
          <w:szCs w:val="26"/>
        </w:rPr>
      </w:pPr>
      <w:bookmarkStart w:id="29" w:name="_Toc305487034"/>
      <w:r w:rsidRPr="0003106C">
        <w:rPr>
          <w:sz w:val="26"/>
          <w:szCs w:val="26"/>
        </w:rPr>
        <w:t>Latvijā īstenoto ĀTI projektu pēcapkalpošanai ir būtiska loma, jo efektīvāk ir piesaistīt investīcijas no investoriem, kuri jau veiksmīgi darbojas Latvijā. Latvijā investējušie investori ir arī labākais mārketinga kanāls citu jaunu investīciju projektu piesaistei, tāpēc būtiski nodrošināt regulāru, vismaz 1-2 reizes gadā, investīciju projektu īstenošanas gaitas apzināšanu, investoru viedokļa noskaidrošanu par projekta īstenošanas pozitīvajiem un negatīvajiem aspektiem, turpmāk nepieciešamo atbalstu, investora iespējamiem nākotnes plāniem jaunu un papildus investīciju veikšan</w:t>
      </w:r>
      <w:r w:rsidR="009E1DE5" w:rsidRPr="0003106C">
        <w:rPr>
          <w:sz w:val="26"/>
          <w:szCs w:val="26"/>
        </w:rPr>
        <w:t>ai</w:t>
      </w:r>
      <w:r w:rsidRPr="0003106C">
        <w:rPr>
          <w:sz w:val="26"/>
          <w:szCs w:val="26"/>
        </w:rPr>
        <w:t xml:space="preserve">. LIAA sadarbībā ar atbildīgajām institūcijām </w:t>
      </w:r>
      <w:r w:rsidR="009E1DE5" w:rsidRPr="0003106C">
        <w:rPr>
          <w:sz w:val="26"/>
          <w:szCs w:val="26"/>
        </w:rPr>
        <w:t xml:space="preserve">ir </w:t>
      </w:r>
      <w:r w:rsidRPr="0003106C">
        <w:rPr>
          <w:sz w:val="26"/>
          <w:szCs w:val="26"/>
        </w:rPr>
        <w:t>nepieciešams nodrošināt, ka identificētajiem problēmjautājumiem tiek piedāvāti risinājumi, jautājumus izskatot arī Lielo un stratēģiski nozīmīgo investīciju projektu koordinācijas padomē.</w:t>
      </w:r>
      <w:r w:rsidR="0096745E" w:rsidRPr="0003106C">
        <w:rPr>
          <w:sz w:val="26"/>
          <w:szCs w:val="26"/>
        </w:rPr>
        <w:t xml:space="preserve"> Esošo investoru kvalitatīva apkalpošana ir arī pozitīvs signāls jauniem investoriem par iespēju sava</w:t>
      </w:r>
      <w:r w:rsidR="009E1DE5" w:rsidRPr="0003106C">
        <w:rPr>
          <w:sz w:val="26"/>
          <w:szCs w:val="26"/>
        </w:rPr>
        <w:t>s</w:t>
      </w:r>
      <w:r w:rsidR="0096745E" w:rsidRPr="0003106C">
        <w:rPr>
          <w:sz w:val="26"/>
          <w:szCs w:val="26"/>
        </w:rPr>
        <w:t xml:space="preserve"> darbība</w:t>
      </w:r>
      <w:r w:rsidR="009E1DE5" w:rsidRPr="0003106C">
        <w:rPr>
          <w:sz w:val="26"/>
          <w:szCs w:val="26"/>
        </w:rPr>
        <w:t>s izvēršanai izvēlēties</w:t>
      </w:r>
      <w:r w:rsidR="0096745E" w:rsidRPr="0003106C">
        <w:rPr>
          <w:sz w:val="26"/>
          <w:szCs w:val="26"/>
        </w:rPr>
        <w:t xml:space="preserve"> tieši Latviju. </w:t>
      </w:r>
    </w:p>
    <w:p w:rsidR="00CC7327" w:rsidRPr="0003106C" w:rsidRDefault="00CC7327" w:rsidP="0067469E">
      <w:bookmarkStart w:id="30" w:name="_Toc305487035"/>
      <w:bookmarkEnd w:id="29"/>
    </w:p>
    <w:p w:rsidR="00E06E94" w:rsidRPr="0003106C" w:rsidRDefault="00DF4234" w:rsidP="00E34AB5">
      <w:pPr>
        <w:pStyle w:val="Heading2"/>
        <w:ind w:firstLine="567"/>
        <w:rPr>
          <w:rFonts w:ascii="Times New Roman" w:hAnsi="Times New Roman" w:cs="Times New Roman"/>
          <w:i w:val="0"/>
          <w:sz w:val="26"/>
          <w:szCs w:val="26"/>
        </w:rPr>
      </w:pPr>
      <w:bookmarkStart w:id="31" w:name="_Toc355961047"/>
      <w:r w:rsidRPr="0003106C">
        <w:rPr>
          <w:rFonts w:ascii="Times New Roman" w:hAnsi="Times New Roman" w:cs="Times New Roman"/>
          <w:i w:val="0"/>
          <w:sz w:val="26"/>
          <w:szCs w:val="26"/>
        </w:rPr>
        <w:t>4.3.</w:t>
      </w:r>
      <w:r w:rsidR="00926D4B" w:rsidRPr="0003106C">
        <w:rPr>
          <w:rFonts w:ascii="Times New Roman" w:hAnsi="Times New Roman" w:cs="Times New Roman"/>
          <w:i w:val="0"/>
          <w:sz w:val="26"/>
          <w:szCs w:val="26"/>
        </w:rPr>
        <w:t>10</w:t>
      </w:r>
      <w:r w:rsidRPr="0003106C">
        <w:rPr>
          <w:rFonts w:ascii="Times New Roman" w:hAnsi="Times New Roman" w:cs="Times New Roman"/>
          <w:i w:val="0"/>
          <w:sz w:val="26"/>
          <w:szCs w:val="26"/>
        </w:rPr>
        <w:t xml:space="preserve">. </w:t>
      </w:r>
      <w:r w:rsidR="00E06E94" w:rsidRPr="0003106C">
        <w:rPr>
          <w:rFonts w:ascii="Times New Roman" w:hAnsi="Times New Roman" w:cs="Times New Roman"/>
          <w:i w:val="0"/>
          <w:sz w:val="26"/>
          <w:szCs w:val="26"/>
        </w:rPr>
        <w:t>Reaģēšana uz signāliem par ĀTI piesaistes iespējām</w:t>
      </w:r>
      <w:bookmarkEnd w:id="30"/>
      <w:bookmarkEnd w:id="31"/>
      <w:r w:rsidR="00E06E94" w:rsidRPr="0003106C">
        <w:rPr>
          <w:rFonts w:ascii="Times New Roman" w:hAnsi="Times New Roman" w:cs="Times New Roman"/>
          <w:i w:val="0"/>
          <w:sz w:val="26"/>
          <w:szCs w:val="26"/>
        </w:rPr>
        <w:t xml:space="preserve"> </w:t>
      </w:r>
    </w:p>
    <w:p w:rsidR="00E06E94" w:rsidRPr="0003106C" w:rsidRDefault="00E06E94" w:rsidP="00CC7327">
      <w:pPr>
        <w:keepNext/>
        <w:ind w:firstLine="567"/>
        <w:jc w:val="both"/>
        <w:rPr>
          <w:sz w:val="26"/>
          <w:szCs w:val="26"/>
        </w:rPr>
      </w:pPr>
      <w:r w:rsidRPr="0003106C">
        <w:rPr>
          <w:sz w:val="26"/>
          <w:szCs w:val="26"/>
        </w:rPr>
        <w:t>Lai nodrošinātu operatīvu rīcību attiecībā uz signāliem par iespējamām ĀTI piesaistes iespējām, ir nosakāmi šādi rīcības pamatprincipi</w:t>
      </w:r>
      <w:r w:rsidR="0056718A" w:rsidRPr="0003106C">
        <w:rPr>
          <w:sz w:val="26"/>
          <w:szCs w:val="26"/>
        </w:rPr>
        <w:t>:</w:t>
      </w:r>
      <w:r w:rsidRPr="0003106C">
        <w:rPr>
          <w:sz w:val="26"/>
          <w:szCs w:val="26"/>
        </w:rPr>
        <w:t xml:space="preserve"> </w:t>
      </w:r>
    </w:p>
    <w:p w:rsidR="00E06E94" w:rsidRPr="0003106C" w:rsidRDefault="00E06E94" w:rsidP="00133FC6">
      <w:pPr>
        <w:pStyle w:val="ListParagraph"/>
        <w:numPr>
          <w:ilvl w:val="0"/>
          <w:numId w:val="10"/>
        </w:numPr>
        <w:spacing w:after="40" w:line="240" w:lineRule="auto"/>
        <w:ind w:left="924" w:hanging="357"/>
        <w:contextualSpacing w:val="0"/>
        <w:jc w:val="both"/>
        <w:rPr>
          <w:rFonts w:ascii="Times New Roman" w:hAnsi="Times New Roman"/>
          <w:sz w:val="26"/>
          <w:szCs w:val="26"/>
          <w:lang w:eastAsia="lv-LV"/>
        </w:rPr>
      </w:pPr>
      <w:r w:rsidRPr="0003106C">
        <w:rPr>
          <w:rFonts w:ascii="Times New Roman" w:hAnsi="Times New Roman"/>
          <w:i/>
          <w:sz w:val="26"/>
          <w:szCs w:val="26"/>
          <w:lang w:eastAsia="lv-LV"/>
        </w:rPr>
        <w:t>Atbildīgās institūcijas</w:t>
      </w:r>
      <w:r w:rsidRPr="0003106C">
        <w:rPr>
          <w:rFonts w:ascii="Times New Roman" w:hAnsi="Times New Roman"/>
          <w:sz w:val="26"/>
          <w:szCs w:val="26"/>
          <w:lang w:eastAsia="lv-LV"/>
        </w:rPr>
        <w:t xml:space="preserve"> par iespējamo jaunu ĀTI piesaisti liecinošo signālu uztveršanu ir: LIAA un Latvijas Ārējās ekonomiskās pārstāvniecības, ĀM</w:t>
      </w:r>
      <w:r w:rsidR="002018B0" w:rsidRPr="0003106C">
        <w:rPr>
          <w:rFonts w:ascii="Times New Roman" w:hAnsi="Times New Roman"/>
          <w:sz w:val="26"/>
          <w:szCs w:val="26"/>
          <w:lang w:eastAsia="lv-LV"/>
        </w:rPr>
        <w:t xml:space="preserve">, tai skaitā </w:t>
      </w:r>
      <w:r w:rsidRPr="0003106C">
        <w:rPr>
          <w:rFonts w:ascii="Times New Roman" w:hAnsi="Times New Roman"/>
          <w:sz w:val="26"/>
          <w:szCs w:val="26"/>
          <w:lang w:eastAsia="lv-LV"/>
        </w:rPr>
        <w:t>Latvijas diplomātiskās un konsulārās pārstāvniecības, kā arī citas ministrijas, institūcijas (arī pašvaldības) un organizācijas, kuras par saņemto signālu informē LIAA</w:t>
      </w:r>
      <w:r w:rsidR="0056718A" w:rsidRPr="0003106C">
        <w:rPr>
          <w:rFonts w:ascii="Times New Roman" w:hAnsi="Times New Roman"/>
          <w:sz w:val="26"/>
          <w:szCs w:val="26"/>
          <w:lang w:eastAsia="lv-LV"/>
        </w:rPr>
        <w:t>;</w:t>
      </w:r>
    </w:p>
    <w:p w:rsidR="00E06E94" w:rsidRPr="0003106C" w:rsidRDefault="00E06E94" w:rsidP="00133FC6">
      <w:pPr>
        <w:pStyle w:val="ListParagraph"/>
        <w:numPr>
          <w:ilvl w:val="0"/>
          <w:numId w:val="10"/>
        </w:numPr>
        <w:spacing w:after="40" w:line="240" w:lineRule="auto"/>
        <w:ind w:left="924" w:hanging="357"/>
        <w:contextualSpacing w:val="0"/>
        <w:jc w:val="both"/>
        <w:rPr>
          <w:rFonts w:ascii="Times New Roman" w:hAnsi="Times New Roman"/>
          <w:sz w:val="26"/>
          <w:szCs w:val="26"/>
          <w:lang w:eastAsia="lv-LV"/>
        </w:rPr>
      </w:pPr>
      <w:r w:rsidRPr="0003106C">
        <w:rPr>
          <w:rFonts w:ascii="Times New Roman" w:hAnsi="Times New Roman"/>
          <w:i/>
          <w:sz w:val="26"/>
          <w:szCs w:val="26"/>
          <w:lang w:eastAsia="lv-LV"/>
        </w:rPr>
        <w:t>Efektīva sadarbība starp LIAA un ĀM</w:t>
      </w:r>
      <w:r w:rsidRPr="0003106C">
        <w:rPr>
          <w:rFonts w:ascii="Times New Roman" w:hAnsi="Times New Roman"/>
          <w:sz w:val="26"/>
          <w:szCs w:val="26"/>
          <w:lang w:eastAsia="lv-LV"/>
        </w:rPr>
        <w:t>, nodrošinot pilnas informācijas ātru un efektīvu apmaiņu par saņemtajiem signāliem, īstenotajām un īstenojamām aktivitātēm</w:t>
      </w:r>
      <w:r w:rsidR="0056718A" w:rsidRPr="0003106C">
        <w:rPr>
          <w:rFonts w:ascii="Times New Roman" w:hAnsi="Times New Roman"/>
          <w:sz w:val="26"/>
          <w:szCs w:val="26"/>
          <w:lang w:eastAsia="lv-LV"/>
        </w:rPr>
        <w:t>;</w:t>
      </w:r>
    </w:p>
    <w:p w:rsidR="00E06E94" w:rsidRPr="0003106C" w:rsidRDefault="00E06E94" w:rsidP="00133FC6">
      <w:pPr>
        <w:pStyle w:val="ListParagraph"/>
        <w:numPr>
          <w:ilvl w:val="0"/>
          <w:numId w:val="10"/>
        </w:numPr>
        <w:spacing w:after="40" w:line="240" w:lineRule="auto"/>
        <w:ind w:left="924" w:hanging="357"/>
        <w:contextualSpacing w:val="0"/>
        <w:jc w:val="both"/>
        <w:rPr>
          <w:rFonts w:ascii="Times New Roman" w:hAnsi="Times New Roman"/>
          <w:sz w:val="26"/>
          <w:szCs w:val="26"/>
          <w:lang w:eastAsia="lv-LV"/>
        </w:rPr>
      </w:pPr>
      <w:r w:rsidRPr="0003106C">
        <w:rPr>
          <w:rFonts w:ascii="Times New Roman" w:hAnsi="Times New Roman"/>
          <w:i/>
          <w:sz w:val="26"/>
          <w:szCs w:val="26"/>
          <w:lang w:eastAsia="lv-LV"/>
        </w:rPr>
        <w:t>Atbilstošās rīcības noteikšana</w:t>
      </w:r>
      <w:r w:rsidRPr="0003106C">
        <w:rPr>
          <w:rFonts w:ascii="Times New Roman" w:hAnsi="Times New Roman"/>
          <w:sz w:val="26"/>
          <w:szCs w:val="26"/>
          <w:lang w:eastAsia="lv-LV"/>
        </w:rPr>
        <w:t xml:space="preserve"> – nepieciešamās aktivitātes tiek veiktas saskaņā ar institūciju kompetenci, tās tiek apspriestas trīspusējās Ekonomikas ministrijas, Ārlietu ministrijas un LIAA darba koordinācijas sanāksmēs, kurās pēc nepieciešam</w:t>
      </w:r>
      <w:r w:rsidR="00241805" w:rsidRPr="0003106C">
        <w:rPr>
          <w:rFonts w:ascii="Times New Roman" w:hAnsi="Times New Roman"/>
          <w:sz w:val="26"/>
          <w:szCs w:val="26"/>
          <w:lang w:eastAsia="lv-LV"/>
        </w:rPr>
        <w:t>ības tiek pieaicināts M</w:t>
      </w:r>
      <w:r w:rsidR="00B54C48" w:rsidRPr="0003106C">
        <w:rPr>
          <w:rFonts w:ascii="Times New Roman" w:hAnsi="Times New Roman"/>
          <w:sz w:val="26"/>
          <w:szCs w:val="26"/>
          <w:lang w:eastAsia="lv-LV"/>
        </w:rPr>
        <w:t>inistru p</w:t>
      </w:r>
      <w:r w:rsidRPr="0003106C">
        <w:rPr>
          <w:rFonts w:ascii="Times New Roman" w:hAnsi="Times New Roman"/>
          <w:sz w:val="26"/>
          <w:szCs w:val="26"/>
          <w:lang w:eastAsia="lv-LV"/>
        </w:rPr>
        <w:t>rezidenta biroja pārstāvis (operatīvie jautājumi)</w:t>
      </w:r>
      <w:r w:rsidR="0056718A" w:rsidRPr="0003106C">
        <w:rPr>
          <w:rFonts w:ascii="Times New Roman" w:hAnsi="Times New Roman"/>
          <w:sz w:val="26"/>
          <w:szCs w:val="26"/>
          <w:lang w:eastAsia="lv-LV"/>
        </w:rPr>
        <w:t>;</w:t>
      </w:r>
    </w:p>
    <w:p w:rsidR="00E06E94" w:rsidRPr="0003106C" w:rsidRDefault="00E06E94" w:rsidP="00133FC6">
      <w:pPr>
        <w:pStyle w:val="ListParagraph"/>
        <w:numPr>
          <w:ilvl w:val="0"/>
          <w:numId w:val="10"/>
        </w:numPr>
        <w:spacing w:after="40" w:line="240" w:lineRule="auto"/>
        <w:ind w:left="924" w:hanging="357"/>
        <w:contextualSpacing w:val="0"/>
        <w:jc w:val="both"/>
        <w:rPr>
          <w:rFonts w:ascii="Times New Roman" w:hAnsi="Times New Roman"/>
          <w:sz w:val="26"/>
          <w:szCs w:val="26"/>
          <w:lang w:eastAsia="lv-LV"/>
        </w:rPr>
      </w:pPr>
      <w:r w:rsidRPr="0003106C">
        <w:rPr>
          <w:rFonts w:ascii="Times New Roman" w:hAnsi="Times New Roman"/>
          <w:i/>
          <w:sz w:val="26"/>
          <w:szCs w:val="26"/>
          <w:lang w:eastAsia="lv-LV"/>
        </w:rPr>
        <w:t>Operatīva valdības iesaistīšanās</w:t>
      </w:r>
      <w:r w:rsidRPr="0003106C">
        <w:rPr>
          <w:rFonts w:ascii="Times New Roman" w:hAnsi="Times New Roman"/>
          <w:sz w:val="26"/>
          <w:szCs w:val="26"/>
          <w:lang w:eastAsia="lv-LV"/>
        </w:rPr>
        <w:t xml:space="preserve"> – jautājum</w:t>
      </w:r>
      <w:r w:rsidR="00A36818" w:rsidRPr="0003106C">
        <w:rPr>
          <w:rFonts w:ascii="Times New Roman" w:hAnsi="Times New Roman"/>
          <w:sz w:val="26"/>
          <w:szCs w:val="26"/>
          <w:lang w:eastAsia="lv-LV"/>
        </w:rPr>
        <w:t>i</w:t>
      </w:r>
      <w:r w:rsidRPr="0003106C">
        <w:rPr>
          <w:rFonts w:ascii="Times New Roman" w:hAnsi="Times New Roman"/>
          <w:sz w:val="26"/>
          <w:szCs w:val="26"/>
          <w:lang w:eastAsia="lv-LV"/>
        </w:rPr>
        <w:t>, kuros nepieciešama valdības locekļu lēmumu pieņemšana</w:t>
      </w:r>
      <w:r w:rsidR="0056718A" w:rsidRPr="0003106C">
        <w:rPr>
          <w:rFonts w:ascii="Times New Roman" w:hAnsi="Times New Roman"/>
          <w:sz w:val="26"/>
          <w:szCs w:val="26"/>
          <w:lang w:eastAsia="lv-LV"/>
        </w:rPr>
        <w:t>.</w:t>
      </w:r>
      <w:r w:rsidRPr="0003106C">
        <w:rPr>
          <w:rFonts w:ascii="Times New Roman" w:hAnsi="Times New Roman"/>
          <w:sz w:val="26"/>
          <w:szCs w:val="26"/>
          <w:lang w:eastAsia="lv-LV"/>
        </w:rPr>
        <w:t xml:space="preserve"> tiek skatīti Lielo un stratēģiski nozīmīgo investīciju projektu koordinācijas padomē klātienē vai elektroniskā saskaņošanas procesā. Jautājumu koordinēšanu nodrošina LIAA, kas pilda Lielo un stratēģiski nozīmīgo investīciju projektu koordinācijas padom</w:t>
      </w:r>
      <w:r w:rsidR="0056718A" w:rsidRPr="0003106C">
        <w:rPr>
          <w:rFonts w:ascii="Times New Roman" w:hAnsi="Times New Roman"/>
          <w:sz w:val="26"/>
          <w:szCs w:val="26"/>
          <w:lang w:eastAsia="lv-LV"/>
        </w:rPr>
        <w:t>es</w:t>
      </w:r>
      <w:r w:rsidRPr="0003106C">
        <w:rPr>
          <w:rFonts w:ascii="Times New Roman" w:hAnsi="Times New Roman"/>
          <w:sz w:val="26"/>
          <w:szCs w:val="26"/>
          <w:lang w:eastAsia="lv-LV"/>
        </w:rPr>
        <w:t xml:space="preserve"> sekretariāta funkciju. Par jautājumu izs</w:t>
      </w:r>
      <w:r w:rsidR="00241805" w:rsidRPr="0003106C">
        <w:rPr>
          <w:rFonts w:ascii="Times New Roman" w:hAnsi="Times New Roman"/>
          <w:sz w:val="26"/>
          <w:szCs w:val="26"/>
          <w:lang w:eastAsia="lv-LV"/>
        </w:rPr>
        <w:t>katīšanas kārtību lemj M</w:t>
      </w:r>
      <w:r w:rsidR="00B54C48" w:rsidRPr="0003106C">
        <w:rPr>
          <w:rFonts w:ascii="Times New Roman" w:hAnsi="Times New Roman"/>
          <w:sz w:val="26"/>
          <w:szCs w:val="26"/>
          <w:lang w:eastAsia="lv-LV"/>
        </w:rPr>
        <w:t>inistru p</w:t>
      </w:r>
      <w:r w:rsidRPr="0003106C">
        <w:rPr>
          <w:rFonts w:ascii="Times New Roman" w:hAnsi="Times New Roman"/>
          <w:sz w:val="26"/>
          <w:szCs w:val="26"/>
          <w:lang w:eastAsia="lv-LV"/>
        </w:rPr>
        <w:t>rezidents.</w:t>
      </w:r>
    </w:p>
    <w:p w:rsidR="00E06E94" w:rsidRPr="0003106C" w:rsidRDefault="00E06E94" w:rsidP="00E06E94">
      <w:pPr>
        <w:pStyle w:val="ListParagraph"/>
        <w:spacing w:after="40" w:line="240" w:lineRule="auto"/>
        <w:ind w:left="924"/>
        <w:contextualSpacing w:val="0"/>
        <w:jc w:val="both"/>
        <w:rPr>
          <w:rFonts w:ascii="Times New Roman" w:hAnsi="Times New Roman"/>
          <w:sz w:val="26"/>
          <w:szCs w:val="26"/>
          <w:lang w:eastAsia="lv-LV"/>
        </w:rPr>
      </w:pPr>
    </w:p>
    <w:p w:rsidR="00E06E94" w:rsidRPr="0003106C" w:rsidRDefault="00073024" w:rsidP="00E06E94">
      <w:pPr>
        <w:pStyle w:val="Heading2"/>
        <w:ind w:firstLine="567"/>
        <w:rPr>
          <w:rFonts w:ascii="Times New Roman" w:hAnsi="Times New Roman" w:cs="Times New Roman"/>
          <w:i w:val="0"/>
          <w:sz w:val="26"/>
          <w:szCs w:val="26"/>
        </w:rPr>
      </w:pPr>
      <w:bookmarkStart w:id="32" w:name="_Toc284933929"/>
      <w:bookmarkStart w:id="33" w:name="_Toc305487025"/>
      <w:bookmarkStart w:id="34" w:name="_Toc355961048"/>
      <w:r w:rsidRPr="0003106C">
        <w:rPr>
          <w:rFonts w:ascii="Times New Roman" w:hAnsi="Times New Roman" w:cs="Times New Roman"/>
          <w:i w:val="0"/>
          <w:sz w:val="26"/>
          <w:szCs w:val="26"/>
        </w:rPr>
        <w:lastRenderedPageBreak/>
        <w:t>4</w:t>
      </w:r>
      <w:r w:rsidR="00E06E94" w:rsidRPr="0003106C">
        <w:rPr>
          <w:rFonts w:ascii="Times New Roman" w:hAnsi="Times New Roman" w:cs="Times New Roman"/>
          <w:i w:val="0"/>
          <w:sz w:val="26"/>
          <w:szCs w:val="26"/>
        </w:rPr>
        <w:t>.3.</w:t>
      </w:r>
      <w:r w:rsidR="00DF4234" w:rsidRPr="0003106C">
        <w:rPr>
          <w:rFonts w:ascii="Times New Roman" w:hAnsi="Times New Roman" w:cs="Times New Roman"/>
          <w:i w:val="0"/>
          <w:sz w:val="26"/>
          <w:szCs w:val="26"/>
        </w:rPr>
        <w:t>1</w:t>
      </w:r>
      <w:r w:rsidR="00926D4B" w:rsidRPr="0003106C">
        <w:rPr>
          <w:rFonts w:ascii="Times New Roman" w:hAnsi="Times New Roman" w:cs="Times New Roman"/>
          <w:i w:val="0"/>
          <w:sz w:val="26"/>
          <w:szCs w:val="26"/>
        </w:rPr>
        <w:t>1</w:t>
      </w:r>
      <w:r w:rsidR="00E06E94" w:rsidRPr="0003106C">
        <w:rPr>
          <w:rFonts w:ascii="Times New Roman" w:hAnsi="Times New Roman" w:cs="Times New Roman"/>
          <w:i w:val="0"/>
          <w:sz w:val="26"/>
          <w:szCs w:val="26"/>
        </w:rPr>
        <w:t>. Investīciju stimul</w:t>
      </w:r>
      <w:bookmarkEnd w:id="32"/>
      <w:r w:rsidR="00E06E94" w:rsidRPr="0003106C">
        <w:rPr>
          <w:rFonts w:ascii="Times New Roman" w:hAnsi="Times New Roman" w:cs="Times New Roman"/>
          <w:i w:val="0"/>
          <w:sz w:val="26"/>
          <w:szCs w:val="26"/>
        </w:rPr>
        <w:t>u nodrošināšana</w:t>
      </w:r>
      <w:bookmarkEnd w:id="33"/>
      <w:bookmarkEnd w:id="34"/>
      <w:r w:rsidR="00E06E94" w:rsidRPr="0003106C">
        <w:rPr>
          <w:rFonts w:ascii="Times New Roman" w:hAnsi="Times New Roman" w:cs="Times New Roman"/>
          <w:i w:val="0"/>
          <w:sz w:val="26"/>
          <w:szCs w:val="26"/>
        </w:rPr>
        <w:t xml:space="preserve"> </w:t>
      </w:r>
    </w:p>
    <w:p w:rsidR="00E06E94" w:rsidRPr="0003106C" w:rsidRDefault="00E06E94" w:rsidP="00E06E94">
      <w:pPr>
        <w:ind w:firstLine="567"/>
        <w:jc w:val="both"/>
        <w:rPr>
          <w:sz w:val="26"/>
          <w:szCs w:val="26"/>
        </w:rPr>
      </w:pPr>
      <w:r w:rsidRPr="0003106C">
        <w:rPr>
          <w:sz w:val="26"/>
          <w:szCs w:val="26"/>
        </w:rPr>
        <w:t>Lai Latvija būtu konkurētspējīga starp citām Eiropas valstīm</w:t>
      </w:r>
      <w:r w:rsidR="005B38DE" w:rsidRPr="0003106C">
        <w:rPr>
          <w:sz w:val="26"/>
          <w:szCs w:val="26"/>
        </w:rPr>
        <w:t>, it īpaši starp Baltijas valstīm un Poliju</w:t>
      </w:r>
      <w:r w:rsidRPr="0003106C">
        <w:rPr>
          <w:sz w:val="26"/>
          <w:szCs w:val="26"/>
        </w:rPr>
        <w:t xml:space="preserve">, nepieciešami valsts atbalsta instrumenti un investīciju stimuli ĀTI piesaistei Latvijā. Līdztekus ieviestajiem atbalsta instrumentiem, jāveido jauni investīciju stimuli piedāvājuma dažādošanai, kā rezultātā būtu iespējams konkrētam gadījumam sagatavot un piedāvāt individuālu investīciju stimulu paketi. </w:t>
      </w:r>
    </w:p>
    <w:p w:rsidR="00E06E94" w:rsidRPr="0003106C" w:rsidRDefault="00E06E94" w:rsidP="00E06E94">
      <w:pPr>
        <w:ind w:firstLine="567"/>
        <w:jc w:val="both"/>
        <w:rPr>
          <w:sz w:val="26"/>
          <w:szCs w:val="26"/>
        </w:rPr>
      </w:pPr>
      <w:r w:rsidRPr="0003106C">
        <w:rPr>
          <w:sz w:val="26"/>
          <w:szCs w:val="26"/>
        </w:rPr>
        <w:t>Papildus esošajiem investīciju stimuliem – dažādām nodokļu atlaidēm un maksāšanas priekšrocībām</w:t>
      </w:r>
      <w:r w:rsidR="00C475D0" w:rsidRPr="0003106C">
        <w:rPr>
          <w:sz w:val="26"/>
          <w:szCs w:val="26"/>
        </w:rPr>
        <w:t xml:space="preserve"> (</w:t>
      </w:r>
      <w:r w:rsidR="004874B4" w:rsidRPr="0003106C">
        <w:rPr>
          <w:sz w:val="26"/>
          <w:szCs w:val="26"/>
        </w:rPr>
        <w:t>skat. </w:t>
      </w:r>
      <w:r w:rsidR="005E471E" w:rsidRPr="0003106C">
        <w:rPr>
          <w:sz w:val="26"/>
          <w:szCs w:val="26"/>
        </w:rPr>
        <w:t>1</w:t>
      </w:r>
      <w:r w:rsidR="00E32A06" w:rsidRPr="0003106C">
        <w:rPr>
          <w:sz w:val="26"/>
          <w:szCs w:val="26"/>
        </w:rPr>
        <w:t>3</w:t>
      </w:r>
      <w:r w:rsidR="004874B4" w:rsidRPr="0003106C">
        <w:rPr>
          <w:sz w:val="26"/>
          <w:szCs w:val="26"/>
        </w:rPr>
        <w:t>.</w:t>
      </w:r>
      <w:r w:rsidR="00C475D0" w:rsidRPr="0003106C">
        <w:rPr>
          <w:sz w:val="26"/>
          <w:szCs w:val="26"/>
        </w:rPr>
        <w:t>pielikum</w:t>
      </w:r>
      <w:r w:rsidR="004874B4" w:rsidRPr="0003106C">
        <w:rPr>
          <w:sz w:val="26"/>
          <w:szCs w:val="26"/>
        </w:rPr>
        <w:t>u)</w:t>
      </w:r>
      <w:r w:rsidRPr="0003106C">
        <w:rPr>
          <w:sz w:val="26"/>
          <w:szCs w:val="26"/>
        </w:rPr>
        <w:t>, jānodrošina atbalsta programmu pieejamība attiecībā uz jaunu darba vietu radīšanu un investīciju veikša</w:t>
      </w:r>
      <w:r w:rsidR="005971B1" w:rsidRPr="0003106C">
        <w:rPr>
          <w:sz w:val="26"/>
          <w:szCs w:val="26"/>
        </w:rPr>
        <w:t xml:space="preserve">nu, kuru īstenošanas rezultātā </w:t>
      </w:r>
      <w:r w:rsidRPr="0003106C">
        <w:rPr>
          <w:sz w:val="26"/>
          <w:szCs w:val="26"/>
        </w:rPr>
        <w:t>tiek sasniegts pievienotās vērtības un eksport</w:t>
      </w:r>
      <w:r w:rsidR="005971B1" w:rsidRPr="0003106C">
        <w:rPr>
          <w:sz w:val="26"/>
          <w:szCs w:val="26"/>
        </w:rPr>
        <w:t>a pieaugums.</w:t>
      </w:r>
    </w:p>
    <w:p w:rsidR="00E06E94" w:rsidRPr="0003106C" w:rsidRDefault="00E06E94" w:rsidP="00E06E94">
      <w:pPr>
        <w:spacing w:before="60"/>
        <w:ind w:firstLine="567"/>
        <w:jc w:val="both"/>
        <w:rPr>
          <w:sz w:val="26"/>
          <w:szCs w:val="26"/>
        </w:rPr>
      </w:pPr>
      <w:bookmarkStart w:id="35" w:name="_Toc305487036"/>
      <w:r w:rsidRPr="0003106C">
        <w:rPr>
          <w:sz w:val="26"/>
          <w:szCs w:val="26"/>
        </w:rPr>
        <w:t>Latvijai no savas puses</w:t>
      </w:r>
      <w:r w:rsidR="00BC2B5F" w:rsidRPr="0003106C">
        <w:rPr>
          <w:sz w:val="26"/>
          <w:szCs w:val="26"/>
        </w:rPr>
        <w:t xml:space="preserve">, lai veiksmīgi konkurētu </w:t>
      </w:r>
      <w:r w:rsidR="00E32A06" w:rsidRPr="0003106C">
        <w:rPr>
          <w:sz w:val="26"/>
          <w:szCs w:val="26"/>
        </w:rPr>
        <w:t>ar citām sava reģiona valstīm</w:t>
      </w:r>
      <w:r w:rsidR="00BC2B5F" w:rsidRPr="0003106C">
        <w:rPr>
          <w:sz w:val="26"/>
          <w:szCs w:val="26"/>
        </w:rPr>
        <w:t xml:space="preserve">, </w:t>
      </w:r>
      <w:r w:rsidRPr="0003106C">
        <w:rPr>
          <w:sz w:val="26"/>
          <w:szCs w:val="26"/>
        </w:rPr>
        <w:t>ārvalstu investoriem turpmāk jāpiedāvā:</w:t>
      </w:r>
    </w:p>
    <w:p w:rsidR="00E06E94" w:rsidRPr="0003106C" w:rsidRDefault="00E06E94" w:rsidP="00133FC6">
      <w:pPr>
        <w:pStyle w:val="ListParagraph"/>
        <w:numPr>
          <w:ilvl w:val="1"/>
          <w:numId w:val="3"/>
        </w:numPr>
        <w:tabs>
          <w:tab w:val="clear" w:pos="1440"/>
        </w:tabs>
        <w:spacing w:before="60" w:line="240" w:lineRule="auto"/>
        <w:ind w:left="709" w:hanging="283"/>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augsta</w:t>
      </w:r>
      <w:r w:rsidR="00EF2AF2" w:rsidRPr="0003106C">
        <w:rPr>
          <w:rFonts w:ascii="Times New Roman" w:eastAsia="MS Mincho" w:hAnsi="Times New Roman"/>
          <w:sz w:val="26"/>
          <w:szCs w:val="26"/>
          <w:lang w:eastAsia="ja-JP"/>
        </w:rPr>
        <w:t xml:space="preserve"> līmeņa apkalpošana (informācijas</w:t>
      </w:r>
      <w:r w:rsidRPr="0003106C">
        <w:rPr>
          <w:rFonts w:ascii="Times New Roman" w:eastAsia="MS Mincho" w:hAnsi="Times New Roman"/>
          <w:sz w:val="26"/>
          <w:szCs w:val="26"/>
          <w:lang w:eastAsia="ja-JP"/>
        </w:rPr>
        <w:t xml:space="preserve"> par investīciju vidi un iespējām nodrošināšana, nepieciešamo vizīšu un tikšanās ar pašvaldību un valsts institūciju atbildīgajiem pārstāvjiem organizēšana, partneru atlase, esošo problēmu, kas traucē investīciju projekta īstenošanu, risināšana u.c.);</w:t>
      </w:r>
    </w:p>
    <w:p w:rsidR="00E06E94" w:rsidRPr="0003106C" w:rsidRDefault="00E06E94" w:rsidP="00133FC6">
      <w:pPr>
        <w:pStyle w:val="ListParagraph"/>
        <w:numPr>
          <w:ilvl w:val="1"/>
          <w:numId w:val="3"/>
        </w:numPr>
        <w:tabs>
          <w:tab w:val="clear" w:pos="1440"/>
        </w:tabs>
        <w:spacing w:before="60" w:line="240" w:lineRule="auto"/>
        <w:ind w:left="709" w:hanging="283"/>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atbilstoša darbaspēka piemeklēšana un sagatavošana</w:t>
      </w:r>
      <w:r w:rsidR="0049140A" w:rsidRPr="0003106C">
        <w:rPr>
          <w:rFonts w:ascii="Times New Roman" w:eastAsia="MS Mincho" w:hAnsi="Times New Roman"/>
          <w:sz w:val="26"/>
          <w:szCs w:val="26"/>
          <w:lang w:eastAsia="ja-JP"/>
        </w:rPr>
        <w:t>;</w:t>
      </w:r>
      <w:r w:rsidRPr="0003106C">
        <w:rPr>
          <w:rFonts w:ascii="Times New Roman" w:eastAsia="MS Mincho" w:hAnsi="Times New Roman"/>
          <w:sz w:val="26"/>
          <w:szCs w:val="26"/>
          <w:lang w:eastAsia="ja-JP"/>
        </w:rPr>
        <w:t xml:space="preserve"> </w:t>
      </w:r>
    </w:p>
    <w:p w:rsidR="00E06E94" w:rsidRPr="0003106C" w:rsidRDefault="00E06E94" w:rsidP="00133FC6">
      <w:pPr>
        <w:pStyle w:val="ListParagraph"/>
        <w:numPr>
          <w:ilvl w:val="1"/>
          <w:numId w:val="3"/>
        </w:numPr>
        <w:tabs>
          <w:tab w:val="clear" w:pos="1440"/>
        </w:tabs>
        <w:spacing w:before="60" w:line="240" w:lineRule="auto"/>
        <w:ind w:left="709" w:hanging="283"/>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valstī pieejamo investīciju stimulu piedāvāšana, specializēta piedāvājuma sagatavošana;</w:t>
      </w:r>
    </w:p>
    <w:p w:rsidR="00E06E94" w:rsidRPr="0003106C" w:rsidRDefault="00E06E94" w:rsidP="00133FC6">
      <w:pPr>
        <w:pStyle w:val="ListParagraph"/>
        <w:numPr>
          <w:ilvl w:val="1"/>
          <w:numId w:val="3"/>
        </w:numPr>
        <w:tabs>
          <w:tab w:val="clear" w:pos="1440"/>
        </w:tabs>
        <w:spacing w:before="60" w:line="240" w:lineRule="auto"/>
        <w:ind w:left="709" w:hanging="283"/>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 xml:space="preserve">projekta </w:t>
      </w:r>
      <w:r w:rsidR="00F51427" w:rsidRPr="0003106C">
        <w:rPr>
          <w:rFonts w:ascii="Times New Roman" w:eastAsia="MS Mincho" w:hAnsi="Times New Roman"/>
          <w:sz w:val="26"/>
          <w:szCs w:val="26"/>
          <w:lang w:eastAsia="ja-JP"/>
        </w:rPr>
        <w:t>pēc</w:t>
      </w:r>
      <w:r w:rsidRPr="0003106C">
        <w:rPr>
          <w:rFonts w:ascii="Times New Roman" w:eastAsia="MS Mincho" w:hAnsi="Times New Roman"/>
          <w:sz w:val="26"/>
          <w:szCs w:val="26"/>
          <w:lang w:eastAsia="ja-JP"/>
        </w:rPr>
        <w:t>apkalpošana (atbalsts problēmu risināšanā, citu investīciju stimulu un iespēju piedāvāšana);</w:t>
      </w:r>
    </w:p>
    <w:p w:rsidR="00E06E94" w:rsidRPr="0003106C" w:rsidRDefault="00E06E94" w:rsidP="00133FC6">
      <w:pPr>
        <w:pStyle w:val="ListParagraph"/>
        <w:numPr>
          <w:ilvl w:val="1"/>
          <w:numId w:val="3"/>
        </w:numPr>
        <w:tabs>
          <w:tab w:val="clear" w:pos="1440"/>
        </w:tabs>
        <w:spacing w:before="60" w:line="240" w:lineRule="auto"/>
        <w:ind w:left="709" w:hanging="283"/>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iespēja attīstīt ar tuvējos kaimiņvalstīs esošo uzņēmumu saistītu preču ražošanu vai pakalpojumus sniegšanu.</w:t>
      </w:r>
    </w:p>
    <w:p w:rsidR="007A29C5" w:rsidRPr="0003106C" w:rsidRDefault="007A29C5" w:rsidP="00381030">
      <w:pPr>
        <w:pStyle w:val="ListParagraph"/>
        <w:spacing w:before="60" w:line="240" w:lineRule="auto"/>
        <w:ind w:left="709"/>
        <w:contextualSpacing w:val="0"/>
        <w:jc w:val="both"/>
        <w:rPr>
          <w:rFonts w:ascii="Times New Roman" w:eastAsia="MS Mincho" w:hAnsi="Times New Roman"/>
          <w:sz w:val="26"/>
          <w:szCs w:val="26"/>
          <w:lang w:eastAsia="ja-JP"/>
        </w:rPr>
      </w:pPr>
    </w:p>
    <w:bookmarkEnd w:id="35"/>
    <w:p w:rsidR="003A2BCB" w:rsidRPr="0003106C" w:rsidRDefault="003A2BCB" w:rsidP="00E06E94">
      <w:pPr>
        <w:ind w:firstLine="567"/>
        <w:jc w:val="both"/>
        <w:rPr>
          <w:sz w:val="26"/>
          <w:szCs w:val="26"/>
        </w:rPr>
      </w:pPr>
    </w:p>
    <w:p w:rsidR="001D596D" w:rsidRPr="0003106C" w:rsidRDefault="00955BBC" w:rsidP="001D596D">
      <w:pPr>
        <w:keepNext/>
        <w:keepLines/>
        <w:ind w:right="-143"/>
        <w:jc w:val="both"/>
        <w:rPr>
          <w:b/>
          <w:sz w:val="26"/>
          <w:szCs w:val="26"/>
        </w:rPr>
      </w:pPr>
      <w:r w:rsidRPr="0003106C">
        <w:rPr>
          <w:b/>
          <w:sz w:val="26"/>
          <w:szCs w:val="26"/>
        </w:rPr>
        <w:t>Būtiskākie u</w:t>
      </w:r>
      <w:r w:rsidR="001D596D" w:rsidRPr="0003106C">
        <w:rPr>
          <w:b/>
          <w:sz w:val="26"/>
          <w:szCs w:val="26"/>
        </w:rPr>
        <w:t xml:space="preserve">zdevumi </w:t>
      </w:r>
    </w:p>
    <w:p w:rsidR="00A97071" w:rsidRPr="0003106C" w:rsidRDefault="00A97071" w:rsidP="006D0373">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Ekonomikas ministrijai un LIAA stiprināt LIAA un Latvijas Ārējo ekonomisko pārstāvniecību kapacitāti ĀTI piesaistes jomā.</w:t>
      </w:r>
    </w:p>
    <w:p w:rsidR="00EC067A" w:rsidRPr="0003106C" w:rsidRDefault="00EC067A" w:rsidP="00EC067A">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LIAA sadarbībā ar Ekonomikas ministriju, Ārlietu ministriju, LTRK un LDDK nodrošināt vienotas datu bāzes izveidi, kurā tiek iekļauta ar ĀTI piesaistes politiku saistītā informācija – investīciju projekti un to attīstības stadija, esošie un potenciālie investori, saistītās aktivitātes.</w:t>
      </w:r>
    </w:p>
    <w:p w:rsidR="00A450EC" w:rsidRPr="0003106C" w:rsidRDefault="00A450EC" w:rsidP="00A450EC">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 xml:space="preserve">LIAA </w:t>
      </w:r>
      <w:r w:rsidR="00F97FA3" w:rsidRPr="0003106C">
        <w:rPr>
          <w:rFonts w:ascii="Times New Roman" w:eastAsia="MS Mincho" w:hAnsi="Times New Roman"/>
          <w:sz w:val="26"/>
          <w:szCs w:val="26"/>
          <w:lang w:eastAsia="ja-JP"/>
        </w:rPr>
        <w:t xml:space="preserve">pilnveidot </w:t>
      </w:r>
      <w:r w:rsidRPr="0003106C">
        <w:rPr>
          <w:rFonts w:ascii="Times New Roman" w:eastAsia="MS Mincho" w:hAnsi="Times New Roman"/>
          <w:sz w:val="26"/>
          <w:szCs w:val="26"/>
          <w:lang w:eastAsia="ja-JP"/>
        </w:rPr>
        <w:t>un uzturēt Latvijas investīciju piesaistes</w:t>
      </w:r>
      <w:r w:rsidR="00F43BF7" w:rsidRPr="0003106C">
        <w:rPr>
          <w:rFonts w:ascii="Times New Roman" w:eastAsia="MS Mincho" w:hAnsi="Times New Roman"/>
          <w:sz w:val="26"/>
          <w:szCs w:val="26"/>
          <w:lang w:eastAsia="ja-JP"/>
        </w:rPr>
        <w:t xml:space="preserve"> un eksporta veicināšanas</w:t>
      </w:r>
      <w:r w:rsidR="002D4F26" w:rsidRPr="0003106C">
        <w:rPr>
          <w:rFonts w:ascii="Times New Roman" w:eastAsia="MS Mincho" w:hAnsi="Times New Roman"/>
          <w:sz w:val="26"/>
          <w:szCs w:val="26"/>
          <w:lang w:eastAsia="ja-JP"/>
        </w:rPr>
        <w:t xml:space="preserve"> </w:t>
      </w:r>
      <w:r w:rsidRPr="0003106C">
        <w:rPr>
          <w:rFonts w:ascii="Times New Roman" w:eastAsia="MS Mincho" w:hAnsi="Times New Roman"/>
          <w:sz w:val="26"/>
          <w:szCs w:val="26"/>
          <w:lang w:eastAsia="ja-JP"/>
        </w:rPr>
        <w:t>mājas lapu</w:t>
      </w:r>
      <w:r w:rsidR="002D4F26" w:rsidRPr="0003106C">
        <w:rPr>
          <w:rFonts w:ascii="Times New Roman" w:eastAsia="MS Mincho" w:hAnsi="Times New Roman"/>
          <w:sz w:val="26"/>
          <w:szCs w:val="26"/>
          <w:lang w:eastAsia="ja-JP"/>
        </w:rPr>
        <w:t>.</w:t>
      </w:r>
    </w:p>
    <w:p w:rsidR="00122F5C" w:rsidRPr="0003106C" w:rsidRDefault="00122F5C" w:rsidP="00211A76">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 xml:space="preserve">Pašvaldībām izstrādāt un apstiprināt </w:t>
      </w:r>
      <w:r w:rsidRPr="0003106C">
        <w:rPr>
          <w:rFonts w:ascii="Times New Roman" w:hAnsi="Times New Roman"/>
          <w:sz w:val="26"/>
          <w:szCs w:val="26"/>
        </w:rPr>
        <w:t>attīstības plānošanas dokumentus un nodrošin</w:t>
      </w:r>
      <w:r w:rsidR="0056718A" w:rsidRPr="0003106C">
        <w:rPr>
          <w:rFonts w:ascii="Times New Roman" w:hAnsi="Times New Roman"/>
          <w:sz w:val="26"/>
          <w:szCs w:val="26"/>
        </w:rPr>
        <w:t>ā</w:t>
      </w:r>
      <w:r w:rsidRPr="0003106C">
        <w:rPr>
          <w:rFonts w:ascii="Times New Roman" w:hAnsi="Times New Roman"/>
          <w:sz w:val="26"/>
          <w:szCs w:val="26"/>
        </w:rPr>
        <w:t xml:space="preserve">t to īstenošanu. </w:t>
      </w:r>
    </w:p>
    <w:p w:rsidR="00122F5C" w:rsidRPr="0003106C" w:rsidRDefault="00122F5C" w:rsidP="00211A76">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hAnsi="Times New Roman"/>
          <w:sz w:val="26"/>
          <w:szCs w:val="26"/>
        </w:rPr>
        <w:t xml:space="preserve">Pašvaldībās nodrošināt kompetentus speciālistus uzņēmējdarbības un investīciju piesaistes </w:t>
      </w:r>
      <w:r w:rsidR="00516ABA" w:rsidRPr="0003106C">
        <w:rPr>
          <w:rFonts w:ascii="Times New Roman" w:hAnsi="Times New Roman"/>
          <w:sz w:val="26"/>
          <w:szCs w:val="26"/>
        </w:rPr>
        <w:t>jomā ar svešvalodu zināšanām</w:t>
      </w:r>
      <w:r w:rsidRPr="0003106C">
        <w:rPr>
          <w:rFonts w:ascii="Times New Roman" w:hAnsi="Times New Roman"/>
          <w:sz w:val="26"/>
          <w:szCs w:val="26"/>
        </w:rPr>
        <w:t>.</w:t>
      </w:r>
    </w:p>
    <w:p w:rsidR="00801D66" w:rsidRPr="0003106C" w:rsidRDefault="00801D66" w:rsidP="00801D66">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 xml:space="preserve">LIAA, VARAM, LLPA un LPS organizēt izglītojošus seminārus pašvaldībām par investīciju piesaistes nozīmi un to radītajām iespējām, investoru apkalpošanu, pašvaldību priekšrocību prezentēšanu, kā arī par praktiskiem ĀTI piesaistes procesa jautājumiem un investīciju piesaistes metodēm.  </w:t>
      </w:r>
    </w:p>
    <w:p w:rsidR="00EC067A" w:rsidRPr="0003106C" w:rsidRDefault="00EC067A" w:rsidP="00EC067A">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lastRenderedPageBreak/>
        <w:t xml:space="preserve">LIAA sadarbībā ar VARAM un pašvaldībām apzināt pašvaldību piedāvājumus un intereses. </w:t>
      </w:r>
    </w:p>
    <w:p w:rsidR="00350193" w:rsidRPr="0003106C" w:rsidRDefault="00350193" w:rsidP="00350193">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hAnsi="Times New Roman"/>
          <w:sz w:val="26"/>
          <w:szCs w:val="26"/>
        </w:rPr>
        <w:t xml:space="preserve">Pašvaldībām nodrošināt informācijas apriti ar LIAA par investīciju un uzņēmējdarbības īstenošanas un paplašināšanas iespējām.  </w:t>
      </w:r>
    </w:p>
    <w:p w:rsidR="00A37B23" w:rsidRPr="0003106C" w:rsidRDefault="00A37B23" w:rsidP="00A37B23">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Latvijas Ārējā</w:t>
      </w:r>
      <w:r w:rsidR="0056718A" w:rsidRPr="0003106C">
        <w:rPr>
          <w:rFonts w:ascii="Times New Roman" w:eastAsia="MS Mincho" w:hAnsi="Times New Roman"/>
          <w:sz w:val="26"/>
          <w:szCs w:val="26"/>
          <w:lang w:eastAsia="ja-JP"/>
        </w:rPr>
        <w:t>m</w:t>
      </w:r>
      <w:r w:rsidRPr="0003106C">
        <w:rPr>
          <w:rFonts w:ascii="Times New Roman" w:eastAsia="MS Mincho" w:hAnsi="Times New Roman"/>
          <w:sz w:val="26"/>
          <w:szCs w:val="26"/>
          <w:lang w:eastAsia="ja-JP"/>
        </w:rPr>
        <w:t xml:space="preserve"> ekonomisk</w:t>
      </w:r>
      <w:r w:rsidR="0056718A" w:rsidRPr="0003106C">
        <w:rPr>
          <w:rFonts w:ascii="Times New Roman" w:eastAsia="MS Mincho" w:hAnsi="Times New Roman"/>
          <w:sz w:val="26"/>
          <w:szCs w:val="26"/>
          <w:lang w:eastAsia="ja-JP"/>
        </w:rPr>
        <w:t>ām</w:t>
      </w:r>
      <w:r w:rsidRPr="0003106C">
        <w:rPr>
          <w:rFonts w:ascii="Times New Roman" w:eastAsia="MS Mincho" w:hAnsi="Times New Roman"/>
          <w:sz w:val="26"/>
          <w:szCs w:val="26"/>
          <w:lang w:eastAsia="ja-JP"/>
        </w:rPr>
        <w:t xml:space="preserve"> pārstāvniecībām, LIAA, Ekonomikas ministrijai, Ārlietu ministrijai</w:t>
      </w:r>
      <w:r w:rsidR="00B771AE" w:rsidRPr="0003106C">
        <w:rPr>
          <w:rFonts w:ascii="Times New Roman" w:eastAsia="MS Mincho" w:hAnsi="Times New Roman"/>
          <w:sz w:val="26"/>
          <w:szCs w:val="26"/>
          <w:lang w:eastAsia="ja-JP"/>
        </w:rPr>
        <w:t>, tai skaitā Latvijas diplomātiskajām un konsulārajām pārstāvniecībām</w:t>
      </w:r>
      <w:r w:rsidRPr="0003106C">
        <w:rPr>
          <w:rFonts w:ascii="Times New Roman" w:eastAsia="MS Mincho" w:hAnsi="Times New Roman"/>
          <w:sz w:val="26"/>
          <w:szCs w:val="26"/>
          <w:lang w:eastAsia="ja-JP"/>
        </w:rPr>
        <w:t>, LTRK, LDDK un privātā sektora pārstāvjiem veikt potenciālo ārvalstu investoru apzināšanu un atlasi ārvalstīs.</w:t>
      </w:r>
    </w:p>
    <w:p w:rsidR="00A97071" w:rsidRPr="0003106C" w:rsidRDefault="00774EE5" w:rsidP="006D0373">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LIAA</w:t>
      </w:r>
      <w:r w:rsidR="00403354" w:rsidRPr="0003106C">
        <w:rPr>
          <w:rFonts w:ascii="Times New Roman" w:eastAsia="MS Mincho" w:hAnsi="Times New Roman"/>
          <w:sz w:val="26"/>
          <w:szCs w:val="26"/>
          <w:lang w:eastAsia="ja-JP"/>
        </w:rPr>
        <w:t>, piesaistot ārpakalpojuma sniedzējus,</w:t>
      </w:r>
      <w:r w:rsidRPr="0003106C">
        <w:rPr>
          <w:rFonts w:ascii="Times New Roman" w:eastAsia="MS Mincho" w:hAnsi="Times New Roman"/>
          <w:sz w:val="26"/>
          <w:szCs w:val="26"/>
          <w:lang w:eastAsia="ja-JP"/>
        </w:rPr>
        <w:t xml:space="preserve"> sadarbībā ar</w:t>
      </w:r>
      <w:r w:rsidR="00A97071" w:rsidRPr="0003106C">
        <w:rPr>
          <w:rFonts w:ascii="Times New Roman" w:eastAsia="MS Mincho" w:hAnsi="Times New Roman"/>
          <w:sz w:val="26"/>
          <w:szCs w:val="26"/>
          <w:lang w:eastAsia="ja-JP"/>
        </w:rPr>
        <w:t xml:space="preserve"> Ekonomika</w:t>
      </w:r>
      <w:r w:rsidRPr="0003106C">
        <w:rPr>
          <w:rFonts w:ascii="Times New Roman" w:eastAsia="MS Mincho" w:hAnsi="Times New Roman"/>
          <w:sz w:val="26"/>
          <w:szCs w:val="26"/>
          <w:lang w:eastAsia="ja-JP"/>
        </w:rPr>
        <w:t>s ministriju</w:t>
      </w:r>
      <w:r w:rsidR="00A97071" w:rsidRPr="0003106C">
        <w:rPr>
          <w:rFonts w:ascii="Times New Roman" w:eastAsia="MS Mincho" w:hAnsi="Times New Roman"/>
          <w:sz w:val="26"/>
          <w:szCs w:val="26"/>
          <w:lang w:eastAsia="ja-JP"/>
        </w:rPr>
        <w:t>, Ārlietu ministrij</w:t>
      </w:r>
      <w:r w:rsidRPr="0003106C">
        <w:rPr>
          <w:rFonts w:ascii="Times New Roman" w:eastAsia="MS Mincho" w:hAnsi="Times New Roman"/>
          <w:sz w:val="26"/>
          <w:szCs w:val="26"/>
          <w:lang w:eastAsia="ja-JP"/>
        </w:rPr>
        <w:t>u</w:t>
      </w:r>
      <w:r w:rsidR="00A97071" w:rsidRPr="0003106C">
        <w:rPr>
          <w:rFonts w:ascii="Times New Roman" w:eastAsia="MS Mincho" w:hAnsi="Times New Roman"/>
          <w:sz w:val="26"/>
          <w:szCs w:val="26"/>
          <w:lang w:eastAsia="ja-JP"/>
        </w:rPr>
        <w:t xml:space="preserve"> izstrādāt mārketinga plānus augsti prioritārajām un prioritārajām mērķa valstīm Zviedrija, Norvēģij</w:t>
      </w:r>
      <w:r w:rsidR="000744B7" w:rsidRPr="0003106C">
        <w:rPr>
          <w:rFonts w:ascii="Times New Roman" w:eastAsia="MS Mincho" w:hAnsi="Times New Roman"/>
          <w:sz w:val="26"/>
          <w:szCs w:val="26"/>
          <w:lang w:eastAsia="ja-JP"/>
        </w:rPr>
        <w:t>a, Dānija, Vācija un Apvienotā K</w:t>
      </w:r>
      <w:r w:rsidR="00A97071" w:rsidRPr="0003106C">
        <w:rPr>
          <w:rFonts w:ascii="Times New Roman" w:eastAsia="MS Mincho" w:hAnsi="Times New Roman"/>
          <w:sz w:val="26"/>
          <w:szCs w:val="26"/>
          <w:lang w:eastAsia="ja-JP"/>
        </w:rPr>
        <w:t>araliste).</w:t>
      </w:r>
    </w:p>
    <w:p w:rsidR="001D596D" w:rsidRPr="0003106C" w:rsidRDefault="001D596D" w:rsidP="006D0373">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LIAA, Latvijas Ārējā</w:t>
      </w:r>
      <w:r w:rsidR="0056718A" w:rsidRPr="0003106C">
        <w:rPr>
          <w:rFonts w:ascii="Times New Roman" w:eastAsia="MS Mincho" w:hAnsi="Times New Roman"/>
          <w:sz w:val="26"/>
          <w:szCs w:val="26"/>
          <w:lang w:eastAsia="ja-JP"/>
        </w:rPr>
        <w:t>m</w:t>
      </w:r>
      <w:r w:rsidRPr="0003106C">
        <w:rPr>
          <w:rFonts w:ascii="Times New Roman" w:eastAsia="MS Mincho" w:hAnsi="Times New Roman"/>
          <w:sz w:val="26"/>
          <w:szCs w:val="26"/>
          <w:lang w:eastAsia="ja-JP"/>
        </w:rPr>
        <w:t xml:space="preserve"> ekonomisk</w:t>
      </w:r>
      <w:r w:rsidR="00A36818" w:rsidRPr="0003106C">
        <w:rPr>
          <w:rFonts w:ascii="Times New Roman" w:eastAsia="MS Mincho" w:hAnsi="Times New Roman"/>
          <w:sz w:val="26"/>
          <w:szCs w:val="26"/>
          <w:lang w:eastAsia="ja-JP"/>
        </w:rPr>
        <w:t>aj</w:t>
      </w:r>
      <w:r w:rsidRPr="0003106C">
        <w:rPr>
          <w:rFonts w:ascii="Times New Roman" w:eastAsia="MS Mincho" w:hAnsi="Times New Roman"/>
          <w:sz w:val="26"/>
          <w:szCs w:val="26"/>
          <w:lang w:eastAsia="ja-JP"/>
        </w:rPr>
        <w:t>ā</w:t>
      </w:r>
      <w:r w:rsidR="0056718A" w:rsidRPr="0003106C">
        <w:rPr>
          <w:rFonts w:ascii="Times New Roman" w:eastAsia="MS Mincho" w:hAnsi="Times New Roman"/>
          <w:sz w:val="26"/>
          <w:szCs w:val="26"/>
          <w:lang w:eastAsia="ja-JP"/>
        </w:rPr>
        <w:t>m</w:t>
      </w:r>
      <w:r w:rsidRPr="0003106C">
        <w:rPr>
          <w:rFonts w:ascii="Times New Roman" w:eastAsia="MS Mincho" w:hAnsi="Times New Roman"/>
          <w:sz w:val="26"/>
          <w:szCs w:val="26"/>
          <w:lang w:eastAsia="ja-JP"/>
        </w:rPr>
        <w:t xml:space="preserve"> pārstāvniecībām sadarbībā ar Latvijas Institūtu, Latvijas diplomātiskajām un konsulārajām pārstāvniecībām nodrošināt </w:t>
      </w:r>
      <w:r w:rsidR="00583025" w:rsidRPr="0003106C">
        <w:rPr>
          <w:rFonts w:ascii="Times New Roman" w:eastAsia="MS Mincho" w:hAnsi="Times New Roman"/>
          <w:sz w:val="26"/>
          <w:szCs w:val="26"/>
          <w:lang w:eastAsia="ja-JP"/>
        </w:rPr>
        <w:t xml:space="preserve">ĀTI </w:t>
      </w:r>
      <w:r w:rsidR="00C91378" w:rsidRPr="0003106C">
        <w:rPr>
          <w:rFonts w:ascii="Times New Roman" w:eastAsia="MS Mincho" w:hAnsi="Times New Roman"/>
          <w:sz w:val="26"/>
          <w:szCs w:val="26"/>
          <w:lang w:eastAsia="ja-JP"/>
        </w:rPr>
        <w:t>piesaistes</w:t>
      </w:r>
      <w:r w:rsidR="00583025" w:rsidRPr="0003106C">
        <w:rPr>
          <w:rFonts w:ascii="Times New Roman" w:eastAsia="MS Mincho" w:hAnsi="Times New Roman"/>
          <w:sz w:val="26"/>
          <w:szCs w:val="26"/>
          <w:lang w:eastAsia="ja-JP"/>
        </w:rPr>
        <w:t xml:space="preserve"> </w:t>
      </w:r>
      <w:r w:rsidR="00C91378" w:rsidRPr="0003106C">
        <w:rPr>
          <w:rFonts w:ascii="Times New Roman" w:eastAsia="MS Mincho" w:hAnsi="Times New Roman"/>
          <w:sz w:val="26"/>
          <w:szCs w:val="26"/>
          <w:lang w:eastAsia="ja-JP"/>
        </w:rPr>
        <w:t>politikas</w:t>
      </w:r>
      <w:r w:rsidR="00583025" w:rsidRPr="0003106C">
        <w:rPr>
          <w:rFonts w:ascii="Times New Roman" w:eastAsia="MS Mincho" w:hAnsi="Times New Roman"/>
          <w:sz w:val="26"/>
          <w:szCs w:val="26"/>
          <w:lang w:eastAsia="ja-JP"/>
        </w:rPr>
        <w:t xml:space="preserve"> </w:t>
      </w:r>
      <w:r w:rsidRPr="0003106C">
        <w:rPr>
          <w:rFonts w:ascii="Times New Roman" w:eastAsia="MS Mincho" w:hAnsi="Times New Roman"/>
          <w:sz w:val="26"/>
          <w:szCs w:val="26"/>
          <w:lang w:eastAsia="ja-JP"/>
        </w:rPr>
        <w:t>aktualitāšu un nozīmīgāko investīciju projektu veiksmes stāstu publisko</w:t>
      </w:r>
      <w:r w:rsidR="00C91378" w:rsidRPr="0003106C">
        <w:rPr>
          <w:rFonts w:ascii="Times New Roman" w:eastAsia="MS Mincho" w:hAnsi="Times New Roman"/>
          <w:sz w:val="26"/>
          <w:szCs w:val="26"/>
          <w:lang w:eastAsia="ja-JP"/>
        </w:rPr>
        <w:t>šanu Latvijā un ārvalstīs</w:t>
      </w:r>
      <w:r w:rsidRPr="0003106C">
        <w:rPr>
          <w:rFonts w:ascii="Times New Roman" w:eastAsia="MS Mincho" w:hAnsi="Times New Roman"/>
          <w:sz w:val="26"/>
          <w:szCs w:val="26"/>
          <w:lang w:eastAsia="ja-JP"/>
        </w:rPr>
        <w:t>.</w:t>
      </w:r>
    </w:p>
    <w:p w:rsidR="00F63D55" w:rsidRPr="0003106C" w:rsidRDefault="001D596D" w:rsidP="006D0373">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Latvijas Ārējā</w:t>
      </w:r>
      <w:r w:rsidR="0056718A" w:rsidRPr="0003106C">
        <w:rPr>
          <w:rFonts w:ascii="Times New Roman" w:eastAsia="MS Mincho" w:hAnsi="Times New Roman"/>
          <w:sz w:val="26"/>
          <w:szCs w:val="26"/>
          <w:lang w:eastAsia="ja-JP"/>
        </w:rPr>
        <w:t>m</w:t>
      </w:r>
      <w:r w:rsidRPr="0003106C">
        <w:rPr>
          <w:rFonts w:ascii="Times New Roman" w:eastAsia="MS Mincho" w:hAnsi="Times New Roman"/>
          <w:sz w:val="26"/>
          <w:szCs w:val="26"/>
          <w:lang w:eastAsia="ja-JP"/>
        </w:rPr>
        <w:t xml:space="preserve"> ekonomisk</w:t>
      </w:r>
      <w:r w:rsidR="00A36818" w:rsidRPr="0003106C">
        <w:rPr>
          <w:rFonts w:ascii="Times New Roman" w:eastAsia="MS Mincho" w:hAnsi="Times New Roman"/>
          <w:sz w:val="26"/>
          <w:szCs w:val="26"/>
          <w:lang w:eastAsia="ja-JP"/>
        </w:rPr>
        <w:t>aj</w:t>
      </w:r>
      <w:r w:rsidRPr="0003106C">
        <w:rPr>
          <w:rFonts w:ascii="Times New Roman" w:eastAsia="MS Mincho" w:hAnsi="Times New Roman"/>
          <w:sz w:val="26"/>
          <w:szCs w:val="26"/>
          <w:lang w:eastAsia="ja-JP"/>
        </w:rPr>
        <w:t>ā</w:t>
      </w:r>
      <w:r w:rsidR="0056718A" w:rsidRPr="0003106C">
        <w:rPr>
          <w:rFonts w:ascii="Times New Roman" w:eastAsia="MS Mincho" w:hAnsi="Times New Roman"/>
          <w:sz w:val="26"/>
          <w:szCs w:val="26"/>
          <w:lang w:eastAsia="ja-JP"/>
        </w:rPr>
        <w:t>m</w:t>
      </w:r>
      <w:r w:rsidRPr="0003106C">
        <w:rPr>
          <w:rFonts w:ascii="Times New Roman" w:eastAsia="MS Mincho" w:hAnsi="Times New Roman"/>
          <w:sz w:val="26"/>
          <w:szCs w:val="26"/>
          <w:lang w:eastAsia="ja-JP"/>
        </w:rPr>
        <w:t xml:space="preserve"> pārstāvniecībām, piesaistot ārvalstu </w:t>
      </w:r>
      <w:r w:rsidR="00774EE5" w:rsidRPr="0003106C">
        <w:rPr>
          <w:rFonts w:ascii="Times New Roman" w:eastAsia="MS Mincho" w:hAnsi="Times New Roman"/>
          <w:sz w:val="26"/>
          <w:szCs w:val="26"/>
          <w:lang w:eastAsia="ja-JP"/>
        </w:rPr>
        <w:t>kompānijas</w:t>
      </w:r>
      <w:r w:rsidR="0056718A" w:rsidRPr="0003106C">
        <w:rPr>
          <w:rFonts w:ascii="Times New Roman" w:eastAsia="MS Mincho" w:hAnsi="Times New Roman"/>
          <w:sz w:val="26"/>
          <w:szCs w:val="26"/>
          <w:lang w:eastAsia="ja-JP"/>
        </w:rPr>
        <w:t>,</w:t>
      </w:r>
      <w:r w:rsidRPr="0003106C">
        <w:rPr>
          <w:rFonts w:ascii="Times New Roman" w:eastAsia="MS Mincho" w:hAnsi="Times New Roman"/>
          <w:sz w:val="26"/>
          <w:szCs w:val="26"/>
          <w:lang w:eastAsia="ja-JP"/>
        </w:rPr>
        <w:t xml:space="preserve"> organizēt mārketinga kampaņas mērķa valstīs mērķa nozarēs (potenciālo investoru atlase, individuāla piedāvāju</w:t>
      </w:r>
      <w:r w:rsidR="00C91378" w:rsidRPr="0003106C">
        <w:rPr>
          <w:rFonts w:ascii="Times New Roman" w:eastAsia="MS Mincho" w:hAnsi="Times New Roman"/>
          <w:sz w:val="26"/>
          <w:szCs w:val="26"/>
          <w:lang w:eastAsia="ja-JP"/>
        </w:rPr>
        <w:t>ma izstrāde un uzrunāšana)</w:t>
      </w:r>
      <w:r w:rsidRPr="0003106C">
        <w:rPr>
          <w:rFonts w:ascii="Times New Roman" w:eastAsia="MS Mincho" w:hAnsi="Times New Roman"/>
          <w:sz w:val="26"/>
          <w:szCs w:val="26"/>
          <w:lang w:eastAsia="ja-JP"/>
        </w:rPr>
        <w:t>.</w:t>
      </w:r>
    </w:p>
    <w:p w:rsidR="00350193" w:rsidRPr="0003106C" w:rsidRDefault="00350193" w:rsidP="00350193">
      <w:pPr>
        <w:pStyle w:val="ListParagraph"/>
        <w:numPr>
          <w:ilvl w:val="0"/>
          <w:numId w:val="28"/>
        </w:numPr>
        <w:spacing w:after="80" w:line="240" w:lineRule="auto"/>
        <w:ind w:left="993" w:hanging="426"/>
        <w:contextualSpacing w:val="0"/>
        <w:jc w:val="both"/>
        <w:rPr>
          <w:rFonts w:ascii="Times New Roman" w:eastAsia="MS Mincho" w:hAnsi="Times New Roman"/>
          <w:sz w:val="26"/>
          <w:szCs w:val="26"/>
          <w:lang w:eastAsia="ja-JP"/>
        </w:rPr>
      </w:pPr>
      <w:r w:rsidRPr="0003106C">
        <w:rPr>
          <w:rFonts w:ascii="Times New Roman" w:eastAsia="MS Mincho" w:hAnsi="Times New Roman"/>
          <w:sz w:val="26"/>
          <w:szCs w:val="26"/>
          <w:lang w:eastAsia="ja-JP"/>
        </w:rPr>
        <w:t>LIAA veikt projektu pēcapkalpošanu (noskaidrojot investīciju projekta ieviešanas rezultātus, iniciējot turpmāko atbalstu).</w:t>
      </w:r>
    </w:p>
    <w:p w:rsidR="00D02EC6" w:rsidRPr="0003106C" w:rsidRDefault="00D02EC6" w:rsidP="00C27B8F">
      <w:pPr>
        <w:pStyle w:val="Heading2"/>
        <w:tabs>
          <w:tab w:val="left" w:pos="851"/>
        </w:tabs>
        <w:autoSpaceDE w:val="0"/>
        <w:autoSpaceDN w:val="0"/>
        <w:adjustRightInd w:val="0"/>
        <w:spacing w:before="0"/>
        <w:ind w:left="360"/>
        <w:rPr>
          <w:rFonts w:ascii="Times New Roman" w:eastAsia="Calibri" w:hAnsi="Times New Roman" w:cs="Times New Roman"/>
          <w:bCs w:val="0"/>
          <w:i w:val="0"/>
          <w:iCs w:val="0"/>
          <w:sz w:val="26"/>
          <w:szCs w:val="26"/>
        </w:rPr>
      </w:pPr>
    </w:p>
    <w:p w:rsidR="005242E4" w:rsidRPr="0003106C" w:rsidRDefault="000D0D0C" w:rsidP="00C27B8F">
      <w:pPr>
        <w:pStyle w:val="Heading2"/>
        <w:tabs>
          <w:tab w:val="left" w:pos="851"/>
        </w:tabs>
        <w:autoSpaceDE w:val="0"/>
        <w:autoSpaceDN w:val="0"/>
        <w:adjustRightInd w:val="0"/>
        <w:spacing w:before="0"/>
        <w:ind w:left="360"/>
        <w:rPr>
          <w:rFonts w:ascii="Times New Roman" w:eastAsia="Calibri" w:hAnsi="Times New Roman" w:cs="Times New Roman"/>
          <w:bCs w:val="0"/>
          <w:i w:val="0"/>
          <w:iCs w:val="0"/>
          <w:sz w:val="26"/>
          <w:szCs w:val="26"/>
        </w:rPr>
      </w:pPr>
      <w:bookmarkStart w:id="36" w:name="_Toc355961049"/>
      <w:r w:rsidRPr="0003106C">
        <w:rPr>
          <w:rFonts w:ascii="Times New Roman" w:eastAsia="Calibri" w:hAnsi="Times New Roman" w:cs="Times New Roman"/>
          <w:bCs w:val="0"/>
          <w:i w:val="0"/>
          <w:iCs w:val="0"/>
          <w:sz w:val="26"/>
          <w:szCs w:val="26"/>
        </w:rPr>
        <w:t>4</w:t>
      </w:r>
      <w:r w:rsidR="005242E4" w:rsidRPr="0003106C">
        <w:rPr>
          <w:rFonts w:ascii="Times New Roman" w:eastAsia="Calibri" w:hAnsi="Times New Roman" w:cs="Times New Roman"/>
          <w:bCs w:val="0"/>
          <w:i w:val="0"/>
          <w:iCs w:val="0"/>
          <w:sz w:val="26"/>
          <w:szCs w:val="26"/>
        </w:rPr>
        <w:t>.</w:t>
      </w:r>
      <w:r w:rsidRPr="0003106C">
        <w:rPr>
          <w:rFonts w:ascii="Times New Roman" w:eastAsia="Calibri" w:hAnsi="Times New Roman" w:cs="Times New Roman"/>
          <w:bCs w:val="0"/>
          <w:i w:val="0"/>
          <w:iCs w:val="0"/>
          <w:sz w:val="26"/>
          <w:szCs w:val="26"/>
        </w:rPr>
        <w:t>4.</w:t>
      </w:r>
      <w:r w:rsidR="005242E4" w:rsidRPr="0003106C">
        <w:rPr>
          <w:rFonts w:ascii="Times New Roman" w:eastAsia="Calibri" w:hAnsi="Times New Roman" w:cs="Times New Roman"/>
          <w:bCs w:val="0"/>
          <w:i w:val="0"/>
          <w:iCs w:val="0"/>
          <w:sz w:val="26"/>
          <w:szCs w:val="26"/>
        </w:rPr>
        <w:t> Valsts augstāko amatpersonu vizītes</w:t>
      </w:r>
      <w:bookmarkEnd w:id="36"/>
      <w:r w:rsidR="005242E4" w:rsidRPr="0003106C">
        <w:rPr>
          <w:rFonts w:ascii="Times New Roman" w:eastAsia="Calibri" w:hAnsi="Times New Roman" w:cs="Times New Roman"/>
          <w:bCs w:val="0"/>
          <w:i w:val="0"/>
          <w:iCs w:val="0"/>
          <w:sz w:val="26"/>
          <w:szCs w:val="26"/>
        </w:rPr>
        <w:t xml:space="preserve"> </w:t>
      </w:r>
    </w:p>
    <w:p w:rsidR="000C306A" w:rsidRPr="0003106C" w:rsidRDefault="000C306A" w:rsidP="000C306A">
      <w:pPr>
        <w:ind w:firstLine="567"/>
        <w:jc w:val="both"/>
        <w:rPr>
          <w:sz w:val="26"/>
          <w:szCs w:val="26"/>
        </w:rPr>
      </w:pPr>
      <w:r w:rsidRPr="0003106C">
        <w:rPr>
          <w:sz w:val="26"/>
          <w:szCs w:val="26"/>
        </w:rPr>
        <w:t xml:space="preserve">Līdzšinējā praksē augstu valsts amatpersonu – Valsts prezidenta, Ministru prezidenta, kā arī ministru – vizītes ne vienmēr ir pietiekoši labi koordinētas no valsts ārējo ekonomisko interešu viedokļa. </w:t>
      </w:r>
    </w:p>
    <w:p w:rsidR="005242E4" w:rsidRPr="0003106C" w:rsidRDefault="005242E4" w:rsidP="005242E4">
      <w:pPr>
        <w:ind w:firstLine="567"/>
        <w:jc w:val="both"/>
        <w:rPr>
          <w:sz w:val="26"/>
          <w:szCs w:val="26"/>
        </w:rPr>
      </w:pPr>
      <w:r w:rsidRPr="0003106C">
        <w:rPr>
          <w:sz w:val="26"/>
          <w:szCs w:val="26"/>
        </w:rPr>
        <w:t xml:space="preserve">Augstu amatpersonu vizīšu organizēšanā atkarībā no specifikas tiek iesaistīti nevalstiskie partneri – LTRK, LDDK, </w:t>
      </w:r>
      <w:r w:rsidR="00227C32" w:rsidRPr="0003106C">
        <w:rPr>
          <w:sz w:val="26"/>
          <w:szCs w:val="26"/>
        </w:rPr>
        <w:t>FICIL</w:t>
      </w:r>
      <w:r w:rsidRPr="0003106C">
        <w:rPr>
          <w:sz w:val="26"/>
          <w:szCs w:val="26"/>
        </w:rPr>
        <w:t xml:space="preserve">, investorus pārstāvošās nevalstiskās organizācijas, kuri palīdz nodrošināt atbilstošu dalībnieku pārstāvību, pārrunājamo jautājumu loku. Latvijas interešu pārstāvēšanā </w:t>
      </w:r>
      <w:r w:rsidR="004F77FE" w:rsidRPr="0003106C">
        <w:rPr>
          <w:sz w:val="26"/>
          <w:szCs w:val="26"/>
        </w:rPr>
        <w:t xml:space="preserve">jānodrošina </w:t>
      </w:r>
      <w:r w:rsidRPr="0003106C">
        <w:rPr>
          <w:sz w:val="26"/>
          <w:szCs w:val="26"/>
        </w:rPr>
        <w:t>vienota pieeja tās reklamēšanā un iespēju piedāvāšanā</w:t>
      </w:r>
      <w:r w:rsidR="004F77FE" w:rsidRPr="0003106C">
        <w:rPr>
          <w:sz w:val="26"/>
          <w:szCs w:val="26"/>
        </w:rPr>
        <w:t xml:space="preserve">. </w:t>
      </w:r>
    </w:p>
    <w:p w:rsidR="000C306A" w:rsidRPr="0003106C" w:rsidRDefault="000C306A" w:rsidP="000C306A">
      <w:pPr>
        <w:ind w:firstLine="567"/>
        <w:jc w:val="both"/>
        <w:rPr>
          <w:sz w:val="26"/>
          <w:szCs w:val="26"/>
        </w:rPr>
      </w:pPr>
      <w:r w:rsidRPr="0003106C">
        <w:rPr>
          <w:sz w:val="26"/>
          <w:szCs w:val="26"/>
        </w:rPr>
        <w:t>Ņemot vērā ierobežotos resursus, valsts institūcijām ir pārdomāti un plānveidīgi jāorganizē augstu amatpersonu vizītes un to darba programmas, saturiski koncentrējoties uz stratēģiski nozīmīgu ar Latvijas eksporta veicināšanu un ĀTI piesaisti saistītu jautājumu risināšanu.</w:t>
      </w:r>
    </w:p>
    <w:p w:rsidR="00384DDE" w:rsidRPr="0003106C" w:rsidRDefault="00CB7DA7" w:rsidP="00384DDE">
      <w:pPr>
        <w:ind w:firstLine="567"/>
        <w:jc w:val="both"/>
        <w:rPr>
          <w:rFonts w:eastAsia="PMingLiU"/>
          <w:iCs/>
          <w:sz w:val="26"/>
          <w:szCs w:val="26"/>
        </w:rPr>
      </w:pPr>
      <w:r w:rsidRPr="0003106C">
        <w:rPr>
          <w:rFonts w:eastAsia="PMingLiU"/>
          <w:iCs/>
          <w:sz w:val="26"/>
          <w:szCs w:val="26"/>
        </w:rPr>
        <w:t>A</w:t>
      </w:r>
      <w:r w:rsidR="00384DDE" w:rsidRPr="0003106C">
        <w:rPr>
          <w:sz w:val="26"/>
          <w:szCs w:val="26"/>
        </w:rPr>
        <w:t>ugstu valsts amatpersonu vizī</w:t>
      </w:r>
      <w:r w:rsidRPr="0003106C">
        <w:rPr>
          <w:sz w:val="26"/>
          <w:szCs w:val="26"/>
        </w:rPr>
        <w:t xml:space="preserve">šu organizēšana notiek saskaņā ar </w:t>
      </w:r>
      <w:r w:rsidR="00384DDE" w:rsidRPr="0003106C">
        <w:rPr>
          <w:sz w:val="26"/>
          <w:szCs w:val="26"/>
        </w:rPr>
        <w:t xml:space="preserve"> </w:t>
      </w:r>
      <w:r w:rsidR="00384DDE" w:rsidRPr="0003106C">
        <w:rPr>
          <w:rFonts w:eastAsia="PMingLiU"/>
          <w:iCs/>
          <w:sz w:val="26"/>
          <w:szCs w:val="26"/>
        </w:rPr>
        <w:t>Ārējās ekonomiskās politikas koordinācijas padomē apstiprin</w:t>
      </w:r>
      <w:r w:rsidRPr="0003106C">
        <w:rPr>
          <w:rFonts w:eastAsia="PMingLiU"/>
          <w:iCs/>
          <w:sz w:val="26"/>
          <w:szCs w:val="26"/>
        </w:rPr>
        <w:t>ātām</w:t>
      </w:r>
      <w:r w:rsidR="00384DDE" w:rsidRPr="0003106C">
        <w:rPr>
          <w:rFonts w:eastAsia="PMingLiU"/>
          <w:iCs/>
          <w:sz w:val="26"/>
          <w:szCs w:val="26"/>
        </w:rPr>
        <w:t xml:space="preserve"> vadl</w:t>
      </w:r>
      <w:r w:rsidR="00384DDE" w:rsidRPr="0003106C">
        <w:rPr>
          <w:rFonts w:eastAsia="PMingLiU"/>
          <w:sz w:val="26"/>
          <w:szCs w:val="26"/>
        </w:rPr>
        <w:t>ī</w:t>
      </w:r>
      <w:r w:rsidR="00384DDE" w:rsidRPr="0003106C">
        <w:rPr>
          <w:rFonts w:eastAsia="PMingLiU"/>
          <w:iCs/>
          <w:sz w:val="26"/>
          <w:szCs w:val="26"/>
        </w:rPr>
        <w:t>nij</w:t>
      </w:r>
      <w:r w:rsidRPr="0003106C">
        <w:rPr>
          <w:rFonts w:eastAsia="PMingLiU"/>
          <w:iCs/>
          <w:sz w:val="26"/>
          <w:szCs w:val="26"/>
        </w:rPr>
        <w:t>ām.</w:t>
      </w:r>
    </w:p>
    <w:p w:rsidR="005242E4" w:rsidRPr="0003106C" w:rsidRDefault="005242E4" w:rsidP="005242E4">
      <w:pPr>
        <w:ind w:firstLine="567"/>
        <w:jc w:val="both"/>
        <w:rPr>
          <w:sz w:val="26"/>
          <w:szCs w:val="26"/>
        </w:rPr>
      </w:pPr>
      <w:r w:rsidRPr="0003106C">
        <w:rPr>
          <w:sz w:val="26"/>
          <w:szCs w:val="26"/>
        </w:rPr>
        <w:t xml:space="preserve">Lai nodrošinātu ārvalstu vizīšu rezultātu ieviešanas institucionalizāciju un to īstenošanas uzraudzību, informācija par vizīšu rezultātā iniciētām aktivitātēm ir jāiekļauj vienotajā informācijas sistēmā. </w:t>
      </w:r>
    </w:p>
    <w:p w:rsidR="000D7C51" w:rsidRPr="0003106C" w:rsidRDefault="000D7C51" w:rsidP="00FF346F">
      <w:pPr>
        <w:pStyle w:val="Heading1"/>
        <w:spacing w:after="120"/>
        <w:jc w:val="both"/>
        <w:rPr>
          <w:rFonts w:eastAsia="Calibri"/>
          <w:b/>
          <w:bCs/>
          <w:szCs w:val="28"/>
          <w:lang w:eastAsia="ja-JP"/>
        </w:rPr>
      </w:pPr>
      <w:r w:rsidRPr="0003106C">
        <w:rPr>
          <w:sz w:val="26"/>
          <w:szCs w:val="26"/>
        </w:rPr>
        <w:br w:type="page"/>
      </w:r>
      <w:bookmarkStart w:id="37" w:name="_Toc355961050"/>
      <w:r w:rsidR="003B167A" w:rsidRPr="0003106C">
        <w:rPr>
          <w:rFonts w:eastAsia="Calibri"/>
          <w:b/>
          <w:bCs/>
          <w:szCs w:val="28"/>
          <w:lang w:eastAsia="ja-JP"/>
        </w:rPr>
        <w:lastRenderedPageBreak/>
        <w:t>5</w:t>
      </w:r>
      <w:r w:rsidR="00073024" w:rsidRPr="0003106C">
        <w:rPr>
          <w:rFonts w:eastAsia="Calibri"/>
          <w:b/>
          <w:bCs/>
          <w:szCs w:val="28"/>
          <w:lang w:eastAsia="ja-JP"/>
        </w:rPr>
        <w:t>. </w:t>
      </w:r>
      <w:r w:rsidRPr="0003106C">
        <w:rPr>
          <w:rFonts w:eastAsia="Calibri"/>
          <w:b/>
          <w:bCs/>
          <w:szCs w:val="28"/>
          <w:lang w:eastAsia="ja-JP"/>
        </w:rPr>
        <w:t>Politikas plānošanas dokumenta ietekme uz valsts un pašvaldību budžetiem</w:t>
      </w:r>
      <w:bookmarkEnd w:id="37"/>
      <w:r w:rsidR="008266E0" w:rsidRPr="0003106C">
        <w:rPr>
          <w:rFonts w:eastAsia="Calibri"/>
          <w:b/>
          <w:bCs/>
          <w:szCs w:val="28"/>
          <w:lang w:eastAsia="ja-JP"/>
        </w:rPr>
        <w:t xml:space="preserve"> </w:t>
      </w:r>
    </w:p>
    <w:p w:rsidR="008266E0" w:rsidRPr="0003106C" w:rsidRDefault="008266E0" w:rsidP="008266E0">
      <w:pPr>
        <w:rPr>
          <w:rFonts w:eastAsia="Calibri"/>
          <w:color w:val="FF0000"/>
          <w:lang w:eastAsia="ja-JP"/>
        </w:rPr>
      </w:pPr>
    </w:p>
    <w:p w:rsidR="002628E0" w:rsidRPr="0003106C" w:rsidRDefault="00FF346F" w:rsidP="002628E0">
      <w:pPr>
        <w:pStyle w:val="ListParagraph"/>
        <w:ind w:left="1440"/>
        <w:jc w:val="right"/>
        <w:rPr>
          <w:rFonts w:ascii="Times New Roman" w:hAnsi="Times New Roman"/>
          <w:sz w:val="26"/>
          <w:szCs w:val="26"/>
          <w:lang w:eastAsia="ja-JP"/>
        </w:rPr>
      </w:pPr>
      <w:r w:rsidRPr="0003106C">
        <w:rPr>
          <w:rFonts w:ascii="Times New Roman" w:hAnsi="Times New Roman"/>
          <w:sz w:val="26"/>
          <w:szCs w:val="26"/>
          <w:lang w:eastAsia="ja-JP"/>
        </w:rPr>
        <w:t>2</w:t>
      </w:r>
      <w:r w:rsidR="002628E0" w:rsidRPr="0003106C">
        <w:rPr>
          <w:rFonts w:ascii="Times New Roman" w:hAnsi="Times New Roman"/>
          <w:sz w:val="26"/>
          <w:szCs w:val="26"/>
          <w:lang w:eastAsia="ja-JP"/>
        </w:rPr>
        <w:t>.tabula</w:t>
      </w:r>
    </w:p>
    <w:tbl>
      <w:tblPr>
        <w:tblW w:w="895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417"/>
        <w:gridCol w:w="283"/>
        <w:gridCol w:w="1560"/>
        <w:gridCol w:w="1837"/>
        <w:gridCol w:w="1837"/>
        <w:gridCol w:w="25"/>
      </w:tblGrid>
      <w:tr w:rsidR="001E0AA2" w:rsidRPr="0003106C" w:rsidTr="00F86D20">
        <w:trPr>
          <w:gridAfter w:val="1"/>
          <w:wAfter w:w="25" w:type="dxa"/>
          <w:trHeight w:val="263"/>
          <w:tblCellSpacing w:w="0" w:type="dxa"/>
        </w:trPr>
        <w:tc>
          <w:tcPr>
            <w:tcW w:w="3417" w:type="dxa"/>
            <w:vMerge w:val="restart"/>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65017F">
            <w:pPr>
              <w:spacing w:before="100" w:beforeAutospacing="1" w:after="100" w:afterAutospacing="1"/>
            </w:pPr>
            <w:r w:rsidRPr="0003106C">
              <w:t> </w:t>
            </w:r>
          </w:p>
        </w:tc>
        <w:tc>
          <w:tcPr>
            <w:tcW w:w="5517" w:type="dxa"/>
            <w:gridSpan w:val="4"/>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65017F">
            <w:pPr>
              <w:spacing w:before="100" w:beforeAutospacing="1" w:after="100" w:afterAutospacing="1"/>
              <w:jc w:val="center"/>
              <w:rPr>
                <w:b/>
              </w:rPr>
            </w:pPr>
            <w:r w:rsidRPr="0003106C">
              <w:rPr>
                <w:b/>
              </w:rPr>
              <w:t>Turpmākie trīs gadi (tūkst. latu)</w:t>
            </w:r>
          </w:p>
        </w:tc>
      </w:tr>
      <w:tr w:rsidR="001E0AA2" w:rsidRPr="0003106C" w:rsidTr="00F86D20">
        <w:trPr>
          <w:gridAfter w:val="1"/>
          <w:wAfter w:w="25" w:type="dxa"/>
          <w:trHeight w:val="138"/>
          <w:tblCellSpacing w:w="0" w:type="dxa"/>
        </w:trPr>
        <w:tc>
          <w:tcPr>
            <w:tcW w:w="3417" w:type="dxa"/>
            <w:vMerge/>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65017F"/>
        </w:tc>
        <w:tc>
          <w:tcPr>
            <w:tcW w:w="1843" w:type="dxa"/>
            <w:gridSpan w:val="2"/>
            <w:tcBorders>
              <w:top w:val="single" w:sz="6" w:space="0" w:color="808080"/>
              <w:left w:val="single" w:sz="6" w:space="0" w:color="808080"/>
              <w:bottom w:val="single" w:sz="6" w:space="0" w:color="808080"/>
              <w:right w:val="single" w:sz="6" w:space="0" w:color="808080"/>
            </w:tcBorders>
            <w:vAlign w:val="center"/>
          </w:tcPr>
          <w:p w:rsidR="000D7C51" w:rsidRPr="0003106C" w:rsidRDefault="006F5722" w:rsidP="00A96DA6">
            <w:pPr>
              <w:spacing w:before="100" w:beforeAutospacing="1" w:after="100" w:afterAutospacing="1"/>
              <w:jc w:val="center"/>
              <w:rPr>
                <w:b/>
              </w:rPr>
            </w:pPr>
            <w:r w:rsidRPr="0003106C">
              <w:rPr>
                <w:b/>
              </w:rPr>
              <w:t>2013</w:t>
            </w:r>
            <w:r w:rsidR="000D7C51" w:rsidRPr="0003106C">
              <w:rPr>
                <w:b/>
              </w:rPr>
              <w:t>.</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6F5722" w:rsidP="00A96DA6">
            <w:pPr>
              <w:spacing w:before="100" w:beforeAutospacing="1" w:after="100" w:afterAutospacing="1"/>
              <w:jc w:val="center"/>
              <w:rPr>
                <w:b/>
              </w:rPr>
            </w:pPr>
            <w:r w:rsidRPr="0003106C">
              <w:rPr>
                <w:b/>
              </w:rPr>
              <w:t>2014</w:t>
            </w:r>
            <w:r w:rsidR="000D7C51" w:rsidRPr="0003106C">
              <w:rPr>
                <w:b/>
              </w:rPr>
              <w:t>.</w:t>
            </w:r>
            <w:r w:rsidR="0054151D" w:rsidRPr="0003106C">
              <w:rPr>
                <w:rStyle w:val="FootnoteReference"/>
                <w:b/>
              </w:rPr>
              <w:footnoteReference w:id="35"/>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6F5722" w:rsidP="00AA1442">
            <w:pPr>
              <w:spacing w:before="100" w:beforeAutospacing="1" w:after="100" w:afterAutospacing="1"/>
              <w:jc w:val="center"/>
              <w:rPr>
                <w:b/>
              </w:rPr>
            </w:pPr>
            <w:r w:rsidRPr="0003106C">
              <w:rPr>
                <w:b/>
              </w:rPr>
              <w:t>2015</w:t>
            </w:r>
            <w:r w:rsidR="000D7C51" w:rsidRPr="0003106C">
              <w:rPr>
                <w:b/>
              </w:rPr>
              <w:t>.</w:t>
            </w:r>
          </w:p>
        </w:tc>
      </w:tr>
      <w:tr w:rsidR="001E0AA2" w:rsidRPr="0003106C" w:rsidTr="00F86D20">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A96DA6">
            <w:pPr>
              <w:ind w:left="142" w:right="126"/>
            </w:pPr>
            <w:r w:rsidRPr="0003106C">
              <w:t>Kopējās izmaiņas budžeta ieņēmumos t.sk.:</w:t>
            </w:r>
          </w:p>
        </w:tc>
        <w:tc>
          <w:tcPr>
            <w:tcW w:w="1843" w:type="dxa"/>
            <w:gridSpan w:val="2"/>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F86D20">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65017F">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65017F">
            <w:pPr>
              <w:jc w:val="center"/>
            </w:pPr>
            <w:r w:rsidRPr="0003106C">
              <w:t>0</w:t>
            </w:r>
          </w:p>
        </w:tc>
      </w:tr>
      <w:tr w:rsidR="001E0AA2" w:rsidRPr="0003106C" w:rsidTr="00F86D20">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F86D20">
            <w:pPr>
              <w:ind w:left="426" w:right="126"/>
              <w:jc w:val="both"/>
            </w:pPr>
            <w:r w:rsidRPr="0003106C">
              <w:t>Izmaiņas valsts budžeta ieņēmumos</w:t>
            </w:r>
          </w:p>
        </w:tc>
        <w:tc>
          <w:tcPr>
            <w:tcW w:w="1843" w:type="dxa"/>
            <w:gridSpan w:val="2"/>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65017F">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65017F">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65017F">
            <w:pPr>
              <w:jc w:val="center"/>
            </w:pPr>
            <w:r w:rsidRPr="0003106C">
              <w:t>0</w:t>
            </w:r>
          </w:p>
        </w:tc>
      </w:tr>
      <w:tr w:rsidR="001E0AA2" w:rsidRPr="0003106C" w:rsidTr="00F86D20">
        <w:trPr>
          <w:gridAfter w:val="1"/>
          <w:wAfter w:w="25" w:type="dxa"/>
          <w:trHeight w:val="239"/>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F86D20">
            <w:pPr>
              <w:ind w:left="426" w:right="126"/>
              <w:jc w:val="both"/>
            </w:pPr>
            <w:r w:rsidRPr="0003106C">
              <w:t>Izmaiņas pašvaldību budžeta ieņēmumos</w:t>
            </w:r>
          </w:p>
        </w:tc>
        <w:tc>
          <w:tcPr>
            <w:tcW w:w="1843" w:type="dxa"/>
            <w:gridSpan w:val="2"/>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65017F">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D3AA5" w:rsidP="0065017F">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65017F">
            <w:pPr>
              <w:jc w:val="center"/>
            </w:pPr>
            <w:r w:rsidRPr="0003106C">
              <w:t>0</w:t>
            </w:r>
          </w:p>
        </w:tc>
      </w:tr>
      <w:tr w:rsidR="001E0AA2" w:rsidRPr="0003106C" w:rsidTr="00F86D20">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A96DA6">
            <w:pPr>
              <w:ind w:left="142" w:right="126"/>
              <w:jc w:val="both"/>
            </w:pPr>
            <w:r w:rsidRPr="0003106C">
              <w:t>Kopējās izmaiņas budžeta izdevumos t.sk.:</w:t>
            </w:r>
          </w:p>
        </w:tc>
        <w:tc>
          <w:tcPr>
            <w:tcW w:w="1843" w:type="dxa"/>
            <w:gridSpan w:val="2"/>
            <w:tcBorders>
              <w:top w:val="single" w:sz="6" w:space="0" w:color="808080"/>
              <w:left w:val="single" w:sz="6" w:space="0" w:color="808080"/>
              <w:bottom w:val="single" w:sz="6" w:space="0" w:color="808080"/>
              <w:right w:val="single" w:sz="6" w:space="0" w:color="808080"/>
            </w:tcBorders>
          </w:tcPr>
          <w:p w:rsidR="000D7C51" w:rsidRPr="0003106C" w:rsidRDefault="00B13A2D" w:rsidP="00B178F3">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tcPr>
          <w:p w:rsidR="000D7C51" w:rsidRPr="0003106C" w:rsidRDefault="00E160E1" w:rsidP="006629F1">
            <w:pPr>
              <w:jc w:val="center"/>
            </w:pPr>
            <w:r>
              <w:t>1 022</w:t>
            </w:r>
          </w:p>
        </w:tc>
        <w:tc>
          <w:tcPr>
            <w:tcW w:w="1837" w:type="dxa"/>
            <w:tcBorders>
              <w:top w:val="single" w:sz="6" w:space="0" w:color="808080"/>
              <w:left w:val="single" w:sz="6" w:space="0" w:color="808080"/>
              <w:bottom w:val="single" w:sz="6" w:space="0" w:color="808080"/>
              <w:right w:val="single" w:sz="6" w:space="0" w:color="808080"/>
            </w:tcBorders>
          </w:tcPr>
          <w:p w:rsidR="000D7C51" w:rsidRPr="0003106C" w:rsidRDefault="00AA1442" w:rsidP="00AD3AA5">
            <w:pPr>
              <w:jc w:val="center"/>
            </w:pPr>
            <w:r w:rsidRPr="0003106C">
              <w:t>1 6</w:t>
            </w:r>
            <w:r w:rsidR="006D03D6">
              <w:t>69</w:t>
            </w:r>
          </w:p>
        </w:tc>
      </w:tr>
      <w:tr w:rsidR="001E0AA2" w:rsidRPr="0003106C" w:rsidTr="00F86D20">
        <w:trPr>
          <w:gridAfter w:val="1"/>
          <w:wAfter w:w="25" w:type="dxa"/>
          <w:trHeight w:val="239"/>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F86D20">
            <w:pPr>
              <w:ind w:left="426" w:right="126"/>
              <w:jc w:val="both"/>
            </w:pPr>
            <w:r w:rsidRPr="0003106C">
              <w:t>Izmaiņas valsts budžeta izdevumos</w:t>
            </w:r>
          </w:p>
        </w:tc>
        <w:tc>
          <w:tcPr>
            <w:tcW w:w="1843" w:type="dxa"/>
            <w:gridSpan w:val="2"/>
            <w:tcBorders>
              <w:top w:val="single" w:sz="6" w:space="0" w:color="808080"/>
              <w:left w:val="single" w:sz="6" w:space="0" w:color="808080"/>
              <w:bottom w:val="single" w:sz="6" w:space="0" w:color="808080"/>
              <w:right w:val="single" w:sz="6" w:space="0" w:color="808080"/>
            </w:tcBorders>
          </w:tcPr>
          <w:p w:rsidR="009C4A55" w:rsidRPr="0003106C" w:rsidRDefault="00B13A2D" w:rsidP="00A96DA6">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tcPr>
          <w:p w:rsidR="000D7C51" w:rsidRPr="0003106C" w:rsidRDefault="00E160E1" w:rsidP="001A7D6B">
            <w:pPr>
              <w:jc w:val="center"/>
            </w:pPr>
            <w:r>
              <w:t>1 022</w:t>
            </w:r>
          </w:p>
        </w:tc>
        <w:tc>
          <w:tcPr>
            <w:tcW w:w="1837" w:type="dxa"/>
            <w:tcBorders>
              <w:top w:val="single" w:sz="6" w:space="0" w:color="808080"/>
              <w:left w:val="single" w:sz="6" w:space="0" w:color="808080"/>
              <w:bottom w:val="single" w:sz="6" w:space="0" w:color="808080"/>
              <w:right w:val="single" w:sz="6" w:space="0" w:color="808080"/>
            </w:tcBorders>
          </w:tcPr>
          <w:p w:rsidR="000D7C51" w:rsidRPr="0003106C" w:rsidRDefault="00E160E1" w:rsidP="00A96DA6">
            <w:pPr>
              <w:jc w:val="center"/>
            </w:pPr>
            <w:r>
              <w:t>1 6</w:t>
            </w:r>
            <w:r w:rsidR="006D03D6">
              <w:t>69</w:t>
            </w:r>
          </w:p>
        </w:tc>
      </w:tr>
      <w:tr w:rsidR="001E0AA2" w:rsidRPr="0003106C" w:rsidTr="00F86D20">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F86D20">
            <w:pPr>
              <w:ind w:left="426" w:right="126"/>
              <w:jc w:val="both"/>
            </w:pPr>
            <w:r w:rsidRPr="0003106C">
              <w:t>Izmaiņas pašvaldību budžeta izdevumos</w:t>
            </w:r>
          </w:p>
        </w:tc>
        <w:tc>
          <w:tcPr>
            <w:tcW w:w="1843" w:type="dxa"/>
            <w:gridSpan w:val="2"/>
            <w:tcBorders>
              <w:top w:val="single" w:sz="6" w:space="0" w:color="808080"/>
              <w:left w:val="single" w:sz="6" w:space="0" w:color="808080"/>
              <w:bottom w:val="single" w:sz="6" w:space="0" w:color="808080"/>
              <w:right w:val="single" w:sz="6" w:space="0" w:color="808080"/>
            </w:tcBorders>
            <w:vAlign w:val="center"/>
          </w:tcPr>
          <w:p w:rsidR="009C4A55" w:rsidRPr="0003106C" w:rsidRDefault="00A96DA6" w:rsidP="00A96DA6">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A96DA6">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A96DA6">
            <w:pPr>
              <w:jc w:val="center"/>
            </w:pPr>
            <w:r w:rsidRPr="0003106C">
              <w:t>0</w:t>
            </w:r>
          </w:p>
        </w:tc>
      </w:tr>
      <w:tr w:rsidR="001E0AA2" w:rsidRPr="0003106C" w:rsidTr="00F86D20">
        <w:trPr>
          <w:gridAfter w:val="1"/>
          <w:wAfter w:w="25" w:type="dxa"/>
          <w:trHeight w:val="239"/>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F86D20">
            <w:pPr>
              <w:ind w:left="426" w:right="126"/>
              <w:jc w:val="both"/>
            </w:pPr>
            <w:r w:rsidRPr="0003106C">
              <w:t>Kopējā finansiālā ietekme:</w:t>
            </w:r>
          </w:p>
        </w:tc>
        <w:tc>
          <w:tcPr>
            <w:tcW w:w="1843" w:type="dxa"/>
            <w:gridSpan w:val="2"/>
            <w:tcBorders>
              <w:top w:val="single" w:sz="6" w:space="0" w:color="808080"/>
              <w:left w:val="single" w:sz="6" w:space="0" w:color="808080"/>
              <w:bottom w:val="single" w:sz="6" w:space="0" w:color="808080"/>
              <w:right w:val="single" w:sz="6" w:space="0" w:color="808080"/>
            </w:tcBorders>
          </w:tcPr>
          <w:p w:rsidR="000D7C51" w:rsidRPr="0003106C" w:rsidRDefault="00B13A2D" w:rsidP="00A96DA6">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tcPr>
          <w:p w:rsidR="000D7C51" w:rsidRPr="0003106C" w:rsidRDefault="00897018" w:rsidP="00415FFF">
            <w:pPr>
              <w:jc w:val="center"/>
            </w:pPr>
            <w:r w:rsidRPr="0003106C">
              <w:t xml:space="preserve">- </w:t>
            </w:r>
            <w:r w:rsidR="00E160E1">
              <w:t>1 022</w:t>
            </w:r>
          </w:p>
        </w:tc>
        <w:tc>
          <w:tcPr>
            <w:tcW w:w="1837" w:type="dxa"/>
            <w:tcBorders>
              <w:top w:val="single" w:sz="6" w:space="0" w:color="808080"/>
              <w:left w:val="single" w:sz="6" w:space="0" w:color="808080"/>
              <w:bottom w:val="single" w:sz="6" w:space="0" w:color="808080"/>
              <w:right w:val="single" w:sz="6" w:space="0" w:color="808080"/>
            </w:tcBorders>
          </w:tcPr>
          <w:p w:rsidR="000D7C51" w:rsidRPr="0003106C" w:rsidRDefault="00A96DA6" w:rsidP="00AD3AA5">
            <w:pPr>
              <w:jc w:val="center"/>
            </w:pPr>
            <w:r w:rsidRPr="0003106C">
              <w:t xml:space="preserve">- </w:t>
            </w:r>
            <w:r w:rsidR="00AD3AA5" w:rsidRPr="0003106C">
              <w:t> </w:t>
            </w:r>
            <w:r w:rsidR="00E160E1">
              <w:t>1 6</w:t>
            </w:r>
            <w:r w:rsidR="006D03D6">
              <w:t>69</w:t>
            </w:r>
            <w:r w:rsidR="00AA1442" w:rsidRPr="0003106C">
              <w:rPr>
                <w:rFonts w:ascii="Calibri" w:hAnsi="Calibri" w:cs="Calibri"/>
                <w:sz w:val="22"/>
                <w:szCs w:val="22"/>
              </w:rPr>
              <w:t> </w:t>
            </w:r>
          </w:p>
        </w:tc>
      </w:tr>
      <w:tr w:rsidR="001E0AA2" w:rsidRPr="0003106C" w:rsidTr="00F86D20">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F86D20">
            <w:pPr>
              <w:ind w:left="426" w:right="126"/>
              <w:jc w:val="both"/>
            </w:pPr>
            <w:r w:rsidRPr="0003106C">
              <w:t>Finansiālā ietekme uz valsts budžetu</w:t>
            </w:r>
          </w:p>
        </w:tc>
        <w:tc>
          <w:tcPr>
            <w:tcW w:w="1843" w:type="dxa"/>
            <w:gridSpan w:val="2"/>
            <w:tcBorders>
              <w:top w:val="single" w:sz="6" w:space="0" w:color="808080"/>
              <w:left w:val="single" w:sz="6" w:space="0" w:color="808080"/>
              <w:bottom w:val="single" w:sz="6" w:space="0" w:color="808080"/>
              <w:right w:val="single" w:sz="6" w:space="0" w:color="808080"/>
            </w:tcBorders>
          </w:tcPr>
          <w:p w:rsidR="000D7C51" w:rsidRPr="0003106C" w:rsidRDefault="00B13A2D" w:rsidP="00A96DA6">
            <w:pPr>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tcPr>
          <w:p w:rsidR="000D7C51" w:rsidRPr="0003106C" w:rsidRDefault="00897018" w:rsidP="001A7D6B">
            <w:pPr>
              <w:jc w:val="center"/>
            </w:pPr>
            <w:r w:rsidRPr="0003106C">
              <w:t xml:space="preserve">- </w:t>
            </w:r>
            <w:r w:rsidR="00E160E1">
              <w:t>1 022</w:t>
            </w:r>
          </w:p>
        </w:tc>
        <w:tc>
          <w:tcPr>
            <w:tcW w:w="1837" w:type="dxa"/>
            <w:tcBorders>
              <w:top w:val="single" w:sz="6" w:space="0" w:color="808080"/>
              <w:left w:val="single" w:sz="6" w:space="0" w:color="808080"/>
              <w:bottom w:val="single" w:sz="6" w:space="0" w:color="808080"/>
              <w:right w:val="single" w:sz="6" w:space="0" w:color="808080"/>
            </w:tcBorders>
          </w:tcPr>
          <w:p w:rsidR="000D7C51" w:rsidRPr="0003106C" w:rsidRDefault="00A96DA6" w:rsidP="00852375">
            <w:pPr>
              <w:jc w:val="center"/>
            </w:pPr>
            <w:r w:rsidRPr="0003106C">
              <w:t>- </w:t>
            </w:r>
            <w:r w:rsidR="00852375" w:rsidRPr="0003106C">
              <w:t xml:space="preserve"> </w:t>
            </w:r>
            <w:r w:rsidR="00E160E1">
              <w:t>1 6</w:t>
            </w:r>
            <w:r w:rsidR="006D03D6">
              <w:t>69</w:t>
            </w:r>
            <w:r w:rsidR="00AA1442" w:rsidRPr="0003106C">
              <w:rPr>
                <w:rFonts w:ascii="Calibri" w:hAnsi="Calibri" w:cs="Calibri"/>
                <w:sz w:val="22"/>
                <w:szCs w:val="22"/>
              </w:rPr>
              <w:t> </w:t>
            </w:r>
          </w:p>
        </w:tc>
      </w:tr>
      <w:tr w:rsidR="001E0AA2" w:rsidRPr="0003106C" w:rsidTr="00F86D20">
        <w:trPr>
          <w:gridAfter w:val="1"/>
          <w:wAfter w:w="25" w:type="dxa"/>
          <w:trHeight w:val="239"/>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0D7C51" w:rsidP="00F86D20">
            <w:pPr>
              <w:spacing w:before="100" w:beforeAutospacing="1" w:after="100" w:afterAutospacing="1"/>
              <w:ind w:left="426" w:right="126"/>
              <w:jc w:val="both"/>
            </w:pPr>
            <w:r w:rsidRPr="0003106C">
              <w:t>Finansiālā ietekme uz pašvaldību budžetu</w:t>
            </w:r>
          </w:p>
        </w:tc>
        <w:tc>
          <w:tcPr>
            <w:tcW w:w="1843" w:type="dxa"/>
            <w:gridSpan w:val="2"/>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A96DA6">
            <w:pPr>
              <w:spacing w:before="100" w:beforeAutospacing="1" w:after="100" w:afterAutospacing="1"/>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A96DA6">
            <w:pPr>
              <w:spacing w:before="100" w:beforeAutospacing="1" w:after="100" w:afterAutospacing="1"/>
              <w:jc w:val="center"/>
            </w:pPr>
            <w:r w:rsidRPr="0003106C">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0D7C51" w:rsidRPr="0003106C" w:rsidRDefault="00A96DA6" w:rsidP="00A96DA6">
            <w:pPr>
              <w:spacing w:before="100" w:beforeAutospacing="1" w:after="100" w:afterAutospacing="1"/>
              <w:jc w:val="center"/>
            </w:pPr>
            <w:r w:rsidRPr="0003106C">
              <w:t>0</w:t>
            </w:r>
          </w:p>
        </w:tc>
      </w:tr>
      <w:tr w:rsidR="001E0AA2" w:rsidRPr="0003106C" w:rsidTr="00F86D20">
        <w:trPr>
          <w:tblCellSpacing w:w="0" w:type="dxa"/>
        </w:trPr>
        <w:tc>
          <w:tcPr>
            <w:tcW w:w="3700" w:type="dxa"/>
            <w:gridSpan w:val="2"/>
            <w:tcBorders>
              <w:top w:val="single" w:sz="6" w:space="0" w:color="808080"/>
              <w:left w:val="single" w:sz="6" w:space="0" w:color="808080"/>
              <w:bottom w:val="single" w:sz="6" w:space="0" w:color="808080"/>
              <w:right w:val="single" w:sz="6" w:space="0" w:color="808080"/>
            </w:tcBorders>
            <w:vAlign w:val="center"/>
          </w:tcPr>
          <w:p w:rsidR="00CB1647" w:rsidRPr="0003106C" w:rsidRDefault="00CB1647" w:rsidP="00E32A06">
            <w:pPr>
              <w:ind w:left="142" w:right="126"/>
              <w:jc w:val="both"/>
              <w:rPr>
                <w:i/>
              </w:rPr>
            </w:pPr>
            <w:r w:rsidRPr="0003106C">
              <w:rPr>
                <w:i/>
              </w:rPr>
              <w:t>Detalizēts ieņēmumu un izdevumu aprēķins</w:t>
            </w:r>
          </w:p>
          <w:p w:rsidR="00CB1647" w:rsidRPr="0003106C" w:rsidRDefault="00CB1647" w:rsidP="00E32A06">
            <w:pPr>
              <w:ind w:left="142" w:right="126"/>
              <w:jc w:val="both"/>
              <w:rPr>
                <w:i/>
              </w:rPr>
            </w:pPr>
            <w:r w:rsidRPr="0003106C">
              <w:rPr>
                <w:i/>
              </w:rPr>
              <w:t>(ja nepieciešams, detalizētu ieņēmumu un izdevumu aprēķinu pievieno politikas plānošanas dokumenta pielikumā. Ietekmi uz valsts un pašvaldību budžetiem norāda atsevišķi valsts un pašvaldību budžetam)</w:t>
            </w:r>
          </w:p>
          <w:p w:rsidR="00CB1647" w:rsidRPr="0003106C" w:rsidRDefault="00CB1647" w:rsidP="00E32A06">
            <w:pPr>
              <w:ind w:left="142" w:right="126"/>
            </w:pPr>
            <w:r w:rsidRPr="0003106C">
              <w:t>Detalizēts nepieciešamais finansējuma iekļauts 1.pielikumā</w:t>
            </w:r>
          </w:p>
        </w:tc>
        <w:tc>
          <w:tcPr>
            <w:tcW w:w="5259" w:type="dxa"/>
            <w:gridSpan w:val="4"/>
            <w:tcBorders>
              <w:top w:val="single" w:sz="6" w:space="0" w:color="808080"/>
              <w:left w:val="single" w:sz="6" w:space="0" w:color="808080"/>
              <w:bottom w:val="single" w:sz="6" w:space="0" w:color="808080"/>
              <w:right w:val="single" w:sz="6" w:space="0" w:color="808080"/>
            </w:tcBorders>
          </w:tcPr>
          <w:p w:rsidR="00C833C5" w:rsidRPr="0003106C" w:rsidRDefault="00C833C5" w:rsidP="00030C95">
            <w:pPr>
              <w:pStyle w:val="naisf"/>
              <w:spacing w:before="0" w:after="0"/>
              <w:ind w:left="127" w:right="126" w:firstLine="1"/>
            </w:pPr>
            <w:r w:rsidRPr="0003106C">
              <w:t>LIAA darbībai 2013</w:t>
            </w:r>
            <w:r w:rsidR="00D6408F" w:rsidRPr="0003106C">
              <w:t xml:space="preserve">.gadā valsts budžeta bāzes izdevumi ārējās ekonomiskās politikas ieviešanai un ārvalstu tiešo investīciju piesaistei ir 1 641 tūkst.latu, bet no ES fondu līdzekļiem: </w:t>
            </w:r>
            <w:r w:rsidRPr="0003106C">
              <w:t xml:space="preserve">1 671 tūkst.latu. </w:t>
            </w:r>
            <w:r w:rsidR="00CB1647" w:rsidRPr="0003106C">
              <w:t xml:space="preserve">Pamatnostādņu pasākumu plānā paredzēto pasākumu izpilde </w:t>
            </w:r>
            <w:r w:rsidR="00774EE5" w:rsidRPr="0003106C">
              <w:t xml:space="preserve">2013.gadā </w:t>
            </w:r>
            <w:r w:rsidR="00CB1647" w:rsidRPr="0003106C">
              <w:t xml:space="preserve">tiks nodrošināta kārtējā gada budžetā apstiprināto līdzekļu ietvaros, papildus finansējums nav nepieciešams, līdz ar to </w:t>
            </w:r>
            <w:r w:rsidR="001E15C4" w:rsidRPr="0003106C">
              <w:t>2013.gadā</w:t>
            </w:r>
            <w:r w:rsidR="00774EE5" w:rsidRPr="0003106C">
              <w:t xml:space="preserve"> </w:t>
            </w:r>
            <w:r w:rsidR="00CB1647" w:rsidRPr="0003106C">
              <w:t>ietekme uz valsts budžetu nav</w:t>
            </w:r>
            <w:r w:rsidR="002A5144" w:rsidRPr="0003106C">
              <w:t>.</w:t>
            </w:r>
            <w:r w:rsidR="00BF0B32" w:rsidRPr="0003106C">
              <w:t xml:space="preserve"> </w:t>
            </w:r>
          </w:p>
          <w:p w:rsidR="004F637C" w:rsidRPr="0003106C" w:rsidRDefault="002A5144" w:rsidP="008E6C04">
            <w:pPr>
              <w:pStyle w:val="naisf"/>
              <w:spacing w:before="0" w:after="0"/>
              <w:ind w:left="127" w:right="126" w:firstLine="1"/>
            </w:pPr>
            <w:r w:rsidRPr="0003106C">
              <w:t xml:space="preserve">LIAA </w:t>
            </w:r>
            <w:r w:rsidR="00030C95" w:rsidRPr="0003106C">
              <w:t xml:space="preserve">2014.gadā </w:t>
            </w:r>
            <w:r w:rsidRPr="0003106C">
              <w:t>papildus nepieciešami</w:t>
            </w:r>
            <w:r w:rsidR="00D37DCD" w:rsidRPr="0003106C">
              <w:t xml:space="preserve"> </w:t>
            </w:r>
            <w:r w:rsidR="0028633D">
              <w:t>1 022</w:t>
            </w:r>
            <w:r w:rsidR="008E6C04" w:rsidRPr="0003106C">
              <w:t> </w:t>
            </w:r>
            <w:proofErr w:type="spellStart"/>
            <w:r w:rsidR="00D37DCD" w:rsidRPr="0003106C">
              <w:t>tūkst.lat</w:t>
            </w:r>
            <w:r w:rsidR="00F43E1C" w:rsidRPr="0003106C">
              <w:t>u</w:t>
            </w:r>
            <w:proofErr w:type="spellEnd"/>
            <w:r w:rsidR="00D37DCD" w:rsidRPr="0003106C">
              <w:t xml:space="preserve">, 2015.gadā – </w:t>
            </w:r>
            <w:r w:rsidR="0028633D">
              <w:t>1 6</w:t>
            </w:r>
            <w:r w:rsidR="00CD1A0F">
              <w:t>69</w:t>
            </w:r>
            <w:r w:rsidR="00316099" w:rsidRPr="0003106C">
              <w:rPr>
                <w:rFonts w:ascii="Calibri" w:hAnsi="Calibri" w:cs="Calibri"/>
                <w:sz w:val="22"/>
                <w:szCs w:val="22"/>
              </w:rPr>
              <w:t> </w:t>
            </w:r>
            <w:proofErr w:type="spellStart"/>
            <w:r w:rsidR="00F43E1C" w:rsidRPr="0003106C">
              <w:t>tūkst.latu</w:t>
            </w:r>
            <w:proofErr w:type="spellEnd"/>
            <w:r w:rsidR="00030C95" w:rsidRPr="0003106C">
              <w:t xml:space="preserve"> </w:t>
            </w:r>
            <w:r w:rsidR="002E42D2" w:rsidRPr="0003106C">
              <w:t>šādām izmaksu pozīcijām (skatīt. </w:t>
            </w:r>
            <w:r w:rsidR="00AA1442" w:rsidRPr="0003106C">
              <w:t>a</w:t>
            </w:r>
            <w:r w:rsidR="002E42D2" w:rsidRPr="0003106C">
              <w:t>rī</w:t>
            </w:r>
            <w:r w:rsidR="00AA1442" w:rsidRPr="0003106C">
              <w:t> </w:t>
            </w:r>
            <w:r w:rsidR="00670EA0" w:rsidRPr="0003106C">
              <w:t>apakšpunktus 1</w:t>
            </w:r>
            <w:r w:rsidR="002E42D2" w:rsidRPr="0003106C">
              <w:t>.pielikuma</w:t>
            </w:r>
            <w:r w:rsidR="0028633D">
              <w:t xml:space="preserve"> pasākumus</w:t>
            </w:r>
            <w:r w:rsidR="002E42D2" w:rsidRPr="0003106C">
              <w:t>):</w:t>
            </w:r>
            <w:r w:rsidR="00B71911" w:rsidRPr="0003106C">
              <w:t xml:space="preserve"> </w:t>
            </w:r>
          </w:p>
          <w:p w:rsidR="00C276A1" w:rsidRPr="0003106C" w:rsidRDefault="00645158" w:rsidP="00C276A1">
            <w:pPr>
              <w:pStyle w:val="naisc"/>
              <w:spacing w:before="0" w:beforeAutospacing="0" w:after="80" w:afterAutospacing="0"/>
              <w:ind w:left="262" w:right="142" w:hanging="197"/>
              <w:jc w:val="both"/>
            </w:pPr>
            <w:r w:rsidRPr="0003106C">
              <w:t>1. </w:t>
            </w:r>
            <w:r w:rsidR="00C276A1" w:rsidRPr="0003106C">
              <w:rPr>
                <w:i/>
              </w:rPr>
              <w:t>Latvijas Ārējo ekonomisko pārstāvniecību tīkla darbību nodrošināšanai (</w:t>
            </w:r>
            <w:r w:rsidR="0028633D" w:rsidRPr="0028633D">
              <w:rPr>
                <w:i/>
              </w:rPr>
              <w:t>1.tabulas</w:t>
            </w:r>
            <w:r w:rsidR="0028633D" w:rsidRPr="0003106C">
              <w:rPr>
                <w:i/>
              </w:rPr>
              <w:t xml:space="preserve"> </w:t>
            </w:r>
            <w:r w:rsidR="00C276A1" w:rsidRPr="0003106C">
              <w:rPr>
                <w:i/>
              </w:rPr>
              <w:t xml:space="preserve">2.1.1.apakšpunkts) </w:t>
            </w:r>
            <w:r w:rsidR="00C276A1" w:rsidRPr="0003106C">
              <w:t>nepieciešams papildus finansējums esošo pārstāvniecību darbības nodrošināšanai: 2015.gadā – 647 906 lati; pārstāvniecību tīkla kapacitātes  celšanai: 2014. un 2015.gadā – 163 656 lati.</w:t>
            </w:r>
          </w:p>
          <w:p w:rsidR="00645158" w:rsidRPr="0003106C" w:rsidRDefault="00645158" w:rsidP="00AC12D6">
            <w:pPr>
              <w:pStyle w:val="naisc"/>
              <w:spacing w:before="0" w:beforeAutospacing="0" w:after="80" w:afterAutospacing="0"/>
              <w:ind w:left="290" w:right="142" w:hanging="160"/>
              <w:jc w:val="both"/>
            </w:pPr>
            <w:r w:rsidRPr="0003106C">
              <w:t>2. </w:t>
            </w:r>
            <w:r w:rsidRPr="0003106C">
              <w:rPr>
                <w:i/>
              </w:rPr>
              <w:t>Nacionālo stendu nodrošināšanai (</w:t>
            </w:r>
            <w:r w:rsidR="0028633D">
              <w:rPr>
                <w:i/>
              </w:rPr>
              <w:t xml:space="preserve">1.tabulas </w:t>
            </w:r>
            <w:r w:rsidRPr="0003106C">
              <w:rPr>
                <w:i/>
              </w:rPr>
              <w:t>2.1.3.6.apakšpunkts)</w:t>
            </w:r>
            <w:r w:rsidRPr="0003106C">
              <w:t xml:space="preserve"> nepieciešams papildus </w:t>
            </w:r>
            <w:r w:rsidRPr="0003106C">
              <w:lastRenderedPageBreak/>
              <w:t>finan</w:t>
            </w:r>
            <w:r w:rsidR="00F46F0B" w:rsidRPr="0003106C">
              <w:t>sējums: 2014. un 2015.gadā – 523</w:t>
            </w:r>
            <w:r w:rsidRPr="0003106C">
              <w:t> </w:t>
            </w:r>
            <w:r w:rsidR="00F46F0B" w:rsidRPr="0003106C">
              <w:t>000</w:t>
            </w:r>
            <w:r w:rsidRPr="0003106C">
              <w:t> lati gadā.</w:t>
            </w:r>
          </w:p>
          <w:p w:rsidR="00E160E1" w:rsidRDefault="00645158" w:rsidP="00E160E1">
            <w:pPr>
              <w:pStyle w:val="naisc"/>
              <w:spacing w:before="0" w:beforeAutospacing="0" w:after="80" w:afterAutospacing="0"/>
              <w:ind w:left="318" w:right="142" w:hanging="188"/>
              <w:jc w:val="both"/>
            </w:pPr>
            <w:r w:rsidRPr="0003106C">
              <w:rPr>
                <w:lang w:eastAsia="lv-LV"/>
              </w:rPr>
              <w:t>3. </w:t>
            </w:r>
            <w:r w:rsidR="00F46F0B" w:rsidRPr="0003106C">
              <w:rPr>
                <w:i/>
                <w:lang w:eastAsia="lv-LV"/>
              </w:rPr>
              <w:t>Investīciju piesaistes pasākumiem, mārketinga kampaņām</w:t>
            </w:r>
            <w:r w:rsidRPr="0003106C">
              <w:rPr>
                <w:i/>
                <w:lang w:eastAsia="lv-LV"/>
              </w:rPr>
              <w:t xml:space="preserve"> (</w:t>
            </w:r>
            <w:r w:rsidR="0028633D">
              <w:rPr>
                <w:i/>
                <w:lang w:eastAsia="lv-LV"/>
              </w:rPr>
              <w:t xml:space="preserve">1.tabulas </w:t>
            </w:r>
            <w:r w:rsidRPr="0003106C">
              <w:rPr>
                <w:i/>
              </w:rPr>
              <w:t>3.1.</w:t>
            </w:r>
            <w:r w:rsidR="004B63FD" w:rsidRPr="0003106C">
              <w:rPr>
                <w:i/>
              </w:rPr>
              <w:t>4</w:t>
            </w:r>
            <w:r w:rsidRPr="0003106C">
              <w:rPr>
                <w:i/>
              </w:rPr>
              <w:t>.</w:t>
            </w:r>
            <w:r w:rsidR="004B63FD" w:rsidRPr="0003106C">
              <w:rPr>
                <w:i/>
              </w:rPr>
              <w:t>, 3.2.5. un 3.2.9.</w:t>
            </w:r>
            <w:r w:rsidRPr="0003106C">
              <w:rPr>
                <w:i/>
              </w:rPr>
              <w:t>apakšpunkts)</w:t>
            </w:r>
            <w:r w:rsidRPr="0003106C">
              <w:t xml:space="preserve"> nepiecieš</w:t>
            </w:r>
            <w:r w:rsidR="00980F91" w:rsidRPr="0003106C">
              <w:t xml:space="preserve">ams papildus finansējums: 2014. un </w:t>
            </w:r>
            <w:r w:rsidR="00F46F0B" w:rsidRPr="0003106C">
              <w:t>2015.gadā –</w:t>
            </w:r>
            <w:r w:rsidR="004B63FD" w:rsidRPr="0003106C">
              <w:t xml:space="preserve"> </w:t>
            </w:r>
            <w:r w:rsidR="00F46F0B" w:rsidRPr="0003106C">
              <w:t>30</w:t>
            </w:r>
            <w:r w:rsidRPr="0003106C">
              <w:t>0 000 lati.</w:t>
            </w:r>
          </w:p>
          <w:p w:rsidR="0028633D" w:rsidRPr="0003106C" w:rsidRDefault="00E160E1" w:rsidP="0028633D">
            <w:pPr>
              <w:pStyle w:val="naisc"/>
              <w:spacing w:before="0" w:beforeAutospacing="0" w:after="80" w:afterAutospacing="0"/>
              <w:ind w:left="262" w:right="142" w:hanging="197"/>
              <w:jc w:val="both"/>
            </w:pPr>
            <w:r>
              <w:t>4. </w:t>
            </w:r>
            <w:r w:rsidR="00FA5714">
              <w:t>Investīciju projektu vadītāja</w:t>
            </w:r>
            <w:r w:rsidRPr="00705F3C">
              <w:t xml:space="preserve"> ar specializāciju metālapstrādes, mašīnbūves un kokapstrādes nozarēs angļu valodā (1 speciālists) un vācu valodā (1 s</w:t>
            </w:r>
            <w:r>
              <w:t>peciālists) runājošajās valstīs</w:t>
            </w:r>
            <w:r w:rsidR="00FA5714">
              <w:t xml:space="preserve"> atalgojumam</w:t>
            </w:r>
            <w:r>
              <w:t xml:space="preserve"> </w:t>
            </w:r>
            <w:r w:rsidR="00FA5714">
              <w:t>–</w:t>
            </w:r>
            <w:r>
              <w:t xml:space="preserve"> </w:t>
            </w:r>
            <w:r w:rsidR="0028633D">
              <w:t xml:space="preserve">2014.gadā – 34 898 lati </w:t>
            </w:r>
            <w:r w:rsidR="0028633D" w:rsidRPr="0003106C">
              <w:t xml:space="preserve">un 2015.gadā – </w:t>
            </w:r>
            <w:r w:rsidR="00CD1A0F">
              <w:t>33 898 lati</w:t>
            </w:r>
            <w:r w:rsidR="0028633D" w:rsidRPr="0003106C">
              <w:rPr>
                <w:i/>
              </w:rPr>
              <w:t xml:space="preserve"> (</w:t>
            </w:r>
            <w:r w:rsidR="0028633D">
              <w:rPr>
                <w:i/>
              </w:rPr>
              <w:t xml:space="preserve">2.tabulas </w:t>
            </w:r>
            <w:r w:rsidR="0028633D" w:rsidRPr="0003106C">
              <w:rPr>
                <w:i/>
              </w:rPr>
              <w:t>2.punkts)</w:t>
            </w:r>
            <w:r w:rsidR="00444E4E">
              <w:rPr>
                <w:i/>
              </w:rPr>
              <w:t>.</w:t>
            </w:r>
          </w:p>
          <w:p w:rsidR="004F29F4" w:rsidRPr="0003106C" w:rsidRDefault="004F29F4" w:rsidP="00F46F0B">
            <w:pPr>
              <w:pStyle w:val="naisc"/>
              <w:spacing w:before="0" w:beforeAutospacing="0" w:after="80" w:afterAutospacing="0"/>
              <w:ind w:left="128" w:right="142"/>
              <w:jc w:val="both"/>
            </w:pPr>
            <w:r w:rsidRPr="0003106C">
              <w:t>Pamatnostādņu rīcības virzienu īstenošanai nepieciešamais papildus finansējums 201</w:t>
            </w:r>
            <w:r w:rsidR="00AA1442" w:rsidRPr="0003106C">
              <w:t>5</w:t>
            </w:r>
            <w:r w:rsidR="001E15C4" w:rsidRPr="0003106C">
              <w:t>.-2019</w:t>
            </w:r>
            <w:r w:rsidRPr="0003106C">
              <w:t>.gadam tiks skatīts budžeta plānošanas ietvaros.</w:t>
            </w:r>
          </w:p>
        </w:tc>
      </w:tr>
    </w:tbl>
    <w:p w:rsidR="00923B8C" w:rsidRPr="0003106C" w:rsidRDefault="00923B8C" w:rsidP="00627D3F">
      <w:pPr>
        <w:pStyle w:val="Heading1"/>
        <w:spacing w:after="120"/>
        <w:rPr>
          <w:rFonts w:eastAsia="Calibri"/>
          <w:b/>
          <w:bCs/>
          <w:szCs w:val="28"/>
          <w:lang w:eastAsia="ja-JP"/>
        </w:rPr>
      </w:pPr>
    </w:p>
    <w:p w:rsidR="00661684" w:rsidRPr="0003106C" w:rsidRDefault="00661684" w:rsidP="00661684">
      <w:pPr>
        <w:rPr>
          <w:rFonts w:eastAsia="Calibri"/>
          <w:lang w:eastAsia="ja-JP"/>
        </w:rPr>
      </w:pPr>
    </w:p>
    <w:p w:rsidR="002F0EBD" w:rsidRPr="0003106C" w:rsidRDefault="003B167A" w:rsidP="00627D3F">
      <w:pPr>
        <w:pStyle w:val="Heading1"/>
        <w:spacing w:after="120"/>
        <w:rPr>
          <w:rFonts w:eastAsia="Calibri"/>
          <w:b/>
          <w:bCs/>
          <w:szCs w:val="28"/>
          <w:lang w:eastAsia="ja-JP"/>
        </w:rPr>
      </w:pPr>
      <w:bookmarkStart w:id="38" w:name="_Toc355961051"/>
      <w:r w:rsidRPr="0003106C">
        <w:rPr>
          <w:rFonts w:eastAsia="Calibri"/>
          <w:b/>
          <w:bCs/>
          <w:szCs w:val="28"/>
          <w:lang w:eastAsia="ja-JP"/>
        </w:rPr>
        <w:t>6</w:t>
      </w:r>
      <w:r w:rsidR="00812465" w:rsidRPr="0003106C">
        <w:rPr>
          <w:rFonts w:eastAsia="Calibri"/>
          <w:b/>
          <w:bCs/>
          <w:szCs w:val="28"/>
          <w:lang w:eastAsia="ja-JP"/>
        </w:rPr>
        <w:t>. </w:t>
      </w:r>
      <w:r w:rsidR="002F0EBD" w:rsidRPr="0003106C">
        <w:rPr>
          <w:rFonts w:eastAsia="Calibri"/>
          <w:b/>
          <w:bCs/>
          <w:szCs w:val="28"/>
          <w:lang w:eastAsia="ja-JP"/>
        </w:rPr>
        <w:t>Pārskatu sniegšanas un novērtēšanas kārtība</w:t>
      </w:r>
      <w:bookmarkEnd w:id="38"/>
    </w:p>
    <w:p w:rsidR="00812465" w:rsidRPr="0003106C" w:rsidRDefault="002F0EBD" w:rsidP="00812465">
      <w:pPr>
        <w:pStyle w:val="ListParagraph"/>
        <w:spacing w:line="240" w:lineRule="auto"/>
        <w:ind w:left="0" w:right="-143" w:firstLine="567"/>
        <w:jc w:val="both"/>
        <w:rPr>
          <w:rFonts w:ascii="Times New Roman" w:hAnsi="Times New Roman"/>
          <w:sz w:val="26"/>
          <w:szCs w:val="26"/>
        </w:rPr>
      </w:pPr>
      <w:r w:rsidRPr="0003106C">
        <w:rPr>
          <w:rFonts w:ascii="Times New Roman" w:hAnsi="Times New Roman"/>
          <w:sz w:val="26"/>
          <w:szCs w:val="26"/>
        </w:rPr>
        <w:t>P</w:t>
      </w:r>
      <w:r w:rsidR="00812465" w:rsidRPr="0003106C">
        <w:rPr>
          <w:rFonts w:ascii="Times New Roman" w:hAnsi="Times New Roman"/>
          <w:sz w:val="26"/>
          <w:szCs w:val="26"/>
        </w:rPr>
        <w:t xml:space="preserve">ar pamatnostādņu īstenošanas koordināciju </w:t>
      </w:r>
      <w:r w:rsidRPr="0003106C">
        <w:rPr>
          <w:rFonts w:ascii="Times New Roman" w:hAnsi="Times New Roman"/>
          <w:sz w:val="26"/>
          <w:szCs w:val="26"/>
        </w:rPr>
        <w:t>atbildīga ir Ekonomikas ministrija.</w:t>
      </w:r>
    </w:p>
    <w:p w:rsidR="002F0EBD" w:rsidRPr="0003106C" w:rsidRDefault="00BD281D" w:rsidP="00812465">
      <w:pPr>
        <w:pStyle w:val="ListParagraph"/>
        <w:spacing w:line="240" w:lineRule="auto"/>
        <w:ind w:left="0" w:right="-143" w:firstLine="567"/>
        <w:jc w:val="both"/>
        <w:rPr>
          <w:rFonts w:ascii="Times New Roman" w:hAnsi="Times New Roman"/>
          <w:sz w:val="26"/>
          <w:szCs w:val="26"/>
        </w:rPr>
      </w:pPr>
      <w:r w:rsidRPr="0003106C">
        <w:rPr>
          <w:rFonts w:ascii="Times New Roman" w:hAnsi="Times New Roman"/>
          <w:sz w:val="26"/>
          <w:szCs w:val="26"/>
        </w:rPr>
        <w:t xml:space="preserve">Par savā kompetencē esošo pasākumu īstenošanu atbildīgās </w:t>
      </w:r>
      <w:r w:rsidR="00BE0FB2" w:rsidRPr="0003106C">
        <w:rPr>
          <w:rFonts w:ascii="Times New Roman" w:hAnsi="Times New Roman"/>
          <w:sz w:val="26"/>
          <w:szCs w:val="26"/>
        </w:rPr>
        <w:t>institūcijas</w:t>
      </w:r>
      <w:r w:rsidR="001F3952" w:rsidRPr="0003106C">
        <w:rPr>
          <w:rFonts w:ascii="Times New Roman" w:hAnsi="Times New Roman"/>
          <w:sz w:val="26"/>
          <w:szCs w:val="26"/>
        </w:rPr>
        <w:t xml:space="preserve"> –</w:t>
      </w:r>
      <w:r w:rsidRPr="0003106C">
        <w:rPr>
          <w:rFonts w:ascii="Times New Roman" w:hAnsi="Times New Roman"/>
          <w:sz w:val="26"/>
          <w:szCs w:val="26"/>
        </w:rPr>
        <w:t xml:space="preserve"> </w:t>
      </w:r>
      <w:r w:rsidR="002F0EBD" w:rsidRPr="0003106C">
        <w:rPr>
          <w:rFonts w:ascii="Times New Roman" w:hAnsi="Times New Roman"/>
          <w:sz w:val="26"/>
          <w:szCs w:val="26"/>
        </w:rPr>
        <w:t>Ārlietu ministrija, Finanšu ministrija,</w:t>
      </w:r>
      <w:r w:rsidR="00BE0FB2" w:rsidRPr="0003106C">
        <w:rPr>
          <w:rFonts w:ascii="Times New Roman" w:hAnsi="Times New Roman"/>
          <w:sz w:val="26"/>
          <w:szCs w:val="26"/>
        </w:rPr>
        <w:t xml:space="preserve"> Iekšlietu ministrija,</w:t>
      </w:r>
      <w:r w:rsidR="002F0EBD" w:rsidRPr="0003106C">
        <w:rPr>
          <w:rFonts w:ascii="Times New Roman" w:hAnsi="Times New Roman"/>
          <w:sz w:val="26"/>
          <w:szCs w:val="26"/>
        </w:rPr>
        <w:t xml:space="preserve"> Izglītības un zinātnes ministrija, </w:t>
      </w:r>
      <w:r w:rsidR="007C293D" w:rsidRPr="0003106C">
        <w:rPr>
          <w:rFonts w:ascii="Times New Roman" w:hAnsi="Times New Roman"/>
          <w:sz w:val="26"/>
          <w:szCs w:val="26"/>
        </w:rPr>
        <w:t xml:space="preserve">Kultūras ministrija, </w:t>
      </w:r>
      <w:r w:rsidR="00774EE5" w:rsidRPr="0003106C">
        <w:rPr>
          <w:rFonts w:ascii="Times New Roman" w:hAnsi="Times New Roman"/>
          <w:sz w:val="26"/>
          <w:szCs w:val="26"/>
        </w:rPr>
        <w:t>Labklājības</w:t>
      </w:r>
      <w:r w:rsidR="002F0EBD" w:rsidRPr="0003106C">
        <w:rPr>
          <w:rFonts w:ascii="Times New Roman" w:hAnsi="Times New Roman"/>
          <w:sz w:val="26"/>
          <w:szCs w:val="26"/>
        </w:rPr>
        <w:t xml:space="preserve"> ministrija,</w:t>
      </w:r>
      <w:r w:rsidR="0033795F" w:rsidRPr="0003106C">
        <w:rPr>
          <w:rFonts w:ascii="Times New Roman" w:hAnsi="Times New Roman"/>
          <w:sz w:val="26"/>
          <w:szCs w:val="26"/>
        </w:rPr>
        <w:t xml:space="preserve"> </w:t>
      </w:r>
      <w:r w:rsidR="002F0EBD" w:rsidRPr="0003106C">
        <w:rPr>
          <w:rFonts w:ascii="Times New Roman" w:hAnsi="Times New Roman"/>
          <w:sz w:val="26"/>
          <w:szCs w:val="26"/>
        </w:rPr>
        <w:t>Satiksmes min</w:t>
      </w:r>
      <w:r w:rsidR="001F3952" w:rsidRPr="0003106C">
        <w:rPr>
          <w:rFonts w:ascii="Times New Roman" w:hAnsi="Times New Roman"/>
          <w:sz w:val="26"/>
          <w:szCs w:val="26"/>
        </w:rPr>
        <w:t xml:space="preserve">istrija, </w:t>
      </w:r>
      <w:r w:rsidR="004705CF" w:rsidRPr="0003106C">
        <w:rPr>
          <w:rFonts w:ascii="Times New Roman" w:hAnsi="Times New Roman"/>
          <w:sz w:val="26"/>
          <w:szCs w:val="26"/>
        </w:rPr>
        <w:t xml:space="preserve">Tieslietu ministrija, </w:t>
      </w:r>
      <w:r w:rsidR="00FA1055" w:rsidRPr="0003106C">
        <w:rPr>
          <w:rFonts w:ascii="Times New Roman" w:hAnsi="Times New Roman"/>
          <w:sz w:val="26"/>
          <w:szCs w:val="26"/>
        </w:rPr>
        <w:t xml:space="preserve">Valsts kanceleja, </w:t>
      </w:r>
      <w:r w:rsidR="004705CF" w:rsidRPr="0003106C">
        <w:rPr>
          <w:rFonts w:ascii="Times New Roman" w:hAnsi="Times New Roman"/>
          <w:sz w:val="26"/>
          <w:szCs w:val="26"/>
        </w:rPr>
        <w:t>Vides aizsardzības un r</w:t>
      </w:r>
      <w:r w:rsidR="00BE0FB2" w:rsidRPr="0003106C">
        <w:rPr>
          <w:rFonts w:ascii="Times New Roman" w:hAnsi="Times New Roman"/>
          <w:sz w:val="26"/>
          <w:szCs w:val="26"/>
        </w:rPr>
        <w:t xml:space="preserve">eģionālās attīstības ministrija, </w:t>
      </w:r>
      <w:r w:rsidR="001F3952" w:rsidRPr="0003106C">
        <w:rPr>
          <w:rFonts w:ascii="Times New Roman" w:hAnsi="Times New Roman"/>
          <w:sz w:val="26"/>
          <w:szCs w:val="26"/>
        </w:rPr>
        <w:t>Zemkopības ministrija</w:t>
      </w:r>
      <w:r w:rsidR="00A104FF" w:rsidRPr="0003106C">
        <w:rPr>
          <w:rFonts w:ascii="Times New Roman" w:hAnsi="Times New Roman"/>
          <w:sz w:val="26"/>
          <w:szCs w:val="26"/>
        </w:rPr>
        <w:t xml:space="preserve"> </w:t>
      </w:r>
      <w:r w:rsidR="00CA44FC" w:rsidRPr="0003106C">
        <w:rPr>
          <w:rFonts w:ascii="Times New Roman" w:hAnsi="Times New Roman"/>
          <w:sz w:val="26"/>
          <w:szCs w:val="26"/>
        </w:rPr>
        <w:t>iesniedz</w:t>
      </w:r>
      <w:r w:rsidRPr="0003106C">
        <w:rPr>
          <w:rFonts w:ascii="Times New Roman" w:hAnsi="Times New Roman"/>
          <w:sz w:val="26"/>
          <w:szCs w:val="26"/>
        </w:rPr>
        <w:t xml:space="preserve"> </w:t>
      </w:r>
      <w:r w:rsidR="00CA44FC" w:rsidRPr="0003106C">
        <w:rPr>
          <w:rFonts w:ascii="Times New Roman" w:hAnsi="Times New Roman"/>
          <w:sz w:val="26"/>
          <w:szCs w:val="26"/>
        </w:rPr>
        <w:t>Ekonomikas ministrijā informāciju par tās kompetencē esošo pamatnostādnēs noteikto uzdevumu un pasākumu izpildes gaitu un rezultātiem.</w:t>
      </w:r>
      <w:r w:rsidR="00786E4E" w:rsidRPr="0003106C">
        <w:rPr>
          <w:rFonts w:ascii="Times New Roman" w:hAnsi="Times New Roman"/>
          <w:sz w:val="26"/>
          <w:szCs w:val="26"/>
        </w:rPr>
        <w:t xml:space="preserve"> </w:t>
      </w:r>
      <w:r w:rsidR="00CA44FC" w:rsidRPr="0003106C">
        <w:rPr>
          <w:rFonts w:ascii="Times New Roman" w:hAnsi="Times New Roman"/>
          <w:sz w:val="26"/>
          <w:szCs w:val="26"/>
        </w:rPr>
        <w:t>Ekonomikas ministrija  starpposma</w:t>
      </w:r>
      <w:r w:rsidR="00812465" w:rsidRPr="0003106C">
        <w:rPr>
          <w:rFonts w:ascii="Times New Roman" w:hAnsi="Times New Roman"/>
          <w:sz w:val="26"/>
          <w:szCs w:val="26"/>
        </w:rPr>
        <w:t xml:space="preserve"> novērtējum</w:t>
      </w:r>
      <w:r w:rsidR="00CA44FC" w:rsidRPr="0003106C">
        <w:rPr>
          <w:rFonts w:ascii="Times New Roman" w:hAnsi="Times New Roman"/>
          <w:sz w:val="26"/>
          <w:szCs w:val="26"/>
        </w:rPr>
        <w:t>u</w:t>
      </w:r>
      <w:r w:rsidR="00812465" w:rsidRPr="0003106C">
        <w:rPr>
          <w:rFonts w:ascii="Times New Roman" w:hAnsi="Times New Roman"/>
          <w:sz w:val="26"/>
          <w:szCs w:val="26"/>
        </w:rPr>
        <w:t xml:space="preserve"> vei</w:t>
      </w:r>
      <w:r w:rsidR="00CA44FC" w:rsidRPr="0003106C">
        <w:rPr>
          <w:rFonts w:ascii="Times New Roman" w:hAnsi="Times New Roman"/>
          <w:sz w:val="26"/>
          <w:szCs w:val="26"/>
        </w:rPr>
        <w:t>c</w:t>
      </w:r>
      <w:r w:rsidR="007C293D" w:rsidRPr="0003106C">
        <w:rPr>
          <w:rFonts w:ascii="Times New Roman" w:hAnsi="Times New Roman"/>
          <w:sz w:val="26"/>
          <w:szCs w:val="26"/>
        </w:rPr>
        <w:t xml:space="preserve"> 2016</w:t>
      </w:r>
      <w:r w:rsidR="00CA44FC" w:rsidRPr="0003106C">
        <w:rPr>
          <w:rFonts w:ascii="Times New Roman" w:hAnsi="Times New Roman"/>
          <w:sz w:val="26"/>
          <w:szCs w:val="26"/>
        </w:rPr>
        <w:t>.gadā</w:t>
      </w:r>
      <w:r w:rsidR="00812465" w:rsidRPr="0003106C">
        <w:rPr>
          <w:rFonts w:ascii="Times New Roman" w:hAnsi="Times New Roman"/>
          <w:sz w:val="26"/>
          <w:szCs w:val="26"/>
        </w:rPr>
        <w:t>.</w:t>
      </w:r>
    </w:p>
    <w:p w:rsidR="002F0EBD" w:rsidRPr="0003106C" w:rsidRDefault="00812465" w:rsidP="00812465">
      <w:pPr>
        <w:ind w:right="-143" w:firstLine="567"/>
        <w:jc w:val="both"/>
        <w:rPr>
          <w:sz w:val="26"/>
          <w:szCs w:val="26"/>
        </w:rPr>
      </w:pPr>
      <w:r w:rsidRPr="0003106C">
        <w:rPr>
          <w:sz w:val="26"/>
          <w:szCs w:val="26"/>
        </w:rPr>
        <w:t xml:space="preserve">Pēc pamatnostādņu darbības perioda beigām </w:t>
      </w:r>
      <w:r w:rsidR="002F0EBD" w:rsidRPr="0003106C">
        <w:rPr>
          <w:sz w:val="26"/>
          <w:szCs w:val="26"/>
        </w:rPr>
        <w:t>Ekonomikas ministrija</w:t>
      </w:r>
      <w:r w:rsidRPr="0003106C">
        <w:rPr>
          <w:sz w:val="26"/>
          <w:szCs w:val="26"/>
        </w:rPr>
        <w:t xml:space="preserve"> veic </w:t>
      </w:r>
      <w:r w:rsidRPr="0003106C">
        <w:rPr>
          <w:i/>
          <w:sz w:val="26"/>
          <w:szCs w:val="26"/>
        </w:rPr>
        <w:t>ex-post</w:t>
      </w:r>
      <w:r w:rsidRPr="0003106C">
        <w:rPr>
          <w:sz w:val="26"/>
          <w:szCs w:val="26"/>
        </w:rPr>
        <w:t xml:space="preserve"> novērtējumu.</w:t>
      </w:r>
      <w:r w:rsidR="002F0EBD" w:rsidRPr="0003106C">
        <w:rPr>
          <w:sz w:val="26"/>
          <w:szCs w:val="26"/>
        </w:rPr>
        <w:t xml:space="preserve"> </w:t>
      </w:r>
    </w:p>
    <w:p w:rsidR="00B468CC" w:rsidRPr="0003106C" w:rsidRDefault="00B468CC" w:rsidP="002F0EBD">
      <w:pPr>
        <w:pStyle w:val="ListParagraph"/>
        <w:ind w:left="0" w:right="-143"/>
        <w:jc w:val="both"/>
        <w:rPr>
          <w:rFonts w:ascii="Times New Roman" w:hAnsi="Times New Roman"/>
          <w:b/>
          <w:sz w:val="26"/>
          <w:szCs w:val="26"/>
        </w:rPr>
      </w:pPr>
    </w:p>
    <w:p w:rsidR="00923B8C" w:rsidRPr="0003106C" w:rsidRDefault="00923B8C" w:rsidP="002F0EBD">
      <w:pPr>
        <w:pStyle w:val="ListParagraph"/>
        <w:ind w:left="0" w:right="-143"/>
        <w:jc w:val="both"/>
        <w:rPr>
          <w:rFonts w:ascii="Times New Roman" w:hAnsi="Times New Roman"/>
          <w:b/>
          <w:sz w:val="26"/>
          <w:szCs w:val="26"/>
        </w:rPr>
      </w:pPr>
    </w:p>
    <w:p w:rsidR="002F0EBD" w:rsidRPr="0003106C" w:rsidRDefault="00700718" w:rsidP="00FF346F">
      <w:pPr>
        <w:pStyle w:val="Heading1"/>
        <w:spacing w:after="120"/>
        <w:jc w:val="both"/>
        <w:rPr>
          <w:rFonts w:eastAsia="Calibri"/>
          <w:b/>
          <w:bCs/>
          <w:szCs w:val="28"/>
          <w:lang w:eastAsia="ja-JP"/>
        </w:rPr>
      </w:pPr>
      <w:bookmarkStart w:id="39" w:name="_Toc355961052"/>
      <w:r w:rsidRPr="0003106C">
        <w:rPr>
          <w:rFonts w:eastAsia="Calibri"/>
          <w:b/>
          <w:bCs/>
          <w:szCs w:val="28"/>
          <w:lang w:eastAsia="ja-JP"/>
        </w:rPr>
        <w:t>7</w:t>
      </w:r>
      <w:r w:rsidR="00812465" w:rsidRPr="0003106C">
        <w:rPr>
          <w:rFonts w:eastAsia="Calibri"/>
          <w:b/>
          <w:bCs/>
          <w:szCs w:val="28"/>
          <w:lang w:eastAsia="ja-JP"/>
        </w:rPr>
        <w:t>. </w:t>
      </w:r>
      <w:r w:rsidR="002F0EBD" w:rsidRPr="0003106C">
        <w:rPr>
          <w:rFonts w:eastAsia="Calibri"/>
          <w:b/>
          <w:bCs/>
          <w:szCs w:val="28"/>
          <w:lang w:eastAsia="ja-JP"/>
        </w:rPr>
        <w:t>Sasaiste ar citos politikas plānošanas dokumentos noteiktajām prioritātēm</w:t>
      </w:r>
      <w:bookmarkEnd w:id="39"/>
    </w:p>
    <w:p w:rsidR="002F0EBD" w:rsidRPr="0003106C" w:rsidRDefault="002F0EBD" w:rsidP="002628E0">
      <w:pPr>
        <w:ind w:right="-143" w:firstLine="567"/>
        <w:jc w:val="both"/>
        <w:rPr>
          <w:sz w:val="26"/>
          <w:szCs w:val="26"/>
        </w:rPr>
      </w:pPr>
      <w:r w:rsidRPr="0003106C">
        <w:rPr>
          <w:sz w:val="26"/>
          <w:szCs w:val="26"/>
        </w:rPr>
        <w:t xml:space="preserve">Pamatnostādnēm ir sasaite ar vairākiem politikas plānošanas dokumentiem un tajos izvirzītajām prioritātēm, kas ietver ar eksporta veicināšanu </w:t>
      </w:r>
      <w:r w:rsidR="0065017F" w:rsidRPr="0003106C">
        <w:rPr>
          <w:sz w:val="26"/>
          <w:szCs w:val="26"/>
        </w:rPr>
        <w:t xml:space="preserve">un ĀTI </w:t>
      </w:r>
      <w:r w:rsidRPr="0003106C">
        <w:rPr>
          <w:sz w:val="26"/>
          <w:szCs w:val="26"/>
        </w:rPr>
        <w:t>saistītos jautājumus (skat.</w:t>
      </w:r>
      <w:r w:rsidR="00227D8C" w:rsidRPr="0003106C">
        <w:rPr>
          <w:sz w:val="26"/>
          <w:szCs w:val="26"/>
        </w:rPr>
        <w:t>3</w:t>
      </w:r>
      <w:r w:rsidR="00812465" w:rsidRPr="0003106C">
        <w:rPr>
          <w:sz w:val="26"/>
          <w:szCs w:val="26"/>
        </w:rPr>
        <w:t>.</w:t>
      </w:r>
      <w:r w:rsidRPr="0003106C">
        <w:rPr>
          <w:sz w:val="26"/>
          <w:szCs w:val="26"/>
        </w:rPr>
        <w:t>tabulu).</w:t>
      </w:r>
    </w:p>
    <w:p w:rsidR="001074D0" w:rsidRPr="0003106C" w:rsidRDefault="001074D0" w:rsidP="002F0EBD">
      <w:pPr>
        <w:ind w:right="-143" w:firstLine="709"/>
        <w:jc w:val="right"/>
        <w:rPr>
          <w:sz w:val="26"/>
          <w:szCs w:val="26"/>
        </w:rPr>
      </w:pPr>
    </w:p>
    <w:p w:rsidR="001074D0" w:rsidRPr="0003106C" w:rsidRDefault="001074D0" w:rsidP="002F0EBD">
      <w:pPr>
        <w:ind w:right="-143" w:firstLine="709"/>
        <w:jc w:val="right"/>
        <w:rPr>
          <w:sz w:val="26"/>
          <w:szCs w:val="26"/>
        </w:rPr>
      </w:pPr>
    </w:p>
    <w:p w:rsidR="002F0EBD" w:rsidRPr="0003106C" w:rsidRDefault="00227D8C" w:rsidP="002F0EBD">
      <w:pPr>
        <w:ind w:right="-143" w:firstLine="709"/>
        <w:jc w:val="right"/>
        <w:rPr>
          <w:sz w:val="26"/>
          <w:szCs w:val="26"/>
        </w:rPr>
      </w:pPr>
      <w:r w:rsidRPr="0003106C">
        <w:rPr>
          <w:sz w:val="26"/>
          <w:szCs w:val="26"/>
        </w:rPr>
        <w:t>3</w:t>
      </w:r>
      <w:r w:rsidR="00812465" w:rsidRPr="0003106C">
        <w:rPr>
          <w:sz w:val="26"/>
          <w:szCs w:val="26"/>
        </w:rPr>
        <w:t>.</w:t>
      </w:r>
      <w:r w:rsidR="002F0EBD" w:rsidRPr="0003106C">
        <w:rPr>
          <w:sz w:val="26"/>
          <w:szCs w:val="26"/>
        </w:rPr>
        <w:t>tabula</w:t>
      </w:r>
    </w:p>
    <w:p w:rsidR="00812465" w:rsidRPr="0003106C" w:rsidRDefault="00812465" w:rsidP="002F0EBD">
      <w:pPr>
        <w:ind w:right="-143"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501"/>
      </w:tblGrid>
      <w:tr w:rsidR="001E0AA2" w:rsidRPr="0003106C" w:rsidTr="00627D3F">
        <w:tc>
          <w:tcPr>
            <w:tcW w:w="675" w:type="dxa"/>
            <w:vAlign w:val="center"/>
          </w:tcPr>
          <w:p w:rsidR="002F0EBD" w:rsidRPr="0003106C" w:rsidRDefault="002F0EBD" w:rsidP="00627D3F">
            <w:pPr>
              <w:spacing w:before="20" w:after="20"/>
              <w:ind w:right="-142"/>
              <w:jc w:val="center"/>
              <w:rPr>
                <w:b/>
                <w:sz w:val="26"/>
                <w:szCs w:val="26"/>
              </w:rPr>
            </w:pPr>
            <w:r w:rsidRPr="0003106C">
              <w:rPr>
                <w:b/>
                <w:sz w:val="26"/>
                <w:szCs w:val="26"/>
              </w:rPr>
              <w:t>Nr.</w:t>
            </w:r>
          </w:p>
          <w:p w:rsidR="002F0EBD" w:rsidRPr="0003106C" w:rsidRDefault="002F0EBD" w:rsidP="00627D3F">
            <w:pPr>
              <w:spacing w:before="20" w:after="20"/>
              <w:ind w:right="-142"/>
              <w:jc w:val="center"/>
              <w:rPr>
                <w:b/>
                <w:sz w:val="26"/>
                <w:szCs w:val="26"/>
              </w:rPr>
            </w:pPr>
            <w:r w:rsidRPr="0003106C">
              <w:rPr>
                <w:b/>
                <w:sz w:val="26"/>
                <w:szCs w:val="26"/>
              </w:rPr>
              <w:t>p.k.</w:t>
            </w:r>
          </w:p>
        </w:tc>
        <w:tc>
          <w:tcPr>
            <w:tcW w:w="3969" w:type="dxa"/>
            <w:vAlign w:val="center"/>
          </w:tcPr>
          <w:p w:rsidR="002F0EBD" w:rsidRPr="0003106C" w:rsidRDefault="002F0EBD" w:rsidP="00627D3F">
            <w:pPr>
              <w:spacing w:before="20" w:after="20"/>
              <w:ind w:right="-142"/>
              <w:jc w:val="center"/>
              <w:rPr>
                <w:b/>
                <w:sz w:val="26"/>
                <w:szCs w:val="26"/>
              </w:rPr>
            </w:pPr>
            <w:r w:rsidRPr="0003106C">
              <w:rPr>
                <w:b/>
                <w:sz w:val="26"/>
                <w:szCs w:val="26"/>
              </w:rPr>
              <w:t>Dokumenta nosaukums</w:t>
            </w:r>
          </w:p>
        </w:tc>
        <w:tc>
          <w:tcPr>
            <w:tcW w:w="4501" w:type="dxa"/>
            <w:vAlign w:val="center"/>
          </w:tcPr>
          <w:p w:rsidR="002F0EBD" w:rsidRPr="0003106C" w:rsidRDefault="002F0EBD" w:rsidP="00627D3F">
            <w:pPr>
              <w:spacing w:before="20" w:after="20"/>
              <w:ind w:right="-142"/>
              <w:jc w:val="center"/>
              <w:rPr>
                <w:b/>
                <w:sz w:val="26"/>
                <w:szCs w:val="26"/>
              </w:rPr>
            </w:pPr>
            <w:r w:rsidRPr="0003106C">
              <w:rPr>
                <w:b/>
                <w:sz w:val="26"/>
                <w:szCs w:val="26"/>
              </w:rPr>
              <w:t xml:space="preserve">Sasaiste ar eksporta veicināšanas </w:t>
            </w:r>
            <w:r w:rsidR="00080F55" w:rsidRPr="0003106C">
              <w:rPr>
                <w:b/>
                <w:sz w:val="26"/>
                <w:szCs w:val="26"/>
              </w:rPr>
              <w:t xml:space="preserve">un ĀTI piesaistes </w:t>
            </w:r>
            <w:r w:rsidRPr="0003106C">
              <w:rPr>
                <w:b/>
                <w:sz w:val="26"/>
                <w:szCs w:val="26"/>
              </w:rPr>
              <w:t>politiku</w:t>
            </w:r>
          </w:p>
        </w:tc>
      </w:tr>
      <w:tr w:rsidR="001E0AA2" w:rsidRPr="0003106C" w:rsidTr="00DB6437">
        <w:tc>
          <w:tcPr>
            <w:tcW w:w="675" w:type="dxa"/>
          </w:tcPr>
          <w:p w:rsidR="00FE1D28" w:rsidRPr="0003106C" w:rsidRDefault="00FE1D28" w:rsidP="00FE1D28">
            <w:pPr>
              <w:ind w:right="-143"/>
              <w:jc w:val="both"/>
              <w:rPr>
                <w:sz w:val="26"/>
                <w:szCs w:val="26"/>
              </w:rPr>
            </w:pPr>
            <w:r w:rsidRPr="0003106C">
              <w:rPr>
                <w:sz w:val="26"/>
                <w:szCs w:val="26"/>
              </w:rPr>
              <w:t>1.</w:t>
            </w:r>
          </w:p>
        </w:tc>
        <w:tc>
          <w:tcPr>
            <w:tcW w:w="3969" w:type="dxa"/>
          </w:tcPr>
          <w:p w:rsidR="00302AC8" w:rsidRPr="0003106C" w:rsidRDefault="00FE1D28" w:rsidP="00BA6A2D">
            <w:pPr>
              <w:rPr>
                <w:bCs/>
                <w:sz w:val="26"/>
                <w:szCs w:val="26"/>
              </w:rPr>
            </w:pPr>
            <w:r w:rsidRPr="0003106C">
              <w:rPr>
                <w:bCs/>
                <w:sz w:val="26"/>
                <w:szCs w:val="26"/>
              </w:rPr>
              <w:t>Latvijas ilgtspējīgas attīstības stratēģija līdz 2030.gadam (</w:t>
            </w:r>
            <w:hyperlink r:id="rId32" w:tgtFrame="_blank" w:history="1">
              <w:r w:rsidR="0013213E" w:rsidRPr="0003106C">
                <w:rPr>
                  <w:bCs/>
                  <w:sz w:val="26"/>
                  <w:szCs w:val="26"/>
                </w:rPr>
                <w:t>Saeimas paziņojums 10.06.2010</w:t>
              </w:r>
            </w:hyperlink>
            <w:r w:rsidR="0013213E" w:rsidRPr="0003106C">
              <w:rPr>
                <w:bCs/>
                <w:sz w:val="26"/>
                <w:szCs w:val="26"/>
              </w:rPr>
              <w:t>.)</w:t>
            </w:r>
          </w:p>
        </w:tc>
        <w:tc>
          <w:tcPr>
            <w:tcW w:w="4501" w:type="dxa"/>
          </w:tcPr>
          <w:p w:rsidR="00302AC8" w:rsidRPr="0003106C" w:rsidRDefault="006D20BA" w:rsidP="0075464A">
            <w:pPr>
              <w:pStyle w:val="TabulaNorm"/>
              <w:ind w:left="18"/>
              <w:jc w:val="both"/>
              <w:rPr>
                <w:sz w:val="26"/>
                <w:szCs w:val="26"/>
              </w:rPr>
            </w:pPr>
            <w:r w:rsidRPr="0003106C">
              <w:rPr>
                <w:sz w:val="26"/>
                <w:szCs w:val="26"/>
              </w:rPr>
              <w:t>Inovatīva un efektīva ekonomika, dabas resursu gudra izmantošana</w:t>
            </w:r>
            <w:r w:rsidR="00B11034" w:rsidRPr="0003106C">
              <w:rPr>
                <w:sz w:val="26"/>
                <w:szCs w:val="26"/>
              </w:rPr>
              <w:t xml:space="preserve">, </w:t>
            </w:r>
            <w:r w:rsidRPr="0003106C">
              <w:rPr>
                <w:sz w:val="26"/>
                <w:szCs w:val="26"/>
              </w:rPr>
              <w:t xml:space="preserve"> iekļaušanās starptautiskajā  apritē</w:t>
            </w:r>
            <w:r w:rsidR="00B11034" w:rsidRPr="0003106C">
              <w:rPr>
                <w:sz w:val="26"/>
                <w:szCs w:val="26"/>
              </w:rPr>
              <w:t xml:space="preserve"> un ieguldījumi </w:t>
            </w:r>
            <w:r w:rsidR="00B11034" w:rsidRPr="0003106C">
              <w:rPr>
                <w:sz w:val="26"/>
                <w:szCs w:val="26"/>
              </w:rPr>
              <w:lastRenderedPageBreak/>
              <w:t xml:space="preserve">cilvēkkapitālā ir tās prioritātes, kuras ir saistāmas ar eksporta veicināšanas un ĀTI piesaistes politiku. </w:t>
            </w:r>
          </w:p>
        </w:tc>
      </w:tr>
      <w:tr w:rsidR="00A04FAE" w:rsidRPr="0003106C" w:rsidTr="00DB6437">
        <w:tc>
          <w:tcPr>
            <w:tcW w:w="675" w:type="dxa"/>
          </w:tcPr>
          <w:p w:rsidR="00A04FAE" w:rsidRPr="0003106C" w:rsidRDefault="00A04FAE" w:rsidP="00A04FAE">
            <w:pPr>
              <w:ind w:right="-143"/>
              <w:jc w:val="both"/>
              <w:rPr>
                <w:sz w:val="26"/>
                <w:szCs w:val="26"/>
              </w:rPr>
            </w:pPr>
            <w:r w:rsidRPr="0003106C">
              <w:rPr>
                <w:sz w:val="26"/>
                <w:szCs w:val="26"/>
              </w:rPr>
              <w:lastRenderedPageBreak/>
              <w:t>2.</w:t>
            </w:r>
          </w:p>
        </w:tc>
        <w:tc>
          <w:tcPr>
            <w:tcW w:w="3969" w:type="dxa"/>
          </w:tcPr>
          <w:p w:rsidR="00A04FAE" w:rsidRPr="0003106C" w:rsidRDefault="00A04FAE" w:rsidP="00A04FAE">
            <w:pPr>
              <w:rPr>
                <w:bCs/>
                <w:sz w:val="26"/>
                <w:szCs w:val="26"/>
              </w:rPr>
            </w:pPr>
            <w:r w:rsidRPr="0003106C">
              <w:rPr>
                <w:bCs/>
                <w:sz w:val="26"/>
                <w:szCs w:val="26"/>
              </w:rPr>
              <w:t>Latvijas Nacionālais attīstības plāns 2014.-2020.gadam</w:t>
            </w:r>
          </w:p>
          <w:p w:rsidR="00A04FAE" w:rsidRPr="0003106C" w:rsidRDefault="00A04FAE" w:rsidP="00A04FAE">
            <w:pPr>
              <w:rPr>
                <w:bCs/>
                <w:sz w:val="26"/>
                <w:szCs w:val="26"/>
              </w:rPr>
            </w:pPr>
            <w:r w:rsidRPr="0003106C">
              <w:rPr>
                <w:bCs/>
                <w:sz w:val="26"/>
                <w:szCs w:val="26"/>
              </w:rPr>
              <w:t>(</w:t>
            </w:r>
            <w:hyperlink r:id="rId33" w:tgtFrame="_blank" w:history="1">
              <w:r w:rsidRPr="0003106C">
                <w:rPr>
                  <w:bCs/>
                  <w:sz w:val="26"/>
                  <w:szCs w:val="26"/>
                </w:rPr>
                <w:t>Saeimas paziņojums 20.12.</w:t>
              </w:r>
              <w:r w:rsidRPr="0003106C">
                <w:rPr>
                  <w:sz w:val="26"/>
                  <w:szCs w:val="26"/>
                </w:rPr>
                <w:t>2012.</w:t>
              </w:r>
            </w:hyperlink>
            <w:r w:rsidRPr="0003106C">
              <w:rPr>
                <w:bCs/>
                <w:sz w:val="26"/>
                <w:szCs w:val="26"/>
              </w:rPr>
              <w:t>)</w:t>
            </w:r>
          </w:p>
        </w:tc>
        <w:tc>
          <w:tcPr>
            <w:tcW w:w="4501" w:type="dxa"/>
          </w:tcPr>
          <w:p w:rsidR="00A04FAE" w:rsidRPr="0003106C" w:rsidRDefault="00A04FAE" w:rsidP="00A04FAE">
            <w:pPr>
              <w:autoSpaceDE w:val="0"/>
              <w:autoSpaceDN w:val="0"/>
              <w:adjustRightInd w:val="0"/>
              <w:ind w:left="18" w:firstLine="34"/>
              <w:rPr>
                <w:sz w:val="26"/>
                <w:szCs w:val="26"/>
              </w:rPr>
            </w:pPr>
            <w:r w:rsidRPr="0003106C">
              <w:rPr>
                <w:sz w:val="26"/>
                <w:szCs w:val="26"/>
              </w:rPr>
              <w:t>Nacionālais attīstības plāns, nosaka vidēja termiņa attīstības virzienu un prioritātes, kā arī iezīmē veicamos valsts atbalsta un investīciju pasākumus</w:t>
            </w:r>
          </w:p>
        </w:tc>
      </w:tr>
      <w:tr w:rsidR="00A04FAE" w:rsidRPr="0003106C" w:rsidTr="00DB6437">
        <w:tc>
          <w:tcPr>
            <w:tcW w:w="675" w:type="dxa"/>
          </w:tcPr>
          <w:p w:rsidR="00A04FAE" w:rsidRPr="0003106C" w:rsidRDefault="00A04FAE" w:rsidP="00A04FAE">
            <w:pPr>
              <w:ind w:right="-143"/>
              <w:jc w:val="both"/>
              <w:rPr>
                <w:sz w:val="26"/>
                <w:szCs w:val="26"/>
              </w:rPr>
            </w:pPr>
            <w:r w:rsidRPr="0003106C">
              <w:rPr>
                <w:sz w:val="26"/>
                <w:szCs w:val="26"/>
              </w:rPr>
              <w:t>3.</w:t>
            </w:r>
          </w:p>
        </w:tc>
        <w:tc>
          <w:tcPr>
            <w:tcW w:w="3969" w:type="dxa"/>
          </w:tcPr>
          <w:p w:rsidR="00A04FAE" w:rsidRPr="0003106C" w:rsidRDefault="00A04FAE" w:rsidP="00A04FAE">
            <w:pPr>
              <w:ind w:right="33"/>
              <w:rPr>
                <w:sz w:val="26"/>
                <w:szCs w:val="26"/>
              </w:rPr>
            </w:pPr>
            <w:r w:rsidRPr="0003106C">
              <w:rPr>
                <w:bCs/>
                <w:sz w:val="26"/>
                <w:szCs w:val="26"/>
              </w:rPr>
              <w:t xml:space="preserve">Latvijas nacionālā reformu programma „ES 2020” stratēģijas īstenošanai (MK </w:t>
            </w:r>
            <w:r w:rsidRPr="0003106C">
              <w:rPr>
                <w:sz w:val="26"/>
                <w:szCs w:val="26"/>
              </w:rPr>
              <w:t>2011.gada 26.aprīļa  sēdes protokols Nr.27; 34.§)</w:t>
            </w:r>
          </w:p>
        </w:tc>
        <w:tc>
          <w:tcPr>
            <w:tcW w:w="4501" w:type="dxa"/>
          </w:tcPr>
          <w:p w:rsidR="00A04FAE" w:rsidRPr="0003106C" w:rsidRDefault="00A04FAE" w:rsidP="00A04FAE">
            <w:pPr>
              <w:ind w:firstLine="4"/>
              <w:jc w:val="both"/>
              <w:rPr>
                <w:sz w:val="26"/>
                <w:szCs w:val="26"/>
              </w:rPr>
            </w:pPr>
            <w:r w:rsidRPr="0003106C">
              <w:rPr>
                <w:sz w:val="26"/>
                <w:szCs w:val="26"/>
              </w:rPr>
              <w:t>Ietver vidēja termiņa makroekonomisko scenāriju, nosakot galvenos politikas veidošanas pasākumus sabalansētas tautsaimniecības attīstības veidošanai, tai skaitā, eksporta veicināšanas un ārvalstu tiešo investīciju piesaistes jomā.</w:t>
            </w:r>
          </w:p>
        </w:tc>
      </w:tr>
      <w:tr w:rsidR="00BC0353" w:rsidRPr="0003106C" w:rsidTr="00DB6437">
        <w:tc>
          <w:tcPr>
            <w:tcW w:w="675" w:type="dxa"/>
          </w:tcPr>
          <w:p w:rsidR="00BC0353" w:rsidRPr="0003106C" w:rsidRDefault="00BC0353" w:rsidP="001C3CED">
            <w:pPr>
              <w:ind w:right="-143"/>
              <w:jc w:val="both"/>
              <w:rPr>
                <w:sz w:val="26"/>
                <w:szCs w:val="26"/>
              </w:rPr>
            </w:pPr>
            <w:r w:rsidRPr="0003106C">
              <w:rPr>
                <w:sz w:val="26"/>
                <w:szCs w:val="26"/>
              </w:rPr>
              <w:t>4.</w:t>
            </w:r>
          </w:p>
        </w:tc>
        <w:tc>
          <w:tcPr>
            <w:tcW w:w="3969" w:type="dxa"/>
          </w:tcPr>
          <w:p w:rsidR="00BC0353" w:rsidRPr="0003106C" w:rsidRDefault="00BC0353" w:rsidP="00A04FAE">
            <w:pPr>
              <w:rPr>
                <w:sz w:val="18"/>
                <w:szCs w:val="18"/>
              </w:rPr>
            </w:pPr>
            <w:r w:rsidRPr="0003106C">
              <w:rPr>
                <w:bCs/>
                <w:sz w:val="26"/>
                <w:szCs w:val="26"/>
              </w:rPr>
              <w:t xml:space="preserve">Latvijas Stratēģiskās attīstības plāns 2010.–2013.gadam </w:t>
            </w:r>
            <w:bookmarkStart w:id="40" w:name="359783"/>
            <w:r w:rsidRPr="0003106C">
              <w:rPr>
                <w:sz w:val="26"/>
                <w:szCs w:val="26"/>
              </w:rPr>
              <w:t>(Apstiprināts ar MK 09.04.2010. rīkojumu Nr.203</w:t>
            </w:r>
            <w:r w:rsidRPr="0003106C">
              <w:rPr>
                <w:sz w:val="18"/>
                <w:szCs w:val="18"/>
              </w:rPr>
              <w:t>)</w:t>
            </w:r>
            <w:bookmarkEnd w:id="40"/>
          </w:p>
        </w:tc>
        <w:tc>
          <w:tcPr>
            <w:tcW w:w="4501" w:type="dxa"/>
          </w:tcPr>
          <w:p w:rsidR="00BC0353" w:rsidRPr="0003106C" w:rsidRDefault="00BC0353" w:rsidP="00A04FAE">
            <w:pPr>
              <w:autoSpaceDE w:val="0"/>
              <w:autoSpaceDN w:val="0"/>
              <w:adjustRightInd w:val="0"/>
              <w:ind w:left="18" w:firstLine="34"/>
              <w:jc w:val="both"/>
              <w:rPr>
                <w:rFonts w:eastAsia="PMingLiU"/>
                <w:sz w:val="26"/>
                <w:szCs w:val="26"/>
              </w:rPr>
            </w:pPr>
            <w:r w:rsidRPr="0003106C">
              <w:rPr>
                <w:sz w:val="26"/>
                <w:szCs w:val="26"/>
              </w:rPr>
              <w:t>Noteikti 3 galvenie vidēja termiņa rīcības virzieni – ekonomiskās izaugsmes veicināšana, sociālā drošība un publiskās pārvaldes reforma, kuru mērķis ir kāpināt valsts konkurētspēju.</w:t>
            </w:r>
          </w:p>
        </w:tc>
      </w:tr>
      <w:tr w:rsidR="00BC0353" w:rsidRPr="0003106C" w:rsidTr="00DB6437">
        <w:tc>
          <w:tcPr>
            <w:tcW w:w="675" w:type="dxa"/>
          </w:tcPr>
          <w:p w:rsidR="00BC0353" w:rsidRPr="0003106C" w:rsidRDefault="00BC0353" w:rsidP="001C3CED">
            <w:pPr>
              <w:ind w:right="-143"/>
              <w:jc w:val="both"/>
              <w:rPr>
                <w:sz w:val="26"/>
                <w:szCs w:val="26"/>
              </w:rPr>
            </w:pPr>
            <w:r w:rsidRPr="0003106C">
              <w:rPr>
                <w:sz w:val="26"/>
                <w:szCs w:val="26"/>
              </w:rPr>
              <w:t>5.</w:t>
            </w:r>
          </w:p>
        </w:tc>
        <w:tc>
          <w:tcPr>
            <w:tcW w:w="3969" w:type="dxa"/>
          </w:tcPr>
          <w:p w:rsidR="00BC0353" w:rsidRPr="0003106C" w:rsidRDefault="00BC0353" w:rsidP="00A04FAE">
            <w:pPr>
              <w:rPr>
                <w:sz w:val="26"/>
                <w:szCs w:val="26"/>
              </w:rPr>
            </w:pPr>
            <w:r w:rsidRPr="0003106C">
              <w:rPr>
                <w:rStyle w:val="Hyperlink"/>
                <w:color w:val="auto"/>
                <w:sz w:val="26"/>
                <w:szCs w:val="26"/>
                <w:u w:val="none"/>
              </w:rPr>
              <w:t>Komercdarbības konkurētspējas un inovācijas veicināšanas programma 2007. – 2013.gadam (MK 28.06.2007. rīkojums Nr.406)</w:t>
            </w:r>
          </w:p>
        </w:tc>
        <w:tc>
          <w:tcPr>
            <w:tcW w:w="4501" w:type="dxa"/>
          </w:tcPr>
          <w:p w:rsidR="00BC0353" w:rsidRPr="0003106C" w:rsidRDefault="00BC0353" w:rsidP="00A04FAE">
            <w:pPr>
              <w:ind w:left="34"/>
              <w:jc w:val="both"/>
              <w:rPr>
                <w:sz w:val="26"/>
                <w:szCs w:val="26"/>
              </w:rPr>
            </w:pPr>
            <w:r w:rsidRPr="0003106C">
              <w:rPr>
                <w:sz w:val="26"/>
                <w:szCs w:val="26"/>
              </w:rPr>
              <w:t>Nosaka uzdevumus komercdarbības konkurētspējas veicināšanai, inovācijas attīstībai, rūpniecības attīstībai.</w:t>
            </w:r>
          </w:p>
          <w:p w:rsidR="00BC0353" w:rsidRPr="0003106C" w:rsidRDefault="00BC0353" w:rsidP="00A04FAE">
            <w:pPr>
              <w:pStyle w:val="BodyText"/>
              <w:ind w:firstLine="34"/>
              <w:jc w:val="both"/>
              <w:rPr>
                <w:sz w:val="26"/>
                <w:szCs w:val="26"/>
              </w:rPr>
            </w:pPr>
          </w:p>
        </w:tc>
      </w:tr>
      <w:tr w:rsidR="00BC0353" w:rsidRPr="0003106C" w:rsidTr="00DB6437">
        <w:tc>
          <w:tcPr>
            <w:tcW w:w="675" w:type="dxa"/>
          </w:tcPr>
          <w:p w:rsidR="00BC0353" w:rsidRPr="0003106C" w:rsidRDefault="00BC0353" w:rsidP="001C3CED">
            <w:pPr>
              <w:ind w:right="-143"/>
              <w:jc w:val="both"/>
              <w:rPr>
                <w:sz w:val="26"/>
                <w:szCs w:val="26"/>
              </w:rPr>
            </w:pPr>
            <w:r w:rsidRPr="0003106C">
              <w:rPr>
                <w:sz w:val="26"/>
                <w:szCs w:val="26"/>
              </w:rPr>
              <w:t>6.</w:t>
            </w:r>
          </w:p>
        </w:tc>
        <w:tc>
          <w:tcPr>
            <w:tcW w:w="3969" w:type="dxa"/>
          </w:tcPr>
          <w:p w:rsidR="00BC0353" w:rsidRPr="0003106C" w:rsidRDefault="00BC0353" w:rsidP="00A104FF">
            <w:pPr>
              <w:pStyle w:val="BodyText"/>
              <w:rPr>
                <w:sz w:val="26"/>
                <w:szCs w:val="26"/>
              </w:rPr>
            </w:pPr>
            <w:r w:rsidRPr="0003106C">
              <w:rPr>
                <w:sz w:val="26"/>
                <w:szCs w:val="26"/>
              </w:rPr>
              <w:t>Informatīvais ziņojums par ekonomikas atveseļošanas politikas virzieniem vidēja termiņa periodā (2009.gada 10.novembra MK sēdes protokols  Nr.79</w:t>
            </w:r>
            <w:bookmarkStart w:id="41" w:name="52"/>
            <w:r w:rsidRPr="0003106C">
              <w:rPr>
                <w:sz w:val="26"/>
                <w:szCs w:val="26"/>
              </w:rPr>
              <w:t>; 52</w:t>
            </w:r>
            <w:bookmarkEnd w:id="41"/>
            <w:r w:rsidRPr="0003106C">
              <w:rPr>
                <w:sz w:val="26"/>
                <w:szCs w:val="26"/>
              </w:rPr>
              <w:t>.§)</w:t>
            </w:r>
          </w:p>
        </w:tc>
        <w:tc>
          <w:tcPr>
            <w:tcW w:w="4501" w:type="dxa"/>
          </w:tcPr>
          <w:p w:rsidR="00BC0353" w:rsidRPr="0003106C" w:rsidRDefault="00BC0353" w:rsidP="0075464A">
            <w:pPr>
              <w:pStyle w:val="ListParagraph"/>
              <w:tabs>
                <w:tab w:val="left" w:pos="1134"/>
              </w:tabs>
              <w:spacing w:line="240" w:lineRule="auto"/>
              <w:ind w:left="0" w:firstLine="4"/>
              <w:contextualSpacing w:val="0"/>
              <w:jc w:val="both"/>
              <w:rPr>
                <w:rFonts w:ascii="Times New Roman" w:hAnsi="Times New Roman"/>
                <w:sz w:val="26"/>
                <w:szCs w:val="26"/>
              </w:rPr>
            </w:pPr>
            <w:r w:rsidRPr="0003106C">
              <w:rPr>
                <w:rFonts w:ascii="Times New Roman" w:eastAsia="Times New Roman" w:hAnsi="Times New Roman"/>
                <w:sz w:val="26"/>
                <w:szCs w:val="26"/>
              </w:rPr>
              <w:t>Definē valsts atbalsta prioritāros segmentus un nosaka mērķtiecīga un selektīva valsts atbalsta galvenos virzienus.</w:t>
            </w:r>
          </w:p>
        </w:tc>
      </w:tr>
      <w:tr w:rsidR="00BC0353" w:rsidRPr="0003106C" w:rsidTr="00DB6437">
        <w:tc>
          <w:tcPr>
            <w:tcW w:w="675" w:type="dxa"/>
          </w:tcPr>
          <w:p w:rsidR="00BC0353" w:rsidRPr="0003106C" w:rsidRDefault="00BC0353" w:rsidP="001C3CED">
            <w:pPr>
              <w:ind w:right="-143"/>
              <w:jc w:val="both"/>
              <w:rPr>
                <w:sz w:val="26"/>
                <w:szCs w:val="26"/>
              </w:rPr>
            </w:pPr>
            <w:r w:rsidRPr="0003106C">
              <w:rPr>
                <w:sz w:val="26"/>
                <w:szCs w:val="26"/>
              </w:rPr>
              <w:t>7.</w:t>
            </w:r>
          </w:p>
        </w:tc>
        <w:tc>
          <w:tcPr>
            <w:tcW w:w="3969" w:type="dxa"/>
          </w:tcPr>
          <w:p w:rsidR="00BC0353" w:rsidRPr="0003106C" w:rsidRDefault="00BC0353" w:rsidP="0075464A">
            <w:pPr>
              <w:ind w:right="33"/>
              <w:rPr>
                <w:sz w:val="26"/>
                <w:szCs w:val="26"/>
              </w:rPr>
            </w:pPr>
            <w:r w:rsidRPr="0003106C">
              <w:rPr>
                <w:sz w:val="26"/>
                <w:szCs w:val="26"/>
              </w:rPr>
              <w:t xml:space="preserve">Latvijas Ārējo ekonomisko pārstāvniecību attīstības koncepcija (MK </w:t>
            </w:r>
            <w:smartTag w:uri="schemas-tilde-lv/tildestengine" w:element="date">
              <w:smartTagPr>
                <w:attr w:name="Year" w:val="2002"/>
                <w:attr w:name="Month" w:val="4"/>
                <w:attr w:name="Day" w:val="23"/>
              </w:smartTagPr>
              <w:r w:rsidRPr="0003106C">
                <w:rPr>
                  <w:sz w:val="26"/>
                  <w:szCs w:val="26"/>
                </w:rPr>
                <w:t>23.04.2002</w:t>
              </w:r>
            </w:smartTag>
            <w:r w:rsidRPr="0003106C">
              <w:rPr>
                <w:sz w:val="26"/>
                <w:szCs w:val="26"/>
              </w:rPr>
              <w:t xml:space="preserve">. </w:t>
            </w:r>
            <w:smartTag w:uri="schemas-tilde-lv/tildestengine" w:element="veidnes">
              <w:smartTagPr>
                <w:attr w:name="text" w:val="rīkojums"/>
                <w:attr w:name="id" w:val="-1"/>
                <w:attr w:name="baseform" w:val="rīkojum|s"/>
              </w:smartTagPr>
              <w:r w:rsidRPr="0003106C">
                <w:rPr>
                  <w:sz w:val="26"/>
                  <w:szCs w:val="26"/>
                </w:rPr>
                <w:t>rīkojums</w:t>
              </w:r>
            </w:smartTag>
            <w:r w:rsidRPr="0003106C">
              <w:rPr>
                <w:sz w:val="26"/>
                <w:szCs w:val="26"/>
              </w:rPr>
              <w:t xml:space="preserve"> Nr.91) </w:t>
            </w:r>
          </w:p>
        </w:tc>
        <w:tc>
          <w:tcPr>
            <w:tcW w:w="4501" w:type="dxa"/>
          </w:tcPr>
          <w:p w:rsidR="00BC0353" w:rsidRPr="0003106C" w:rsidRDefault="00BC0353" w:rsidP="00880ED3">
            <w:pPr>
              <w:ind w:firstLine="34"/>
              <w:jc w:val="both"/>
              <w:rPr>
                <w:sz w:val="26"/>
                <w:szCs w:val="26"/>
              </w:rPr>
            </w:pPr>
            <w:r w:rsidRPr="0003106C">
              <w:rPr>
                <w:sz w:val="26"/>
                <w:szCs w:val="26"/>
              </w:rPr>
              <w:t xml:space="preserve">Latvijas ekonomisko interešu pārstāvēšana ārvalstīs. Latvijas ārējo ekonomisko pārstāvniecību un tās atbalstošās institūcijas darbības principu nodrošināšana, pārstāvniecību tīkla paplašināšana. </w:t>
            </w:r>
          </w:p>
        </w:tc>
      </w:tr>
      <w:tr w:rsidR="00BC0353" w:rsidRPr="0003106C" w:rsidTr="00DB6437">
        <w:tc>
          <w:tcPr>
            <w:tcW w:w="675" w:type="dxa"/>
          </w:tcPr>
          <w:p w:rsidR="00BC0353" w:rsidRPr="0003106C" w:rsidRDefault="00BC0353" w:rsidP="001C3CED">
            <w:pPr>
              <w:ind w:right="-143"/>
              <w:jc w:val="both"/>
              <w:rPr>
                <w:sz w:val="26"/>
                <w:szCs w:val="26"/>
              </w:rPr>
            </w:pPr>
            <w:r w:rsidRPr="0003106C">
              <w:rPr>
                <w:sz w:val="26"/>
                <w:szCs w:val="26"/>
              </w:rPr>
              <w:t>8.</w:t>
            </w:r>
          </w:p>
        </w:tc>
        <w:tc>
          <w:tcPr>
            <w:tcW w:w="3969" w:type="dxa"/>
          </w:tcPr>
          <w:p w:rsidR="00BC0353" w:rsidRPr="0003106C" w:rsidRDefault="00CA1579" w:rsidP="00A04FAE">
            <w:pPr>
              <w:ind w:right="33"/>
              <w:rPr>
                <w:rStyle w:val="Hyperlink"/>
                <w:color w:val="auto"/>
                <w:sz w:val="26"/>
                <w:szCs w:val="26"/>
                <w:u w:val="none"/>
              </w:rPr>
            </w:pPr>
            <w:hyperlink r:id="rId34" w:tgtFrame="_blank" w:history="1">
              <w:r w:rsidR="00BC0353" w:rsidRPr="0003106C">
                <w:rPr>
                  <w:rStyle w:val="Hyperlink"/>
                  <w:color w:val="auto"/>
                  <w:sz w:val="26"/>
                  <w:szCs w:val="26"/>
                  <w:u w:val="none"/>
                </w:rPr>
                <w:t>Uzņēmējdarbības vides uzlabošanas pasākumu plāns 2013.-2014.gadam (MK 24.04.2013. rīkojums Nr.165)</w:t>
              </w:r>
            </w:hyperlink>
          </w:p>
          <w:p w:rsidR="00BC0353" w:rsidRPr="0003106C" w:rsidRDefault="00BC0353" w:rsidP="00A04FAE">
            <w:pPr>
              <w:rPr>
                <w:sz w:val="28"/>
                <w:szCs w:val="28"/>
              </w:rPr>
            </w:pPr>
          </w:p>
          <w:p w:rsidR="00BC0353" w:rsidRPr="0003106C" w:rsidRDefault="00BC0353" w:rsidP="00A04FAE">
            <w:pPr>
              <w:ind w:right="33"/>
              <w:rPr>
                <w:sz w:val="26"/>
                <w:szCs w:val="26"/>
              </w:rPr>
            </w:pPr>
          </w:p>
        </w:tc>
        <w:tc>
          <w:tcPr>
            <w:tcW w:w="4501" w:type="dxa"/>
          </w:tcPr>
          <w:p w:rsidR="00BC0353" w:rsidRPr="0003106C" w:rsidRDefault="00BC0353" w:rsidP="00A04FAE">
            <w:pPr>
              <w:spacing w:after="60"/>
              <w:ind w:firstLine="34"/>
              <w:jc w:val="both"/>
              <w:rPr>
                <w:sz w:val="26"/>
                <w:szCs w:val="26"/>
              </w:rPr>
            </w:pPr>
            <w:r w:rsidRPr="0003106C">
              <w:rPr>
                <w:bCs/>
                <w:sz w:val="26"/>
                <w:szCs w:val="26"/>
              </w:rPr>
              <w:t xml:space="preserve">Lai pozicionētu Latviju kā uzņēmējdarbībai un investīcijām labvēlīgu tautsaimniecību, izvirzīti uz tautsaimniecības attīstību ilgtermiņā vērsti pasākumi, kuriem ir ietekme uz Latvijas </w:t>
            </w:r>
            <w:r w:rsidRPr="0003106C">
              <w:rPr>
                <w:bCs/>
                <w:i/>
                <w:iCs/>
                <w:sz w:val="26"/>
                <w:szCs w:val="26"/>
              </w:rPr>
              <w:t>Doing Business</w:t>
            </w:r>
            <w:r w:rsidRPr="0003106C">
              <w:rPr>
                <w:bCs/>
                <w:sz w:val="26"/>
                <w:szCs w:val="26"/>
              </w:rPr>
              <w:t xml:space="preserve"> pētījuma rādītājiem.</w:t>
            </w:r>
          </w:p>
        </w:tc>
      </w:tr>
      <w:tr w:rsidR="00BC0353" w:rsidRPr="0003106C" w:rsidTr="00DB6437">
        <w:tc>
          <w:tcPr>
            <w:tcW w:w="675" w:type="dxa"/>
          </w:tcPr>
          <w:p w:rsidR="00BC0353" w:rsidRPr="0003106C" w:rsidRDefault="00BC0353" w:rsidP="001C3CED">
            <w:pPr>
              <w:ind w:right="-143"/>
              <w:jc w:val="both"/>
              <w:rPr>
                <w:sz w:val="26"/>
                <w:szCs w:val="26"/>
              </w:rPr>
            </w:pPr>
            <w:r w:rsidRPr="0003106C">
              <w:rPr>
                <w:sz w:val="26"/>
                <w:szCs w:val="26"/>
              </w:rPr>
              <w:t>9.</w:t>
            </w:r>
          </w:p>
          <w:p w:rsidR="00BC0353" w:rsidRPr="0003106C" w:rsidRDefault="00BC0353" w:rsidP="001C3CED">
            <w:pPr>
              <w:ind w:right="-143"/>
              <w:jc w:val="both"/>
              <w:rPr>
                <w:sz w:val="26"/>
                <w:szCs w:val="26"/>
              </w:rPr>
            </w:pPr>
          </w:p>
        </w:tc>
        <w:tc>
          <w:tcPr>
            <w:tcW w:w="3969" w:type="dxa"/>
          </w:tcPr>
          <w:p w:rsidR="00BC0353" w:rsidRPr="0003106C" w:rsidRDefault="00CA1579" w:rsidP="001C3CED">
            <w:pPr>
              <w:ind w:right="33"/>
              <w:rPr>
                <w:sz w:val="26"/>
                <w:szCs w:val="26"/>
              </w:rPr>
            </w:pPr>
            <w:hyperlink r:id="rId35" w:history="1">
              <w:r w:rsidR="00BC0353" w:rsidRPr="0003106C">
                <w:rPr>
                  <w:rStyle w:val="Hyperlink"/>
                  <w:color w:val="auto"/>
                  <w:sz w:val="26"/>
                  <w:szCs w:val="26"/>
                  <w:u w:val="none"/>
                </w:rPr>
                <w:t>Transporta attīstības pamatnostādnes 2007.-2013.gadam</w:t>
              </w:r>
            </w:hyperlink>
            <w:r w:rsidR="00BC0353" w:rsidRPr="0003106C">
              <w:rPr>
                <w:rStyle w:val="Hyperlink"/>
                <w:color w:val="auto"/>
                <w:sz w:val="26"/>
                <w:szCs w:val="26"/>
                <w:u w:val="none"/>
              </w:rPr>
              <w:t xml:space="preserve"> (</w:t>
            </w:r>
            <w:hyperlink r:id="rId36" w:history="1">
              <w:r w:rsidR="00BC0353" w:rsidRPr="0003106C">
                <w:rPr>
                  <w:rStyle w:val="Hyperlink"/>
                  <w:color w:val="auto"/>
                  <w:sz w:val="26"/>
                  <w:szCs w:val="26"/>
                  <w:u w:val="none"/>
                </w:rPr>
                <w:t>MK 12.07.2006. rīkojums Nr.</w:t>
              </w:r>
            </w:hyperlink>
            <w:r w:rsidR="00BC0353" w:rsidRPr="0003106C">
              <w:rPr>
                <w:rStyle w:val="Hyperlink"/>
                <w:color w:val="auto"/>
                <w:sz w:val="26"/>
                <w:szCs w:val="26"/>
                <w:u w:val="none"/>
              </w:rPr>
              <w:t>518)</w:t>
            </w:r>
            <w:r w:rsidR="00BC0353" w:rsidRPr="0003106C">
              <w:rPr>
                <w:rStyle w:val="Heading1Char"/>
                <w:rFonts w:ascii="Arial" w:hAnsi="Arial" w:cs="Arial"/>
                <w:color w:val="444444"/>
                <w:sz w:val="26"/>
                <w:szCs w:val="26"/>
                <w:lang w:val="en"/>
              </w:rPr>
              <w:t xml:space="preserve"> </w:t>
            </w:r>
          </w:p>
        </w:tc>
        <w:tc>
          <w:tcPr>
            <w:tcW w:w="4501" w:type="dxa"/>
          </w:tcPr>
          <w:p w:rsidR="00BC0353" w:rsidRPr="0003106C" w:rsidRDefault="00BC0353" w:rsidP="001C3CED">
            <w:pPr>
              <w:pStyle w:val="BodyText"/>
              <w:spacing w:before="120"/>
              <w:jc w:val="both"/>
              <w:rPr>
                <w:sz w:val="26"/>
                <w:szCs w:val="26"/>
              </w:rPr>
            </w:pPr>
            <w:r w:rsidRPr="0003106C">
              <w:rPr>
                <w:bCs/>
                <w:sz w:val="26"/>
                <w:szCs w:val="26"/>
              </w:rPr>
              <w:t>Nosaka politikas pamatprincipus, attīstības mērķus un prioritātes transporta nozarē.</w:t>
            </w:r>
          </w:p>
        </w:tc>
      </w:tr>
      <w:tr w:rsidR="00BC0353" w:rsidRPr="0003106C" w:rsidTr="00DB6437">
        <w:tc>
          <w:tcPr>
            <w:tcW w:w="675" w:type="dxa"/>
          </w:tcPr>
          <w:p w:rsidR="00BC0353" w:rsidRPr="0003106C" w:rsidRDefault="00BC0353" w:rsidP="001C3CED">
            <w:pPr>
              <w:ind w:right="-143"/>
              <w:jc w:val="both"/>
              <w:rPr>
                <w:sz w:val="26"/>
                <w:szCs w:val="26"/>
              </w:rPr>
            </w:pPr>
            <w:r w:rsidRPr="0003106C">
              <w:rPr>
                <w:sz w:val="26"/>
                <w:szCs w:val="26"/>
              </w:rPr>
              <w:t>10.</w:t>
            </w:r>
          </w:p>
        </w:tc>
        <w:tc>
          <w:tcPr>
            <w:tcW w:w="3969" w:type="dxa"/>
          </w:tcPr>
          <w:p w:rsidR="00BC0353" w:rsidRPr="0003106C" w:rsidRDefault="00BC0353" w:rsidP="001C3CED">
            <w:pPr>
              <w:ind w:right="33"/>
              <w:rPr>
                <w:sz w:val="26"/>
                <w:szCs w:val="26"/>
              </w:rPr>
            </w:pPr>
            <w:r w:rsidRPr="0003106C">
              <w:rPr>
                <w:sz w:val="26"/>
                <w:szCs w:val="26"/>
              </w:rPr>
              <w:t xml:space="preserve">Zinātnes un tehnoloģijas attīstības pamatnostādnes 2009.-2013.gadam </w:t>
            </w:r>
            <w:r w:rsidRPr="0003106C">
              <w:rPr>
                <w:sz w:val="26"/>
                <w:szCs w:val="26"/>
              </w:rPr>
              <w:lastRenderedPageBreak/>
              <w:t>(MK 16.09.2009. rīkojums Nr.631)</w:t>
            </w:r>
          </w:p>
        </w:tc>
        <w:tc>
          <w:tcPr>
            <w:tcW w:w="4501" w:type="dxa"/>
          </w:tcPr>
          <w:p w:rsidR="00BC0353" w:rsidRPr="0003106C" w:rsidRDefault="00BC0353" w:rsidP="001C3CED">
            <w:pPr>
              <w:ind w:firstLine="34"/>
              <w:jc w:val="both"/>
              <w:rPr>
                <w:sz w:val="26"/>
                <w:szCs w:val="26"/>
              </w:rPr>
            </w:pPr>
            <w:r w:rsidRPr="0003106C">
              <w:rPr>
                <w:sz w:val="26"/>
                <w:szCs w:val="26"/>
              </w:rPr>
              <w:lastRenderedPageBreak/>
              <w:t xml:space="preserve">Nosaka valdības politikas mērķus un prioritātes zinātnes un tehnoloģijas  </w:t>
            </w:r>
            <w:r w:rsidRPr="0003106C">
              <w:rPr>
                <w:sz w:val="26"/>
                <w:szCs w:val="26"/>
              </w:rPr>
              <w:lastRenderedPageBreak/>
              <w:t>attīstībā, kā arī inovācijas attīstība.</w:t>
            </w:r>
          </w:p>
        </w:tc>
      </w:tr>
      <w:tr w:rsidR="00BC0353" w:rsidRPr="0003106C" w:rsidTr="00DB6437">
        <w:tc>
          <w:tcPr>
            <w:tcW w:w="675" w:type="dxa"/>
          </w:tcPr>
          <w:p w:rsidR="00BC0353" w:rsidRPr="0003106C" w:rsidRDefault="00BC0353" w:rsidP="001C3CED">
            <w:pPr>
              <w:ind w:right="-143"/>
              <w:jc w:val="both"/>
              <w:rPr>
                <w:sz w:val="26"/>
                <w:szCs w:val="26"/>
              </w:rPr>
            </w:pPr>
            <w:r w:rsidRPr="0003106C">
              <w:rPr>
                <w:sz w:val="26"/>
                <w:szCs w:val="26"/>
              </w:rPr>
              <w:lastRenderedPageBreak/>
              <w:t>11.</w:t>
            </w:r>
          </w:p>
        </w:tc>
        <w:tc>
          <w:tcPr>
            <w:tcW w:w="3969" w:type="dxa"/>
          </w:tcPr>
          <w:p w:rsidR="00BC0353" w:rsidRPr="0003106C" w:rsidRDefault="00BC0353" w:rsidP="001C3CED">
            <w:pPr>
              <w:ind w:right="33"/>
              <w:rPr>
                <w:sz w:val="26"/>
                <w:szCs w:val="26"/>
              </w:rPr>
            </w:pPr>
            <w:r w:rsidRPr="0003106C">
              <w:rPr>
                <w:sz w:val="26"/>
                <w:szCs w:val="26"/>
              </w:rPr>
              <w:t>Izglītības attīstības pamatnostādnes 2007. – 2013.gadam (MK 27.09.2006. rīkojums Nr.742)</w:t>
            </w:r>
          </w:p>
        </w:tc>
        <w:tc>
          <w:tcPr>
            <w:tcW w:w="4501" w:type="dxa"/>
          </w:tcPr>
          <w:p w:rsidR="00BC0353" w:rsidRPr="0003106C" w:rsidRDefault="00BC0353" w:rsidP="001C3CED">
            <w:pPr>
              <w:ind w:firstLine="34"/>
              <w:rPr>
                <w:sz w:val="26"/>
                <w:szCs w:val="26"/>
              </w:rPr>
            </w:pPr>
            <w:r w:rsidRPr="0003106C">
              <w:rPr>
                <w:bCs/>
                <w:sz w:val="26"/>
                <w:szCs w:val="26"/>
              </w:rPr>
              <w:t>Nosaka izglītības politikas pamatprincipus, attīstības mērķus un prioritātes izglītības nozarē</w:t>
            </w:r>
          </w:p>
        </w:tc>
      </w:tr>
      <w:tr w:rsidR="006C2ED4" w:rsidRPr="0003106C" w:rsidTr="00DB6437">
        <w:tc>
          <w:tcPr>
            <w:tcW w:w="675" w:type="dxa"/>
          </w:tcPr>
          <w:p w:rsidR="006C2ED4" w:rsidRPr="0003106C" w:rsidRDefault="006C2ED4" w:rsidP="00AD3AA5">
            <w:pPr>
              <w:ind w:right="-143"/>
              <w:jc w:val="both"/>
              <w:rPr>
                <w:sz w:val="26"/>
                <w:szCs w:val="26"/>
              </w:rPr>
            </w:pPr>
            <w:r w:rsidRPr="0003106C">
              <w:rPr>
                <w:sz w:val="26"/>
                <w:szCs w:val="26"/>
              </w:rPr>
              <w:t>12.</w:t>
            </w:r>
          </w:p>
        </w:tc>
        <w:tc>
          <w:tcPr>
            <w:tcW w:w="3969" w:type="dxa"/>
          </w:tcPr>
          <w:p w:rsidR="006C2ED4" w:rsidRPr="0003106C" w:rsidRDefault="006C2ED4" w:rsidP="006C2ED4">
            <w:pPr>
              <w:ind w:right="33"/>
              <w:rPr>
                <w:sz w:val="26"/>
                <w:szCs w:val="26"/>
              </w:rPr>
            </w:pPr>
            <w:r w:rsidRPr="0003106C">
              <w:rPr>
                <w:sz w:val="26"/>
                <w:szCs w:val="26"/>
              </w:rPr>
              <w:t>Nacionālās industriālās politikas pamatnostādņu 2014.-2020.gadam projekts (izsludināts Valsts sekretāru sanāksmes 14.02.2013. sēdē protokols Nr.6 3.§).</w:t>
            </w:r>
          </w:p>
        </w:tc>
        <w:tc>
          <w:tcPr>
            <w:tcW w:w="4501" w:type="dxa"/>
          </w:tcPr>
          <w:p w:rsidR="006C2ED4" w:rsidRPr="0003106C" w:rsidRDefault="00FF5603" w:rsidP="001C3CED">
            <w:pPr>
              <w:ind w:firstLine="34"/>
              <w:rPr>
                <w:bCs/>
                <w:sz w:val="26"/>
                <w:szCs w:val="26"/>
              </w:rPr>
            </w:pPr>
            <w:r w:rsidRPr="0003106C">
              <w:rPr>
                <w:bCs/>
                <w:sz w:val="26"/>
                <w:szCs w:val="26"/>
              </w:rPr>
              <w:t>Nosaka nepieciešamās ekonomikas strukturālās izmaiņas par labu preču un pakalpojumu ar augstāku ienesīgumu ražošanai, t.sk. rūpniecības lomas palielināšanai, rūpniecības un pakalpojumu modernizācijai un dažādākam eksporta grozam.</w:t>
            </w:r>
          </w:p>
        </w:tc>
      </w:tr>
      <w:tr w:rsidR="006C2ED4" w:rsidRPr="0003106C" w:rsidTr="00DB6437">
        <w:tc>
          <w:tcPr>
            <w:tcW w:w="675" w:type="dxa"/>
          </w:tcPr>
          <w:p w:rsidR="006C2ED4" w:rsidRPr="0003106C" w:rsidRDefault="006C2ED4" w:rsidP="00AD3AA5">
            <w:pPr>
              <w:ind w:right="-143"/>
              <w:jc w:val="both"/>
              <w:rPr>
                <w:sz w:val="26"/>
                <w:szCs w:val="26"/>
              </w:rPr>
            </w:pPr>
            <w:r w:rsidRPr="0003106C">
              <w:rPr>
                <w:sz w:val="26"/>
                <w:szCs w:val="26"/>
              </w:rPr>
              <w:t>13.</w:t>
            </w:r>
          </w:p>
        </w:tc>
        <w:tc>
          <w:tcPr>
            <w:tcW w:w="3969" w:type="dxa"/>
          </w:tcPr>
          <w:p w:rsidR="006C2ED4" w:rsidRPr="0003106C" w:rsidRDefault="006C2ED4" w:rsidP="001C3CED">
            <w:pPr>
              <w:ind w:right="33"/>
              <w:rPr>
                <w:sz w:val="26"/>
                <w:szCs w:val="26"/>
              </w:rPr>
            </w:pPr>
            <w:r w:rsidRPr="0003106C">
              <w:rPr>
                <w:sz w:val="26"/>
                <w:szCs w:val="26"/>
              </w:rPr>
              <w:t>Reģionālās politikas pamatnostādņu 2013.-2019.gadam projekts (izsludināts Valsts sekretāru sanāksmes 13.12.2012. sēdē, protokols Nr.50 14.§)</w:t>
            </w:r>
          </w:p>
        </w:tc>
        <w:tc>
          <w:tcPr>
            <w:tcW w:w="4501" w:type="dxa"/>
          </w:tcPr>
          <w:p w:rsidR="006C2ED4" w:rsidRPr="0003106C" w:rsidRDefault="006C2ED4" w:rsidP="006C2ED4">
            <w:pPr>
              <w:rPr>
                <w:b/>
                <w:bCs/>
                <w:sz w:val="26"/>
                <w:szCs w:val="26"/>
              </w:rPr>
            </w:pPr>
            <w:r w:rsidRPr="0003106C">
              <w:rPr>
                <w:bCs/>
                <w:sz w:val="26"/>
                <w:szCs w:val="26"/>
              </w:rPr>
              <w:t>Nosaka politikas principus, mērķus un uzdevumus ekonomikas attīstībai vietējā un reģionālajā līmenī.</w:t>
            </w:r>
          </w:p>
        </w:tc>
      </w:tr>
      <w:tr w:rsidR="006C2ED4" w:rsidRPr="0003106C" w:rsidTr="00DB6437">
        <w:tc>
          <w:tcPr>
            <w:tcW w:w="675" w:type="dxa"/>
          </w:tcPr>
          <w:p w:rsidR="006C2ED4" w:rsidRPr="0003106C" w:rsidRDefault="006C2ED4" w:rsidP="00DC5763">
            <w:pPr>
              <w:ind w:right="-143"/>
              <w:jc w:val="both"/>
              <w:rPr>
                <w:sz w:val="26"/>
                <w:szCs w:val="26"/>
              </w:rPr>
            </w:pPr>
            <w:r w:rsidRPr="0003106C">
              <w:rPr>
                <w:sz w:val="26"/>
                <w:szCs w:val="26"/>
              </w:rPr>
              <w:t>14.</w:t>
            </w:r>
          </w:p>
        </w:tc>
        <w:tc>
          <w:tcPr>
            <w:tcW w:w="3969" w:type="dxa"/>
          </w:tcPr>
          <w:p w:rsidR="006C2ED4" w:rsidRPr="0003106C" w:rsidRDefault="00CA1579" w:rsidP="009F3B59">
            <w:pPr>
              <w:ind w:right="33"/>
              <w:rPr>
                <w:sz w:val="26"/>
                <w:szCs w:val="26"/>
              </w:rPr>
            </w:pPr>
            <w:hyperlink r:id="rId37" w:history="1">
              <w:r w:rsidR="006C2ED4" w:rsidRPr="0003106C">
                <w:rPr>
                  <w:rStyle w:val="Hyperlink"/>
                  <w:color w:val="auto"/>
                  <w:sz w:val="26"/>
                  <w:szCs w:val="26"/>
                  <w:u w:val="none"/>
                </w:rPr>
                <w:t>Transporta attīstības pamatnostādņu 2013.-2020.gadam</w:t>
              </w:r>
            </w:hyperlink>
            <w:r w:rsidR="006C2ED4" w:rsidRPr="0003106C">
              <w:rPr>
                <w:rStyle w:val="Hyperlink"/>
                <w:color w:val="auto"/>
                <w:sz w:val="26"/>
                <w:szCs w:val="26"/>
                <w:u w:val="none"/>
              </w:rPr>
              <w:t xml:space="preserve"> projekts </w:t>
            </w:r>
            <w:r w:rsidR="006C2ED4" w:rsidRPr="0003106C">
              <w:rPr>
                <w:sz w:val="26"/>
                <w:szCs w:val="26"/>
              </w:rPr>
              <w:t>(izsludināts Valsts sekretāru sanāksmes 18.04.2013. sēdē, protokols Nr.15 13.§)</w:t>
            </w:r>
          </w:p>
        </w:tc>
        <w:tc>
          <w:tcPr>
            <w:tcW w:w="4501" w:type="dxa"/>
          </w:tcPr>
          <w:p w:rsidR="006C2ED4" w:rsidRPr="0003106C" w:rsidRDefault="006C2ED4" w:rsidP="0075464A">
            <w:pPr>
              <w:ind w:firstLine="34"/>
              <w:jc w:val="both"/>
              <w:rPr>
                <w:sz w:val="26"/>
                <w:szCs w:val="26"/>
              </w:rPr>
            </w:pPr>
            <w:r w:rsidRPr="0003106C">
              <w:rPr>
                <w:bCs/>
                <w:sz w:val="26"/>
                <w:szCs w:val="26"/>
              </w:rPr>
              <w:t>Nosaka politikas pamatprincipus, attīstības mērķus un prioritātes transporta nozarē.</w:t>
            </w:r>
          </w:p>
        </w:tc>
      </w:tr>
    </w:tbl>
    <w:p w:rsidR="000E57A4" w:rsidRPr="0003106C" w:rsidRDefault="000E57A4" w:rsidP="005641B6">
      <w:pPr>
        <w:rPr>
          <w:sz w:val="26"/>
          <w:szCs w:val="26"/>
          <w:lang w:eastAsia="en-US"/>
        </w:rPr>
      </w:pPr>
    </w:p>
    <w:p w:rsidR="009E390E" w:rsidRPr="0003106C" w:rsidRDefault="009E390E" w:rsidP="005641B6">
      <w:pPr>
        <w:rPr>
          <w:sz w:val="26"/>
          <w:szCs w:val="26"/>
          <w:lang w:eastAsia="en-US"/>
        </w:rPr>
      </w:pPr>
    </w:p>
    <w:p w:rsidR="00F37A46" w:rsidRPr="0003106C" w:rsidRDefault="001D679A" w:rsidP="005641B6">
      <w:pPr>
        <w:rPr>
          <w:sz w:val="26"/>
          <w:szCs w:val="26"/>
          <w:lang w:eastAsia="en-US"/>
        </w:rPr>
      </w:pPr>
      <w:r w:rsidRPr="0003106C">
        <w:rPr>
          <w:sz w:val="26"/>
          <w:szCs w:val="26"/>
          <w:lang w:eastAsia="en-US"/>
        </w:rPr>
        <w:t>Ekonomikas ministrs</w:t>
      </w:r>
      <w:r w:rsidRPr="0003106C">
        <w:rPr>
          <w:sz w:val="26"/>
          <w:szCs w:val="26"/>
          <w:lang w:eastAsia="en-US"/>
        </w:rPr>
        <w:tab/>
      </w:r>
      <w:r w:rsidRPr="0003106C">
        <w:rPr>
          <w:sz w:val="26"/>
          <w:szCs w:val="26"/>
          <w:lang w:eastAsia="en-US"/>
        </w:rPr>
        <w:tab/>
      </w:r>
      <w:r w:rsidRPr="0003106C">
        <w:rPr>
          <w:sz w:val="26"/>
          <w:szCs w:val="26"/>
          <w:lang w:eastAsia="en-US"/>
        </w:rPr>
        <w:tab/>
      </w:r>
      <w:r w:rsidRPr="0003106C">
        <w:rPr>
          <w:sz w:val="26"/>
          <w:szCs w:val="26"/>
          <w:lang w:eastAsia="en-US"/>
        </w:rPr>
        <w:tab/>
      </w:r>
      <w:r w:rsidRPr="0003106C">
        <w:rPr>
          <w:sz w:val="26"/>
          <w:szCs w:val="26"/>
          <w:lang w:eastAsia="en-US"/>
        </w:rPr>
        <w:tab/>
      </w:r>
      <w:r w:rsidR="00F65A97" w:rsidRPr="0003106C">
        <w:rPr>
          <w:sz w:val="26"/>
          <w:szCs w:val="26"/>
          <w:lang w:eastAsia="en-US"/>
        </w:rPr>
        <w:tab/>
      </w:r>
      <w:r w:rsidRPr="0003106C">
        <w:rPr>
          <w:sz w:val="26"/>
          <w:szCs w:val="26"/>
          <w:lang w:eastAsia="en-US"/>
        </w:rPr>
        <w:tab/>
      </w:r>
      <w:r w:rsidRPr="0003106C">
        <w:rPr>
          <w:sz w:val="26"/>
          <w:szCs w:val="26"/>
          <w:lang w:eastAsia="en-US"/>
        </w:rPr>
        <w:tab/>
        <w:t>D.Pavļuts</w:t>
      </w:r>
    </w:p>
    <w:p w:rsidR="001D679A" w:rsidRPr="0003106C" w:rsidRDefault="001D679A" w:rsidP="005641B6">
      <w:pPr>
        <w:rPr>
          <w:sz w:val="26"/>
          <w:szCs w:val="26"/>
          <w:lang w:eastAsia="en-US"/>
        </w:rPr>
      </w:pPr>
    </w:p>
    <w:p w:rsidR="001D679A" w:rsidRPr="0003106C" w:rsidRDefault="001D679A" w:rsidP="005641B6">
      <w:pPr>
        <w:rPr>
          <w:sz w:val="26"/>
          <w:szCs w:val="26"/>
          <w:lang w:eastAsia="en-US"/>
        </w:rPr>
      </w:pPr>
    </w:p>
    <w:p w:rsidR="001D679A" w:rsidRPr="0003106C" w:rsidRDefault="001D679A" w:rsidP="005641B6">
      <w:pPr>
        <w:rPr>
          <w:sz w:val="26"/>
          <w:szCs w:val="26"/>
          <w:lang w:eastAsia="en-US"/>
        </w:rPr>
      </w:pPr>
    </w:p>
    <w:p w:rsidR="00BE3E84" w:rsidRPr="0003106C" w:rsidRDefault="00BE3E84" w:rsidP="00BE3E84">
      <w:pPr>
        <w:rPr>
          <w:color w:val="000000" w:themeColor="text1"/>
          <w:sz w:val="26"/>
          <w:szCs w:val="26"/>
        </w:rPr>
      </w:pPr>
      <w:r w:rsidRPr="0003106C">
        <w:rPr>
          <w:color w:val="000000" w:themeColor="text1"/>
          <w:sz w:val="26"/>
          <w:szCs w:val="26"/>
        </w:rPr>
        <w:t>Vīza:</w:t>
      </w:r>
    </w:p>
    <w:p w:rsidR="00BE3E84" w:rsidRPr="0003106C" w:rsidRDefault="00BE3E84" w:rsidP="00BE3E84">
      <w:pPr>
        <w:rPr>
          <w:color w:val="000000" w:themeColor="text1"/>
          <w:sz w:val="26"/>
          <w:szCs w:val="26"/>
        </w:rPr>
      </w:pPr>
      <w:r w:rsidRPr="0003106C">
        <w:rPr>
          <w:color w:val="000000" w:themeColor="text1"/>
          <w:sz w:val="26"/>
          <w:szCs w:val="26"/>
        </w:rPr>
        <w:t xml:space="preserve">Valsts sekretāra </w:t>
      </w:r>
      <w:r w:rsidR="00155790" w:rsidRPr="0003106C">
        <w:rPr>
          <w:color w:val="000000" w:themeColor="text1"/>
          <w:sz w:val="26"/>
          <w:szCs w:val="26"/>
        </w:rPr>
        <w:tab/>
      </w:r>
      <w:r w:rsidR="00155790" w:rsidRPr="0003106C">
        <w:rPr>
          <w:color w:val="000000" w:themeColor="text1"/>
          <w:sz w:val="26"/>
          <w:szCs w:val="26"/>
        </w:rPr>
        <w:tab/>
      </w:r>
      <w:r w:rsidRPr="0003106C">
        <w:rPr>
          <w:color w:val="000000" w:themeColor="text1"/>
          <w:sz w:val="26"/>
          <w:szCs w:val="26"/>
        </w:rPr>
        <w:tab/>
      </w:r>
      <w:r w:rsidRPr="0003106C">
        <w:rPr>
          <w:color w:val="000000" w:themeColor="text1"/>
          <w:sz w:val="26"/>
          <w:szCs w:val="26"/>
        </w:rPr>
        <w:tab/>
      </w:r>
      <w:r w:rsidRPr="0003106C">
        <w:rPr>
          <w:color w:val="000000" w:themeColor="text1"/>
          <w:sz w:val="26"/>
          <w:szCs w:val="26"/>
        </w:rPr>
        <w:tab/>
      </w:r>
      <w:r w:rsidRPr="0003106C">
        <w:rPr>
          <w:color w:val="000000" w:themeColor="text1"/>
          <w:sz w:val="26"/>
          <w:szCs w:val="26"/>
        </w:rPr>
        <w:tab/>
      </w:r>
      <w:r w:rsidRPr="0003106C">
        <w:rPr>
          <w:color w:val="000000" w:themeColor="text1"/>
          <w:sz w:val="26"/>
          <w:szCs w:val="26"/>
        </w:rPr>
        <w:tab/>
      </w:r>
      <w:r w:rsidRPr="0003106C">
        <w:rPr>
          <w:color w:val="000000" w:themeColor="text1"/>
          <w:sz w:val="26"/>
          <w:szCs w:val="26"/>
        </w:rPr>
        <w:tab/>
      </w:r>
      <w:r w:rsidRPr="0003106C">
        <w:rPr>
          <w:color w:val="000000" w:themeColor="text1"/>
          <w:sz w:val="26"/>
          <w:szCs w:val="26"/>
        </w:rPr>
        <w:tab/>
      </w:r>
      <w:r w:rsidR="00155790" w:rsidRPr="0003106C">
        <w:rPr>
          <w:color w:val="000000" w:themeColor="text1"/>
          <w:sz w:val="26"/>
          <w:szCs w:val="26"/>
        </w:rPr>
        <w:t>J.Pūce</w:t>
      </w:r>
    </w:p>
    <w:p w:rsidR="001D679A" w:rsidRPr="0003106C" w:rsidRDefault="001D679A" w:rsidP="005641B6">
      <w:pPr>
        <w:rPr>
          <w:sz w:val="26"/>
          <w:szCs w:val="26"/>
          <w:lang w:eastAsia="en-US"/>
        </w:rPr>
      </w:pPr>
    </w:p>
    <w:p w:rsidR="001D679A" w:rsidRPr="0003106C" w:rsidRDefault="001D679A" w:rsidP="005641B6">
      <w:pPr>
        <w:rPr>
          <w:sz w:val="26"/>
          <w:szCs w:val="26"/>
          <w:lang w:eastAsia="en-US"/>
        </w:rPr>
      </w:pPr>
    </w:p>
    <w:p w:rsidR="001D679A" w:rsidRPr="0003106C" w:rsidRDefault="001D679A" w:rsidP="005641B6">
      <w:pPr>
        <w:rPr>
          <w:sz w:val="26"/>
          <w:szCs w:val="26"/>
          <w:lang w:eastAsia="en-US"/>
        </w:rPr>
      </w:pPr>
    </w:p>
    <w:p w:rsidR="001D679A" w:rsidRPr="0003106C" w:rsidRDefault="001D679A" w:rsidP="005641B6">
      <w:pPr>
        <w:rPr>
          <w:sz w:val="26"/>
          <w:szCs w:val="26"/>
          <w:lang w:eastAsia="en-US"/>
        </w:rPr>
      </w:pPr>
    </w:p>
    <w:p w:rsidR="001D679A" w:rsidRPr="0003106C" w:rsidRDefault="001D679A" w:rsidP="005641B6">
      <w:pPr>
        <w:rPr>
          <w:sz w:val="26"/>
          <w:szCs w:val="26"/>
          <w:lang w:eastAsia="en-US"/>
        </w:rPr>
      </w:pPr>
    </w:p>
    <w:p w:rsidR="00CA1579" w:rsidRDefault="00CA1579" w:rsidP="00CA1579">
      <w:pPr>
        <w:pStyle w:val="Header"/>
        <w:tabs>
          <w:tab w:val="center" w:pos="900"/>
        </w:tabs>
        <w:jc w:val="both"/>
        <w:rPr>
          <w:bCs/>
          <w:sz w:val="20"/>
        </w:rPr>
      </w:pPr>
      <w:r>
        <w:rPr>
          <w:bCs/>
          <w:sz w:val="20"/>
        </w:rPr>
        <w:t>14.05.2013. 9:20</w:t>
      </w:r>
    </w:p>
    <w:p w:rsidR="00F65A97" w:rsidRPr="001E0AA2" w:rsidRDefault="00DA1C72" w:rsidP="00F65A97">
      <w:pPr>
        <w:pStyle w:val="Header"/>
        <w:tabs>
          <w:tab w:val="center" w:pos="900"/>
        </w:tabs>
        <w:jc w:val="both"/>
      </w:pPr>
      <w:r w:rsidRPr="0003106C">
        <w:rPr>
          <w:bCs/>
          <w:sz w:val="20"/>
        </w:rPr>
        <w:t>15</w:t>
      </w:r>
      <w:r w:rsidR="00923B8C" w:rsidRPr="0003106C">
        <w:rPr>
          <w:bCs/>
          <w:sz w:val="20"/>
        </w:rPr>
        <w:t> </w:t>
      </w:r>
      <w:r w:rsidR="00FA5714">
        <w:rPr>
          <w:bCs/>
          <w:sz w:val="20"/>
        </w:rPr>
        <w:t>462</w:t>
      </w:r>
      <w:bookmarkStart w:id="42" w:name="_GoBack"/>
      <w:bookmarkEnd w:id="42"/>
      <w:r w:rsidR="00F65A97" w:rsidRPr="0003106C">
        <w:rPr>
          <w:bCs/>
          <w:sz w:val="20"/>
        </w:rPr>
        <w:br/>
        <w:t>A.Krūze</w:t>
      </w:r>
      <w:r w:rsidR="00F65A97" w:rsidRPr="0003106C">
        <w:rPr>
          <w:bCs/>
          <w:sz w:val="20"/>
        </w:rPr>
        <w:br/>
        <w:t>67013127, Arta.Kruze@em.gov.lv</w:t>
      </w:r>
    </w:p>
    <w:p w:rsidR="00F65A97" w:rsidRPr="001E0AA2" w:rsidRDefault="00F65A97" w:rsidP="005641B6">
      <w:pPr>
        <w:rPr>
          <w:sz w:val="26"/>
          <w:szCs w:val="26"/>
          <w:lang w:eastAsia="en-US"/>
        </w:rPr>
      </w:pPr>
    </w:p>
    <w:sectPr w:rsidR="00F65A97" w:rsidRPr="001E0AA2" w:rsidSect="000D7C51">
      <w:headerReference w:type="default" r:id="rId38"/>
      <w:footerReference w:type="default" r:id="rId39"/>
      <w:footerReference w:type="first" r:id="rId40"/>
      <w:pgSz w:w="11906" w:h="16838" w:code="9"/>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4F" w:rsidRDefault="0053064F">
      <w:r>
        <w:separator/>
      </w:r>
    </w:p>
  </w:endnote>
  <w:endnote w:type="continuationSeparator" w:id="0">
    <w:p w:rsidR="0053064F" w:rsidRDefault="0053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RimTimes">
    <w:altName w:val="Times New Roman"/>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7" w:rsidRPr="00661D82" w:rsidRDefault="008925F7" w:rsidP="00675022">
    <w:pPr>
      <w:pStyle w:val="Footer"/>
      <w:jc w:val="both"/>
      <w:rPr>
        <w:rFonts w:ascii="Times New Roman" w:hAnsi="Times New Roman"/>
        <w:sz w:val="20"/>
        <w:lang w:val="de-DE"/>
      </w:rPr>
    </w:pPr>
    <w:r w:rsidRPr="00661D82">
      <w:rPr>
        <w:rFonts w:ascii="Times New Roman" w:hAnsi="Times New Roman"/>
        <w:sz w:val="20"/>
        <w:lang w:val="de-DE"/>
      </w:rPr>
      <w:t>EMPam</w:t>
    </w:r>
    <w:r>
      <w:rPr>
        <w:rFonts w:ascii="Times New Roman" w:hAnsi="Times New Roman"/>
        <w:sz w:val="20"/>
        <w:lang w:val="de-DE"/>
      </w:rPr>
      <w:t>_0705</w:t>
    </w:r>
    <w:r w:rsidRPr="00661D82">
      <w:rPr>
        <w:rFonts w:ascii="Times New Roman" w:hAnsi="Times New Roman"/>
        <w:sz w:val="20"/>
        <w:lang w:val="de-DE"/>
      </w:rPr>
      <w:t>1</w:t>
    </w:r>
    <w:r>
      <w:rPr>
        <w:rFonts w:ascii="Times New Roman" w:hAnsi="Times New Roman"/>
        <w:sz w:val="20"/>
        <w:lang w:val="de-DE"/>
      </w:rPr>
      <w:t>3</w:t>
    </w:r>
    <w:r w:rsidRPr="00661D82">
      <w:rPr>
        <w:rFonts w:ascii="Times New Roman" w:hAnsi="Times New Roman"/>
        <w:sz w:val="20"/>
        <w:lang w:val="de-DE"/>
      </w:rPr>
      <w:t xml:space="preserve">_pam_inf; </w:t>
    </w:r>
    <w:r w:rsidRPr="00661D82">
      <w:rPr>
        <w:rFonts w:ascii="Times New Roman" w:hAnsi="Times New Roman"/>
        <w:sz w:val="20"/>
      </w:rPr>
      <w:t>Latvijas preču un pakalpojumu eksporta veicināšanas un ārvalstu investīciju piesaistes pamatnostādņu 201</w:t>
    </w:r>
    <w:r>
      <w:rPr>
        <w:rFonts w:ascii="Times New Roman" w:hAnsi="Times New Roman"/>
        <w:sz w:val="20"/>
      </w:rPr>
      <w:t>3</w:t>
    </w:r>
    <w:r w:rsidRPr="00661D82">
      <w:rPr>
        <w:rFonts w:ascii="Times New Roman" w:hAnsi="Times New Roman"/>
        <w:sz w:val="20"/>
      </w:rPr>
      <w:t>.-20</w:t>
    </w:r>
    <w:r>
      <w:rPr>
        <w:rFonts w:ascii="Times New Roman" w:hAnsi="Times New Roman"/>
        <w:sz w:val="20"/>
      </w:rPr>
      <w:t>19</w:t>
    </w:r>
    <w:r w:rsidRPr="00661D82">
      <w:rPr>
        <w:rFonts w:ascii="Times New Roman" w:hAnsi="Times New Roman"/>
        <w:sz w:val="20"/>
      </w:rPr>
      <w:t>.gadam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7" w:rsidRDefault="008925F7">
    <w:pPr>
      <w:pStyle w:val="Footer"/>
    </w:pPr>
  </w:p>
  <w:p w:rsidR="008925F7" w:rsidRDefault="0089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4F" w:rsidRDefault="0053064F">
      <w:r>
        <w:separator/>
      </w:r>
    </w:p>
  </w:footnote>
  <w:footnote w:type="continuationSeparator" w:id="0">
    <w:p w:rsidR="0053064F" w:rsidRDefault="0053064F">
      <w:r>
        <w:continuationSeparator/>
      </w:r>
    </w:p>
  </w:footnote>
  <w:footnote w:id="1">
    <w:p w:rsidR="008925F7" w:rsidRPr="00D273D3" w:rsidRDefault="008925F7" w:rsidP="00D273D3">
      <w:pPr>
        <w:jc w:val="both"/>
        <w:rPr>
          <w:sz w:val="20"/>
          <w:szCs w:val="20"/>
        </w:rPr>
      </w:pPr>
      <w:r w:rsidRPr="00D273D3">
        <w:rPr>
          <w:rStyle w:val="FootnoteReference"/>
          <w:sz w:val="20"/>
          <w:szCs w:val="20"/>
        </w:rPr>
        <w:footnoteRef/>
      </w:r>
      <w:r w:rsidRPr="00D273D3">
        <w:rPr>
          <w:sz w:val="20"/>
          <w:szCs w:val="20"/>
        </w:rPr>
        <w:t xml:space="preserve"> „European Attractiveness survey”, Ernst &amp; Young's 2011; „U.S. FDI Competiteveness Report 2011”, Investment Consulting Associates; „Kādi ārvalstu investori nāk, bet kādi gaidīti Latvijā?”, Swedbank Uzņēmējdarbības kompetences centra pētījums sadarbībā ar GfK CR Baltic, LIAA un FICIL, 2012; Ekonomikas ministrijas un LIAA veiktajām investoru aptaujas 2011. un 2012.gadā u.c. </w:t>
      </w:r>
    </w:p>
  </w:footnote>
  <w:footnote w:id="2">
    <w:p w:rsidR="008925F7" w:rsidRPr="0075693E" w:rsidRDefault="008925F7" w:rsidP="005410C6">
      <w:pPr>
        <w:pStyle w:val="FootnoteText"/>
        <w:ind w:firstLine="0"/>
      </w:pPr>
      <w:r w:rsidRPr="00B454F2">
        <w:rPr>
          <w:rStyle w:val="FootnoteReference"/>
        </w:rPr>
        <w:footnoteRef/>
      </w:r>
      <w:r w:rsidRPr="00B454F2">
        <w:t xml:space="preserve"> Uz ārējo pieprasījumu orientētās nozares – l</w:t>
      </w:r>
      <w:r>
        <w:t>auksaimniecība, ieguves rūpniecība, apstrādes rūpniecība, transports un glabāšana, i</w:t>
      </w:r>
      <w:r w:rsidRPr="00B454F2">
        <w:t>nformācijas un komunikācijas pakalpojumi (NACE 2.red. A, B, C, H un J)</w:t>
      </w:r>
      <w:r>
        <w:t>.</w:t>
      </w:r>
      <w:r>
        <w:rPr>
          <w:rFonts w:eastAsia="MS Mincho"/>
          <w:lang w:eastAsia="ja-JP"/>
        </w:rPr>
        <w:t xml:space="preserve"> </w:t>
      </w:r>
    </w:p>
  </w:footnote>
  <w:footnote w:id="3">
    <w:p w:rsidR="008925F7" w:rsidRPr="00E766FF" w:rsidRDefault="008925F7" w:rsidP="005410C6">
      <w:pPr>
        <w:pStyle w:val="FootnoteText"/>
        <w:ind w:firstLine="0"/>
        <w:rPr>
          <w:color w:val="C00000"/>
        </w:rPr>
      </w:pPr>
      <w:r w:rsidRPr="0075693E">
        <w:rPr>
          <w:rStyle w:val="FootnoteReference"/>
        </w:rPr>
        <w:footnoteRef/>
      </w:r>
      <w:r w:rsidRPr="005410C6">
        <w:t>Vidēji augstas un augstas tehnoloģiju nozares</w:t>
      </w:r>
      <w:r w:rsidRPr="0075693E">
        <w:t xml:space="preserve"> </w:t>
      </w:r>
      <w:r>
        <w:t>– f</w:t>
      </w:r>
      <w:r w:rsidRPr="0075693E">
        <w:t>armācijas produktu, datoru, elektronisko, optisko iekārtu, lidaparātu un to iekārtu un medicīnas instrumentu ražošana (NACE 2.red. 21, 26, 30.3, 32.5) un ķīmisko vielu, ieroču, elektrisko iekārtu, mehānismu un darba mašīnu, automobīļu, kuģu, dzelzceļa u.c. transporta (bez lidaparātiem) ražošana un iekārtu un ierīču remonts un uzstādīšana (NACE 2.red. 20, 25.4, 27, 28, 29, 30 (bez 30.3), 33)</w:t>
      </w:r>
    </w:p>
  </w:footnote>
  <w:footnote w:id="4">
    <w:p w:rsidR="008925F7" w:rsidRPr="000E0BF7" w:rsidRDefault="008925F7" w:rsidP="00EE60BA">
      <w:pPr>
        <w:pStyle w:val="FootnoteText"/>
        <w:ind w:firstLine="0"/>
      </w:pPr>
      <w:r>
        <w:rPr>
          <w:rStyle w:val="FootnoteReference"/>
        </w:rPr>
        <w:footnoteRef/>
      </w:r>
      <w:r>
        <w:t xml:space="preserve"> </w:t>
      </w:r>
      <w:hyperlink r:id="rId1" w:history="1">
        <w:r w:rsidRPr="0089244E">
          <w:rPr>
            <w:rStyle w:val="Hyperlink"/>
          </w:rPr>
          <w:t>http://www.mk.gov.lv/file/files/ESfondi/2012/latvijas_konkuretspejas_novertejums_final.pdf</w:t>
        </w:r>
      </w:hyperlink>
      <w:r>
        <w:t xml:space="preserve"> </w:t>
      </w:r>
    </w:p>
  </w:footnote>
  <w:footnote w:id="5">
    <w:p w:rsidR="008925F7" w:rsidRDefault="008925F7" w:rsidP="004363F3">
      <w:pPr>
        <w:pStyle w:val="FootnoteText"/>
        <w:ind w:firstLine="0"/>
      </w:pPr>
      <w:r>
        <w:rPr>
          <w:rStyle w:val="FootnoteReference"/>
        </w:rPr>
        <w:footnoteRef/>
      </w:r>
      <w:r>
        <w:t xml:space="preserve"> Ekonomikas ministrijas prognozes.</w:t>
      </w:r>
    </w:p>
  </w:footnote>
  <w:footnote w:id="6">
    <w:p w:rsidR="008925F7" w:rsidRDefault="008925F7" w:rsidP="0040108E">
      <w:pPr>
        <w:pStyle w:val="FootnoteText"/>
        <w:ind w:firstLine="0"/>
      </w:pPr>
      <w:r>
        <w:rPr>
          <w:rStyle w:val="FootnoteReference"/>
        </w:rPr>
        <w:footnoteRef/>
      </w:r>
      <w:r>
        <w:t xml:space="preserve"> Avots: CSP</w:t>
      </w:r>
    </w:p>
  </w:footnote>
  <w:footnote w:id="7">
    <w:p w:rsidR="008925F7" w:rsidRDefault="008925F7" w:rsidP="00E536C4">
      <w:pPr>
        <w:pStyle w:val="FootnoteText"/>
        <w:ind w:firstLine="0"/>
      </w:pPr>
      <w:r>
        <w:rPr>
          <w:rStyle w:val="FootnoteReference"/>
        </w:rPr>
        <w:footnoteRef/>
      </w:r>
      <w:r>
        <w:t xml:space="preserve"> </w:t>
      </w:r>
      <w:r w:rsidRPr="00B454F2">
        <w:t>Uz ārējo pieprasījumu orientētās nozares – l</w:t>
      </w:r>
      <w:r>
        <w:t>auksaimniecība, ieguves rūpniecība, apstrādes rūpniecība, transports un glabāšana, i</w:t>
      </w:r>
      <w:r w:rsidRPr="00B454F2">
        <w:t>nformācijas un komunikācijas pakalpojumi (NACE 2.red. A, B, C, H un J)</w:t>
      </w:r>
      <w:r>
        <w:t>.</w:t>
      </w:r>
    </w:p>
  </w:footnote>
  <w:footnote w:id="8">
    <w:p w:rsidR="008925F7" w:rsidRPr="00A21CDE" w:rsidRDefault="008925F7" w:rsidP="00073024">
      <w:pPr>
        <w:jc w:val="both"/>
      </w:pPr>
      <w:r>
        <w:rPr>
          <w:rStyle w:val="FootnoteReference"/>
        </w:rPr>
        <w:footnoteRef/>
      </w:r>
      <w:r w:rsidRPr="00073024">
        <w:t xml:space="preserve"> </w:t>
      </w:r>
      <w:r w:rsidRPr="00073024">
        <w:rPr>
          <w:sz w:val="20"/>
        </w:rPr>
        <w:t>Attīstītās valstis – ASV, Dānija, Francija, Itālija, Lielbritānija, Nīderlande, Somija, Vācija un Zviedrija</w:t>
      </w:r>
      <w:r>
        <w:rPr>
          <w:sz w:val="20"/>
        </w:rPr>
        <w:t xml:space="preserve">. </w:t>
      </w:r>
      <w:r w:rsidRPr="00A21CDE">
        <w:rPr>
          <w:sz w:val="20"/>
        </w:rPr>
        <w:t>Attīstības valstis – Igaunija, Krievija, Lietuva un Polija</w:t>
      </w:r>
      <w:r>
        <w:rPr>
          <w:sz w:val="20"/>
        </w:rPr>
        <w:t>.</w:t>
      </w:r>
    </w:p>
  </w:footnote>
  <w:footnote w:id="9">
    <w:p w:rsidR="008925F7" w:rsidRPr="006A04B9" w:rsidRDefault="008925F7" w:rsidP="00871528">
      <w:pPr>
        <w:pStyle w:val="FootnoteText"/>
        <w:ind w:firstLine="0"/>
        <w:rPr>
          <w:color w:val="C00000"/>
        </w:rPr>
      </w:pPr>
      <w:r>
        <w:rPr>
          <w:rStyle w:val="FootnoteReference"/>
        </w:rPr>
        <w:footnoteRef/>
      </w:r>
      <w:r>
        <w:rPr>
          <w:rStyle w:val="apple-style-span"/>
          <w:bCs/>
          <w:shd w:val="clear" w:color="auto" w:fill="FFFFFF"/>
        </w:rPr>
        <w:t xml:space="preserve"> Valsts preču eksporta novērtējums pēc R.Hausmana un B.Klingera metodoloģijas </w:t>
      </w:r>
      <w:r w:rsidRPr="00C50420">
        <w:t>(Hausmann and Klinger</w:t>
      </w:r>
      <w:r>
        <w:t>)</w:t>
      </w:r>
    </w:p>
  </w:footnote>
  <w:footnote w:id="10">
    <w:p w:rsidR="008925F7" w:rsidRDefault="008925F7" w:rsidP="00073024">
      <w:pPr>
        <w:pStyle w:val="FootnoteText"/>
        <w:ind w:firstLine="0"/>
      </w:pPr>
      <w:r>
        <w:rPr>
          <w:rStyle w:val="FootnoteReference"/>
        </w:rPr>
        <w:footnoteRef/>
      </w:r>
      <w:r>
        <w:t xml:space="preserve"> </w:t>
      </w:r>
      <w:r w:rsidRPr="00C4569F">
        <w:rPr>
          <w:rStyle w:val="st1"/>
        </w:rPr>
        <w:t>Valsts eksporta vērtība pēc tās eksportēto preču ietvertā ienākumu līmeņa (eksporta komplicētības indekss)</w:t>
      </w:r>
    </w:p>
  </w:footnote>
  <w:footnote w:id="11">
    <w:p w:rsidR="008925F7" w:rsidRPr="00466E2F" w:rsidRDefault="008925F7" w:rsidP="00073024">
      <w:pPr>
        <w:pStyle w:val="FootnoteText"/>
        <w:ind w:firstLine="0"/>
      </w:pPr>
      <w:r>
        <w:rPr>
          <w:rStyle w:val="FootnoteReference"/>
        </w:rPr>
        <w:footnoteRef/>
      </w:r>
      <w:r>
        <w:t xml:space="preserve"> K.Beņkovskis, M.Bitāns, O.Krasnopjorovs „Preču telpas analīze un strukturālās transformācijas iespējas </w:t>
      </w:r>
      <w:r w:rsidRPr="00466E2F">
        <w:t xml:space="preserve">Latvijā” , 2011 </w:t>
      </w:r>
    </w:p>
  </w:footnote>
  <w:footnote w:id="12">
    <w:p w:rsidR="008925F7" w:rsidRDefault="008925F7" w:rsidP="00073024">
      <w:pPr>
        <w:pStyle w:val="FootnoteText"/>
        <w:ind w:firstLine="0"/>
      </w:pPr>
      <w:r w:rsidRPr="00466E2F">
        <w:rPr>
          <w:rStyle w:val="FootnoteReference"/>
        </w:rPr>
        <w:footnoteRef/>
      </w:r>
      <w:r w:rsidRPr="00466E2F">
        <w:t xml:space="preserve"> K.Vītolas un G.Dāvidsona pētījums „Eksporta strukturālā transformācija preču telpas modelī”, Latvijas Banka, 2008.</w:t>
      </w:r>
    </w:p>
  </w:footnote>
  <w:footnote w:id="13">
    <w:p w:rsidR="008925F7" w:rsidRDefault="008925F7" w:rsidP="00A5351A">
      <w:pPr>
        <w:pStyle w:val="FootnoteText"/>
        <w:ind w:firstLine="0"/>
      </w:pPr>
      <w:r>
        <w:rPr>
          <w:rStyle w:val="FootnoteReference"/>
        </w:rPr>
        <w:footnoteRef/>
      </w:r>
      <w:r>
        <w:t xml:space="preserve"> Avots: CSP</w:t>
      </w:r>
    </w:p>
  </w:footnote>
  <w:footnote w:id="14">
    <w:p w:rsidR="008925F7" w:rsidRDefault="008925F7" w:rsidP="007402BC">
      <w:pPr>
        <w:pStyle w:val="FootnoteText"/>
        <w:ind w:firstLine="0"/>
      </w:pPr>
      <w:r>
        <w:rPr>
          <w:rStyle w:val="FootnoteReference"/>
        </w:rPr>
        <w:footnoteRef/>
      </w:r>
      <w:r>
        <w:t xml:space="preserve"> </w:t>
      </w:r>
      <w:hyperlink r:id="rId2" w:history="1">
        <w:r>
          <w:rPr>
            <w:rStyle w:val="Hyperlink"/>
          </w:rPr>
          <w:t>http://ec.europa.eu/enterprise/policies/innovation/files/ius-2013_en.pdf</w:t>
        </w:r>
      </w:hyperlink>
    </w:p>
  </w:footnote>
  <w:footnote w:id="15">
    <w:p w:rsidR="008925F7" w:rsidRPr="00E3467D" w:rsidRDefault="008925F7" w:rsidP="009962E5">
      <w:pPr>
        <w:pStyle w:val="FootnoteText"/>
        <w:ind w:left="142" w:hanging="142"/>
        <w:rPr>
          <w:rFonts w:ascii="Garamond" w:hAnsi="Garamond"/>
          <w:sz w:val="16"/>
          <w:szCs w:val="16"/>
        </w:rPr>
      </w:pPr>
      <w:r w:rsidRPr="003319A6">
        <w:rPr>
          <w:rStyle w:val="FootnoteReference"/>
          <w:spacing w:val="-2"/>
        </w:rPr>
        <w:footnoteRef/>
      </w:r>
      <w:r w:rsidRPr="003319A6">
        <w:rPr>
          <w:spacing w:val="-2"/>
          <w:sz w:val="16"/>
          <w:szCs w:val="16"/>
        </w:rPr>
        <w:tab/>
      </w:r>
      <w:r w:rsidRPr="003319A6">
        <w:rPr>
          <w:spacing w:val="-2"/>
        </w:rPr>
        <w:t>Investīcijas sadalījumā pa nozarēm aplūkotas pēc nefinanšu investīciju statistikas, kas neietver visas investīcijas pamatlīdzekļos.</w:t>
      </w:r>
    </w:p>
  </w:footnote>
  <w:footnote w:id="16">
    <w:p w:rsidR="008925F7" w:rsidRPr="00913EF6" w:rsidRDefault="008925F7" w:rsidP="00606357">
      <w:pPr>
        <w:rPr>
          <w:sz w:val="20"/>
          <w:szCs w:val="20"/>
        </w:rPr>
      </w:pPr>
      <w:r w:rsidRPr="00913EF6">
        <w:rPr>
          <w:rStyle w:val="FootnoteReference"/>
          <w:sz w:val="20"/>
          <w:szCs w:val="20"/>
        </w:rPr>
        <w:footnoteRef/>
      </w:r>
      <w:r w:rsidRPr="00913EF6">
        <w:rPr>
          <w:sz w:val="20"/>
          <w:szCs w:val="20"/>
        </w:rPr>
        <w:t>Patēriņam neizmantotie rīcībā esošie ienākumi</w:t>
      </w:r>
    </w:p>
  </w:footnote>
  <w:footnote w:id="17">
    <w:p w:rsidR="008925F7" w:rsidRDefault="008925F7" w:rsidP="006A5193">
      <w:pPr>
        <w:pStyle w:val="FootnoteText"/>
        <w:ind w:firstLine="0"/>
      </w:pPr>
      <w:r>
        <w:rPr>
          <w:rStyle w:val="FootnoteReference"/>
        </w:rPr>
        <w:footnoteRef/>
      </w:r>
      <w:r>
        <w:t xml:space="preserve"> Bez ĀTI starp Baltijas valstīm</w:t>
      </w:r>
    </w:p>
  </w:footnote>
  <w:footnote w:id="18">
    <w:p w:rsidR="008925F7" w:rsidRPr="0040003A" w:rsidRDefault="008925F7" w:rsidP="006A5193">
      <w:pPr>
        <w:pStyle w:val="FootnoteText"/>
        <w:ind w:firstLine="0"/>
        <w:rPr>
          <w:i/>
          <w:sz w:val="18"/>
          <w:szCs w:val="18"/>
        </w:rPr>
      </w:pPr>
      <w:r>
        <w:rPr>
          <w:rStyle w:val="FootnoteReference"/>
        </w:rPr>
        <w:footnoteRef/>
      </w:r>
      <w:r>
        <w:t xml:space="preserve"> </w:t>
      </w:r>
      <w:r w:rsidRPr="0040003A">
        <w:rPr>
          <w:i/>
          <w:sz w:val="18"/>
          <w:szCs w:val="18"/>
        </w:rPr>
        <w:t>FDI rate of return in t = (Income paid in t) / (Stocks at the end of the period t-1).</w:t>
      </w:r>
    </w:p>
  </w:footnote>
  <w:footnote w:id="19">
    <w:p w:rsidR="008925F7" w:rsidRDefault="008925F7" w:rsidP="00840D7F">
      <w:pPr>
        <w:pStyle w:val="FootnoteText"/>
        <w:ind w:firstLine="0"/>
      </w:pPr>
      <w:r>
        <w:rPr>
          <w:rStyle w:val="FootnoteReference"/>
        </w:rPr>
        <w:footnoteRef/>
      </w:r>
      <w:r>
        <w:t xml:space="preserve"> </w:t>
      </w:r>
      <w:r>
        <w:rPr>
          <w:i/>
          <w:iCs/>
        </w:rPr>
        <w:t>Global Competitiveness Index</w:t>
      </w:r>
      <w:r>
        <w:t xml:space="preserve">. Plašāka informācija: </w:t>
      </w:r>
      <w:hyperlink r:id="rId3" w:history="1">
        <w:r w:rsidRPr="00B900BE">
          <w:rPr>
            <w:rStyle w:val="Hyperlink"/>
          </w:rPr>
          <w:t>http://www.weforum.org/issues/global-competitiveness</w:t>
        </w:r>
      </w:hyperlink>
      <w:r>
        <w:t xml:space="preserve"> </w:t>
      </w:r>
    </w:p>
  </w:footnote>
  <w:footnote w:id="20">
    <w:p w:rsidR="008925F7" w:rsidRDefault="008925F7" w:rsidP="001C22BB">
      <w:pPr>
        <w:pStyle w:val="FootnoteText"/>
        <w:ind w:firstLine="0"/>
      </w:pPr>
      <w:r>
        <w:rPr>
          <w:rStyle w:val="FootnoteReference"/>
        </w:rPr>
        <w:footnoteRef/>
      </w:r>
      <w:r>
        <w:t xml:space="preserve"> </w:t>
      </w:r>
      <w:r>
        <w:rPr>
          <w:i/>
          <w:iCs/>
        </w:rPr>
        <w:t>Doing Business</w:t>
      </w:r>
      <w:r>
        <w:t xml:space="preserve">. Plašāka informācija: </w:t>
      </w:r>
      <w:hyperlink r:id="rId4" w:history="1">
        <w:r w:rsidRPr="00415FCF">
          <w:rPr>
            <w:rStyle w:val="Hyperlink"/>
          </w:rPr>
          <w:t>http://doingbusiness.org/</w:t>
        </w:r>
      </w:hyperlink>
      <w:r>
        <w:t xml:space="preserve"> </w:t>
      </w:r>
    </w:p>
  </w:footnote>
  <w:footnote w:id="21">
    <w:p w:rsidR="008925F7" w:rsidRDefault="008925F7" w:rsidP="008402FD">
      <w:pPr>
        <w:pStyle w:val="FootnoteText"/>
        <w:ind w:firstLine="0"/>
        <w:jc w:val="left"/>
      </w:pPr>
      <w:r>
        <w:rPr>
          <w:rStyle w:val="FootnoteReference"/>
        </w:rPr>
        <w:footnoteRef/>
      </w:r>
      <w:r>
        <w:t xml:space="preserve"> </w:t>
      </w:r>
      <w:r w:rsidRPr="00F13693">
        <w:rPr>
          <w:i/>
        </w:rPr>
        <w:t>Index of Economic Freedom</w:t>
      </w:r>
      <w:r>
        <w:t xml:space="preserve">. Plašāka informācija: </w:t>
      </w:r>
      <w:hyperlink r:id="rId5" w:history="1">
        <w:r w:rsidRPr="009311F2">
          <w:rPr>
            <w:rStyle w:val="Hyperlink"/>
          </w:rPr>
          <w:t>http://www.heritage.org/index/country/latvia</w:t>
        </w:r>
      </w:hyperlink>
      <w:r>
        <w:t xml:space="preserve"> </w:t>
      </w:r>
    </w:p>
  </w:footnote>
  <w:footnote w:id="22">
    <w:p w:rsidR="008925F7" w:rsidRDefault="008925F7" w:rsidP="007F5BBA">
      <w:pPr>
        <w:pStyle w:val="FootnoteText"/>
        <w:ind w:firstLine="0"/>
      </w:pPr>
      <w:r>
        <w:rPr>
          <w:rStyle w:val="FootnoteReference"/>
        </w:rPr>
        <w:footnoteRef/>
      </w:r>
      <w:r>
        <w:t xml:space="preserve"> Dati uz </w:t>
      </w:r>
      <w:r w:rsidRPr="007F5BBA">
        <w:t>21.03.2013</w:t>
      </w:r>
      <w:r>
        <w:t>.</w:t>
      </w:r>
    </w:p>
  </w:footnote>
  <w:footnote w:id="23">
    <w:p w:rsidR="008925F7" w:rsidRDefault="008925F7" w:rsidP="003D2B28">
      <w:pPr>
        <w:pStyle w:val="FootnoteText"/>
        <w:ind w:firstLine="0"/>
      </w:pPr>
      <w:r w:rsidRPr="00F13693">
        <w:rPr>
          <w:rStyle w:val="FootnoteReference"/>
        </w:rPr>
        <w:footnoteRef/>
      </w:r>
      <w:r w:rsidRPr="00F13693">
        <w:t xml:space="preserve"> „Investīciju piesaistes sistēmas neatkarīgs novērtējums”,  Ernst&amp; Young 2012</w:t>
      </w:r>
      <w:r>
        <w:t xml:space="preserve">. </w:t>
      </w:r>
    </w:p>
    <w:p w:rsidR="008925F7" w:rsidRDefault="008925F7" w:rsidP="003D2B28">
      <w:pPr>
        <w:pStyle w:val="FootnoteText"/>
        <w:ind w:firstLine="0"/>
      </w:pPr>
      <w:r>
        <w:t xml:space="preserve">Pieejams: </w:t>
      </w:r>
      <w:hyperlink r:id="rId6" w:history="1">
        <w:r w:rsidRPr="004325B7">
          <w:rPr>
            <w:rStyle w:val="Hyperlink"/>
          </w:rPr>
          <w:t>http://www.em.gov.lv/images/modules/items/23032012.pdf</w:t>
        </w:r>
      </w:hyperlink>
      <w:r>
        <w:t>; Ekonomikas ministrijas un LIAA veiktās investoru aptaujas 2011. un 2012.gadā</w:t>
      </w:r>
    </w:p>
  </w:footnote>
  <w:footnote w:id="24">
    <w:p w:rsidR="008925F7" w:rsidRDefault="008925F7" w:rsidP="005A3D52">
      <w:pPr>
        <w:pStyle w:val="FootnoteText"/>
        <w:ind w:firstLine="0"/>
      </w:pPr>
      <w:r>
        <w:rPr>
          <w:rStyle w:val="FootnoteReference"/>
        </w:rPr>
        <w:footnoteRef/>
      </w:r>
      <w:r>
        <w:t xml:space="preserve"> „Kādi ārvalstu investori nāk, bet kādi gaidīti Latvijā?”, Swedbank Uzņēmējdarbības kompetences centra pētījums sadarbībā ar GfK CR Baltic, LIAA un FICIL, 2012</w:t>
      </w:r>
    </w:p>
  </w:footnote>
  <w:footnote w:id="25">
    <w:p w:rsidR="008925F7" w:rsidRPr="000E0BF7" w:rsidRDefault="008925F7" w:rsidP="001402BD">
      <w:pPr>
        <w:pStyle w:val="FootnoteText"/>
        <w:ind w:firstLine="0"/>
      </w:pPr>
      <w:r>
        <w:rPr>
          <w:rStyle w:val="FootnoteReference"/>
        </w:rPr>
        <w:footnoteRef/>
      </w:r>
      <w:r>
        <w:t xml:space="preserve"> </w:t>
      </w:r>
      <w:hyperlink r:id="rId7" w:history="1">
        <w:r w:rsidRPr="0089244E">
          <w:rPr>
            <w:rStyle w:val="Hyperlink"/>
          </w:rPr>
          <w:t>http://www.mk.gov.lv/file/files/ESfondi/2012/latvijas_konkuretspejas_novertejums_final.pdf</w:t>
        </w:r>
      </w:hyperlink>
      <w:r>
        <w:t xml:space="preserve"> </w:t>
      </w:r>
    </w:p>
  </w:footnote>
  <w:footnote w:id="26">
    <w:p w:rsidR="008925F7" w:rsidRDefault="008925F7" w:rsidP="00D22468">
      <w:pPr>
        <w:pStyle w:val="Default"/>
        <w:jc w:val="both"/>
      </w:pPr>
      <w:r w:rsidRPr="00B020F3">
        <w:rPr>
          <w:rStyle w:val="FootnoteReference"/>
        </w:rPr>
        <w:footnoteRef/>
      </w:r>
      <w:r w:rsidRPr="00B020F3">
        <w:t>„</w:t>
      </w:r>
      <w:r w:rsidRPr="00B020F3">
        <w:rPr>
          <w:bCs/>
          <w:sz w:val="20"/>
          <w:szCs w:val="20"/>
        </w:rPr>
        <w:t>Informatīvais ziņojums par darba tirgus vidēja un ilgtermiņa prognozēm”, Ekonomikas ministrija 2012.gada jūnijs.</w:t>
      </w:r>
    </w:p>
  </w:footnote>
  <w:footnote w:id="27">
    <w:p w:rsidR="008925F7" w:rsidRDefault="008925F7" w:rsidP="00EB7DC5">
      <w:pPr>
        <w:pStyle w:val="FootnoteText"/>
        <w:ind w:firstLine="0"/>
      </w:pPr>
      <w:r>
        <w:rPr>
          <w:rStyle w:val="FootnoteReference"/>
        </w:rPr>
        <w:footnoteRef/>
      </w:r>
      <w:r>
        <w:t xml:space="preserve"> </w:t>
      </w:r>
      <w:r w:rsidRPr="00EB7DC5">
        <w:t>Ārpakalpojumi – citas firmas pakalpojumu izmantošana, tādejādi izmantojot dažādas iespējas –</w:t>
      </w:r>
      <w:r>
        <w:t xml:space="preserve"> </w:t>
      </w:r>
      <w:r w:rsidRPr="00EB7DC5">
        <w:t>piesaistīt profesionāļus un ekspertus konkrētā jomā; īstenot pasākumus, kuriem nepietiek pašu kapacitātes vai nav atbilstošas kvalifikācijas u.c</w:t>
      </w:r>
      <w:r>
        <w:t>.</w:t>
      </w:r>
    </w:p>
  </w:footnote>
  <w:footnote w:id="28">
    <w:p w:rsidR="008925F7" w:rsidRDefault="008925F7" w:rsidP="007D1129">
      <w:pPr>
        <w:pStyle w:val="FootnoteText"/>
      </w:pPr>
      <w:r>
        <w:rPr>
          <w:rStyle w:val="FootnoteReference"/>
        </w:rPr>
        <w:footnoteRef/>
      </w:r>
      <w:r>
        <w:t xml:space="preserve"> Pēc NACE 2.red.</w:t>
      </w:r>
    </w:p>
  </w:footnote>
  <w:footnote w:id="29">
    <w:p w:rsidR="008925F7" w:rsidRDefault="008925F7" w:rsidP="000746B4">
      <w:pPr>
        <w:pStyle w:val="FootnoteText"/>
        <w:ind w:firstLine="0"/>
      </w:pPr>
      <w:r>
        <w:rPr>
          <w:rStyle w:val="FootnoteReference"/>
        </w:rPr>
        <w:footnoteRef/>
      </w:r>
      <w:r>
        <w:t xml:space="preserve">„Investīciju piesaistes sistēmas neatkarīgs novērtējums”,  Ernst&amp; Young 2012. </w:t>
      </w:r>
    </w:p>
    <w:p w:rsidR="008925F7" w:rsidRDefault="008925F7" w:rsidP="000746B4">
      <w:pPr>
        <w:pStyle w:val="FootnoteText"/>
        <w:ind w:firstLine="0"/>
      </w:pPr>
      <w:r>
        <w:t xml:space="preserve">Pieejams: </w:t>
      </w:r>
      <w:r w:rsidRPr="004C18E7">
        <w:t>http://www.em.gov.lv/images/modules/items/23032012.pdf</w:t>
      </w:r>
    </w:p>
  </w:footnote>
  <w:footnote w:id="30">
    <w:p w:rsidR="008925F7" w:rsidRDefault="008925F7" w:rsidP="003F35CF">
      <w:pPr>
        <w:pStyle w:val="FootnoteText"/>
        <w:ind w:firstLine="0"/>
      </w:pPr>
      <w:r>
        <w:rPr>
          <w:rStyle w:val="FootnoteReference"/>
        </w:rPr>
        <w:footnoteRef/>
      </w:r>
      <w:r>
        <w:t xml:space="preserve"> </w:t>
      </w:r>
      <w:r w:rsidRPr="00C64B3E">
        <w:rPr>
          <w:i/>
        </w:rPr>
        <w:t>„Investment Promotion Handbook for Diplomas”,</w:t>
      </w:r>
      <w:r>
        <w:t xml:space="preserve"> UNCTAD, 2011</w:t>
      </w:r>
    </w:p>
  </w:footnote>
  <w:footnote w:id="31">
    <w:p w:rsidR="00402351" w:rsidRDefault="00402351" w:rsidP="00402351">
      <w:pPr>
        <w:pStyle w:val="FootnoteText"/>
      </w:pPr>
      <w:r>
        <w:rPr>
          <w:rStyle w:val="FootnoteReference"/>
        </w:rPr>
        <w:t>[1]</w:t>
      </w:r>
      <w:r>
        <w:t xml:space="preserve"> Reģionu attīstība Latvijā 2010</w:t>
      </w:r>
    </w:p>
  </w:footnote>
  <w:footnote w:id="32">
    <w:p w:rsidR="00402351" w:rsidRDefault="00402351" w:rsidP="00402351">
      <w:pPr>
        <w:pStyle w:val="FootnoteText"/>
        <w:ind w:firstLine="0"/>
      </w:pPr>
      <w:r>
        <w:rPr>
          <w:rStyle w:val="FootnoteReference"/>
        </w:rPr>
        <w:footnoteRef/>
      </w:r>
      <w:r>
        <w:t xml:space="preserve"> Atbilstoši VARAM sagatavotajiem „</w:t>
      </w:r>
      <w:r w:rsidRPr="00293718">
        <w:t>Metodisk</w:t>
      </w:r>
      <w:r>
        <w:t>aj</w:t>
      </w:r>
      <w:r w:rsidRPr="00293718">
        <w:t>ie</w:t>
      </w:r>
      <w:r>
        <w:t>m</w:t>
      </w:r>
      <w:r w:rsidRPr="00293718">
        <w:t xml:space="preserve"> ieteikumi</w:t>
      </w:r>
      <w:r>
        <w:t>em</w:t>
      </w:r>
      <w:r w:rsidRPr="00293718">
        <w:t xml:space="preserve"> attīstības programmu izstrādei reģionālā un vietējā līmenī</w:t>
      </w:r>
      <w:r>
        <w:t>”, pieejami:</w:t>
      </w:r>
    </w:p>
    <w:p w:rsidR="00402351" w:rsidRDefault="00402351" w:rsidP="00402351">
      <w:pPr>
        <w:pStyle w:val="FootnoteText"/>
        <w:ind w:firstLine="0"/>
      </w:pPr>
      <w:r>
        <w:t xml:space="preserve"> </w:t>
      </w:r>
      <w:r w:rsidRPr="00293718">
        <w:t>http://www.raplm.gov.lv/uploads/filedir/Regionala%20attistiba/New%20Folder/Metodika_AP_izstradei.doc</w:t>
      </w:r>
      <w:r>
        <w:t>.</w:t>
      </w:r>
    </w:p>
  </w:footnote>
  <w:footnote w:id="33">
    <w:p w:rsidR="008925F7" w:rsidRPr="003D14CD" w:rsidRDefault="008925F7" w:rsidP="004D154D">
      <w:pPr>
        <w:autoSpaceDE w:val="0"/>
        <w:autoSpaceDN w:val="0"/>
        <w:adjustRightInd w:val="0"/>
        <w:jc w:val="both"/>
        <w:rPr>
          <w:sz w:val="20"/>
          <w:szCs w:val="20"/>
        </w:rPr>
      </w:pPr>
      <w:r w:rsidRPr="003D14CD">
        <w:rPr>
          <w:rStyle w:val="FootnoteReference"/>
          <w:sz w:val="20"/>
          <w:szCs w:val="20"/>
        </w:rPr>
        <w:footnoteRef/>
      </w:r>
      <w:r w:rsidRPr="003D14CD">
        <w:rPr>
          <w:sz w:val="20"/>
          <w:szCs w:val="20"/>
        </w:rPr>
        <w:t xml:space="preserve"> </w:t>
      </w:r>
      <w:proofErr w:type="spellStart"/>
      <w:r w:rsidRPr="003D14CD">
        <w:rPr>
          <w:rFonts w:eastAsia="PMingLiU"/>
          <w:bCs/>
          <w:sz w:val="20"/>
          <w:szCs w:val="20"/>
        </w:rPr>
        <w:t>Vale</w:t>
      </w:r>
      <w:proofErr w:type="spellEnd"/>
      <w:r w:rsidRPr="003D14CD">
        <w:rPr>
          <w:rFonts w:eastAsia="PMingLiU"/>
          <w:bCs/>
          <w:sz w:val="20"/>
          <w:szCs w:val="20"/>
        </w:rPr>
        <w:t xml:space="preserve"> </w:t>
      </w:r>
      <w:proofErr w:type="spellStart"/>
      <w:r w:rsidRPr="003D14CD">
        <w:rPr>
          <w:rFonts w:eastAsia="PMingLiU"/>
          <w:bCs/>
          <w:sz w:val="20"/>
          <w:szCs w:val="20"/>
        </w:rPr>
        <w:t>Columbia</w:t>
      </w:r>
      <w:proofErr w:type="spellEnd"/>
      <w:r w:rsidRPr="003D14CD">
        <w:rPr>
          <w:rFonts w:eastAsia="PMingLiU"/>
          <w:bCs/>
          <w:sz w:val="20"/>
          <w:szCs w:val="20"/>
        </w:rPr>
        <w:t xml:space="preserve"> </w:t>
      </w:r>
      <w:proofErr w:type="spellStart"/>
      <w:r w:rsidRPr="003D14CD">
        <w:rPr>
          <w:rFonts w:eastAsia="PMingLiU"/>
          <w:bCs/>
          <w:sz w:val="20"/>
          <w:szCs w:val="20"/>
        </w:rPr>
        <w:t>Center</w:t>
      </w:r>
      <w:proofErr w:type="spellEnd"/>
      <w:r w:rsidRPr="003D14CD">
        <w:rPr>
          <w:rFonts w:eastAsia="PMingLiU"/>
          <w:bCs/>
          <w:sz w:val="20"/>
          <w:szCs w:val="20"/>
        </w:rPr>
        <w:t xml:space="preserve"> </w:t>
      </w:r>
      <w:proofErr w:type="spellStart"/>
      <w:r w:rsidRPr="003D14CD">
        <w:rPr>
          <w:rFonts w:eastAsia="PMingLiU"/>
          <w:bCs/>
          <w:sz w:val="20"/>
          <w:szCs w:val="20"/>
        </w:rPr>
        <w:t>on</w:t>
      </w:r>
      <w:proofErr w:type="spellEnd"/>
      <w:r w:rsidRPr="003D14CD">
        <w:rPr>
          <w:rFonts w:eastAsia="PMingLiU"/>
          <w:bCs/>
          <w:sz w:val="20"/>
          <w:szCs w:val="20"/>
        </w:rPr>
        <w:t xml:space="preserve"> </w:t>
      </w:r>
      <w:proofErr w:type="spellStart"/>
      <w:r w:rsidRPr="003D14CD">
        <w:rPr>
          <w:rFonts w:eastAsia="PMingLiU"/>
          <w:bCs/>
          <w:sz w:val="20"/>
          <w:szCs w:val="20"/>
        </w:rPr>
        <w:t>Sustainable</w:t>
      </w:r>
      <w:proofErr w:type="spellEnd"/>
      <w:r w:rsidRPr="003D14CD">
        <w:rPr>
          <w:rFonts w:eastAsia="PMingLiU"/>
          <w:bCs/>
          <w:sz w:val="20"/>
          <w:szCs w:val="20"/>
        </w:rPr>
        <w:t xml:space="preserve"> </w:t>
      </w:r>
      <w:proofErr w:type="spellStart"/>
      <w:r w:rsidRPr="003D14CD">
        <w:rPr>
          <w:rFonts w:eastAsia="PMingLiU"/>
          <w:bCs/>
          <w:sz w:val="20"/>
          <w:szCs w:val="20"/>
        </w:rPr>
        <w:t>International</w:t>
      </w:r>
      <w:proofErr w:type="spellEnd"/>
      <w:r w:rsidRPr="003D14CD">
        <w:rPr>
          <w:rFonts w:eastAsia="PMingLiU"/>
          <w:bCs/>
          <w:sz w:val="20"/>
          <w:szCs w:val="20"/>
        </w:rPr>
        <w:t xml:space="preserve"> </w:t>
      </w:r>
      <w:proofErr w:type="spellStart"/>
      <w:r w:rsidRPr="003D14CD">
        <w:rPr>
          <w:rFonts w:eastAsia="PMingLiU"/>
          <w:bCs/>
          <w:sz w:val="20"/>
          <w:szCs w:val="20"/>
        </w:rPr>
        <w:t>Investment</w:t>
      </w:r>
      <w:proofErr w:type="spellEnd"/>
      <w:r w:rsidRPr="003D14CD">
        <w:rPr>
          <w:rFonts w:eastAsia="PMingLiU"/>
          <w:bCs/>
          <w:sz w:val="20"/>
          <w:szCs w:val="20"/>
        </w:rPr>
        <w:t xml:space="preserve"> (VCC) </w:t>
      </w:r>
      <w:proofErr w:type="spellStart"/>
      <w:r w:rsidRPr="003D14CD">
        <w:rPr>
          <w:rFonts w:eastAsia="PMingLiU"/>
          <w:bCs/>
          <w:sz w:val="20"/>
          <w:szCs w:val="20"/>
        </w:rPr>
        <w:t>and</w:t>
      </w:r>
      <w:proofErr w:type="spellEnd"/>
      <w:r w:rsidRPr="003D14CD">
        <w:rPr>
          <w:rFonts w:eastAsia="PMingLiU"/>
          <w:bCs/>
          <w:sz w:val="20"/>
          <w:szCs w:val="20"/>
        </w:rPr>
        <w:t xml:space="preserve"> </w:t>
      </w:r>
      <w:proofErr w:type="spellStart"/>
      <w:r w:rsidRPr="003D14CD">
        <w:rPr>
          <w:rFonts w:eastAsia="PMingLiU"/>
          <w:bCs/>
          <w:sz w:val="20"/>
          <w:szCs w:val="20"/>
        </w:rPr>
        <w:t>the</w:t>
      </w:r>
      <w:proofErr w:type="spellEnd"/>
      <w:r w:rsidRPr="003D14CD">
        <w:rPr>
          <w:rFonts w:eastAsia="PMingLiU"/>
          <w:bCs/>
          <w:sz w:val="20"/>
          <w:szCs w:val="20"/>
        </w:rPr>
        <w:t xml:space="preserve"> </w:t>
      </w:r>
      <w:proofErr w:type="spellStart"/>
      <w:r w:rsidRPr="003D14CD">
        <w:rPr>
          <w:rFonts w:eastAsia="PMingLiU"/>
          <w:bCs/>
          <w:sz w:val="20"/>
          <w:szCs w:val="20"/>
        </w:rPr>
        <w:t>World</w:t>
      </w:r>
      <w:proofErr w:type="spellEnd"/>
      <w:r w:rsidRPr="003D14CD">
        <w:rPr>
          <w:rFonts w:eastAsia="PMingLiU"/>
          <w:bCs/>
          <w:sz w:val="20"/>
          <w:szCs w:val="20"/>
        </w:rPr>
        <w:t xml:space="preserve"> </w:t>
      </w:r>
      <w:proofErr w:type="spellStart"/>
      <w:r w:rsidRPr="003D14CD">
        <w:rPr>
          <w:rFonts w:eastAsia="PMingLiU"/>
          <w:bCs/>
          <w:sz w:val="20"/>
          <w:szCs w:val="20"/>
        </w:rPr>
        <w:t>Association</w:t>
      </w:r>
      <w:proofErr w:type="spellEnd"/>
      <w:r w:rsidRPr="003D14CD">
        <w:rPr>
          <w:rFonts w:eastAsia="PMingLiU"/>
          <w:bCs/>
          <w:sz w:val="20"/>
          <w:szCs w:val="20"/>
        </w:rPr>
        <w:t xml:space="preserve"> </w:t>
      </w:r>
      <w:proofErr w:type="spellStart"/>
      <w:r w:rsidRPr="003D14CD">
        <w:rPr>
          <w:rFonts w:eastAsia="PMingLiU"/>
          <w:bCs/>
          <w:sz w:val="20"/>
          <w:szCs w:val="20"/>
        </w:rPr>
        <w:t>of</w:t>
      </w:r>
      <w:proofErr w:type="spellEnd"/>
      <w:r w:rsidRPr="003D14CD">
        <w:rPr>
          <w:rFonts w:eastAsia="PMingLiU"/>
          <w:bCs/>
          <w:sz w:val="20"/>
          <w:szCs w:val="20"/>
        </w:rPr>
        <w:t xml:space="preserve"> </w:t>
      </w:r>
      <w:proofErr w:type="spellStart"/>
      <w:r w:rsidRPr="003D14CD">
        <w:rPr>
          <w:rFonts w:eastAsia="PMingLiU"/>
          <w:bCs/>
          <w:sz w:val="20"/>
          <w:szCs w:val="20"/>
        </w:rPr>
        <w:t>Investment</w:t>
      </w:r>
      <w:proofErr w:type="spellEnd"/>
      <w:r w:rsidRPr="003D14CD">
        <w:rPr>
          <w:rFonts w:eastAsia="PMingLiU"/>
          <w:bCs/>
          <w:sz w:val="20"/>
          <w:szCs w:val="20"/>
        </w:rPr>
        <w:t xml:space="preserve"> </w:t>
      </w:r>
      <w:proofErr w:type="spellStart"/>
      <w:r w:rsidRPr="003D14CD">
        <w:rPr>
          <w:rFonts w:eastAsia="PMingLiU"/>
          <w:bCs/>
          <w:sz w:val="20"/>
          <w:szCs w:val="20"/>
        </w:rPr>
        <w:t>Promotion</w:t>
      </w:r>
      <w:proofErr w:type="spellEnd"/>
      <w:r w:rsidRPr="003D14CD">
        <w:rPr>
          <w:rFonts w:eastAsia="PMingLiU"/>
          <w:bCs/>
          <w:sz w:val="20"/>
          <w:szCs w:val="20"/>
        </w:rPr>
        <w:t xml:space="preserve"> </w:t>
      </w:r>
      <w:proofErr w:type="spellStart"/>
      <w:r w:rsidRPr="003D14CD">
        <w:rPr>
          <w:rFonts w:eastAsia="PMingLiU"/>
          <w:bCs/>
          <w:sz w:val="20"/>
          <w:szCs w:val="20"/>
        </w:rPr>
        <w:t>Agencies</w:t>
      </w:r>
      <w:proofErr w:type="spellEnd"/>
      <w:r w:rsidRPr="003D14CD">
        <w:rPr>
          <w:rFonts w:eastAsia="PMingLiU"/>
          <w:bCs/>
          <w:sz w:val="20"/>
          <w:szCs w:val="20"/>
        </w:rPr>
        <w:t xml:space="preserve"> (WAIPA) pētījums</w:t>
      </w:r>
      <w:r w:rsidRPr="003D14CD">
        <w:rPr>
          <w:sz w:val="20"/>
          <w:szCs w:val="20"/>
        </w:rPr>
        <w:t xml:space="preserve"> „</w:t>
      </w:r>
      <w:proofErr w:type="spellStart"/>
      <w:r w:rsidRPr="003D14CD">
        <w:rPr>
          <w:rFonts w:eastAsia="PMingLiU"/>
          <w:bCs/>
          <w:sz w:val="20"/>
          <w:szCs w:val="20"/>
        </w:rPr>
        <w:t>Investment</w:t>
      </w:r>
      <w:proofErr w:type="spellEnd"/>
      <w:r w:rsidRPr="003D14CD">
        <w:rPr>
          <w:rFonts w:eastAsia="PMingLiU"/>
          <w:bCs/>
          <w:sz w:val="20"/>
          <w:szCs w:val="20"/>
        </w:rPr>
        <w:t xml:space="preserve"> </w:t>
      </w:r>
      <w:proofErr w:type="spellStart"/>
      <w:r w:rsidRPr="003D14CD">
        <w:rPr>
          <w:rFonts w:eastAsia="PMingLiU"/>
          <w:bCs/>
          <w:sz w:val="20"/>
          <w:szCs w:val="20"/>
        </w:rPr>
        <w:t>Promotion</w:t>
      </w:r>
      <w:proofErr w:type="spellEnd"/>
      <w:r w:rsidRPr="003D14CD">
        <w:rPr>
          <w:rFonts w:eastAsia="PMingLiU"/>
          <w:bCs/>
          <w:sz w:val="20"/>
          <w:szCs w:val="20"/>
        </w:rPr>
        <w:t xml:space="preserve"> </w:t>
      </w:r>
      <w:proofErr w:type="spellStart"/>
      <w:r w:rsidRPr="003D14CD">
        <w:rPr>
          <w:rFonts w:eastAsia="PMingLiU"/>
          <w:bCs/>
          <w:sz w:val="20"/>
          <w:szCs w:val="20"/>
        </w:rPr>
        <w:t>Agencies</w:t>
      </w:r>
      <w:proofErr w:type="spellEnd"/>
      <w:r w:rsidRPr="003D14CD">
        <w:rPr>
          <w:rFonts w:eastAsia="PMingLiU"/>
          <w:bCs/>
          <w:sz w:val="20"/>
          <w:szCs w:val="20"/>
        </w:rPr>
        <w:t xml:space="preserve"> </w:t>
      </w:r>
      <w:proofErr w:type="spellStart"/>
      <w:r w:rsidRPr="003D14CD">
        <w:rPr>
          <w:rFonts w:eastAsia="PMingLiU"/>
          <w:bCs/>
          <w:sz w:val="20"/>
          <w:szCs w:val="20"/>
        </w:rPr>
        <w:t>and</w:t>
      </w:r>
      <w:proofErr w:type="spellEnd"/>
      <w:r w:rsidRPr="003D14CD">
        <w:rPr>
          <w:rFonts w:eastAsia="PMingLiU"/>
          <w:bCs/>
          <w:sz w:val="20"/>
          <w:szCs w:val="20"/>
        </w:rPr>
        <w:t xml:space="preserve"> </w:t>
      </w:r>
      <w:proofErr w:type="spellStart"/>
      <w:r w:rsidRPr="003D14CD">
        <w:rPr>
          <w:rFonts w:eastAsia="PMingLiU"/>
          <w:bCs/>
          <w:sz w:val="20"/>
          <w:szCs w:val="20"/>
        </w:rPr>
        <w:t>Sustainable</w:t>
      </w:r>
      <w:proofErr w:type="spellEnd"/>
      <w:r w:rsidRPr="003D14CD">
        <w:rPr>
          <w:rFonts w:eastAsia="PMingLiU"/>
          <w:bCs/>
          <w:sz w:val="20"/>
          <w:szCs w:val="20"/>
        </w:rPr>
        <w:t xml:space="preserve"> FDI: </w:t>
      </w:r>
      <w:proofErr w:type="spellStart"/>
      <w:r w:rsidRPr="003D14CD">
        <w:rPr>
          <w:rFonts w:eastAsia="PMingLiU"/>
          <w:bCs/>
          <w:sz w:val="20"/>
          <w:szCs w:val="20"/>
        </w:rPr>
        <w:t>Moving</w:t>
      </w:r>
      <w:proofErr w:type="spellEnd"/>
      <w:r w:rsidRPr="003D14CD">
        <w:rPr>
          <w:rFonts w:eastAsia="PMingLiU"/>
          <w:bCs/>
          <w:sz w:val="20"/>
          <w:szCs w:val="20"/>
        </w:rPr>
        <w:t xml:space="preserve"> </w:t>
      </w:r>
      <w:proofErr w:type="spellStart"/>
      <w:r w:rsidRPr="003D14CD">
        <w:rPr>
          <w:rFonts w:eastAsia="PMingLiU"/>
          <w:bCs/>
          <w:sz w:val="20"/>
          <w:szCs w:val="20"/>
        </w:rPr>
        <w:t>toward</w:t>
      </w:r>
      <w:proofErr w:type="spellEnd"/>
      <w:r w:rsidRPr="003D14CD">
        <w:rPr>
          <w:rFonts w:eastAsia="PMingLiU"/>
          <w:bCs/>
          <w:sz w:val="20"/>
          <w:szCs w:val="20"/>
        </w:rPr>
        <w:t xml:space="preserve"> </w:t>
      </w:r>
      <w:proofErr w:type="spellStart"/>
      <w:r w:rsidRPr="003D14CD">
        <w:rPr>
          <w:rFonts w:eastAsia="PMingLiU"/>
          <w:bCs/>
          <w:sz w:val="20"/>
          <w:szCs w:val="20"/>
        </w:rPr>
        <w:t>the</w:t>
      </w:r>
      <w:proofErr w:type="spellEnd"/>
      <w:r w:rsidRPr="003D14CD">
        <w:rPr>
          <w:rFonts w:eastAsia="PMingLiU"/>
          <w:bCs/>
          <w:sz w:val="20"/>
          <w:szCs w:val="20"/>
        </w:rPr>
        <w:t xml:space="preserve"> </w:t>
      </w:r>
      <w:proofErr w:type="spellStart"/>
      <w:r w:rsidRPr="003D14CD">
        <w:rPr>
          <w:rFonts w:eastAsia="PMingLiU"/>
          <w:bCs/>
          <w:sz w:val="20"/>
          <w:szCs w:val="20"/>
        </w:rPr>
        <w:t>fourth</w:t>
      </w:r>
      <w:proofErr w:type="spellEnd"/>
      <w:r w:rsidRPr="003D14CD">
        <w:rPr>
          <w:rFonts w:eastAsia="PMingLiU"/>
          <w:bCs/>
          <w:sz w:val="20"/>
          <w:szCs w:val="20"/>
        </w:rPr>
        <w:t xml:space="preserve"> </w:t>
      </w:r>
      <w:proofErr w:type="spellStart"/>
      <w:r w:rsidRPr="003D14CD">
        <w:rPr>
          <w:rFonts w:eastAsia="PMingLiU"/>
          <w:bCs/>
          <w:sz w:val="20"/>
          <w:szCs w:val="20"/>
        </w:rPr>
        <w:t>generation</w:t>
      </w:r>
      <w:proofErr w:type="spellEnd"/>
      <w:r w:rsidRPr="003D14CD">
        <w:rPr>
          <w:rFonts w:eastAsia="PMingLiU"/>
          <w:bCs/>
          <w:sz w:val="20"/>
          <w:szCs w:val="20"/>
        </w:rPr>
        <w:t xml:space="preserve"> </w:t>
      </w:r>
      <w:proofErr w:type="spellStart"/>
      <w:r w:rsidRPr="003D14CD">
        <w:rPr>
          <w:rFonts w:eastAsia="PMingLiU"/>
          <w:bCs/>
          <w:sz w:val="20"/>
          <w:szCs w:val="20"/>
        </w:rPr>
        <w:t>of</w:t>
      </w:r>
      <w:proofErr w:type="spellEnd"/>
      <w:r w:rsidRPr="003D14CD">
        <w:rPr>
          <w:rFonts w:eastAsia="PMingLiU"/>
          <w:bCs/>
          <w:sz w:val="20"/>
          <w:szCs w:val="20"/>
        </w:rPr>
        <w:t xml:space="preserve"> </w:t>
      </w:r>
      <w:proofErr w:type="spellStart"/>
      <w:r w:rsidRPr="003D14CD">
        <w:rPr>
          <w:rFonts w:eastAsia="PMingLiU"/>
          <w:bCs/>
          <w:sz w:val="20"/>
          <w:szCs w:val="20"/>
        </w:rPr>
        <w:t>investment</w:t>
      </w:r>
      <w:proofErr w:type="spellEnd"/>
      <w:r w:rsidRPr="003D14CD">
        <w:rPr>
          <w:rFonts w:eastAsia="PMingLiU"/>
          <w:bCs/>
          <w:sz w:val="20"/>
          <w:szCs w:val="20"/>
        </w:rPr>
        <w:t xml:space="preserve"> </w:t>
      </w:r>
      <w:proofErr w:type="spellStart"/>
      <w:r w:rsidRPr="003D14CD">
        <w:rPr>
          <w:rFonts w:eastAsia="PMingLiU"/>
          <w:bCs/>
          <w:sz w:val="20"/>
          <w:szCs w:val="20"/>
        </w:rPr>
        <w:t>promotion</w:t>
      </w:r>
      <w:proofErr w:type="spellEnd"/>
      <w:r w:rsidRPr="003D14CD">
        <w:rPr>
          <w:rFonts w:eastAsia="PMingLiU"/>
          <w:bCs/>
          <w:sz w:val="20"/>
          <w:szCs w:val="20"/>
        </w:rPr>
        <w:t xml:space="preserve">”, 2010; </w:t>
      </w:r>
      <w:proofErr w:type="spellStart"/>
      <w:r w:rsidRPr="003D14CD">
        <w:rPr>
          <w:sz w:val="20"/>
          <w:szCs w:val="20"/>
        </w:rPr>
        <w:t>World</w:t>
      </w:r>
      <w:proofErr w:type="spellEnd"/>
      <w:r w:rsidRPr="003D14CD">
        <w:rPr>
          <w:sz w:val="20"/>
          <w:szCs w:val="20"/>
        </w:rPr>
        <w:t xml:space="preserve"> </w:t>
      </w:r>
      <w:proofErr w:type="spellStart"/>
      <w:r w:rsidRPr="003D14CD">
        <w:rPr>
          <w:sz w:val="20"/>
          <w:szCs w:val="20"/>
        </w:rPr>
        <w:t>Investment</w:t>
      </w:r>
      <w:proofErr w:type="spellEnd"/>
      <w:r w:rsidRPr="003D14CD">
        <w:rPr>
          <w:sz w:val="20"/>
          <w:szCs w:val="20"/>
        </w:rPr>
        <w:t xml:space="preserve"> </w:t>
      </w:r>
      <w:proofErr w:type="spellStart"/>
      <w:r w:rsidRPr="003D14CD">
        <w:rPr>
          <w:sz w:val="20"/>
          <w:szCs w:val="20"/>
        </w:rPr>
        <w:t>Report</w:t>
      </w:r>
      <w:proofErr w:type="spellEnd"/>
      <w:r w:rsidRPr="003D14CD">
        <w:rPr>
          <w:sz w:val="20"/>
          <w:szCs w:val="20"/>
        </w:rPr>
        <w:t xml:space="preserve"> 2012.</w:t>
      </w:r>
    </w:p>
  </w:footnote>
  <w:footnote w:id="34">
    <w:p w:rsidR="008925F7" w:rsidRDefault="008925F7" w:rsidP="003D14CD">
      <w:pPr>
        <w:pStyle w:val="FootnoteText"/>
        <w:ind w:firstLine="0"/>
      </w:pPr>
      <w:r>
        <w:rPr>
          <w:rStyle w:val="FootnoteReference"/>
        </w:rPr>
        <w:footnoteRef/>
      </w:r>
      <w:r>
        <w:t xml:space="preserve"> </w:t>
      </w:r>
      <w:r>
        <w:t xml:space="preserve">Līdzīgi kā to piedāvā, piemēram, Čehija </w:t>
      </w:r>
      <w:hyperlink r:id="rId8" w:history="1">
        <w:r w:rsidRPr="00052850">
          <w:rPr>
            <w:rStyle w:val="Hyperlink"/>
          </w:rPr>
          <w:t>http://www.czechinvest.org/en</w:t>
        </w:r>
      </w:hyperlink>
      <w:r>
        <w:t xml:space="preserve">, Polija </w:t>
      </w:r>
      <w:hyperlink r:id="rId9" w:history="1">
        <w:r w:rsidRPr="00052850">
          <w:rPr>
            <w:rStyle w:val="Hyperlink"/>
          </w:rPr>
          <w:t>http://www.paiz.gov.pl/why_poland</w:t>
        </w:r>
      </w:hyperlink>
      <w:r>
        <w:t xml:space="preserve">, Zviedrija </w:t>
      </w:r>
      <w:hyperlink r:id="rId10" w:history="1">
        <w:r w:rsidRPr="008C144F">
          <w:rPr>
            <w:rStyle w:val="Hyperlink"/>
          </w:rPr>
          <w:t>http://www.business-sweden.se/en/Invest/</w:t>
        </w:r>
      </w:hyperlink>
      <w:hyperlink w:history="1"/>
      <w:r>
        <w:t xml:space="preserve">, Igaunija </w:t>
      </w:r>
      <w:hyperlink r:id="rId11" w:history="1">
        <w:r w:rsidRPr="00052850">
          <w:rPr>
            <w:rStyle w:val="Hyperlink"/>
          </w:rPr>
          <w:t>http://www.investinestonia.com/en/Investment-guide/</w:t>
        </w:r>
      </w:hyperlink>
      <w:r>
        <w:t xml:space="preserve">  </w:t>
      </w:r>
    </w:p>
  </w:footnote>
  <w:footnote w:id="35">
    <w:p w:rsidR="008925F7" w:rsidRDefault="008925F7" w:rsidP="0054151D">
      <w:pPr>
        <w:pStyle w:val="FootnoteText"/>
        <w:ind w:firstLine="0"/>
      </w:pPr>
      <w:r>
        <w:rPr>
          <w:rStyle w:val="FootnoteReference"/>
        </w:rPr>
        <w:footnoteRef/>
      </w:r>
      <w:r>
        <w:t xml:space="preserve"> </w:t>
      </w:r>
      <w:r w:rsidRPr="00053B01">
        <w:t>Finansējums plānojams no ES struktūrfondiem</w:t>
      </w:r>
      <w:r w:rsidR="00E160E1">
        <w:t xml:space="preserve"> – </w:t>
      </w:r>
      <w:r w:rsidR="00E160E1" w:rsidRPr="0003106C">
        <w:t>987</w:t>
      </w:r>
      <w:r w:rsidR="00E160E1">
        <w:t xml:space="preserve"> </w:t>
      </w:r>
      <w:proofErr w:type="spellStart"/>
      <w:r w:rsidR="00E160E1">
        <w:t>tūkst.latu</w:t>
      </w:r>
      <w:proofErr w:type="spellEnd"/>
      <w:r w:rsidR="00E160E1">
        <w:t xml:space="preserve"> apjomā, savukārt no valsts budžeta – 35 </w:t>
      </w:r>
      <w:proofErr w:type="spellStart"/>
      <w:r w:rsidR="00E160E1">
        <w:t>tūkst.lati</w:t>
      </w:r>
      <w:proofErr w:type="spellEnd"/>
      <w:r w:rsidR="00E160E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F7" w:rsidRDefault="008925F7">
    <w:pPr>
      <w:pStyle w:val="Header"/>
      <w:jc w:val="center"/>
    </w:pPr>
    <w:r>
      <w:fldChar w:fldCharType="begin"/>
    </w:r>
    <w:r>
      <w:instrText xml:space="preserve"> PAGE   \* MERGEFORMAT </w:instrText>
    </w:r>
    <w:r>
      <w:fldChar w:fldCharType="separate"/>
    </w:r>
    <w:r w:rsidR="00CA1579">
      <w:rPr>
        <w:noProof/>
      </w:rPr>
      <w:t>40</w:t>
    </w:r>
    <w:r>
      <w:rPr>
        <w:noProof/>
      </w:rPr>
      <w:fldChar w:fldCharType="end"/>
    </w:r>
  </w:p>
  <w:p w:rsidR="008925F7" w:rsidRDefault="00892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0EB66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0000001"/>
    <w:multiLevelType w:val="multilevel"/>
    <w:tmpl w:val="00000001"/>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22A388C"/>
    <w:multiLevelType w:val="hybridMultilevel"/>
    <w:tmpl w:val="28BE63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D82C4D"/>
    <w:multiLevelType w:val="hybridMultilevel"/>
    <w:tmpl w:val="7C2C3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A9A5DD7"/>
    <w:multiLevelType w:val="hybridMultilevel"/>
    <w:tmpl w:val="A526197E"/>
    <w:lvl w:ilvl="0" w:tplc="0409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5">
    <w:nsid w:val="0B627317"/>
    <w:multiLevelType w:val="hybridMultilevel"/>
    <w:tmpl w:val="13D2B9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1675BA2"/>
    <w:multiLevelType w:val="hybridMultilevel"/>
    <w:tmpl w:val="58C4DDA0"/>
    <w:lvl w:ilvl="0" w:tplc="04260001">
      <w:start w:val="1"/>
      <w:numFmt w:val="bullet"/>
      <w:lvlText w:val=""/>
      <w:lvlJc w:val="left"/>
      <w:pPr>
        <w:tabs>
          <w:tab w:val="num" w:pos="1211"/>
        </w:tabs>
        <w:ind w:left="1211"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7">
    <w:nsid w:val="119074CE"/>
    <w:multiLevelType w:val="hybridMultilevel"/>
    <w:tmpl w:val="B01E1D48"/>
    <w:lvl w:ilvl="0" w:tplc="024EA194">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2D36CB6"/>
    <w:multiLevelType w:val="hybridMultilevel"/>
    <w:tmpl w:val="8F94B2A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C9536EE"/>
    <w:multiLevelType w:val="hybridMultilevel"/>
    <w:tmpl w:val="A0B60414"/>
    <w:lvl w:ilvl="0" w:tplc="234EC40C">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0">
    <w:nsid w:val="1EA84D50"/>
    <w:multiLevelType w:val="hybridMultilevel"/>
    <w:tmpl w:val="9B1ABBF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00F0EF8"/>
    <w:multiLevelType w:val="hybridMultilevel"/>
    <w:tmpl w:val="07C45068"/>
    <w:lvl w:ilvl="0" w:tplc="04090001">
      <w:start w:val="1"/>
      <w:numFmt w:val="bullet"/>
      <w:lvlText w:val=""/>
      <w:lvlJc w:val="left"/>
      <w:pPr>
        <w:ind w:left="720" w:hanging="360"/>
      </w:pPr>
      <w:rPr>
        <w:rFonts w:ascii="Symbol" w:hAnsi="Symbol"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5632D8"/>
    <w:multiLevelType w:val="hybridMultilevel"/>
    <w:tmpl w:val="B7BAFBC4"/>
    <w:lvl w:ilvl="0" w:tplc="1116E75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79B3028"/>
    <w:multiLevelType w:val="hybridMultilevel"/>
    <w:tmpl w:val="502048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93A6374"/>
    <w:multiLevelType w:val="hybridMultilevel"/>
    <w:tmpl w:val="30663F2E"/>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2AB644A0"/>
    <w:multiLevelType w:val="hybridMultilevel"/>
    <w:tmpl w:val="F55EC8CC"/>
    <w:lvl w:ilvl="0" w:tplc="01322108">
      <w:numFmt w:val="bullet"/>
      <w:lvlText w:val="–"/>
      <w:lvlJc w:val="left"/>
      <w:pPr>
        <w:tabs>
          <w:tab w:val="num" w:pos="720"/>
        </w:tabs>
        <w:ind w:left="720" w:hanging="360"/>
      </w:pPr>
      <w:rPr>
        <w:rFonts w:ascii="Times New Roman" w:eastAsia="Times New Roman" w:hAnsi="Times New Roman" w:hint="default"/>
        <w:i w:val="0"/>
        <w:color w:val="00000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2D961708"/>
    <w:multiLevelType w:val="hybridMultilevel"/>
    <w:tmpl w:val="61AC9D0C"/>
    <w:lvl w:ilvl="0" w:tplc="FEB4E1D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F8259B7"/>
    <w:multiLevelType w:val="hybridMultilevel"/>
    <w:tmpl w:val="3B5CAEF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30E44BF9"/>
    <w:multiLevelType w:val="hybridMultilevel"/>
    <w:tmpl w:val="89BEA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31FF3283"/>
    <w:multiLevelType w:val="hybridMultilevel"/>
    <w:tmpl w:val="04B87B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nsid w:val="36D135F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492FBD"/>
    <w:multiLevelType w:val="hybridMultilevel"/>
    <w:tmpl w:val="3EDA8B10"/>
    <w:lvl w:ilvl="0" w:tplc="8794C794">
      <w:start w:val="1"/>
      <w:numFmt w:val="bullet"/>
      <w:lvlText w:val="-"/>
      <w:lvlJc w:val="left"/>
      <w:pPr>
        <w:tabs>
          <w:tab w:val="num" w:pos="1080"/>
        </w:tabs>
        <w:ind w:left="1080" w:hanging="360"/>
      </w:pPr>
      <w:rPr>
        <w:rFonts w:ascii="Monotype Corsiva" w:hAnsi="Monotype Corsiva"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AA808DD"/>
    <w:multiLevelType w:val="hybridMultilevel"/>
    <w:tmpl w:val="52E8FA1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3ADA77B8"/>
    <w:multiLevelType w:val="hybridMultilevel"/>
    <w:tmpl w:val="40323A12"/>
    <w:lvl w:ilvl="0" w:tplc="0FB0264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9C2771"/>
    <w:multiLevelType w:val="hybridMultilevel"/>
    <w:tmpl w:val="C494E41E"/>
    <w:lvl w:ilvl="0" w:tplc="2120291C">
      <w:start w:val="2011"/>
      <w:numFmt w:val="bullet"/>
      <w:lvlText w:val="–"/>
      <w:lvlJc w:val="left"/>
      <w:pPr>
        <w:ind w:left="502" w:hanging="360"/>
      </w:pPr>
      <w:rPr>
        <w:rFonts w:ascii="Times New Roman" w:eastAsia="Times New Roman" w:hAnsi="Times New Roman" w:hint="default"/>
      </w:rPr>
    </w:lvl>
    <w:lvl w:ilvl="1" w:tplc="04260003">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nsid w:val="3F182B70"/>
    <w:multiLevelType w:val="hybridMultilevel"/>
    <w:tmpl w:val="5928D06E"/>
    <w:lvl w:ilvl="0" w:tplc="917CC8D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6">
    <w:nsid w:val="421C78BE"/>
    <w:multiLevelType w:val="hybridMultilevel"/>
    <w:tmpl w:val="B0322362"/>
    <w:lvl w:ilvl="0" w:tplc="12E6540C">
      <w:start w:val="4"/>
      <w:numFmt w:val="bullet"/>
      <w:lvlText w:val="-"/>
      <w:lvlJc w:val="left"/>
      <w:pPr>
        <w:ind w:left="720" w:hanging="360"/>
      </w:pPr>
      <w:rPr>
        <w:rFonts w:ascii="Arial" w:eastAsia="Calibr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51904ECD"/>
    <w:multiLevelType w:val="hybridMultilevel"/>
    <w:tmpl w:val="ABEC0DE6"/>
    <w:lvl w:ilvl="0" w:tplc="01322108">
      <w:numFmt w:val="bullet"/>
      <w:lvlText w:val="–"/>
      <w:lvlJc w:val="left"/>
      <w:pPr>
        <w:ind w:left="720" w:hanging="360"/>
      </w:pPr>
      <w:rPr>
        <w:rFonts w:ascii="Times New Roman" w:eastAsia="Times New Roman" w:hAnsi="Times New Roman"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27F0D0D"/>
    <w:multiLevelType w:val="hybridMultilevel"/>
    <w:tmpl w:val="3D287F78"/>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5570639E"/>
    <w:multiLevelType w:val="multilevel"/>
    <w:tmpl w:val="A2CE496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81A32AE"/>
    <w:multiLevelType w:val="hybridMultilevel"/>
    <w:tmpl w:val="D06A04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A083ED8"/>
    <w:multiLevelType w:val="multilevel"/>
    <w:tmpl w:val="1D4A26E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364" w:hanging="108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724" w:hanging="144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2084" w:hanging="180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32">
    <w:nsid w:val="60BE1C19"/>
    <w:multiLevelType w:val="hybridMultilevel"/>
    <w:tmpl w:val="62D85DEA"/>
    <w:lvl w:ilvl="0" w:tplc="04260001">
      <w:numFmt w:val="bullet"/>
      <w:lvlText w:val="–"/>
      <w:lvlJc w:val="left"/>
      <w:pPr>
        <w:tabs>
          <w:tab w:val="num" w:pos="1211"/>
        </w:tabs>
        <w:ind w:left="1211" w:hanging="360"/>
      </w:pPr>
      <w:rPr>
        <w:rFonts w:ascii="Times New Roman" w:eastAsia="Times New Roman" w:hAnsi="Times New Roman"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3">
    <w:nsid w:val="665B7322"/>
    <w:multiLevelType w:val="hybridMultilevel"/>
    <w:tmpl w:val="55A8A352"/>
    <w:lvl w:ilvl="0" w:tplc="4F5AA2B0">
      <w:numFmt w:val="bullet"/>
      <w:lvlText w:val="–"/>
      <w:lvlJc w:val="left"/>
      <w:pPr>
        <w:ind w:left="720" w:hanging="360"/>
      </w:pPr>
      <w:rPr>
        <w:rFonts w:ascii="Times New Roman" w:eastAsia="Times New Roman" w:hAnsi="Times New Roman" w:hint="default"/>
        <w:i w:val="0"/>
        <w:color w:val="000000"/>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4">
    <w:nsid w:val="68A25BFF"/>
    <w:multiLevelType w:val="hybridMultilevel"/>
    <w:tmpl w:val="985470C2"/>
    <w:lvl w:ilvl="0" w:tplc="024EA194">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5">
    <w:nsid w:val="693F593A"/>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C7E62DD"/>
    <w:multiLevelType w:val="hybridMultilevel"/>
    <w:tmpl w:val="288CD852"/>
    <w:lvl w:ilvl="0" w:tplc="1E4CC33E">
      <w:numFmt w:val="bullet"/>
      <w:lvlText w:val="-"/>
      <w:lvlJc w:val="left"/>
      <w:pPr>
        <w:tabs>
          <w:tab w:val="num" w:pos="990"/>
        </w:tabs>
        <w:ind w:left="990" w:hanging="81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6F776D59"/>
    <w:multiLevelType w:val="multilevel"/>
    <w:tmpl w:val="5A74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FF6486"/>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A3607B"/>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25628D6"/>
    <w:multiLevelType w:val="hybridMultilevel"/>
    <w:tmpl w:val="55E0F1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29B7255"/>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46A4F00"/>
    <w:multiLevelType w:val="hybridMultilevel"/>
    <w:tmpl w:val="FEA25182"/>
    <w:lvl w:ilvl="0" w:tplc="DFF2D9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nsid w:val="75CD7CD9"/>
    <w:multiLevelType w:val="hybridMultilevel"/>
    <w:tmpl w:val="ACA0268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61F45D1"/>
    <w:multiLevelType w:val="hybridMultilevel"/>
    <w:tmpl w:val="49DCE294"/>
    <w:lvl w:ilvl="0" w:tplc="04260001">
      <w:start w:val="2011"/>
      <w:numFmt w:val="bullet"/>
      <w:lvlText w:val="–"/>
      <w:lvlJc w:val="left"/>
      <w:pPr>
        <w:tabs>
          <w:tab w:val="num" w:pos="720"/>
        </w:tabs>
        <w:ind w:left="720" w:hanging="360"/>
      </w:pPr>
      <w:rPr>
        <w:rFonts w:ascii="Times New Roman" w:eastAsia="Times New Roman" w:hAnsi="Times New Roman"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45">
    <w:nsid w:val="7BAB295B"/>
    <w:multiLevelType w:val="hybridMultilevel"/>
    <w:tmpl w:val="B0AA1BF2"/>
    <w:lvl w:ilvl="0" w:tplc="01322108">
      <w:numFmt w:val="bullet"/>
      <w:lvlText w:val="–"/>
      <w:lvlJc w:val="left"/>
      <w:pPr>
        <w:ind w:left="720" w:hanging="360"/>
      </w:pPr>
      <w:rPr>
        <w:rFonts w:ascii="Times New Roman" w:eastAsia="Times New Roman" w:hAnsi="Times New Roman"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DE3400C"/>
    <w:multiLevelType w:val="hybridMultilevel"/>
    <w:tmpl w:val="52E8F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E0A2473"/>
    <w:multiLevelType w:val="hybridMultilevel"/>
    <w:tmpl w:val="1B946A5E"/>
    <w:lvl w:ilvl="0" w:tplc="0426000F">
      <w:start w:val="1"/>
      <w:numFmt w:val="decimal"/>
      <w:lvlText w:val="%1."/>
      <w:lvlJc w:val="left"/>
      <w:pPr>
        <w:ind w:left="1077" w:hanging="360"/>
      </w:pPr>
      <w:rPr>
        <w:rFonts w:cs="Times New Roman"/>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48">
    <w:nsid w:val="7E5D7AFB"/>
    <w:multiLevelType w:val="hybridMultilevel"/>
    <w:tmpl w:val="877AC3EA"/>
    <w:lvl w:ilvl="0" w:tplc="01322108">
      <w:numFmt w:val="bullet"/>
      <w:lvlText w:val="–"/>
      <w:lvlJc w:val="left"/>
      <w:pPr>
        <w:ind w:left="720" w:hanging="360"/>
      </w:pPr>
      <w:rPr>
        <w:rFonts w:ascii="Times New Roman" w:eastAsia="Times New Roman" w:hAnsi="Times New Roman"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45"/>
  </w:num>
  <w:num w:numId="3">
    <w:abstractNumId w:val="44"/>
  </w:num>
  <w:num w:numId="4">
    <w:abstractNumId w:val="24"/>
  </w:num>
  <w:num w:numId="5">
    <w:abstractNumId w:val="2"/>
  </w:num>
  <w:num w:numId="6">
    <w:abstractNumId w:val="28"/>
  </w:num>
  <w:num w:numId="7">
    <w:abstractNumId w:val="32"/>
  </w:num>
  <w:num w:numId="8">
    <w:abstractNumId w:val="33"/>
  </w:num>
  <w:num w:numId="9">
    <w:abstractNumId w:val="16"/>
  </w:num>
  <w:num w:numId="10">
    <w:abstractNumId w:val="9"/>
  </w:num>
  <w:num w:numId="11">
    <w:abstractNumId w:val="47"/>
  </w:num>
  <w:num w:numId="12">
    <w:abstractNumId w:val="17"/>
  </w:num>
  <w:num w:numId="13">
    <w:abstractNumId w:val="10"/>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38"/>
  </w:num>
  <w:num w:numId="19">
    <w:abstractNumId w:val="35"/>
  </w:num>
  <w:num w:numId="20">
    <w:abstractNumId w:val="39"/>
  </w:num>
  <w:num w:numId="21">
    <w:abstractNumId w:val="41"/>
  </w:num>
  <w:num w:numId="22">
    <w:abstractNumId w:val="3"/>
  </w:num>
  <w:num w:numId="23">
    <w:abstractNumId w:val="8"/>
  </w:num>
  <w:num w:numId="24">
    <w:abstractNumId w:val="48"/>
  </w:num>
  <w:num w:numId="25">
    <w:abstractNumId w:val="15"/>
  </w:num>
  <w:num w:numId="26">
    <w:abstractNumId w:val="13"/>
  </w:num>
  <w:num w:numId="27">
    <w:abstractNumId w:val="30"/>
  </w:num>
  <w:num w:numId="28">
    <w:abstractNumId w:val="20"/>
  </w:num>
  <w:num w:numId="29">
    <w:abstractNumId w:val="4"/>
  </w:num>
  <w:num w:numId="30">
    <w:abstractNumId w:val="12"/>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6"/>
  </w:num>
  <w:num w:numId="34">
    <w:abstractNumId w:val="6"/>
  </w:num>
  <w:num w:numId="35">
    <w:abstractNumId w:val="0"/>
  </w:num>
  <w:num w:numId="36">
    <w:abstractNumId w:val="34"/>
  </w:num>
  <w:num w:numId="37">
    <w:abstractNumId w:val="25"/>
  </w:num>
  <w:num w:numId="38">
    <w:abstractNumId w:val="23"/>
  </w:num>
  <w:num w:numId="39">
    <w:abstractNumId w:val="22"/>
  </w:num>
  <w:num w:numId="40">
    <w:abstractNumId w:val="2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7"/>
  </w:num>
  <w:num w:numId="45">
    <w:abstractNumId w:val="21"/>
  </w:num>
  <w:num w:numId="46">
    <w:abstractNumId w:val="36"/>
  </w:num>
  <w:num w:numId="47">
    <w:abstractNumId w:val="42"/>
  </w:num>
  <w:num w:numId="48">
    <w:abstractNumId w:val="5"/>
  </w:num>
  <w:num w:numId="49">
    <w:abstractNumId w:val="19"/>
  </w:num>
  <w:num w:numId="50">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A6"/>
    <w:rsid w:val="00000636"/>
    <w:rsid w:val="0000120A"/>
    <w:rsid w:val="00001461"/>
    <w:rsid w:val="00001F4E"/>
    <w:rsid w:val="0000201B"/>
    <w:rsid w:val="0000211A"/>
    <w:rsid w:val="00002765"/>
    <w:rsid w:val="00002E8E"/>
    <w:rsid w:val="00003CD2"/>
    <w:rsid w:val="00003D13"/>
    <w:rsid w:val="00003DBB"/>
    <w:rsid w:val="0000446E"/>
    <w:rsid w:val="00004FF2"/>
    <w:rsid w:val="00005FC6"/>
    <w:rsid w:val="000064F5"/>
    <w:rsid w:val="00006530"/>
    <w:rsid w:val="00007846"/>
    <w:rsid w:val="00010016"/>
    <w:rsid w:val="00010EC4"/>
    <w:rsid w:val="000115CD"/>
    <w:rsid w:val="00011D7A"/>
    <w:rsid w:val="0001295A"/>
    <w:rsid w:val="00012DA1"/>
    <w:rsid w:val="000138A6"/>
    <w:rsid w:val="00014C90"/>
    <w:rsid w:val="00014D34"/>
    <w:rsid w:val="0001501C"/>
    <w:rsid w:val="00015897"/>
    <w:rsid w:val="00016825"/>
    <w:rsid w:val="0001760B"/>
    <w:rsid w:val="00017CDB"/>
    <w:rsid w:val="00020548"/>
    <w:rsid w:val="00020797"/>
    <w:rsid w:val="00020BD6"/>
    <w:rsid w:val="000217A1"/>
    <w:rsid w:val="00023000"/>
    <w:rsid w:val="000230E9"/>
    <w:rsid w:val="00023783"/>
    <w:rsid w:val="00023E99"/>
    <w:rsid w:val="0002493F"/>
    <w:rsid w:val="0002564E"/>
    <w:rsid w:val="00025742"/>
    <w:rsid w:val="000270D9"/>
    <w:rsid w:val="0002728A"/>
    <w:rsid w:val="0002755C"/>
    <w:rsid w:val="0002774F"/>
    <w:rsid w:val="00030518"/>
    <w:rsid w:val="00030A1A"/>
    <w:rsid w:val="00030C95"/>
    <w:rsid w:val="0003106C"/>
    <w:rsid w:val="000314DF"/>
    <w:rsid w:val="000319CE"/>
    <w:rsid w:val="00031CC3"/>
    <w:rsid w:val="00032618"/>
    <w:rsid w:val="00032BC3"/>
    <w:rsid w:val="000338FF"/>
    <w:rsid w:val="00033B2A"/>
    <w:rsid w:val="00033BF2"/>
    <w:rsid w:val="00033D03"/>
    <w:rsid w:val="00033D6F"/>
    <w:rsid w:val="000344AA"/>
    <w:rsid w:val="00034C89"/>
    <w:rsid w:val="000361B7"/>
    <w:rsid w:val="00036980"/>
    <w:rsid w:val="00036A8A"/>
    <w:rsid w:val="0003703C"/>
    <w:rsid w:val="00037A55"/>
    <w:rsid w:val="00037D00"/>
    <w:rsid w:val="000400E5"/>
    <w:rsid w:val="00040374"/>
    <w:rsid w:val="000416CB"/>
    <w:rsid w:val="00041A48"/>
    <w:rsid w:val="00041E05"/>
    <w:rsid w:val="000433C2"/>
    <w:rsid w:val="00043AB7"/>
    <w:rsid w:val="00043E40"/>
    <w:rsid w:val="00043EB5"/>
    <w:rsid w:val="00045A01"/>
    <w:rsid w:val="00045F8B"/>
    <w:rsid w:val="00046B2B"/>
    <w:rsid w:val="0005093E"/>
    <w:rsid w:val="000511FF"/>
    <w:rsid w:val="00051513"/>
    <w:rsid w:val="000519AD"/>
    <w:rsid w:val="00051A46"/>
    <w:rsid w:val="0005221D"/>
    <w:rsid w:val="000538EE"/>
    <w:rsid w:val="00053B01"/>
    <w:rsid w:val="000541DA"/>
    <w:rsid w:val="00055048"/>
    <w:rsid w:val="00055145"/>
    <w:rsid w:val="00055B65"/>
    <w:rsid w:val="00055CEA"/>
    <w:rsid w:val="00056883"/>
    <w:rsid w:val="00056EAD"/>
    <w:rsid w:val="00056EB6"/>
    <w:rsid w:val="000572A1"/>
    <w:rsid w:val="000575CE"/>
    <w:rsid w:val="00060485"/>
    <w:rsid w:val="000604DA"/>
    <w:rsid w:val="00060972"/>
    <w:rsid w:val="00060C74"/>
    <w:rsid w:val="00060CC6"/>
    <w:rsid w:val="00062E86"/>
    <w:rsid w:val="000637B5"/>
    <w:rsid w:val="00064B99"/>
    <w:rsid w:val="000656C5"/>
    <w:rsid w:val="00066611"/>
    <w:rsid w:val="00066783"/>
    <w:rsid w:val="00066B50"/>
    <w:rsid w:val="00066BBB"/>
    <w:rsid w:val="00070B3A"/>
    <w:rsid w:val="00071F5D"/>
    <w:rsid w:val="00071F99"/>
    <w:rsid w:val="00072443"/>
    <w:rsid w:val="00072A6F"/>
    <w:rsid w:val="00072ED9"/>
    <w:rsid w:val="00073024"/>
    <w:rsid w:val="00073B6F"/>
    <w:rsid w:val="000744B7"/>
    <w:rsid w:val="000746B4"/>
    <w:rsid w:val="00074813"/>
    <w:rsid w:val="00074954"/>
    <w:rsid w:val="00075D3E"/>
    <w:rsid w:val="00075FAE"/>
    <w:rsid w:val="00076B10"/>
    <w:rsid w:val="00076FDE"/>
    <w:rsid w:val="000771EA"/>
    <w:rsid w:val="00077BAC"/>
    <w:rsid w:val="00080F55"/>
    <w:rsid w:val="0008105E"/>
    <w:rsid w:val="000810B1"/>
    <w:rsid w:val="0008166C"/>
    <w:rsid w:val="00081B9F"/>
    <w:rsid w:val="00081C45"/>
    <w:rsid w:val="00081F4F"/>
    <w:rsid w:val="000823E4"/>
    <w:rsid w:val="000828A2"/>
    <w:rsid w:val="000837F8"/>
    <w:rsid w:val="00083921"/>
    <w:rsid w:val="00083E28"/>
    <w:rsid w:val="00084296"/>
    <w:rsid w:val="00084379"/>
    <w:rsid w:val="0008469B"/>
    <w:rsid w:val="0008473E"/>
    <w:rsid w:val="000847AF"/>
    <w:rsid w:val="000852A2"/>
    <w:rsid w:val="00085B96"/>
    <w:rsid w:val="0008680D"/>
    <w:rsid w:val="000868B8"/>
    <w:rsid w:val="00086A2A"/>
    <w:rsid w:val="00086FC4"/>
    <w:rsid w:val="00086FD1"/>
    <w:rsid w:val="0008720D"/>
    <w:rsid w:val="0009080F"/>
    <w:rsid w:val="0009096F"/>
    <w:rsid w:val="00090C9B"/>
    <w:rsid w:val="0009123C"/>
    <w:rsid w:val="00092333"/>
    <w:rsid w:val="00092673"/>
    <w:rsid w:val="00093CEB"/>
    <w:rsid w:val="00093F1B"/>
    <w:rsid w:val="0009463C"/>
    <w:rsid w:val="000948C2"/>
    <w:rsid w:val="00094C25"/>
    <w:rsid w:val="00094CC7"/>
    <w:rsid w:val="000960BD"/>
    <w:rsid w:val="0009655D"/>
    <w:rsid w:val="00096783"/>
    <w:rsid w:val="000968AD"/>
    <w:rsid w:val="000968DC"/>
    <w:rsid w:val="00097921"/>
    <w:rsid w:val="000A0E95"/>
    <w:rsid w:val="000A2113"/>
    <w:rsid w:val="000A2CB9"/>
    <w:rsid w:val="000A3513"/>
    <w:rsid w:val="000A38BA"/>
    <w:rsid w:val="000A3D1F"/>
    <w:rsid w:val="000A40F6"/>
    <w:rsid w:val="000A4895"/>
    <w:rsid w:val="000A5A73"/>
    <w:rsid w:val="000A5DAD"/>
    <w:rsid w:val="000A6638"/>
    <w:rsid w:val="000A6B2A"/>
    <w:rsid w:val="000A72D3"/>
    <w:rsid w:val="000B1E1A"/>
    <w:rsid w:val="000B1E83"/>
    <w:rsid w:val="000B2257"/>
    <w:rsid w:val="000B2738"/>
    <w:rsid w:val="000B2A5A"/>
    <w:rsid w:val="000B2DFA"/>
    <w:rsid w:val="000B4CB3"/>
    <w:rsid w:val="000B4F70"/>
    <w:rsid w:val="000B5860"/>
    <w:rsid w:val="000B612F"/>
    <w:rsid w:val="000B629A"/>
    <w:rsid w:val="000B6E06"/>
    <w:rsid w:val="000B72A5"/>
    <w:rsid w:val="000B79F4"/>
    <w:rsid w:val="000B7DA6"/>
    <w:rsid w:val="000C0144"/>
    <w:rsid w:val="000C05BE"/>
    <w:rsid w:val="000C0E0D"/>
    <w:rsid w:val="000C212C"/>
    <w:rsid w:val="000C23F7"/>
    <w:rsid w:val="000C27B2"/>
    <w:rsid w:val="000C29A0"/>
    <w:rsid w:val="000C2C6F"/>
    <w:rsid w:val="000C2E19"/>
    <w:rsid w:val="000C306A"/>
    <w:rsid w:val="000C308B"/>
    <w:rsid w:val="000C3A30"/>
    <w:rsid w:val="000C3EEC"/>
    <w:rsid w:val="000C4235"/>
    <w:rsid w:val="000C44DE"/>
    <w:rsid w:val="000C586C"/>
    <w:rsid w:val="000C609C"/>
    <w:rsid w:val="000C69ED"/>
    <w:rsid w:val="000C6AEC"/>
    <w:rsid w:val="000C6B74"/>
    <w:rsid w:val="000C6ED1"/>
    <w:rsid w:val="000C7077"/>
    <w:rsid w:val="000C718A"/>
    <w:rsid w:val="000C7488"/>
    <w:rsid w:val="000C7E74"/>
    <w:rsid w:val="000D06C6"/>
    <w:rsid w:val="000D0D05"/>
    <w:rsid w:val="000D0D0C"/>
    <w:rsid w:val="000D0DF2"/>
    <w:rsid w:val="000D0F08"/>
    <w:rsid w:val="000D15C4"/>
    <w:rsid w:val="000D16B5"/>
    <w:rsid w:val="000D2056"/>
    <w:rsid w:val="000D20F8"/>
    <w:rsid w:val="000D224F"/>
    <w:rsid w:val="000D23C8"/>
    <w:rsid w:val="000D280C"/>
    <w:rsid w:val="000D3073"/>
    <w:rsid w:val="000D339D"/>
    <w:rsid w:val="000D4D21"/>
    <w:rsid w:val="000D6337"/>
    <w:rsid w:val="000D66B4"/>
    <w:rsid w:val="000D69DB"/>
    <w:rsid w:val="000D7117"/>
    <w:rsid w:val="000D723F"/>
    <w:rsid w:val="000D73A6"/>
    <w:rsid w:val="000D7C51"/>
    <w:rsid w:val="000D7C59"/>
    <w:rsid w:val="000D7E13"/>
    <w:rsid w:val="000E0548"/>
    <w:rsid w:val="000E14CF"/>
    <w:rsid w:val="000E1673"/>
    <w:rsid w:val="000E1A9A"/>
    <w:rsid w:val="000E1C20"/>
    <w:rsid w:val="000E204E"/>
    <w:rsid w:val="000E211E"/>
    <w:rsid w:val="000E2798"/>
    <w:rsid w:val="000E2869"/>
    <w:rsid w:val="000E2925"/>
    <w:rsid w:val="000E369D"/>
    <w:rsid w:val="000E3A44"/>
    <w:rsid w:val="000E3CF5"/>
    <w:rsid w:val="000E454A"/>
    <w:rsid w:val="000E557F"/>
    <w:rsid w:val="000E57A4"/>
    <w:rsid w:val="000E5820"/>
    <w:rsid w:val="000E58FE"/>
    <w:rsid w:val="000E6256"/>
    <w:rsid w:val="000E63A4"/>
    <w:rsid w:val="000E6AD7"/>
    <w:rsid w:val="000E6FF7"/>
    <w:rsid w:val="000F1AA0"/>
    <w:rsid w:val="000F21A8"/>
    <w:rsid w:val="000F3EF9"/>
    <w:rsid w:val="000F4037"/>
    <w:rsid w:val="000F4326"/>
    <w:rsid w:val="000F438A"/>
    <w:rsid w:val="000F4391"/>
    <w:rsid w:val="000F5E7C"/>
    <w:rsid w:val="000F660B"/>
    <w:rsid w:val="000F67F7"/>
    <w:rsid w:val="000F6925"/>
    <w:rsid w:val="001000A6"/>
    <w:rsid w:val="00100323"/>
    <w:rsid w:val="00100B51"/>
    <w:rsid w:val="00100BAC"/>
    <w:rsid w:val="00101598"/>
    <w:rsid w:val="00101AE4"/>
    <w:rsid w:val="00101F93"/>
    <w:rsid w:val="0010221F"/>
    <w:rsid w:val="0010269A"/>
    <w:rsid w:val="00102837"/>
    <w:rsid w:val="0010302E"/>
    <w:rsid w:val="001033F0"/>
    <w:rsid w:val="001044C5"/>
    <w:rsid w:val="001054D7"/>
    <w:rsid w:val="0010574A"/>
    <w:rsid w:val="00105C15"/>
    <w:rsid w:val="00105F7B"/>
    <w:rsid w:val="001064B2"/>
    <w:rsid w:val="001064B3"/>
    <w:rsid w:val="001074D0"/>
    <w:rsid w:val="00107889"/>
    <w:rsid w:val="001079A6"/>
    <w:rsid w:val="00107C76"/>
    <w:rsid w:val="00110F07"/>
    <w:rsid w:val="0011190D"/>
    <w:rsid w:val="00111977"/>
    <w:rsid w:val="00111990"/>
    <w:rsid w:val="00112ABC"/>
    <w:rsid w:val="00113AB4"/>
    <w:rsid w:val="00113CFA"/>
    <w:rsid w:val="00114067"/>
    <w:rsid w:val="0011423D"/>
    <w:rsid w:val="001143BE"/>
    <w:rsid w:val="00114929"/>
    <w:rsid w:val="001149E7"/>
    <w:rsid w:val="00114A86"/>
    <w:rsid w:val="00115D62"/>
    <w:rsid w:val="001161CE"/>
    <w:rsid w:val="001162D6"/>
    <w:rsid w:val="00116334"/>
    <w:rsid w:val="00116913"/>
    <w:rsid w:val="00116E77"/>
    <w:rsid w:val="00117755"/>
    <w:rsid w:val="00117D38"/>
    <w:rsid w:val="00120390"/>
    <w:rsid w:val="001203FD"/>
    <w:rsid w:val="001206CE"/>
    <w:rsid w:val="00121240"/>
    <w:rsid w:val="0012126B"/>
    <w:rsid w:val="001216F2"/>
    <w:rsid w:val="001224C2"/>
    <w:rsid w:val="00122638"/>
    <w:rsid w:val="001226A2"/>
    <w:rsid w:val="00122711"/>
    <w:rsid w:val="001229D1"/>
    <w:rsid w:val="00122C77"/>
    <w:rsid w:val="00122F5C"/>
    <w:rsid w:val="00123EB4"/>
    <w:rsid w:val="0012494C"/>
    <w:rsid w:val="00124F62"/>
    <w:rsid w:val="001255DC"/>
    <w:rsid w:val="00126915"/>
    <w:rsid w:val="00126EFA"/>
    <w:rsid w:val="00127F5D"/>
    <w:rsid w:val="0013054A"/>
    <w:rsid w:val="00130A33"/>
    <w:rsid w:val="00130AAC"/>
    <w:rsid w:val="00131479"/>
    <w:rsid w:val="0013213E"/>
    <w:rsid w:val="001325D6"/>
    <w:rsid w:val="001327F2"/>
    <w:rsid w:val="001335B2"/>
    <w:rsid w:val="001339E7"/>
    <w:rsid w:val="00133D35"/>
    <w:rsid w:val="00133FC6"/>
    <w:rsid w:val="00134B62"/>
    <w:rsid w:val="00134E06"/>
    <w:rsid w:val="001353DB"/>
    <w:rsid w:val="00135553"/>
    <w:rsid w:val="00135E68"/>
    <w:rsid w:val="00136028"/>
    <w:rsid w:val="00136739"/>
    <w:rsid w:val="001368FD"/>
    <w:rsid w:val="0013691A"/>
    <w:rsid w:val="00137369"/>
    <w:rsid w:val="001378FF"/>
    <w:rsid w:val="00137931"/>
    <w:rsid w:val="00137954"/>
    <w:rsid w:val="00137AE1"/>
    <w:rsid w:val="001402BD"/>
    <w:rsid w:val="00140529"/>
    <w:rsid w:val="00140F2F"/>
    <w:rsid w:val="001413B6"/>
    <w:rsid w:val="00141430"/>
    <w:rsid w:val="0014193B"/>
    <w:rsid w:val="00141C55"/>
    <w:rsid w:val="00142A1B"/>
    <w:rsid w:val="00142B70"/>
    <w:rsid w:val="0014330C"/>
    <w:rsid w:val="001445FD"/>
    <w:rsid w:val="00144E6F"/>
    <w:rsid w:val="00144FC1"/>
    <w:rsid w:val="00147332"/>
    <w:rsid w:val="00147777"/>
    <w:rsid w:val="00150282"/>
    <w:rsid w:val="0015078B"/>
    <w:rsid w:val="001509FA"/>
    <w:rsid w:val="00150D11"/>
    <w:rsid w:val="00151545"/>
    <w:rsid w:val="00153886"/>
    <w:rsid w:val="001546F4"/>
    <w:rsid w:val="00154B93"/>
    <w:rsid w:val="0015515C"/>
    <w:rsid w:val="001553D2"/>
    <w:rsid w:val="00155634"/>
    <w:rsid w:val="00155790"/>
    <w:rsid w:val="001568C2"/>
    <w:rsid w:val="001568E7"/>
    <w:rsid w:val="00156A1A"/>
    <w:rsid w:val="00157E69"/>
    <w:rsid w:val="001606EF"/>
    <w:rsid w:val="00160C2B"/>
    <w:rsid w:val="001619D9"/>
    <w:rsid w:val="00161D11"/>
    <w:rsid w:val="00161EE7"/>
    <w:rsid w:val="0016253F"/>
    <w:rsid w:val="00162599"/>
    <w:rsid w:val="0016284D"/>
    <w:rsid w:val="00162DF5"/>
    <w:rsid w:val="00163C82"/>
    <w:rsid w:val="00163C9C"/>
    <w:rsid w:val="00163ED8"/>
    <w:rsid w:val="001641BB"/>
    <w:rsid w:val="001645ED"/>
    <w:rsid w:val="00164905"/>
    <w:rsid w:val="00164D42"/>
    <w:rsid w:val="00164F1C"/>
    <w:rsid w:val="001653DC"/>
    <w:rsid w:val="00165F1F"/>
    <w:rsid w:val="00166302"/>
    <w:rsid w:val="00166704"/>
    <w:rsid w:val="00166A02"/>
    <w:rsid w:val="00166A8E"/>
    <w:rsid w:val="0016708F"/>
    <w:rsid w:val="001671A4"/>
    <w:rsid w:val="00170784"/>
    <w:rsid w:val="00171277"/>
    <w:rsid w:val="00171B6A"/>
    <w:rsid w:val="00171F0C"/>
    <w:rsid w:val="00171F8F"/>
    <w:rsid w:val="001722D8"/>
    <w:rsid w:val="001723F7"/>
    <w:rsid w:val="001724BF"/>
    <w:rsid w:val="00172524"/>
    <w:rsid w:val="00172A72"/>
    <w:rsid w:val="00172C51"/>
    <w:rsid w:val="0017348B"/>
    <w:rsid w:val="001735B4"/>
    <w:rsid w:val="001737B0"/>
    <w:rsid w:val="0017446B"/>
    <w:rsid w:val="00174485"/>
    <w:rsid w:val="00176425"/>
    <w:rsid w:val="00176475"/>
    <w:rsid w:val="00177C99"/>
    <w:rsid w:val="00177DC5"/>
    <w:rsid w:val="001808CB"/>
    <w:rsid w:val="00180B35"/>
    <w:rsid w:val="00180CEE"/>
    <w:rsid w:val="001820A9"/>
    <w:rsid w:val="00183836"/>
    <w:rsid w:val="00183B0A"/>
    <w:rsid w:val="00183FF9"/>
    <w:rsid w:val="00184208"/>
    <w:rsid w:val="00184CE2"/>
    <w:rsid w:val="00184D36"/>
    <w:rsid w:val="00185AC8"/>
    <w:rsid w:val="00186E82"/>
    <w:rsid w:val="00186EB7"/>
    <w:rsid w:val="00187781"/>
    <w:rsid w:val="00190021"/>
    <w:rsid w:val="001903BA"/>
    <w:rsid w:val="0019086B"/>
    <w:rsid w:val="001914F5"/>
    <w:rsid w:val="00191A20"/>
    <w:rsid w:val="001927A0"/>
    <w:rsid w:val="0019297D"/>
    <w:rsid w:val="00192B06"/>
    <w:rsid w:val="00193D4B"/>
    <w:rsid w:val="0019401E"/>
    <w:rsid w:val="0019467B"/>
    <w:rsid w:val="00194C2C"/>
    <w:rsid w:val="00194D14"/>
    <w:rsid w:val="00195338"/>
    <w:rsid w:val="0019569D"/>
    <w:rsid w:val="001956FB"/>
    <w:rsid w:val="001957A6"/>
    <w:rsid w:val="00195BFA"/>
    <w:rsid w:val="00195C62"/>
    <w:rsid w:val="00195EBB"/>
    <w:rsid w:val="00195FBF"/>
    <w:rsid w:val="0019677B"/>
    <w:rsid w:val="00196D81"/>
    <w:rsid w:val="00197F3D"/>
    <w:rsid w:val="001A02DF"/>
    <w:rsid w:val="001A0336"/>
    <w:rsid w:val="001A0497"/>
    <w:rsid w:val="001A1BFB"/>
    <w:rsid w:val="001A3782"/>
    <w:rsid w:val="001A3D08"/>
    <w:rsid w:val="001A475B"/>
    <w:rsid w:val="001A48C5"/>
    <w:rsid w:val="001A4A53"/>
    <w:rsid w:val="001A4B6E"/>
    <w:rsid w:val="001A646B"/>
    <w:rsid w:val="001A6C13"/>
    <w:rsid w:val="001A7BF0"/>
    <w:rsid w:val="001A7D6B"/>
    <w:rsid w:val="001A7FF0"/>
    <w:rsid w:val="001B036F"/>
    <w:rsid w:val="001B11CB"/>
    <w:rsid w:val="001B12AA"/>
    <w:rsid w:val="001B1A43"/>
    <w:rsid w:val="001B224B"/>
    <w:rsid w:val="001B36C5"/>
    <w:rsid w:val="001B3812"/>
    <w:rsid w:val="001B407F"/>
    <w:rsid w:val="001B4240"/>
    <w:rsid w:val="001B482B"/>
    <w:rsid w:val="001B4DEE"/>
    <w:rsid w:val="001B4FB4"/>
    <w:rsid w:val="001B63F0"/>
    <w:rsid w:val="001B69C9"/>
    <w:rsid w:val="001B6BFD"/>
    <w:rsid w:val="001B6C09"/>
    <w:rsid w:val="001B6E66"/>
    <w:rsid w:val="001B7002"/>
    <w:rsid w:val="001B705C"/>
    <w:rsid w:val="001B7714"/>
    <w:rsid w:val="001B7A1C"/>
    <w:rsid w:val="001C0A0C"/>
    <w:rsid w:val="001C198F"/>
    <w:rsid w:val="001C214D"/>
    <w:rsid w:val="001C22BB"/>
    <w:rsid w:val="001C27F1"/>
    <w:rsid w:val="001C2E5A"/>
    <w:rsid w:val="001C35AA"/>
    <w:rsid w:val="001C37C8"/>
    <w:rsid w:val="001C3CED"/>
    <w:rsid w:val="001C400A"/>
    <w:rsid w:val="001C413A"/>
    <w:rsid w:val="001C497A"/>
    <w:rsid w:val="001C4D20"/>
    <w:rsid w:val="001C644C"/>
    <w:rsid w:val="001C6497"/>
    <w:rsid w:val="001C6632"/>
    <w:rsid w:val="001C6E0D"/>
    <w:rsid w:val="001C6E34"/>
    <w:rsid w:val="001D02E9"/>
    <w:rsid w:val="001D03E0"/>
    <w:rsid w:val="001D08A7"/>
    <w:rsid w:val="001D0A0B"/>
    <w:rsid w:val="001D1110"/>
    <w:rsid w:val="001D1288"/>
    <w:rsid w:val="001D1C26"/>
    <w:rsid w:val="001D2308"/>
    <w:rsid w:val="001D2913"/>
    <w:rsid w:val="001D42AE"/>
    <w:rsid w:val="001D4531"/>
    <w:rsid w:val="001D50B1"/>
    <w:rsid w:val="001D5761"/>
    <w:rsid w:val="001D596D"/>
    <w:rsid w:val="001D621E"/>
    <w:rsid w:val="001D679A"/>
    <w:rsid w:val="001D6D94"/>
    <w:rsid w:val="001D79F8"/>
    <w:rsid w:val="001D7DD1"/>
    <w:rsid w:val="001D7F06"/>
    <w:rsid w:val="001E0446"/>
    <w:rsid w:val="001E088E"/>
    <w:rsid w:val="001E0AA2"/>
    <w:rsid w:val="001E0BB5"/>
    <w:rsid w:val="001E0E5B"/>
    <w:rsid w:val="001E14CA"/>
    <w:rsid w:val="001E15C4"/>
    <w:rsid w:val="001E1C60"/>
    <w:rsid w:val="001E2078"/>
    <w:rsid w:val="001E24EA"/>
    <w:rsid w:val="001E254D"/>
    <w:rsid w:val="001E26BE"/>
    <w:rsid w:val="001E46EA"/>
    <w:rsid w:val="001E5535"/>
    <w:rsid w:val="001E5CC8"/>
    <w:rsid w:val="001E5E8F"/>
    <w:rsid w:val="001E6FDE"/>
    <w:rsid w:val="001E76CA"/>
    <w:rsid w:val="001E77CA"/>
    <w:rsid w:val="001E7CED"/>
    <w:rsid w:val="001F105E"/>
    <w:rsid w:val="001F1230"/>
    <w:rsid w:val="001F1243"/>
    <w:rsid w:val="001F172D"/>
    <w:rsid w:val="001F2CD2"/>
    <w:rsid w:val="001F32A5"/>
    <w:rsid w:val="001F3668"/>
    <w:rsid w:val="001F3952"/>
    <w:rsid w:val="001F3BFE"/>
    <w:rsid w:val="001F3CD7"/>
    <w:rsid w:val="001F4030"/>
    <w:rsid w:val="001F4856"/>
    <w:rsid w:val="001F4BCD"/>
    <w:rsid w:val="001F4EA7"/>
    <w:rsid w:val="001F5F5D"/>
    <w:rsid w:val="001F5FD1"/>
    <w:rsid w:val="001F613E"/>
    <w:rsid w:val="001F63AA"/>
    <w:rsid w:val="001F657E"/>
    <w:rsid w:val="001F65E6"/>
    <w:rsid w:val="001F6657"/>
    <w:rsid w:val="001F702D"/>
    <w:rsid w:val="00200264"/>
    <w:rsid w:val="00200B99"/>
    <w:rsid w:val="00200BE3"/>
    <w:rsid w:val="00201493"/>
    <w:rsid w:val="002018B0"/>
    <w:rsid w:val="002020B8"/>
    <w:rsid w:val="00202872"/>
    <w:rsid w:val="00202A44"/>
    <w:rsid w:val="00203E21"/>
    <w:rsid w:val="0020470F"/>
    <w:rsid w:val="00205C85"/>
    <w:rsid w:val="00207CB8"/>
    <w:rsid w:val="0021088D"/>
    <w:rsid w:val="002118EF"/>
    <w:rsid w:val="00211A76"/>
    <w:rsid w:val="00212118"/>
    <w:rsid w:val="002125AC"/>
    <w:rsid w:val="00212B9D"/>
    <w:rsid w:val="00212F77"/>
    <w:rsid w:val="0021327C"/>
    <w:rsid w:val="002141B3"/>
    <w:rsid w:val="00214B78"/>
    <w:rsid w:val="00215318"/>
    <w:rsid w:val="0021581A"/>
    <w:rsid w:val="002160E8"/>
    <w:rsid w:val="0021611C"/>
    <w:rsid w:val="002167BA"/>
    <w:rsid w:val="00216936"/>
    <w:rsid w:val="00216CDA"/>
    <w:rsid w:val="00217262"/>
    <w:rsid w:val="002173E8"/>
    <w:rsid w:val="00217AD7"/>
    <w:rsid w:val="002202E4"/>
    <w:rsid w:val="002206CD"/>
    <w:rsid w:val="00220770"/>
    <w:rsid w:val="0022091F"/>
    <w:rsid w:val="002214A4"/>
    <w:rsid w:val="00221B11"/>
    <w:rsid w:val="00221E50"/>
    <w:rsid w:val="002232E0"/>
    <w:rsid w:val="002241EC"/>
    <w:rsid w:val="00224486"/>
    <w:rsid w:val="00225D68"/>
    <w:rsid w:val="00225F26"/>
    <w:rsid w:val="00226CD4"/>
    <w:rsid w:val="00227C32"/>
    <w:rsid w:val="00227D07"/>
    <w:rsid w:val="00227D8C"/>
    <w:rsid w:val="002308B8"/>
    <w:rsid w:val="00230B3E"/>
    <w:rsid w:val="00230DC7"/>
    <w:rsid w:val="002310C2"/>
    <w:rsid w:val="002312D9"/>
    <w:rsid w:val="0023135B"/>
    <w:rsid w:val="00232075"/>
    <w:rsid w:val="00232859"/>
    <w:rsid w:val="002328C9"/>
    <w:rsid w:val="00233036"/>
    <w:rsid w:val="002342A5"/>
    <w:rsid w:val="00234F18"/>
    <w:rsid w:val="0023550A"/>
    <w:rsid w:val="002363B6"/>
    <w:rsid w:val="002363DE"/>
    <w:rsid w:val="0023663C"/>
    <w:rsid w:val="00236A0B"/>
    <w:rsid w:val="002377AD"/>
    <w:rsid w:val="00237934"/>
    <w:rsid w:val="002408CE"/>
    <w:rsid w:val="00241805"/>
    <w:rsid w:val="00241CF6"/>
    <w:rsid w:val="00241E1A"/>
    <w:rsid w:val="00242BD8"/>
    <w:rsid w:val="0024343D"/>
    <w:rsid w:val="002435BA"/>
    <w:rsid w:val="0024423A"/>
    <w:rsid w:val="0024427A"/>
    <w:rsid w:val="00244668"/>
    <w:rsid w:val="0024473A"/>
    <w:rsid w:val="00244B10"/>
    <w:rsid w:val="002450AC"/>
    <w:rsid w:val="0024621D"/>
    <w:rsid w:val="00246749"/>
    <w:rsid w:val="00246D45"/>
    <w:rsid w:val="00247960"/>
    <w:rsid w:val="00250446"/>
    <w:rsid w:val="00251D90"/>
    <w:rsid w:val="00252FC3"/>
    <w:rsid w:val="00253B37"/>
    <w:rsid w:val="00254627"/>
    <w:rsid w:val="00254934"/>
    <w:rsid w:val="00254C99"/>
    <w:rsid w:val="00254E4F"/>
    <w:rsid w:val="00255986"/>
    <w:rsid w:val="00255B82"/>
    <w:rsid w:val="002560CB"/>
    <w:rsid w:val="0025658C"/>
    <w:rsid w:val="00256884"/>
    <w:rsid w:val="002573EC"/>
    <w:rsid w:val="00257607"/>
    <w:rsid w:val="00257645"/>
    <w:rsid w:val="00257692"/>
    <w:rsid w:val="002579E8"/>
    <w:rsid w:val="00257B10"/>
    <w:rsid w:val="002616B1"/>
    <w:rsid w:val="00261B49"/>
    <w:rsid w:val="00261ED1"/>
    <w:rsid w:val="00261F18"/>
    <w:rsid w:val="00261F1F"/>
    <w:rsid w:val="00262542"/>
    <w:rsid w:val="00262788"/>
    <w:rsid w:val="002628E0"/>
    <w:rsid w:val="00263400"/>
    <w:rsid w:val="00263A97"/>
    <w:rsid w:val="00263D2D"/>
    <w:rsid w:val="00263E61"/>
    <w:rsid w:val="00264741"/>
    <w:rsid w:val="00264A1C"/>
    <w:rsid w:val="00264CC2"/>
    <w:rsid w:val="00265918"/>
    <w:rsid w:val="00266055"/>
    <w:rsid w:val="00266C92"/>
    <w:rsid w:val="00266E0D"/>
    <w:rsid w:val="00267761"/>
    <w:rsid w:val="0026780D"/>
    <w:rsid w:val="00267CC2"/>
    <w:rsid w:val="00270191"/>
    <w:rsid w:val="00270B22"/>
    <w:rsid w:val="00271470"/>
    <w:rsid w:val="002719A6"/>
    <w:rsid w:val="00272028"/>
    <w:rsid w:val="0027248A"/>
    <w:rsid w:val="002729AA"/>
    <w:rsid w:val="00272A21"/>
    <w:rsid w:val="00273455"/>
    <w:rsid w:val="002736DF"/>
    <w:rsid w:val="00273F48"/>
    <w:rsid w:val="002746CA"/>
    <w:rsid w:val="00275A36"/>
    <w:rsid w:val="00276072"/>
    <w:rsid w:val="002761F8"/>
    <w:rsid w:val="00276F02"/>
    <w:rsid w:val="00277A12"/>
    <w:rsid w:val="00277ABE"/>
    <w:rsid w:val="00277F97"/>
    <w:rsid w:val="002802F8"/>
    <w:rsid w:val="0028039E"/>
    <w:rsid w:val="00282944"/>
    <w:rsid w:val="0028322A"/>
    <w:rsid w:val="002838F8"/>
    <w:rsid w:val="00283C3E"/>
    <w:rsid w:val="0028407C"/>
    <w:rsid w:val="00284BD9"/>
    <w:rsid w:val="002854F4"/>
    <w:rsid w:val="00285506"/>
    <w:rsid w:val="0028633D"/>
    <w:rsid w:val="0028638D"/>
    <w:rsid w:val="002866FD"/>
    <w:rsid w:val="00286875"/>
    <w:rsid w:val="00287778"/>
    <w:rsid w:val="00287930"/>
    <w:rsid w:val="00292E5E"/>
    <w:rsid w:val="00294573"/>
    <w:rsid w:val="002949A9"/>
    <w:rsid w:val="00294DE2"/>
    <w:rsid w:val="00295C94"/>
    <w:rsid w:val="00295D83"/>
    <w:rsid w:val="0029604B"/>
    <w:rsid w:val="00297239"/>
    <w:rsid w:val="00297C42"/>
    <w:rsid w:val="00297FA6"/>
    <w:rsid w:val="002A0A55"/>
    <w:rsid w:val="002A2181"/>
    <w:rsid w:val="002A23D3"/>
    <w:rsid w:val="002A2406"/>
    <w:rsid w:val="002A2E04"/>
    <w:rsid w:val="002A3B29"/>
    <w:rsid w:val="002A43F4"/>
    <w:rsid w:val="002A4D83"/>
    <w:rsid w:val="002A5144"/>
    <w:rsid w:val="002A540E"/>
    <w:rsid w:val="002A5E03"/>
    <w:rsid w:val="002A5F05"/>
    <w:rsid w:val="002A5F74"/>
    <w:rsid w:val="002A603B"/>
    <w:rsid w:val="002A6908"/>
    <w:rsid w:val="002A6A6E"/>
    <w:rsid w:val="002A757F"/>
    <w:rsid w:val="002A761F"/>
    <w:rsid w:val="002A7798"/>
    <w:rsid w:val="002A7875"/>
    <w:rsid w:val="002A7B2E"/>
    <w:rsid w:val="002B0433"/>
    <w:rsid w:val="002B05E5"/>
    <w:rsid w:val="002B1016"/>
    <w:rsid w:val="002B2889"/>
    <w:rsid w:val="002B2924"/>
    <w:rsid w:val="002B2C99"/>
    <w:rsid w:val="002B31F6"/>
    <w:rsid w:val="002B3757"/>
    <w:rsid w:val="002B46F4"/>
    <w:rsid w:val="002B4EFF"/>
    <w:rsid w:val="002B568F"/>
    <w:rsid w:val="002B574C"/>
    <w:rsid w:val="002B57DE"/>
    <w:rsid w:val="002B5FA8"/>
    <w:rsid w:val="002B6715"/>
    <w:rsid w:val="002B67B2"/>
    <w:rsid w:val="002B6ADE"/>
    <w:rsid w:val="002B6B64"/>
    <w:rsid w:val="002B7795"/>
    <w:rsid w:val="002C0089"/>
    <w:rsid w:val="002C0107"/>
    <w:rsid w:val="002C0586"/>
    <w:rsid w:val="002C0A3D"/>
    <w:rsid w:val="002C119B"/>
    <w:rsid w:val="002C1664"/>
    <w:rsid w:val="002C18B7"/>
    <w:rsid w:val="002C2803"/>
    <w:rsid w:val="002C35E8"/>
    <w:rsid w:val="002C4AF7"/>
    <w:rsid w:val="002C4C77"/>
    <w:rsid w:val="002C5B99"/>
    <w:rsid w:val="002C6569"/>
    <w:rsid w:val="002C6D53"/>
    <w:rsid w:val="002C7398"/>
    <w:rsid w:val="002C7E0A"/>
    <w:rsid w:val="002C7F38"/>
    <w:rsid w:val="002C7F50"/>
    <w:rsid w:val="002D0082"/>
    <w:rsid w:val="002D00C1"/>
    <w:rsid w:val="002D086C"/>
    <w:rsid w:val="002D091F"/>
    <w:rsid w:val="002D0B15"/>
    <w:rsid w:val="002D179C"/>
    <w:rsid w:val="002D191D"/>
    <w:rsid w:val="002D1CA4"/>
    <w:rsid w:val="002D1ECD"/>
    <w:rsid w:val="002D259A"/>
    <w:rsid w:val="002D2807"/>
    <w:rsid w:val="002D2909"/>
    <w:rsid w:val="002D2DF4"/>
    <w:rsid w:val="002D2F05"/>
    <w:rsid w:val="002D2FC5"/>
    <w:rsid w:val="002D3812"/>
    <w:rsid w:val="002D3F1A"/>
    <w:rsid w:val="002D4B82"/>
    <w:rsid w:val="002D4F26"/>
    <w:rsid w:val="002D56EC"/>
    <w:rsid w:val="002D5ECF"/>
    <w:rsid w:val="002D6248"/>
    <w:rsid w:val="002D63A3"/>
    <w:rsid w:val="002D6CE5"/>
    <w:rsid w:val="002D7E9D"/>
    <w:rsid w:val="002E00AD"/>
    <w:rsid w:val="002E0B0A"/>
    <w:rsid w:val="002E0E05"/>
    <w:rsid w:val="002E0ECD"/>
    <w:rsid w:val="002E110D"/>
    <w:rsid w:val="002E1412"/>
    <w:rsid w:val="002E1707"/>
    <w:rsid w:val="002E1928"/>
    <w:rsid w:val="002E1D63"/>
    <w:rsid w:val="002E1DB5"/>
    <w:rsid w:val="002E2996"/>
    <w:rsid w:val="002E37D0"/>
    <w:rsid w:val="002E42D2"/>
    <w:rsid w:val="002E455C"/>
    <w:rsid w:val="002E5029"/>
    <w:rsid w:val="002E573E"/>
    <w:rsid w:val="002E5853"/>
    <w:rsid w:val="002E78D1"/>
    <w:rsid w:val="002E7A58"/>
    <w:rsid w:val="002F0560"/>
    <w:rsid w:val="002F0D65"/>
    <w:rsid w:val="002F0EBD"/>
    <w:rsid w:val="002F0F4E"/>
    <w:rsid w:val="002F0FAF"/>
    <w:rsid w:val="002F137C"/>
    <w:rsid w:val="002F1C13"/>
    <w:rsid w:val="002F1F98"/>
    <w:rsid w:val="002F330F"/>
    <w:rsid w:val="002F35CB"/>
    <w:rsid w:val="002F3A2D"/>
    <w:rsid w:val="002F3AAF"/>
    <w:rsid w:val="002F4271"/>
    <w:rsid w:val="002F49FD"/>
    <w:rsid w:val="002F4B28"/>
    <w:rsid w:val="002F4B8E"/>
    <w:rsid w:val="002F4CCC"/>
    <w:rsid w:val="002F679C"/>
    <w:rsid w:val="002F740D"/>
    <w:rsid w:val="0030018E"/>
    <w:rsid w:val="00301044"/>
    <w:rsid w:val="003013FE"/>
    <w:rsid w:val="00301D76"/>
    <w:rsid w:val="003023EB"/>
    <w:rsid w:val="0030246A"/>
    <w:rsid w:val="00302AC8"/>
    <w:rsid w:val="0030307A"/>
    <w:rsid w:val="00303F86"/>
    <w:rsid w:val="003042F1"/>
    <w:rsid w:val="00304D1F"/>
    <w:rsid w:val="00305F09"/>
    <w:rsid w:val="003066C9"/>
    <w:rsid w:val="003071B8"/>
    <w:rsid w:val="003077C3"/>
    <w:rsid w:val="00307A40"/>
    <w:rsid w:val="00307D67"/>
    <w:rsid w:val="0031056B"/>
    <w:rsid w:val="00310D28"/>
    <w:rsid w:val="003113AD"/>
    <w:rsid w:val="00311740"/>
    <w:rsid w:val="00312171"/>
    <w:rsid w:val="00312250"/>
    <w:rsid w:val="003123C6"/>
    <w:rsid w:val="00312545"/>
    <w:rsid w:val="00312606"/>
    <w:rsid w:val="0031282E"/>
    <w:rsid w:val="00312E33"/>
    <w:rsid w:val="00312E4A"/>
    <w:rsid w:val="00313874"/>
    <w:rsid w:val="00313964"/>
    <w:rsid w:val="00313CFA"/>
    <w:rsid w:val="003146AF"/>
    <w:rsid w:val="003146E1"/>
    <w:rsid w:val="003148EB"/>
    <w:rsid w:val="0031531D"/>
    <w:rsid w:val="00316099"/>
    <w:rsid w:val="00316ACD"/>
    <w:rsid w:val="00316BAB"/>
    <w:rsid w:val="003171C5"/>
    <w:rsid w:val="0032076B"/>
    <w:rsid w:val="00320D9D"/>
    <w:rsid w:val="00321340"/>
    <w:rsid w:val="003219B9"/>
    <w:rsid w:val="003221BE"/>
    <w:rsid w:val="003224EF"/>
    <w:rsid w:val="003230AC"/>
    <w:rsid w:val="00323A7B"/>
    <w:rsid w:val="00323AB3"/>
    <w:rsid w:val="00323C99"/>
    <w:rsid w:val="00323CC4"/>
    <w:rsid w:val="00323CF5"/>
    <w:rsid w:val="00324746"/>
    <w:rsid w:val="00324B75"/>
    <w:rsid w:val="0032510B"/>
    <w:rsid w:val="003252FD"/>
    <w:rsid w:val="00325448"/>
    <w:rsid w:val="003256FA"/>
    <w:rsid w:val="0032587C"/>
    <w:rsid w:val="00325ACC"/>
    <w:rsid w:val="00325D18"/>
    <w:rsid w:val="00325FBE"/>
    <w:rsid w:val="003260F9"/>
    <w:rsid w:val="00326730"/>
    <w:rsid w:val="00326756"/>
    <w:rsid w:val="00326972"/>
    <w:rsid w:val="00326B90"/>
    <w:rsid w:val="00327907"/>
    <w:rsid w:val="00327A0D"/>
    <w:rsid w:val="00327A61"/>
    <w:rsid w:val="00327EF9"/>
    <w:rsid w:val="0033019F"/>
    <w:rsid w:val="003303EA"/>
    <w:rsid w:val="0033066F"/>
    <w:rsid w:val="00330C2C"/>
    <w:rsid w:val="003319A6"/>
    <w:rsid w:val="00331DF9"/>
    <w:rsid w:val="00331E06"/>
    <w:rsid w:val="00331E4D"/>
    <w:rsid w:val="00332591"/>
    <w:rsid w:val="00333739"/>
    <w:rsid w:val="0033460A"/>
    <w:rsid w:val="00335AFA"/>
    <w:rsid w:val="003360AC"/>
    <w:rsid w:val="003366AE"/>
    <w:rsid w:val="003377C4"/>
    <w:rsid w:val="0033795F"/>
    <w:rsid w:val="00337F10"/>
    <w:rsid w:val="003400FA"/>
    <w:rsid w:val="0034038E"/>
    <w:rsid w:val="003404FD"/>
    <w:rsid w:val="0034152F"/>
    <w:rsid w:val="00341EFA"/>
    <w:rsid w:val="00342585"/>
    <w:rsid w:val="00342853"/>
    <w:rsid w:val="003444EA"/>
    <w:rsid w:val="00344B50"/>
    <w:rsid w:val="0034640B"/>
    <w:rsid w:val="0034691F"/>
    <w:rsid w:val="00346F2B"/>
    <w:rsid w:val="00350193"/>
    <w:rsid w:val="00350783"/>
    <w:rsid w:val="00350B7B"/>
    <w:rsid w:val="0035185F"/>
    <w:rsid w:val="00351985"/>
    <w:rsid w:val="00351A87"/>
    <w:rsid w:val="0035247F"/>
    <w:rsid w:val="003535B9"/>
    <w:rsid w:val="00353631"/>
    <w:rsid w:val="0035450C"/>
    <w:rsid w:val="003555CF"/>
    <w:rsid w:val="00355C88"/>
    <w:rsid w:val="0035657C"/>
    <w:rsid w:val="003565E6"/>
    <w:rsid w:val="00356773"/>
    <w:rsid w:val="00356F24"/>
    <w:rsid w:val="0035739C"/>
    <w:rsid w:val="00360E36"/>
    <w:rsid w:val="00360FDE"/>
    <w:rsid w:val="00361A27"/>
    <w:rsid w:val="00362148"/>
    <w:rsid w:val="0036238C"/>
    <w:rsid w:val="00362468"/>
    <w:rsid w:val="0036268A"/>
    <w:rsid w:val="003637FB"/>
    <w:rsid w:val="0036409D"/>
    <w:rsid w:val="00364E34"/>
    <w:rsid w:val="0036532C"/>
    <w:rsid w:val="00366625"/>
    <w:rsid w:val="00366FF2"/>
    <w:rsid w:val="0036799D"/>
    <w:rsid w:val="003707EF"/>
    <w:rsid w:val="00370C3A"/>
    <w:rsid w:val="00370CD9"/>
    <w:rsid w:val="00370DC5"/>
    <w:rsid w:val="00371B73"/>
    <w:rsid w:val="00371F59"/>
    <w:rsid w:val="003725E2"/>
    <w:rsid w:val="003728AD"/>
    <w:rsid w:val="00372BE8"/>
    <w:rsid w:val="00372C0C"/>
    <w:rsid w:val="00374729"/>
    <w:rsid w:val="003749D5"/>
    <w:rsid w:val="003751F1"/>
    <w:rsid w:val="00375B00"/>
    <w:rsid w:val="00375C4A"/>
    <w:rsid w:val="003764E1"/>
    <w:rsid w:val="00376F31"/>
    <w:rsid w:val="00377EF0"/>
    <w:rsid w:val="00380159"/>
    <w:rsid w:val="0038018E"/>
    <w:rsid w:val="003802F8"/>
    <w:rsid w:val="0038038A"/>
    <w:rsid w:val="003808B1"/>
    <w:rsid w:val="003809F0"/>
    <w:rsid w:val="00380E0F"/>
    <w:rsid w:val="00381030"/>
    <w:rsid w:val="003814BF"/>
    <w:rsid w:val="0038243C"/>
    <w:rsid w:val="0038256B"/>
    <w:rsid w:val="0038259E"/>
    <w:rsid w:val="003833D3"/>
    <w:rsid w:val="00383541"/>
    <w:rsid w:val="00383638"/>
    <w:rsid w:val="00383AFA"/>
    <w:rsid w:val="00384A6B"/>
    <w:rsid w:val="00384DDE"/>
    <w:rsid w:val="003854DA"/>
    <w:rsid w:val="00385C61"/>
    <w:rsid w:val="00385D03"/>
    <w:rsid w:val="0038709A"/>
    <w:rsid w:val="00387AA0"/>
    <w:rsid w:val="00390DD5"/>
    <w:rsid w:val="00392324"/>
    <w:rsid w:val="003925BC"/>
    <w:rsid w:val="00392AAB"/>
    <w:rsid w:val="00392C8E"/>
    <w:rsid w:val="003930EC"/>
    <w:rsid w:val="00393219"/>
    <w:rsid w:val="003941F4"/>
    <w:rsid w:val="003944F0"/>
    <w:rsid w:val="00394834"/>
    <w:rsid w:val="00394E56"/>
    <w:rsid w:val="003A04F4"/>
    <w:rsid w:val="003A1B32"/>
    <w:rsid w:val="003A256F"/>
    <w:rsid w:val="003A273B"/>
    <w:rsid w:val="003A2BCB"/>
    <w:rsid w:val="003A2D25"/>
    <w:rsid w:val="003A3291"/>
    <w:rsid w:val="003A3717"/>
    <w:rsid w:val="003A3975"/>
    <w:rsid w:val="003A39D0"/>
    <w:rsid w:val="003A4FF6"/>
    <w:rsid w:val="003A530E"/>
    <w:rsid w:val="003A55EA"/>
    <w:rsid w:val="003A7814"/>
    <w:rsid w:val="003B04BE"/>
    <w:rsid w:val="003B0D08"/>
    <w:rsid w:val="003B0E5E"/>
    <w:rsid w:val="003B167A"/>
    <w:rsid w:val="003B1806"/>
    <w:rsid w:val="003B1BFD"/>
    <w:rsid w:val="003B208C"/>
    <w:rsid w:val="003B2131"/>
    <w:rsid w:val="003B22D3"/>
    <w:rsid w:val="003B2538"/>
    <w:rsid w:val="003B3DAE"/>
    <w:rsid w:val="003B3E57"/>
    <w:rsid w:val="003B3E63"/>
    <w:rsid w:val="003B47AD"/>
    <w:rsid w:val="003B4D7F"/>
    <w:rsid w:val="003B573B"/>
    <w:rsid w:val="003B58EF"/>
    <w:rsid w:val="003B5F7C"/>
    <w:rsid w:val="003B611F"/>
    <w:rsid w:val="003B62C2"/>
    <w:rsid w:val="003B6507"/>
    <w:rsid w:val="003B6BF5"/>
    <w:rsid w:val="003B6CB2"/>
    <w:rsid w:val="003B711F"/>
    <w:rsid w:val="003B7C82"/>
    <w:rsid w:val="003B7D2D"/>
    <w:rsid w:val="003C007B"/>
    <w:rsid w:val="003C029E"/>
    <w:rsid w:val="003C1101"/>
    <w:rsid w:val="003C11DF"/>
    <w:rsid w:val="003C247C"/>
    <w:rsid w:val="003C2EE7"/>
    <w:rsid w:val="003C314C"/>
    <w:rsid w:val="003C3319"/>
    <w:rsid w:val="003C3577"/>
    <w:rsid w:val="003C40C7"/>
    <w:rsid w:val="003C44AB"/>
    <w:rsid w:val="003C475F"/>
    <w:rsid w:val="003C4E3B"/>
    <w:rsid w:val="003C533A"/>
    <w:rsid w:val="003C58FD"/>
    <w:rsid w:val="003C5928"/>
    <w:rsid w:val="003C596E"/>
    <w:rsid w:val="003C620C"/>
    <w:rsid w:val="003C679D"/>
    <w:rsid w:val="003C6E0F"/>
    <w:rsid w:val="003C6E95"/>
    <w:rsid w:val="003C7EB2"/>
    <w:rsid w:val="003D0316"/>
    <w:rsid w:val="003D0506"/>
    <w:rsid w:val="003D0D7F"/>
    <w:rsid w:val="003D1055"/>
    <w:rsid w:val="003D14CD"/>
    <w:rsid w:val="003D19D5"/>
    <w:rsid w:val="003D1B69"/>
    <w:rsid w:val="003D23DE"/>
    <w:rsid w:val="003D24A6"/>
    <w:rsid w:val="003D26C6"/>
    <w:rsid w:val="003D27A2"/>
    <w:rsid w:val="003D2B28"/>
    <w:rsid w:val="003D2BB7"/>
    <w:rsid w:val="003D3520"/>
    <w:rsid w:val="003D3EC3"/>
    <w:rsid w:val="003D4275"/>
    <w:rsid w:val="003D4C58"/>
    <w:rsid w:val="003D58A2"/>
    <w:rsid w:val="003D5C86"/>
    <w:rsid w:val="003D6398"/>
    <w:rsid w:val="003D698E"/>
    <w:rsid w:val="003D6D9C"/>
    <w:rsid w:val="003D72BC"/>
    <w:rsid w:val="003D7793"/>
    <w:rsid w:val="003E001C"/>
    <w:rsid w:val="003E108F"/>
    <w:rsid w:val="003E1B71"/>
    <w:rsid w:val="003E2524"/>
    <w:rsid w:val="003E253F"/>
    <w:rsid w:val="003E269D"/>
    <w:rsid w:val="003E2F28"/>
    <w:rsid w:val="003E33E2"/>
    <w:rsid w:val="003E3859"/>
    <w:rsid w:val="003E3B6E"/>
    <w:rsid w:val="003E3E0C"/>
    <w:rsid w:val="003E470A"/>
    <w:rsid w:val="003E5CD0"/>
    <w:rsid w:val="003E5EF9"/>
    <w:rsid w:val="003E77FD"/>
    <w:rsid w:val="003E7915"/>
    <w:rsid w:val="003E7AEE"/>
    <w:rsid w:val="003F0154"/>
    <w:rsid w:val="003F07BF"/>
    <w:rsid w:val="003F0A02"/>
    <w:rsid w:val="003F10DE"/>
    <w:rsid w:val="003F2175"/>
    <w:rsid w:val="003F2210"/>
    <w:rsid w:val="003F236B"/>
    <w:rsid w:val="003F29D1"/>
    <w:rsid w:val="003F35CF"/>
    <w:rsid w:val="003F45EB"/>
    <w:rsid w:val="003F4F6E"/>
    <w:rsid w:val="003F50C5"/>
    <w:rsid w:val="003F5630"/>
    <w:rsid w:val="003F587D"/>
    <w:rsid w:val="003F5EA5"/>
    <w:rsid w:val="003F67F8"/>
    <w:rsid w:val="003F7181"/>
    <w:rsid w:val="003F75A6"/>
    <w:rsid w:val="003F7B6B"/>
    <w:rsid w:val="003F7CF0"/>
    <w:rsid w:val="00400997"/>
    <w:rsid w:val="00400AF1"/>
    <w:rsid w:val="0040108E"/>
    <w:rsid w:val="00401929"/>
    <w:rsid w:val="00402351"/>
    <w:rsid w:val="00402EF4"/>
    <w:rsid w:val="00403354"/>
    <w:rsid w:val="00403472"/>
    <w:rsid w:val="00403C4F"/>
    <w:rsid w:val="00403CE7"/>
    <w:rsid w:val="00403FC6"/>
    <w:rsid w:val="00404402"/>
    <w:rsid w:val="004047A1"/>
    <w:rsid w:val="00404AB9"/>
    <w:rsid w:val="00404B14"/>
    <w:rsid w:val="00404D04"/>
    <w:rsid w:val="004052D1"/>
    <w:rsid w:val="00405803"/>
    <w:rsid w:val="004058DC"/>
    <w:rsid w:val="00405D80"/>
    <w:rsid w:val="00406612"/>
    <w:rsid w:val="004069F2"/>
    <w:rsid w:val="00407577"/>
    <w:rsid w:val="00407AA9"/>
    <w:rsid w:val="0041005D"/>
    <w:rsid w:val="0041014B"/>
    <w:rsid w:val="004105F4"/>
    <w:rsid w:val="00411318"/>
    <w:rsid w:val="00412C43"/>
    <w:rsid w:val="00412CE3"/>
    <w:rsid w:val="00414AA3"/>
    <w:rsid w:val="00415289"/>
    <w:rsid w:val="00415860"/>
    <w:rsid w:val="00415A3E"/>
    <w:rsid w:val="00415D23"/>
    <w:rsid w:val="00415FFF"/>
    <w:rsid w:val="00420295"/>
    <w:rsid w:val="0042035A"/>
    <w:rsid w:val="00420D61"/>
    <w:rsid w:val="004211B4"/>
    <w:rsid w:val="004215EF"/>
    <w:rsid w:val="00422DF1"/>
    <w:rsid w:val="00423156"/>
    <w:rsid w:val="004239A0"/>
    <w:rsid w:val="00423C59"/>
    <w:rsid w:val="00423E19"/>
    <w:rsid w:val="004241EC"/>
    <w:rsid w:val="0042426E"/>
    <w:rsid w:val="0042446F"/>
    <w:rsid w:val="00424670"/>
    <w:rsid w:val="00425536"/>
    <w:rsid w:val="00425E37"/>
    <w:rsid w:val="004271DC"/>
    <w:rsid w:val="00427A6C"/>
    <w:rsid w:val="00427BC3"/>
    <w:rsid w:val="0043215B"/>
    <w:rsid w:val="00432739"/>
    <w:rsid w:val="004327B1"/>
    <w:rsid w:val="0043281C"/>
    <w:rsid w:val="00432DDC"/>
    <w:rsid w:val="00433010"/>
    <w:rsid w:val="00433543"/>
    <w:rsid w:val="0043374C"/>
    <w:rsid w:val="00434240"/>
    <w:rsid w:val="004345D6"/>
    <w:rsid w:val="004351B7"/>
    <w:rsid w:val="004354F6"/>
    <w:rsid w:val="0043574A"/>
    <w:rsid w:val="00435881"/>
    <w:rsid w:val="004363F3"/>
    <w:rsid w:val="004369F5"/>
    <w:rsid w:val="004372E7"/>
    <w:rsid w:val="004376E6"/>
    <w:rsid w:val="00437981"/>
    <w:rsid w:val="00437BA9"/>
    <w:rsid w:val="004405FB"/>
    <w:rsid w:val="00441F85"/>
    <w:rsid w:val="00443304"/>
    <w:rsid w:val="0044377E"/>
    <w:rsid w:val="00443C39"/>
    <w:rsid w:val="00443D4D"/>
    <w:rsid w:val="00444743"/>
    <w:rsid w:val="00444E4E"/>
    <w:rsid w:val="0044726C"/>
    <w:rsid w:val="00447477"/>
    <w:rsid w:val="00451202"/>
    <w:rsid w:val="00451593"/>
    <w:rsid w:val="00451DC9"/>
    <w:rsid w:val="00452381"/>
    <w:rsid w:val="00452CEB"/>
    <w:rsid w:val="00452D58"/>
    <w:rsid w:val="00452E89"/>
    <w:rsid w:val="004537E2"/>
    <w:rsid w:val="00453B93"/>
    <w:rsid w:val="00453CB9"/>
    <w:rsid w:val="00453CEA"/>
    <w:rsid w:val="0045477A"/>
    <w:rsid w:val="00454891"/>
    <w:rsid w:val="00454AB2"/>
    <w:rsid w:val="0045597A"/>
    <w:rsid w:val="00456750"/>
    <w:rsid w:val="00456F37"/>
    <w:rsid w:val="00457396"/>
    <w:rsid w:val="00460353"/>
    <w:rsid w:val="004607E6"/>
    <w:rsid w:val="00460840"/>
    <w:rsid w:val="00460947"/>
    <w:rsid w:val="00460D45"/>
    <w:rsid w:val="00461612"/>
    <w:rsid w:val="0046162A"/>
    <w:rsid w:val="004622D9"/>
    <w:rsid w:val="004626E1"/>
    <w:rsid w:val="00462D98"/>
    <w:rsid w:val="00463387"/>
    <w:rsid w:val="004637ED"/>
    <w:rsid w:val="00463DFD"/>
    <w:rsid w:val="0046499F"/>
    <w:rsid w:val="004651CD"/>
    <w:rsid w:val="00465208"/>
    <w:rsid w:val="004652FC"/>
    <w:rsid w:val="004660DB"/>
    <w:rsid w:val="00466E2F"/>
    <w:rsid w:val="00467141"/>
    <w:rsid w:val="004671C9"/>
    <w:rsid w:val="00467913"/>
    <w:rsid w:val="00467B2E"/>
    <w:rsid w:val="00467D02"/>
    <w:rsid w:val="004705CF"/>
    <w:rsid w:val="004707D5"/>
    <w:rsid w:val="00470D46"/>
    <w:rsid w:val="004712DB"/>
    <w:rsid w:val="00473140"/>
    <w:rsid w:val="00474A46"/>
    <w:rsid w:val="004751B4"/>
    <w:rsid w:val="004752B8"/>
    <w:rsid w:val="0047535D"/>
    <w:rsid w:val="00475BF0"/>
    <w:rsid w:val="00475C8A"/>
    <w:rsid w:val="00475FFE"/>
    <w:rsid w:val="00476293"/>
    <w:rsid w:val="00476430"/>
    <w:rsid w:val="004771D6"/>
    <w:rsid w:val="00477CDE"/>
    <w:rsid w:val="00477CF6"/>
    <w:rsid w:val="00477F0B"/>
    <w:rsid w:val="00480F34"/>
    <w:rsid w:val="004823C9"/>
    <w:rsid w:val="00482C2C"/>
    <w:rsid w:val="00482DE2"/>
    <w:rsid w:val="0048446C"/>
    <w:rsid w:val="00484617"/>
    <w:rsid w:val="004847E6"/>
    <w:rsid w:val="00484988"/>
    <w:rsid w:val="004849C9"/>
    <w:rsid w:val="00484F65"/>
    <w:rsid w:val="00484FC5"/>
    <w:rsid w:val="00485BAA"/>
    <w:rsid w:val="00486BBE"/>
    <w:rsid w:val="00486CE3"/>
    <w:rsid w:val="00486D2F"/>
    <w:rsid w:val="004874B4"/>
    <w:rsid w:val="00490166"/>
    <w:rsid w:val="00491122"/>
    <w:rsid w:val="00491217"/>
    <w:rsid w:val="0049140A"/>
    <w:rsid w:val="0049191C"/>
    <w:rsid w:val="00492267"/>
    <w:rsid w:val="0049277D"/>
    <w:rsid w:val="004928CE"/>
    <w:rsid w:val="00492AB8"/>
    <w:rsid w:val="0049311C"/>
    <w:rsid w:val="00493907"/>
    <w:rsid w:val="00493D4A"/>
    <w:rsid w:val="00494025"/>
    <w:rsid w:val="00494919"/>
    <w:rsid w:val="00494C49"/>
    <w:rsid w:val="00494C61"/>
    <w:rsid w:val="00495797"/>
    <w:rsid w:val="004959B2"/>
    <w:rsid w:val="00495E5F"/>
    <w:rsid w:val="00496A06"/>
    <w:rsid w:val="00496A77"/>
    <w:rsid w:val="00496CED"/>
    <w:rsid w:val="00496EDC"/>
    <w:rsid w:val="00496FF6"/>
    <w:rsid w:val="004978FE"/>
    <w:rsid w:val="004A0CDD"/>
    <w:rsid w:val="004A1266"/>
    <w:rsid w:val="004A161D"/>
    <w:rsid w:val="004A1844"/>
    <w:rsid w:val="004A22CE"/>
    <w:rsid w:val="004A271B"/>
    <w:rsid w:val="004A2B88"/>
    <w:rsid w:val="004A2C0E"/>
    <w:rsid w:val="004A3002"/>
    <w:rsid w:val="004A316A"/>
    <w:rsid w:val="004A3CCE"/>
    <w:rsid w:val="004A42D4"/>
    <w:rsid w:val="004A4423"/>
    <w:rsid w:val="004A525D"/>
    <w:rsid w:val="004A6503"/>
    <w:rsid w:val="004A68F7"/>
    <w:rsid w:val="004B0219"/>
    <w:rsid w:val="004B13FA"/>
    <w:rsid w:val="004B170F"/>
    <w:rsid w:val="004B1E84"/>
    <w:rsid w:val="004B1F9B"/>
    <w:rsid w:val="004B2320"/>
    <w:rsid w:val="004B2991"/>
    <w:rsid w:val="004B3D4C"/>
    <w:rsid w:val="004B48E5"/>
    <w:rsid w:val="004B5214"/>
    <w:rsid w:val="004B5272"/>
    <w:rsid w:val="004B54A3"/>
    <w:rsid w:val="004B56DF"/>
    <w:rsid w:val="004B61E8"/>
    <w:rsid w:val="004B63FD"/>
    <w:rsid w:val="004B6842"/>
    <w:rsid w:val="004C0CF4"/>
    <w:rsid w:val="004C1314"/>
    <w:rsid w:val="004C13D3"/>
    <w:rsid w:val="004C1974"/>
    <w:rsid w:val="004C22F0"/>
    <w:rsid w:val="004C2300"/>
    <w:rsid w:val="004C4474"/>
    <w:rsid w:val="004C457F"/>
    <w:rsid w:val="004C5B2D"/>
    <w:rsid w:val="004C71CD"/>
    <w:rsid w:val="004C7322"/>
    <w:rsid w:val="004C735C"/>
    <w:rsid w:val="004C7804"/>
    <w:rsid w:val="004C783C"/>
    <w:rsid w:val="004D06AF"/>
    <w:rsid w:val="004D0749"/>
    <w:rsid w:val="004D091C"/>
    <w:rsid w:val="004D0982"/>
    <w:rsid w:val="004D154D"/>
    <w:rsid w:val="004D18BD"/>
    <w:rsid w:val="004D3AA0"/>
    <w:rsid w:val="004D41EF"/>
    <w:rsid w:val="004D43C9"/>
    <w:rsid w:val="004D5378"/>
    <w:rsid w:val="004D54DB"/>
    <w:rsid w:val="004D5CCE"/>
    <w:rsid w:val="004D6612"/>
    <w:rsid w:val="004D6755"/>
    <w:rsid w:val="004D6D83"/>
    <w:rsid w:val="004D6EA7"/>
    <w:rsid w:val="004D6FE9"/>
    <w:rsid w:val="004D783F"/>
    <w:rsid w:val="004D7E62"/>
    <w:rsid w:val="004D7FE6"/>
    <w:rsid w:val="004E00CE"/>
    <w:rsid w:val="004E057F"/>
    <w:rsid w:val="004E05D0"/>
    <w:rsid w:val="004E07BF"/>
    <w:rsid w:val="004E25D9"/>
    <w:rsid w:val="004E2863"/>
    <w:rsid w:val="004E2A60"/>
    <w:rsid w:val="004E3192"/>
    <w:rsid w:val="004E340A"/>
    <w:rsid w:val="004E398C"/>
    <w:rsid w:val="004E3C9E"/>
    <w:rsid w:val="004E3DB8"/>
    <w:rsid w:val="004E4961"/>
    <w:rsid w:val="004E49B7"/>
    <w:rsid w:val="004E65D1"/>
    <w:rsid w:val="004E7736"/>
    <w:rsid w:val="004E79FA"/>
    <w:rsid w:val="004F01AE"/>
    <w:rsid w:val="004F026F"/>
    <w:rsid w:val="004F0829"/>
    <w:rsid w:val="004F093A"/>
    <w:rsid w:val="004F0991"/>
    <w:rsid w:val="004F0CAD"/>
    <w:rsid w:val="004F1E2A"/>
    <w:rsid w:val="004F215A"/>
    <w:rsid w:val="004F2180"/>
    <w:rsid w:val="004F29F4"/>
    <w:rsid w:val="004F2A4E"/>
    <w:rsid w:val="004F3423"/>
    <w:rsid w:val="004F3670"/>
    <w:rsid w:val="004F3C6A"/>
    <w:rsid w:val="004F3D10"/>
    <w:rsid w:val="004F3F1F"/>
    <w:rsid w:val="004F441D"/>
    <w:rsid w:val="004F5186"/>
    <w:rsid w:val="004F5467"/>
    <w:rsid w:val="004F5514"/>
    <w:rsid w:val="004F5A01"/>
    <w:rsid w:val="004F5C73"/>
    <w:rsid w:val="004F637C"/>
    <w:rsid w:val="004F672A"/>
    <w:rsid w:val="004F676A"/>
    <w:rsid w:val="004F77FE"/>
    <w:rsid w:val="00500A27"/>
    <w:rsid w:val="005020F4"/>
    <w:rsid w:val="00502409"/>
    <w:rsid w:val="005024F3"/>
    <w:rsid w:val="00502F16"/>
    <w:rsid w:val="00503C55"/>
    <w:rsid w:val="0050514F"/>
    <w:rsid w:val="0050536D"/>
    <w:rsid w:val="00505CCE"/>
    <w:rsid w:val="005062A0"/>
    <w:rsid w:val="00506E33"/>
    <w:rsid w:val="00507160"/>
    <w:rsid w:val="0050748E"/>
    <w:rsid w:val="0050748F"/>
    <w:rsid w:val="00507B36"/>
    <w:rsid w:val="005100E6"/>
    <w:rsid w:val="0051043B"/>
    <w:rsid w:val="00510FA5"/>
    <w:rsid w:val="00510FE4"/>
    <w:rsid w:val="0051163D"/>
    <w:rsid w:val="00511A93"/>
    <w:rsid w:val="0051213E"/>
    <w:rsid w:val="00512AA1"/>
    <w:rsid w:val="00513360"/>
    <w:rsid w:val="00513800"/>
    <w:rsid w:val="00513ADC"/>
    <w:rsid w:val="00513F94"/>
    <w:rsid w:val="00514925"/>
    <w:rsid w:val="00515BA8"/>
    <w:rsid w:val="0051622A"/>
    <w:rsid w:val="0051688A"/>
    <w:rsid w:val="00516A91"/>
    <w:rsid w:val="00516ABA"/>
    <w:rsid w:val="0051727C"/>
    <w:rsid w:val="005200BE"/>
    <w:rsid w:val="00520632"/>
    <w:rsid w:val="00520B12"/>
    <w:rsid w:val="00520C68"/>
    <w:rsid w:val="00521FA1"/>
    <w:rsid w:val="00522A7A"/>
    <w:rsid w:val="00522DD4"/>
    <w:rsid w:val="005242DD"/>
    <w:rsid w:val="005242E4"/>
    <w:rsid w:val="00524B18"/>
    <w:rsid w:val="00524B21"/>
    <w:rsid w:val="00525391"/>
    <w:rsid w:val="00525FDA"/>
    <w:rsid w:val="00526372"/>
    <w:rsid w:val="00526CC9"/>
    <w:rsid w:val="00527449"/>
    <w:rsid w:val="00527BC9"/>
    <w:rsid w:val="00530088"/>
    <w:rsid w:val="005303B8"/>
    <w:rsid w:val="0053064F"/>
    <w:rsid w:val="00530F1C"/>
    <w:rsid w:val="00531236"/>
    <w:rsid w:val="005315BA"/>
    <w:rsid w:val="00531B9E"/>
    <w:rsid w:val="00532552"/>
    <w:rsid w:val="005325B8"/>
    <w:rsid w:val="00532869"/>
    <w:rsid w:val="00532A39"/>
    <w:rsid w:val="0053321C"/>
    <w:rsid w:val="0053373C"/>
    <w:rsid w:val="00533B04"/>
    <w:rsid w:val="0053416E"/>
    <w:rsid w:val="005344BF"/>
    <w:rsid w:val="005345F8"/>
    <w:rsid w:val="005363D3"/>
    <w:rsid w:val="00536D9E"/>
    <w:rsid w:val="00536F40"/>
    <w:rsid w:val="00537289"/>
    <w:rsid w:val="00537DA7"/>
    <w:rsid w:val="00540EB5"/>
    <w:rsid w:val="005410C6"/>
    <w:rsid w:val="00541225"/>
    <w:rsid w:val="0054123D"/>
    <w:rsid w:val="0054151D"/>
    <w:rsid w:val="0054170E"/>
    <w:rsid w:val="00542ADD"/>
    <w:rsid w:val="00542E80"/>
    <w:rsid w:val="00543122"/>
    <w:rsid w:val="00543430"/>
    <w:rsid w:val="00543EC3"/>
    <w:rsid w:val="005442EB"/>
    <w:rsid w:val="00544D0A"/>
    <w:rsid w:val="00544D9C"/>
    <w:rsid w:val="00544FD5"/>
    <w:rsid w:val="005452AB"/>
    <w:rsid w:val="00545561"/>
    <w:rsid w:val="005455E0"/>
    <w:rsid w:val="0054565A"/>
    <w:rsid w:val="0054636D"/>
    <w:rsid w:val="005463B7"/>
    <w:rsid w:val="005468A1"/>
    <w:rsid w:val="00546F3C"/>
    <w:rsid w:val="00546FB0"/>
    <w:rsid w:val="00547BB1"/>
    <w:rsid w:val="00550AC5"/>
    <w:rsid w:val="00550DD1"/>
    <w:rsid w:val="00550E24"/>
    <w:rsid w:val="00551E77"/>
    <w:rsid w:val="005520DC"/>
    <w:rsid w:val="0055269C"/>
    <w:rsid w:val="005541B9"/>
    <w:rsid w:val="00554482"/>
    <w:rsid w:val="0055463F"/>
    <w:rsid w:val="005549B5"/>
    <w:rsid w:val="00554D4C"/>
    <w:rsid w:val="00554F31"/>
    <w:rsid w:val="00555434"/>
    <w:rsid w:val="005558D8"/>
    <w:rsid w:val="005559AA"/>
    <w:rsid w:val="0055621C"/>
    <w:rsid w:val="0055626B"/>
    <w:rsid w:val="005565C1"/>
    <w:rsid w:val="00556A41"/>
    <w:rsid w:val="00556ED5"/>
    <w:rsid w:val="005570B0"/>
    <w:rsid w:val="00560003"/>
    <w:rsid w:val="005605D7"/>
    <w:rsid w:val="00560B7B"/>
    <w:rsid w:val="0056294F"/>
    <w:rsid w:val="005632D2"/>
    <w:rsid w:val="00563323"/>
    <w:rsid w:val="0056366E"/>
    <w:rsid w:val="00563950"/>
    <w:rsid w:val="005639A2"/>
    <w:rsid w:val="00563F60"/>
    <w:rsid w:val="005641B6"/>
    <w:rsid w:val="00565855"/>
    <w:rsid w:val="00565E95"/>
    <w:rsid w:val="00566F70"/>
    <w:rsid w:val="0056718A"/>
    <w:rsid w:val="00567DB7"/>
    <w:rsid w:val="00570A37"/>
    <w:rsid w:val="00570ED5"/>
    <w:rsid w:val="005724F2"/>
    <w:rsid w:val="005728F6"/>
    <w:rsid w:val="005729F4"/>
    <w:rsid w:val="00572BDF"/>
    <w:rsid w:val="00572C9D"/>
    <w:rsid w:val="00572F92"/>
    <w:rsid w:val="005735C7"/>
    <w:rsid w:val="005750A2"/>
    <w:rsid w:val="00575B37"/>
    <w:rsid w:val="00581CF2"/>
    <w:rsid w:val="00581D4D"/>
    <w:rsid w:val="005823E7"/>
    <w:rsid w:val="00582C19"/>
    <w:rsid w:val="00583025"/>
    <w:rsid w:val="005831CD"/>
    <w:rsid w:val="00583CF7"/>
    <w:rsid w:val="00585561"/>
    <w:rsid w:val="00585FE6"/>
    <w:rsid w:val="005871C5"/>
    <w:rsid w:val="00587231"/>
    <w:rsid w:val="005873B5"/>
    <w:rsid w:val="0058768A"/>
    <w:rsid w:val="00590069"/>
    <w:rsid w:val="005905DC"/>
    <w:rsid w:val="00590689"/>
    <w:rsid w:val="00590EA4"/>
    <w:rsid w:val="00590EFD"/>
    <w:rsid w:val="00591596"/>
    <w:rsid w:val="005917F8"/>
    <w:rsid w:val="00591D77"/>
    <w:rsid w:val="005920AA"/>
    <w:rsid w:val="0059237B"/>
    <w:rsid w:val="0059277D"/>
    <w:rsid w:val="00593320"/>
    <w:rsid w:val="00594A59"/>
    <w:rsid w:val="00594A6B"/>
    <w:rsid w:val="005952BD"/>
    <w:rsid w:val="00595A2D"/>
    <w:rsid w:val="005965DF"/>
    <w:rsid w:val="00596710"/>
    <w:rsid w:val="00596B92"/>
    <w:rsid w:val="00596FF4"/>
    <w:rsid w:val="005971B1"/>
    <w:rsid w:val="00597C9E"/>
    <w:rsid w:val="005A054D"/>
    <w:rsid w:val="005A3AF3"/>
    <w:rsid w:val="005A3D52"/>
    <w:rsid w:val="005A42BD"/>
    <w:rsid w:val="005A4571"/>
    <w:rsid w:val="005A4D91"/>
    <w:rsid w:val="005A57ED"/>
    <w:rsid w:val="005A5CC7"/>
    <w:rsid w:val="005A683D"/>
    <w:rsid w:val="005A6954"/>
    <w:rsid w:val="005A72E8"/>
    <w:rsid w:val="005A7429"/>
    <w:rsid w:val="005A78DA"/>
    <w:rsid w:val="005A7D31"/>
    <w:rsid w:val="005A7E1B"/>
    <w:rsid w:val="005B0416"/>
    <w:rsid w:val="005B0513"/>
    <w:rsid w:val="005B0CA8"/>
    <w:rsid w:val="005B1C2C"/>
    <w:rsid w:val="005B1D6D"/>
    <w:rsid w:val="005B2305"/>
    <w:rsid w:val="005B30BC"/>
    <w:rsid w:val="005B3123"/>
    <w:rsid w:val="005B38DE"/>
    <w:rsid w:val="005B4242"/>
    <w:rsid w:val="005B54E0"/>
    <w:rsid w:val="005B5CE6"/>
    <w:rsid w:val="005B6316"/>
    <w:rsid w:val="005B6DF1"/>
    <w:rsid w:val="005C0E7C"/>
    <w:rsid w:val="005C1384"/>
    <w:rsid w:val="005C28B1"/>
    <w:rsid w:val="005C2ECB"/>
    <w:rsid w:val="005C4063"/>
    <w:rsid w:val="005C4C98"/>
    <w:rsid w:val="005C5616"/>
    <w:rsid w:val="005C56F0"/>
    <w:rsid w:val="005C5A3A"/>
    <w:rsid w:val="005C6537"/>
    <w:rsid w:val="005C6ACB"/>
    <w:rsid w:val="005C7150"/>
    <w:rsid w:val="005C749A"/>
    <w:rsid w:val="005C7669"/>
    <w:rsid w:val="005D1525"/>
    <w:rsid w:val="005D3BF1"/>
    <w:rsid w:val="005D48CE"/>
    <w:rsid w:val="005D4C0B"/>
    <w:rsid w:val="005D501D"/>
    <w:rsid w:val="005D575F"/>
    <w:rsid w:val="005D70DB"/>
    <w:rsid w:val="005E003D"/>
    <w:rsid w:val="005E0F63"/>
    <w:rsid w:val="005E1912"/>
    <w:rsid w:val="005E1BDA"/>
    <w:rsid w:val="005E3C30"/>
    <w:rsid w:val="005E44C3"/>
    <w:rsid w:val="005E471E"/>
    <w:rsid w:val="005E4A95"/>
    <w:rsid w:val="005E4CFB"/>
    <w:rsid w:val="005E4F77"/>
    <w:rsid w:val="005E5296"/>
    <w:rsid w:val="005E5B0A"/>
    <w:rsid w:val="005E5D0D"/>
    <w:rsid w:val="005E656C"/>
    <w:rsid w:val="005E7455"/>
    <w:rsid w:val="005E75D4"/>
    <w:rsid w:val="005E7C23"/>
    <w:rsid w:val="005E7C49"/>
    <w:rsid w:val="005E7F75"/>
    <w:rsid w:val="005F03AD"/>
    <w:rsid w:val="005F1C5A"/>
    <w:rsid w:val="005F1D9E"/>
    <w:rsid w:val="005F2680"/>
    <w:rsid w:val="005F30B5"/>
    <w:rsid w:val="005F3145"/>
    <w:rsid w:val="005F33BB"/>
    <w:rsid w:val="005F3502"/>
    <w:rsid w:val="005F4006"/>
    <w:rsid w:val="005F414C"/>
    <w:rsid w:val="005F4358"/>
    <w:rsid w:val="005F4775"/>
    <w:rsid w:val="005F4EEB"/>
    <w:rsid w:val="005F5402"/>
    <w:rsid w:val="005F5BFE"/>
    <w:rsid w:val="005F619C"/>
    <w:rsid w:val="005F66F9"/>
    <w:rsid w:val="005F75C8"/>
    <w:rsid w:val="0060064E"/>
    <w:rsid w:val="0060076D"/>
    <w:rsid w:val="0060125B"/>
    <w:rsid w:val="00601348"/>
    <w:rsid w:val="00602837"/>
    <w:rsid w:val="00603252"/>
    <w:rsid w:val="006045EA"/>
    <w:rsid w:val="00604880"/>
    <w:rsid w:val="00604AAB"/>
    <w:rsid w:val="00604E70"/>
    <w:rsid w:val="00605086"/>
    <w:rsid w:val="00605193"/>
    <w:rsid w:val="00606357"/>
    <w:rsid w:val="006064FC"/>
    <w:rsid w:val="0060669A"/>
    <w:rsid w:val="0060709B"/>
    <w:rsid w:val="006075A2"/>
    <w:rsid w:val="006076CA"/>
    <w:rsid w:val="00607990"/>
    <w:rsid w:val="00610398"/>
    <w:rsid w:val="0061070E"/>
    <w:rsid w:val="006114BD"/>
    <w:rsid w:val="006114C0"/>
    <w:rsid w:val="00611F69"/>
    <w:rsid w:val="00613015"/>
    <w:rsid w:val="00613D36"/>
    <w:rsid w:val="00613F7C"/>
    <w:rsid w:val="00614675"/>
    <w:rsid w:val="006147BF"/>
    <w:rsid w:val="00615BC1"/>
    <w:rsid w:val="006163FA"/>
    <w:rsid w:val="006168B9"/>
    <w:rsid w:val="00616AE8"/>
    <w:rsid w:val="00616DF3"/>
    <w:rsid w:val="00620882"/>
    <w:rsid w:val="0062098C"/>
    <w:rsid w:val="00623898"/>
    <w:rsid w:val="00623C5C"/>
    <w:rsid w:val="0062401E"/>
    <w:rsid w:val="006242E5"/>
    <w:rsid w:val="00625763"/>
    <w:rsid w:val="00625BA7"/>
    <w:rsid w:val="006263AF"/>
    <w:rsid w:val="00627D3F"/>
    <w:rsid w:val="0063090B"/>
    <w:rsid w:val="00631030"/>
    <w:rsid w:val="00632244"/>
    <w:rsid w:val="006326F5"/>
    <w:rsid w:val="00632AB9"/>
    <w:rsid w:val="00632ADA"/>
    <w:rsid w:val="00632CD8"/>
    <w:rsid w:val="00632DA4"/>
    <w:rsid w:val="00632E2E"/>
    <w:rsid w:val="006343D1"/>
    <w:rsid w:val="006344E7"/>
    <w:rsid w:val="0063499B"/>
    <w:rsid w:val="00634E70"/>
    <w:rsid w:val="0063522B"/>
    <w:rsid w:val="00635F50"/>
    <w:rsid w:val="0063631F"/>
    <w:rsid w:val="006363A3"/>
    <w:rsid w:val="0063738A"/>
    <w:rsid w:val="006376EB"/>
    <w:rsid w:val="00640352"/>
    <w:rsid w:val="00640B1C"/>
    <w:rsid w:val="00640B44"/>
    <w:rsid w:val="006411CF"/>
    <w:rsid w:val="006412F8"/>
    <w:rsid w:val="00641871"/>
    <w:rsid w:val="00641989"/>
    <w:rsid w:val="00642299"/>
    <w:rsid w:val="006422EB"/>
    <w:rsid w:val="00642D93"/>
    <w:rsid w:val="00643154"/>
    <w:rsid w:val="006432F3"/>
    <w:rsid w:val="0064352A"/>
    <w:rsid w:val="00644BE9"/>
    <w:rsid w:val="00645158"/>
    <w:rsid w:val="00645202"/>
    <w:rsid w:val="006453D7"/>
    <w:rsid w:val="00646966"/>
    <w:rsid w:val="0064752A"/>
    <w:rsid w:val="0065017F"/>
    <w:rsid w:val="00651247"/>
    <w:rsid w:val="00651D56"/>
    <w:rsid w:val="006522EE"/>
    <w:rsid w:val="00652775"/>
    <w:rsid w:val="00652AFD"/>
    <w:rsid w:val="0065321D"/>
    <w:rsid w:val="0065349B"/>
    <w:rsid w:val="00653B0C"/>
    <w:rsid w:val="00654967"/>
    <w:rsid w:val="00655194"/>
    <w:rsid w:val="00655DA0"/>
    <w:rsid w:val="0065788E"/>
    <w:rsid w:val="00657A9C"/>
    <w:rsid w:val="006609A6"/>
    <w:rsid w:val="006611A5"/>
    <w:rsid w:val="00661684"/>
    <w:rsid w:val="00661D82"/>
    <w:rsid w:val="0066285E"/>
    <w:rsid w:val="006629F1"/>
    <w:rsid w:val="00663274"/>
    <w:rsid w:val="006633C8"/>
    <w:rsid w:val="00663E9E"/>
    <w:rsid w:val="006644E1"/>
    <w:rsid w:val="00664C92"/>
    <w:rsid w:val="00664E2E"/>
    <w:rsid w:val="00664F08"/>
    <w:rsid w:val="006650D9"/>
    <w:rsid w:val="006651E9"/>
    <w:rsid w:val="006657FB"/>
    <w:rsid w:val="00666383"/>
    <w:rsid w:val="00666C6D"/>
    <w:rsid w:val="00666D64"/>
    <w:rsid w:val="00670B54"/>
    <w:rsid w:val="00670EA0"/>
    <w:rsid w:val="00671543"/>
    <w:rsid w:val="00672381"/>
    <w:rsid w:val="006725D9"/>
    <w:rsid w:val="00672855"/>
    <w:rsid w:val="00672C8B"/>
    <w:rsid w:val="00673883"/>
    <w:rsid w:val="00673BC7"/>
    <w:rsid w:val="00673D51"/>
    <w:rsid w:val="00673F0F"/>
    <w:rsid w:val="006741B6"/>
    <w:rsid w:val="00674216"/>
    <w:rsid w:val="0067468A"/>
    <w:rsid w:val="0067469E"/>
    <w:rsid w:val="00674937"/>
    <w:rsid w:val="00675022"/>
    <w:rsid w:val="006752A1"/>
    <w:rsid w:val="006752C8"/>
    <w:rsid w:val="00675B8D"/>
    <w:rsid w:val="00676590"/>
    <w:rsid w:val="0067674A"/>
    <w:rsid w:val="00677566"/>
    <w:rsid w:val="00681E99"/>
    <w:rsid w:val="00682C36"/>
    <w:rsid w:val="00682F16"/>
    <w:rsid w:val="00683170"/>
    <w:rsid w:val="0068336F"/>
    <w:rsid w:val="00683966"/>
    <w:rsid w:val="00683EBE"/>
    <w:rsid w:val="00684FA8"/>
    <w:rsid w:val="0068541F"/>
    <w:rsid w:val="00685749"/>
    <w:rsid w:val="00685DED"/>
    <w:rsid w:val="00686286"/>
    <w:rsid w:val="0068670D"/>
    <w:rsid w:val="00686DAC"/>
    <w:rsid w:val="00686E7C"/>
    <w:rsid w:val="00686F76"/>
    <w:rsid w:val="0068787A"/>
    <w:rsid w:val="00687E9D"/>
    <w:rsid w:val="00687F10"/>
    <w:rsid w:val="00690053"/>
    <w:rsid w:val="006904A8"/>
    <w:rsid w:val="0069051F"/>
    <w:rsid w:val="00690562"/>
    <w:rsid w:val="0069076C"/>
    <w:rsid w:val="006907AC"/>
    <w:rsid w:val="00692124"/>
    <w:rsid w:val="006931DE"/>
    <w:rsid w:val="00694109"/>
    <w:rsid w:val="0069449E"/>
    <w:rsid w:val="00694575"/>
    <w:rsid w:val="0069478F"/>
    <w:rsid w:val="0069481E"/>
    <w:rsid w:val="00694853"/>
    <w:rsid w:val="00695279"/>
    <w:rsid w:val="00695F0F"/>
    <w:rsid w:val="006960D2"/>
    <w:rsid w:val="006966E6"/>
    <w:rsid w:val="00697018"/>
    <w:rsid w:val="006A0151"/>
    <w:rsid w:val="006A04B9"/>
    <w:rsid w:val="006A0D0F"/>
    <w:rsid w:val="006A1883"/>
    <w:rsid w:val="006A2C58"/>
    <w:rsid w:val="006A3983"/>
    <w:rsid w:val="006A3FDE"/>
    <w:rsid w:val="006A4EEA"/>
    <w:rsid w:val="006A5193"/>
    <w:rsid w:val="006A5C30"/>
    <w:rsid w:val="006A6DE5"/>
    <w:rsid w:val="006A70C9"/>
    <w:rsid w:val="006A796B"/>
    <w:rsid w:val="006A7B07"/>
    <w:rsid w:val="006A7CDD"/>
    <w:rsid w:val="006B00B4"/>
    <w:rsid w:val="006B0391"/>
    <w:rsid w:val="006B086C"/>
    <w:rsid w:val="006B0E65"/>
    <w:rsid w:val="006B16B7"/>
    <w:rsid w:val="006B26C9"/>
    <w:rsid w:val="006B3587"/>
    <w:rsid w:val="006B3726"/>
    <w:rsid w:val="006B449A"/>
    <w:rsid w:val="006B4BD7"/>
    <w:rsid w:val="006B4FC7"/>
    <w:rsid w:val="006B4FFA"/>
    <w:rsid w:val="006B562A"/>
    <w:rsid w:val="006B5F25"/>
    <w:rsid w:val="006B6D5D"/>
    <w:rsid w:val="006B7B82"/>
    <w:rsid w:val="006C00F2"/>
    <w:rsid w:val="006C10B5"/>
    <w:rsid w:val="006C13AB"/>
    <w:rsid w:val="006C232B"/>
    <w:rsid w:val="006C2534"/>
    <w:rsid w:val="006C27B3"/>
    <w:rsid w:val="006C2BAF"/>
    <w:rsid w:val="006C2D2F"/>
    <w:rsid w:val="006C2DA5"/>
    <w:rsid w:val="006C2ED4"/>
    <w:rsid w:val="006C34F3"/>
    <w:rsid w:val="006C36AD"/>
    <w:rsid w:val="006C36ED"/>
    <w:rsid w:val="006C3854"/>
    <w:rsid w:val="006C4331"/>
    <w:rsid w:val="006C43B4"/>
    <w:rsid w:val="006C4464"/>
    <w:rsid w:val="006C4628"/>
    <w:rsid w:val="006C5C26"/>
    <w:rsid w:val="006C6A7A"/>
    <w:rsid w:val="006C6E32"/>
    <w:rsid w:val="006C732B"/>
    <w:rsid w:val="006C77BC"/>
    <w:rsid w:val="006C7CE3"/>
    <w:rsid w:val="006D0373"/>
    <w:rsid w:val="006D03D6"/>
    <w:rsid w:val="006D0F58"/>
    <w:rsid w:val="006D2052"/>
    <w:rsid w:val="006D20BA"/>
    <w:rsid w:val="006D2A70"/>
    <w:rsid w:val="006D3334"/>
    <w:rsid w:val="006D3A33"/>
    <w:rsid w:val="006D4194"/>
    <w:rsid w:val="006D5918"/>
    <w:rsid w:val="006D669B"/>
    <w:rsid w:val="006D6807"/>
    <w:rsid w:val="006D6EB3"/>
    <w:rsid w:val="006D6F46"/>
    <w:rsid w:val="006D7080"/>
    <w:rsid w:val="006D7303"/>
    <w:rsid w:val="006D7633"/>
    <w:rsid w:val="006D7837"/>
    <w:rsid w:val="006D7935"/>
    <w:rsid w:val="006D7982"/>
    <w:rsid w:val="006D79D4"/>
    <w:rsid w:val="006E0F50"/>
    <w:rsid w:val="006E288E"/>
    <w:rsid w:val="006E372A"/>
    <w:rsid w:val="006E3934"/>
    <w:rsid w:val="006E3EC1"/>
    <w:rsid w:val="006E45DA"/>
    <w:rsid w:val="006E50DC"/>
    <w:rsid w:val="006E59A5"/>
    <w:rsid w:val="006E5EB3"/>
    <w:rsid w:val="006E5F39"/>
    <w:rsid w:val="006E61AB"/>
    <w:rsid w:val="006E6271"/>
    <w:rsid w:val="006E631B"/>
    <w:rsid w:val="006E6BDC"/>
    <w:rsid w:val="006E6F66"/>
    <w:rsid w:val="006E78B3"/>
    <w:rsid w:val="006F0894"/>
    <w:rsid w:val="006F11F7"/>
    <w:rsid w:val="006F1646"/>
    <w:rsid w:val="006F18AB"/>
    <w:rsid w:val="006F1FFD"/>
    <w:rsid w:val="006F2980"/>
    <w:rsid w:val="006F2B22"/>
    <w:rsid w:val="006F3345"/>
    <w:rsid w:val="006F37CF"/>
    <w:rsid w:val="006F394B"/>
    <w:rsid w:val="006F3AEC"/>
    <w:rsid w:val="006F4274"/>
    <w:rsid w:val="006F4C85"/>
    <w:rsid w:val="006F517D"/>
    <w:rsid w:val="006F570D"/>
    <w:rsid w:val="006F5722"/>
    <w:rsid w:val="006F5897"/>
    <w:rsid w:val="006F5902"/>
    <w:rsid w:val="006F63B6"/>
    <w:rsid w:val="006F77B9"/>
    <w:rsid w:val="00700265"/>
    <w:rsid w:val="0070055B"/>
    <w:rsid w:val="00700718"/>
    <w:rsid w:val="00701594"/>
    <w:rsid w:val="00702219"/>
    <w:rsid w:val="007026DE"/>
    <w:rsid w:val="00702765"/>
    <w:rsid w:val="007028EE"/>
    <w:rsid w:val="00703512"/>
    <w:rsid w:val="00704125"/>
    <w:rsid w:val="007044A5"/>
    <w:rsid w:val="0070474F"/>
    <w:rsid w:val="007052E4"/>
    <w:rsid w:val="007077AA"/>
    <w:rsid w:val="00707894"/>
    <w:rsid w:val="00707FF6"/>
    <w:rsid w:val="00710215"/>
    <w:rsid w:val="007102C8"/>
    <w:rsid w:val="00710F93"/>
    <w:rsid w:val="007122D2"/>
    <w:rsid w:val="0071249C"/>
    <w:rsid w:val="00712891"/>
    <w:rsid w:val="00713166"/>
    <w:rsid w:val="00713883"/>
    <w:rsid w:val="007156AC"/>
    <w:rsid w:val="0071582A"/>
    <w:rsid w:val="00716157"/>
    <w:rsid w:val="00716BA3"/>
    <w:rsid w:val="0071763F"/>
    <w:rsid w:val="00717924"/>
    <w:rsid w:val="00717C9C"/>
    <w:rsid w:val="00717D6D"/>
    <w:rsid w:val="00720D58"/>
    <w:rsid w:val="00721595"/>
    <w:rsid w:val="00721905"/>
    <w:rsid w:val="00721A4B"/>
    <w:rsid w:val="00721AF3"/>
    <w:rsid w:val="0072250E"/>
    <w:rsid w:val="0072293B"/>
    <w:rsid w:val="00722F7D"/>
    <w:rsid w:val="00722FB6"/>
    <w:rsid w:val="00723F12"/>
    <w:rsid w:val="007241AB"/>
    <w:rsid w:val="0072464D"/>
    <w:rsid w:val="00724726"/>
    <w:rsid w:val="00725076"/>
    <w:rsid w:val="00725417"/>
    <w:rsid w:val="00725660"/>
    <w:rsid w:val="0072574E"/>
    <w:rsid w:val="007258B9"/>
    <w:rsid w:val="00726311"/>
    <w:rsid w:val="007264C5"/>
    <w:rsid w:val="00727404"/>
    <w:rsid w:val="0072784A"/>
    <w:rsid w:val="0073002A"/>
    <w:rsid w:val="007305DB"/>
    <w:rsid w:val="00730877"/>
    <w:rsid w:val="00730B11"/>
    <w:rsid w:val="0073119B"/>
    <w:rsid w:val="0073187F"/>
    <w:rsid w:val="00732254"/>
    <w:rsid w:val="00734F9D"/>
    <w:rsid w:val="00735302"/>
    <w:rsid w:val="00735AA0"/>
    <w:rsid w:val="00736149"/>
    <w:rsid w:val="0073698D"/>
    <w:rsid w:val="00736D93"/>
    <w:rsid w:val="00736DED"/>
    <w:rsid w:val="00737D64"/>
    <w:rsid w:val="00737DAE"/>
    <w:rsid w:val="00740124"/>
    <w:rsid w:val="00740242"/>
    <w:rsid w:val="007402BC"/>
    <w:rsid w:val="007408B3"/>
    <w:rsid w:val="00740C5E"/>
    <w:rsid w:val="00740D88"/>
    <w:rsid w:val="007419E0"/>
    <w:rsid w:val="00742A3E"/>
    <w:rsid w:val="00742BF5"/>
    <w:rsid w:val="00742F62"/>
    <w:rsid w:val="0074389B"/>
    <w:rsid w:val="00744392"/>
    <w:rsid w:val="007444C2"/>
    <w:rsid w:val="00744778"/>
    <w:rsid w:val="0074497A"/>
    <w:rsid w:val="00744B49"/>
    <w:rsid w:val="007450FC"/>
    <w:rsid w:val="00746872"/>
    <w:rsid w:val="007468F9"/>
    <w:rsid w:val="007476BC"/>
    <w:rsid w:val="00752065"/>
    <w:rsid w:val="00752C37"/>
    <w:rsid w:val="00752C42"/>
    <w:rsid w:val="00752E0C"/>
    <w:rsid w:val="0075307E"/>
    <w:rsid w:val="0075332A"/>
    <w:rsid w:val="00753899"/>
    <w:rsid w:val="0075464A"/>
    <w:rsid w:val="007546ED"/>
    <w:rsid w:val="00754842"/>
    <w:rsid w:val="00754DEF"/>
    <w:rsid w:val="00754F28"/>
    <w:rsid w:val="007561E1"/>
    <w:rsid w:val="007562F2"/>
    <w:rsid w:val="00756340"/>
    <w:rsid w:val="007563AD"/>
    <w:rsid w:val="0075693E"/>
    <w:rsid w:val="00756B46"/>
    <w:rsid w:val="007571BD"/>
    <w:rsid w:val="007604FD"/>
    <w:rsid w:val="00760580"/>
    <w:rsid w:val="007611F1"/>
    <w:rsid w:val="00761B1E"/>
    <w:rsid w:val="00761ED3"/>
    <w:rsid w:val="007629A4"/>
    <w:rsid w:val="00762C4F"/>
    <w:rsid w:val="00762C79"/>
    <w:rsid w:val="00762F39"/>
    <w:rsid w:val="00763288"/>
    <w:rsid w:val="0076385F"/>
    <w:rsid w:val="007639A3"/>
    <w:rsid w:val="00765854"/>
    <w:rsid w:val="0076602B"/>
    <w:rsid w:val="00766046"/>
    <w:rsid w:val="0076641D"/>
    <w:rsid w:val="00766541"/>
    <w:rsid w:val="00766A1E"/>
    <w:rsid w:val="00766C97"/>
    <w:rsid w:val="00766FF8"/>
    <w:rsid w:val="00767DA7"/>
    <w:rsid w:val="00770111"/>
    <w:rsid w:val="00770E1A"/>
    <w:rsid w:val="007712E3"/>
    <w:rsid w:val="00771C3A"/>
    <w:rsid w:val="007723FE"/>
    <w:rsid w:val="00772902"/>
    <w:rsid w:val="00773B1B"/>
    <w:rsid w:val="00774860"/>
    <w:rsid w:val="00774EE5"/>
    <w:rsid w:val="00775682"/>
    <w:rsid w:val="00776BFB"/>
    <w:rsid w:val="00776E22"/>
    <w:rsid w:val="00777C56"/>
    <w:rsid w:val="00777E27"/>
    <w:rsid w:val="00777EDF"/>
    <w:rsid w:val="007801D3"/>
    <w:rsid w:val="00780500"/>
    <w:rsid w:val="00780631"/>
    <w:rsid w:val="00780990"/>
    <w:rsid w:val="00781596"/>
    <w:rsid w:val="007829EC"/>
    <w:rsid w:val="007830C3"/>
    <w:rsid w:val="00783C01"/>
    <w:rsid w:val="00784A29"/>
    <w:rsid w:val="00785322"/>
    <w:rsid w:val="00785C76"/>
    <w:rsid w:val="007861A2"/>
    <w:rsid w:val="007862DE"/>
    <w:rsid w:val="00786C06"/>
    <w:rsid w:val="00786CE9"/>
    <w:rsid w:val="00786E4E"/>
    <w:rsid w:val="00787525"/>
    <w:rsid w:val="00790318"/>
    <w:rsid w:val="007905BD"/>
    <w:rsid w:val="007908CC"/>
    <w:rsid w:val="00790DFC"/>
    <w:rsid w:val="00791D61"/>
    <w:rsid w:val="00792144"/>
    <w:rsid w:val="007939D5"/>
    <w:rsid w:val="007941DA"/>
    <w:rsid w:val="00794A05"/>
    <w:rsid w:val="00795604"/>
    <w:rsid w:val="00795A2D"/>
    <w:rsid w:val="00795AA8"/>
    <w:rsid w:val="007968A3"/>
    <w:rsid w:val="00797F62"/>
    <w:rsid w:val="007A0A48"/>
    <w:rsid w:val="007A17CF"/>
    <w:rsid w:val="007A1B99"/>
    <w:rsid w:val="007A276E"/>
    <w:rsid w:val="007A29C5"/>
    <w:rsid w:val="007A2B44"/>
    <w:rsid w:val="007A301F"/>
    <w:rsid w:val="007A46FE"/>
    <w:rsid w:val="007A4DF2"/>
    <w:rsid w:val="007A4F28"/>
    <w:rsid w:val="007A5498"/>
    <w:rsid w:val="007A5A72"/>
    <w:rsid w:val="007A5FC9"/>
    <w:rsid w:val="007A6A98"/>
    <w:rsid w:val="007A727F"/>
    <w:rsid w:val="007A7748"/>
    <w:rsid w:val="007A7BDB"/>
    <w:rsid w:val="007B074B"/>
    <w:rsid w:val="007B0E27"/>
    <w:rsid w:val="007B146B"/>
    <w:rsid w:val="007B153D"/>
    <w:rsid w:val="007B1E57"/>
    <w:rsid w:val="007B1F88"/>
    <w:rsid w:val="007B2218"/>
    <w:rsid w:val="007B2583"/>
    <w:rsid w:val="007B2FF7"/>
    <w:rsid w:val="007B373C"/>
    <w:rsid w:val="007B37BF"/>
    <w:rsid w:val="007B554A"/>
    <w:rsid w:val="007B609F"/>
    <w:rsid w:val="007B626D"/>
    <w:rsid w:val="007B7135"/>
    <w:rsid w:val="007B7D6F"/>
    <w:rsid w:val="007B7E8A"/>
    <w:rsid w:val="007C03CD"/>
    <w:rsid w:val="007C0738"/>
    <w:rsid w:val="007C0E8E"/>
    <w:rsid w:val="007C13F3"/>
    <w:rsid w:val="007C1528"/>
    <w:rsid w:val="007C183B"/>
    <w:rsid w:val="007C1C6C"/>
    <w:rsid w:val="007C210E"/>
    <w:rsid w:val="007C2287"/>
    <w:rsid w:val="007C2338"/>
    <w:rsid w:val="007C293D"/>
    <w:rsid w:val="007C2E0C"/>
    <w:rsid w:val="007C389A"/>
    <w:rsid w:val="007C45B9"/>
    <w:rsid w:val="007C4719"/>
    <w:rsid w:val="007C5171"/>
    <w:rsid w:val="007C5A2E"/>
    <w:rsid w:val="007C5DED"/>
    <w:rsid w:val="007C6751"/>
    <w:rsid w:val="007C6F17"/>
    <w:rsid w:val="007C6FE3"/>
    <w:rsid w:val="007C724B"/>
    <w:rsid w:val="007C7AFC"/>
    <w:rsid w:val="007D1129"/>
    <w:rsid w:val="007D163F"/>
    <w:rsid w:val="007D1664"/>
    <w:rsid w:val="007D16CC"/>
    <w:rsid w:val="007D1FDE"/>
    <w:rsid w:val="007D20C5"/>
    <w:rsid w:val="007D21DE"/>
    <w:rsid w:val="007D2BA3"/>
    <w:rsid w:val="007D3D7A"/>
    <w:rsid w:val="007D3D8F"/>
    <w:rsid w:val="007D4655"/>
    <w:rsid w:val="007D46B0"/>
    <w:rsid w:val="007D56CE"/>
    <w:rsid w:val="007D61C4"/>
    <w:rsid w:val="007D72E7"/>
    <w:rsid w:val="007D7AF3"/>
    <w:rsid w:val="007E03D2"/>
    <w:rsid w:val="007E0434"/>
    <w:rsid w:val="007E0B93"/>
    <w:rsid w:val="007E0E0A"/>
    <w:rsid w:val="007E153E"/>
    <w:rsid w:val="007E19E6"/>
    <w:rsid w:val="007E2707"/>
    <w:rsid w:val="007E2817"/>
    <w:rsid w:val="007E3019"/>
    <w:rsid w:val="007E3FED"/>
    <w:rsid w:val="007E4618"/>
    <w:rsid w:val="007E4F98"/>
    <w:rsid w:val="007E6379"/>
    <w:rsid w:val="007E6B82"/>
    <w:rsid w:val="007E6FB1"/>
    <w:rsid w:val="007E7106"/>
    <w:rsid w:val="007E7E2C"/>
    <w:rsid w:val="007F09B6"/>
    <w:rsid w:val="007F0D66"/>
    <w:rsid w:val="007F10D4"/>
    <w:rsid w:val="007F1246"/>
    <w:rsid w:val="007F13CF"/>
    <w:rsid w:val="007F1907"/>
    <w:rsid w:val="007F23FB"/>
    <w:rsid w:val="007F2E41"/>
    <w:rsid w:val="007F3C1F"/>
    <w:rsid w:val="007F43D8"/>
    <w:rsid w:val="007F4DE9"/>
    <w:rsid w:val="007F4FE2"/>
    <w:rsid w:val="007F5B1F"/>
    <w:rsid w:val="007F5BBA"/>
    <w:rsid w:val="007F719D"/>
    <w:rsid w:val="007F7C38"/>
    <w:rsid w:val="0080087C"/>
    <w:rsid w:val="00800A7F"/>
    <w:rsid w:val="00800E9A"/>
    <w:rsid w:val="008010BE"/>
    <w:rsid w:val="00801D66"/>
    <w:rsid w:val="00802221"/>
    <w:rsid w:val="00802291"/>
    <w:rsid w:val="008024DE"/>
    <w:rsid w:val="008027A5"/>
    <w:rsid w:val="008030DB"/>
    <w:rsid w:val="008049E4"/>
    <w:rsid w:val="00805566"/>
    <w:rsid w:val="00805753"/>
    <w:rsid w:val="00806250"/>
    <w:rsid w:val="0080729A"/>
    <w:rsid w:val="0080796C"/>
    <w:rsid w:val="008100DD"/>
    <w:rsid w:val="00810347"/>
    <w:rsid w:val="00810426"/>
    <w:rsid w:val="00811B74"/>
    <w:rsid w:val="008122BD"/>
    <w:rsid w:val="00812465"/>
    <w:rsid w:val="00812961"/>
    <w:rsid w:val="00812D60"/>
    <w:rsid w:val="00813195"/>
    <w:rsid w:val="00814B40"/>
    <w:rsid w:val="00814CB2"/>
    <w:rsid w:val="00814E25"/>
    <w:rsid w:val="008154FD"/>
    <w:rsid w:val="0081569F"/>
    <w:rsid w:val="00815A71"/>
    <w:rsid w:val="00815CD8"/>
    <w:rsid w:val="00816019"/>
    <w:rsid w:val="008160AE"/>
    <w:rsid w:val="008161AD"/>
    <w:rsid w:val="00821C48"/>
    <w:rsid w:val="00823C23"/>
    <w:rsid w:val="00824634"/>
    <w:rsid w:val="0082492E"/>
    <w:rsid w:val="00824AEA"/>
    <w:rsid w:val="00824DDF"/>
    <w:rsid w:val="00824F13"/>
    <w:rsid w:val="00825375"/>
    <w:rsid w:val="0082564E"/>
    <w:rsid w:val="00825D36"/>
    <w:rsid w:val="008260B6"/>
    <w:rsid w:val="008261C5"/>
    <w:rsid w:val="0082643C"/>
    <w:rsid w:val="008266E0"/>
    <w:rsid w:val="00826EFA"/>
    <w:rsid w:val="008270BC"/>
    <w:rsid w:val="00827A1A"/>
    <w:rsid w:val="00827A75"/>
    <w:rsid w:val="00827DB5"/>
    <w:rsid w:val="008300F9"/>
    <w:rsid w:val="0083012E"/>
    <w:rsid w:val="00831B5F"/>
    <w:rsid w:val="00832739"/>
    <w:rsid w:val="00832B38"/>
    <w:rsid w:val="00833741"/>
    <w:rsid w:val="00833C4C"/>
    <w:rsid w:val="0083412C"/>
    <w:rsid w:val="0083420A"/>
    <w:rsid w:val="008344AA"/>
    <w:rsid w:val="00835000"/>
    <w:rsid w:val="00835ABE"/>
    <w:rsid w:val="00836167"/>
    <w:rsid w:val="00837075"/>
    <w:rsid w:val="0083790F"/>
    <w:rsid w:val="008400E4"/>
    <w:rsid w:val="008402FD"/>
    <w:rsid w:val="008406D7"/>
    <w:rsid w:val="00840D7F"/>
    <w:rsid w:val="00840D9F"/>
    <w:rsid w:val="00840F9B"/>
    <w:rsid w:val="008416B7"/>
    <w:rsid w:val="00842E33"/>
    <w:rsid w:val="00842EEC"/>
    <w:rsid w:val="00842FED"/>
    <w:rsid w:val="008432DE"/>
    <w:rsid w:val="00843346"/>
    <w:rsid w:val="0084348F"/>
    <w:rsid w:val="00843F24"/>
    <w:rsid w:val="00844F1F"/>
    <w:rsid w:val="00844FF8"/>
    <w:rsid w:val="00845276"/>
    <w:rsid w:val="0084555F"/>
    <w:rsid w:val="0084558F"/>
    <w:rsid w:val="00845652"/>
    <w:rsid w:val="008459F9"/>
    <w:rsid w:val="00845C6F"/>
    <w:rsid w:val="00846692"/>
    <w:rsid w:val="00847636"/>
    <w:rsid w:val="00847E2E"/>
    <w:rsid w:val="008501C3"/>
    <w:rsid w:val="00851168"/>
    <w:rsid w:val="00851F54"/>
    <w:rsid w:val="00852375"/>
    <w:rsid w:val="0085260E"/>
    <w:rsid w:val="0085300F"/>
    <w:rsid w:val="008536EA"/>
    <w:rsid w:val="00853F0A"/>
    <w:rsid w:val="0085402A"/>
    <w:rsid w:val="00854358"/>
    <w:rsid w:val="008546AC"/>
    <w:rsid w:val="008546E0"/>
    <w:rsid w:val="008549B7"/>
    <w:rsid w:val="00854A58"/>
    <w:rsid w:val="0085523A"/>
    <w:rsid w:val="008552F5"/>
    <w:rsid w:val="008553C2"/>
    <w:rsid w:val="0085610C"/>
    <w:rsid w:val="008565FF"/>
    <w:rsid w:val="0085760E"/>
    <w:rsid w:val="008611DD"/>
    <w:rsid w:val="0086152F"/>
    <w:rsid w:val="00861903"/>
    <w:rsid w:val="00861E57"/>
    <w:rsid w:val="00862945"/>
    <w:rsid w:val="0086313B"/>
    <w:rsid w:val="00863661"/>
    <w:rsid w:val="008641A5"/>
    <w:rsid w:val="008650EF"/>
    <w:rsid w:val="00865B62"/>
    <w:rsid w:val="00867248"/>
    <w:rsid w:val="00867769"/>
    <w:rsid w:val="00867C7B"/>
    <w:rsid w:val="00871528"/>
    <w:rsid w:val="00871599"/>
    <w:rsid w:val="00871CFF"/>
    <w:rsid w:val="008726C3"/>
    <w:rsid w:val="0087289F"/>
    <w:rsid w:val="00872D25"/>
    <w:rsid w:val="00872E82"/>
    <w:rsid w:val="00873148"/>
    <w:rsid w:val="00873851"/>
    <w:rsid w:val="00873C04"/>
    <w:rsid w:val="00874243"/>
    <w:rsid w:val="008750A3"/>
    <w:rsid w:val="008764AA"/>
    <w:rsid w:val="00877061"/>
    <w:rsid w:val="00877B01"/>
    <w:rsid w:val="008803B5"/>
    <w:rsid w:val="00880ED3"/>
    <w:rsid w:val="0088189B"/>
    <w:rsid w:val="00882CA6"/>
    <w:rsid w:val="00882CF2"/>
    <w:rsid w:val="00883201"/>
    <w:rsid w:val="00883A53"/>
    <w:rsid w:val="00883F20"/>
    <w:rsid w:val="00884388"/>
    <w:rsid w:val="00885088"/>
    <w:rsid w:val="0088513D"/>
    <w:rsid w:val="008865D3"/>
    <w:rsid w:val="0088729F"/>
    <w:rsid w:val="008875B6"/>
    <w:rsid w:val="00887994"/>
    <w:rsid w:val="00890329"/>
    <w:rsid w:val="008909B8"/>
    <w:rsid w:val="00890BF6"/>
    <w:rsid w:val="00890D68"/>
    <w:rsid w:val="00890FB4"/>
    <w:rsid w:val="00891E04"/>
    <w:rsid w:val="00891F04"/>
    <w:rsid w:val="008925F7"/>
    <w:rsid w:val="00892DA2"/>
    <w:rsid w:val="0089599B"/>
    <w:rsid w:val="008960F5"/>
    <w:rsid w:val="00896446"/>
    <w:rsid w:val="0089690B"/>
    <w:rsid w:val="00896B24"/>
    <w:rsid w:val="00896CD2"/>
    <w:rsid w:val="00897018"/>
    <w:rsid w:val="008973E0"/>
    <w:rsid w:val="0089754D"/>
    <w:rsid w:val="00897D94"/>
    <w:rsid w:val="00897E81"/>
    <w:rsid w:val="008A0343"/>
    <w:rsid w:val="008A07AC"/>
    <w:rsid w:val="008A0990"/>
    <w:rsid w:val="008A0AC9"/>
    <w:rsid w:val="008A0DC0"/>
    <w:rsid w:val="008A11AD"/>
    <w:rsid w:val="008A11FA"/>
    <w:rsid w:val="008A12D2"/>
    <w:rsid w:val="008A1B67"/>
    <w:rsid w:val="008A1FAE"/>
    <w:rsid w:val="008A22C2"/>
    <w:rsid w:val="008A2A55"/>
    <w:rsid w:val="008A31B7"/>
    <w:rsid w:val="008A3251"/>
    <w:rsid w:val="008A3CB4"/>
    <w:rsid w:val="008A3F39"/>
    <w:rsid w:val="008A4596"/>
    <w:rsid w:val="008A45D9"/>
    <w:rsid w:val="008A4ABB"/>
    <w:rsid w:val="008A56AC"/>
    <w:rsid w:val="008A57F0"/>
    <w:rsid w:val="008A5830"/>
    <w:rsid w:val="008A67E7"/>
    <w:rsid w:val="008A6FC9"/>
    <w:rsid w:val="008A6FDD"/>
    <w:rsid w:val="008A7C7D"/>
    <w:rsid w:val="008B1789"/>
    <w:rsid w:val="008B1881"/>
    <w:rsid w:val="008B2335"/>
    <w:rsid w:val="008B24AB"/>
    <w:rsid w:val="008B298A"/>
    <w:rsid w:val="008B2991"/>
    <w:rsid w:val="008B3C70"/>
    <w:rsid w:val="008B4E3A"/>
    <w:rsid w:val="008B5570"/>
    <w:rsid w:val="008B5714"/>
    <w:rsid w:val="008B5719"/>
    <w:rsid w:val="008B5768"/>
    <w:rsid w:val="008B5BA4"/>
    <w:rsid w:val="008B6D99"/>
    <w:rsid w:val="008B7371"/>
    <w:rsid w:val="008B7B21"/>
    <w:rsid w:val="008C02FA"/>
    <w:rsid w:val="008C2615"/>
    <w:rsid w:val="008C269D"/>
    <w:rsid w:val="008C29F5"/>
    <w:rsid w:val="008C37A5"/>
    <w:rsid w:val="008C3F78"/>
    <w:rsid w:val="008C4283"/>
    <w:rsid w:val="008C4880"/>
    <w:rsid w:val="008C4A06"/>
    <w:rsid w:val="008C4DD2"/>
    <w:rsid w:val="008C56D7"/>
    <w:rsid w:val="008C5888"/>
    <w:rsid w:val="008C5947"/>
    <w:rsid w:val="008C599A"/>
    <w:rsid w:val="008C68B2"/>
    <w:rsid w:val="008C6A5A"/>
    <w:rsid w:val="008D0270"/>
    <w:rsid w:val="008D03A4"/>
    <w:rsid w:val="008D0468"/>
    <w:rsid w:val="008D06E6"/>
    <w:rsid w:val="008D318D"/>
    <w:rsid w:val="008D3C97"/>
    <w:rsid w:val="008D41CE"/>
    <w:rsid w:val="008D420A"/>
    <w:rsid w:val="008D559B"/>
    <w:rsid w:val="008D5A63"/>
    <w:rsid w:val="008D65E2"/>
    <w:rsid w:val="008D688A"/>
    <w:rsid w:val="008D6BC8"/>
    <w:rsid w:val="008D7435"/>
    <w:rsid w:val="008D7F9F"/>
    <w:rsid w:val="008E0403"/>
    <w:rsid w:val="008E07A0"/>
    <w:rsid w:val="008E1FBC"/>
    <w:rsid w:val="008E258D"/>
    <w:rsid w:val="008E2892"/>
    <w:rsid w:val="008E341B"/>
    <w:rsid w:val="008E36C8"/>
    <w:rsid w:val="008E3AD5"/>
    <w:rsid w:val="008E44C1"/>
    <w:rsid w:val="008E46E5"/>
    <w:rsid w:val="008E4B97"/>
    <w:rsid w:val="008E4BEB"/>
    <w:rsid w:val="008E4CFB"/>
    <w:rsid w:val="008E5246"/>
    <w:rsid w:val="008E5DEF"/>
    <w:rsid w:val="008E6629"/>
    <w:rsid w:val="008E6C04"/>
    <w:rsid w:val="008E7712"/>
    <w:rsid w:val="008E7881"/>
    <w:rsid w:val="008E78D2"/>
    <w:rsid w:val="008E796B"/>
    <w:rsid w:val="008F0910"/>
    <w:rsid w:val="008F0B31"/>
    <w:rsid w:val="008F1125"/>
    <w:rsid w:val="008F18CA"/>
    <w:rsid w:val="008F20E9"/>
    <w:rsid w:val="008F3035"/>
    <w:rsid w:val="008F3B6F"/>
    <w:rsid w:val="008F45C9"/>
    <w:rsid w:val="008F46FD"/>
    <w:rsid w:val="008F4960"/>
    <w:rsid w:val="008F4D9C"/>
    <w:rsid w:val="008F58C8"/>
    <w:rsid w:val="008F61BA"/>
    <w:rsid w:val="008F6450"/>
    <w:rsid w:val="008F6A52"/>
    <w:rsid w:val="00900236"/>
    <w:rsid w:val="009008E1"/>
    <w:rsid w:val="0090193D"/>
    <w:rsid w:val="009019D4"/>
    <w:rsid w:val="00902F5E"/>
    <w:rsid w:val="009034CC"/>
    <w:rsid w:val="00904BBF"/>
    <w:rsid w:val="00905409"/>
    <w:rsid w:val="009056AE"/>
    <w:rsid w:val="0090636F"/>
    <w:rsid w:val="00906539"/>
    <w:rsid w:val="009068AC"/>
    <w:rsid w:val="00906B5E"/>
    <w:rsid w:val="00906EF4"/>
    <w:rsid w:val="009070B2"/>
    <w:rsid w:val="00910146"/>
    <w:rsid w:val="009101EC"/>
    <w:rsid w:val="00910245"/>
    <w:rsid w:val="009102AC"/>
    <w:rsid w:val="0091031C"/>
    <w:rsid w:val="00910779"/>
    <w:rsid w:val="00910AB6"/>
    <w:rsid w:val="00910D66"/>
    <w:rsid w:val="0091121A"/>
    <w:rsid w:val="00911BD5"/>
    <w:rsid w:val="00912201"/>
    <w:rsid w:val="00912936"/>
    <w:rsid w:val="009134AD"/>
    <w:rsid w:val="00913DF3"/>
    <w:rsid w:val="0091475E"/>
    <w:rsid w:val="009156C5"/>
    <w:rsid w:val="0091613D"/>
    <w:rsid w:val="0091654C"/>
    <w:rsid w:val="00916A50"/>
    <w:rsid w:val="00917031"/>
    <w:rsid w:val="009178B0"/>
    <w:rsid w:val="0092034A"/>
    <w:rsid w:val="009204F2"/>
    <w:rsid w:val="00920A77"/>
    <w:rsid w:val="00920B7A"/>
    <w:rsid w:val="00921342"/>
    <w:rsid w:val="00921568"/>
    <w:rsid w:val="009217A4"/>
    <w:rsid w:val="00921836"/>
    <w:rsid w:val="00921CFD"/>
    <w:rsid w:val="009223FD"/>
    <w:rsid w:val="00922C8A"/>
    <w:rsid w:val="0092342A"/>
    <w:rsid w:val="00923567"/>
    <w:rsid w:val="00923B8C"/>
    <w:rsid w:val="00924214"/>
    <w:rsid w:val="00924DA0"/>
    <w:rsid w:val="00924E44"/>
    <w:rsid w:val="009253C1"/>
    <w:rsid w:val="009256F4"/>
    <w:rsid w:val="00925891"/>
    <w:rsid w:val="00926563"/>
    <w:rsid w:val="00926D4B"/>
    <w:rsid w:val="009273FC"/>
    <w:rsid w:val="00927A88"/>
    <w:rsid w:val="00927ECC"/>
    <w:rsid w:val="00927EDD"/>
    <w:rsid w:val="0093012E"/>
    <w:rsid w:val="0093013D"/>
    <w:rsid w:val="009301D5"/>
    <w:rsid w:val="0093041E"/>
    <w:rsid w:val="00930C71"/>
    <w:rsid w:val="0093130E"/>
    <w:rsid w:val="009315E1"/>
    <w:rsid w:val="00931B6D"/>
    <w:rsid w:val="00931FE3"/>
    <w:rsid w:val="009321F1"/>
    <w:rsid w:val="009330A3"/>
    <w:rsid w:val="009336A8"/>
    <w:rsid w:val="0093490F"/>
    <w:rsid w:val="00934DB3"/>
    <w:rsid w:val="00935204"/>
    <w:rsid w:val="009354B2"/>
    <w:rsid w:val="00935EA7"/>
    <w:rsid w:val="00936A6C"/>
    <w:rsid w:val="00937280"/>
    <w:rsid w:val="00940148"/>
    <w:rsid w:val="0094017D"/>
    <w:rsid w:val="00940485"/>
    <w:rsid w:val="00940ACB"/>
    <w:rsid w:val="00940BB9"/>
    <w:rsid w:val="009416C8"/>
    <w:rsid w:val="00941DCD"/>
    <w:rsid w:val="0094268A"/>
    <w:rsid w:val="00942995"/>
    <w:rsid w:val="00943A89"/>
    <w:rsid w:val="00943DBF"/>
    <w:rsid w:val="00943DE0"/>
    <w:rsid w:val="00944E7C"/>
    <w:rsid w:val="00945570"/>
    <w:rsid w:val="009456FE"/>
    <w:rsid w:val="00945F23"/>
    <w:rsid w:val="009465CE"/>
    <w:rsid w:val="00946882"/>
    <w:rsid w:val="009468D8"/>
    <w:rsid w:val="00946E4D"/>
    <w:rsid w:val="009477CD"/>
    <w:rsid w:val="00947921"/>
    <w:rsid w:val="009501D3"/>
    <w:rsid w:val="0095032D"/>
    <w:rsid w:val="0095044A"/>
    <w:rsid w:val="00950A09"/>
    <w:rsid w:val="00951363"/>
    <w:rsid w:val="009513A8"/>
    <w:rsid w:val="0095140D"/>
    <w:rsid w:val="00951DA1"/>
    <w:rsid w:val="00951E02"/>
    <w:rsid w:val="00951F94"/>
    <w:rsid w:val="00952C03"/>
    <w:rsid w:val="009538FF"/>
    <w:rsid w:val="00954194"/>
    <w:rsid w:val="00954DAF"/>
    <w:rsid w:val="00954DF0"/>
    <w:rsid w:val="009556C9"/>
    <w:rsid w:val="00955902"/>
    <w:rsid w:val="00955BBC"/>
    <w:rsid w:val="00955D2D"/>
    <w:rsid w:val="00957734"/>
    <w:rsid w:val="00957EBD"/>
    <w:rsid w:val="00960AE1"/>
    <w:rsid w:val="00960F12"/>
    <w:rsid w:val="00961290"/>
    <w:rsid w:val="009616B5"/>
    <w:rsid w:val="00961A74"/>
    <w:rsid w:val="00961C42"/>
    <w:rsid w:val="00962015"/>
    <w:rsid w:val="009620C7"/>
    <w:rsid w:val="009621C6"/>
    <w:rsid w:val="00962727"/>
    <w:rsid w:val="00962A15"/>
    <w:rsid w:val="00962BE3"/>
    <w:rsid w:val="00962DB3"/>
    <w:rsid w:val="0096317A"/>
    <w:rsid w:val="009631E1"/>
    <w:rsid w:val="0096331A"/>
    <w:rsid w:val="00963DDC"/>
    <w:rsid w:val="00964594"/>
    <w:rsid w:val="009645B6"/>
    <w:rsid w:val="0096486C"/>
    <w:rsid w:val="009648CF"/>
    <w:rsid w:val="00964F59"/>
    <w:rsid w:val="0096551B"/>
    <w:rsid w:val="009656AF"/>
    <w:rsid w:val="009657CD"/>
    <w:rsid w:val="00966B1E"/>
    <w:rsid w:val="00967194"/>
    <w:rsid w:val="0096745E"/>
    <w:rsid w:val="009679CE"/>
    <w:rsid w:val="0097068F"/>
    <w:rsid w:val="00971AA8"/>
    <w:rsid w:val="00971ABE"/>
    <w:rsid w:val="00971EDD"/>
    <w:rsid w:val="00971F42"/>
    <w:rsid w:val="0097205A"/>
    <w:rsid w:val="009728DE"/>
    <w:rsid w:val="0097385B"/>
    <w:rsid w:val="00973B98"/>
    <w:rsid w:val="00973CD2"/>
    <w:rsid w:val="009742DE"/>
    <w:rsid w:val="00974A06"/>
    <w:rsid w:val="00974DEB"/>
    <w:rsid w:val="009751C5"/>
    <w:rsid w:val="0097549B"/>
    <w:rsid w:val="00975D0D"/>
    <w:rsid w:val="00976061"/>
    <w:rsid w:val="009764D5"/>
    <w:rsid w:val="00976693"/>
    <w:rsid w:val="00976C36"/>
    <w:rsid w:val="00977E36"/>
    <w:rsid w:val="00980D50"/>
    <w:rsid w:val="00980F91"/>
    <w:rsid w:val="00981C3E"/>
    <w:rsid w:val="00982409"/>
    <w:rsid w:val="009834D2"/>
    <w:rsid w:val="00984241"/>
    <w:rsid w:val="00985297"/>
    <w:rsid w:val="009859DB"/>
    <w:rsid w:val="00986F2C"/>
    <w:rsid w:val="00987453"/>
    <w:rsid w:val="00987CBD"/>
    <w:rsid w:val="009910F4"/>
    <w:rsid w:val="00991433"/>
    <w:rsid w:val="00992413"/>
    <w:rsid w:val="00994575"/>
    <w:rsid w:val="00994F51"/>
    <w:rsid w:val="00995C93"/>
    <w:rsid w:val="009962E5"/>
    <w:rsid w:val="00997580"/>
    <w:rsid w:val="009977D9"/>
    <w:rsid w:val="009979CD"/>
    <w:rsid w:val="00997A1A"/>
    <w:rsid w:val="009A055C"/>
    <w:rsid w:val="009A08DB"/>
    <w:rsid w:val="009A0A57"/>
    <w:rsid w:val="009A0ADE"/>
    <w:rsid w:val="009A0BEA"/>
    <w:rsid w:val="009A0DD1"/>
    <w:rsid w:val="009A2AB1"/>
    <w:rsid w:val="009A2B31"/>
    <w:rsid w:val="009A3109"/>
    <w:rsid w:val="009A38EB"/>
    <w:rsid w:val="009A3D00"/>
    <w:rsid w:val="009A3D8C"/>
    <w:rsid w:val="009A3DAE"/>
    <w:rsid w:val="009A57A7"/>
    <w:rsid w:val="009A5C29"/>
    <w:rsid w:val="009A61E3"/>
    <w:rsid w:val="009A6D9E"/>
    <w:rsid w:val="009A711A"/>
    <w:rsid w:val="009A72EC"/>
    <w:rsid w:val="009A7709"/>
    <w:rsid w:val="009A7918"/>
    <w:rsid w:val="009B05D0"/>
    <w:rsid w:val="009B1B41"/>
    <w:rsid w:val="009B1EA9"/>
    <w:rsid w:val="009B215E"/>
    <w:rsid w:val="009B2BA4"/>
    <w:rsid w:val="009B3282"/>
    <w:rsid w:val="009B38D7"/>
    <w:rsid w:val="009B3DD2"/>
    <w:rsid w:val="009B3F74"/>
    <w:rsid w:val="009B4139"/>
    <w:rsid w:val="009B43F0"/>
    <w:rsid w:val="009B5631"/>
    <w:rsid w:val="009B6264"/>
    <w:rsid w:val="009B6365"/>
    <w:rsid w:val="009B6929"/>
    <w:rsid w:val="009B6A36"/>
    <w:rsid w:val="009B7A13"/>
    <w:rsid w:val="009B7D12"/>
    <w:rsid w:val="009C00A7"/>
    <w:rsid w:val="009C045D"/>
    <w:rsid w:val="009C063E"/>
    <w:rsid w:val="009C0EE8"/>
    <w:rsid w:val="009C121C"/>
    <w:rsid w:val="009C125E"/>
    <w:rsid w:val="009C22B0"/>
    <w:rsid w:val="009C22F4"/>
    <w:rsid w:val="009C28B5"/>
    <w:rsid w:val="009C2C5D"/>
    <w:rsid w:val="009C4A55"/>
    <w:rsid w:val="009C4AD1"/>
    <w:rsid w:val="009C4E50"/>
    <w:rsid w:val="009C62C8"/>
    <w:rsid w:val="009C6B52"/>
    <w:rsid w:val="009C703F"/>
    <w:rsid w:val="009C74FB"/>
    <w:rsid w:val="009C793E"/>
    <w:rsid w:val="009C796C"/>
    <w:rsid w:val="009D021C"/>
    <w:rsid w:val="009D2A64"/>
    <w:rsid w:val="009D3150"/>
    <w:rsid w:val="009D3D36"/>
    <w:rsid w:val="009D446A"/>
    <w:rsid w:val="009D643C"/>
    <w:rsid w:val="009D7298"/>
    <w:rsid w:val="009D768D"/>
    <w:rsid w:val="009E0210"/>
    <w:rsid w:val="009E07C5"/>
    <w:rsid w:val="009E07EE"/>
    <w:rsid w:val="009E0ED1"/>
    <w:rsid w:val="009E1094"/>
    <w:rsid w:val="009E1C59"/>
    <w:rsid w:val="009E1DE5"/>
    <w:rsid w:val="009E2647"/>
    <w:rsid w:val="009E2A8B"/>
    <w:rsid w:val="009E2B98"/>
    <w:rsid w:val="009E356B"/>
    <w:rsid w:val="009E390E"/>
    <w:rsid w:val="009E3A97"/>
    <w:rsid w:val="009E3C89"/>
    <w:rsid w:val="009E3CF6"/>
    <w:rsid w:val="009E3E88"/>
    <w:rsid w:val="009E4A6B"/>
    <w:rsid w:val="009E4BC8"/>
    <w:rsid w:val="009E4FF1"/>
    <w:rsid w:val="009E5756"/>
    <w:rsid w:val="009E6FEE"/>
    <w:rsid w:val="009E7797"/>
    <w:rsid w:val="009F287C"/>
    <w:rsid w:val="009F2F1B"/>
    <w:rsid w:val="009F36E4"/>
    <w:rsid w:val="009F3B59"/>
    <w:rsid w:val="009F4DFD"/>
    <w:rsid w:val="009F544A"/>
    <w:rsid w:val="009F5452"/>
    <w:rsid w:val="009F558F"/>
    <w:rsid w:val="009F59A3"/>
    <w:rsid w:val="009F5AD9"/>
    <w:rsid w:val="009F6281"/>
    <w:rsid w:val="009F653D"/>
    <w:rsid w:val="009F6896"/>
    <w:rsid w:val="009F6920"/>
    <w:rsid w:val="009F6E8A"/>
    <w:rsid w:val="009F7400"/>
    <w:rsid w:val="009F7BBA"/>
    <w:rsid w:val="009F7C24"/>
    <w:rsid w:val="00A00CC9"/>
    <w:rsid w:val="00A01511"/>
    <w:rsid w:val="00A0183E"/>
    <w:rsid w:val="00A021C1"/>
    <w:rsid w:val="00A027B5"/>
    <w:rsid w:val="00A03252"/>
    <w:rsid w:val="00A04FAE"/>
    <w:rsid w:val="00A05627"/>
    <w:rsid w:val="00A05E58"/>
    <w:rsid w:val="00A0607D"/>
    <w:rsid w:val="00A068BC"/>
    <w:rsid w:val="00A06B57"/>
    <w:rsid w:val="00A1022C"/>
    <w:rsid w:val="00A1048E"/>
    <w:rsid w:val="00A104FF"/>
    <w:rsid w:val="00A10FC7"/>
    <w:rsid w:val="00A1113C"/>
    <w:rsid w:val="00A123AA"/>
    <w:rsid w:val="00A123C7"/>
    <w:rsid w:val="00A12E67"/>
    <w:rsid w:val="00A1300F"/>
    <w:rsid w:val="00A138EE"/>
    <w:rsid w:val="00A13C92"/>
    <w:rsid w:val="00A14417"/>
    <w:rsid w:val="00A14F2A"/>
    <w:rsid w:val="00A1501B"/>
    <w:rsid w:val="00A1525B"/>
    <w:rsid w:val="00A1538B"/>
    <w:rsid w:val="00A15828"/>
    <w:rsid w:val="00A16572"/>
    <w:rsid w:val="00A170D4"/>
    <w:rsid w:val="00A173BD"/>
    <w:rsid w:val="00A178EA"/>
    <w:rsid w:val="00A17FAA"/>
    <w:rsid w:val="00A20D32"/>
    <w:rsid w:val="00A21258"/>
    <w:rsid w:val="00A2156E"/>
    <w:rsid w:val="00A219FE"/>
    <w:rsid w:val="00A2259D"/>
    <w:rsid w:val="00A22E14"/>
    <w:rsid w:val="00A2341E"/>
    <w:rsid w:val="00A23D07"/>
    <w:rsid w:val="00A2563F"/>
    <w:rsid w:val="00A269F4"/>
    <w:rsid w:val="00A26A4B"/>
    <w:rsid w:val="00A26E9D"/>
    <w:rsid w:val="00A26F89"/>
    <w:rsid w:val="00A2700A"/>
    <w:rsid w:val="00A2798C"/>
    <w:rsid w:val="00A27EC8"/>
    <w:rsid w:val="00A31426"/>
    <w:rsid w:val="00A31451"/>
    <w:rsid w:val="00A31CD9"/>
    <w:rsid w:val="00A31E84"/>
    <w:rsid w:val="00A325CE"/>
    <w:rsid w:val="00A325DC"/>
    <w:rsid w:val="00A32757"/>
    <w:rsid w:val="00A32C7E"/>
    <w:rsid w:val="00A337E3"/>
    <w:rsid w:val="00A33E93"/>
    <w:rsid w:val="00A34110"/>
    <w:rsid w:val="00A34F17"/>
    <w:rsid w:val="00A35CCE"/>
    <w:rsid w:val="00A36380"/>
    <w:rsid w:val="00A36559"/>
    <w:rsid w:val="00A36818"/>
    <w:rsid w:val="00A36A11"/>
    <w:rsid w:val="00A36E70"/>
    <w:rsid w:val="00A378F5"/>
    <w:rsid w:val="00A37B23"/>
    <w:rsid w:val="00A37BCB"/>
    <w:rsid w:val="00A40A06"/>
    <w:rsid w:val="00A40B75"/>
    <w:rsid w:val="00A41603"/>
    <w:rsid w:val="00A42139"/>
    <w:rsid w:val="00A42925"/>
    <w:rsid w:val="00A42D57"/>
    <w:rsid w:val="00A43BF1"/>
    <w:rsid w:val="00A4403B"/>
    <w:rsid w:val="00A442C4"/>
    <w:rsid w:val="00A44310"/>
    <w:rsid w:val="00A4455C"/>
    <w:rsid w:val="00A449EA"/>
    <w:rsid w:val="00A44C30"/>
    <w:rsid w:val="00A450EC"/>
    <w:rsid w:val="00A452FC"/>
    <w:rsid w:val="00A45CBA"/>
    <w:rsid w:val="00A467D7"/>
    <w:rsid w:val="00A46893"/>
    <w:rsid w:val="00A468F5"/>
    <w:rsid w:val="00A4704C"/>
    <w:rsid w:val="00A50AEE"/>
    <w:rsid w:val="00A517B6"/>
    <w:rsid w:val="00A517F2"/>
    <w:rsid w:val="00A51C45"/>
    <w:rsid w:val="00A520F8"/>
    <w:rsid w:val="00A525CA"/>
    <w:rsid w:val="00A52DAA"/>
    <w:rsid w:val="00A5351A"/>
    <w:rsid w:val="00A53C44"/>
    <w:rsid w:val="00A54514"/>
    <w:rsid w:val="00A5460E"/>
    <w:rsid w:val="00A549F9"/>
    <w:rsid w:val="00A54EBF"/>
    <w:rsid w:val="00A55D35"/>
    <w:rsid w:val="00A55DBA"/>
    <w:rsid w:val="00A560DE"/>
    <w:rsid w:val="00A5641E"/>
    <w:rsid w:val="00A5644C"/>
    <w:rsid w:val="00A56692"/>
    <w:rsid w:val="00A56A6A"/>
    <w:rsid w:val="00A56C4A"/>
    <w:rsid w:val="00A571D3"/>
    <w:rsid w:val="00A57992"/>
    <w:rsid w:val="00A609D1"/>
    <w:rsid w:val="00A6283D"/>
    <w:rsid w:val="00A62CCB"/>
    <w:rsid w:val="00A62D5C"/>
    <w:rsid w:val="00A62D83"/>
    <w:rsid w:val="00A62E5A"/>
    <w:rsid w:val="00A6333E"/>
    <w:rsid w:val="00A64358"/>
    <w:rsid w:val="00A6528D"/>
    <w:rsid w:val="00A66D2A"/>
    <w:rsid w:val="00A67D04"/>
    <w:rsid w:val="00A7035F"/>
    <w:rsid w:val="00A707B4"/>
    <w:rsid w:val="00A70C4D"/>
    <w:rsid w:val="00A72397"/>
    <w:rsid w:val="00A729A8"/>
    <w:rsid w:val="00A72EA2"/>
    <w:rsid w:val="00A733AC"/>
    <w:rsid w:val="00A7365E"/>
    <w:rsid w:val="00A73877"/>
    <w:rsid w:val="00A74F30"/>
    <w:rsid w:val="00A75D4B"/>
    <w:rsid w:val="00A76266"/>
    <w:rsid w:val="00A77302"/>
    <w:rsid w:val="00A77C11"/>
    <w:rsid w:val="00A80064"/>
    <w:rsid w:val="00A80079"/>
    <w:rsid w:val="00A808CF"/>
    <w:rsid w:val="00A80993"/>
    <w:rsid w:val="00A81218"/>
    <w:rsid w:val="00A817D3"/>
    <w:rsid w:val="00A836F4"/>
    <w:rsid w:val="00A83C60"/>
    <w:rsid w:val="00A84F15"/>
    <w:rsid w:val="00A864AD"/>
    <w:rsid w:val="00A86BF2"/>
    <w:rsid w:val="00A86C2D"/>
    <w:rsid w:val="00A86D05"/>
    <w:rsid w:val="00A86D59"/>
    <w:rsid w:val="00A86EB9"/>
    <w:rsid w:val="00A9086C"/>
    <w:rsid w:val="00A9087B"/>
    <w:rsid w:val="00A90933"/>
    <w:rsid w:val="00A91A37"/>
    <w:rsid w:val="00A91E86"/>
    <w:rsid w:val="00A92255"/>
    <w:rsid w:val="00A9286E"/>
    <w:rsid w:val="00A92A78"/>
    <w:rsid w:val="00A93503"/>
    <w:rsid w:val="00A94A4D"/>
    <w:rsid w:val="00A94DE0"/>
    <w:rsid w:val="00A95A77"/>
    <w:rsid w:val="00A95BD0"/>
    <w:rsid w:val="00A962D2"/>
    <w:rsid w:val="00A96AB1"/>
    <w:rsid w:val="00A96C89"/>
    <w:rsid w:val="00A96DA6"/>
    <w:rsid w:val="00A97071"/>
    <w:rsid w:val="00A97406"/>
    <w:rsid w:val="00AA018B"/>
    <w:rsid w:val="00AA05E0"/>
    <w:rsid w:val="00AA06FA"/>
    <w:rsid w:val="00AA0B64"/>
    <w:rsid w:val="00AA1442"/>
    <w:rsid w:val="00AA3836"/>
    <w:rsid w:val="00AA46AF"/>
    <w:rsid w:val="00AA4AB0"/>
    <w:rsid w:val="00AA4D57"/>
    <w:rsid w:val="00AA4E88"/>
    <w:rsid w:val="00AA6CE9"/>
    <w:rsid w:val="00AA6FB6"/>
    <w:rsid w:val="00AB1C58"/>
    <w:rsid w:val="00AB1DED"/>
    <w:rsid w:val="00AB29EF"/>
    <w:rsid w:val="00AB2E07"/>
    <w:rsid w:val="00AB3657"/>
    <w:rsid w:val="00AB3C88"/>
    <w:rsid w:val="00AB4433"/>
    <w:rsid w:val="00AB4460"/>
    <w:rsid w:val="00AB469B"/>
    <w:rsid w:val="00AB5443"/>
    <w:rsid w:val="00AB55A0"/>
    <w:rsid w:val="00AB69E1"/>
    <w:rsid w:val="00AB7989"/>
    <w:rsid w:val="00AB7B10"/>
    <w:rsid w:val="00AC01BA"/>
    <w:rsid w:val="00AC0B3F"/>
    <w:rsid w:val="00AC12D6"/>
    <w:rsid w:val="00AC149F"/>
    <w:rsid w:val="00AC1A33"/>
    <w:rsid w:val="00AC2619"/>
    <w:rsid w:val="00AC288C"/>
    <w:rsid w:val="00AC28FC"/>
    <w:rsid w:val="00AC302A"/>
    <w:rsid w:val="00AC4050"/>
    <w:rsid w:val="00AC40C1"/>
    <w:rsid w:val="00AC42F7"/>
    <w:rsid w:val="00AC4E9B"/>
    <w:rsid w:val="00AC4FF3"/>
    <w:rsid w:val="00AC553C"/>
    <w:rsid w:val="00AC5B4D"/>
    <w:rsid w:val="00AC5C28"/>
    <w:rsid w:val="00AC63D5"/>
    <w:rsid w:val="00AC64CC"/>
    <w:rsid w:val="00AC68B1"/>
    <w:rsid w:val="00AC68CB"/>
    <w:rsid w:val="00AC7182"/>
    <w:rsid w:val="00AC7D8E"/>
    <w:rsid w:val="00AD059E"/>
    <w:rsid w:val="00AD0901"/>
    <w:rsid w:val="00AD0FAC"/>
    <w:rsid w:val="00AD14D6"/>
    <w:rsid w:val="00AD236D"/>
    <w:rsid w:val="00AD2A9D"/>
    <w:rsid w:val="00AD2EEF"/>
    <w:rsid w:val="00AD3AA5"/>
    <w:rsid w:val="00AD3B92"/>
    <w:rsid w:val="00AD4082"/>
    <w:rsid w:val="00AD42F0"/>
    <w:rsid w:val="00AD4744"/>
    <w:rsid w:val="00AD713D"/>
    <w:rsid w:val="00AD7173"/>
    <w:rsid w:val="00AD72B4"/>
    <w:rsid w:val="00AE131E"/>
    <w:rsid w:val="00AE17B3"/>
    <w:rsid w:val="00AE2804"/>
    <w:rsid w:val="00AE2BFF"/>
    <w:rsid w:val="00AE2E78"/>
    <w:rsid w:val="00AE2F02"/>
    <w:rsid w:val="00AE3B8A"/>
    <w:rsid w:val="00AE4045"/>
    <w:rsid w:val="00AE4973"/>
    <w:rsid w:val="00AE5682"/>
    <w:rsid w:val="00AE56FC"/>
    <w:rsid w:val="00AE6831"/>
    <w:rsid w:val="00AE68B1"/>
    <w:rsid w:val="00AE6E8D"/>
    <w:rsid w:val="00AE7DE4"/>
    <w:rsid w:val="00AF17B6"/>
    <w:rsid w:val="00AF1830"/>
    <w:rsid w:val="00AF1F26"/>
    <w:rsid w:val="00AF2313"/>
    <w:rsid w:val="00AF297D"/>
    <w:rsid w:val="00AF3590"/>
    <w:rsid w:val="00AF55F4"/>
    <w:rsid w:val="00AF56A3"/>
    <w:rsid w:val="00AF69A7"/>
    <w:rsid w:val="00AF6C01"/>
    <w:rsid w:val="00AF6E23"/>
    <w:rsid w:val="00AF71FA"/>
    <w:rsid w:val="00AF78EB"/>
    <w:rsid w:val="00B0020D"/>
    <w:rsid w:val="00B00ABA"/>
    <w:rsid w:val="00B00E77"/>
    <w:rsid w:val="00B015B5"/>
    <w:rsid w:val="00B01886"/>
    <w:rsid w:val="00B01C39"/>
    <w:rsid w:val="00B020F3"/>
    <w:rsid w:val="00B0233A"/>
    <w:rsid w:val="00B026F5"/>
    <w:rsid w:val="00B036B0"/>
    <w:rsid w:val="00B03BD4"/>
    <w:rsid w:val="00B03DAD"/>
    <w:rsid w:val="00B040DC"/>
    <w:rsid w:val="00B04633"/>
    <w:rsid w:val="00B049EF"/>
    <w:rsid w:val="00B04EB5"/>
    <w:rsid w:val="00B060A4"/>
    <w:rsid w:val="00B061E9"/>
    <w:rsid w:val="00B073D8"/>
    <w:rsid w:val="00B1033C"/>
    <w:rsid w:val="00B10FB1"/>
    <w:rsid w:val="00B11034"/>
    <w:rsid w:val="00B112DC"/>
    <w:rsid w:val="00B11772"/>
    <w:rsid w:val="00B119D5"/>
    <w:rsid w:val="00B1344E"/>
    <w:rsid w:val="00B13554"/>
    <w:rsid w:val="00B1363A"/>
    <w:rsid w:val="00B13A2D"/>
    <w:rsid w:val="00B13BAF"/>
    <w:rsid w:val="00B13CBC"/>
    <w:rsid w:val="00B13CBF"/>
    <w:rsid w:val="00B14759"/>
    <w:rsid w:val="00B155B6"/>
    <w:rsid w:val="00B15FA1"/>
    <w:rsid w:val="00B1634F"/>
    <w:rsid w:val="00B16BA1"/>
    <w:rsid w:val="00B17263"/>
    <w:rsid w:val="00B177D7"/>
    <w:rsid w:val="00B178F3"/>
    <w:rsid w:val="00B17C25"/>
    <w:rsid w:val="00B201DD"/>
    <w:rsid w:val="00B2030E"/>
    <w:rsid w:val="00B20E3A"/>
    <w:rsid w:val="00B21081"/>
    <w:rsid w:val="00B22FCF"/>
    <w:rsid w:val="00B2303A"/>
    <w:rsid w:val="00B236AA"/>
    <w:rsid w:val="00B24F54"/>
    <w:rsid w:val="00B262F1"/>
    <w:rsid w:val="00B26A90"/>
    <w:rsid w:val="00B277A0"/>
    <w:rsid w:val="00B27987"/>
    <w:rsid w:val="00B27ECA"/>
    <w:rsid w:val="00B30566"/>
    <w:rsid w:val="00B30D21"/>
    <w:rsid w:val="00B3186D"/>
    <w:rsid w:val="00B32080"/>
    <w:rsid w:val="00B331AA"/>
    <w:rsid w:val="00B337A6"/>
    <w:rsid w:val="00B353A8"/>
    <w:rsid w:val="00B35661"/>
    <w:rsid w:val="00B35694"/>
    <w:rsid w:val="00B35700"/>
    <w:rsid w:val="00B35D1D"/>
    <w:rsid w:val="00B35D70"/>
    <w:rsid w:val="00B360AB"/>
    <w:rsid w:val="00B36425"/>
    <w:rsid w:val="00B36487"/>
    <w:rsid w:val="00B36D0E"/>
    <w:rsid w:val="00B37E50"/>
    <w:rsid w:val="00B40E75"/>
    <w:rsid w:val="00B413C4"/>
    <w:rsid w:val="00B42095"/>
    <w:rsid w:val="00B4296F"/>
    <w:rsid w:val="00B431D8"/>
    <w:rsid w:val="00B433E2"/>
    <w:rsid w:val="00B43F80"/>
    <w:rsid w:val="00B44821"/>
    <w:rsid w:val="00B453DB"/>
    <w:rsid w:val="00B4544B"/>
    <w:rsid w:val="00B454F2"/>
    <w:rsid w:val="00B461C4"/>
    <w:rsid w:val="00B463BD"/>
    <w:rsid w:val="00B467F8"/>
    <w:rsid w:val="00B468CC"/>
    <w:rsid w:val="00B46E06"/>
    <w:rsid w:val="00B46ECE"/>
    <w:rsid w:val="00B4781D"/>
    <w:rsid w:val="00B47BFE"/>
    <w:rsid w:val="00B505B5"/>
    <w:rsid w:val="00B505D2"/>
    <w:rsid w:val="00B50720"/>
    <w:rsid w:val="00B50DA8"/>
    <w:rsid w:val="00B51044"/>
    <w:rsid w:val="00B511E7"/>
    <w:rsid w:val="00B5126A"/>
    <w:rsid w:val="00B5168E"/>
    <w:rsid w:val="00B51AD3"/>
    <w:rsid w:val="00B5211C"/>
    <w:rsid w:val="00B521BE"/>
    <w:rsid w:val="00B521E3"/>
    <w:rsid w:val="00B522E1"/>
    <w:rsid w:val="00B52F52"/>
    <w:rsid w:val="00B5365E"/>
    <w:rsid w:val="00B538A3"/>
    <w:rsid w:val="00B540FD"/>
    <w:rsid w:val="00B54284"/>
    <w:rsid w:val="00B54C48"/>
    <w:rsid w:val="00B54F6D"/>
    <w:rsid w:val="00B55A7B"/>
    <w:rsid w:val="00B5665A"/>
    <w:rsid w:val="00B5696F"/>
    <w:rsid w:val="00B56E96"/>
    <w:rsid w:val="00B600CB"/>
    <w:rsid w:val="00B601B5"/>
    <w:rsid w:val="00B6080F"/>
    <w:rsid w:val="00B61399"/>
    <w:rsid w:val="00B62F27"/>
    <w:rsid w:val="00B634D8"/>
    <w:rsid w:val="00B64921"/>
    <w:rsid w:val="00B65212"/>
    <w:rsid w:val="00B657D3"/>
    <w:rsid w:val="00B658C8"/>
    <w:rsid w:val="00B66531"/>
    <w:rsid w:val="00B6654A"/>
    <w:rsid w:val="00B66945"/>
    <w:rsid w:val="00B66C64"/>
    <w:rsid w:val="00B70315"/>
    <w:rsid w:val="00B70E47"/>
    <w:rsid w:val="00B71109"/>
    <w:rsid w:val="00B71271"/>
    <w:rsid w:val="00B71656"/>
    <w:rsid w:val="00B71911"/>
    <w:rsid w:val="00B719F7"/>
    <w:rsid w:val="00B71A35"/>
    <w:rsid w:val="00B72442"/>
    <w:rsid w:val="00B73942"/>
    <w:rsid w:val="00B73AB7"/>
    <w:rsid w:val="00B74317"/>
    <w:rsid w:val="00B761FC"/>
    <w:rsid w:val="00B76ABA"/>
    <w:rsid w:val="00B76ACE"/>
    <w:rsid w:val="00B771AE"/>
    <w:rsid w:val="00B775B6"/>
    <w:rsid w:val="00B77F41"/>
    <w:rsid w:val="00B80E6D"/>
    <w:rsid w:val="00B821F7"/>
    <w:rsid w:val="00B824A7"/>
    <w:rsid w:val="00B82EB0"/>
    <w:rsid w:val="00B83282"/>
    <w:rsid w:val="00B832E7"/>
    <w:rsid w:val="00B84955"/>
    <w:rsid w:val="00B84F24"/>
    <w:rsid w:val="00B85DEB"/>
    <w:rsid w:val="00B9117D"/>
    <w:rsid w:val="00B91477"/>
    <w:rsid w:val="00B9166D"/>
    <w:rsid w:val="00B91968"/>
    <w:rsid w:val="00B930B3"/>
    <w:rsid w:val="00B93C1F"/>
    <w:rsid w:val="00B94BD1"/>
    <w:rsid w:val="00B95137"/>
    <w:rsid w:val="00B95138"/>
    <w:rsid w:val="00B95342"/>
    <w:rsid w:val="00B96047"/>
    <w:rsid w:val="00B9608D"/>
    <w:rsid w:val="00B96D5F"/>
    <w:rsid w:val="00B97AFE"/>
    <w:rsid w:val="00B97FE2"/>
    <w:rsid w:val="00BA0929"/>
    <w:rsid w:val="00BA0BBA"/>
    <w:rsid w:val="00BA0D51"/>
    <w:rsid w:val="00BA1284"/>
    <w:rsid w:val="00BA1DC2"/>
    <w:rsid w:val="00BA23A6"/>
    <w:rsid w:val="00BA28DC"/>
    <w:rsid w:val="00BA2A2D"/>
    <w:rsid w:val="00BA391D"/>
    <w:rsid w:val="00BA44D8"/>
    <w:rsid w:val="00BA50B3"/>
    <w:rsid w:val="00BA5116"/>
    <w:rsid w:val="00BA58D5"/>
    <w:rsid w:val="00BA68B9"/>
    <w:rsid w:val="00BA6A2D"/>
    <w:rsid w:val="00BA6EC4"/>
    <w:rsid w:val="00BA6F2D"/>
    <w:rsid w:val="00BA7008"/>
    <w:rsid w:val="00BA73AE"/>
    <w:rsid w:val="00BA7C06"/>
    <w:rsid w:val="00BB167D"/>
    <w:rsid w:val="00BB16A8"/>
    <w:rsid w:val="00BB28EC"/>
    <w:rsid w:val="00BB2B25"/>
    <w:rsid w:val="00BB3C62"/>
    <w:rsid w:val="00BB3EA8"/>
    <w:rsid w:val="00BB4DA9"/>
    <w:rsid w:val="00BB5383"/>
    <w:rsid w:val="00BB61C6"/>
    <w:rsid w:val="00BB6657"/>
    <w:rsid w:val="00BB6FB5"/>
    <w:rsid w:val="00BB7E3B"/>
    <w:rsid w:val="00BC0338"/>
    <w:rsid w:val="00BC0353"/>
    <w:rsid w:val="00BC08D3"/>
    <w:rsid w:val="00BC0D7D"/>
    <w:rsid w:val="00BC115F"/>
    <w:rsid w:val="00BC1D66"/>
    <w:rsid w:val="00BC2B5F"/>
    <w:rsid w:val="00BC4277"/>
    <w:rsid w:val="00BC4511"/>
    <w:rsid w:val="00BC4A85"/>
    <w:rsid w:val="00BC4BF7"/>
    <w:rsid w:val="00BC545F"/>
    <w:rsid w:val="00BC6510"/>
    <w:rsid w:val="00BC6514"/>
    <w:rsid w:val="00BC6B8C"/>
    <w:rsid w:val="00BC713C"/>
    <w:rsid w:val="00BC7194"/>
    <w:rsid w:val="00BD000F"/>
    <w:rsid w:val="00BD03B7"/>
    <w:rsid w:val="00BD066A"/>
    <w:rsid w:val="00BD0E24"/>
    <w:rsid w:val="00BD0F5D"/>
    <w:rsid w:val="00BD1CC1"/>
    <w:rsid w:val="00BD1EF3"/>
    <w:rsid w:val="00BD2153"/>
    <w:rsid w:val="00BD216B"/>
    <w:rsid w:val="00BD22C7"/>
    <w:rsid w:val="00BD237F"/>
    <w:rsid w:val="00BD2716"/>
    <w:rsid w:val="00BD281D"/>
    <w:rsid w:val="00BD2C9A"/>
    <w:rsid w:val="00BD3F50"/>
    <w:rsid w:val="00BD418E"/>
    <w:rsid w:val="00BD45A5"/>
    <w:rsid w:val="00BD58DF"/>
    <w:rsid w:val="00BD5D13"/>
    <w:rsid w:val="00BD6C84"/>
    <w:rsid w:val="00BD712B"/>
    <w:rsid w:val="00BD7662"/>
    <w:rsid w:val="00BE043C"/>
    <w:rsid w:val="00BE0712"/>
    <w:rsid w:val="00BE0FB2"/>
    <w:rsid w:val="00BE13E4"/>
    <w:rsid w:val="00BE2037"/>
    <w:rsid w:val="00BE22C7"/>
    <w:rsid w:val="00BE2FD9"/>
    <w:rsid w:val="00BE316D"/>
    <w:rsid w:val="00BE3E84"/>
    <w:rsid w:val="00BE508A"/>
    <w:rsid w:val="00BE5274"/>
    <w:rsid w:val="00BE57C4"/>
    <w:rsid w:val="00BE7098"/>
    <w:rsid w:val="00BE7413"/>
    <w:rsid w:val="00BE7992"/>
    <w:rsid w:val="00BE7E4D"/>
    <w:rsid w:val="00BF0550"/>
    <w:rsid w:val="00BF0B32"/>
    <w:rsid w:val="00BF0BDD"/>
    <w:rsid w:val="00BF157B"/>
    <w:rsid w:val="00BF2ACA"/>
    <w:rsid w:val="00BF2E90"/>
    <w:rsid w:val="00BF3842"/>
    <w:rsid w:val="00BF3CB7"/>
    <w:rsid w:val="00BF41B5"/>
    <w:rsid w:val="00BF48F9"/>
    <w:rsid w:val="00BF54FF"/>
    <w:rsid w:val="00BF7EE2"/>
    <w:rsid w:val="00C004AE"/>
    <w:rsid w:val="00C007C9"/>
    <w:rsid w:val="00C01692"/>
    <w:rsid w:val="00C01C34"/>
    <w:rsid w:val="00C02437"/>
    <w:rsid w:val="00C0298A"/>
    <w:rsid w:val="00C03B9E"/>
    <w:rsid w:val="00C04044"/>
    <w:rsid w:val="00C04391"/>
    <w:rsid w:val="00C04852"/>
    <w:rsid w:val="00C04905"/>
    <w:rsid w:val="00C04CB1"/>
    <w:rsid w:val="00C04DCE"/>
    <w:rsid w:val="00C0548C"/>
    <w:rsid w:val="00C05574"/>
    <w:rsid w:val="00C05D79"/>
    <w:rsid w:val="00C063AE"/>
    <w:rsid w:val="00C06547"/>
    <w:rsid w:val="00C0775A"/>
    <w:rsid w:val="00C07AFF"/>
    <w:rsid w:val="00C07EB7"/>
    <w:rsid w:val="00C103C0"/>
    <w:rsid w:val="00C10488"/>
    <w:rsid w:val="00C107BF"/>
    <w:rsid w:val="00C1175E"/>
    <w:rsid w:val="00C125A8"/>
    <w:rsid w:val="00C127B6"/>
    <w:rsid w:val="00C127C6"/>
    <w:rsid w:val="00C12A8A"/>
    <w:rsid w:val="00C12F60"/>
    <w:rsid w:val="00C12F78"/>
    <w:rsid w:val="00C135FF"/>
    <w:rsid w:val="00C13620"/>
    <w:rsid w:val="00C13F4F"/>
    <w:rsid w:val="00C14587"/>
    <w:rsid w:val="00C14E01"/>
    <w:rsid w:val="00C155B2"/>
    <w:rsid w:val="00C15AAB"/>
    <w:rsid w:val="00C15EA1"/>
    <w:rsid w:val="00C17C92"/>
    <w:rsid w:val="00C201CF"/>
    <w:rsid w:val="00C20768"/>
    <w:rsid w:val="00C20EA3"/>
    <w:rsid w:val="00C20EF4"/>
    <w:rsid w:val="00C21081"/>
    <w:rsid w:val="00C21522"/>
    <w:rsid w:val="00C23039"/>
    <w:rsid w:val="00C2387F"/>
    <w:rsid w:val="00C23AB0"/>
    <w:rsid w:val="00C23B3E"/>
    <w:rsid w:val="00C23E69"/>
    <w:rsid w:val="00C23E84"/>
    <w:rsid w:val="00C23E97"/>
    <w:rsid w:val="00C23F93"/>
    <w:rsid w:val="00C24494"/>
    <w:rsid w:val="00C26588"/>
    <w:rsid w:val="00C2750A"/>
    <w:rsid w:val="00C275EB"/>
    <w:rsid w:val="00C276A1"/>
    <w:rsid w:val="00C27982"/>
    <w:rsid w:val="00C27B8F"/>
    <w:rsid w:val="00C30304"/>
    <w:rsid w:val="00C306DE"/>
    <w:rsid w:val="00C3133E"/>
    <w:rsid w:val="00C31393"/>
    <w:rsid w:val="00C31474"/>
    <w:rsid w:val="00C31907"/>
    <w:rsid w:val="00C322BF"/>
    <w:rsid w:val="00C32918"/>
    <w:rsid w:val="00C32E31"/>
    <w:rsid w:val="00C3417B"/>
    <w:rsid w:val="00C34D37"/>
    <w:rsid w:val="00C34D7C"/>
    <w:rsid w:val="00C357E6"/>
    <w:rsid w:val="00C36A55"/>
    <w:rsid w:val="00C40953"/>
    <w:rsid w:val="00C4183B"/>
    <w:rsid w:val="00C44207"/>
    <w:rsid w:val="00C442AC"/>
    <w:rsid w:val="00C44866"/>
    <w:rsid w:val="00C44D24"/>
    <w:rsid w:val="00C45127"/>
    <w:rsid w:val="00C4569F"/>
    <w:rsid w:val="00C46731"/>
    <w:rsid w:val="00C4680E"/>
    <w:rsid w:val="00C468F0"/>
    <w:rsid w:val="00C470F0"/>
    <w:rsid w:val="00C47165"/>
    <w:rsid w:val="00C4750C"/>
    <w:rsid w:val="00C475D0"/>
    <w:rsid w:val="00C47C51"/>
    <w:rsid w:val="00C47CDB"/>
    <w:rsid w:val="00C50520"/>
    <w:rsid w:val="00C511AB"/>
    <w:rsid w:val="00C5187C"/>
    <w:rsid w:val="00C521DD"/>
    <w:rsid w:val="00C52369"/>
    <w:rsid w:val="00C5286A"/>
    <w:rsid w:val="00C52D14"/>
    <w:rsid w:val="00C53361"/>
    <w:rsid w:val="00C53983"/>
    <w:rsid w:val="00C548C7"/>
    <w:rsid w:val="00C54B90"/>
    <w:rsid w:val="00C54C46"/>
    <w:rsid w:val="00C552F8"/>
    <w:rsid w:val="00C5573A"/>
    <w:rsid w:val="00C55B60"/>
    <w:rsid w:val="00C56157"/>
    <w:rsid w:val="00C56664"/>
    <w:rsid w:val="00C5678E"/>
    <w:rsid w:val="00C5742A"/>
    <w:rsid w:val="00C57560"/>
    <w:rsid w:val="00C57F3F"/>
    <w:rsid w:val="00C57FEB"/>
    <w:rsid w:val="00C604AB"/>
    <w:rsid w:val="00C607C9"/>
    <w:rsid w:val="00C60CC3"/>
    <w:rsid w:val="00C61242"/>
    <w:rsid w:val="00C61541"/>
    <w:rsid w:val="00C62176"/>
    <w:rsid w:val="00C62304"/>
    <w:rsid w:val="00C62587"/>
    <w:rsid w:val="00C62769"/>
    <w:rsid w:val="00C628DC"/>
    <w:rsid w:val="00C636C1"/>
    <w:rsid w:val="00C6386D"/>
    <w:rsid w:val="00C639F2"/>
    <w:rsid w:val="00C645B9"/>
    <w:rsid w:val="00C64B3E"/>
    <w:rsid w:val="00C64EB1"/>
    <w:rsid w:val="00C65393"/>
    <w:rsid w:val="00C65D21"/>
    <w:rsid w:val="00C65F49"/>
    <w:rsid w:val="00C66035"/>
    <w:rsid w:val="00C660FF"/>
    <w:rsid w:val="00C66551"/>
    <w:rsid w:val="00C66A56"/>
    <w:rsid w:val="00C66D51"/>
    <w:rsid w:val="00C66E32"/>
    <w:rsid w:val="00C67150"/>
    <w:rsid w:val="00C67743"/>
    <w:rsid w:val="00C7005A"/>
    <w:rsid w:val="00C71A15"/>
    <w:rsid w:val="00C71E3C"/>
    <w:rsid w:val="00C72248"/>
    <w:rsid w:val="00C722E6"/>
    <w:rsid w:val="00C72B4B"/>
    <w:rsid w:val="00C72C22"/>
    <w:rsid w:val="00C72FC7"/>
    <w:rsid w:val="00C72FFF"/>
    <w:rsid w:val="00C738E8"/>
    <w:rsid w:val="00C73B80"/>
    <w:rsid w:val="00C73F05"/>
    <w:rsid w:val="00C741AA"/>
    <w:rsid w:val="00C74E26"/>
    <w:rsid w:val="00C75D77"/>
    <w:rsid w:val="00C7611C"/>
    <w:rsid w:val="00C76AA3"/>
    <w:rsid w:val="00C80208"/>
    <w:rsid w:val="00C80C67"/>
    <w:rsid w:val="00C8154B"/>
    <w:rsid w:val="00C82AB2"/>
    <w:rsid w:val="00C833C5"/>
    <w:rsid w:val="00C84262"/>
    <w:rsid w:val="00C85380"/>
    <w:rsid w:val="00C85BD6"/>
    <w:rsid w:val="00C8730A"/>
    <w:rsid w:val="00C91378"/>
    <w:rsid w:val="00C91855"/>
    <w:rsid w:val="00C91C3F"/>
    <w:rsid w:val="00C9251B"/>
    <w:rsid w:val="00C92E1D"/>
    <w:rsid w:val="00C92EB2"/>
    <w:rsid w:val="00C930B8"/>
    <w:rsid w:val="00C93378"/>
    <w:rsid w:val="00C93A36"/>
    <w:rsid w:val="00C93C25"/>
    <w:rsid w:val="00C95C16"/>
    <w:rsid w:val="00C95D2B"/>
    <w:rsid w:val="00C961E6"/>
    <w:rsid w:val="00C97149"/>
    <w:rsid w:val="00C975B0"/>
    <w:rsid w:val="00C97679"/>
    <w:rsid w:val="00C9776E"/>
    <w:rsid w:val="00C97F6B"/>
    <w:rsid w:val="00CA06DF"/>
    <w:rsid w:val="00CA1579"/>
    <w:rsid w:val="00CA1D2C"/>
    <w:rsid w:val="00CA1E32"/>
    <w:rsid w:val="00CA2629"/>
    <w:rsid w:val="00CA2A73"/>
    <w:rsid w:val="00CA2B43"/>
    <w:rsid w:val="00CA34AA"/>
    <w:rsid w:val="00CA3500"/>
    <w:rsid w:val="00CA3BF5"/>
    <w:rsid w:val="00CA3EDE"/>
    <w:rsid w:val="00CA410A"/>
    <w:rsid w:val="00CA4120"/>
    <w:rsid w:val="00CA4128"/>
    <w:rsid w:val="00CA4418"/>
    <w:rsid w:val="00CA44FC"/>
    <w:rsid w:val="00CA4C24"/>
    <w:rsid w:val="00CA4C38"/>
    <w:rsid w:val="00CA58B9"/>
    <w:rsid w:val="00CB062E"/>
    <w:rsid w:val="00CB0AEC"/>
    <w:rsid w:val="00CB1074"/>
    <w:rsid w:val="00CB1647"/>
    <w:rsid w:val="00CB21E3"/>
    <w:rsid w:val="00CB2539"/>
    <w:rsid w:val="00CB25BC"/>
    <w:rsid w:val="00CB2DC4"/>
    <w:rsid w:val="00CB331D"/>
    <w:rsid w:val="00CB5B2F"/>
    <w:rsid w:val="00CB5C12"/>
    <w:rsid w:val="00CB5D19"/>
    <w:rsid w:val="00CB6252"/>
    <w:rsid w:val="00CB64ED"/>
    <w:rsid w:val="00CB65F5"/>
    <w:rsid w:val="00CB67CD"/>
    <w:rsid w:val="00CB6F1C"/>
    <w:rsid w:val="00CB766D"/>
    <w:rsid w:val="00CB7717"/>
    <w:rsid w:val="00CB7DA7"/>
    <w:rsid w:val="00CB7EC9"/>
    <w:rsid w:val="00CC0C10"/>
    <w:rsid w:val="00CC0C7E"/>
    <w:rsid w:val="00CC1C8A"/>
    <w:rsid w:val="00CC264A"/>
    <w:rsid w:val="00CC2CC2"/>
    <w:rsid w:val="00CC364E"/>
    <w:rsid w:val="00CC4221"/>
    <w:rsid w:val="00CC42B8"/>
    <w:rsid w:val="00CC4B69"/>
    <w:rsid w:val="00CC5BBF"/>
    <w:rsid w:val="00CC607A"/>
    <w:rsid w:val="00CC63B4"/>
    <w:rsid w:val="00CC6961"/>
    <w:rsid w:val="00CC72EF"/>
    <w:rsid w:val="00CC7327"/>
    <w:rsid w:val="00CC73BF"/>
    <w:rsid w:val="00CC74A8"/>
    <w:rsid w:val="00CC77BA"/>
    <w:rsid w:val="00CC787F"/>
    <w:rsid w:val="00CD0E90"/>
    <w:rsid w:val="00CD1A0F"/>
    <w:rsid w:val="00CD1CC5"/>
    <w:rsid w:val="00CD210D"/>
    <w:rsid w:val="00CD2211"/>
    <w:rsid w:val="00CD2213"/>
    <w:rsid w:val="00CD222A"/>
    <w:rsid w:val="00CD2A63"/>
    <w:rsid w:val="00CD35F4"/>
    <w:rsid w:val="00CD41B7"/>
    <w:rsid w:val="00CD4E50"/>
    <w:rsid w:val="00CD511E"/>
    <w:rsid w:val="00CD52B3"/>
    <w:rsid w:val="00CD536F"/>
    <w:rsid w:val="00CD56C9"/>
    <w:rsid w:val="00CD71BF"/>
    <w:rsid w:val="00CD74CF"/>
    <w:rsid w:val="00CD7EE1"/>
    <w:rsid w:val="00CD7FB3"/>
    <w:rsid w:val="00CE085D"/>
    <w:rsid w:val="00CE0F1F"/>
    <w:rsid w:val="00CE18ED"/>
    <w:rsid w:val="00CE1E94"/>
    <w:rsid w:val="00CE2015"/>
    <w:rsid w:val="00CE20F5"/>
    <w:rsid w:val="00CE2891"/>
    <w:rsid w:val="00CE2BFF"/>
    <w:rsid w:val="00CE414A"/>
    <w:rsid w:val="00CE4349"/>
    <w:rsid w:val="00CE5CAF"/>
    <w:rsid w:val="00CE5EEF"/>
    <w:rsid w:val="00CE6BEE"/>
    <w:rsid w:val="00CE7F70"/>
    <w:rsid w:val="00CE7FB7"/>
    <w:rsid w:val="00CF0172"/>
    <w:rsid w:val="00CF1F8D"/>
    <w:rsid w:val="00CF2258"/>
    <w:rsid w:val="00CF2BD9"/>
    <w:rsid w:val="00CF2FFC"/>
    <w:rsid w:val="00CF3377"/>
    <w:rsid w:val="00CF3504"/>
    <w:rsid w:val="00CF36DA"/>
    <w:rsid w:val="00CF3BB7"/>
    <w:rsid w:val="00CF421D"/>
    <w:rsid w:val="00CF50F9"/>
    <w:rsid w:val="00CF606E"/>
    <w:rsid w:val="00CF6D29"/>
    <w:rsid w:val="00CF76B1"/>
    <w:rsid w:val="00CF7B48"/>
    <w:rsid w:val="00CF7D61"/>
    <w:rsid w:val="00CF7E94"/>
    <w:rsid w:val="00D01128"/>
    <w:rsid w:val="00D01434"/>
    <w:rsid w:val="00D02065"/>
    <w:rsid w:val="00D022ED"/>
    <w:rsid w:val="00D029FD"/>
    <w:rsid w:val="00D02EC6"/>
    <w:rsid w:val="00D03774"/>
    <w:rsid w:val="00D047D8"/>
    <w:rsid w:val="00D04B48"/>
    <w:rsid w:val="00D04C1B"/>
    <w:rsid w:val="00D050A6"/>
    <w:rsid w:val="00D05832"/>
    <w:rsid w:val="00D05EDE"/>
    <w:rsid w:val="00D06680"/>
    <w:rsid w:val="00D067BF"/>
    <w:rsid w:val="00D06E99"/>
    <w:rsid w:val="00D078E4"/>
    <w:rsid w:val="00D07D22"/>
    <w:rsid w:val="00D11150"/>
    <w:rsid w:val="00D126D7"/>
    <w:rsid w:val="00D14181"/>
    <w:rsid w:val="00D14779"/>
    <w:rsid w:val="00D14B9B"/>
    <w:rsid w:val="00D14BD0"/>
    <w:rsid w:val="00D15185"/>
    <w:rsid w:val="00D15C95"/>
    <w:rsid w:val="00D162CB"/>
    <w:rsid w:val="00D163E7"/>
    <w:rsid w:val="00D16405"/>
    <w:rsid w:val="00D17C4E"/>
    <w:rsid w:val="00D17D71"/>
    <w:rsid w:val="00D17F2A"/>
    <w:rsid w:val="00D2037A"/>
    <w:rsid w:val="00D20CDD"/>
    <w:rsid w:val="00D20EA4"/>
    <w:rsid w:val="00D20FAA"/>
    <w:rsid w:val="00D212A2"/>
    <w:rsid w:val="00D21835"/>
    <w:rsid w:val="00D223AA"/>
    <w:rsid w:val="00D22468"/>
    <w:rsid w:val="00D22CA8"/>
    <w:rsid w:val="00D22CF0"/>
    <w:rsid w:val="00D231BE"/>
    <w:rsid w:val="00D238D6"/>
    <w:rsid w:val="00D245A2"/>
    <w:rsid w:val="00D247DC"/>
    <w:rsid w:val="00D24CA9"/>
    <w:rsid w:val="00D2575E"/>
    <w:rsid w:val="00D25892"/>
    <w:rsid w:val="00D25CA7"/>
    <w:rsid w:val="00D2685E"/>
    <w:rsid w:val="00D26E9B"/>
    <w:rsid w:val="00D26F6A"/>
    <w:rsid w:val="00D273D3"/>
    <w:rsid w:val="00D275FD"/>
    <w:rsid w:val="00D277F1"/>
    <w:rsid w:val="00D307B4"/>
    <w:rsid w:val="00D30994"/>
    <w:rsid w:val="00D31C36"/>
    <w:rsid w:val="00D3294A"/>
    <w:rsid w:val="00D32C85"/>
    <w:rsid w:val="00D32D0E"/>
    <w:rsid w:val="00D32DC9"/>
    <w:rsid w:val="00D3310B"/>
    <w:rsid w:val="00D33751"/>
    <w:rsid w:val="00D337AC"/>
    <w:rsid w:val="00D33E2B"/>
    <w:rsid w:val="00D33FF7"/>
    <w:rsid w:val="00D349E6"/>
    <w:rsid w:val="00D34DA1"/>
    <w:rsid w:val="00D35749"/>
    <w:rsid w:val="00D35997"/>
    <w:rsid w:val="00D36893"/>
    <w:rsid w:val="00D37297"/>
    <w:rsid w:val="00D3746F"/>
    <w:rsid w:val="00D379D7"/>
    <w:rsid w:val="00D37DCD"/>
    <w:rsid w:val="00D4094E"/>
    <w:rsid w:val="00D40C92"/>
    <w:rsid w:val="00D41F65"/>
    <w:rsid w:val="00D42561"/>
    <w:rsid w:val="00D42A21"/>
    <w:rsid w:val="00D42A40"/>
    <w:rsid w:val="00D434E1"/>
    <w:rsid w:val="00D43559"/>
    <w:rsid w:val="00D43B5B"/>
    <w:rsid w:val="00D440C1"/>
    <w:rsid w:val="00D440DB"/>
    <w:rsid w:val="00D44504"/>
    <w:rsid w:val="00D44875"/>
    <w:rsid w:val="00D44CE1"/>
    <w:rsid w:val="00D45D5A"/>
    <w:rsid w:val="00D46628"/>
    <w:rsid w:val="00D478E1"/>
    <w:rsid w:val="00D506F2"/>
    <w:rsid w:val="00D50A07"/>
    <w:rsid w:val="00D50B30"/>
    <w:rsid w:val="00D51571"/>
    <w:rsid w:val="00D53732"/>
    <w:rsid w:val="00D537A3"/>
    <w:rsid w:val="00D5387D"/>
    <w:rsid w:val="00D53888"/>
    <w:rsid w:val="00D53E20"/>
    <w:rsid w:val="00D5527B"/>
    <w:rsid w:val="00D5599F"/>
    <w:rsid w:val="00D55F97"/>
    <w:rsid w:val="00D57279"/>
    <w:rsid w:val="00D57AC1"/>
    <w:rsid w:val="00D602B0"/>
    <w:rsid w:val="00D60ABC"/>
    <w:rsid w:val="00D6114E"/>
    <w:rsid w:val="00D61382"/>
    <w:rsid w:val="00D623F6"/>
    <w:rsid w:val="00D627B5"/>
    <w:rsid w:val="00D63254"/>
    <w:rsid w:val="00D6335B"/>
    <w:rsid w:val="00D635A7"/>
    <w:rsid w:val="00D6378E"/>
    <w:rsid w:val="00D6408F"/>
    <w:rsid w:val="00D649BC"/>
    <w:rsid w:val="00D65089"/>
    <w:rsid w:val="00D65E55"/>
    <w:rsid w:val="00D66213"/>
    <w:rsid w:val="00D662C3"/>
    <w:rsid w:val="00D666C6"/>
    <w:rsid w:val="00D6670B"/>
    <w:rsid w:val="00D679CF"/>
    <w:rsid w:val="00D67FBB"/>
    <w:rsid w:val="00D7039C"/>
    <w:rsid w:val="00D70440"/>
    <w:rsid w:val="00D70B5A"/>
    <w:rsid w:val="00D7126D"/>
    <w:rsid w:val="00D712BC"/>
    <w:rsid w:val="00D7180C"/>
    <w:rsid w:val="00D71BFF"/>
    <w:rsid w:val="00D730A7"/>
    <w:rsid w:val="00D73A9F"/>
    <w:rsid w:val="00D73AC1"/>
    <w:rsid w:val="00D73BB8"/>
    <w:rsid w:val="00D73C4A"/>
    <w:rsid w:val="00D74C16"/>
    <w:rsid w:val="00D74DF1"/>
    <w:rsid w:val="00D75368"/>
    <w:rsid w:val="00D75B59"/>
    <w:rsid w:val="00D75D1D"/>
    <w:rsid w:val="00D76BFD"/>
    <w:rsid w:val="00D77339"/>
    <w:rsid w:val="00D7743D"/>
    <w:rsid w:val="00D77FD6"/>
    <w:rsid w:val="00D80848"/>
    <w:rsid w:val="00D8334D"/>
    <w:rsid w:val="00D839E8"/>
    <w:rsid w:val="00D83EF1"/>
    <w:rsid w:val="00D84A95"/>
    <w:rsid w:val="00D84ABD"/>
    <w:rsid w:val="00D84D15"/>
    <w:rsid w:val="00D84DF1"/>
    <w:rsid w:val="00D855EB"/>
    <w:rsid w:val="00D8642C"/>
    <w:rsid w:val="00D8667D"/>
    <w:rsid w:val="00D87A38"/>
    <w:rsid w:val="00D87C4A"/>
    <w:rsid w:val="00D906E4"/>
    <w:rsid w:val="00D915A5"/>
    <w:rsid w:val="00D91C01"/>
    <w:rsid w:val="00D91EEC"/>
    <w:rsid w:val="00D92E50"/>
    <w:rsid w:val="00D945C6"/>
    <w:rsid w:val="00D95156"/>
    <w:rsid w:val="00D95541"/>
    <w:rsid w:val="00D95717"/>
    <w:rsid w:val="00D9659F"/>
    <w:rsid w:val="00D97F36"/>
    <w:rsid w:val="00D97FDD"/>
    <w:rsid w:val="00DA1C72"/>
    <w:rsid w:val="00DA2672"/>
    <w:rsid w:val="00DA269C"/>
    <w:rsid w:val="00DA28E5"/>
    <w:rsid w:val="00DA29AE"/>
    <w:rsid w:val="00DA32F9"/>
    <w:rsid w:val="00DA360A"/>
    <w:rsid w:val="00DA3649"/>
    <w:rsid w:val="00DA37C7"/>
    <w:rsid w:val="00DA3840"/>
    <w:rsid w:val="00DA39FE"/>
    <w:rsid w:val="00DA4ED5"/>
    <w:rsid w:val="00DA5896"/>
    <w:rsid w:val="00DA673D"/>
    <w:rsid w:val="00DA6895"/>
    <w:rsid w:val="00DA6D0B"/>
    <w:rsid w:val="00DA7655"/>
    <w:rsid w:val="00DA7967"/>
    <w:rsid w:val="00DB03C9"/>
    <w:rsid w:val="00DB04BD"/>
    <w:rsid w:val="00DB0D30"/>
    <w:rsid w:val="00DB1312"/>
    <w:rsid w:val="00DB19C7"/>
    <w:rsid w:val="00DB22EC"/>
    <w:rsid w:val="00DB3401"/>
    <w:rsid w:val="00DB446A"/>
    <w:rsid w:val="00DB4514"/>
    <w:rsid w:val="00DB4661"/>
    <w:rsid w:val="00DB575F"/>
    <w:rsid w:val="00DB5A47"/>
    <w:rsid w:val="00DB5CDC"/>
    <w:rsid w:val="00DB6437"/>
    <w:rsid w:val="00DB78A0"/>
    <w:rsid w:val="00DB7FB0"/>
    <w:rsid w:val="00DC0F20"/>
    <w:rsid w:val="00DC1385"/>
    <w:rsid w:val="00DC1B9E"/>
    <w:rsid w:val="00DC5763"/>
    <w:rsid w:val="00DC5A05"/>
    <w:rsid w:val="00DC5E2F"/>
    <w:rsid w:val="00DD0855"/>
    <w:rsid w:val="00DD0881"/>
    <w:rsid w:val="00DD0D27"/>
    <w:rsid w:val="00DD20A5"/>
    <w:rsid w:val="00DD2128"/>
    <w:rsid w:val="00DD32B3"/>
    <w:rsid w:val="00DD3389"/>
    <w:rsid w:val="00DD518D"/>
    <w:rsid w:val="00DD5335"/>
    <w:rsid w:val="00DD5BDC"/>
    <w:rsid w:val="00DD5D3A"/>
    <w:rsid w:val="00DD5F33"/>
    <w:rsid w:val="00DD7383"/>
    <w:rsid w:val="00DD79BF"/>
    <w:rsid w:val="00DD7B79"/>
    <w:rsid w:val="00DE027E"/>
    <w:rsid w:val="00DE06D8"/>
    <w:rsid w:val="00DE07AD"/>
    <w:rsid w:val="00DE1B1B"/>
    <w:rsid w:val="00DE21CF"/>
    <w:rsid w:val="00DE2479"/>
    <w:rsid w:val="00DE2E4B"/>
    <w:rsid w:val="00DE405A"/>
    <w:rsid w:val="00DE4D87"/>
    <w:rsid w:val="00DE6C60"/>
    <w:rsid w:val="00DE713A"/>
    <w:rsid w:val="00DE77C9"/>
    <w:rsid w:val="00DF025D"/>
    <w:rsid w:val="00DF0405"/>
    <w:rsid w:val="00DF0BF4"/>
    <w:rsid w:val="00DF1102"/>
    <w:rsid w:val="00DF1B08"/>
    <w:rsid w:val="00DF2514"/>
    <w:rsid w:val="00DF3D9E"/>
    <w:rsid w:val="00DF4234"/>
    <w:rsid w:val="00DF44A5"/>
    <w:rsid w:val="00DF4DB3"/>
    <w:rsid w:val="00DF4F7C"/>
    <w:rsid w:val="00DF548E"/>
    <w:rsid w:val="00DF59A1"/>
    <w:rsid w:val="00DF5F72"/>
    <w:rsid w:val="00DF619D"/>
    <w:rsid w:val="00DF7059"/>
    <w:rsid w:val="00DF725A"/>
    <w:rsid w:val="00E00935"/>
    <w:rsid w:val="00E00EE1"/>
    <w:rsid w:val="00E013A1"/>
    <w:rsid w:val="00E01571"/>
    <w:rsid w:val="00E0182B"/>
    <w:rsid w:val="00E0249D"/>
    <w:rsid w:val="00E04600"/>
    <w:rsid w:val="00E05516"/>
    <w:rsid w:val="00E05FF6"/>
    <w:rsid w:val="00E064CA"/>
    <w:rsid w:val="00E065B3"/>
    <w:rsid w:val="00E066CC"/>
    <w:rsid w:val="00E06900"/>
    <w:rsid w:val="00E06D0E"/>
    <w:rsid w:val="00E06E63"/>
    <w:rsid w:val="00E06E94"/>
    <w:rsid w:val="00E10997"/>
    <w:rsid w:val="00E10BEE"/>
    <w:rsid w:val="00E12A6F"/>
    <w:rsid w:val="00E13B2E"/>
    <w:rsid w:val="00E145B4"/>
    <w:rsid w:val="00E14F5E"/>
    <w:rsid w:val="00E160E1"/>
    <w:rsid w:val="00E170BB"/>
    <w:rsid w:val="00E17110"/>
    <w:rsid w:val="00E17142"/>
    <w:rsid w:val="00E17C2C"/>
    <w:rsid w:val="00E20D00"/>
    <w:rsid w:val="00E20FDE"/>
    <w:rsid w:val="00E21799"/>
    <w:rsid w:val="00E21B05"/>
    <w:rsid w:val="00E21C09"/>
    <w:rsid w:val="00E22EEB"/>
    <w:rsid w:val="00E23341"/>
    <w:rsid w:val="00E23768"/>
    <w:rsid w:val="00E2429C"/>
    <w:rsid w:val="00E24688"/>
    <w:rsid w:val="00E248C4"/>
    <w:rsid w:val="00E2540B"/>
    <w:rsid w:val="00E25607"/>
    <w:rsid w:val="00E26715"/>
    <w:rsid w:val="00E269A8"/>
    <w:rsid w:val="00E26A02"/>
    <w:rsid w:val="00E27172"/>
    <w:rsid w:val="00E2796A"/>
    <w:rsid w:val="00E27B5A"/>
    <w:rsid w:val="00E27D01"/>
    <w:rsid w:val="00E27D82"/>
    <w:rsid w:val="00E30C90"/>
    <w:rsid w:val="00E31147"/>
    <w:rsid w:val="00E315CB"/>
    <w:rsid w:val="00E31639"/>
    <w:rsid w:val="00E32A06"/>
    <w:rsid w:val="00E3348F"/>
    <w:rsid w:val="00E33B6D"/>
    <w:rsid w:val="00E33D7F"/>
    <w:rsid w:val="00E33F45"/>
    <w:rsid w:val="00E34A37"/>
    <w:rsid w:val="00E34AB5"/>
    <w:rsid w:val="00E34BC7"/>
    <w:rsid w:val="00E3590A"/>
    <w:rsid w:val="00E35BAD"/>
    <w:rsid w:val="00E367DA"/>
    <w:rsid w:val="00E36CE9"/>
    <w:rsid w:val="00E37955"/>
    <w:rsid w:val="00E37ABE"/>
    <w:rsid w:val="00E37CFE"/>
    <w:rsid w:val="00E40946"/>
    <w:rsid w:val="00E40CE5"/>
    <w:rsid w:val="00E41378"/>
    <w:rsid w:val="00E413CE"/>
    <w:rsid w:val="00E41470"/>
    <w:rsid w:val="00E41AA1"/>
    <w:rsid w:val="00E4266F"/>
    <w:rsid w:val="00E427C9"/>
    <w:rsid w:val="00E42B07"/>
    <w:rsid w:val="00E42E52"/>
    <w:rsid w:val="00E43E74"/>
    <w:rsid w:val="00E4452F"/>
    <w:rsid w:val="00E44B7A"/>
    <w:rsid w:val="00E44DD8"/>
    <w:rsid w:val="00E45B91"/>
    <w:rsid w:val="00E47521"/>
    <w:rsid w:val="00E504B0"/>
    <w:rsid w:val="00E50C06"/>
    <w:rsid w:val="00E50CC6"/>
    <w:rsid w:val="00E5121B"/>
    <w:rsid w:val="00E528F4"/>
    <w:rsid w:val="00E52921"/>
    <w:rsid w:val="00E536C4"/>
    <w:rsid w:val="00E54639"/>
    <w:rsid w:val="00E54748"/>
    <w:rsid w:val="00E54AC2"/>
    <w:rsid w:val="00E55A9D"/>
    <w:rsid w:val="00E5602F"/>
    <w:rsid w:val="00E560D1"/>
    <w:rsid w:val="00E5621A"/>
    <w:rsid w:val="00E5750E"/>
    <w:rsid w:val="00E577D1"/>
    <w:rsid w:val="00E57A89"/>
    <w:rsid w:val="00E6134E"/>
    <w:rsid w:val="00E61440"/>
    <w:rsid w:val="00E61AF3"/>
    <w:rsid w:val="00E61FAD"/>
    <w:rsid w:val="00E62235"/>
    <w:rsid w:val="00E623B1"/>
    <w:rsid w:val="00E63413"/>
    <w:rsid w:val="00E63819"/>
    <w:rsid w:val="00E64026"/>
    <w:rsid w:val="00E64AC4"/>
    <w:rsid w:val="00E65AC7"/>
    <w:rsid w:val="00E65DD6"/>
    <w:rsid w:val="00E664FA"/>
    <w:rsid w:val="00E66CCE"/>
    <w:rsid w:val="00E670B2"/>
    <w:rsid w:val="00E6779E"/>
    <w:rsid w:val="00E70F3A"/>
    <w:rsid w:val="00E710F1"/>
    <w:rsid w:val="00E717F6"/>
    <w:rsid w:val="00E71B87"/>
    <w:rsid w:val="00E7206B"/>
    <w:rsid w:val="00E729FF"/>
    <w:rsid w:val="00E72BA1"/>
    <w:rsid w:val="00E72C06"/>
    <w:rsid w:val="00E7573B"/>
    <w:rsid w:val="00E7596D"/>
    <w:rsid w:val="00E75D3B"/>
    <w:rsid w:val="00E75F8C"/>
    <w:rsid w:val="00E766FF"/>
    <w:rsid w:val="00E7693C"/>
    <w:rsid w:val="00E76E1B"/>
    <w:rsid w:val="00E77B65"/>
    <w:rsid w:val="00E77FFE"/>
    <w:rsid w:val="00E8079A"/>
    <w:rsid w:val="00E80BD1"/>
    <w:rsid w:val="00E81E89"/>
    <w:rsid w:val="00E820FC"/>
    <w:rsid w:val="00E83266"/>
    <w:rsid w:val="00E8404B"/>
    <w:rsid w:val="00E844F3"/>
    <w:rsid w:val="00E8496F"/>
    <w:rsid w:val="00E84D51"/>
    <w:rsid w:val="00E85241"/>
    <w:rsid w:val="00E855E9"/>
    <w:rsid w:val="00E85760"/>
    <w:rsid w:val="00E85C58"/>
    <w:rsid w:val="00E8670A"/>
    <w:rsid w:val="00E86AF6"/>
    <w:rsid w:val="00E873FB"/>
    <w:rsid w:val="00E876BF"/>
    <w:rsid w:val="00E87925"/>
    <w:rsid w:val="00E90C0F"/>
    <w:rsid w:val="00E90F64"/>
    <w:rsid w:val="00E917C0"/>
    <w:rsid w:val="00E92510"/>
    <w:rsid w:val="00E92798"/>
    <w:rsid w:val="00E9353B"/>
    <w:rsid w:val="00E93D4E"/>
    <w:rsid w:val="00E93E2E"/>
    <w:rsid w:val="00E941C2"/>
    <w:rsid w:val="00E94303"/>
    <w:rsid w:val="00E94CA5"/>
    <w:rsid w:val="00E94EED"/>
    <w:rsid w:val="00E95040"/>
    <w:rsid w:val="00E950E9"/>
    <w:rsid w:val="00E95D57"/>
    <w:rsid w:val="00E97150"/>
    <w:rsid w:val="00E97A22"/>
    <w:rsid w:val="00E97AEA"/>
    <w:rsid w:val="00EA01E8"/>
    <w:rsid w:val="00EA0D96"/>
    <w:rsid w:val="00EA0E91"/>
    <w:rsid w:val="00EA1315"/>
    <w:rsid w:val="00EA1808"/>
    <w:rsid w:val="00EA2482"/>
    <w:rsid w:val="00EA25D6"/>
    <w:rsid w:val="00EA26E9"/>
    <w:rsid w:val="00EA27D2"/>
    <w:rsid w:val="00EA2FE1"/>
    <w:rsid w:val="00EA4C9D"/>
    <w:rsid w:val="00EA4CAC"/>
    <w:rsid w:val="00EA4F4B"/>
    <w:rsid w:val="00EA518A"/>
    <w:rsid w:val="00EA55A0"/>
    <w:rsid w:val="00EA5975"/>
    <w:rsid w:val="00EA5AAB"/>
    <w:rsid w:val="00EA69AF"/>
    <w:rsid w:val="00EA6F3B"/>
    <w:rsid w:val="00EA759B"/>
    <w:rsid w:val="00EA794F"/>
    <w:rsid w:val="00EA7A63"/>
    <w:rsid w:val="00EA7B84"/>
    <w:rsid w:val="00EB0B06"/>
    <w:rsid w:val="00EB0EA3"/>
    <w:rsid w:val="00EB1341"/>
    <w:rsid w:val="00EB1667"/>
    <w:rsid w:val="00EB1926"/>
    <w:rsid w:val="00EB2300"/>
    <w:rsid w:val="00EB2998"/>
    <w:rsid w:val="00EB3353"/>
    <w:rsid w:val="00EB5337"/>
    <w:rsid w:val="00EB53B6"/>
    <w:rsid w:val="00EB779B"/>
    <w:rsid w:val="00EB7C13"/>
    <w:rsid w:val="00EB7DC5"/>
    <w:rsid w:val="00EC00A7"/>
    <w:rsid w:val="00EC0527"/>
    <w:rsid w:val="00EC067A"/>
    <w:rsid w:val="00EC0D91"/>
    <w:rsid w:val="00EC0FE4"/>
    <w:rsid w:val="00EC158C"/>
    <w:rsid w:val="00EC20C8"/>
    <w:rsid w:val="00EC22E4"/>
    <w:rsid w:val="00EC23EF"/>
    <w:rsid w:val="00EC29B8"/>
    <w:rsid w:val="00EC482C"/>
    <w:rsid w:val="00EC54AB"/>
    <w:rsid w:val="00EC57EA"/>
    <w:rsid w:val="00EC5EE2"/>
    <w:rsid w:val="00EC6250"/>
    <w:rsid w:val="00EC657D"/>
    <w:rsid w:val="00EC6AD5"/>
    <w:rsid w:val="00EC6C0B"/>
    <w:rsid w:val="00EC6DFF"/>
    <w:rsid w:val="00EC6E74"/>
    <w:rsid w:val="00EC6EFD"/>
    <w:rsid w:val="00EC73F6"/>
    <w:rsid w:val="00ED00AB"/>
    <w:rsid w:val="00ED03E6"/>
    <w:rsid w:val="00ED11E8"/>
    <w:rsid w:val="00ED12DB"/>
    <w:rsid w:val="00ED168B"/>
    <w:rsid w:val="00ED1836"/>
    <w:rsid w:val="00ED19B7"/>
    <w:rsid w:val="00ED1A01"/>
    <w:rsid w:val="00ED1E30"/>
    <w:rsid w:val="00ED21EF"/>
    <w:rsid w:val="00ED2914"/>
    <w:rsid w:val="00ED2EE4"/>
    <w:rsid w:val="00ED40C4"/>
    <w:rsid w:val="00ED679E"/>
    <w:rsid w:val="00ED683F"/>
    <w:rsid w:val="00ED6D22"/>
    <w:rsid w:val="00ED7591"/>
    <w:rsid w:val="00EE02C0"/>
    <w:rsid w:val="00EE09A6"/>
    <w:rsid w:val="00EE0AD5"/>
    <w:rsid w:val="00EE0E40"/>
    <w:rsid w:val="00EE28BC"/>
    <w:rsid w:val="00EE365C"/>
    <w:rsid w:val="00EE42A6"/>
    <w:rsid w:val="00EE4F95"/>
    <w:rsid w:val="00EE5157"/>
    <w:rsid w:val="00EE5A7B"/>
    <w:rsid w:val="00EE5FD3"/>
    <w:rsid w:val="00EE60BA"/>
    <w:rsid w:val="00EE672E"/>
    <w:rsid w:val="00EE7002"/>
    <w:rsid w:val="00EE751A"/>
    <w:rsid w:val="00EE7899"/>
    <w:rsid w:val="00EE7B34"/>
    <w:rsid w:val="00EF089B"/>
    <w:rsid w:val="00EF1A87"/>
    <w:rsid w:val="00EF2AF2"/>
    <w:rsid w:val="00EF2E7C"/>
    <w:rsid w:val="00EF373D"/>
    <w:rsid w:val="00EF3DF2"/>
    <w:rsid w:val="00EF4064"/>
    <w:rsid w:val="00EF5713"/>
    <w:rsid w:val="00EF5D47"/>
    <w:rsid w:val="00EF5E18"/>
    <w:rsid w:val="00EF61B1"/>
    <w:rsid w:val="00EF6C61"/>
    <w:rsid w:val="00EF6FE8"/>
    <w:rsid w:val="00EF71FB"/>
    <w:rsid w:val="00EF7BD0"/>
    <w:rsid w:val="00F0005C"/>
    <w:rsid w:val="00F001E9"/>
    <w:rsid w:val="00F007B4"/>
    <w:rsid w:val="00F009A9"/>
    <w:rsid w:val="00F01489"/>
    <w:rsid w:val="00F01527"/>
    <w:rsid w:val="00F018D5"/>
    <w:rsid w:val="00F01AAB"/>
    <w:rsid w:val="00F01AB9"/>
    <w:rsid w:val="00F0337B"/>
    <w:rsid w:val="00F0366A"/>
    <w:rsid w:val="00F0426C"/>
    <w:rsid w:val="00F043AF"/>
    <w:rsid w:val="00F04A60"/>
    <w:rsid w:val="00F05622"/>
    <w:rsid w:val="00F059CB"/>
    <w:rsid w:val="00F05F55"/>
    <w:rsid w:val="00F06C6D"/>
    <w:rsid w:val="00F06D1B"/>
    <w:rsid w:val="00F07BE5"/>
    <w:rsid w:val="00F10059"/>
    <w:rsid w:val="00F105EF"/>
    <w:rsid w:val="00F11051"/>
    <w:rsid w:val="00F11C87"/>
    <w:rsid w:val="00F124FB"/>
    <w:rsid w:val="00F13626"/>
    <w:rsid w:val="00F1368F"/>
    <w:rsid w:val="00F13693"/>
    <w:rsid w:val="00F13E99"/>
    <w:rsid w:val="00F149F1"/>
    <w:rsid w:val="00F14AD9"/>
    <w:rsid w:val="00F15B3B"/>
    <w:rsid w:val="00F15D9E"/>
    <w:rsid w:val="00F15DE6"/>
    <w:rsid w:val="00F20026"/>
    <w:rsid w:val="00F2116D"/>
    <w:rsid w:val="00F2126D"/>
    <w:rsid w:val="00F21325"/>
    <w:rsid w:val="00F2209D"/>
    <w:rsid w:val="00F2274A"/>
    <w:rsid w:val="00F22E4F"/>
    <w:rsid w:val="00F23647"/>
    <w:rsid w:val="00F24BE1"/>
    <w:rsid w:val="00F24E4B"/>
    <w:rsid w:val="00F25180"/>
    <w:rsid w:val="00F26243"/>
    <w:rsid w:val="00F265B1"/>
    <w:rsid w:val="00F2736A"/>
    <w:rsid w:val="00F27A97"/>
    <w:rsid w:val="00F303DB"/>
    <w:rsid w:val="00F3189F"/>
    <w:rsid w:val="00F31966"/>
    <w:rsid w:val="00F32622"/>
    <w:rsid w:val="00F330A2"/>
    <w:rsid w:val="00F3361B"/>
    <w:rsid w:val="00F3377D"/>
    <w:rsid w:val="00F33AF8"/>
    <w:rsid w:val="00F34265"/>
    <w:rsid w:val="00F352BD"/>
    <w:rsid w:val="00F35667"/>
    <w:rsid w:val="00F3593F"/>
    <w:rsid w:val="00F35CA6"/>
    <w:rsid w:val="00F368A2"/>
    <w:rsid w:val="00F36992"/>
    <w:rsid w:val="00F37A46"/>
    <w:rsid w:val="00F37B74"/>
    <w:rsid w:val="00F37CCC"/>
    <w:rsid w:val="00F37D5C"/>
    <w:rsid w:val="00F37EAC"/>
    <w:rsid w:val="00F406B6"/>
    <w:rsid w:val="00F407CE"/>
    <w:rsid w:val="00F41DD9"/>
    <w:rsid w:val="00F428C6"/>
    <w:rsid w:val="00F42B49"/>
    <w:rsid w:val="00F42E32"/>
    <w:rsid w:val="00F43090"/>
    <w:rsid w:val="00F43359"/>
    <w:rsid w:val="00F4342B"/>
    <w:rsid w:val="00F436E7"/>
    <w:rsid w:val="00F438BB"/>
    <w:rsid w:val="00F43BF7"/>
    <w:rsid w:val="00F43E1C"/>
    <w:rsid w:val="00F45296"/>
    <w:rsid w:val="00F4559F"/>
    <w:rsid w:val="00F45F33"/>
    <w:rsid w:val="00F465A5"/>
    <w:rsid w:val="00F46E0E"/>
    <w:rsid w:val="00F46F0B"/>
    <w:rsid w:val="00F47837"/>
    <w:rsid w:val="00F478DC"/>
    <w:rsid w:val="00F47A8A"/>
    <w:rsid w:val="00F47C73"/>
    <w:rsid w:val="00F47DF3"/>
    <w:rsid w:val="00F507DB"/>
    <w:rsid w:val="00F508BE"/>
    <w:rsid w:val="00F50C43"/>
    <w:rsid w:val="00F50F19"/>
    <w:rsid w:val="00F51427"/>
    <w:rsid w:val="00F530D2"/>
    <w:rsid w:val="00F53B6F"/>
    <w:rsid w:val="00F55AA5"/>
    <w:rsid w:val="00F5697C"/>
    <w:rsid w:val="00F574E9"/>
    <w:rsid w:val="00F576D3"/>
    <w:rsid w:val="00F5781D"/>
    <w:rsid w:val="00F601A9"/>
    <w:rsid w:val="00F60732"/>
    <w:rsid w:val="00F612B9"/>
    <w:rsid w:val="00F615DA"/>
    <w:rsid w:val="00F62042"/>
    <w:rsid w:val="00F624CE"/>
    <w:rsid w:val="00F6290F"/>
    <w:rsid w:val="00F629A7"/>
    <w:rsid w:val="00F636B5"/>
    <w:rsid w:val="00F63B00"/>
    <w:rsid w:val="00F63D55"/>
    <w:rsid w:val="00F64065"/>
    <w:rsid w:val="00F64A9D"/>
    <w:rsid w:val="00F659DC"/>
    <w:rsid w:val="00F65A97"/>
    <w:rsid w:val="00F65DA2"/>
    <w:rsid w:val="00F665CD"/>
    <w:rsid w:val="00F70DEA"/>
    <w:rsid w:val="00F71067"/>
    <w:rsid w:val="00F72960"/>
    <w:rsid w:val="00F7329F"/>
    <w:rsid w:val="00F73809"/>
    <w:rsid w:val="00F73DAE"/>
    <w:rsid w:val="00F74028"/>
    <w:rsid w:val="00F741ED"/>
    <w:rsid w:val="00F74A0D"/>
    <w:rsid w:val="00F758D3"/>
    <w:rsid w:val="00F759BA"/>
    <w:rsid w:val="00F7646A"/>
    <w:rsid w:val="00F76F05"/>
    <w:rsid w:val="00F774EF"/>
    <w:rsid w:val="00F77E48"/>
    <w:rsid w:val="00F77EA1"/>
    <w:rsid w:val="00F80FEB"/>
    <w:rsid w:val="00F81CA6"/>
    <w:rsid w:val="00F81EF6"/>
    <w:rsid w:val="00F82061"/>
    <w:rsid w:val="00F84DB9"/>
    <w:rsid w:val="00F85024"/>
    <w:rsid w:val="00F85900"/>
    <w:rsid w:val="00F85C6B"/>
    <w:rsid w:val="00F85E69"/>
    <w:rsid w:val="00F86D20"/>
    <w:rsid w:val="00F90003"/>
    <w:rsid w:val="00F9002D"/>
    <w:rsid w:val="00F90030"/>
    <w:rsid w:val="00F90447"/>
    <w:rsid w:val="00F91B88"/>
    <w:rsid w:val="00F920BB"/>
    <w:rsid w:val="00F920F2"/>
    <w:rsid w:val="00F92701"/>
    <w:rsid w:val="00F92ABE"/>
    <w:rsid w:val="00F9345B"/>
    <w:rsid w:val="00F9365E"/>
    <w:rsid w:val="00F9414A"/>
    <w:rsid w:val="00F944D6"/>
    <w:rsid w:val="00F94E91"/>
    <w:rsid w:val="00F950CD"/>
    <w:rsid w:val="00F9529B"/>
    <w:rsid w:val="00F96A3D"/>
    <w:rsid w:val="00F97209"/>
    <w:rsid w:val="00F97646"/>
    <w:rsid w:val="00F976EF"/>
    <w:rsid w:val="00F97B49"/>
    <w:rsid w:val="00F97B55"/>
    <w:rsid w:val="00F97BAB"/>
    <w:rsid w:val="00F97FA3"/>
    <w:rsid w:val="00FA04FE"/>
    <w:rsid w:val="00FA071D"/>
    <w:rsid w:val="00FA0B27"/>
    <w:rsid w:val="00FA0F57"/>
    <w:rsid w:val="00FA1055"/>
    <w:rsid w:val="00FA15B5"/>
    <w:rsid w:val="00FA2109"/>
    <w:rsid w:val="00FA2566"/>
    <w:rsid w:val="00FA277E"/>
    <w:rsid w:val="00FA2808"/>
    <w:rsid w:val="00FA29C8"/>
    <w:rsid w:val="00FA320E"/>
    <w:rsid w:val="00FA3A35"/>
    <w:rsid w:val="00FA4365"/>
    <w:rsid w:val="00FA44E9"/>
    <w:rsid w:val="00FA5714"/>
    <w:rsid w:val="00FA5AC3"/>
    <w:rsid w:val="00FA6571"/>
    <w:rsid w:val="00FA6A19"/>
    <w:rsid w:val="00FA6C35"/>
    <w:rsid w:val="00FB01FF"/>
    <w:rsid w:val="00FB0B81"/>
    <w:rsid w:val="00FB1018"/>
    <w:rsid w:val="00FB11C7"/>
    <w:rsid w:val="00FB19A6"/>
    <w:rsid w:val="00FB1A81"/>
    <w:rsid w:val="00FB2893"/>
    <w:rsid w:val="00FB2C90"/>
    <w:rsid w:val="00FB3C5D"/>
    <w:rsid w:val="00FB3F7F"/>
    <w:rsid w:val="00FB425C"/>
    <w:rsid w:val="00FB46CE"/>
    <w:rsid w:val="00FB48A0"/>
    <w:rsid w:val="00FB57F6"/>
    <w:rsid w:val="00FB5AC1"/>
    <w:rsid w:val="00FB5E4D"/>
    <w:rsid w:val="00FB5EC3"/>
    <w:rsid w:val="00FB6FAB"/>
    <w:rsid w:val="00FB7116"/>
    <w:rsid w:val="00FB756A"/>
    <w:rsid w:val="00FB76EA"/>
    <w:rsid w:val="00FB7B2F"/>
    <w:rsid w:val="00FB7F76"/>
    <w:rsid w:val="00FC0C77"/>
    <w:rsid w:val="00FC0DD6"/>
    <w:rsid w:val="00FC10D6"/>
    <w:rsid w:val="00FC11B7"/>
    <w:rsid w:val="00FC1618"/>
    <w:rsid w:val="00FC1A13"/>
    <w:rsid w:val="00FC30A1"/>
    <w:rsid w:val="00FC321D"/>
    <w:rsid w:val="00FC3395"/>
    <w:rsid w:val="00FC357B"/>
    <w:rsid w:val="00FC3693"/>
    <w:rsid w:val="00FC437A"/>
    <w:rsid w:val="00FC45A3"/>
    <w:rsid w:val="00FC4BFA"/>
    <w:rsid w:val="00FC4DFE"/>
    <w:rsid w:val="00FC6470"/>
    <w:rsid w:val="00FC70BD"/>
    <w:rsid w:val="00FC7160"/>
    <w:rsid w:val="00FC7317"/>
    <w:rsid w:val="00FC74A7"/>
    <w:rsid w:val="00FC77AB"/>
    <w:rsid w:val="00FC7815"/>
    <w:rsid w:val="00FD0509"/>
    <w:rsid w:val="00FD0A42"/>
    <w:rsid w:val="00FD13B5"/>
    <w:rsid w:val="00FD2B71"/>
    <w:rsid w:val="00FD4E74"/>
    <w:rsid w:val="00FD57CE"/>
    <w:rsid w:val="00FD7856"/>
    <w:rsid w:val="00FD7BB0"/>
    <w:rsid w:val="00FD7E76"/>
    <w:rsid w:val="00FE033C"/>
    <w:rsid w:val="00FE05B6"/>
    <w:rsid w:val="00FE06DB"/>
    <w:rsid w:val="00FE19E0"/>
    <w:rsid w:val="00FE1D28"/>
    <w:rsid w:val="00FE1E3C"/>
    <w:rsid w:val="00FE34ED"/>
    <w:rsid w:val="00FE42F9"/>
    <w:rsid w:val="00FE47A4"/>
    <w:rsid w:val="00FE4883"/>
    <w:rsid w:val="00FE61B7"/>
    <w:rsid w:val="00FE61CC"/>
    <w:rsid w:val="00FE6914"/>
    <w:rsid w:val="00FE6B42"/>
    <w:rsid w:val="00FE6DD8"/>
    <w:rsid w:val="00FE709D"/>
    <w:rsid w:val="00FF0AC3"/>
    <w:rsid w:val="00FF0B71"/>
    <w:rsid w:val="00FF1C77"/>
    <w:rsid w:val="00FF2403"/>
    <w:rsid w:val="00FF27C3"/>
    <w:rsid w:val="00FF318C"/>
    <w:rsid w:val="00FF346F"/>
    <w:rsid w:val="00FF3505"/>
    <w:rsid w:val="00FF3831"/>
    <w:rsid w:val="00FF3BA4"/>
    <w:rsid w:val="00FF4C96"/>
    <w:rsid w:val="00FF501D"/>
    <w:rsid w:val="00FF505F"/>
    <w:rsid w:val="00FF5603"/>
    <w:rsid w:val="00FF5B21"/>
    <w:rsid w:val="00FF5BD3"/>
    <w:rsid w:val="00FF6DCC"/>
    <w:rsid w:val="00FF714D"/>
    <w:rsid w:val="00FF771D"/>
    <w:rsid w:val="00FF7A80"/>
    <w:rsid w:val="00FF7B2A"/>
    <w:rsid w:val="00FF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A6"/>
    <w:rPr>
      <w:rFonts w:eastAsia="Times New Roman"/>
      <w:sz w:val="24"/>
      <w:szCs w:val="24"/>
    </w:rPr>
  </w:style>
  <w:style w:type="paragraph" w:styleId="Heading1">
    <w:name w:val="heading 1"/>
    <w:basedOn w:val="Normal"/>
    <w:next w:val="Normal"/>
    <w:link w:val="Heading1Char"/>
    <w:uiPriority w:val="99"/>
    <w:qFormat/>
    <w:rsid w:val="006609A6"/>
    <w:pPr>
      <w:keepNext/>
      <w:outlineLvl w:val="0"/>
    </w:pPr>
    <w:rPr>
      <w:sz w:val="28"/>
      <w:lang w:eastAsia="en-US"/>
    </w:rPr>
  </w:style>
  <w:style w:type="paragraph" w:styleId="Heading2">
    <w:name w:val="heading 2"/>
    <w:basedOn w:val="Normal"/>
    <w:next w:val="Normal"/>
    <w:link w:val="Heading2Char"/>
    <w:uiPriority w:val="99"/>
    <w:qFormat/>
    <w:rsid w:val="006609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09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09A6"/>
    <w:pPr>
      <w:keepNext/>
      <w:spacing w:before="240" w:after="60"/>
      <w:outlineLvl w:val="3"/>
    </w:pPr>
    <w:rPr>
      <w:b/>
      <w:bCs/>
      <w:sz w:val="28"/>
      <w:szCs w:val="28"/>
    </w:rPr>
  </w:style>
  <w:style w:type="paragraph" w:styleId="Heading5">
    <w:name w:val="heading 5"/>
    <w:basedOn w:val="Normal"/>
    <w:next w:val="Normal"/>
    <w:link w:val="Heading5Char"/>
    <w:qFormat/>
    <w:rsid w:val="006609A6"/>
    <w:pPr>
      <w:spacing w:before="240" w:after="60"/>
      <w:outlineLvl w:val="4"/>
    </w:pPr>
    <w:rPr>
      <w:b/>
      <w:bCs/>
      <w:i/>
      <w:iCs/>
      <w:sz w:val="26"/>
      <w:szCs w:val="26"/>
    </w:rPr>
  </w:style>
  <w:style w:type="paragraph" w:styleId="Heading6">
    <w:name w:val="heading 6"/>
    <w:basedOn w:val="Normal"/>
    <w:next w:val="Normal"/>
    <w:link w:val="Heading6Char"/>
    <w:qFormat/>
    <w:rsid w:val="006609A6"/>
    <w:pPr>
      <w:keepNext/>
      <w:outlineLvl w:val="5"/>
    </w:pPr>
    <w:rPr>
      <w:b/>
      <w:bCs/>
      <w:i/>
      <w:u w:val="single"/>
    </w:rPr>
  </w:style>
  <w:style w:type="paragraph" w:styleId="Heading7">
    <w:name w:val="heading 7"/>
    <w:basedOn w:val="Normal"/>
    <w:next w:val="Normal"/>
    <w:link w:val="Heading7Char"/>
    <w:qFormat/>
    <w:rsid w:val="006609A6"/>
    <w:pPr>
      <w:spacing w:before="240" w:after="60"/>
      <w:ind w:firstLine="567"/>
      <w:jc w:val="both"/>
      <w:outlineLvl w:val="6"/>
    </w:pPr>
    <w:rPr>
      <w:sz w:val="28"/>
      <w:lang w:eastAsia="en-US"/>
    </w:rPr>
  </w:style>
  <w:style w:type="paragraph" w:styleId="Heading8">
    <w:name w:val="heading 8"/>
    <w:basedOn w:val="Normal"/>
    <w:next w:val="Normal"/>
    <w:link w:val="Heading8Char"/>
    <w:qFormat/>
    <w:rsid w:val="006609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F19"/>
    <w:rPr>
      <w:sz w:val="28"/>
      <w:szCs w:val="24"/>
      <w:lang w:val="lv-LV" w:eastAsia="en-US" w:bidi="ar-SA"/>
    </w:rPr>
  </w:style>
  <w:style w:type="character" w:customStyle="1" w:styleId="Heading2Char">
    <w:name w:val="Heading 2 Char"/>
    <w:basedOn w:val="DefaultParagraphFont"/>
    <w:link w:val="Heading2"/>
    <w:uiPriority w:val="99"/>
    <w:locked/>
    <w:rsid w:val="00F50F19"/>
    <w:rPr>
      <w:rFonts w:ascii="Arial" w:hAnsi="Arial" w:cs="Arial"/>
      <w:b/>
      <w:bCs/>
      <w:i/>
      <w:iCs/>
      <w:sz w:val="28"/>
      <w:szCs w:val="28"/>
      <w:lang w:val="ru-RU" w:eastAsia="lv-LV" w:bidi="ar-SA"/>
    </w:rPr>
  </w:style>
  <w:style w:type="character" w:customStyle="1" w:styleId="Heading3Char">
    <w:name w:val="Heading 3 Char"/>
    <w:basedOn w:val="DefaultParagraphFont"/>
    <w:link w:val="Heading3"/>
    <w:semiHidden/>
    <w:locked/>
    <w:rsid w:val="00F50F19"/>
    <w:rPr>
      <w:rFonts w:ascii="Arial" w:hAnsi="Arial" w:cs="Arial"/>
      <w:b/>
      <w:bCs/>
      <w:sz w:val="26"/>
      <w:szCs w:val="26"/>
      <w:lang w:val="ru-RU" w:eastAsia="lv-LV" w:bidi="ar-SA"/>
    </w:rPr>
  </w:style>
  <w:style w:type="character" w:customStyle="1" w:styleId="Heading4Char">
    <w:name w:val="Heading 4 Char"/>
    <w:basedOn w:val="DefaultParagraphFont"/>
    <w:link w:val="Heading4"/>
    <w:semiHidden/>
    <w:locked/>
    <w:rsid w:val="00F50F19"/>
    <w:rPr>
      <w:b/>
      <w:bCs/>
      <w:sz w:val="28"/>
      <w:szCs w:val="28"/>
      <w:lang w:val="ru-RU" w:eastAsia="lv-LV" w:bidi="ar-SA"/>
    </w:rPr>
  </w:style>
  <w:style w:type="character" w:customStyle="1" w:styleId="Heading5Char">
    <w:name w:val="Heading 5 Char"/>
    <w:basedOn w:val="DefaultParagraphFont"/>
    <w:link w:val="Heading5"/>
    <w:semiHidden/>
    <w:locked/>
    <w:rsid w:val="00F50F19"/>
    <w:rPr>
      <w:b/>
      <w:bCs/>
      <w:i/>
      <w:iCs/>
      <w:sz w:val="26"/>
      <w:szCs w:val="26"/>
      <w:lang w:val="ru-RU" w:eastAsia="lv-LV" w:bidi="ar-SA"/>
    </w:rPr>
  </w:style>
  <w:style w:type="character" w:customStyle="1" w:styleId="Heading6Char">
    <w:name w:val="Heading 6 Char"/>
    <w:basedOn w:val="DefaultParagraphFont"/>
    <w:link w:val="Heading6"/>
    <w:semiHidden/>
    <w:locked/>
    <w:rsid w:val="00F50F19"/>
    <w:rPr>
      <w:b/>
      <w:bCs/>
      <w:i/>
      <w:sz w:val="24"/>
      <w:szCs w:val="24"/>
      <w:u w:val="single"/>
      <w:lang w:val="lv-LV" w:eastAsia="lv-LV" w:bidi="ar-SA"/>
    </w:rPr>
  </w:style>
  <w:style w:type="character" w:customStyle="1" w:styleId="Heading7Char">
    <w:name w:val="Heading 7 Char"/>
    <w:basedOn w:val="DefaultParagraphFont"/>
    <w:link w:val="Heading7"/>
    <w:semiHidden/>
    <w:locked/>
    <w:rsid w:val="00F50F19"/>
    <w:rPr>
      <w:sz w:val="28"/>
      <w:szCs w:val="24"/>
      <w:lang w:val="lv-LV" w:eastAsia="en-US" w:bidi="ar-SA"/>
    </w:rPr>
  </w:style>
  <w:style w:type="character" w:customStyle="1" w:styleId="Heading8Char">
    <w:name w:val="Heading 8 Char"/>
    <w:basedOn w:val="DefaultParagraphFont"/>
    <w:link w:val="Heading8"/>
    <w:semiHidden/>
    <w:locked/>
    <w:rsid w:val="00F50F19"/>
    <w:rPr>
      <w:i/>
      <w:iCs/>
      <w:sz w:val="24"/>
      <w:szCs w:val="24"/>
      <w:lang w:val="ru-RU" w:eastAsia="lv-LV" w:bidi="ar-SA"/>
    </w:rPr>
  </w:style>
  <w:style w:type="paragraph" w:styleId="Header">
    <w:name w:val="header"/>
    <w:basedOn w:val="Normal"/>
    <w:link w:val="HeaderChar"/>
    <w:uiPriority w:val="99"/>
    <w:rsid w:val="006609A6"/>
    <w:pPr>
      <w:tabs>
        <w:tab w:val="center" w:pos="4153"/>
        <w:tab w:val="right" w:pos="8306"/>
      </w:tabs>
    </w:pPr>
  </w:style>
  <w:style w:type="character" w:customStyle="1" w:styleId="HeaderChar">
    <w:name w:val="Header Char"/>
    <w:basedOn w:val="DefaultParagraphFont"/>
    <w:link w:val="Header"/>
    <w:uiPriority w:val="99"/>
    <w:locked/>
    <w:rsid w:val="00F50F19"/>
    <w:rPr>
      <w:sz w:val="24"/>
      <w:szCs w:val="24"/>
      <w:lang w:val="ru-RU" w:eastAsia="lv-LV" w:bidi="ar-SA"/>
    </w:rPr>
  </w:style>
  <w:style w:type="character" w:styleId="PageNumber">
    <w:name w:val="page number"/>
    <w:basedOn w:val="DefaultParagraphFont"/>
    <w:rsid w:val="006609A6"/>
  </w:style>
  <w:style w:type="paragraph" w:styleId="BodyText2">
    <w:name w:val="Body Text 2"/>
    <w:basedOn w:val="Normal"/>
    <w:link w:val="BodyText2Char"/>
    <w:rsid w:val="006609A6"/>
    <w:rPr>
      <w:sz w:val="20"/>
      <w:lang w:eastAsia="en-US"/>
    </w:rPr>
  </w:style>
  <w:style w:type="character" w:customStyle="1" w:styleId="BodyText2Char">
    <w:name w:val="Body Text 2 Char"/>
    <w:basedOn w:val="DefaultParagraphFont"/>
    <w:link w:val="BodyText2"/>
    <w:locked/>
    <w:rsid w:val="00F50F19"/>
    <w:rPr>
      <w:szCs w:val="24"/>
      <w:lang w:val="lv-LV" w:eastAsia="en-US" w:bidi="ar-SA"/>
    </w:rPr>
  </w:style>
  <w:style w:type="paragraph" w:styleId="BodyText3">
    <w:name w:val="Body Text 3"/>
    <w:basedOn w:val="Normal"/>
    <w:link w:val="BodyText3Char"/>
    <w:rsid w:val="006609A6"/>
    <w:rPr>
      <w:b/>
      <w:bCs/>
      <w:sz w:val="28"/>
      <w:lang w:eastAsia="en-US"/>
    </w:rPr>
  </w:style>
  <w:style w:type="character" w:customStyle="1" w:styleId="BodyText3Char">
    <w:name w:val="Body Text 3 Char"/>
    <w:basedOn w:val="DefaultParagraphFont"/>
    <w:link w:val="BodyText3"/>
    <w:semiHidden/>
    <w:locked/>
    <w:rsid w:val="00F50F19"/>
    <w:rPr>
      <w:b/>
      <w:bCs/>
      <w:sz w:val="28"/>
      <w:szCs w:val="24"/>
      <w:lang w:val="lv-LV" w:eastAsia="en-US" w:bidi="ar-SA"/>
    </w:rPr>
  </w:style>
  <w:style w:type="paragraph" w:styleId="BodyTextIndent">
    <w:name w:val="Body Text Indent"/>
    <w:basedOn w:val="Normal"/>
    <w:link w:val="BodyTextIndentChar"/>
    <w:rsid w:val="006609A6"/>
    <w:pPr>
      <w:ind w:left="720" w:hanging="360"/>
    </w:pPr>
    <w:rPr>
      <w:sz w:val="28"/>
      <w:lang w:eastAsia="en-US"/>
    </w:rPr>
  </w:style>
  <w:style w:type="character" w:customStyle="1" w:styleId="BodyTextIndentChar">
    <w:name w:val="Body Text Indent Char"/>
    <w:basedOn w:val="DefaultParagraphFont"/>
    <w:link w:val="BodyTextIndent"/>
    <w:locked/>
    <w:rsid w:val="00F50F19"/>
    <w:rPr>
      <w:sz w:val="28"/>
      <w:szCs w:val="24"/>
      <w:lang w:val="lv-LV" w:eastAsia="en-US" w:bidi="ar-SA"/>
    </w:rPr>
  </w:style>
  <w:style w:type="paragraph" w:styleId="BodyText">
    <w:name w:val="Body Text"/>
    <w:aliases w:val="OT Body Text,Body,Tekst,Body Text Char Char,Body Text Char Char Char"/>
    <w:basedOn w:val="Normal"/>
    <w:link w:val="BodyTextChar1"/>
    <w:rsid w:val="006609A6"/>
    <w:pPr>
      <w:spacing w:after="120"/>
    </w:pPr>
  </w:style>
  <w:style w:type="character" w:customStyle="1" w:styleId="BodyTextChar1">
    <w:name w:val="Body Text Char1"/>
    <w:aliases w:val="OT Body Text Char,Body Char,Tekst Char,Body Text Char Char Char2,Body Text Char Char Char Char1"/>
    <w:basedOn w:val="DefaultParagraphFont"/>
    <w:link w:val="BodyText"/>
    <w:uiPriority w:val="99"/>
    <w:locked/>
    <w:rsid w:val="00F50F19"/>
    <w:rPr>
      <w:sz w:val="24"/>
      <w:szCs w:val="24"/>
      <w:lang w:val="ru-RU" w:eastAsia="lv-LV" w:bidi="ar-SA"/>
    </w:rPr>
  </w:style>
  <w:style w:type="paragraph" w:styleId="BodyTextIndent2">
    <w:name w:val="Body Text Indent 2"/>
    <w:basedOn w:val="Normal"/>
    <w:link w:val="BodyTextIndent2Char1"/>
    <w:rsid w:val="006609A6"/>
    <w:pPr>
      <w:spacing w:after="120" w:line="480" w:lineRule="auto"/>
      <w:ind w:left="283"/>
      <w:jc w:val="both"/>
    </w:pPr>
    <w:rPr>
      <w:sz w:val="28"/>
      <w:szCs w:val="20"/>
      <w:lang w:eastAsia="en-US"/>
    </w:rPr>
  </w:style>
  <w:style w:type="character" w:customStyle="1" w:styleId="BodyTextIndent2Char1">
    <w:name w:val="Body Text Indent 2 Char1"/>
    <w:basedOn w:val="DefaultParagraphFont"/>
    <w:link w:val="BodyTextIndent2"/>
    <w:locked/>
    <w:rsid w:val="00F50F19"/>
    <w:rPr>
      <w:sz w:val="28"/>
      <w:lang w:val="lv-LV" w:eastAsia="en-US" w:bidi="ar-SA"/>
    </w:rPr>
  </w:style>
  <w:style w:type="paragraph" w:styleId="NormalWeb">
    <w:name w:val="Normal (Web)"/>
    <w:aliases w:val="sākums"/>
    <w:basedOn w:val="Normal"/>
    <w:uiPriority w:val="99"/>
    <w:rsid w:val="006609A6"/>
    <w:pPr>
      <w:spacing w:before="100" w:beforeAutospacing="1" w:after="100" w:afterAutospacing="1"/>
    </w:pPr>
  </w:style>
  <w:style w:type="character" w:styleId="Hyperlink">
    <w:name w:val="Hyperlink"/>
    <w:basedOn w:val="DefaultParagraphFont"/>
    <w:uiPriority w:val="99"/>
    <w:rsid w:val="006609A6"/>
    <w:rPr>
      <w:color w:val="0000FF"/>
      <w:u w:val="single"/>
    </w:rPr>
  </w:style>
  <w:style w:type="paragraph" w:customStyle="1" w:styleId="naisf">
    <w:name w:val="naisf"/>
    <w:basedOn w:val="Normal"/>
    <w:uiPriority w:val="99"/>
    <w:rsid w:val="006609A6"/>
    <w:pPr>
      <w:spacing w:before="94" w:after="94"/>
      <w:ind w:firstLine="468"/>
      <w:jc w:val="both"/>
    </w:pPr>
  </w:style>
  <w:style w:type="paragraph" w:styleId="Title">
    <w:name w:val="Title"/>
    <w:aliases w:val="Title Char1 Char"/>
    <w:basedOn w:val="Normal"/>
    <w:link w:val="TitleChar1"/>
    <w:qFormat/>
    <w:rsid w:val="006609A6"/>
    <w:pPr>
      <w:ind w:firstLine="720"/>
      <w:jc w:val="center"/>
    </w:pPr>
    <w:rPr>
      <w:b/>
      <w:bCs/>
      <w:sz w:val="28"/>
      <w:u w:val="single"/>
      <w:lang w:eastAsia="en-US"/>
    </w:rPr>
  </w:style>
  <w:style w:type="character" w:customStyle="1" w:styleId="TitleChar1">
    <w:name w:val="Title Char1"/>
    <w:aliases w:val="Title Char1 Char Char"/>
    <w:basedOn w:val="DefaultParagraphFont"/>
    <w:link w:val="Title"/>
    <w:locked/>
    <w:rsid w:val="00F50F19"/>
    <w:rPr>
      <w:b/>
      <w:bCs/>
      <w:sz w:val="28"/>
      <w:szCs w:val="24"/>
      <w:u w:val="single"/>
      <w:lang w:val="lv-LV" w:eastAsia="en-US" w:bidi="ar-SA"/>
    </w:rPr>
  </w:style>
  <w:style w:type="paragraph" w:styleId="Footer">
    <w:name w:val="footer"/>
    <w:basedOn w:val="Normal"/>
    <w:link w:val="FooterChar"/>
    <w:uiPriority w:val="99"/>
    <w:rsid w:val="006609A6"/>
    <w:pPr>
      <w:tabs>
        <w:tab w:val="center" w:pos="4819"/>
        <w:tab w:val="right" w:pos="9071"/>
      </w:tabs>
    </w:pPr>
    <w:rPr>
      <w:rFonts w:ascii="RimTimes" w:hAnsi="RimTimes"/>
      <w:szCs w:val="20"/>
      <w:lang w:eastAsia="en-US"/>
    </w:rPr>
  </w:style>
  <w:style w:type="character" w:customStyle="1" w:styleId="FooterChar">
    <w:name w:val="Footer Char"/>
    <w:basedOn w:val="DefaultParagraphFont"/>
    <w:link w:val="Footer"/>
    <w:uiPriority w:val="99"/>
    <w:locked/>
    <w:rsid w:val="00F50F19"/>
    <w:rPr>
      <w:rFonts w:ascii="RimTimes" w:hAnsi="RimTimes"/>
      <w:sz w:val="24"/>
      <w:lang w:val="lv-LV" w:eastAsia="en-US" w:bidi="ar-SA"/>
    </w:rPr>
  </w:style>
  <w:style w:type="table" w:styleId="TableGrid">
    <w:name w:val="Table Grid"/>
    <w:basedOn w:val="TableNormal"/>
    <w:uiPriority w:val="59"/>
    <w:rsid w:val="006609A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6609A6"/>
    <w:pPr>
      <w:spacing w:before="100" w:after="100"/>
      <w:ind w:left="360" w:right="360"/>
    </w:pPr>
    <w:rPr>
      <w:snapToGrid w:val="0"/>
      <w:szCs w:val="20"/>
      <w:lang w:eastAsia="en-US"/>
    </w:rPr>
  </w:style>
  <w:style w:type="paragraph" w:customStyle="1" w:styleId="naispant">
    <w:name w:val="naispant"/>
    <w:basedOn w:val="Normal"/>
    <w:rsid w:val="006609A6"/>
    <w:pPr>
      <w:spacing w:before="374" w:after="94"/>
      <w:ind w:left="468" w:firstLine="468"/>
      <w:jc w:val="both"/>
    </w:pPr>
    <w:rPr>
      <w:b/>
      <w:bCs/>
    </w:rPr>
  </w:style>
  <w:style w:type="paragraph" w:customStyle="1" w:styleId="Pamatteksts">
    <w:name w:val="Pamatteksts"/>
    <w:rsid w:val="006609A6"/>
    <w:pPr>
      <w:widowControl w:val="0"/>
      <w:spacing w:line="370" w:lineRule="atLeast"/>
      <w:ind w:firstLine="340"/>
      <w:jc w:val="both"/>
    </w:pPr>
    <w:rPr>
      <w:rFonts w:ascii="Dotum" w:eastAsia="Dotum"/>
      <w:sz w:val="24"/>
      <w:lang w:val="en-US" w:eastAsia="en-US"/>
    </w:rPr>
  </w:style>
  <w:style w:type="paragraph" w:styleId="BodyTextIndent3">
    <w:name w:val="Body Text Indent 3"/>
    <w:basedOn w:val="Normal"/>
    <w:link w:val="BodyTextIndent3Char"/>
    <w:rsid w:val="006609A6"/>
    <w:pPr>
      <w:ind w:left="360" w:firstLine="360"/>
      <w:jc w:val="both"/>
    </w:pPr>
    <w:rPr>
      <w:b/>
      <w:sz w:val="28"/>
      <w:szCs w:val="22"/>
      <w:lang w:eastAsia="en-US"/>
    </w:rPr>
  </w:style>
  <w:style w:type="character" w:customStyle="1" w:styleId="BodyTextIndent3Char">
    <w:name w:val="Body Text Indent 3 Char"/>
    <w:basedOn w:val="DefaultParagraphFont"/>
    <w:link w:val="BodyTextIndent3"/>
    <w:semiHidden/>
    <w:locked/>
    <w:rsid w:val="00F50F19"/>
    <w:rPr>
      <w:b/>
      <w:sz w:val="28"/>
      <w:szCs w:val="22"/>
      <w:lang w:val="lv-LV" w:eastAsia="en-US" w:bidi="ar-SA"/>
    </w:rPr>
  </w:style>
  <w:style w:type="paragraph" w:customStyle="1" w:styleId="teksts">
    <w:name w:val="teksts"/>
    <w:rsid w:val="006609A6"/>
    <w:pPr>
      <w:overflowPunct w:val="0"/>
      <w:autoSpaceDE w:val="0"/>
      <w:autoSpaceDN w:val="0"/>
      <w:adjustRightInd w:val="0"/>
      <w:spacing w:after="120"/>
      <w:jc w:val="both"/>
      <w:textAlignment w:val="baseline"/>
    </w:pPr>
    <w:rPr>
      <w:rFonts w:eastAsia="Times New Roman"/>
      <w:sz w:val="24"/>
      <w:lang w:val="en-GB" w:eastAsia="en-US"/>
    </w:rPr>
  </w:style>
  <w:style w:type="character" w:customStyle="1" w:styleId="numercijaarbuletiem">
    <w:name w:val="numerācija ar buletiem"/>
    <w:basedOn w:val="DefaultParagraphFont"/>
    <w:rsid w:val="006609A6"/>
    <w:rPr>
      <w:iCs/>
    </w:rPr>
  </w:style>
  <w:style w:type="paragraph" w:customStyle="1" w:styleId="attlanr">
    <w:name w:val="attēla nr."/>
    <w:basedOn w:val="Normal"/>
    <w:rsid w:val="006609A6"/>
    <w:pPr>
      <w:ind w:firstLine="709"/>
      <w:jc w:val="right"/>
    </w:pPr>
    <w:rPr>
      <w:sz w:val="28"/>
    </w:rPr>
  </w:style>
  <w:style w:type="paragraph" w:customStyle="1" w:styleId="Virsraksts">
    <w:name w:val="Virsraksts"/>
    <w:basedOn w:val="Normal"/>
    <w:rsid w:val="006609A6"/>
    <w:pPr>
      <w:ind w:firstLine="567"/>
      <w:jc w:val="center"/>
    </w:pPr>
    <w:rPr>
      <w:b/>
      <w:bCs/>
      <w:sz w:val="44"/>
    </w:rPr>
  </w:style>
  <w:style w:type="paragraph" w:customStyle="1" w:styleId="Visraksts2">
    <w:name w:val="Visraksts 2"/>
    <w:basedOn w:val="Normal"/>
    <w:rsid w:val="006609A6"/>
    <w:pPr>
      <w:ind w:firstLine="567"/>
      <w:jc w:val="center"/>
    </w:pPr>
    <w:rPr>
      <w:sz w:val="40"/>
    </w:rPr>
  </w:style>
  <w:style w:type="paragraph" w:customStyle="1" w:styleId="Virsraksts3">
    <w:name w:val="Virsraksts 3"/>
    <w:basedOn w:val="Normal"/>
    <w:rsid w:val="006609A6"/>
    <w:pPr>
      <w:ind w:firstLine="567"/>
      <w:jc w:val="center"/>
    </w:pPr>
    <w:rPr>
      <w:b/>
      <w:bCs/>
      <w:sz w:val="40"/>
    </w:rPr>
  </w:style>
  <w:style w:type="character" w:styleId="Strong">
    <w:name w:val="Strong"/>
    <w:basedOn w:val="DefaultParagraphFont"/>
    <w:uiPriority w:val="22"/>
    <w:qFormat/>
    <w:rsid w:val="006609A6"/>
    <w:rPr>
      <w:b/>
      <w:bCs/>
    </w:rPr>
  </w:style>
  <w:style w:type="paragraph" w:customStyle="1" w:styleId="N">
    <w:name w:val="N"/>
    <w:basedOn w:val="Normal"/>
    <w:autoRedefine/>
    <w:rsid w:val="006609A6"/>
    <w:pPr>
      <w:ind w:firstLine="720"/>
      <w:jc w:val="both"/>
    </w:pPr>
    <w:rPr>
      <w:sz w:val="28"/>
      <w:szCs w:val="28"/>
    </w:rPr>
  </w:style>
  <w:style w:type="paragraph" w:customStyle="1" w:styleId="Taksts11">
    <w:name w:val="Taksts_11"/>
    <w:basedOn w:val="Normal"/>
    <w:rsid w:val="006609A6"/>
    <w:pPr>
      <w:ind w:firstLine="567"/>
      <w:jc w:val="both"/>
    </w:pPr>
    <w:rPr>
      <w:sz w:val="28"/>
      <w:szCs w:val="20"/>
      <w:lang w:val="en-US" w:eastAsia="en-US"/>
    </w:rPr>
  </w:style>
  <w:style w:type="character" w:styleId="Emphasis">
    <w:name w:val="Emphasis"/>
    <w:basedOn w:val="DefaultParagraphFont"/>
    <w:uiPriority w:val="20"/>
    <w:qFormat/>
    <w:rsid w:val="006609A6"/>
    <w:rPr>
      <w:i/>
      <w:iCs/>
    </w:rPr>
  </w:style>
  <w:style w:type="paragraph" w:styleId="Subtitle">
    <w:name w:val="Subtitle"/>
    <w:basedOn w:val="Normal"/>
    <w:link w:val="SubtitleChar"/>
    <w:qFormat/>
    <w:rsid w:val="006609A6"/>
    <w:rPr>
      <w:b/>
      <w:sz w:val="21"/>
      <w:szCs w:val="20"/>
      <w:lang w:eastAsia="en-US"/>
    </w:rPr>
  </w:style>
  <w:style w:type="character" w:customStyle="1" w:styleId="SubtitleChar">
    <w:name w:val="Subtitle Char"/>
    <w:basedOn w:val="DefaultParagraphFont"/>
    <w:link w:val="Subtitle"/>
    <w:locked/>
    <w:rsid w:val="00F50F19"/>
    <w:rPr>
      <w:b/>
      <w:sz w:val="21"/>
      <w:lang w:val="lv-LV" w:eastAsia="en-US" w:bidi="ar-SA"/>
    </w:rPr>
  </w:style>
  <w:style w:type="character" w:customStyle="1" w:styleId="BodyTextIndent2Char">
    <w:name w:val="Body Text Indent 2 Char"/>
    <w:basedOn w:val="DefaultParagraphFont"/>
    <w:rsid w:val="006609A6"/>
    <w:rPr>
      <w:sz w:val="28"/>
      <w:szCs w:val="24"/>
      <w:lang w:val="lv-LV" w:eastAsia="en-US" w:bidi="ar-SA"/>
    </w:rPr>
  </w:style>
  <w:style w:type="paragraph" w:customStyle="1" w:styleId="attls">
    <w:name w:val="attēls"/>
    <w:basedOn w:val="BodyText"/>
    <w:rsid w:val="006609A6"/>
    <w:pPr>
      <w:spacing w:after="0"/>
      <w:ind w:firstLine="720"/>
      <w:jc w:val="right"/>
    </w:pPr>
    <w:rPr>
      <w:sz w:val="28"/>
    </w:rPr>
  </w:style>
  <w:style w:type="paragraph" w:customStyle="1" w:styleId="StyleVirsrakstsUBComplex11pt">
    <w:name w:val="Style Virsraksts U B + (Complex) 11 pt"/>
    <w:basedOn w:val="Normal"/>
    <w:rsid w:val="006609A6"/>
    <w:pPr>
      <w:ind w:firstLine="567"/>
      <w:jc w:val="both"/>
    </w:pPr>
    <w:rPr>
      <w:b/>
      <w:bCs/>
      <w:sz w:val="28"/>
      <w:szCs w:val="22"/>
      <w:u w:val="single"/>
      <w:lang w:eastAsia="en-US"/>
    </w:rPr>
  </w:style>
  <w:style w:type="character" w:customStyle="1" w:styleId="StyleVirsrakstsUBComplex11ptChar">
    <w:name w:val="Style Virsraksts U B + (Complex) 11 pt Char"/>
    <w:basedOn w:val="DefaultParagraphFont"/>
    <w:rsid w:val="006609A6"/>
    <w:rPr>
      <w:b/>
      <w:bCs/>
      <w:sz w:val="28"/>
      <w:szCs w:val="22"/>
      <w:u w:val="single"/>
      <w:lang w:val="lv-LV" w:eastAsia="en-US" w:bidi="ar-SA"/>
    </w:rPr>
  </w:style>
  <w:style w:type="paragraph" w:customStyle="1" w:styleId="naisnod">
    <w:name w:val="naisnod"/>
    <w:basedOn w:val="Normal"/>
    <w:rsid w:val="006609A6"/>
    <w:pPr>
      <w:spacing w:before="150" w:after="150"/>
      <w:jc w:val="center"/>
    </w:pPr>
    <w:rPr>
      <w:b/>
      <w:bCs/>
    </w:rPr>
  </w:style>
  <w:style w:type="character" w:customStyle="1" w:styleId="TitleChar">
    <w:name w:val="Title Char"/>
    <w:basedOn w:val="DefaultParagraphFont"/>
    <w:rsid w:val="006609A6"/>
    <w:rPr>
      <w:b/>
      <w:bCs/>
      <w:sz w:val="24"/>
      <w:lang w:val="lv-LV" w:eastAsia="en-US" w:bidi="ar-SA"/>
    </w:rPr>
  </w:style>
  <w:style w:type="character" w:customStyle="1" w:styleId="navinfo1">
    <w:name w:val="navinfo1"/>
    <w:basedOn w:val="DefaultParagraphFont"/>
    <w:rsid w:val="006609A6"/>
    <w:rPr>
      <w:rFonts w:ascii="Arial" w:hAnsi="Arial" w:cs="Arial" w:hint="default"/>
      <w:b/>
      <w:bCs/>
      <w:color w:val="14247C"/>
      <w:sz w:val="17"/>
      <w:szCs w:val="17"/>
    </w:rPr>
  </w:style>
  <w:style w:type="paragraph" w:customStyle="1" w:styleId="Style6">
    <w:name w:val="Style6"/>
    <w:basedOn w:val="Heading4"/>
    <w:link w:val="Style6Char"/>
    <w:autoRedefine/>
    <w:rsid w:val="006609A6"/>
    <w:pPr>
      <w:spacing w:before="120"/>
    </w:pPr>
    <w:rPr>
      <w:i/>
      <w:iCs/>
      <w:sz w:val="24"/>
      <w:szCs w:val="24"/>
    </w:rPr>
  </w:style>
  <w:style w:type="character" w:customStyle="1" w:styleId="Style6Char">
    <w:name w:val="Style6 Char"/>
    <w:basedOn w:val="DefaultParagraphFont"/>
    <w:link w:val="Style6"/>
    <w:locked/>
    <w:rsid w:val="006609A6"/>
    <w:rPr>
      <w:b/>
      <w:bCs/>
      <w:i/>
      <w:iCs/>
      <w:sz w:val="24"/>
      <w:szCs w:val="24"/>
      <w:lang w:val="lv-LV" w:eastAsia="lv-LV" w:bidi="ar-SA"/>
    </w:rPr>
  </w:style>
  <w:style w:type="paragraph" w:customStyle="1" w:styleId="RakstzRakstz1">
    <w:name w:val="Rakstz. Rakstz.1"/>
    <w:basedOn w:val="Normal"/>
    <w:next w:val="BlockText"/>
    <w:rsid w:val="006609A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6609A6"/>
    <w:pPr>
      <w:spacing w:after="120"/>
      <w:ind w:left="1440" w:right="1440"/>
    </w:pPr>
  </w:style>
  <w:style w:type="character" w:styleId="FollowedHyperlink">
    <w:name w:val="FollowedHyperlink"/>
    <w:basedOn w:val="DefaultParagraphFont"/>
    <w:rsid w:val="006609A6"/>
    <w:rPr>
      <w:color w:val="800080"/>
      <w:u w:val="single"/>
    </w:rPr>
  </w:style>
  <w:style w:type="paragraph" w:customStyle="1" w:styleId="naiskr">
    <w:name w:val="naiskr"/>
    <w:basedOn w:val="Normal"/>
    <w:rsid w:val="006609A6"/>
    <w:pPr>
      <w:spacing w:before="100" w:beforeAutospacing="1" w:after="100" w:afterAutospacing="1"/>
    </w:pPr>
  </w:style>
  <w:style w:type="paragraph" w:customStyle="1" w:styleId="naisc">
    <w:name w:val="naisc"/>
    <w:basedOn w:val="Normal"/>
    <w:rsid w:val="006609A6"/>
    <w:pPr>
      <w:spacing w:before="100" w:beforeAutospacing="1" w:after="100" w:afterAutospacing="1"/>
    </w:pPr>
  </w:style>
  <w:style w:type="character" w:styleId="HTMLTypewriter">
    <w:name w:val="HTML Typewriter"/>
    <w:basedOn w:val="DefaultParagraphFont"/>
    <w:rsid w:val="006609A6"/>
    <w:rPr>
      <w:rFonts w:ascii="Courier New" w:eastAsia="Times New Roman" w:hAnsi="Courier New" w:cs="Courier New"/>
      <w:sz w:val="20"/>
      <w:szCs w:val="20"/>
    </w:rPr>
  </w:style>
  <w:style w:type="paragraph" w:customStyle="1" w:styleId="NormalJustified">
    <w:name w:val="Normal + Justified"/>
    <w:basedOn w:val="Normal"/>
    <w:rsid w:val="006609A6"/>
    <w:pPr>
      <w:jc w:val="both"/>
    </w:pPr>
    <w:rPr>
      <w:szCs w:val="20"/>
      <w:lang w:eastAsia="en-US"/>
    </w:rPr>
  </w:style>
  <w:style w:type="paragraph" w:styleId="EnvelopeReturn">
    <w:name w:val="envelope return"/>
    <w:basedOn w:val="Normal"/>
    <w:rsid w:val="006609A6"/>
    <w:pPr>
      <w:keepLines/>
      <w:widowControl w:val="0"/>
      <w:spacing w:before="600"/>
    </w:pPr>
    <w:rPr>
      <w:sz w:val="26"/>
      <w:szCs w:val="20"/>
      <w:lang w:val="en-AU" w:eastAsia="en-US"/>
    </w:rPr>
  </w:style>
  <w:style w:type="paragraph" w:styleId="BalloonText">
    <w:name w:val="Balloon Text"/>
    <w:basedOn w:val="Normal"/>
    <w:link w:val="BalloonTextChar"/>
    <w:semiHidden/>
    <w:rsid w:val="00F50F19"/>
    <w:rPr>
      <w:rFonts w:ascii="Tahoma" w:eastAsia="PMingLiU" w:hAnsi="Tahoma"/>
      <w:sz w:val="16"/>
      <w:szCs w:val="16"/>
    </w:rPr>
  </w:style>
  <w:style w:type="character" w:customStyle="1" w:styleId="BalloonTextChar">
    <w:name w:val="Balloon Text Char"/>
    <w:basedOn w:val="DefaultParagraphFont"/>
    <w:link w:val="BalloonText"/>
    <w:semiHidden/>
    <w:locked/>
    <w:rsid w:val="00F50F19"/>
    <w:rPr>
      <w:rFonts w:ascii="Tahoma" w:eastAsia="PMingLiU" w:hAnsi="Tahoma"/>
      <w:sz w:val="16"/>
      <w:szCs w:val="16"/>
      <w:lang w:val="ru-RU"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F50F19"/>
    <w:pPr>
      <w:ind w:firstLine="567"/>
      <w:jc w:val="both"/>
    </w:pPr>
    <w:rPr>
      <w:rFonts w:eastAsia="PMingLiU"/>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locked/>
    <w:rsid w:val="00F50F19"/>
    <w:rPr>
      <w:rFonts w:eastAsia="PMingLiU"/>
      <w:lang w:val="lv-LV" w:eastAsia="en-US" w:bidi="ar-SA"/>
    </w:rPr>
  </w:style>
  <w:style w:type="paragraph" w:styleId="CommentText">
    <w:name w:val="annotation text"/>
    <w:basedOn w:val="Normal"/>
    <w:link w:val="CommentTextChar"/>
    <w:uiPriority w:val="99"/>
    <w:semiHidden/>
    <w:rsid w:val="00F50F19"/>
    <w:rPr>
      <w:rFonts w:eastAsia="PMingLiU"/>
      <w:sz w:val="20"/>
      <w:szCs w:val="20"/>
    </w:rPr>
  </w:style>
  <w:style w:type="character" w:customStyle="1" w:styleId="CommentTextChar">
    <w:name w:val="Comment Text Char"/>
    <w:basedOn w:val="DefaultParagraphFont"/>
    <w:link w:val="CommentText"/>
    <w:uiPriority w:val="99"/>
    <w:semiHidden/>
    <w:locked/>
    <w:rsid w:val="00F50F19"/>
    <w:rPr>
      <w:rFonts w:eastAsia="PMingLiU"/>
      <w:lang w:val="ru-RU" w:eastAsia="lv-LV" w:bidi="ar-SA"/>
    </w:rPr>
  </w:style>
  <w:style w:type="paragraph" w:styleId="CommentSubject">
    <w:name w:val="annotation subject"/>
    <w:basedOn w:val="CommentText"/>
    <w:next w:val="CommentText"/>
    <w:link w:val="CommentSubjectChar"/>
    <w:semiHidden/>
    <w:rsid w:val="00F50F19"/>
    <w:rPr>
      <w:b/>
      <w:bCs/>
    </w:rPr>
  </w:style>
  <w:style w:type="character" w:customStyle="1" w:styleId="CommentSubjectChar">
    <w:name w:val="Comment Subject Char"/>
    <w:basedOn w:val="CommentTextChar"/>
    <w:link w:val="CommentSubject"/>
    <w:semiHidden/>
    <w:locked/>
    <w:rsid w:val="00F50F19"/>
    <w:rPr>
      <w:rFonts w:eastAsia="PMingLiU"/>
      <w:b/>
      <w:bCs/>
      <w:lang w:val="ru-RU" w:eastAsia="lv-LV" w:bidi="ar-SA"/>
    </w:rPr>
  </w:style>
  <w:style w:type="character" w:styleId="FootnoteReference">
    <w:name w:val="footnote reference"/>
    <w:aliases w:val="Footnote Reference Number,Footnote Reference Superscript,Footnote symbol,fr"/>
    <w:basedOn w:val="DefaultParagraphFont"/>
    <w:uiPriority w:val="99"/>
    <w:rsid w:val="00D24CA9"/>
    <w:rPr>
      <w:vertAlign w:val="superscript"/>
    </w:rPr>
  </w:style>
  <w:style w:type="character" w:customStyle="1" w:styleId="BodyTextChar">
    <w:name w:val="Body Text Char"/>
    <w:aliases w:val="Body Text Char Char Char1,Body Text Char Char Char Char,OT Body Text Char1,Body Char1,Tekst Char1"/>
    <w:basedOn w:val="DefaultParagraphFont"/>
    <w:locked/>
    <w:rsid w:val="00D34DA1"/>
    <w:rPr>
      <w:rFonts w:cs="Times New Roman"/>
      <w:sz w:val="24"/>
      <w:szCs w:val="24"/>
      <w:lang w:val="en-GB" w:eastAsia="en-US"/>
    </w:rPr>
  </w:style>
  <w:style w:type="paragraph" w:customStyle="1" w:styleId="Default">
    <w:name w:val="Default"/>
    <w:link w:val="DefaultChar"/>
    <w:uiPriority w:val="99"/>
    <w:rsid w:val="00D34DA1"/>
    <w:pPr>
      <w:autoSpaceDE w:val="0"/>
      <w:autoSpaceDN w:val="0"/>
      <w:adjustRightInd w:val="0"/>
    </w:pPr>
    <w:rPr>
      <w:rFonts w:eastAsia="Times New Roman"/>
      <w:color w:val="000000"/>
      <w:sz w:val="24"/>
      <w:szCs w:val="24"/>
    </w:rPr>
  </w:style>
  <w:style w:type="paragraph" w:styleId="ListParagraph">
    <w:name w:val="List Paragraph"/>
    <w:basedOn w:val="Normal"/>
    <w:link w:val="ListParagraphChar"/>
    <w:uiPriority w:val="99"/>
    <w:qFormat/>
    <w:rsid w:val="00554F31"/>
    <w:pPr>
      <w:spacing w:line="276" w:lineRule="auto"/>
      <w:ind w:left="720"/>
      <w:contextualSpacing/>
    </w:pPr>
    <w:rPr>
      <w:rFonts w:ascii="Calibri" w:eastAsia="Calibri" w:hAnsi="Calibri"/>
      <w:sz w:val="22"/>
      <w:szCs w:val="22"/>
      <w:lang w:eastAsia="en-US"/>
    </w:rPr>
  </w:style>
  <w:style w:type="paragraph" w:customStyle="1" w:styleId="RakstzRakstzRakstzCharCharRakstzRakstzCharCharRakstzRakstzCharCharRakstz">
    <w:name w:val="Rakstz. Rakstz. Rakstz. Char Char Rakstz. Rakstz. Char Char Rakstz. Rakstz. Char Char Rakstz."/>
    <w:basedOn w:val="Normal"/>
    <w:rsid w:val="0097068F"/>
    <w:pPr>
      <w:spacing w:before="40"/>
    </w:pPr>
    <w:rPr>
      <w:lang w:val="pl-PL" w:eastAsia="pl-PL"/>
    </w:rPr>
  </w:style>
  <w:style w:type="paragraph" w:customStyle="1" w:styleId="Char2">
    <w:name w:val="Char2"/>
    <w:basedOn w:val="Normal"/>
    <w:rsid w:val="008865D3"/>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A571D3"/>
    <w:rPr>
      <w:rFonts w:ascii="Courier New" w:hAnsi="Courier New"/>
      <w:sz w:val="20"/>
      <w:szCs w:val="20"/>
      <w:lang w:bidi="lo-LA"/>
    </w:rPr>
  </w:style>
  <w:style w:type="character" w:customStyle="1" w:styleId="PlainTextChar">
    <w:name w:val="Plain Text Char"/>
    <w:basedOn w:val="DefaultParagraphFont"/>
    <w:link w:val="PlainText"/>
    <w:uiPriority w:val="99"/>
    <w:rsid w:val="00A571D3"/>
    <w:rPr>
      <w:rFonts w:ascii="Courier New" w:eastAsia="Times New Roman" w:hAnsi="Courier New"/>
      <w:lang w:bidi="lo-LA"/>
    </w:rPr>
  </w:style>
  <w:style w:type="paragraph" w:styleId="DocumentMap">
    <w:name w:val="Document Map"/>
    <w:basedOn w:val="Normal"/>
    <w:semiHidden/>
    <w:rsid w:val="00E40CE5"/>
    <w:pPr>
      <w:shd w:val="clear" w:color="auto" w:fill="000080"/>
    </w:pPr>
    <w:rPr>
      <w:rFonts w:ascii="Tahoma" w:hAnsi="Tahoma" w:cs="Tahoma"/>
      <w:sz w:val="20"/>
      <w:szCs w:val="20"/>
    </w:rPr>
  </w:style>
  <w:style w:type="paragraph" w:styleId="EndnoteText">
    <w:name w:val="endnote text"/>
    <w:basedOn w:val="Normal"/>
    <w:link w:val="EndnoteTextChar"/>
    <w:rsid w:val="00944E7C"/>
    <w:rPr>
      <w:sz w:val="20"/>
      <w:szCs w:val="20"/>
    </w:rPr>
  </w:style>
  <w:style w:type="character" w:customStyle="1" w:styleId="EndnoteTextChar">
    <w:name w:val="Endnote Text Char"/>
    <w:basedOn w:val="DefaultParagraphFont"/>
    <w:link w:val="EndnoteText"/>
    <w:rsid w:val="00944E7C"/>
    <w:rPr>
      <w:rFonts w:eastAsia="Times New Roman"/>
      <w:lang w:val="ru-RU"/>
    </w:rPr>
  </w:style>
  <w:style w:type="character" w:styleId="EndnoteReference">
    <w:name w:val="endnote reference"/>
    <w:basedOn w:val="DefaultParagraphFont"/>
    <w:rsid w:val="00944E7C"/>
    <w:rPr>
      <w:vertAlign w:val="superscript"/>
    </w:rPr>
  </w:style>
  <w:style w:type="character" w:customStyle="1" w:styleId="DefaultChar">
    <w:name w:val="Default Char"/>
    <w:basedOn w:val="DefaultParagraphFont"/>
    <w:link w:val="Default"/>
    <w:uiPriority w:val="99"/>
    <w:locked/>
    <w:rsid w:val="00361A27"/>
    <w:rPr>
      <w:rFonts w:eastAsia="Times New Roman"/>
      <w:color w:val="000000"/>
      <w:sz w:val="24"/>
      <w:szCs w:val="24"/>
      <w:lang w:val="lv-LV" w:eastAsia="lv-LV" w:bidi="ar-SA"/>
    </w:rPr>
  </w:style>
  <w:style w:type="table" w:styleId="MediumList1-Accent3">
    <w:name w:val="Medium List 1 Accent 3"/>
    <w:basedOn w:val="TableNormal"/>
    <w:uiPriority w:val="65"/>
    <w:rsid w:val="005E44C3"/>
    <w:rPr>
      <w:rFonts w:ascii="Calibri" w:eastAsia="Calibri" w:hAnsi="Calibri"/>
      <w:color w:val="000000"/>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9pirmstab3">
    <w:name w:val="9_pirms_tab_3"/>
    <w:basedOn w:val="Normal"/>
    <w:uiPriority w:val="99"/>
    <w:rsid w:val="0045597A"/>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szCs w:val="20"/>
      <w:lang w:eastAsia="en-US"/>
    </w:rPr>
  </w:style>
  <w:style w:type="paragraph" w:customStyle="1" w:styleId="Rakstz">
    <w:name w:val="Rakstz."/>
    <w:basedOn w:val="Normal"/>
    <w:semiHidden/>
    <w:rsid w:val="00415860"/>
    <w:pPr>
      <w:spacing w:after="160" w:line="240" w:lineRule="exact"/>
    </w:pPr>
    <w:rPr>
      <w:rFonts w:ascii="Verdana" w:hAnsi="Verdana"/>
      <w:sz w:val="20"/>
      <w:szCs w:val="20"/>
    </w:rPr>
  </w:style>
  <w:style w:type="character" w:customStyle="1" w:styleId="longtext1">
    <w:name w:val="long_text1"/>
    <w:basedOn w:val="DefaultParagraphFont"/>
    <w:rsid w:val="009728DE"/>
    <w:rPr>
      <w:sz w:val="12"/>
      <w:szCs w:val="12"/>
    </w:rPr>
  </w:style>
  <w:style w:type="character" w:customStyle="1" w:styleId="apple-style-span">
    <w:name w:val="apple-style-span"/>
    <w:basedOn w:val="DefaultParagraphFont"/>
    <w:rsid w:val="003C620C"/>
  </w:style>
  <w:style w:type="character" w:customStyle="1" w:styleId="apple-converted-space">
    <w:name w:val="apple-converted-space"/>
    <w:basedOn w:val="DefaultParagraphFont"/>
    <w:rsid w:val="003C620C"/>
  </w:style>
  <w:style w:type="character" w:customStyle="1" w:styleId="ListParagraphChar">
    <w:name w:val="List Paragraph Char"/>
    <w:link w:val="ListParagraph"/>
    <w:uiPriority w:val="99"/>
    <w:locked/>
    <w:rsid w:val="008A7C7D"/>
    <w:rPr>
      <w:rFonts w:ascii="Calibri" w:eastAsia="Calibri" w:hAnsi="Calibri"/>
      <w:sz w:val="22"/>
      <w:szCs w:val="22"/>
      <w:lang w:eastAsia="en-US"/>
    </w:rPr>
  </w:style>
  <w:style w:type="character" w:customStyle="1" w:styleId="googqs-tidbit1">
    <w:name w:val="goog_qs-tidbit1"/>
    <w:basedOn w:val="DefaultParagraphFont"/>
    <w:rsid w:val="00FE61B7"/>
    <w:rPr>
      <w:vanish w:val="0"/>
      <w:webHidden w:val="0"/>
      <w:specVanish w:val="0"/>
    </w:rPr>
  </w:style>
  <w:style w:type="character" w:customStyle="1" w:styleId="googqs-tidbit-0">
    <w:name w:val="goog_qs-tidbit-0"/>
    <w:basedOn w:val="DefaultParagraphFont"/>
    <w:rsid w:val="008611DD"/>
  </w:style>
  <w:style w:type="character" w:customStyle="1" w:styleId="paracolourtext">
    <w:name w:val="paracolourtext"/>
    <w:basedOn w:val="DefaultParagraphFont"/>
    <w:rsid w:val="00585561"/>
  </w:style>
  <w:style w:type="character" w:styleId="CommentReference">
    <w:name w:val="annotation reference"/>
    <w:basedOn w:val="DefaultParagraphFont"/>
    <w:uiPriority w:val="99"/>
    <w:rsid w:val="00F615DA"/>
    <w:rPr>
      <w:rFonts w:cs="Times New Roman"/>
      <w:sz w:val="16"/>
      <w:szCs w:val="16"/>
    </w:rPr>
  </w:style>
  <w:style w:type="character" w:customStyle="1" w:styleId="ft">
    <w:name w:val="ft"/>
    <w:basedOn w:val="DefaultParagraphFont"/>
    <w:rsid w:val="008E7712"/>
  </w:style>
  <w:style w:type="paragraph" w:styleId="TOC2">
    <w:name w:val="toc 2"/>
    <w:basedOn w:val="Normal"/>
    <w:next w:val="Normal"/>
    <w:autoRedefine/>
    <w:uiPriority w:val="39"/>
    <w:rsid w:val="000A6638"/>
    <w:pPr>
      <w:spacing w:after="100"/>
      <w:ind w:left="221"/>
    </w:pPr>
    <w:rPr>
      <w:rFonts w:eastAsia="Calibri"/>
      <w:sz w:val="22"/>
      <w:szCs w:val="22"/>
      <w:lang w:val="en-US" w:eastAsia="en-US"/>
    </w:rPr>
  </w:style>
  <w:style w:type="paragraph" w:styleId="TOC1">
    <w:name w:val="toc 1"/>
    <w:basedOn w:val="Normal"/>
    <w:next w:val="Normal"/>
    <w:autoRedefine/>
    <w:uiPriority w:val="39"/>
    <w:rsid w:val="00C27B8F"/>
    <w:pPr>
      <w:tabs>
        <w:tab w:val="right" w:leader="dot" w:pos="9105"/>
      </w:tabs>
      <w:spacing w:after="100" w:line="276" w:lineRule="auto"/>
    </w:pPr>
    <w:rPr>
      <w:rFonts w:eastAsia="Calibri"/>
      <w:b/>
      <w:bCs/>
      <w:noProof/>
      <w:color w:val="000000"/>
      <w:lang w:eastAsia="ja-JP"/>
    </w:rPr>
  </w:style>
  <w:style w:type="character" w:customStyle="1" w:styleId="hps">
    <w:name w:val="hps"/>
    <w:basedOn w:val="DefaultParagraphFont"/>
    <w:rsid w:val="00C0775A"/>
    <w:rPr>
      <w:rFonts w:cs="Times New Roman"/>
    </w:rPr>
  </w:style>
  <w:style w:type="paragraph" w:styleId="NoSpacing">
    <w:name w:val="No Spacing"/>
    <w:uiPriority w:val="1"/>
    <w:qFormat/>
    <w:rsid w:val="00246D45"/>
    <w:rPr>
      <w:rFonts w:eastAsia="MS Mincho"/>
      <w:sz w:val="24"/>
      <w:szCs w:val="24"/>
      <w:lang w:eastAsia="ja-JP"/>
    </w:rPr>
  </w:style>
  <w:style w:type="paragraph" w:customStyle="1" w:styleId="Pa16">
    <w:name w:val="Pa16"/>
    <w:basedOn w:val="Normal"/>
    <w:uiPriority w:val="99"/>
    <w:rsid w:val="00EB1926"/>
    <w:pPr>
      <w:autoSpaceDE w:val="0"/>
      <w:autoSpaceDN w:val="0"/>
      <w:spacing w:before="80" w:line="181" w:lineRule="atLeast"/>
    </w:pPr>
    <w:rPr>
      <w:rFonts w:eastAsiaTheme="minorHAnsi"/>
    </w:rPr>
  </w:style>
  <w:style w:type="character" w:customStyle="1" w:styleId="leftside">
    <w:name w:val="left_side"/>
    <w:basedOn w:val="DefaultParagraphFont"/>
    <w:rsid w:val="00EE09A6"/>
  </w:style>
  <w:style w:type="paragraph" w:customStyle="1" w:styleId="tvhtml">
    <w:name w:val="tv_html"/>
    <w:basedOn w:val="Normal"/>
    <w:rsid w:val="00F73809"/>
    <w:pPr>
      <w:spacing w:before="100" w:beforeAutospacing="1" w:after="100" w:afterAutospacing="1"/>
    </w:pPr>
    <w:rPr>
      <w:rFonts w:ascii="Verdana" w:hAnsi="Verdana"/>
      <w:sz w:val="18"/>
      <w:szCs w:val="18"/>
    </w:rPr>
  </w:style>
  <w:style w:type="character" w:customStyle="1" w:styleId="st1">
    <w:name w:val="st1"/>
    <w:basedOn w:val="DefaultParagraphFont"/>
    <w:rsid w:val="003C11DF"/>
  </w:style>
  <w:style w:type="character" w:customStyle="1" w:styleId="cspklasifikatorscodename">
    <w:name w:val="csp_klasifikators_code_name"/>
    <w:basedOn w:val="DefaultParagraphFont"/>
    <w:rsid w:val="00A442C4"/>
  </w:style>
  <w:style w:type="character" w:customStyle="1" w:styleId="normal0020tablechar">
    <w:name w:val="normal_0020table__char"/>
    <w:basedOn w:val="DefaultParagraphFont"/>
    <w:rsid w:val="00312250"/>
  </w:style>
  <w:style w:type="paragraph" w:styleId="TOC3">
    <w:name w:val="toc 3"/>
    <w:basedOn w:val="Normal"/>
    <w:next w:val="Normal"/>
    <w:autoRedefine/>
    <w:uiPriority w:val="39"/>
    <w:rsid w:val="00C14E01"/>
    <w:pPr>
      <w:spacing w:after="100"/>
      <w:ind w:left="480"/>
    </w:pPr>
  </w:style>
  <w:style w:type="character" w:customStyle="1" w:styleId="mw-headline">
    <w:name w:val="mw-headline"/>
    <w:basedOn w:val="DefaultParagraphFont"/>
    <w:rsid w:val="00DB5CDC"/>
  </w:style>
  <w:style w:type="character" w:customStyle="1" w:styleId="editsection">
    <w:name w:val="editsection"/>
    <w:basedOn w:val="DefaultParagraphFont"/>
    <w:rsid w:val="00DB5CDC"/>
  </w:style>
  <w:style w:type="paragraph" w:customStyle="1" w:styleId="EYNormal">
    <w:name w:val="EY Normal"/>
    <w:link w:val="EYNormalChar"/>
    <w:rsid w:val="00D7180C"/>
    <w:pPr>
      <w:spacing w:after="120"/>
    </w:pPr>
    <w:rPr>
      <w:rFonts w:ascii="Arial" w:eastAsia="Times New Roman" w:hAnsi="Arial"/>
      <w:kern w:val="12"/>
      <w:szCs w:val="24"/>
      <w:lang w:eastAsia="en-US"/>
    </w:rPr>
  </w:style>
  <w:style w:type="character" w:customStyle="1" w:styleId="EYNormalChar">
    <w:name w:val="EY Normal Char"/>
    <w:basedOn w:val="DefaultParagraphFont"/>
    <w:link w:val="EYNormal"/>
    <w:rsid w:val="00D7180C"/>
    <w:rPr>
      <w:rFonts w:ascii="Arial" w:eastAsia="Times New Roman" w:hAnsi="Arial"/>
      <w:kern w:val="12"/>
      <w:szCs w:val="24"/>
      <w:lang w:eastAsia="en-US"/>
    </w:rPr>
  </w:style>
  <w:style w:type="paragraph" w:customStyle="1" w:styleId="EYTableHeadingWhite">
    <w:name w:val="EY Table Heading (White)"/>
    <w:basedOn w:val="Normal"/>
    <w:rsid w:val="00D7180C"/>
    <w:pPr>
      <w:framePr w:hSpace="180" w:wrap="around" w:vAnchor="text" w:hAnchor="margin" w:x="115" w:y="57"/>
      <w:spacing w:before="60" w:after="60"/>
    </w:pPr>
    <w:rPr>
      <w:rFonts w:ascii="Arial" w:hAnsi="Arial"/>
      <w:b/>
      <w:bCs/>
      <w:color w:val="FFFFFF"/>
      <w:sz w:val="16"/>
      <w:lang w:eastAsia="en-US"/>
    </w:rPr>
  </w:style>
  <w:style w:type="paragraph" w:customStyle="1" w:styleId="tabletext-left">
    <w:name w:val="table text - left"/>
    <w:rsid w:val="00D87A38"/>
    <w:pPr>
      <w:ind w:left="365" w:hanging="365"/>
    </w:pPr>
    <w:rPr>
      <w:rFonts w:ascii="EYInterstate Light" w:eastAsia="Times New Roman" w:hAnsi="EYInterstate Light"/>
      <w:lang w:val="en-US" w:eastAsia="en-US"/>
    </w:rPr>
  </w:style>
  <w:style w:type="character" w:customStyle="1" w:styleId="cspklasifikatorsbtaprakststext1">
    <w:name w:val="csp_klasifikators_bt_apraksts_text1"/>
    <w:basedOn w:val="DefaultParagraphFont"/>
    <w:rsid w:val="00C05D79"/>
    <w:rPr>
      <w:vanish/>
      <w:webHidden w:val="0"/>
      <w:specVanish w:val="0"/>
    </w:rPr>
  </w:style>
  <w:style w:type="character" w:customStyle="1" w:styleId="cspklasifikatorscode">
    <w:name w:val="csp_klasifikators_code"/>
    <w:basedOn w:val="DefaultParagraphFont"/>
    <w:rsid w:val="00C05D79"/>
  </w:style>
  <w:style w:type="paragraph" w:customStyle="1" w:styleId="TabulaNorm">
    <w:name w:val="TabulaNorm"/>
    <w:basedOn w:val="Normal"/>
    <w:uiPriority w:val="99"/>
    <w:qFormat/>
    <w:rsid w:val="00FE1D28"/>
    <w:pPr>
      <w:spacing w:before="40" w:after="40"/>
      <w:ind w:left="57" w:right="57"/>
    </w:pPr>
    <w:rPr>
      <w:sz w:val="20"/>
      <w:szCs w:val="22"/>
      <w:lang w:eastAsia="en-US"/>
    </w:rPr>
  </w:style>
  <w:style w:type="paragraph" w:styleId="ListBullet">
    <w:name w:val="List Bullet"/>
    <w:aliases w:val=" Char,Char"/>
    <w:basedOn w:val="Normal"/>
    <w:qFormat/>
    <w:rsid w:val="005463B7"/>
    <w:pPr>
      <w:numPr>
        <w:numId w:val="35"/>
      </w:numPr>
      <w:spacing w:after="240" w:line="264" w:lineRule="auto"/>
    </w:pPr>
    <w:rPr>
      <w:rFonts w:eastAsia="Calibri"/>
      <w:lang w:val="en-US" w:eastAsia="en-US"/>
    </w:rPr>
  </w:style>
  <w:style w:type="paragraph" w:customStyle="1" w:styleId="CharCharCharChar1CharCharCharCharCharChar2">
    <w:name w:val="Char Char Char Char1 Char Char Char Char Char Char2"/>
    <w:basedOn w:val="Normal"/>
    <w:next w:val="Normal"/>
    <w:rsid w:val="00A1300F"/>
    <w:pPr>
      <w:spacing w:before="120" w:after="160" w:line="240" w:lineRule="exact"/>
      <w:ind w:firstLine="720"/>
      <w:jc w:val="both"/>
    </w:pPr>
    <w:rPr>
      <w:rFonts w:ascii="Verdana" w:hAnsi="Verdana"/>
      <w:sz w:val="20"/>
      <w:szCs w:val="20"/>
      <w:lang w:val="en-US" w:eastAsia="en-US"/>
    </w:rPr>
  </w:style>
  <w:style w:type="paragraph" w:styleId="Signature">
    <w:name w:val="Signature"/>
    <w:basedOn w:val="Normal"/>
    <w:next w:val="EnvelopeReturn"/>
    <w:link w:val="SignatureChar"/>
    <w:rsid w:val="00F65A97"/>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F65A97"/>
    <w:rPr>
      <w:rFonts w:eastAsia="Times New Roman"/>
      <w:sz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A6"/>
    <w:rPr>
      <w:rFonts w:eastAsia="Times New Roman"/>
      <w:sz w:val="24"/>
      <w:szCs w:val="24"/>
    </w:rPr>
  </w:style>
  <w:style w:type="paragraph" w:styleId="Heading1">
    <w:name w:val="heading 1"/>
    <w:basedOn w:val="Normal"/>
    <w:next w:val="Normal"/>
    <w:link w:val="Heading1Char"/>
    <w:uiPriority w:val="99"/>
    <w:qFormat/>
    <w:rsid w:val="006609A6"/>
    <w:pPr>
      <w:keepNext/>
      <w:outlineLvl w:val="0"/>
    </w:pPr>
    <w:rPr>
      <w:sz w:val="28"/>
      <w:lang w:eastAsia="en-US"/>
    </w:rPr>
  </w:style>
  <w:style w:type="paragraph" w:styleId="Heading2">
    <w:name w:val="heading 2"/>
    <w:basedOn w:val="Normal"/>
    <w:next w:val="Normal"/>
    <w:link w:val="Heading2Char"/>
    <w:uiPriority w:val="99"/>
    <w:qFormat/>
    <w:rsid w:val="006609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09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609A6"/>
    <w:pPr>
      <w:keepNext/>
      <w:spacing w:before="240" w:after="60"/>
      <w:outlineLvl w:val="3"/>
    </w:pPr>
    <w:rPr>
      <w:b/>
      <w:bCs/>
      <w:sz w:val="28"/>
      <w:szCs w:val="28"/>
    </w:rPr>
  </w:style>
  <w:style w:type="paragraph" w:styleId="Heading5">
    <w:name w:val="heading 5"/>
    <w:basedOn w:val="Normal"/>
    <w:next w:val="Normal"/>
    <w:link w:val="Heading5Char"/>
    <w:qFormat/>
    <w:rsid w:val="006609A6"/>
    <w:pPr>
      <w:spacing w:before="240" w:after="60"/>
      <w:outlineLvl w:val="4"/>
    </w:pPr>
    <w:rPr>
      <w:b/>
      <w:bCs/>
      <w:i/>
      <w:iCs/>
      <w:sz w:val="26"/>
      <w:szCs w:val="26"/>
    </w:rPr>
  </w:style>
  <w:style w:type="paragraph" w:styleId="Heading6">
    <w:name w:val="heading 6"/>
    <w:basedOn w:val="Normal"/>
    <w:next w:val="Normal"/>
    <w:link w:val="Heading6Char"/>
    <w:qFormat/>
    <w:rsid w:val="006609A6"/>
    <w:pPr>
      <w:keepNext/>
      <w:outlineLvl w:val="5"/>
    </w:pPr>
    <w:rPr>
      <w:b/>
      <w:bCs/>
      <w:i/>
      <w:u w:val="single"/>
    </w:rPr>
  </w:style>
  <w:style w:type="paragraph" w:styleId="Heading7">
    <w:name w:val="heading 7"/>
    <w:basedOn w:val="Normal"/>
    <w:next w:val="Normal"/>
    <w:link w:val="Heading7Char"/>
    <w:qFormat/>
    <w:rsid w:val="006609A6"/>
    <w:pPr>
      <w:spacing w:before="240" w:after="60"/>
      <w:ind w:firstLine="567"/>
      <w:jc w:val="both"/>
      <w:outlineLvl w:val="6"/>
    </w:pPr>
    <w:rPr>
      <w:sz w:val="28"/>
      <w:lang w:eastAsia="en-US"/>
    </w:rPr>
  </w:style>
  <w:style w:type="paragraph" w:styleId="Heading8">
    <w:name w:val="heading 8"/>
    <w:basedOn w:val="Normal"/>
    <w:next w:val="Normal"/>
    <w:link w:val="Heading8Char"/>
    <w:qFormat/>
    <w:rsid w:val="006609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F19"/>
    <w:rPr>
      <w:sz w:val="28"/>
      <w:szCs w:val="24"/>
      <w:lang w:val="lv-LV" w:eastAsia="en-US" w:bidi="ar-SA"/>
    </w:rPr>
  </w:style>
  <w:style w:type="character" w:customStyle="1" w:styleId="Heading2Char">
    <w:name w:val="Heading 2 Char"/>
    <w:basedOn w:val="DefaultParagraphFont"/>
    <w:link w:val="Heading2"/>
    <w:uiPriority w:val="99"/>
    <w:locked/>
    <w:rsid w:val="00F50F19"/>
    <w:rPr>
      <w:rFonts w:ascii="Arial" w:hAnsi="Arial" w:cs="Arial"/>
      <w:b/>
      <w:bCs/>
      <w:i/>
      <w:iCs/>
      <w:sz w:val="28"/>
      <w:szCs w:val="28"/>
      <w:lang w:val="ru-RU" w:eastAsia="lv-LV" w:bidi="ar-SA"/>
    </w:rPr>
  </w:style>
  <w:style w:type="character" w:customStyle="1" w:styleId="Heading3Char">
    <w:name w:val="Heading 3 Char"/>
    <w:basedOn w:val="DefaultParagraphFont"/>
    <w:link w:val="Heading3"/>
    <w:semiHidden/>
    <w:locked/>
    <w:rsid w:val="00F50F19"/>
    <w:rPr>
      <w:rFonts w:ascii="Arial" w:hAnsi="Arial" w:cs="Arial"/>
      <w:b/>
      <w:bCs/>
      <w:sz w:val="26"/>
      <w:szCs w:val="26"/>
      <w:lang w:val="ru-RU" w:eastAsia="lv-LV" w:bidi="ar-SA"/>
    </w:rPr>
  </w:style>
  <w:style w:type="character" w:customStyle="1" w:styleId="Heading4Char">
    <w:name w:val="Heading 4 Char"/>
    <w:basedOn w:val="DefaultParagraphFont"/>
    <w:link w:val="Heading4"/>
    <w:semiHidden/>
    <w:locked/>
    <w:rsid w:val="00F50F19"/>
    <w:rPr>
      <w:b/>
      <w:bCs/>
      <w:sz w:val="28"/>
      <w:szCs w:val="28"/>
      <w:lang w:val="ru-RU" w:eastAsia="lv-LV" w:bidi="ar-SA"/>
    </w:rPr>
  </w:style>
  <w:style w:type="character" w:customStyle="1" w:styleId="Heading5Char">
    <w:name w:val="Heading 5 Char"/>
    <w:basedOn w:val="DefaultParagraphFont"/>
    <w:link w:val="Heading5"/>
    <w:semiHidden/>
    <w:locked/>
    <w:rsid w:val="00F50F19"/>
    <w:rPr>
      <w:b/>
      <w:bCs/>
      <w:i/>
      <w:iCs/>
      <w:sz w:val="26"/>
      <w:szCs w:val="26"/>
      <w:lang w:val="ru-RU" w:eastAsia="lv-LV" w:bidi="ar-SA"/>
    </w:rPr>
  </w:style>
  <w:style w:type="character" w:customStyle="1" w:styleId="Heading6Char">
    <w:name w:val="Heading 6 Char"/>
    <w:basedOn w:val="DefaultParagraphFont"/>
    <w:link w:val="Heading6"/>
    <w:semiHidden/>
    <w:locked/>
    <w:rsid w:val="00F50F19"/>
    <w:rPr>
      <w:b/>
      <w:bCs/>
      <w:i/>
      <w:sz w:val="24"/>
      <w:szCs w:val="24"/>
      <w:u w:val="single"/>
      <w:lang w:val="lv-LV" w:eastAsia="lv-LV" w:bidi="ar-SA"/>
    </w:rPr>
  </w:style>
  <w:style w:type="character" w:customStyle="1" w:styleId="Heading7Char">
    <w:name w:val="Heading 7 Char"/>
    <w:basedOn w:val="DefaultParagraphFont"/>
    <w:link w:val="Heading7"/>
    <w:semiHidden/>
    <w:locked/>
    <w:rsid w:val="00F50F19"/>
    <w:rPr>
      <w:sz w:val="28"/>
      <w:szCs w:val="24"/>
      <w:lang w:val="lv-LV" w:eastAsia="en-US" w:bidi="ar-SA"/>
    </w:rPr>
  </w:style>
  <w:style w:type="character" w:customStyle="1" w:styleId="Heading8Char">
    <w:name w:val="Heading 8 Char"/>
    <w:basedOn w:val="DefaultParagraphFont"/>
    <w:link w:val="Heading8"/>
    <w:semiHidden/>
    <w:locked/>
    <w:rsid w:val="00F50F19"/>
    <w:rPr>
      <w:i/>
      <w:iCs/>
      <w:sz w:val="24"/>
      <w:szCs w:val="24"/>
      <w:lang w:val="ru-RU" w:eastAsia="lv-LV" w:bidi="ar-SA"/>
    </w:rPr>
  </w:style>
  <w:style w:type="paragraph" w:styleId="Header">
    <w:name w:val="header"/>
    <w:basedOn w:val="Normal"/>
    <w:link w:val="HeaderChar"/>
    <w:uiPriority w:val="99"/>
    <w:rsid w:val="006609A6"/>
    <w:pPr>
      <w:tabs>
        <w:tab w:val="center" w:pos="4153"/>
        <w:tab w:val="right" w:pos="8306"/>
      </w:tabs>
    </w:pPr>
  </w:style>
  <w:style w:type="character" w:customStyle="1" w:styleId="HeaderChar">
    <w:name w:val="Header Char"/>
    <w:basedOn w:val="DefaultParagraphFont"/>
    <w:link w:val="Header"/>
    <w:uiPriority w:val="99"/>
    <w:locked/>
    <w:rsid w:val="00F50F19"/>
    <w:rPr>
      <w:sz w:val="24"/>
      <w:szCs w:val="24"/>
      <w:lang w:val="ru-RU" w:eastAsia="lv-LV" w:bidi="ar-SA"/>
    </w:rPr>
  </w:style>
  <w:style w:type="character" w:styleId="PageNumber">
    <w:name w:val="page number"/>
    <w:basedOn w:val="DefaultParagraphFont"/>
    <w:rsid w:val="006609A6"/>
  </w:style>
  <w:style w:type="paragraph" w:styleId="BodyText2">
    <w:name w:val="Body Text 2"/>
    <w:basedOn w:val="Normal"/>
    <w:link w:val="BodyText2Char"/>
    <w:rsid w:val="006609A6"/>
    <w:rPr>
      <w:sz w:val="20"/>
      <w:lang w:eastAsia="en-US"/>
    </w:rPr>
  </w:style>
  <w:style w:type="character" w:customStyle="1" w:styleId="BodyText2Char">
    <w:name w:val="Body Text 2 Char"/>
    <w:basedOn w:val="DefaultParagraphFont"/>
    <w:link w:val="BodyText2"/>
    <w:locked/>
    <w:rsid w:val="00F50F19"/>
    <w:rPr>
      <w:szCs w:val="24"/>
      <w:lang w:val="lv-LV" w:eastAsia="en-US" w:bidi="ar-SA"/>
    </w:rPr>
  </w:style>
  <w:style w:type="paragraph" w:styleId="BodyText3">
    <w:name w:val="Body Text 3"/>
    <w:basedOn w:val="Normal"/>
    <w:link w:val="BodyText3Char"/>
    <w:rsid w:val="006609A6"/>
    <w:rPr>
      <w:b/>
      <w:bCs/>
      <w:sz w:val="28"/>
      <w:lang w:eastAsia="en-US"/>
    </w:rPr>
  </w:style>
  <w:style w:type="character" w:customStyle="1" w:styleId="BodyText3Char">
    <w:name w:val="Body Text 3 Char"/>
    <w:basedOn w:val="DefaultParagraphFont"/>
    <w:link w:val="BodyText3"/>
    <w:semiHidden/>
    <w:locked/>
    <w:rsid w:val="00F50F19"/>
    <w:rPr>
      <w:b/>
      <w:bCs/>
      <w:sz w:val="28"/>
      <w:szCs w:val="24"/>
      <w:lang w:val="lv-LV" w:eastAsia="en-US" w:bidi="ar-SA"/>
    </w:rPr>
  </w:style>
  <w:style w:type="paragraph" w:styleId="BodyTextIndent">
    <w:name w:val="Body Text Indent"/>
    <w:basedOn w:val="Normal"/>
    <w:link w:val="BodyTextIndentChar"/>
    <w:rsid w:val="006609A6"/>
    <w:pPr>
      <w:ind w:left="720" w:hanging="360"/>
    </w:pPr>
    <w:rPr>
      <w:sz w:val="28"/>
      <w:lang w:eastAsia="en-US"/>
    </w:rPr>
  </w:style>
  <w:style w:type="character" w:customStyle="1" w:styleId="BodyTextIndentChar">
    <w:name w:val="Body Text Indent Char"/>
    <w:basedOn w:val="DefaultParagraphFont"/>
    <w:link w:val="BodyTextIndent"/>
    <w:locked/>
    <w:rsid w:val="00F50F19"/>
    <w:rPr>
      <w:sz w:val="28"/>
      <w:szCs w:val="24"/>
      <w:lang w:val="lv-LV" w:eastAsia="en-US" w:bidi="ar-SA"/>
    </w:rPr>
  </w:style>
  <w:style w:type="paragraph" w:styleId="BodyText">
    <w:name w:val="Body Text"/>
    <w:aliases w:val="OT Body Text,Body,Tekst,Body Text Char Char,Body Text Char Char Char"/>
    <w:basedOn w:val="Normal"/>
    <w:link w:val="BodyTextChar1"/>
    <w:rsid w:val="006609A6"/>
    <w:pPr>
      <w:spacing w:after="120"/>
    </w:pPr>
  </w:style>
  <w:style w:type="character" w:customStyle="1" w:styleId="BodyTextChar1">
    <w:name w:val="Body Text Char1"/>
    <w:aliases w:val="OT Body Text Char,Body Char,Tekst Char,Body Text Char Char Char2,Body Text Char Char Char Char1"/>
    <w:basedOn w:val="DefaultParagraphFont"/>
    <w:link w:val="BodyText"/>
    <w:uiPriority w:val="99"/>
    <w:locked/>
    <w:rsid w:val="00F50F19"/>
    <w:rPr>
      <w:sz w:val="24"/>
      <w:szCs w:val="24"/>
      <w:lang w:val="ru-RU" w:eastAsia="lv-LV" w:bidi="ar-SA"/>
    </w:rPr>
  </w:style>
  <w:style w:type="paragraph" w:styleId="BodyTextIndent2">
    <w:name w:val="Body Text Indent 2"/>
    <w:basedOn w:val="Normal"/>
    <w:link w:val="BodyTextIndent2Char1"/>
    <w:rsid w:val="006609A6"/>
    <w:pPr>
      <w:spacing w:after="120" w:line="480" w:lineRule="auto"/>
      <w:ind w:left="283"/>
      <w:jc w:val="both"/>
    </w:pPr>
    <w:rPr>
      <w:sz w:val="28"/>
      <w:szCs w:val="20"/>
      <w:lang w:eastAsia="en-US"/>
    </w:rPr>
  </w:style>
  <w:style w:type="character" w:customStyle="1" w:styleId="BodyTextIndent2Char1">
    <w:name w:val="Body Text Indent 2 Char1"/>
    <w:basedOn w:val="DefaultParagraphFont"/>
    <w:link w:val="BodyTextIndent2"/>
    <w:locked/>
    <w:rsid w:val="00F50F19"/>
    <w:rPr>
      <w:sz w:val="28"/>
      <w:lang w:val="lv-LV" w:eastAsia="en-US" w:bidi="ar-SA"/>
    </w:rPr>
  </w:style>
  <w:style w:type="paragraph" w:styleId="NormalWeb">
    <w:name w:val="Normal (Web)"/>
    <w:aliases w:val="sākums"/>
    <w:basedOn w:val="Normal"/>
    <w:uiPriority w:val="99"/>
    <w:rsid w:val="006609A6"/>
    <w:pPr>
      <w:spacing w:before="100" w:beforeAutospacing="1" w:after="100" w:afterAutospacing="1"/>
    </w:pPr>
  </w:style>
  <w:style w:type="character" w:styleId="Hyperlink">
    <w:name w:val="Hyperlink"/>
    <w:basedOn w:val="DefaultParagraphFont"/>
    <w:uiPriority w:val="99"/>
    <w:rsid w:val="006609A6"/>
    <w:rPr>
      <w:color w:val="0000FF"/>
      <w:u w:val="single"/>
    </w:rPr>
  </w:style>
  <w:style w:type="paragraph" w:customStyle="1" w:styleId="naisf">
    <w:name w:val="naisf"/>
    <w:basedOn w:val="Normal"/>
    <w:uiPriority w:val="99"/>
    <w:rsid w:val="006609A6"/>
    <w:pPr>
      <w:spacing w:before="94" w:after="94"/>
      <w:ind w:firstLine="468"/>
      <w:jc w:val="both"/>
    </w:pPr>
  </w:style>
  <w:style w:type="paragraph" w:styleId="Title">
    <w:name w:val="Title"/>
    <w:aliases w:val="Title Char1 Char"/>
    <w:basedOn w:val="Normal"/>
    <w:link w:val="TitleChar1"/>
    <w:qFormat/>
    <w:rsid w:val="006609A6"/>
    <w:pPr>
      <w:ind w:firstLine="720"/>
      <w:jc w:val="center"/>
    </w:pPr>
    <w:rPr>
      <w:b/>
      <w:bCs/>
      <w:sz w:val="28"/>
      <w:u w:val="single"/>
      <w:lang w:eastAsia="en-US"/>
    </w:rPr>
  </w:style>
  <w:style w:type="character" w:customStyle="1" w:styleId="TitleChar1">
    <w:name w:val="Title Char1"/>
    <w:aliases w:val="Title Char1 Char Char"/>
    <w:basedOn w:val="DefaultParagraphFont"/>
    <w:link w:val="Title"/>
    <w:locked/>
    <w:rsid w:val="00F50F19"/>
    <w:rPr>
      <w:b/>
      <w:bCs/>
      <w:sz w:val="28"/>
      <w:szCs w:val="24"/>
      <w:u w:val="single"/>
      <w:lang w:val="lv-LV" w:eastAsia="en-US" w:bidi="ar-SA"/>
    </w:rPr>
  </w:style>
  <w:style w:type="paragraph" w:styleId="Footer">
    <w:name w:val="footer"/>
    <w:basedOn w:val="Normal"/>
    <w:link w:val="FooterChar"/>
    <w:uiPriority w:val="99"/>
    <w:rsid w:val="006609A6"/>
    <w:pPr>
      <w:tabs>
        <w:tab w:val="center" w:pos="4819"/>
        <w:tab w:val="right" w:pos="9071"/>
      </w:tabs>
    </w:pPr>
    <w:rPr>
      <w:rFonts w:ascii="RimTimes" w:hAnsi="RimTimes"/>
      <w:szCs w:val="20"/>
      <w:lang w:eastAsia="en-US"/>
    </w:rPr>
  </w:style>
  <w:style w:type="character" w:customStyle="1" w:styleId="FooterChar">
    <w:name w:val="Footer Char"/>
    <w:basedOn w:val="DefaultParagraphFont"/>
    <w:link w:val="Footer"/>
    <w:uiPriority w:val="99"/>
    <w:locked/>
    <w:rsid w:val="00F50F19"/>
    <w:rPr>
      <w:rFonts w:ascii="RimTimes" w:hAnsi="RimTimes"/>
      <w:sz w:val="24"/>
      <w:lang w:val="lv-LV" w:eastAsia="en-US" w:bidi="ar-SA"/>
    </w:rPr>
  </w:style>
  <w:style w:type="table" w:styleId="TableGrid">
    <w:name w:val="Table Grid"/>
    <w:basedOn w:val="TableNormal"/>
    <w:uiPriority w:val="59"/>
    <w:rsid w:val="006609A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6609A6"/>
    <w:pPr>
      <w:spacing w:before="100" w:after="100"/>
      <w:ind w:left="360" w:right="360"/>
    </w:pPr>
    <w:rPr>
      <w:snapToGrid w:val="0"/>
      <w:szCs w:val="20"/>
      <w:lang w:eastAsia="en-US"/>
    </w:rPr>
  </w:style>
  <w:style w:type="paragraph" w:customStyle="1" w:styleId="naispant">
    <w:name w:val="naispant"/>
    <w:basedOn w:val="Normal"/>
    <w:rsid w:val="006609A6"/>
    <w:pPr>
      <w:spacing w:before="374" w:after="94"/>
      <w:ind w:left="468" w:firstLine="468"/>
      <w:jc w:val="both"/>
    </w:pPr>
    <w:rPr>
      <w:b/>
      <w:bCs/>
    </w:rPr>
  </w:style>
  <w:style w:type="paragraph" w:customStyle="1" w:styleId="Pamatteksts">
    <w:name w:val="Pamatteksts"/>
    <w:rsid w:val="006609A6"/>
    <w:pPr>
      <w:widowControl w:val="0"/>
      <w:spacing w:line="370" w:lineRule="atLeast"/>
      <w:ind w:firstLine="340"/>
      <w:jc w:val="both"/>
    </w:pPr>
    <w:rPr>
      <w:rFonts w:ascii="Dotum" w:eastAsia="Dotum"/>
      <w:sz w:val="24"/>
      <w:lang w:val="en-US" w:eastAsia="en-US"/>
    </w:rPr>
  </w:style>
  <w:style w:type="paragraph" w:styleId="BodyTextIndent3">
    <w:name w:val="Body Text Indent 3"/>
    <w:basedOn w:val="Normal"/>
    <w:link w:val="BodyTextIndent3Char"/>
    <w:rsid w:val="006609A6"/>
    <w:pPr>
      <w:ind w:left="360" w:firstLine="360"/>
      <w:jc w:val="both"/>
    </w:pPr>
    <w:rPr>
      <w:b/>
      <w:sz w:val="28"/>
      <w:szCs w:val="22"/>
      <w:lang w:eastAsia="en-US"/>
    </w:rPr>
  </w:style>
  <w:style w:type="character" w:customStyle="1" w:styleId="BodyTextIndent3Char">
    <w:name w:val="Body Text Indent 3 Char"/>
    <w:basedOn w:val="DefaultParagraphFont"/>
    <w:link w:val="BodyTextIndent3"/>
    <w:semiHidden/>
    <w:locked/>
    <w:rsid w:val="00F50F19"/>
    <w:rPr>
      <w:b/>
      <w:sz w:val="28"/>
      <w:szCs w:val="22"/>
      <w:lang w:val="lv-LV" w:eastAsia="en-US" w:bidi="ar-SA"/>
    </w:rPr>
  </w:style>
  <w:style w:type="paragraph" w:customStyle="1" w:styleId="teksts">
    <w:name w:val="teksts"/>
    <w:rsid w:val="006609A6"/>
    <w:pPr>
      <w:overflowPunct w:val="0"/>
      <w:autoSpaceDE w:val="0"/>
      <w:autoSpaceDN w:val="0"/>
      <w:adjustRightInd w:val="0"/>
      <w:spacing w:after="120"/>
      <w:jc w:val="both"/>
      <w:textAlignment w:val="baseline"/>
    </w:pPr>
    <w:rPr>
      <w:rFonts w:eastAsia="Times New Roman"/>
      <w:sz w:val="24"/>
      <w:lang w:val="en-GB" w:eastAsia="en-US"/>
    </w:rPr>
  </w:style>
  <w:style w:type="character" w:customStyle="1" w:styleId="numercijaarbuletiem">
    <w:name w:val="numerācija ar buletiem"/>
    <w:basedOn w:val="DefaultParagraphFont"/>
    <w:rsid w:val="006609A6"/>
    <w:rPr>
      <w:iCs/>
    </w:rPr>
  </w:style>
  <w:style w:type="paragraph" w:customStyle="1" w:styleId="attlanr">
    <w:name w:val="attēla nr."/>
    <w:basedOn w:val="Normal"/>
    <w:rsid w:val="006609A6"/>
    <w:pPr>
      <w:ind w:firstLine="709"/>
      <w:jc w:val="right"/>
    </w:pPr>
    <w:rPr>
      <w:sz w:val="28"/>
    </w:rPr>
  </w:style>
  <w:style w:type="paragraph" w:customStyle="1" w:styleId="Virsraksts">
    <w:name w:val="Virsraksts"/>
    <w:basedOn w:val="Normal"/>
    <w:rsid w:val="006609A6"/>
    <w:pPr>
      <w:ind w:firstLine="567"/>
      <w:jc w:val="center"/>
    </w:pPr>
    <w:rPr>
      <w:b/>
      <w:bCs/>
      <w:sz w:val="44"/>
    </w:rPr>
  </w:style>
  <w:style w:type="paragraph" w:customStyle="1" w:styleId="Visraksts2">
    <w:name w:val="Visraksts 2"/>
    <w:basedOn w:val="Normal"/>
    <w:rsid w:val="006609A6"/>
    <w:pPr>
      <w:ind w:firstLine="567"/>
      <w:jc w:val="center"/>
    </w:pPr>
    <w:rPr>
      <w:sz w:val="40"/>
    </w:rPr>
  </w:style>
  <w:style w:type="paragraph" w:customStyle="1" w:styleId="Virsraksts3">
    <w:name w:val="Virsraksts 3"/>
    <w:basedOn w:val="Normal"/>
    <w:rsid w:val="006609A6"/>
    <w:pPr>
      <w:ind w:firstLine="567"/>
      <w:jc w:val="center"/>
    </w:pPr>
    <w:rPr>
      <w:b/>
      <w:bCs/>
      <w:sz w:val="40"/>
    </w:rPr>
  </w:style>
  <w:style w:type="character" w:styleId="Strong">
    <w:name w:val="Strong"/>
    <w:basedOn w:val="DefaultParagraphFont"/>
    <w:uiPriority w:val="22"/>
    <w:qFormat/>
    <w:rsid w:val="006609A6"/>
    <w:rPr>
      <w:b/>
      <w:bCs/>
    </w:rPr>
  </w:style>
  <w:style w:type="paragraph" w:customStyle="1" w:styleId="N">
    <w:name w:val="N"/>
    <w:basedOn w:val="Normal"/>
    <w:autoRedefine/>
    <w:rsid w:val="006609A6"/>
    <w:pPr>
      <w:ind w:firstLine="720"/>
      <w:jc w:val="both"/>
    </w:pPr>
    <w:rPr>
      <w:sz w:val="28"/>
      <w:szCs w:val="28"/>
    </w:rPr>
  </w:style>
  <w:style w:type="paragraph" w:customStyle="1" w:styleId="Taksts11">
    <w:name w:val="Taksts_11"/>
    <w:basedOn w:val="Normal"/>
    <w:rsid w:val="006609A6"/>
    <w:pPr>
      <w:ind w:firstLine="567"/>
      <w:jc w:val="both"/>
    </w:pPr>
    <w:rPr>
      <w:sz w:val="28"/>
      <w:szCs w:val="20"/>
      <w:lang w:val="en-US" w:eastAsia="en-US"/>
    </w:rPr>
  </w:style>
  <w:style w:type="character" w:styleId="Emphasis">
    <w:name w:val="Emphasis"/>
    <w:basedOn w:val="DefaultParagraphFont"/>
    <w:uiPriority w:val="20"/>
    <w:qFormat/>
    <w:rsid w:val="006609A6"/>
    <w:rPr>
      <w:i/>
      <w:iCs/>
    </w:rPr>
  </w:style>
  <w:style w:type="paragraph" w:styleId="Subtitle">
    <w:name w:val="Subtitle"/>
    <w:basedOn w:val="Normal"/>
    <w:link w:val="SubtitleChar"/>
    <w:qFormat/>
    <w:rsid w:val="006609A6"/>
    <w:rPr>
      <w:b/>
      <w:sz w:val="21"/>
      <w:szCs w:val="20"/>
      <w:lang w:eastAsia="en-US"/>
    </w:rPr>
  </w:style>
  <w:style w:type="character" w:customStyle="1" w:styleId="SubtitleChar">
    <w:name w:val="Subtitle Char"/>
    <w:basedOn w:val="DefaultParagraphFont"/>
    <w:link w:val="Subtitle"/>
    <w:locked/>
    <w:rsid w:val="00F50F19"/>
    <w:rPr>
      <w:b/>
      <w:sz w:val="21"/>
      <w:lang w:val="lv-LV" w:eastAsia="en-US" w:bidi="ar-SA"/>
    </w:rPr>
  </w:style>
  <w:style w:type="character" w:customStyle="1" w:styleId="BodyTextIndent2Char">
    <w:name w:val="Body Text Indent 2 Char"/>
    <w:basedOn w:val="DefaultParagraphFont"/>
    <w:rsid w:val="006609A6"/>
    <w:rPr>
      <w:sz w:val="28"/>
      <w:szCs w:val="24"/>
      <w:lang w:val="lv-LV" w:eastAsia="en-US" w:bidi="ar-SA"/>
    </w:rPr>
  </w:style>
  <w:style w:type="paragraph" w:customStyle="1" w:styleId="attls">
    <w:name w:val="attēls"/>
    <w:basedOn w:val="BodyText"/>
    <w:rsid w:val="006609A6"/>
    <w:pPr>
      <w:spacing w:after="0"/>
      <w:ind w:firstLine="720"/>
      <w:jc w:val="right"/>
    </w:pPr>
    <w:rPr>
      <w:sz w:val="28"/>
    </w:rPr>
  </w:style>
  <w:style w:type="paragraph" w:customStyle="1" w:styleId="StyleVirsrakstsUBComplex11pt">
    <w:name w:val="Style Virsraksts U B + (Complex) 11 pt"/>
    <w:basedOn w:val="Normal"/>
    <w:rsid w:val="006609A6"/>
    <w:pPr>
      <w:ind w:firstLine="567"/>
      <w:jc w:val="both"/>
    </w:pPr>
    <w:rPr>
      <w:b/>
      <w:bCs/>
      <w:sz w:val="28"/>
      <w:szCs w:val="22"/>
      <w:u w:val="single"/>
      <w:lang w:eastAsia="en-US"/>
    </w:rPr>
  </w:style>
  <w:style w:type="character" w:customStyle="1" w:styleId="StyleVirsrakstsUBComplex11ptChar">
    <w:name w:val="Style Virsraksts U B + (Complex) 11 pt Char"/>
    <w:basedOn w:val="DefaultParagraphFont"/>
    <w:rsid w:val="006609A6"/>
    <w:rPr>
      <w:b/>
      <w:bCs/>
      <w:sz w:val="28"/>
      <w:szCs w:val="22"/>
      <w:u w:val="single"/>
      <w:lang w:val="lv-LV" w:eastAsia="en-US" w:bidi="ar-SA"/>
    </w:rPr>
  </w:style>
  <w:style w:type="paragraph" w:customStyle="1" w:styleId="naisnod">
    <w:name w:val="naisnod"/>
    <w:basedOn w:val="Normal"/>
    <w:rsid w:val="006609A6"/>
    <w:pPr>
      <w:spacing w:before="150" w:after="150"/>
      <w:jc w:val="center"/>
    </w:pPr>
    <w:rPr>
      <w:b/>
      <w:bCs/>
    </w:rPr>
  </w:style>
  <w:style w:type="character" w:customStyle="1" w:styleId="TitleChar">
    <w:name w:val="Title Char"/>
    <w:basedOn w:val="DefaultParagraphFont"/>
    <w:rsid w:val="006609A6"/>
    <w:rPr>
      <w:b/>
      <w:bCs/>
      <w:sz w:val="24"/>
      <w:lang w:val="lv-LV" w:eastAsia="en-US" w:bidi="ar-SA"/>
    </w:rPr>
  </w:style>
  <w:style w:type="character" w:customStyle="1" w:styleId="navinfo1">
    <w:name w:val="navinfo1"/>
    <w:basedOn w:val="DefaultParagraphFont"/>
    <w:rsid w:val="006609A6"/>
    <w:rPr>
      <w:rFonts w:ascii="Arial" w:hAnsi="Arial" w:cs="Arial" w:hint="default"/>
      <w:b/>
      <w:bCs/>
      <w:color w:val="14247C"/>
      <w:sz w:val="17"/>
      <w:szCs w:val="17"/>
    </w:rPr>
  </w:style>
  <w:style w:type="paragraph" w:customStyle="1" w:styleId="Style6">
    <w:name w:val="Style6"/>
    <w:basedOn w:val="Heading4"/>
    <w:link w:val="Style6Char"/>
    <w:autoRedefine/>
    <w:rsid w:val="006609A6"/>
    <w:pPr>
      <w:spacing w:before="120"/>
    </w:pPr>
    <w:rPr>
      <w:i/>
      <w:iCs/>
      <w:sz w:val="24"/>
      <w:szCs w:val="24"/>
    </w:rPr>
  </w:style>
  <w:style w:type="character" w:customStyle="1" w:styleId="Style6Char">
    <w:name w:val="Style6 Char"/>
    <w:basedOn w:val="DefaultParagraphFont"/>
    <w:link w:val="Style6"/>
    <w:locked/>
    <w:rsid w:val="006609A6"/>
    <w:rPr>
      <w:b/>
      <w:bCs/>
      <w:i/>
      <w:iCs/>
      <w:sz w:val="24"/>
      <w:szCs w:val="24"/>
      <w:lang w:val="lv-LV" w:eastAsia="lv-LV" w:bidi="ar-SA"/>
    </w:rPr>
  </w:style>
  <w:style w:type="paragraph" w:customStyle="1" w:styleId="RakstzRakstz1">
    <w:name w:val="Rakstz. Rakstz.1"/>
    <w:basedOn w:val="Normal"/>
    <w:next w:val="BlockText"/>
    <w:rsid w:val="006609A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6609A6"/>
    <w:pPr>
      <w:spacing w:after="120"/>
      <w:ind w:left="1440" w:right="1440"/>
    </w:pPr>
  </w:style>
  <w:style w:type="character" w:styleId="FollowedHyperlink">
    <w:name w:val="FollowedHyperlink"/>
    <w:basedOn w:val="DefaultParagraphFont"/>
    <w:rsid w:val="006609A6"/>
    <w:rPr>
      <w:color w:val="800080"/>
      <w:u w:val="single"/>
    </w:rPr>
  </w:style>
  <w:style w:type="paragraph" w:customStyle="1" w:styleId="naiskr">
    <w:name w:val="naiskr"/>
    <w:basedOn w:val="Normal"/>
    <w:rsid w:val="006609A6"/>
    <w:pPr>
      <w:spacing w:before="100" w:beforeAutospacing="1" w:after="100" w:afterAutospacing="1"/>
    </w:pPr>
  </w:style>
  <w:style w:type="paragraph" w:customStyle="1" w:styleId="naisc">
    <w:name w:val="naisc"/>
    <w:basedOn w:val="Normal"/>
    <w:rsid w:val="006609A6"/>
    <w:pPr>
      <w:spacing w:before="100" w:beforeAutospacing="1" w:after="100" w:afterAutospacing="1"/>
    </w:pPr>
  </w:style>
  <w:style w:type="character" w:styleId="HTMLTypewriter">
    <w:name w:val="HTML Typewriter"/>
    <w:basedOn w:val="DefaultParagraphFont"/>
    <w:rsid w:val="006609A6"/>
    <w:rPr>
      <w:rFonts w:ascii="Courier New" w:eastAsia="Times New Roman" w:hAnsi="Courier New" w:cs="Courier New"/>
      <w:sz w:val="20"/>
      <w:szCs w:val="20"/>
    </w:rPr>
  </w:style>
  <w:style w:type="paragraph" w:customStyle="1" w:styleId="NormalJustified">
    <w:name w:val="Normal + Justified"/>
    <w:basedOn w:val="Normal"/>
    <w:rsid w:val="006609A6"/>
    <w:pPr>
      <w:jc w:val="both"/>
    </w:pPr>
    <w:rPr>
      <w:szCs w:val="20"/>
      <w:lang w:eastAsia="en-US"/>
    </w:rPr>
  </w:style>
  <w:style w:type="paragraph" w:styleId="EnvelopeReturn">
    <w:name w:val="envelope return"/>
    <w:basedOn w:val="Normal"/>
    <w:rsid w:val="006609A6"/>
    <w:pPr>
      <w:keepLines/>
      <w:widowControl w:val="0"/>
      <w:spacing w:before="600"/>
    </w:pPr>
    <w:rPr>
      <w:sz w:val="26"/>
      <w:szCs w:val="20"/>
      <w:lang w:val="en-AU" w:eastAsia="en-US"/>
    </w:rPr>
  </w:style>
  <w:style w:type="paragraph" w:styleId="BalloonText">
    <w:name w:val="Balloon Text"/>
    <w:basedOn w:val="Normal"/>
    <w:link w:val="BalloonTextChar"/>
    <w:semiHidden/>
    <w:rsid w:val="00F50F19"/>
    <w:rPr>
      <w:rFonts w:ascii="Tahoma" w:eastAsia="PMingLiU" w:hAnsi="Tahoma"/>
      <w:sz w:val="16"/>
      <w:szCs w:val="16"/>
    </w:rPr>
  </w:style>
  <w:style w:type="character" w:customStyle="1" w:styleId="BalloonTextChar">
    <w:name w:val="Balloon Text Char"/>
    <w:basedOn w:val="DefaultParagraphFont"/>
    <w:link w:val="BalloonText"/>
    <w:semiHidden/>
    <w:locked/>
    <w:rsid w:val="00F50F19"/>
    <w:rPr>
      <w:rFonts w:ascii="Tahoma" w:eastAsia="PMingLiU" w:hAnsi="Tahoma"/>
      <w:sz w:val="16"/>
      <w:szCs w:val="16"/>
      <w:lang w:val="ru-RU" w:eastAsia="lv-LV" w:bidi="ar-SA"/>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F50F19"/>
    <w:pPr>
      <w:ind w:firstLine="567"/>
      <w:jc w:val="both"/>
    </w:pPr>
    <w:rPr>
      <w:rFonts w:eastAsia="PMingLiU"/>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locked/>
    <w:rsid w:val="00F50F19"/>
    <w:rPr>
      <w:rFonts w:eastAsia="PMingLiU"/>
      <w:lang w:val="lv-LV" w:eastAsia="en-US" w:bidi="ar-SA"/>
    </w:rPr>
  </w:style>
  <w:style w:type="paragraph" w:styleId="CommentText">
    <w:name w:val="annotation text"/>
    <w:basedOn w:val="Normal"/>
    <w:link w:val="CommentTextChar"/>
    <w:uiPriority w:val="99"/>
    <w:semiHidden/>
    <w:rsid w:val="00F50F19"/>
    <w:rPr>
      <w:rFonts w:eastAsia="PMingLiU"/>
      <w:sz w:val="20"/>
      <w:szCs w:val="20"/>
    </w:rPr>
  </w:style>
  <w:style w:type="character" w:customStyle="1" w:styleId="CommentTextChar">
    <w:name w:val="Comment Text Char"/>
    <w:basedOn w:val="DefaultParagraphFont"/>
    <w:link w:val="CommentText"/>
    <w:uiPriority w:val="99"/>
    <w:semiHidden/>
    <w:locked/>
    <w:rsid w:val="00F50F19"/>
    <w:rPr>
      <w:rFonts w:eastAsia="PMingLiU"/>
      <w:lang w:val="ru-RU" w:eastAsia="lv-LV" w:bidi="ar-SA"/>
    </w:rPr>
  </w:style>
  <w:style w:type="paragraph" w:styleId="CommentSubject">
    <w:name w:val="annotation subject"/>
    <w:basedOn w:val="CommentText"/>
    <w:next w:val="CommentText"/>
    <w:link w:val="CommentSubjectChar"/>
    <w:semiHidden/>
    <w:rsid w:val="00F50F19"/>
    <w:rPr>
      <w:b/>
      <w:bCs/>
    </w:rPr>
  </w:style>
  <w:style w:type="character" w:customStyle="1" w:styleId="CommentSubjectChar">
    <w:name w:val="Comment Subject Char"/>
    <w:basedOn w:val="CommentTextChar"/>
    <w:link w:val="CommentSubject"/>
    <w:semiHidden/>
    <w:locked/>
    <w:rsid w:val="00F50F19"/>
    <w:rPr>
      <w:rFonts w:eastAsia="PMingLiU"/>
      <w:b/>
      <w:bCs/>
      <w:lang w:val="ru-RU" w:eastAsia="lv-LV" w:bidi="ar-SA"/>
    </w:rPr>
  </w:style>
  <w:style w:type="character" w:styleId="FootnoteReference">
    <w:name w:val="footnote reference"/>
    <w:aliases w:val="Footnote Reference Number,Footnote Reference Superscript,Footnote symbol,fr"/>
    <w:basedOn w:val="DefaultParagraphFont"/>
    <w:uiPriority w:val="99"/>
    <w:rsid w:val="00D24CA9"/>
    <w:rPr>
      <w:vertAlign w:val="superscript"/>
    </w:rPr>
  </w:style>
  <w:style w:type="character" w:customStyle="1" w:styleId="BodyTextChar">
    <w:name w:val="Body Text Char"/>
    <w:aliases w:val="Body Text Char Char Char1,Body Text Char Char Char Char,OT Body Text Char1,Body Char1,Tekst Char1"/>
    <w:basedOn w:val="DefaultParagraphFont"/>
    <w:locked/>
    <w:rsid w:val="00D34DA1"/>
    <w:rPr>
      <w:rFonts w:cs="Times New Roman"/>
      <w:sz w:val="24"/>
      <w:szCs w:val="24"/>
      <w:lang w:val="en-GB" w:eastAsia="en-US"/>
    </w:rPr>
  </w:style>
  <w:style w:type="paragraph" w:customStyle="1" w:styleId="Default">
    <w:name w:val="Default"/>
    <w:link w:val="DefaultChar"/>
    <w:uiPriority w:val="99"/>
    <w:rsid w:val="00D34DA1"/>
    <w:pPr>
      <w:autoSpaceDE w:val="0"/>
      <w:autoSpaceDN w:val="0"/>
      <w:adjustRightInd w:val="0"/>
    </w:pPr>
    <w:rPr>
      <w:rFonts w:eastAsia="Times New Roman"/>
      <w:color w:val="000000"/>
      <w:sz w:val="24"/>
      <w:szCs w:val="24"/>
    </w:rPr>
  </w:style>
  <w:style w:type="paragraph" w:styleId="ListParagraph">
    <w:name w:val="List Paragraph"/>
    <w:basedOn w:val="Normal"/>
    <w:link w:val="ListParagraphChar"/>
    <w:uiPriority w:val="99"/>
    <w:qFormat/>
    <w:rsid w:val="00554F31"/>
    <w:pPr>
      <w:spacing w:line="276" w:lineRule="auto"/>
      <w:ind w:left="720"/>
      <w:contextualSpacing/>
    </w:pPr>
    <w:rPr>
      <w:rFonts w:ascii="Calibri" w:eastAsia="Calibri" w:hAnsi="Calibri"/>
      <w:sz w:val="22"/>
      <w:szCs w:val="22"/>
      <w:lang w:eastAsia="en-US"/>
    </w:rPr>
  </w:style>
  <w:style w:type="paragraph" w:customStyle="1" w:styleId="RakstzRakstzRakstzCharCharRakstzRakstzCharCharRakstzRakstzCharCharRakstz">
    <w:name w:val="Rakstz. Rakstz. Rakstz. Char Char Rakstz. Rakstz. Char Char Rakstz. Rakstz. Char Char Rakstz."/>
    <w:basedOn w:val="Normal"/>
    <w:rsid w:val="0097068F"/>
    <w:pPr>
      <w:spacing w:before="40"/>
    </w:pPr>
    <w:rPr>
      <w:lang w:val="pl-PL" w:eastAsia="pl-PL"/>
    </w:rPr>
  </w:style>
  <w:style w:type="paragraph" w:customStyle="1" w:styleId="Char2">
    <w:name w:val="Char2"/>
    <w:basedOn w:val="Normal"/>
    <w:rsid w:val="008865D3"/>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A571D3"/>
    <w:rPr>
      <w:rFonts w:ascii="Courier New" w:hAnsi="Courier New"/>
      <w:sz w:val="20"/>
      <w:szCs w:val="20"/>
      <w:lang w:bidi="lo-LA"/>
    </w:rPr>
  </w:style>
  <w:style w:type="character" w:customStyle="1" w:styleId="PlainTextChar">
    <w:name w:val="Plain Text Char"/>
    <w:basedOn w:val="DefaultParagraphFont"/>
    <w:link w:val="PlainText"/>
    <w:uiPriority w:val="99"/>
    <w:rsid w:val="00A571D3"/>
    <w:rPr>
      <w:rFonts w:ascii="Courier New" w:eastAsia="Times New Roman" w:hAnsi="Courier New"/>
      <w:lang w:bidi="lo-LA"/>
    </w:rPr>
  </w:style>
  <w:style w:type="paragraph" w:styleId="DocumentMap">
    <w:name w:val="Document Map"/>
    <w:basedOn w:val="Normal"/>
    <w:semiHidden/>
    <w:rsid w:val="00E40CE5"/>
    <w:pPr>
      <w:shd w:val="clear" w:color="auto" w:fill="000080"/>
    </w:pPr>
    <w:rPr>
      <w:rFonts w:ascii="Tahoma" w:hAnsi="Tahoma" w:cs="Tahoma"/>
      <w:sz w:val="20"/>
      <w:szCs w:val="20"/>
    </w:rPr>
  </w:style>
  <w:style w:type="paragraph" w:styleId="EndnoteText">
    <w:name w:val="endnote text"/>
    <w:basedOn w:val="Normal"/>
    <w:link w:val="EndnoteTextChar"/>
    <w:rsid w:val="00944E7C"/>
    <w:rPr>
      <w:sz w:val="20"/>
      <w:szCs w:val="20"/>
    </w:rPr>
  </w:style>
  <w:style w:type="character" w:customStyle="1" w:styleId="EndnoteTextChar">
    <w:name w:val="Endnote Text Char"/>
    <w:basedOn w:val="DefaultParagraphFont"/>
    <w:link w:val="EndnoteText"/>
    <w:rsid w:val="00944E7C"/>
    <w:rPr>
      <w:rFonts w:eastAsia="Times New Roman"/>
      <w:lang w:val="ru-RU"/>
    </w:rPr>
  </w:style>
  <w:style w:type="character" w:styleId="EndnoteReference">
    <w:name w:val="endnote reference"/>
    <w:basedOn w:val="DefaultParagraphFont"/>
    <w:rsid w:val="00944E7C"/>
    <w:rPr>
      <w:vertAlign w:val="superscript"/>
    </w:rPr>
  </w:style>
  <w:style w:type="character" w:customStyle="1" w:styleId="DefaultChar">
    <w:name w:val="Default Char"/>
    <w:basedOn w:val="DefaultParagraphFont"/>
    <w:link w:val="Default"/>
    <w:uiPriority w:val="99"/>
    <w:locked/>
    <w:rsid w:val="00361A27"/>
    <w:rPr>
      <w:rFonts w:eastAsia="Times New Roman"/>
      <w:color w:val="000000"/>
      <w:sz w:val="24"/>
      <w:szCs w:val="24"/>
      <w:lang w:val="lv-LV" w:eastAsia="lv-LV" w:bidi="ar-SA"/>
    </w:rPr>
  </w:style>
  <w:style w:type="table" w:styleId="MediumList1-Accent3">
    <w:name w:val="Medium List 1 Accent 3"/>
    <w:basedOn w:val="TableNormal"/>
    <w:uiPriority w:val="65"/>
    <w:rsid w:val="005E44C3"/>
    <w:rPr>
      <w:rFonts w:ascii="Calibri" w:eastAsia="Calibri" w:hAnsi="Calibri"/>
      <w:color w:val="000000"/>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9pirmstab3">
    <w:name w:val="9_pirms_tab_3"/>
    <w:basedOn w:val="Normal"/>
    <w:uiPriority w:val="99"/>
    <w:rsid w:val="0045597A"/>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szCs w:val="20"/>
      <w:lang w:eastAsia="en-US"/>
    </w:rPr>
  </w:style>
  <w:style w:type="paragraph" w:customStyle="1" w:styleId="Rakstz">
    <w:name w:val="Rakstz."/>
    <w:basedOn w:val="Normal"/>
    <w:semiHidden/>
    <w:rsid w:val="00415860"/>
    <w:pPr>
      <w:spacing w:after="160" w:line="240" w:lineRule="exact"/>
    </w:pPr>
    <w:rPr>
      <w:rFonts w:ascii="Verdana" w:hAnsi="Verdana"/>
      <w:sz w:val="20"/>
      <w:szCs w:val="20"/>
    </w:rPr>
  </w:style>
  <w:style w:type="character" w:customStyle="1" w:styleId="longtext1">
    <w:name w:val="long_text1"/>
    <w:basedOn w:val="DefaultParagraphFont"/>
    <w:rsid w:val="009728DE"/>
    <w:rPr>
      <w:sz w:val="12"/>
      <w:szCs w:val="12"/>
    </w:rPr>
  </w:style>
  <w:style w:type="character" w:customStyle="1" w:styleId="apple-style-span">
    <w:name w:val="apple-style-span"/>
    <w:basedOn w:val="DefaultParagraphFont"/>
    <w:rsid w:val="003C620C"/>
  </w:style>
  <w:style w:type="character" w:customStyle="1" w:styleId="apple-converted-space">
    <w:name w:val="apple-converted-space"/>
    <w:basedOn w:val="DefaultParagraphFont"/>
    <w:rsid w:val="003C620C"/>
  </w:style>
  <w:style w:type="character" w:customStyle="1" w:styleId="ListParagraphChar">
    <w:name w:val="List Paragraph Char"/>
    <w:link w:val="ListParagraph"/>
    <w:uiPriority w:val="99"/>
    <w:locked/>
    <w:rsid w:val="008A7C7D"/>
    <w:rPr>
      <w:rFonts w:ascii="Calibri" w:eastAsia="Calibri" w:hAnsi="Calibri"/>
      <w:sz w:val="22"/>
      <w:szCs w:val="22"/>
      <w:lang w:eastAsia="en-US"/>
    </w:rPr>
  </w:style>
  <w:style w:type="character" w:customStyle="1" w:styleId="googqs-tidbit1">
    <w:name w:val="goog_qs-tidbit1"/>
    <w:basedOn w:val="DefaultParagraphFont"/>
    <w:rsid w:val="00FE61B7"/>
    <w:rPr>
      <w:vanish w:val="0"/>
      <w:webHidden w:val="0"/>
      <w:specVanish w:val="0"/>
    </w:rPr>
  </w:style>
  <w:style w:type="character" w:customStyle="1" w:styleId="googqs-tidbit-0">
    <w:name w:val="goog_qs-tidbit-0"/>
    <w:basedOn w:val="DefaultParagraphFont"/>
    <w:rsid w:val="008611DD"/>
  </w:style>
  <w:style w:type="character" w:customStyle="1" w:styleId="paracolourtext">
    <w:name w:val="paracolourtext"/>
    <w:basedOn w:val="DefaultParagraphFont"/>
    <w:rsid w:val="00585561"/>
  </w:style>
  <w:style w:type="character" w:styleId="CommentReference">
    <w:name w:val="annotation reference"/>
    <w:basedOn w:val="DefaultParagraphFont"/>
    <w:uiPriority w:val="99"/>
    <w:rsid w:val="00F615DA"/>
    <w:rPr>
      <w:rFonts w:cs="Times New Roman"/>
      <w:sz w:val="16"/>
      <w:szCs w:val="16"/>
    </w:rPr>
  </w:style>
  <w:style w:type="character" w:customStyle="1" w:styleId="ft">
    <w:name w:val="ft"/>
    <w:basedOn w:val="DefaultParagraphFont"/>
    <w:rsid w:val="008E7712"/>
  </w:style>
  <w:style w:type="paragraph" w:styleId="TOC2">
    <w:name w:val="toc 2"/>
    <w:basedOn w:val="Normal"/>
    <w:next w:val="Normal"/>
    <w:autoRedefine/>
    <w:uiPriority w:val="39"/>
    <w:rsid w:val="000A6638"/>
    <w:pPr>
      <w:spacing w:after="100"/>
      <w:ind w:left="221"/>
    </w:pPr>
    <w:rPr>
      <w:rFonts w:eastAsia="Calibri"/>
      <w:sz w:val="22"/>
      <w:szCs w:val="22"/>
      <w:lang w:val="en-US" w:eastAsia="en-US"/>
    </w:rPr>
  </w:style>
  <w:style w:type="paragraph" w:styleId="TOC1">
    <w:name w:val="toc 1"/>
    <w:basedOn w:val="Normal"/>
    <w:next w:val="Normal"/>
    <w:autoRedefine/>
    <w:uiPriority w:val="39"/>
    <w:rsid w:val="00C27B8F"/>
    <w:pPr>
      <w:tabs>
        <w:tab w:val="right" w:leader="dot" w:pos="9105"/>
      </w:tabs>
      <w:spacing w:after="100" w:line="276" w:lineRule="auto"/>
    </w:pPr>
    <w:rPr>
      <w:rFonts w:eastAsia="Calibri"/>
      <w:b/>
      <w:bCs/>
      <w:noProof/>
      <w:color w:val="000000"/>
      <w:lang w:eastAsia="ja-JP"/>
    </w:rPr>
  </w:style>
  <w:style w:type="character" w:customStyle="1" w:styleId="hps">
    <w:name w:val="hps"/>
    <w:basedOn w:val="DefaultParagraphFont"/>
    <w:rsid w:val="00C0775A"/>
    <w:rPr>
      <w:rFonts w:cs="Times New Roman"/>
    </w:rPr>
  </w:style>
  <w:style w:type="paragraph" w:styleId="NoSpacing">
    <w:name w:val="No Spacing"/>
    <w:uiPriority w:val="1"/>
    <w:qFormat/>
    <w:rsid w:val="00246D45"/>
    <w:rPr>
      <w:rFonts w:eastAsia="MS Mincho"/>
      <w:sz w:val="24"/>
      <w:szCs w:val="24"/>
      <w:lang w:eastAsia="ja-JP"/>
    </w:rPr>
  </w:style>
  <w:style w:type="paragraph" w:customStyle="1" w:styleId="Pa16">
    <w:name w:val="Pa16"/>
    <w:basedOn w:val="Normal"/>
    <w:uiPriority w:val="99"/>
    <w:rsid w:val="00EB1926"/>
    <w:pPr>
      <w:autoSpaceDE w:val="0"/>
      <w:autoSpaceDN w:val="0"/>
      <w:spacing w:before="80" w:line="181" w:lineRule="atLeast"/>
    </w:pPr>
    <w:rPr>
      <w:rFonts w:eastAsiaTheme="minorHAnsi"/>
    </w:rPr>
  </w:style>
  <w:style w:type="character" w:customStyle="1" w:styleId="leftside">
    <w:name w:val="left_side"/>
    <w:basedOn w:val="DefaultParagraphFont"/>
    <w:rsid w:val="00EE09A6"/>
  </w:style>
  <w:style w:type="paragraph" w:customStyle="1" w:styleId="tvhtml">
    <w:name w:val="tv_html"/>
    <w:basedOn w:val="Normal"/>
    <w:rsid w:val="00F73809"/>
    <w:pPr>
      <w:spacing w:before="100" w:beforeAutospacing="1" w:after="100" w:afterAutospacing="1"/>
    </w:pPr>
    <w:rPr>
      <w:rFonts w:ascii="Verdana" w:hAnsi="Verdana"/>
      <w:sz w:val="18"/>
      <w:szCs w:val="18"/>
    </w:rPr>
  </w:style>
  <w:style w:type="character" w:customStyle="1" w:styleId="st1">
    <w:name w:val="st1"/>
    <w:basedOn w:val="DefaultParagraphFont"/>
    <w:rsid w:val="003C11DF"/>
  </w:style>
  <w:style w:type="character" w:customStyle="1" w:styleId="cspklasifikatorscodename">
    <w:name w:val="csp_klasifikators_code_name"/>
    <w:basedOn w:val="DefaultParagraphFont"/>
    <w:rsid w:val="00A442C4"/>
  </w:style>
  <w:style w:type="character" w:customStyle="1" w:styleId="normal0020tablechar">
    <w:name w:val="normal_0020table__char"/>
    <w:basedOn w:val="DefaultParagraphFont"/>
    <w:rsid w:val="00312250"/>
  </w:style>
  <w:style w:type="paragraph" w:styleId="TOC3">
    <w:name w:val="toc 3"/>
    <w:basedOn w:val="Normal"/>
    <w:next w:val="Normal"/>
    <w:autoRedefine/>
    <w:uiPriority w:val="39"/>
    <w:rsid w:val="00C14E01"/>
    <w:pPr>
      <w:spacing w:after="100"/>
      <w:ind w:left="480"/>
    </w:pPr>
  </w:style>
  <w:style w:type="character" w:customStyle="1" w:styleId="mw-headline">
    <w:name w:val="mw-headline"/>
    <w:basedOn w:val="DefaultParagraphFont"/>
    <w:rsid w:val="00DB5CDC"/>
  </w:style>
  <w:style w:type="character" w:customStyle="1" w:styleId="editsection">
    <w:name w:val="editsection"/>
    <w:basedOn w:val="DefaultParagraphFont"/>
    <w:rsid w:val="00DB5CDC"/>
  </w:style>
  <w:style w:type="paragraph" w:customStyle="1" w:styleId="EYNormal">
    <w:name w:val="EY Normal"/>
    <w:link w:val="EYNormalChar"/>
    <w:rsid w:val="00D7180C"/>
    <w:pPr>
      <w:spacing w:after="120"/>
    </w:pPr>
    <w:rPr>
      <w:rFonts w:ascii="Arial" w:eastAsia="Times New Roman" w:hAnsi="Arial"/>
      <w:kern w:val="12"/>
      <w:szCs w:val="24"/>
      <w:lang w:eastAsia="en-US"/>
    </w:rPr>
  </w:style>
  <w:style w:type="character" w:customStyle="1" w:styleId="EYNormalChar">
    <w:name w:val="EY Normal Char"/>
    <w:basedOn w:val="DefaultParagraphFont"/>
    <w:link w:val="EYNormal"/>
    <w:rsid w:val="00D7180C"/>
    <w:rPr>
      <w:rFonts w:ascii="Arial" w:eastAsia="Times New Roman" w:hAnsi="Arial"/>
      <w:kern w:val="12"/>
      <w:szCs w:val="24"/>
      <w:lang w:eastAsia="en-US"/>
    </w:rPr>
  </w:style>
  <w:style w:type="paragraph" w:customStyle="1" w:styleId="EYTableHeadingWhite">
    <w:name w:val="EY Table Heading (White)"/>
    <w:basedOn w:val="Normal"/>
    <w:rsid w:val="00D7180C"/>
    <w:pPr>
      <w:framePr w:hSpace="180" w:wrap="around" w:vAnchor="text" w:hAnchor="margin" w:x="115" w:y="57"/>
      <w:spacing w:before="60" w:after="60"/>
    </w:pPr>
    <w:rPr>
      <w:rFonts w:ascii="Arial" w:hAnsi="Arial"/>
      <w:b/>
      <w:bCs/>
      <w:color w:val="FFFFFF"/>
      <w:sz w:val="16"/>
      <w:lang w:eastAsia="en-US"/>
    </w:rPr>
  </w:style>
  <w:style w:type="paragraph" w:customStyle="1" w:styleId="tabletext-left">
    <w:name w:val="table text - left"/>
    <w:rsid w:val="00D87A38"/>
    <w:pPr>
      <w:ind w:left="365" w:hanging="365"/>
    </w:pPr>
    <w:rPr>
      <w:rFonts w:ascii="EYInterstate Light" w:eastAsia="Times New Roman" w:hAnsi="EYInterstate Light"/>
      <w:lang w:val="en-US" w:eastAsia="en-US"/>
    </w:rPr>
  </w:style>
  <w:style w:type="character" w:customStyle="1" w:styleId="cspklasifikatorsbtaprakststext1">
    <w:name w:val="csp_klasifikators_bt_apraksts_text1"/>
    <w:basedOn w:val="DefaultParagraphFont"/>
    <w:rsid w:val="00C05D79"/>
    <w:rPr>
      <w:vanish/>
      <w:webHidden w:val="0"/>
      <w:specVanish w:val="0"/>
    </w:rPr>
  </w:style>
  <w:style w:type="character" w:customStyle="1" w:styleId="cspklasifikatorscode">
    <w:name w:val="csp_klasifikators_code"/>
    <w:basedOn w:val="DefaultParagraphFont"/>
    <w:rsid w:val="00C05D79"/>
  </w:style>
  <w:style w:type="paragraph" w:customStyle="1" w:styleId="TabulaNorm">
    <w:name w:val="TabulaNorm"/>
    <w:basedOn w:val="Normal"/>
    <w:uiPriority w:val="99"/>
    <w:qFormat/>
    <w:rsid w:val="00FE1D28"/>
    <w:pPr>
      <w:spacing w:before="40" w:after="40"/>
      <w:ind w:left="57" w:right="57"/>
    </w:pPr>
    <w:rPr>
      <w:sz w:val="20"/>
      <w:szCs w:val="22"/>
      <w:lang w:eastAsia="en-US"/>
    </w:rPr>
  </w:style>
  <w:style w:type="paragraph" w:styleId="ListBullet">
    <w:name w:val="List Bullet"/>
    <w:aliases w:val=" Char,Char"/>
    <w:basedOn w:val="Normal"/>
    <w:qFormat/>
    <w:rsid w:val="005463B7"/>
    <w:pPr>
      <w:numPr>
        <w:numId w:val="35"/>
      </w:numPr>
      <w:spacing w:after="240" w:line="264" w:lineRule="auto"/>
    </w:pPr>
    <w:rPr>
      <w:rFonts w:eastAsia="Calibri"/>
      <w:lang w:val="en-US" w:eastAsia="en-US"/>
    </w:rPr>
  </w:style>
  <w:style w:type="paragraph" w:customStyle="1" w:styleId="CharCharCharChar1CharCharCharCharCharChar2">
    <w:name w:val="Char Char Char Char1 Char Char Char Char Char Char2"/>
    <w:basedOn w:val="Normal"/>
    <w:next w:val="Normal"/>
    <w:rsid w:val="00A1300F"/>
    <w:pPr>
      <w:spacing w:before="120" w:after="160" w:line="240" w:lineRule="exact"/>
      <w:ind w:firstLine="720"/>
      <w:jc w:val="both"/>
    </w:pPr>
    <w:rPr>
      <w:rFonts w:ascii="Verdana" w:hAnsi="Verdana"/>
      <w:sz w:val="20"/>
      <w:szCs w:val="20"/>
      <w:lang w:val="en-US" w:eastAsia="en-US"/>
    </w:rPr>
  </w:style>
  <w:style w:type="paragraph" w:styleId="Signature">
    <w:name w:val="Signature"/>
    <w:basedOn w:val="Normal"/>
    <w:next w:val="EnvelopeReturn"/>
    <w:link w:val="SignatureChar"/>
    <w:rsid w:val="00F65A97"/>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F65A97"/>
    <w:rPr>
      <w:rFonts w:eastAsia="Times New Roman"/>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517">
      <w:bodyDiv w:val="1"/>
      <w:marLeft w:val="0"/>
      <w:marRight w:val="0"/>
      <w:marTop w:val="0"/>
      <w:marBottom w:val="0"/>
      <w:divBdr>
        <w:top w:val="none" w:sz="0" w:space="0" w:color="auto"/>
        <w:left w:val="none" w:sz="0" w:space="0" w:color="auto"/>
        <w:bottom w:val="none" w:sz="0" w:space="0" w:color="auto"/>
        <w:right w:val="none" w:sz="0" w:space="0" w:color="auto"/>
      </w:divBdr>
    </w:div>
    <w:div w:id="21444387">
      <w:bodyDiv w:val="1"/>
      <w:marLeft w:val="0"/>
      <w:marRight w:val="0"/>
      <w:marTop w:val="0"/>
      <w:marBottom w:val="0"/>
      <w:divBdr>
        <w:top w:val="none" w:sz="0" w:space="0" w:color="auto"/>
        <w:left w:val="none" w:sz="0" w:space="0" w:color="auto"/>
        <w:bottom w:val="none" w:sz="0" w:space="0" w:color="auto"/>
        <w:right w:val="none" w:sz="0" w:space="0" w:color="auto"/>
      </w:divBdr>
    </w:div>
    <w:div w:id="36904173">
      <w:bodyDiv w:val="1"/>
      <w:marLeft w:val="0"/>
      <w:marRight w:val="0"/>
      <w:marTop w:val="0"/>
      <w:marBottom w:val="0"/>
      <w:divBdr>
        <w:top w:val="none" w:sz="0" w:space="0" w:color="auto"/>
        <w:left w:val="none" w:sz="0" w:space="0" w:color="auto"/>
        <w:bottom w:val="none" w:sz="0" w:space="0" w:color="auto"/>
        <w:right w:val="none" w:sz="0" w:space="0" w:color="auto"/>
      </w:divBdr>
    </w:div>
    <w:div w:id="45613945">
      <w:bodyDiv w:val="1"/>
      <w:marLeft w:val="0"/>
      <w:marRight w:val="0"/>
      <w:marTop w:val="0"/>
      <w:marBottom w:val="0"/>
      <w:divBdr>
        <w:top w:val="none" w:sz="0" w:space="0" w:color="auto"/>
        <w:left w:val="none" w:sz="0" w:space="0" w:color="auto"/>
        <w:bottom w:val="none" w:sz="0" w:space="0" w:color="auto"/>
        <w:right w:val="none" w:sz="0" w:space="0" w:color="auto"/>
      </w:divBdr>
      <w:divsChild>
        <w:div w:id="1067919703">
          <w:marLeft w:val="0"/>
          <w:marRight w:val="0"/>
          <w:marTop w:val="0"/>
          <w:marBottom w:val="0"/>
          <w:divBdr>
            <w:top w:val="none" w:sz="0" w:space="0" w:color="auto"/>
            <w:left w:val="none" w:sz="0" w:space="0" w:color="auto"/>
            <w:bottom w:val="none" w:sz="0" w:space="0" w:color="auto"/>
            <w:right w:val="none" w:sz="0" w:space="0" w:color="auto"/>
          </w:divBdr>
          <w:divsChild>
            <w:div w:id="567618521">
              <w:marLeft w:val="0"/>
              <w:marRight w:val="0"/>
              <w:marTop w:val="100"/>
              <w:marBottom w:val="100"/>
              <w:divBdr>
                <w:top w:val="none" w:sz="0" w:space="0" w:color="auto"/>
                <w:left w:val="none" w:sz="0" w:space="0" w:color="auto"/>
                <w:bottom w:val="none" w:sz="0" w:space="0" w:color="auto"/>
                <w:right w:val="none" w:sz="0" w:space="0" w:color="auto"/>
              </w:divBdr>
              <w:divsChild>
                <w:div w:id="955062234">
                  <w:marLeft w:val="0"/>
                  <w:marRight w:val="0"/>
                  <w:marTop w:val="0"/>
                  <w:marBottom w:val="0"/>
                  <w:divBdr>
                    <w:top w:val="none" w:sz="0" w:space="0" w:color="auto"/>
                    <w:left w:val="none" w:sz="0" w:space="0" w:color="auto"/>
                    <w:bottom w:val="none" w:sz="0" w:space="0" w:color="auto"/>
                    <w:right w:val="none" w:sz="0" w:space="0" w:color="auto"/>
                  </w:divBdr>
                  <w:divsChild>
                    <w:div w:id="274101721">
                      <w:marLeft w:val="0"/>
                      <w:marRight w:val="0"/>
                      <w:marTop w:val="0"/>
                      <w:marBottom w:val="0"/>
                      <w:divBdr>
                        <w:top w:val="none" w:sz="0" w:space="0" w:color="auto"/>
                        <w:left w:val="none" w:sz="0" w:space="0" w:color="auto"/>
                        <w:bottom w:val="none" w:sz="0" w:space="0" w:color="auto"/>
                        <w:right w:val="none" w:sz="0" w:space="0" w:color="auto"/>
                      </w:divBdr>
                      <w:divsChild>
                        <w:div w:id="6854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9886">
      <w:bodyDiv w:val="1"/>
      <w:marLeft w:val="0"/>
      <w:marRight w:val="0"/>
      <w:marTop w:val="0"/>
      <w:marBottom w:val="0"/>
      <w:divBdr>
        <w:top w:val="none" w:sz="0" w:space="0" w:color="auto"/>
        <w:left w:val="none" w:sz="0" w:space="0" w:color="auto"/>
        <w:bottom w:val="none" w:sz="0" w:space="0" w:color="auto"/>
        <w:right w:val="none" w:sz="0" w:space="0" w:color="auto"/>
      </w:divBdr>
      <w:divsChild>
        <w:div w:id="768507619">
          <w:marLeft w:val="0"/>
          <w:marRight w:val="0"/>
          <w:marTop w:val="0"/>
          <w:marBottom w:val="0"/>
          <w:divBdr>
            <w:top w:val="none" w:sz="0" w:space="0" w:color="auto"/>
            <w:left w:val="none" w:sz="0" w:space="0" w:color="auto"/>
            <w:bottom w:val="none" w:sz="0" w:space="0" w:color="auto"/>
            <w:right w:val="none" w:sz="0" w:space="0" w:color="auto"/>
          </w:divBdr>
        </w:div>
      </w:divsChild>
    </w:div>
    <w:div w:id="77364104">
      <w:bodyDiv w:val="1"/>
      <w:marLeft w:val="0"/>
      <w:marRight w:val="0"/>
      <w:marTop w:val="0"/>
      <w:marBottom w:val="0"/>
      <w:divBdr>
        <w:top w:val="none" w:sz="0" w:space="0" w:color="auto"/>
        <w:left w:val="none" w:sz="0" w:space="0" w:color="auto"/>
        <w:bottom w:val="none" w:sz="0" w:space="0" w:color="auto"/>
        <w:right w:val="none" w:sz="0" w:space="0" w:color="auto"/>
      </w:divBdr>
    </w:div>
    <w:div w:id="81487587">
      <w:bodyDiv w:val="1"/>
      <w:marLeft w:val="0"/>
      <w:marRight w:val="0"/>
      <w:marTop w:val="0"/>
      <w:marBottom w:val="0"/>
      <w:divBdr>
        <w:top w:val="none" w:sz="0" w:space="0" w:color="auto"/>
        <w:left w:val="none" w:sz="0" w:space="0" w:color="auto"/>
        <w:bottom w:val="none" w:sz="0" w:space="0" w:color="auto"/>
        <w:right w:val="none" w:sz="0" w:space="0" w:color="auto"/>
      </w:divBdr>
    </w:div>
    <w:div w:id="92630141">
      <w:bodyDiv w:val="1"/>
      <w:marLeft w:val="0"/>
      <w:marRight w:val="0"/>
      <w:marTop w:val="0"/>
      <w:marBottom w:val="0"/>
      <w:divBdr>
        <w:top w:val="none" w:sz="0" w:space="0" w:color="auto"/>
        <w:left w:val="none" w:sz="0" w:space="0" w:color="auto"/>
        <w:bottom w:val="none" w:sz="0" w:space="0" w:color="auto"/>
        <w:right w:val="none" w:sz="0" w:space="0" w:color="auto"/>
      </w:divBdr>
    </w:div>
    <w:div w:id="97454032">
      <w:bodyDiv w:val="1"/>
      <w:marLeft w:val="0"/>
      <w:marRight w:val="0"/>
      <w:marTop w:val="0"/>
      <w:marBottom w:val="0"/>
      <w:divBdr>
        <w:top w:val="none" w:sz="0" w:space="0" w:color="auto"/>
        <w:left w:val="none" w:sz="0" w:space="0" w:color="auto"/>
        <w:bottom w:val="none" w:sz="0" w:space="0" w:color="auto"/>
        <w:right w:val="none" w:sz="0" w:space="0" w:color="auto"/>
      </w:divBdr>
    </w:div>
    <w:div w:id="105320571">
      <w:bodyDiv w:val="1"/>
      <w:marLeft w:val="0"/>
      <w:marRight w:val="0"/>
      <w:marTop w:val="0"/>
      <w:marBottom w:val="0"/>
      <w:divBdr>
        <w:top w:val="none" w:sz="0" w:space="0" w:color="auto"/>
        <w:left w:val="none" w:sz="0" w:space="0" w:color="auto"/>
        <w:bottom w:val="none" w:sz="0" w:space="0" w:color="auto"/>
        <w:right w:val="none" w:sz="0" w:space="0" w:color="auto"/>
      </w:divBdr>
    </w:div>
    <w:div w:id="116220782">
      <w:bodyDiv w:val="1"/>
      <w:marLeft w:val="0"/>
      <w:marRight w:val="0"/>
      <w:marTop w:val="0"/>
      <w:marBottom w:val="0"/>
      <w:divBdr>
        <w:top w:val="none" w:sz="0" w:space="0" w:color="auto"/>
        <w:left w:val="none" w:sz="0" w:space="0" w:color="auto"/>
        <w:bottom w:val="none" w:sz="0" w:space="0" w:color="auto"/>
        <w:right w:val="none" w:sz="0" w:space="0" w:color="auto"/>
      </w:divBdr>
    </w:div>
    <w:div w:id="117380038">
      <w:bodyDiv w:val="1"/>
      <w:marLeft w:val="0"/>
      <w:marRight w:val="0"/>
      <w:marTop w:val="0"/>
      <w:marBottom w:val="0"/>
      <w:divBdr>
        <w:top w:val="none" w:sz="0" w:space="0" w:color="auto"/>
        <w:left w:val="none" w:sz="0" w:space="0" w:color="auto"/>
        <w:bottom w:val="none" w:sz="0" w:space="0" w:color="auto"/>
        <w:right w:val="none" w:sz="0" w:space="0" w:color="auto"/>
      </w:divBdr>
    </w:div>
    <w:div w:id="129057434">
      <w:bodyDiv w:val="1"/>
      <w:marLeft w:val="0"/>
      <w:marRight w:val="0"/>
      <w:marTop w:val="0"/>
      <w:marBottom w:val="0"/>
      <w:divBdr>
        <w:top w:val="none" w:sz="0" w:space="0" w:color="auto"/>
        <w:left w:val="none" w:sz="0" w:space="0" w:color="auto"/>
        <w:bottom w:val="none" w:sz="0" w:space="0" w:color="auto"/>
        <w:right w:val="none" w:sz="0" w:space="0" w:color="auto"/>
      </w:divBdr>
    </w:div>
    <w:div w:id="161311440">
      <w:bodyDiv w:val="1"/>
      <w:marLeft w:val="0"/>
      <w:marRight w:val="0"/>
      <w:marTop w:val="0"/>
      <w:marBottom w:val="0"/>
      <w:divBdr>
        <w:top w:val="none" w:sz="0" w:space="0" w:color="auto"/>
        <w:left w:val="none" w:sz="0" w:space="0" w:color="auto"/>
        <w:bottom w:val="none" w:sz="0" w:space="0" w:color="auto"/>
        <w:right w:val="none" w:sz="0" w:space="0" w:color="auto"/>
      </w:divBdr>
    </w:div>
    <w:div w:id="172457416">
      <w:bodyDiv w:val="1"/>
      <w:marLeft w:val="0"/>
      <w:marRight w:val="0"/>
      <w:marTop w:val="0"/>
      <w:marBottom w:val="0"/>
      <w:divBdr>
        <w:top w:val="none" w:sz="0" w:space="0" w:color="auto"/>
        <w:left w:val="none" w:sz="0" w:space="0" w:color="auto"/>
        <w:bottom w:val="none" w:sz="0" w:space="0" w:color="auto"/>
        <w:right w:val="none" w:sz="0" w:space="0" w:color="auto"/>
      </w:divBdr>
      <w:divsChild>
        <w:div w:id="944116431">
          <w:marLeft w:val="0"/>
          <w:marRight w:val="0"/>
          <w:marTop w:val="0"/>
          <w:marBottom w:val="0"/>
          <w:divBdr>
            <w:top w:val="none" w:sz="0" w:space="0" w:color="auto"/>
            <w:left w:val="none" w:sz="0" w:space="0" w:color="auto"/>
            <w:bottom w:val="none" w:sz="0" w:space="0" w:color="auto"/>
            <w:right w:val="none" w:sz="0" w:space="0" w:color="auto"/>
          </w:divBdr>
          <w:divsChild>
            <w:div w:id="1726248706">
              <w:marLeft w:val="0"/>
              <w:marRight w:val="0"/>
              <w:marTop w:val="100"/>
              <w:marBottom w:val="100"/>
              <w:divBdr>
                <w:top w:val="none" w:sz="0" w:space="0" w:color="auto"/>
                <w:left w:val="none" w:sz="0" w:space="0" w:color="auto"/>
                <w:bottom w:val="none" w:sz="0" w:space="0" w:color="auto"/>
                <w:right w:val="none" w:sz="0" w:space="0" w:color="auto"/>
              </w:divBdr>
              <w:divsChild>
                <w:div w:id="379399527">
                  <w:marLeft w:val="0"/>
                  <w:marRight w:val="0"/>
                  <w:marTop w:val="0"/>
                  <w:marBottom w:val="0"/>
                  <w:divBdr>
                    <w:top w:val="none" w:sz="0" w:space="0" w:color="auto"/>
                    <w:left w:val="none" w:sz="0" w:space="0" w:color="auto"/>
                    <w:bottom w:val="none" w:sz="0" w:space="0" w:color="auto"/>
                    <w:right w:val="none" w:sz="0" w:space="0" w:color="auto"/>
                  </w:divBdr>
                  <w:divsChild>
                    <w:div w:id="586813895">
                      <w:marLeft w:val="0"/>
                      <w:marRight w:val="0"/>
                      <w:marTop w:val="0"/>
                      <w:marBottom w:val="0"/>
                      <w:divBdr>
                        <w:top w:val="none" w:sz="0" w:space="0" w:color="auto"/>
                        <w:left w:val="none" w:sz="0" w:space="0" w:color="auto"/>
                        <w:bottom w:val="none" w:sz="0" w:space="0" w:color="auto"/>
                        <w:right w:val="none" w:sz="0" w:space="0" w:color="auto"/>
                      </w:divBdr>
                      <w:divsChild>
                        <w:div w:id="286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0530">
      <w:bodyDiv w:val="1"/>
      <w:marLeft w:val="0"/>
      <w:marRight w:val="0"/>
      <w:marTop w:val="0"/>
      <w:marBottom w:val="0"/>
      <w:divBdr>
        <w:top w:val="none" w:sz="0" w:space="0" w:color="auto"/>
        <w:left w:val="none" w:sz="0" w:space="0" w:color="auto"/>
        <w:bottom w:val="none" w:sz="0" w:space="0" w:color="auto"/>
        <w:right w:val="none" w:sz="0" w:space="0" w:color="auto"/>
      </w:divBdr>
    </w:div>
    <w:div w:id="195311335">
      <w:bodyDiv w:val="1"/>
      <w:marLeft w:val="0"/>
      <w:marRight w:val="0"/>
      <w:marTop w:val="0"/>
      <w:marBottom w:val="0"/>
      <w:divBdr>
        <w:top w:val="none" w:sz="0" w:space="0" w:color="auto"/>
        <w:left w:val="none" w:sz="0" w:space="0" w:color="auto"/>
        <w:bottom w:val="none" w:sz="0" w:space="0" w:color="auto"/>
        <w:right w:val="none" w:sz="0" w:space="0" w:color="auto"/>
      </w:divBdr>
    </w:div>
    <w:div w:id="200212595">
      <w:bodyDiv w:val="1"/>
      <w:marLeft w:val="0"/>
      <w:marRight w:val="0"/>
      <w:marTop w:val="0"/>
      <w:marBottom w:val="0"/>
      <w:divBdr>
        <w:top w:val="none" w:sz="0" w:space="0" w:color="auto"/>
        <w:left w:val="none" w:sz="0" w:space="0" w:color="auto"/>
        <w:bottom w:val="none" w:sz="0" w:space="0" w:color="auto"/>
        <w:right w:val="none" w:sz="0" w:space="0" w:color="auto"/>
      </w:divBdr>
      <w:divsChild>
        <w:div w:id="719480950">
          <w:marLeft w:val="0"/>
          <w:marRight w:val="0"/>
          <w:marTop w:val="0"/>
          <w:marBottom w:val="0"/>
          <w:divBdr>
            <w:top w:val="none" w:sz="0" w:space="0" w:color="auto"/>
            <w:left w:val="none" w:sz="0" w:space="0" w:color="auto"/>
            <w:bottom w:val="none" w:sz="0" w:space="0" w:color="auto"/>
            <w:right w:val="none" w:sz="0" w:space="0" w:color="auto"/>
          </w:divBdr>
          <w:divsChild>
            <w:div w:id="1349679887">
              <w:marLeft w:val="0"/>
              <w:marRight w:val="0"/>
              <w:marTop w:val="0"/>
              <w:marBottom w:val="0"/>
              <w:divBdr>
                <w:top w:val="none" w:sz="0" w:space="0" w:color="auto"/>
                <w:left w:val="none" w:sz="0" w:space="0" w:color="auto"/>
                <w:bottom w:val="none" w:sz="0" w:space="0" w:color="auto"/>
                <w:right w:val="none" w:sz="0" w:space="0" w:color="auto"/>
              </w:divBdr>
              <w:divsChild>
                <w:div w:id="1619750448">
                  <w:marLeft w:val="0"/>
                  <w:marRight w:val="0"/>
                  <w:marTop w:val="0"/>
                  <w:marBottom w:val="0"/>
                  <w:divBdr>
                    <w:top w:val="none" w:sz="0" w:space="0" w:color="auto"/>
                    <w:left w:val="none" w:sz="0" w:space="0" w:color="auto"/>
                    <w:bottom w:val="none" w:sz="0" w:space="0" w:color="auto"/>
                    <w:right w:val="none" w:sz="0" w:space="0" w:color="auto"/>
                  </w:divBdr>
                  <w:divsChild>
                    <w:div w:id="1613171432">
                      <w:marLeft w:val="0"/>
                      <w:marRight w:val="0"/>
                      <w:marTop w:val="0"/>
                      <w:marBottom w:val="0"/>
                      <w:divBdr>
                        <w:top w:val="none" w:sz="0" w:space="0" w:color="auto"/>
                        <w:left w:val="none" w:sz="0" w:space="0" w:color="auto"/>
                        <w:bottom w:val="none" w:sz="0" w:space="0" w:color="auto"/>
                        <w:right w:val="none" w:sz="0" w:space="0" w:color="auto"/>
                      </w:divBdr>
                      <w:divsChild>
                        <w:div w:id="1644919892">
                          <w:marLeft w:val="0"/>
                          <w:marRight w:val="0"/>
                          <w:marTop w:val="0"/>
                          <w:marBottom w:val="0"/>
                          <w:divBdr>
                            <w:top w:val="none" w:sz="0" w:space="0" w:color="auto"/>
                            <w:left w:val="none" w:sz="0" w:space="0" w:color="auto"/>
                            <w:bottom w:val="none" w:sz="0" w:space="0" w:color="auto"/>
                            <w:right w:val="none" w:sz="0" w:space="0" w:color="auto"/>
                          </w:divBdr>
                          <w:divsChild>
                            <w:div w:id="1952778176">
                              <w:marLeft w:val="0"/>
                              <w:marRight w:val="0"/>
                              <w:marTop w:val="0"/>
                              <w:marBottom w:val="0"/>
                              <w:divBdr>
                                <w:top w:val="none" w:sz="0" w:space="0" w:color="auto"/>
                                <w:left w:val="none" w:sz="0" w:space="0" w:color="auto"/>
                                <w:bottom w:val="none" w:sz="0" w:space="0" w:color="auto"/>
                                <w:right w:val="none" w:sz="0" w:space="0" w:color="auto"/>
                              </w:divBdr>
                              <w:divsChild>
                                <w:div w:id="1613659344">
                                  <w:marLeft w:val="0"/>
                                  <w:marRight w:val="0"/>
                                  <w:marTop w:val="0"/>
                                  <w:marBottom w:val="0"/>
                                  <w:divBdr>
                                    <w:top w:val="none" w:sz="0" w:space="0" w:color="auto"/>
                                    <w:left w:val="none" w:sz="0" w:space="0" w:color="auto"/>
                                    <w:bottom w:val="none" w:sz="0" w:space="0" w:color="auto"/>
                                    <w:right w:val="none" w:sz="0" w:space="0" w:color="auto"/>
                                  </w:divBdr>
                                  <w:divsChild>
                                    <w:div w:id="720132775">
                                      <w:marLeft w:val="0"/>
                                      <w:marRight w:val="0"/>
                                      <w:marTop w:val="0"/>
                                      <w:marBottom w:val="0"/>
                                      <w:divBdr>
                                        <w:top w:val="none" w:sz="0" w:space="0" w:color="auto"/>
                                        <w:left w:val="none" w:sz="0" w:space="0" w:color="auto"/>
                                        <w:bottom w:val="none" w:sz="0" w:space="0" w:color="auto"/>
                                        <w:right w:val="none" w:sz="0" w:space="0" w:color="auto"/>
                                      </w:divBdr>
                                      <w:divsChild>
                                        <w:div w:id="276907911">
                                          <w:marLeft w:val="0"/>
                                          <w:marRight w:val="0"/>
                                          <w:marTop w:val="0"/>
                                          <w:marBottom w:val="0"/>
                                          <w:divBdr>
                                            <w:top w:val="none" w:sz="0" w:space="0" w:color="auto"/>
                                            <w:left w:val="none" w:sz="0" w:space="0" w:color="auto"/>
                                            <w:bottom w:val="none" w:sz="0" w:space="0" w:color="auto"/>
                                            <w:right w:val="none" w:sz="0" w:space="0" w:color="auto"/>
                                          </w:divBdr>
                                          <w:divsChild>
                                            <w:div w:id="968433837">
                                              <w:marLeft w:val="0"/>
                                              <w:marRight w:val="0"/>
                                              <w:marTop w:val="0"/>
                                              <w:marBottom w:val="0"/>
                                              <w:divBdr>
                                                <w:top w:val="none" w:sz="0" w:space="0" w:color="auto"/>
                                                <w:left w:val="none" w:sz="0" w:space="0" w:color="auto"/>
                                                <w:bottom w:val="none" w:sz="0" w:space="0" w:color="auto"/>
                                                <w:right w:val="none" w:sz="0" w:space="0" w:color="auto"/>
                                              </w:divBdr>
                                              <w:divsChild>
                                                <w:div w:id="1559441186">
                                                  <w:marLeft w:val="0"/>
                                                  <w:marRight w:val="0"/>
                                                  <w:marTop w:val="0"/>
                                                  <w:marBottom w:val="0"/>
                                                  <w:divBdr>
                                                    <w:top w:val="none" w:sz="0" w:space="0" w:color="auto"/>
                                                    <w:left w:val="none" w:sz="0" w:space="0" w:color="auto"/>
                                                    <w:bottom w:val="none" w:sz="0" w:space="0" w:color="auto"/>
                                                    <w:right w:val="none" w:sz="0" w:space="0" w:color="auto"/>
                                                  </w:divBdr>
                                                  <w:divsChild>
                                                    <w:div w:id="1322269302">
                                                      <w:marLeft w:val="0"/>
                                                      <w:marRight w:val="0"/>
                                                      <w:marTop w:val="0"/>
                                                      <w:marBottom w:val="0"/>
                                                      <w:divBdr>
                                                        <w:top w:val="none" w:sz="0" w:space="0" w:color="auto"/>
                                                        <w:left w:val="none" w:sz="0" w:space="0" w:color="auto"/>
                                                        <w:bottom w:val="none" w:sz="0" w:space="0" w:color="auto"/>
                                                        <w:right w:val="none" w:sz="0" w:space="0" w:color="auto"/>
                                                      </w:divBdr>
                                                      <w:divsChild>
                                                        <w:div w:id="831334141">
                                                          <w:marLeft w:val="0"/>
                                                          <w:marRight w:val="0"/>
                                                          <w:marTop w:val="0"/>
                                                          <w:marBottom w:val="0"/>
                                                          <w:divBdr>
                                                            <w:top w:val="none" w:sz="0" w:space="0" w:color="auto"/>
                                                            <w:left w:val="none" w:sz="0" w:space="0" w:color="auto"/>
                                                            <w:bottom w:val="none" w:sz="0" w:space="0" w:color="auto"/>
                                                            <w:right w:val="none" w:sz="0" w:space="0" w:color="auto"/>
                                                          </w:divBdr>
                                                          <w:divsChild>
                                                            <w:div w:id="2035955130">
                                                              <w:marLeft w:val="0"/>
                                                              <w:marRight w:val="0"/>
                                                              <w:marTop w:val="0"/>
                                                              <w:marBottom w:val="0"/>
                                                              <w:divBdr>
                                                                <w:top w:val="none" w:sz="0" w:space="0" w:color="auto"/>
                                                                <w:left w:val="none" w:sz="0" w:space="0" w:color="auto"/>
                                                                <w:bottom w:val="none" w:sz="0" w:space="0" w:color="auto"/>
                                                                <w:right w:val="none" w:sz="0" w:space="0" w:color="auto"/>
                                                              </w:divBdr>
                                                              <w:divsChild>
                                                                <w:div w:id="792869899">
                                                                  <w:marLeft w:val="0"/>
                                                                  <w:marRight w:val="0"/>
                                                                  <w:marTop w:val="0"/>
                                                                  <w:marBottom w:val="0"/>
                                                                  <w:divBdr>
                                                                    <w:top w:val="none" w:sz="0" w:space="0" w:color="auto"/>
                                                                    <w:left w:val="none" w:sz="0" w:space="0" w:color="auto"/>
                                                                    <w:bottom w:val="none" w:sz="0" w:space="0" w:color="auto"/>
                                                                    <w:right w:val="none" w:sz="0" w:space="0" w:color="auto"/>
                                                                  </w:divBdr>
                                                                  <w:divsChild>
                                                                    <w:div w:id="1707103883">
                                                                      <w:marLeft w:val="0"/>
                                                                      <w:marRight w:val="0"/>
                                                                      <w:marTop w:val="0"/>
                                                                      <w:marBottom w:val="0"/>
                                                                      <w:divBdr>
                                                                        <w:top w:val="none" w:sz="0" w:space="0" w:color="auto"/>
                                                                        <w:left w:val="none" w:sz="0" w:space="0" w:color="auto"/>
                                                                        <w:bottom w:val="none" w:sz="0" w:space="0" w:color="auto"/>
                                                                        <w:right w:val="none" w:sz="0" w:space="0" w:color="auto"/>
                                                                      </w:divBdr>
                                                                      <w:divsChild>
                                                                        <w:div w:id="12153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2229">
      <w:bodyDiv w:val="1"/>
      <w:marLeft w:val="0"/>
      <w:marRight w:val="0"/>
      <w:marTop w:val="0"/>
      <w:marBottom w:val="0"/>
      <w:divBdr>
        <w:top w:val="none" w:sz="0" w:space="0" w:color="auto"/>
        <w:left w:val="none" w:sz="0" w:space="0" w:color="auto"/>
        <w:bottom w:val="none" w:sz="0" w:space="0" w:color="auto"/>
        <w:right w:val="none" w:sz="0" w:space="0" w:color="auto"/>
      </w:divBdr>
    </w:div>
    <w:div w:id="235476238">
      <w:bodyDiv w:val="1"/>
      <w:marLeft w:val="0"/>
      <w:marRight w:val="0"/>
      <w:marTop w:val="0"/>
      <w:marBottom w:val="0"/>
      <w:divBdr>
        <w:top w:val="none" w:sz="0" w:space="0" w:color="auto"/>
        <w:left w:val="none" w:sz="0" w:space="0" w:color="auto"/>
        <w:bottom w:val="none" w:sz="0" w:space="0" w:color="auto"/>
        <w:right w:val="none" w:sz="0" w:space="0" w:color="auto"/>
      </w:divBdr>
    </w:div>
    <w:div w:id="244654565">
      <w:bodyDiv w:val="1"/>
      <w:marLeft w:val="0"/>
      <w:marRight w:val="0"/>
      <w:marTop w:val="0"/>
      <w:marBottom w:val="0"/>
      <w:divBdr>
        <w:top w:val="none" w:sz="0" w:space="0" w:color="auto"/>
        <w:left w:val="none" w:sz="0" w:space="0" w:color="auto"/>
        <w:bottom w:val="none" w:sz="0" w:space="0" w:color="auto"/>
        <w:right w:val="none" w:sz="0" w:space="0" w:color="auto"/>
      </w:divBdr>
    </w:div>
    <w:div w:id="247346453">
      <w:bodyDiv w:val="1"/>
      <w:marLeft w:val="0"/>
      <w:marRight w:val="0"/>
      <w:marTop w:val="0"/>
      <w:marBottom w:val="0"/>
      <w:divBdr>
        <w:top w:val="none" w:sz="0" w:space="0" w:color="auto"/>
        <w:left w:val="none" w:sz="0" w:space="0" w:color="auto"/>
        <w:bottom w:val="none" w:sz="0" w:space="0" w:color="auto"/>
        <w:right w:val="none" w:sz="0" w:space="0" w:color="auto"/>
      </w:divBdr>
    </w:div>
    <w:div w:id="267201828">
      <w:bodyDiv w:val="1"/>
      <w:marLeft w:val="0"/>
      <w:marRight w:val="0"/>
      <w:marTop w:val="0"/>
      <w:marBottom w:val="0"/>
      <w:divBdr>
        <w:top w:val="none" w:sz="0" w:space="0" w:color="auto"/>
        <w:left w:val="none" w:sz="0" w:space="0" w:color="auto"/>
        <w:bottom w:val="none" w:sz="0" w:space="0" w:color="auto"/>
        <w:right w:val="none" w:sz="0" w:space="0" w:color="auto"/>
      </w:divBdr>
    </w:div>
    <w:div w:id="276449041">
      <w:bodyDiv w:val="1"/>
      <w:marLeft w:val="0"/>
      <w:marRight w:val="0"/>
      <w:marTop w:val="0"/>
      <w:marBottom w:val="0"/>
      <w:divBdr>
        <w:top w:val="none" w:sz="0" w:space="0" w:color="auto"/>
        <w:left w:val="none" w:sz="0" w:space="0" w:color="auto"/>
        <w:bottom w:val="none" w:sz="0" w:space="0" w:color="auto"/>
        <w:right w:val="none" w:sz="0" w:space="0" w:color="auto"/>
      </w:divBdr>
    </w:div>
    <w:div w:id="281154071">
      <w:bodyDiv w:val="1"/>
      <w:marLeft w:val="0"/>
      <w:marRight w:val="0"/>
      <w:marTop w:val="0"/>
      <w:marBottom w:val="0"/>
      <w:divBdr>
        <w:top w:val="none" w:sz="0" w:space="0" w:color="auto"/>
        <w:left w:val="none" w:sz="0" w:space="0" w:color="auto"/>
        <w:bottom w:val="none" w:sz="0" w:space="0" w:color="auto"/>
        <w:right w:val="none" w:sz="0" w:space="0" w:color="auto"/>
      </w:divBdr>
    </w:div>
    <w:div w:id="290599555">
      <w:bodyDiv w:val="1"/>
      <w:marLeft w:val="0"/>
      <w:marRight w:val="0"/>
      <w:marTop w:val="0"/>
      <w:marBottom w:val="0"/>
      <w:divBdr>
        <w:top w:val="none" w:sz="0" w:space="0" w:color="auto"/>
        <w:left w:val="none" w:sz="0" w:space="0" w:color="auto"/>
        <w:bottom w:val="none" w:sz="0" w:space="0" w:color="auto"/>
        <w:right w:val="none" w:sz="0" w:space="0" w:color="auto"/>
      </w:divBdr>
    </w:div>
    <w:div w:id="304238426">
      <w:bodyDiv w:val="1"/>
      <w:marLeft w:val="0"/>
      <w:marRight w:val="0"/>
      <w:marTop w:val="0"/>
      <w:marBottom w:val="0"/>
      <w:divBdr>
        <w:top w:val="none" w:sz="0" w:space="0" w:color="auto"/>
        <w:left w:val="none" w:sz="0" w:space="0" w:color="auto"/>
        <w:bottom w:val="none" w:sz="0" w:space="0" w:color="auto"/>
        <w:right w:val="none" w:sz="0" w:space="0" w:color="auto"/>
      </w:divBdr>
    </w:div>
    <w:div w:id="311833983">
      <w:bodyDiv w:val="1"/>
      <w:marLeft w:val="0"/>
      <w:marRight w:val="0"/>
      <w:marTop w:val="0"/>
      <w:marBottom w:val="0"/>
      <w:divBdr>
        <w:top w:val="none" w:sz="0" w:space="0" w:color="auto"/>
        <w:left w:val="none" w:sz="0" w:space="0" w:color="auto"/>
        <w:bottom w:val="none" w:sz="0" w:space="0" w:color="auto"/>
        <w:right w:val="none" w:sz="0" w:space="0" w:color="auto"/>
      </w:divBdr>
    </w:div>
    <w:div w:id="313223063">
      <w:bodyDiv w:val="1"/>
      <w:marLeft w:val="0"/>
      <w:marRight w:val="0"/>
      <w:marTop w:val="0"/>
      <w:marBottom w:val="0"/>
      <w:divBdr>
        <w:top w:val="none" w:sz="0" w:space="0" w:color="auto"/>
        <w:left w:val="none" w:sz="0" w:space="0" w:color="auto"/>
        <w:bottom w:val="none" w:sz="0" w:space="0" w:color="auto"/>
        <w:right w:val="none" w:sz="0" w:space="0" w:color="auto"/>
      </w:divBdr>
    </w:div>
    <w:div w:id="341316959">
      <w:bodyDiv w:val="1"/>
      <w:marLeft w:val="0"/>
      <w:marRight w:val="0"/>
      <w:marTop w:val="0"/>
      <w:marBottom w:val="0"/>
      <w:divBdr>
        <w:top w:val="none" w:sz="0" w:space="0" w:color="auto"/>
        <w:left w:val="none" w:sz="0" w:space="0" w:color="auto"/>
        <w:bottom w:val="none" w:sz="0" w:space="0" w:color="auto"/>
        <w:right w:val="none" w:sz="0" w:space="0" w:color="auto"/>
      </w:divBdr>
    </w:div>
    <w:div w:id="388040686">
      <w:bodyDiv w:val="1"/>
      <w:marLeft w:val="0"/>
      <w:marRight w:val="0"/>
      <w:marTop w:val="0"/>
      <w:marBottom w:val="0"/>
      <w:divBdr>
        <w:top w:val="none" w:sz="0" w:space="0" w:color="auto"/>
        <w:left w:val="none" w:sz="0" w:space="0" w:color="auto"/>
        <w:bottom w:val="none" w:sz="0" w:space="0" w:color="auto"/>
        <w:right w:val="none" w:sz="0" w:space="0" w:color="auto"/>
      </w:divBdr>
    </w:div>
    <w:div w:id="423918852">
      <w:bodyDiv w:val="1"/>
      <w:marLeft w:val="0"/>
      <w:marRight w:val="0"/>
      <w:marTop w:val="0"/>
      <w:marBottom w:val="0"/>
      <w:divBdr>
        <w:top w:val="none" w:sz="0" w:space="0" w:color="auto"/>
        <w:left w:val="none" w:sz="0" w:space="0" w:color="auto"/>
        <w:bottom w:val="none" w:sz="0" w:space="0" w:color="auto"/>
        <w:right w:val="none" w:sz="0" w:space="0" w:color="auto"/>
      </w:divBdr>
    </w:div>
    <w:div w:id="430322371">
      <w:bodyDiv w:val="1"/>
      <w:marLeft w:val="0"/>
      <w:marRight w:val="0"/>
      <w:marTop w:val="0"/>
      <w:marBottom w:val="0"/>
      <w:divBdr>
        <w:top w:val="none" w:sz="0" w:space="0" w:color="auto"/>
        <w:left w:val="none" w:sz="0" w:space="0" w:color="auto"/>
        <w:bottom w:val="none" w:sz="0" w:space="0" w:color="auto"/>
        <w:right w:val="none" w:sz="0" w:space="0" w:color="auto"/>
      </w:divBdr>
    </w:div>
    <w:div w:id="437719051">
      <w:bodyDiv w:val="1"/>
      <w:marLeft w:val="0"/>
      <w:marRight w:val="0"/>
      <w:marTop w:val="0"/>
      <w:marBottom w:val="0"/>
      <w:divBdr>
        <w:top w:val="none" w:sz="0" w:space="0" w:color="auto"/>
        <w:left w:val="none" w:sz="0" w:space="0" w:color="auto"/>
        <w:bottom w:val="none" w:sz="0" w:space="0" w:color="auto"/>
        <w:right w:val="none" w:sz="0" w:space="0" w:color="auto"/>
      </w:divBdr>
    </w:div>
    <w:div w:id="451435981">
      <w:bodyDiv w:val="1"/>
      <w:marLeft w:val="0"/>
      <w:marRight w:val="0"/>
      <w:marTop w:val="0"/>
      <w:marBottom w:val="0"/>
      <w:divBdr>
        <w:top w:val="none" w:sz="0" w:space="0" w:color="auto"/>
        <w:left w:val="none" w:sz="0" w:space="0" w:color="auto"/>
        <w:bottom w:val="none" w:sz="0" w:space="0" w:color="auto"/>
        <w:right w:val="none" w:sz="0" w:space="0" w:color="auto"/>
      </w:divBdr>
    </w:div>
    <w:div w:id="453328754">
      <w:bodyDiv w:val="1"/>
      <w:marLeft w:val="0"/>
      <w:marRight w:val="0"/>
      <w:marTop w:val="0"/>
      <w:marBottom w:val="0"/>
      <w:divBdr>
        <w:top w:val="none" w:sz="0" w:space="0" w:color="auto"/>
        <w:left w:val="none" w:sz="0" w:space="0" w:color="auto"/>
        <w:bottom w:val="none" w:sz="0" w:space="0" w:color="auto"/>
        <w:right w:val="none" w:sz="0" w:space="0" w:color="auto"/>
      </w:divBdr>
    </w:div>
    <w:div w:id="476723661">
      <w:bodyDiv w:val="1"/>
      <w:marLeft w:val="0"/>
      <w:marRight w:val="0"/>
      <w:marTop w:val="0"/>
      <w:marBottom w:val="0"/>
      <w:divBdr>
        <w:top w:val="none" w:sz="0" w:space="0" w:color="auto"/>
        <w:left w:val="none" w:sz="0" w:space="0" w:color="auto"/>
        <w:bottom w:val="none" w:sz="0" w:space="0" w:color="auto"/>
        <w:right w:val="none" w:sz="0" w:space="0" w:color="auto"/>
      </w:divBdr>
    </w:div>
    <w:div w:id="481586222">
      <w:bodyDiv w:val="1"/>
      <w:marLeft w:val="0"/>
      <w:marRight w:val="0"/>
      <w:marTop w:val="0"/>
      <w:marBottom w:val="0"/>
      <w:divBdr>
        <w:top w:val="none" w:sz="0" w:space="0" w:color="auto"/>
        <w:left w:val="none" w:sz="0" w:space="0" w:color="auto"/>
        <w:bottom w:val="none" w:sz="0" w:space="0" w:color="auto"/>
        <w:right w:val="none" w:sz="0" w:space="0" w:color="auto"/>
      </w:divBdr>
      <w:divsChild>
        <w:div w:id="2110150880">
          <w:marLeft w:val="0"/>
          <w:marRight w:val="0"/>
          <w:marTop w:val="0"/>
          <w:marBottom w:val="0"/>
          <w:divBdr>
            <w:top w:val="none" w:sz="0" w:space="0" w:color="auto"/>
            <w:left w:val="none" w:sz="0" w:space="0" w:color="auto"/>
            <w:bottom w:val="none" w:sz="0" w:space="0" w:color="auto"/>
            <w:right w:val="none" w:sz="0" w:space="0" w:color="auto"/>
          </w:divBdr>
          <w:divsChild>
            <w:div w:id="1503549226">
              <w:marLeft w:val="0"/>
              <w:marRight w:val="0"/>
              <w:marTop w:val="0"/>
              <w:marBottom w:val="0"/>
              <w:divBdr>
                <w:top w:val="none" w:sz="0" w:space="0" w:color="auto"/>
                <w:left w:val="none" w:sz="0" w:space="0" w:color="auto"/>
                <w:bottom w:val="single" w:sz="6" w:space="4" w:color="B2B2B2"/>
                <w:right w:val="none" w:sz="0" w:space="0" w:color="auto"/>
              </w:divBdr>
              <w:divsChild>
                <w:div w:id="1612782019">
                  <w:marLeft w:val="0"/>
                  <w:marRight w:val="0"/>
                  <w:marTop w:val="0"/>
                  <w:marBottom w:val="0"/>
                  <w:divBdr>
                    <w:top w:val="none" w:sz="0" w:space="0" w:color="auto"/>
                    <w:left w:val="none" w:sz="0" w:space="0" w:color="auto"/>
                    <w:bottom w:val="none" w:sz="0" w:space="0" w:color="auto"/>
                    <w:right w:val="none" w:sz="0" w:space="0" w:color="auto"/>
                  </w:divBdr>
                  <w:divsChild>
                    <w:div w:id="112134304">
                      <w:marLeft w:val="0"/>
                      <w:marRight w:val="0"/>
                      <w:marTop w:val="0"/>
                      <w:marBottom w:val="0"/>
                      <w:divBdr>
                        <w:top w:val="none" w:sz="0" w:space="0" w:color="auto"/>
                        <w:left w:val="none" w:sz="0" w:space="0" w:color="auto"/>
                        <w:bottom w:val="none" w:sz="0" w:space="0" w:color="auto"/>
                        <w:right w:val="none" w:sz="0" w:space="0" w:color="auto"/>
                      </w:divBdr>
                      <w:divsChild>
                        <w:div w:id="864751240">
                          <w:marLeft w:val="0"/>
                          <w:marRight w:val="0"/>
                          <w:marTop w:val="0"/>
                          <w:marBottom w:val="0"/>
                          <w:divBdr>
                            <w:top w:val="none" w:sz="0" w:space="0" w:color="auto"/>
                            <w:left w:val="none" w:sz="0" w:space="0" w:color="auto"/>
                            <w:bottom w:val="none" w:sz="0" w:space="0" w:color="auto"/>
                            <w:right w:val="none" w:sz="0" w:space="0" w:color="auto"/>
                          </w:divBdr>
                          <w:divsChild>
                            <w:div w:id="1963995774">
                              <w:marLeft w:val="0"/>
                              <w:marRight w:val="0"/>
                              <w:marTop w:val="0"/>
                              <w:marBottom w:val="0"/>
                              <w:divBdr>
                                <w:top w:val="none" w:sz="0" w:space="0" w:color="auto"/>
                                <w:left w:val="none" w:sz="0" w:space="0" w:color="auto"/>
                                <w:bottom w:val="none" w:sz="0" w:space="0" w:color="auto"/>
                                <w:right w:val="none" w:sz="0" w:space="0" w:color="auto"/>
                              </w:divBdr>
                              <w:divsChild>
                                <w:div w:id="1725792024">
                                  <w:marLeft w:val="-6225"/>
                                  <w:marRight w:val="0"/>
                                  <w:marTop w:val="0"/>
                                  <w:marBottom w:val="0"/>
                                  <w:divBdr>
                                    <w:top w:val="none" w:sz="0" w:space="0" w:color="auto"/>
                                    <w:left w:val="none" w:sz="0" w:space="0" w:color="auto"/>
                                    <w:bottom w:val="none" w:sz="0" w:space="0" w:color="auto"/>
                                    <w:right w:val="none" w:sz="0" w:space="0" w:color="auto"/>
                                  </w:divBdr>
                                  <w:divsChild>
                                    <w:div w:id="448545953">
                                      <w:marLeft w:val="0"/>
                                      <w:marRight w:val="0"/>
                                      <w:marTop w:val="0"/>
                                      <w:marBottom w:val="0"/>
                                      <w:divBdr>
                                        <w:top w:val="none" w:sz="0" w:space="0" w:color="auto"/>
                                        <w:left w:val="none" w:sz="0" w:space="0" w:color="auto"/>
                                        <w:bottom w:val="none" w:sz="0" w:space="0" w:color="auto"/>
                                        <w:right w:val="none" w:sz="0" w:space="0" w:color="auto"/>
                                      </w:divBdr>
                                      <w:divsChild>
                                        <w:div w:id="2049840624">
                                          <w:marLeft w:val="6225"/>
                                          <w:marRight w:val="0"/>
                                          <w:marTop w:val="0"/>
                                          <w:marBottom w:val="0"/>
                                          <w:divBdr>
                                            <w:top w:val="none" w:sz="0" w:space="0" w:color="auto"/>
                                            <w:left w:val="none" w:sz="0" w:space="0" w:color="auto"/>
                                            <w:bottom w:val="none" w:sz="0" w:space="0" w:color="auto"/>
                                            <w:right w:val="none" w:sz="0" w:space="0" w:color="auto"/>
                                          </w:divBdr>
                                          <w:divsChild>
                                            <w:div w:id="2013333888">
                                              <w:marLeft w:val="0"/>
                                              <w:marRight w:val="0"/>
                                              <w:marTop w:val="0"/>
                                              <w:marBottom w:val="0"/>
                                              <w:divBdr>
                                                <w:top w:val="none" w:sz="0" w:space="0" w:color="auto"/>
                                                <w:left w:val="none" w:sz="0" w:space="0" w:color="auto"/>
                                                <w:bottom w:val="none" w:sz="0" w:space="0" w:color="auto"/>
                                                <w:right w:val="none" w:sz="0" w:space="0" w:color="auto"/>
                                              </w:divBdr>
                                              <w:divsChild>
                                                <w:div w:id="1553536471">
                                                  <w:marLeft w:val="0"/>
                                                  <w:marRight w:val="0"/>
                                                  <w:marTop w:val="0"/>
                                                  <w:marBottom w:val="0"/>
                                                  <w:divBdr>
                                                    <w:top w:val="none" w:sz="0" w:space="0" w:color="auto"/>
                                                    <w:left w:val="none" w:sz="0" w:space="0" w:color="auto"/>
                                                    <w:bottom w:val="none" w:sz="0" w:space="0" w:color="auto"/>
                                                    <w:right w:val="none" w:sz="0" w:space="0" w:color="auto"/>
                                                  </w:divBdr>
                                                  <w:divsChild>
                                                    <w:div w:id="804662498">
                                                      <w:marLeft w:val="0"/>
                                                      <w:marRight w:val="0"/>
                                                      <w:marTop w:val="0"/>
                                                      <w:marBottom w:val="0"/>
                                                      <w:divBdr>
                                                        <w:top w:val="none" w:sz="0" w:space="0" w:color="auto"/>
                                                        <w:left w:val="none" w:sz="0" w:space="0" w:color="auto"/>
                                                        <w:bottom w:val="none" w:sz="0" w:space="0" w:color="auto"/>
                                                        <w:right w:val="none" w:sz="0" w:space="0" w:color="auto"/>
                                                      </w:divBdr>
                                                      <w:divsChild>
                                                        <w:div w:id="2096197074">
                                                          <w:marLeft w:val="0"/>
                                                          <w:marRight w:val="0"/>
                                                          <w:marTop w:val="0"/>
                                                          <w:marBottom w:val="0"/>
                                                          <w:divBdr>
                                                            <w:top w:val="none" w:sz="0" w:space="0" w:color="auto"/>
                                                            <w:left w:val="none" w:sz="0" w:space="0" w:color="auto"/>
                                                            <w:bottom w:val="none" w:sz="0" w:space="0" w:color="auto"/>
                                                            <w:right w:val="none" w:sz="0" w:space="0" w:color="auto"/>
                                                          </w:divBdr>
                                                          <w:divsChild>
                                                            <w:div w:id="113331996">
                                                              <w:marLeft w:val="0"/>
                                                              <w:marRight w:val="0"/>
                                                              <w:marTop w:val="0"/>
                                                              <w:marBottom w:val="0"/>
                                                              <w:divBdr>
                                                                <w:top w:val="none" w:sz="0" w:space="0" w:color="auto"/>
                                                                <w:left w:val="none" w:sz="0" w:space="0" w:color="auto"/>
                                                                <w:bottom w:val="none" w:sz="0" w:space="0" w:color="auto"/>
                                                                <w:right w:val="none" w:sz="0" w:space="0" w:color="auto"/>
                                                              </w:divBdr>
                                                              <w:divsChild>
                                                                <w:div w:id="1801873382">
                                                                  <w:marLeft w:val="0"/>
                                                                  <w:marRight w:val="0"/>
                                                                  <w:marTop w:val="60"/>
                                                                  <w:marBottom w:val="60"/>
                                                                  <w:divBdr>
                                                                    <w:top w:val="none" w:sz="0" w:space="0" w:color="auto"/>
                                                                    <w:left w:val="none" w:sz="0" w:space="0" w:color="auto"/>
                                                                    <w:bottom w:val="none" w:sz="0" w:space="0" w:color="auto"/>
                                                                    <w:right w:val="none" w:sz="0" w:space="0" w:color="auto"/>
                                                                  </w:divBdr>
                                                                  <w:divsChild>
                                                                    <w:div w:id="877356382">
                                                                      <w:marLeft w:val="0"/>
                                                                      <w:marRight w:val="0"/>
                                                                      <w:marTop w:val="0"/>
                                                                      <w:marBottom w:val="0"/>
                                                                      <w:divBdr>
                                                                        <w:top w:val="none" w:sz="0" w:space="0" w:color="auto"/>
                                                                        <w:left w:val="none" w:sz="0" w:space="0" w:color="auto"/>
                                                                        <w:bottom w:val="none" w:sz="0" w:space="0" w:color="auto"/>
                                                                        <w:right w:val="none" w:sz="0" w:space="0" w:color="auto"/>
                                                                      </w:divBdr>
                                                                      <w:divsChild>
                                                                        <w:div w:id="557667102">
                                                                          <w:marLeft w:val="0"/>
                                                                          <w:marRight w:val="0"/>
                                                                          <w:marTop w:val="60"/>
                                                                          <w:marBottom w:val="60"/>
                                                                          <w:divBdr>
                                                                            <w:top w:val="none" w:sz="0" w:space="0" w:color="auto"/>
                                                                            <w:left w:val="none" w:sz="0" w:space="0" w:color="auto"/>
                                                                            <w:bottom w:val="none" w:sz="0" w:space="0" w:color="auto"/>
                                                                            <w:right w:val="none" w:sz="0" w:space="0" w:color="auto"/>
                                                                          </w:divBdr>
                                                                        </w:div>
                                                                        <w:div w:id="611864296">
                                                                          <w:marLeft w:val="0"/>
                                                                          <w:marRight w:val="0"/>
                                                                          <w:marTop w:val="60"/>
                                                                          <w:marBottom w:val="60"/>
                                                                          <w:divBdr>
                                                                            <w:top w:val="none" w:sz="0" w:space="0" w:color="auto"/>
                                                                            <w:left w:val="none" w:sz="0" w:space="0" w:color="auto"/>
                                                                            <w:bottom w:val="none" w:sz="0" w:space="0" w:color="auto"/>
                                                                            <w:right w:val="none" w:sz="0" w:space="0" w:color="auto"/>
                                                                          </w:divBdr>
                                                                        </w:div>
                                                                        <w:div w:id="747312513">
                                                                          <w:marLeft w:val="0"/>
                                                                          <w:marRight w:val="0"/>
                                                                          <w:marTop w:val="60"/>
                                                                          <w:marBottom w:val="60"/>
                                                                          <w:divBdr>
                                                                            <w:top w:val="none" w:sz="0" w:space="0" w:color="auto"/>
                                                                            <w:left w:val="none" w:sz="0" w:space="0" w:color="auto"/>
                                                                            <w:bottom w:val="none" w:sz="0" w:space="0" w:color="auto"/>
                                                                            <w:right w:val="none" w:sz="0" w:space="0" w:color="auto"/>
                                                                          </w:divBdr>
                                                                        </w:div>
                                                                        <w:div w:id="20062750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129421">
      <w:bodyDiv w:val="1"/>
      <w:marLeft w:val="0"/>
      <w:marRight w:val="0"/>
      <w:marTop w:val="0"/>
      <w:marBottom w:val="0"/>
      <w:divBdr>
        <w:top w:val="none" w:sz="0" w:space="0" w:color="auto"/>
        <w:left w:val="none" w:sz="0" w:space="0" w:color="auto"/>
        <w:bottom w:val="none" w:sz="0" w:space="0" w:color="auto"/>
        <w:right w:val="none" w:sz="0" w:space="0" w:color="auto"/>
      </w:divBdr>
    </w:div>
    <w:div w:id="547499544">
      <w:bodyDiv w:val="1"/>
      <w:marLeft w:val="0"/>
      <w:marRight w:val="0"/>
      <w:marTop w:val="0"/>
      <w:marBottom w:val="0"/>
      <w:divBdr>
        <w:top w:val="none" w:sz="0" w:space="0" w:color="auto"/>
        <w:left w:val="none" w:sz="0" w:space="0" w:color="auto"/>
        <w:bottom w:val="none" w:sz="0" w:space="0" w:color="auto"/>
        <w:right w:val="none" w:sz="0" w:space="0" w:color="auto"/>
      </w:divBdr>
    </w:div>
    <w:div w:id="552892880">
      <w:bodyDiv w:val="1"/>
      <w:marLeft w:val="0"/>
      <w:marRight w:val="0"/>
      <w:marTop w:val="0"/>
      <w:marBottom w:val="0"/>
      <w:divBdr>
        <w:top w:val="none" w:sz="0" w:space="0" w:color="auto"/>
        <w:left w:val="none" w:sz="0" w:space="0" w:color="auto"/>
        <w:bottom w:val="none" w:sz="0" w:space="0" w:color="auto"/>
        <w:right w:val="none" w:sz="0" w:space="0" w:color="auto"/>
      </w:divBdr>
      <w:divsChild>
        <w:div w:id="1801150091">
          <w:marLeft w:val="0"/>
          <w:marRight w:val="0"/>
          <w:marTop w:val="0"/>
          <w:marBottom w:val="0"/>
          <w:divBdr>
            <w:top w:val="none" w:sz="0" w:space="0" w:color="auto"/>
            <w:left w:val="none" w:sz="0" w:space="0" w:color="auto"/>
            <w:bottom w:val="none" w:sz="0" w:space="0" w:color="auto"/>
            <w:right w:val="none" w:sz="0" w:space="0" w:color="auto"/>
          </w:divBdr>
          <w:divsChild>
            <w:div w:id="1764493492">
              <w:marLeft w:val="0"/>
              <w:marRight w:val="0"/>
              <w:marTop w:val="0"/>
              <w:marBottom w:val="0"/>
              <w:divBdr>
                <w:top w:val="none" w:sz="0" w:space="0" w:color="auto"/>
                <w:left w:val="none" w:sz="0" w:space="0" w:color="auto"/>
                <w:bottom w:val="none" w:sz="0" w:space="0" w:color="auto"/>
                <w:right w:val="none" w:sz="0" w:space="0" w:color="auto"/>
              </w:divBdr>
              <w:divsChild>
                <w:div w:id="1321885632">
                  <w:marLeft w:val="0"/>
                  <w:marRight w:val="0"/>
                  <w:marTop w:val="0"/>
                  <w:marBottom w:val="0"/>
                  <w:divBdr>
                    <w:top w:val="none" w:sz="0" w:space="0" w:color="auto"/>
                    <w:left w:val="none" w:sz="0" w:space="0" w:color="auto"/>
                    <w:bottom w:val="none" w:sz="0" w:space="0" w:color="auto"/>
                    <w:right w:val="none" w:sz="0" w:space="0" w:color="auto"/>
                  </w:divBdr>
                  <w:divsChild>
                    <w:div w:id="116417818">
                      <w:marLeft w:val="0"/>
                      <w:marRight w:val="0"/>
                      <w:marTop w:val="0"/>
                      <w:marBottom w:val="450"/>
                      <w:divBdr>
                        <w:top w:val="none" w:sz="0" w:space="0" w:color="auto"/>
                        <w:left w:val="none" w:sz="0" w:space="0" w:color="auto"/>
                        <w:bottom w:val="none" w:sz="0" w:space="0" w:color="auto"/>
                        <w:right w:val="none" w:sz="0" w:space="0" w:color="auto"/>
                      </w:divBdr>
                      <w:divsChild>
                        <w:div w:id="782069741">
                          <w:marLeft w:val="0"/>
                          <w:marRight w:val="0"/>
                          <w:marTop w:val="0"/>
                          <w:marBottom w:val="0"/>
                          <w:divBdr>
                            <w:top w:val="none" w:sz="0" w:space="0" w:color="auto"/>
                            <w:left w:val="none" w:sz="0" w:space="0" w:color="auto"/>
                            <w:bottom w:val="none" w:sz="0" w:space="0" w:color="auto"/>
                            <w:right w:val="none" w:sz="0" w:space="0" w:color="auto"/>
                          </w:divBdr>
                          <w:divsChild>
                            <w:div w:id="1311984316">
                              <w:marLeft w:val="270"/>
                              <w:marRight w:val="0"/>
                              <w:marTop w:val="0"/>
                              <w:marBottom w:val="0"/>
                              <w:divBdr>
                                <w:top w:val="none" w:sz="0" w:space="0" w:color="auto"/>
                                <w:left w:val="none" w:sz="0" w:space="0" w:color="auto"/>
                                <w:bottom w:val="none" w:sz="0" w:space="0" w:color="auto"/>
                                <w:right w:val="none" w:sz="0" w:space="0" w:color="auto"/>
                              </w:divBdr>
                              <w:divsChild>
                                <w:div w:id="1449853407">
                                  <w:marLeft w:val="0"/>
                                  <w:marRight w:val="0"/>
                                  <w:marTop w:val="0"/>
                                  <w:marBottom w:val="450"/>
                                  <w:divBdr>
                                    <w:top w:val="none" w:sz="0" w:space="0" w:color="auto"/>
                                    <w:left w:val="none" w:sz="0" w:space="0" w:color="auto"/>
                                    <w:bottom w:val="none" w:sz="0" w:space="0" w:color="auto"/>
                                    <w:right w:val="none" w:sz="0" w:space="0" w:color="auto"/>
                                  </w:divBdr>
                                </w:div>
                              </w:divsChild>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1304115941">
                          <w:marLeft w:val="0"/>
                          <w:marRight w:val="0"/>
                          <w:marTop w:val="0"/>
                          <w:marBottom w:val="255"/>
                          <w:divBdr>
                            <w:top w:val="dotted" w:sz="6" w:space="3" w:color="BBBBBB"/>
                            <w:left w:val="none" w:sz="0" w:space="0" w:color="auto"/>
                            <w:bottom w:val="dotted" w:sz="6" w:space="3" w:color="BBBBBB"/>
                            <w:right w:val="none" w:sz="0" w:space="0" w:color="auto"/>
                          </w:divBdr>
                          <w:divsChild>
                            <w:div w:id="17510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32852">
      <w:bodyDiv w:val="1"/>
      <w:marLeft w:val="0"/>
      <w:marRight w:val="0"/>
      <w:marTop w:val="0"/>
      <w:marBottom w:val="0"/>
      <w:divBdr>
        <w:top w:val="none" w:sz="0" w:space="0" w:color="auto"/>
        <w:left w:val="none" w:sz="0" w:space="0" w:color="auto"/>
        <w:bottom w:val="none" w:sz="0" w:space="0" w:color="auto"/>
        <w:right w:val="none" w:sz="0" w:space="0" w:color="auto"/>
      </w:divBdr>
    </w:div>
    <w:div w:id="576600993">
      <w:bodyDiv w:val="1"/>
      <w:marLeft w:val="0"/>
      <w:marRight w:val="0"/>
      <w:marTop w:val="0"/>
      <w:marBottom w:val="0"/>
      <w:divBdr>
        <w:top w:val="none" w:sz="0" w:space="0" w:color="auto"/>
        <w:left w:val="none" w:sz="0" w:space="0" w:color="auto"/>
        <w:bottom w:val="none" w:sz="0" w:space="0" w:color="auto"/>
        <w:right w:val="none" w:sz="0" w:space="0" w:color="auto"/>
      </w:divBdr>
    </w:div>
    <w:div w:id="577180113">
      <w:bodyDiv w:val="1"/>
      <w:marLeft w:val="0"/>
      <w:marRight w:val="0"/>
      <w:marTop w:val="0"/>
      <w:marBottom w:val="0"/>
      <w:divBdr>
        <w:top w:val="none" w:sz="0" w:space="0" w:color="auto"/>
        <w:left w:val="none" w:sz="0" w:space="0" w:color="auto"/>
        <w:bottom w:val="none" w:sz="0" w:space="0" w:color="auto"/>
        <w:right w:val="none" w:sz="0" w:space="0" w:color="auto"/>
      </w:divBdr>
    </w:div>
    <w:div w:id="586574003">
      <w:bodyDiv w:val="1"/>
      <w:marLeft w:val="0"/>
      <w:marRight w:val="0"/>
      <w:marTop w:val="0"/>
      <w:marBottom w:val="0"/>
      <w:divBdr>
        <w:top w:val="none" w:sz="0" w:space="0" w:color="auto"/>
        <w:left w:val="none" w:sz="0" w:space="0" w:color="auto"/>
        <w:bottom w:val="none" w:sz="0" w:space="0" w:color="auto"/>
        <w:right w:val="none" w:sz="0" w:space="0" w:color="auto"/>
      </w:divBdr>
    </w:div>
    <w:div w:id="596786878">
      <w:bodyDiv w:val="1"/>
      <w:marLeft w:val="0"/>
      <w:marRight w:val="0"/>
      <w:marTop w:val="0"/>
      <w:marBottom w:val="0"/>
      <w:divBdr>
        <w:top w:val="none" w:sz="0" w:space="0" w:color="auto"/>
        <w:left w:val="none" w:sz="0" w:space="0" w:color="auto"/>
        <w:bottom w:val="none" w:sz="0" w:space="0" w:color="auto"/>
        <w:right w:val="none" w:sz="0" w:space="0" w:color="auto"/>
      </w:divBdr>
    </w:div>
    <w:div w:id="641621773">
      <w:bodyDiv w:val="1"/>
      <w:marLeft w:val="0"/>
      <w:marRight w:val="0"/>
      <w:marTop w:val="0"/>
      <w:marBottom w:val="0"/>
      <w:divBdr>
        <w:top w:val="none" w:sz="0" w:space="0" w:color="auto"/>
        <w:left w:val="none" w:sz="0" w:space="0" w:color="auto"/>
        <w:bottom w:val="none" w:sz="0" w:space="0" w:color="auto"/>
        <w:right w:val="none" w:sz="0" w:space="0" w:color="auto"/>
      </w:divBdr>
    </w:div>
    <w:div w:id="658970638">
      <w:bodyDiv w:val="1"/>
      <w:marLeft w:val="0"/>
      <w:marRight w:val="0"/>
      <w:marTop w:val="0"/>
      <w:marBottom w:val="0"/>
      <w:divBdr>
        <w:top w:val="none" w:sz="0" w:space="0" w:color="auto"/>
        <w:left w:val="none" w:sz="0" w:space="0" w:color="auto"/>
        <w:bottom w:val="none" w:sz="0" w:space="0" w:color="auto"/>
        <w:right w:val="none" w:sz="0" w:space="0" w:color="auto"/>
      </w:divBdr>
    </w:div>
    <w:div w:id="670913209">
      <w:bodyDiv w:val="1"/>
      <w:marLeft w:val="0"/>
      <w:marRight w:val="0"/>
      <w:marTop w:val="0"/>
      <w:marBottom w:val="0"/>
      <w:divBdr>
        <w:top w:val="none" w:sz="0" w:space="0" w:color="auto"/>
        <w:left w:val="none" w:sz="0" w:space="0" w:color="auto"/>
        <w:bottom w:val="none" w:sz="0" w:space="0" w:color="auto"/>
        <w:right w:val="none" w:sz="0" w:space="0" w:color="auto"/>
      </w:divBdr>
    </w:div>
    <w:div w:id="676543981">
      <w:bodyDiv w:val="1"/>
      <w:marLeft w:val="0"/>
      <w:marRight w:val="0"/>
      <w:marTop w:val="0"/>
      <w:marBottom w:val="0"/>
      <w:divBdr>
        <w:top w:val="none" w:sz="0" w:space="0" w:color="auto"/>
        <w:left w:val="none" w:sz="0" w:space="0" w:color="auto"/>
        <w:bottom w:val="none" w:sz="0" w:space="0" w:color="auto"/>
        <w:right w:val="none" w:sz="0" w:space="0" w:color="auto"/>
      </w:divBdr>
      <w:divsChild>
        <w:div w:id="886910647">
          <w:marLeft w:val="0"/>
          <w:marRight w:val="0"/>
          <w:marTop w:val="360"/>
          <w:marBottom w:val="0"/>
          <w:divBdr>
            <w:top w:val="none" w:sz="0" w:space="0" w:color="auto"/>
            <w:left w:val="none" w:sz="0" w:space="0" w:color="auto"/>
            <w:bottom w:val="none" w:sz="0" w:space="0" w:color="auto"/>
            <w:right w:val="none" w:sz="0" w:space="0" w:color="auto"/>
          </w:divBdr>
        </w:div>
      </w:divsChild>
    </w:div>
    <w:div w:id="798257150">
      <w:bodyDiv w:val="1"/>
      <w:marLeft w:val="0"/>
      <w:marRight w:val="0"/>
      <w:marTop w:val="0"/>
      <w:marBottom w:val="0"/>
      <w:divBdr>
        <w:top w:val="none" w:sz="0" w:space="0" w:color="auto"/>
        <w:left w:val="none" w:sz="0" w:space="0" w:color="auto"/>
        <w:bottom w:val="none" w:sz="0" w:space="0" w:color="auto"/>
        <w:right w:val="none" w:sz="0" w:space="0" w:color="auto"/>
      </w:divBdr>
    </w:div>
    <w:div w:id="798692028">
      <w:bodyDiv w:val="1"/>
      <w:marLeft w:val="0"/>
      <w:marRight w:val="0"/>
      <w:marTop w:val="0"/>
      <w:marBottom w:val="0"/>
      <w:divBdr>
        <w:top w:val="none" w:sz="0" w:space="0" w:color="auto"/>
        <w:left w:val="none" w:sz="0" w:space="0" w:color="auto"/>
        <w:bottom w:val="none" w:sz="0" w:space="0" w:color="auto"/>
        <w:right w:val="none" w:sz="0" w:space="0" w:color="auto"/>
      </w:divBdr>
    </w:div>
    <w:div w:id="805125792">
      <w:bodyDiv w:val="1"/>
      <w:marLeft w:val="0"/>
      <w:marRight w:val="0"/>
      <w:marTop w:val="0"/>
      <w:marBottom w:val="0"/>
      <w:divBdr>
        <w:top w:val="none" w:sz="0" w:space="0" w:color="auto"/>
        <w:left w:val="none" w:sz="0" w:space="0" w:color="auto"/>
        <w:bottom w:val="none" w:sz="0" w:space="0" w:color="auto"/>
        <w:right w:val="none" w:sz="0" w:space="0" w:color="auto"/>
      </w:divBdr>
    </w:div>
    <w:div w:id="805850787">
      <w:bodyDiv w:val="1"/>
      <w:marLeft w:val="0"/>
      <w:marRight w:val="0"/>
      <w:marTop w:val="0"/>
      <w:marBottom w:val="0"/>
      <w:divBdr>
        <w:top w:val="none" w:sz="0" w:space="0" w:color="auto"/>
        <w:left w:val="none" w:sz="0" w:space="0" w:color="auto"/>
        <w:bottom w:val="none" w:sz="0" w:space="0" w:color="auto"/>
        <w:right w:val="none" w:sz="0" w:space="0" w:color="auto"/>
      </w:divBdr>
      <w:divsChild>
        <w:div w:id="828179397">
          <w:marLeft w:val="0"/>
          <w:marRight w:val="0"/>
          <w:marTop w:val="0"/>
          <w:marBottom w:val="0"/>
          <w:divBdr>
            <w:top w:val="none" w:sz="0" w:space="0" w:color="auto"/>
            <w:left w:val="none" w:sz="0" w:space="0" w:color="auto"/>
            <w:bottom w:val="none" w:sz="0" w:space="0" w:color="auto"/>
            <w:right w:val="none" w:sz="0" w:space="0" w:color="auto"/>
          </w:divBdr>
          <w:divsChild>
            <w:div w:id="758480522">
              <w:marLeft w:val="0"/>
              <w:marRight w:val="0"/>
              <w:marTop w:val="0"/>
              <w:marBottom w:val="0"/>
              <w:divBdr>
                <w:top w:val="none" w:sz="0" w:space="0" w:color="auto"/>
                <w:left w:val="none" w:sz="0" w:space="0" w:color="auto"/>
                <w:bottom w:val="none" w:sz="0" w:space="0" w:color="auto"/>
                <w:right w:val="none" w:sz="0" w:space="0" w:color="auto"/>
              </w:divBdr>
              <w:divsChild>
                <w:div w:id="225839593">
                  <w:marLeft w:val="0"/>
                  <w:marRight w:val="0"/>
                  <w:marTop w:val="0"/>
                  <w:marBottom w:val="0"/>
                  <w:divBdr>
                    <w:top w:val="none" w:sz="0" w:space="0" w:color="auto"/>
                    <w:left w:val="none" w:sz="0" w:space="0" w:color="auto"/>
                    <w:bottom w:val="none" w:sz="0" w:space="0" w:color="auto"/>
                    <w:right w:val="none" w:sz="0" w:space="0" w:color="auto"/>
                  </w:divBdr>
                  <w:divsChild>
                    <w:div w:id="234516475">
                      <w:marLeft w:val="0"/>
                      <w:marRight w:val="0"/>
                      <w:marTop w:val="0"/>
                      <w:marBottom w:val="450"/>
                      <w:divBdr>
                        <w:top w:val="none" w:sz="0" w:space="0" w:color="auto"/>
                        <w:left w:val="none" w:sz="0" w:space="0" w:color="auto"/>
                        <w:bottom w:val="none" w:sz="0" w:space="0" w:color="auto"/>
                        <w:right w:val="none" w:sz="0" w:space="0" w:color="auto"/>
                      </w:divBdr>
                      <w:divsChild>
                        <w:div w:id="1881626567">
                          <w:marLeft w:val="0"/>
                          <w:marRight w:val="0"/>
                          <w:marTop w:val="0"/>
                          <w:marBottom w:val="0"/>
                          <w:divBdr>
                            <w:top w:val="none" w:sz="0" w:space="0" w:color="auto"/>
                            <w:left w:val="none" w:sz="0" w:space="0" w:color="auto"/>
                            <w:bottom w:val="none" w:sz="0" w:space="0" w:color="auto"/>
                            <w:right w:val="none" w:sz="0" w:space="0" w:color="auto"/>
                          </w:divBdr>
                          <w:divsChild>
                            <w:div w:id="98453232">
                              <w:marLeft w:val="270"/>
                              <w:marRight w:val="0"/>
                              <w:marTop w:val="0"/>
                              <w:marBottom w:val="0"/>
                              <w:divBdr>
                                <w:top w:val="none" w:sz="0" w:space="0" w:color="auto"/>
                                <w:left w:val="none" w:sz="0" w:space="0" w:color="auto"/>
                                <w:bottom w:val="none" w:sz="0" w:space="0" w:color="auto"/>
                                <w:right w:val="none" w:sz="0" w:space="0" w:color="auto"/>
                              </w:divBdr>
                              <w:divsChild>
                                <w:div w:id="5865737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00526">
      <w:bodyDiv w:val="1"/>
      <w:marLeft w:val="0"/>
      <w:marRight w:val="0"/>
      <w:marTop w:val="0"/>
      <w:marBottom w:val="0"/>
      <w:divBdr>
        <w:top w:val="none" w:sz="0" w:space="0" w:color="auto"/>
        <w:left w:val="none" w:sz="0" w:space="0" w:color="auto"/>
        <w:bottom w:val="none" w:sz="0" w:space="0" w:color="auto"/>
        <w:right w:val="none" w:sz="0" w:space="0" w:color="auto"/>
      </w:divBdr>
    </w:div>
    <w:div w:id="829828690">
      <w:bodyDiv w:val="1"/>
      <w:marLeft w:val="0"/>
      <w:marRight w:val="0"/>
      <w:marTop w:val="0"/>
      <w:marBottom w:val="0"/>
      <w:divBdr>
        <w:top w:val="none" w:sz="0" w:space="0" w:color="auto"/>
        <w:left w:val="none" w:sz="0" w:space="0" w:color="auto"/>
        <w:bottom w:val="none" w:sz="0" w:space="0" w:color="auto"/>
        <w:right w:val="none" w:sz="0" w:space="0" w:color="auto"/>
      </w:divBdr>
    </w:div>
    <w:div w:id="857041106">
      <w:bodyDiv w:val="1"/>
      <w:marLeft w:val="0"/>
      <w:marRight w:val="0"/>
      <w:marTop w:val="0"/>
      <w:marBottom w:val="0"/>
      <w:divBdr>
        <w:top w:val="none" w:sz="0" w:space="0" w:color="auto"/>
        <w:left w:val="none" w:sz="0" w:space="0" w:color="auto"/>
        <w:bottom w:val="none" w:sz="0" w:space="0" w:color="auto"/>
        <w:right w:val="none" w:sz="0" w:space="0" w:color="auto"/>
      </w:divBdr>
    </w:div>
    <w:div w:id="873615805">
      <w:bodyDiv w:val="1"/>
      <w:marLeft w:val="0"/>
      <w:marRight w:val="0"/>
      <w:marTop w:val="0"/>
      <w:marBottom w:val="0"/>
      <w:divBdr>
        <w:top w:val="none" w:sz="0" w:space="0" w:color="auto"/>
        <w:left w:val="none" w:sz="0" w:space="0" w:color="auto"/>
        <w:bottom w:val="none" w:sz="0" w:space="0" w:color="auto"/>
        <w:right w:val="none" w:sz="0" w:space="0" w:color="auto"/>
      </w:divBdr>
    </w:div>
    <w:div w:id="892036095">
      <w:bodyDiv w:val="1"/>
      <w:marLeft w:val="0"/>
      <w:marRight w:val="0"/>
      <w:marTop w:val="0"/>
      <w:marBottom w:val="0"/>
      <w:divBdr>
        <w:top w:val="none" w:sz="0" w:space="0" w:color="auto"/>
        <w:left w:val="none" w:sz="0" w:space="0" w:color="auto"/>
        <w:bottom w:val="none" w:sz="0" w:space="0" w:color="auto"/>
        <w:right w:val="none" w:sz="0" w:space="0" w:color="auto"/>
      </w:divBdr>
      <w:divsChild>
        <w:div w:id="842860869">
          <w:marLeft w:val="0"/>
          <w:marRight w:val="0"/>
          <w:marTop w:val="303"/>
          <w:marBottom w:val="0"/>
          <w:divBdr>
            <w:top w:val="none" w:sz="0" w:space="0" w:color="auto"/>
            <w:left w:val="none" w:sz="0" w:space="0" w:color="auto"/>
            <w:bottom w:val="none" w:sz="0" w:space="0" w:color="auto"/>
            <w:right w:val="none" w:sz="0" w:space="0" w:color="auto"/>
          </w:divBdr>
        </w:div>
      </w:divsChild>
    </w:div>
    <w:div w:id="898439273">
      <w:bodyDiv w:val="1"/>
      <w:marLeft w:val="0"/>
      <w:marRight w:val="0"/>
      <w:marTop w:val="0"/>
      <w:marBottom w:val="0"/>
      <w:divBdr>
        <w:top w:val="none" w:sz="0" w:space="0" w:color="auto"/>
        <w:left w:val="none" w:sz="0" w:space="0" w:color="auto"/>
        <w:bottom w:val="none" w:sz="0" w:space="0" w:color="auto"/>
        <w:right w:val="none" w:sz="0" w:space="0" w:color="auto"/>
      </w:divBdr>
      <w:divsChild>
        <w:div w:id="165246275">
          <w:marLeft w:val="0"/>
          <w:marRight w:val="0"/>
          <w:marTop w:val="0"/>
          <w:marBottom w:val="0"/>
          <w:divBdr>
            <w:top w:val="none" w:sz="0" w:space="0" w:color="auto"/>
            <w:left w:val="none" w:sz="0" w:space="0" w:color="auto"/>
            <w:bottom w:val="none" w:sz="0" w:space="0" w:color="auto"/>
            <w:right w:val="none" w:sz="0" w:space="0" w:color="auto"/>
          </w:divBdr>
        </w:div>
        <w:div w:id="356471263">
          <w:marLeft w:val="0"/>
          <w:marRight w:val="0"/>
          <w:marTop w:val="0"/>
          <w:marBottom w:val="0"/>
          <w:divBdr>
            <w:top w:val="none" w:sz="0" w:space="0" w:color="auto"/>
            <w:left w:val="none" w:sz="0" w:space="0" w:color="auto"/>
            <w:bottom w:val="none" w:sz="0" w:space="0" w:color="auto"/>
            <w:right w:val="none" w:sz="0" w:space="0" w:color="auto"/>
          </w:divBdr>
        </w:div>
      </w:divsChild>
    </w:div>
    <w:div w:id="911739894">
      <w:bodyDiv w:val="1"/>
      <w:marLeft w:val="0"/>
      <w:marRight w:val="0"/>
      <w:marTop w:val="0"/>
      <w:marBottom w:val="0"/>
      <w:divBdr>
        <w:top w:val="none" w:sz="0" w:space="0" w:color="auto"/>
        <w:left w:val="none" w:sz="0" w:space="0" w:color="auto"/>
        <w:bottom w:val="none" w:sz="0" w:space="0" w:color="auto"/>
        <w:right w:val="none" w:sz="0" w:space="0" w:color="auto"/>
      </w:divBdr>
    </w:div>
    <w:div w:id="922760615">
      <w:bodyDiv w:val="1"/>
      <w:marLeft w:val="0"/>
      <w:marRight w:val="0"/>
      <w:marTop w:val="0"/>
      <w:marBottom w:val="0"/>
      <w:divBdr>
        <w:top w:val="none" w:sz="0" w:space="0" w:color="auto"/>
        <w:left w:val="none" w:sz="0" w:space="0" w:color="auto"/>
        <w:bottom w:val="none" w:sz="0" w:space="0" w:color="auto"/>
        <w:right w:val="none" w:sz="0" w:space="0" w:color="auto"/>
      </w:divBdr>
      <w:divsChild>
        <w:div w:id="1788620279">
          <w:marLeft w:val="0"/>
          <w:marRight w:val="0"/>
          <w:marTop w:val="300"/>
          <w:marBottom w:val="0"/>
          <w:divBdr>
            <w:top w:val="none" w:sz="0" w:space="0" w:color="auto"/>
            <w:left w:val="none" w:sz="0" w:space="0" w:color="auto"/>
            <w:bottom w:val="none" w:sz="0" w:space="0" w:color="auto"/>
            <w:right w:val="none" w:sz="0" w:space="0" w:color="auto"/>
          </w:divBdr>
        </w:div>
      </w:divsChild>
    </w:div>
    <w:div w:id="937248141">
      <w:bodyDiv w:val="1"/>
      <w:marLeft w:val="0"/>
      <w:marRight w:val="0"/>
      <w:marTop w:val="0"/>
      <w:marBottom w:val="0"/>
      <w:divBdr>
        <w:top w:val="none" w:sz="0" w:space="0" w:color="auto"/>
        <w:left w:val="none" w:sz="0" w:space="0" w:color="auto"/>
        <w:bottom w:val="none" w:sz="0" w:space="0" w:color="auto"/>
        <w:right w:val="none" w:sz="0" w:space="0" w:color="auto"/>
      </w:divBdr>
    </w:div>
    <w:div w:id="961226781">
      <w:bodyDiv w:val="1"/>
      <w:marLeft w:val="0"/>
      <w:marRight w:val="0"/>
      <w:marTop w:val="0"/>
      <w:marBottom w:val="0"/>
      <w:divBdr>
        <w:top w:val="none" w:sz="0" w:space="0" w:color="auto"/>
        <w:left w:val="none" w:sz="0" w:space="0" w:color="auto"/>
        <w:bottom w:val="none" w:sz="0" w:space="0" w:color="auto"/>
        <w:right w:val="none" w:sz="0" w:space="0" w:color="auto"/>
      </w:divBdr>
    </w:div>
    <w:div w:id="971405869">
      <w:bodyDiv w:val="1"/>
      <w:marLeft w:val="0"/>
      <w:marRight w:val="0"/>
      <w:marTop w:val="0"/>
      <w:marBottom w:val="0"/>
      <w:divBdr>
        <w:top w:val="none" w:sz="0" w:space="0" w:color="auto"/>
        <w:left w:val="none" w:sz="0" w:space="0" w:color="auto"/>
        <w:bottom w:val="none" w:sz="0" w:space="0" w:color="auto"/>
        <w:right w:val="none" w:sz="0" w:space="0" w:color="auto"/>
      </w:divBdr>
    </w:div>
    <w:div w:id="973563474">
      <w:bodyDiv w:val="1"/>
      <w:marLeft w:val="0"/>
      <w:marRight w:val="0"/>
      <w:marTop w:val="0"/>
      <w:marBottom w:val="0"/>
      <w:divBdr>
        <w:top w:val="none" w:sz="0" w:space="0" w:color="auto"/>
        <w:left w:val="none" w:sz="0" w:space="0" w:color="auto"/>
        <w:bottom w:val="none" w:sz="0" w:space="0" w:color="auto"/>
        <w:right w:val="none" w:sz="0" w:space="0" w:color="auto"/>
      </w:divBdr>
    </w:div>
    <w:div w:id="974681424">
      <w:bodyDiv w:val="1"/>
      <w:marLeft w:val="0"/>
      <w:marRight w:val="0"/>
      <w:marTop w:val="0"/>
      <w:marBottom w:val="0"/>
      <w:divBdr>
        <w:top w:val="none" w:sz="0" w:space="0" w:color="auto"/>
        <w:left w:val="none" w:sz="0" w:space="0" w:color="auto"/>
        <w:bottom w:val="none" w:sz="0" w:space="0" w:color="auto"/>
        <w:right w:val="none" w:sz="0" w:space="0" w:color="auto"/>
      </w:divBdr>
    </w:div>
    <w:div w:id="1008369398">
      <w:bodyDiv w:val="1"/>
      <w:marLeft w:val="0"/>
      <w:marRight w:val="0"/>
      <w:marTop w:val="0"/>
      <w:marBottom w:val="0"/>
      <w:divBdr>
        <w:top w:val="none" w:sz="0" w:space="0" w:color="auto"/>
        <w:left w:val="none" w:sz="0" w:space="0" w:color="auto"/>
        <w:bottom w:val="none" w:sz="0" w:space="0" w:color="auto"/>
        <w:right w:val="none" w:sz="0" w:space="0" w:color="auto"/>
      </w:divBdr>
    </w:div>
    <w:div w:id="1018770671">
      <w:bodyDiv w:val="1"/>
      <w:marLeft w:val="0"/>
      <w:marRight w:val="0"/>
      <w:marTop w:val="0"/>
      <w:marBottom w:val="0"/>
      <w:divBdr>
        <w:top w:val="none" w:sz="0" w:space="0" w:color="auto"/>
        <w:left w:val="none" w:sz="0" w:space="0" w:color="auto"/>
        <w:bottom w:val="none" w:sz="0" w:space="0" w:color="auto"/>
        <w:right w:val="none" w:sz="0" w:space="0" w:color="auto"/>
      </w:divBdr>
    </w:div>
    <w:div w:id="1019620442">
      <w:bodyDiv w:val="1"/>
      <w:marLeft w:val="0"/>
      <w:marRight w:val="0"/>
      <w:marTop w:val="0"/>
      <w:marBottom w:val="0"/>
      <w:divBdr>
        <w:top w:val="none" w:sz="0" w:space="0" w:color="auto"/>
        <w:left w:val="none" w:sz="0" w:space="0" w:color="auto"/>
        <w:bottom w:val="none" w:sz="0" w:space="0" w:color="auto"/>
        <w:right w:val="none" w:sz="0" w:space="0" w:color="auto"/>
      </w:divBdr>
    </w:div>
    <w:div w:id="1022363802">
      <w:bodyDiv w:val="1"/>
      <w:marLeft w:val="0"/>
      <w:marRight w:val="0"/>
      <w:marTop w:val="0"/>
      <w:marBottom w:val="0"/>
      <w:divBdr>
        <w:top w:val="none" w:sz="0" w:space="0" w:color="auto"/>
        <w:left w:val="none" w:sz="0" w:space="0" w:color="auto"/>
        <w:bottom w:val="none" w:sz="0" w:space="0" w:color="auto"/>
        <w:right w:val="none" w:sz="0" w:space="0" w:color="auto"/>
      </w:divBdr>
    </w:div>
    <w:div w:id="1022558506">
      <w:bodyDiv w:val="1"/>
      <w:marLeft w:val="0"/>
      <w:marRight w:val="0"/>
      <w:marTop w:val="0"/>
      <w:marBottom w:val="0"/>
      <w:divBdr>
        <w:top w:val="none" w:sz="0" w:space="0" w:color="auto"/>
        <w:left w:val="none" w:sz="0" w:space="0" w:color="auto"/>
        <w:bottom w:val="none" w:sz="0" w:space="0" w:color="auto"/>
        <w:right w:val="none" w:sz="0" w:space="0" w:color="auto"/>
      </w:divBdr>
    </w:div>
    <w:div w:id="1043486611">
      <w:bodyDiv w:val="1"/>
      <w:marLeft w:val="0"/>
      <w:marRight w:val="0"/>
      <w:marTop w:val="0"/>
      <w:marBottom w:val="0"/>
      <w:divBdr>
        <w:top w:val="none" w:sz="0" w:space="0" w:color="auto"/>
        <w:left w:val="none" w:sz="0" w:space="0" w:color="auto"/>
        <w:bottom w:val="none" w:sz="0" w:space="0" w:color="auto"/>
        <w:right w:val="none" w:sz="0" w:space="0" w:color="auto"/>
      </w:divBdr>
    </w:div>
    <w:div w:id="1068384000">
      <w:bodyDiv w:val="1"/>
      <w:marLeft w:val="0"/>
      <w:marRight w:val="0"/>
      <w:marTop w:val="0"/>
      <w:marBottom w:val="0"/>
      <w:divBdr>
        <w:top w:val="none" w:sz="0" w:space="0" w:color="auto"/>
        <w:left w:val="none" w:sz="0" w:space="0" w:color="auto"/>
        <w:bottom w:val="none" w:sz="0" w:space="0" w:color="auto"/>
        <w:right w:val="none" w:sz="0" w:space="0" w:color="auto"/>
      </w:divBdr>
    </w:div>
    <w:div w:id="1133015066">
      <w:bodyDiv w:val="1"/>
      <w:marLeft w:val="0"/>
      <w:marRight w:val="0"/>
      <w:marTop w:val="0"/>
      <w:marBottom w:val="0"/>
      <w:divBdr>
        <w:top w:val="none" w:sz="0" w:space="0" w:color="auto"/>
        <w:left w:val="none" w:sz="0" w:space="0" w:color="auto"/>
        <w:bottom w:val="none" w:sz="0" w:space="0" w:color="auto"/>
        <w:right w:val="none" w:sz="0" w:space="0" w:color="auto"/>
      </w:divBdr>
    </w:div>
    <w:div w:id="1142045567">
      <w:bodyDiv w:val="1"/>
      <w:marLeft w:val="0"/>
      <w:marRight w:val="0"/>
      <w:marTop w:val="0"/>
      <w:marBottom w:val="0"/>
      <w:divBdr>
        <w:top w:val="none" w:sz="0" w:space="0" w:color="auto"/>
        <w:left w:val="none" w:sz="0" w:space="0" w:color="auto"/>
        <w:bottom w:val="none" w:sz="0" w:space="0" w:color="auto"/>
        <w:right w:val="none" w:sz="0" w:space="0" w:color="auto"/>
      </w:divBdr>
    </w:div>
    <w:div w:id="1148133293">
      <w:bodyDiv w:val="1"/>
      <w:marLeft w:val="0"/>
      <w:marRight w:val="0"/>
      <w:marTop w:val="0"/>
      <w:marBottom w:val="0"/>
      <w:divBdr>
        <w:top w:val="none" w:sz="0" w:space="0" w:color="auto"/>
        <w:left w:val="none" w:sz="0" w:space="0" w:color="auto"/>
        <w:bottom w:val="none" w:sz="0" w:space="0" w:color="auto"/>
        <w:right w:val="none" w:sz="0" w:space="0" w:color="auto"/>
      </w:divBdr>
    </w:div>
    <w:div w:id="1160536693">
      <w:bodyDiv w:val="1"/>
      <w:marLeft w:val="0"/>
      <w:marRight w:val="0"/>
      <w:marTop w:val="0"/>
      <w:marBottom w:val="0"/>
      <w:divBdr>
        <w:top w:val="none" w:sz="0" w:space="0" w:color="auto"/>
        <w:left w:val="none" w:sz="0" w:space="0" w:color="auto"/>
        <w:bottom w:val="none" w:sz="0" w:space="0" w:color="auto"/>
        <w:right w:val="none" w:sz="0" w:space="0" w:color="auto"/>
      </w:divBdr>
      <w:divsChild>
        <w:div w:id="281425605">
          <w:marLeft w:val="706"/>
          <w:marRight w:val="0"/>
          <w:marTop w:val="0"/>
          <w:marBottom w:val="120"/>
          <w:divBdr>
            <w:top w:val="none" w:sz="0" w:space="0" w:color="auto"/>
            <w:left w:val="none" w:sz="0" w:space="0" w:color="auto"/>
            <w:bottom w:val="none" w:sz="0" w:space="0" w:color="auto"/>
            <w:right w:val="none" w:sz="0" w:space="0" w:color="auto"/>
          </w:divBdr>
        </w:div>
        <w:div w:id="591016954">
          <w:marLeft w:val="706"/>
          <w:marRight w:val="0"/>
          <w:marTop w:val="0"/>
          <w:marBottom w:val="40"/>
          <w:divBdr>
            <w:top w:val="none" w:sz="0" w:space="0" w:color="auto"/>
            <w:left w:val="none" w:sz="0" w:space="0" w:color="auto"/>
            <w:bottom w:val="none" w:sz="0" w:space="0" w:color="auto"/>
            <w:right w:val="none" w:sz="0" w:space="0" w:color="auto"/>
          </w:divBdr>
        </w:div>
        <w:div w:id="892883781">
          <w:marLeft w:val="706"/>
          <w:marRight w:val="0"/>
          <w:marTop w:val="0"/>
          <w:marBottom w:val="40"/>
          <w:divBdr>
            <w:top w:val="none" w:sz="0" w:space="0" w:color="auto"/>
            <w:left w:val="none" w:sz="0" w:space="0" w:color="auto"/>
            <w:bottom w:val="none" w:sz="0" w:space="0" w:color="auto"/>
            <w:right w:val="none" w:sz="0" w:space="0" w:color="auto"/>
          </w:divBdr>
        </w:div>
      </w:divsChild>
    </w:div>
    <w:div w:id="1177696589">
      <w:bodyDiv w:val="1"/>
      <w:marLeft w:val="0"/>
      <w:marRight w:val="0"/>
      <w:marTop w:val="0"/>
      <w:marBottom w:val="0"/>
      <w:divBdr>
        <w:top w:val="none" w:sz="0" w:space="0" w:color="auto"/>
        <w:left w:val="none" w:sz="0" w:space="0" w:color="auto"/>
        <w:bottom w:val="none" w:sz="0" w:space="0" w:color="auto"/>
        <w:right w:val="none" w:sz="0" w:space="0" w:color="auto"/>
      </w:divBdr>
    </w:div>
    <w:div w:id="1185094396">
      <w:bodyDiv w:val="1"/>
      <w:marLeft w:val="0"/>
      <w:marRight w:val="0"/>
      <w:marTop w:val="0"/>
      <w:marBottom w:val="0"/>
      <w:divBdr>
        <w:top w:val="none" w:sz="0" w:space="0" w:color="auto"/>
        <w:left w:val="none" w:sz="0" w:space="0" w:color="auto"/>
        <w:bottom w:val="none" w:sz="0" w:space="0" w:color="auto"/>
        <w:right w:val="none" w:sz="0" w:space="0" w:color="auto"/>
      </w:divBdr>
    </w:div>
    <w:div w:id="1203515565">
      <w:bodyDiv w:val="1"/>
      <w:marLeft w:val="0"/>
      <w:marRight w:val="0"/>
      <w:marTop w:val="0"/>
      <w:marBottom w:val="0"/>
      <w:divBdr>
        <w:top w:val="none" w:sz="0" w:space="0" w:color="auto"/>
        <w:left w:val="none" w:sz="0" w:space="0" w:color="auto"/>
        <w:bottom w:val="none" w:sz="0" w:space="0" w:color="auto"/>
        <w:right w:val="none" w:sz="0" w:space="0" w:color="auto"/>
      </w:divBdr>
    </w:div>
    <w:div w:id="1206219058">
      <w:bodyDiv w:val="1"/>
      <w:marLeft w:val="0"/>
      <w:marRight w:val="0"/>
      <w:marTop w:val="0"/>
      <w:marBottom w:val="0"/>
      <w:divBdr>
        <w:top w:val="none" w:sz="0" w:space="0" w:color="auto"/>
        <w:left w:val="none" w:sz="0" w:space="0" w:color="auto"/>
        <w:bottom w:val="none" w:sz="0" w:space="0" w:color="auto"/>
        <w:right w:val="none" w:sz="0" w:space="0" w:color="auto"/>
      </w:divBdr>
    </w:div>
    <w:div w:id="1213693029">
      <w:bodyDiv w:val="1"/>
      <w:marLeft w:val="0"/>
      <w:marRight w:val="0"/>
      <w:marTop w:val="0"/>
      <w:marBottom w:val="0"/>
      <w:divBdr>
        <w:top w:val="none" w:sz="0" w:space="0" w:color="auto"/>
        <w:left w:val="none" w:sz="0" w:space="0" w:color="auto"/>
        <w:bottom w:val="none" w:sz="0" w:space="0" w:color="auto"/>
        <w:right w:val="none" w:sz="0" w:space="0" w:color="auto"/>
      </w:divBdr>
    </w:div>
    <w:div w:id="1214390246">
      <w:bodyDiv w:val="1"/>
      <w:marLeft w:val="0"/>
      <w:marRight w:val="0"/>
      <w:marTop w:val="0"/>
      <w:marBottom w:val="0"/>
      <w:divBdr>
        <w:top w:val="none" w:sz="0" w:space="0" w:color="auto"/>
        <w:left w:val="none" w:sz="0" w:space="0" w:color="auto"/>
        <w:bottom w:val="none" w:sz="0" w:space="0" w:color="auto"/>
        <w:right w:val="none" w:sz="0" w:space="0" w:color="auto"/>
      </w:divBdr>
    </w:div>
    <w:div w:id="1221668640">
      <w:bodyDiv w:val="1"/>
      <w:marLeft w:val="0"/>
      <w:marRight w:val="0"/>
      <w:marTop w:val="0"/>
      <w:marBottom w:val="0"/>
      <w:divBdr>
        <w:top w:val="none" w:sz="0" w:space="0" w:color="auto"/>
        <w:left w:val="none" w:sz="0" w:space="0" w:color="auto"/>
        <w:bottom w:val="none" w:sz="0" w:space="0" w:color="auto"/>
        <w:right w:val="none" w:sz="0" w:space="0" w:color="auto"/>
      </w:divBdr>
    </w:div>
    <w:div w:id="1227104070">
      <w:bodyDiv w:val="1"/>
      <w:marLeft w:val="0"/>
      <w:marRight w:val="0"/>
      <w:marTop w:val="0"/>
      <w:marBottom w:val="0"/>
      <w:divBdr>
        <w:top w:val="none" w:sz="0" w:space="0" w:color="auto"/>
        <w:left w:val="none" w:sz="0" w:space="0" w:color="auto"/>
        <w:bottom w:val="none" w:sz="0" w:space="0" w:color="auto"/>
        <w:right w:val="none" w:sz="0" w:space="0" w:color="auto"/>
      </w:divBdr>
    </w:div>
    <w:div w:id="1227956477">
      <w:bodyDiv w:val="1"/>
      <w:marLeft w:val="0"/>
      <w:marRight w:val="0"/>
      <w:marTop w:val="0"/>
      <w:marBottom w:val="0"/>
      <w:divBdr>
        <w:top w:val="none" w:sz="0" w:space="0" w:color="auto"/>
        <w:left w:val="none" w:sz="0" w:space="0" w:color="auto"/>
        <w:bottom w:val="none" w:sz="0" w:space="0" w:color="auto"/>
        <w:right w:val="none" w:sz="0" w:space="0" w:color="auto"/>
      </w:divBdr>
    </w:div>
    <w:div w:id="1230455354">
      <w:bodyDiv w:val="1"/>
      <w:marLeft w:val="0"/>
      <w:marRight w:val="0"/>
      <w:marTop w:val="0"/>
      <w:marBottom w:val="0"/>
      <w:divBdr>
        <w:top w:val="none" w:sz="0" w:space="0" w:color="auto"/>
        <w:left w:val="none" w:sz="0" w:space="0" w:color="auto"/>
        <w:bottom w:val="none" w:sz="0" w:space="0" w:color="auto"/>
        <w:right w:val="none" w:sz="0" w:space="0" w:color="auto"/>
      </w:divBdr>
    </w:div>
    <w:div w:id="1239166674">
      <w:bodyDiv w:val="1"/>
      <w:marLeft w:val="0"/>
      <w:marRight w:val="0"/>
      <w:marTop w:val="0"/>
      <w:marBottom w:val="0"/>
      <w:divBdr>
        <w:top w:val="none" w:sz="0" w:space="0" w:color="auto"/>
        <w:left w:val="none" w:sz="0" w:space="0" w:color="auto"/>
        <w:bottom w:val="none" w:sz="0" w:space="0" w:color="auto"/>
        <w:right w:val="none" w:sz="0" w:space="0" w:color="auto"/>
      </w:divBdr>
    </w:div>
    <w:div w:id="1239436305">
      <w:bodyDiv w:val="1"/>
      <w:marLeft w:val="0"/>
      <w:marRight w:val="0"/>
      <w:marTop w:val="0"/>
      <w:marBottom w:val="0"/>
      <w:divBdr>
        <w:top w:val="none" w:sz="0" w:space="0" w:color="auto"/>
        <w:left w:val="none" w:sz="0" w:space="0" w:color="auto"/>
        <w:bottom w:val="none" w:sz="0" w:space="0" w:color="auto"/>
        <w:right w:val="none" w:sz="0" w:space="0" w:color="auto"/>
      </w:divBdr>
    </w:div>
    <w:div w:id="1268542583">
      <w:bodyDiv w:val="1"/>
      <w:marLeft w:val="0"/>
      <w:marRight w:val="0"/>
      <w:marTop w:val="0"/>
      <w:marBottom w:val="0"/>
      <w:divBdr>
        <w:top w:val="none" w:sz="0" w:space="0" w:color="auto"/>
        <w:left w:val="none" w:sz="0" w:space="0" w:color="auto"/>
        <w:bottom w:val="none" w:sz="0" w:space="0" w:color="auto"/>
        <w:right w:val="none" w:sz="0" w:space="0" w:color="auto"/>
      </w:divBdr>
    </w:div>
    <w:div w:id="1294403791">
      <w:bodyDiv w:val="1"/>
      <w:marLeft w:val="0"/>
      <w:marRight w:val="0"/>
      <w:marTop w:val="0"/>
      <w:marBottom w:val="0"/>
      <w:divBdr>
        <w:top w:val="none" w:sz="0" w:space="0" w:color="auto"/>
        <w:left w:val="none" w:sz="0" w:space="0" w:color="auto"/>
        <w:bottom w:val="none" w:sz="0" w:space="0" w:color="auto"/>
        <w:right w:val="none" w:sz="0" w:space="0" w:color="auto"/>
      </w:divBdr>
    </w:div>
    <w:div w:id="1297031905">
      <w:bodyDiv w:val="1"/>
      <w:marLeft w:val="0"/>
      <w:marRight w:val="0"/>
      <w:marTop w:val="0"/>
      <w:marBottom w:val="0"/>
      <w:divBdr>
        <w:top w:val="none" w:sz="0" w:space="0" w:color="auto"/>
        <w:left w:val="none" w:sz="0" w:space="0" w:color="auto"/>
        <w:bottom w:val="none" w:sz="0" w:space="0" w:color="auto"/>
        <w:right w:val="none" w:sz="0" w:space="0" w:color="auto"/>
      </w:divBdr>
    </w:div>
    <w:div w:id="1316178570">
      <w:bodyDiv w:val="1"/>
      <w:marLeft w:val="0"/>
      <w:marRight w:val="0"/>
      <w:marTop w:val="0"/>
      <w:marBottom w:val="0"/>
      <w:divBdr>
        <w:top w:val="none" w:sz="0" w:space="0" w:color="auto"/>
        <w:left w:val="none" w:sz="0" w:space="0" w:color="auto"/>
        <w:bottom w:val="none" w:sz="0" w:space="0" w:color="auto"/>
        <w:right w:val="none" w:sz="0" w:space="0" w:color="auto"/>
      </w:divBdr>
    </w:div>
    <w:div w:id="1319531149">
      <w:bodyDiv w:val="1"/>
      <w:marLeft w:val="0"/>
      <w:marRight w:val="0"/>
      <w:marTop w:val="0"/>
      <w:marBottom w:val="0"/>
      <w:divBdr>
        <w:top w:val="none" w:sz="0" w:space="0" w:color="auto"/>
        <w:left w:val="none" w:sz="0" w:space="0" w:color="auto"/>
        <w:bottom w:val="none" w:sz="0" w:space="0" w:color="auto"/>
        <w:right w:val="none" w:sz="0" w:space="0" w:color="auto"/>
      </w:divBdr>
    </w:div>
    <w:div w:id="1330868474">
      <w:bodyDiv w:val="1"/>
      <w:marLeft w:val="0"/>
      <w:marRight w:val="0"/>
      <w:marTop w:val="0"/>
      <w:marBottom w:val="0"/>
      <w:divBdr>
        <w:top w:val="none" w:sz="0" w:space="0" w:color="auto"/>
        <w:left w:val="none" w:sz="0" w:space="0" w:color="auto"/>
        <w:bottom w:val="none" w:sz="0" w:space="0" w:color="auto"/>
        <w:right w:val="none" w:sz="0" w:space="0" w:color="auto"/>
      </w:divBdr>
    </w:div>
    <w:div w:id="1356929787">
      <w:bodyDiv w:val="1"/>
      <w:marLeft w:val="0"/>
      <w:marRight w:val="0"/>
      <w:marTop w:val="0"/>
      <w:marBottom w:val="0"/>
      <w:divBdr>
        <w:top w:val="none" w:sz="0" w:space="0" w:color="auto"/>
        <w:left w:val="none" w:sz="0" w:space="0" w:color="auto"/>
        <w:bottom w:val="none" w:sz="0" w:space="0" w:color="auto"/>
        <w:right w:val="none" w:sz="0" w:space="0" w:color="auto"/>
      </w:divBdr>
    </w:div>
    <w:div w:id="1359157222">
      <w:bodyDiv w:val="1"/>
      <w:marLeft w:val="0"/>
      <w:marRight w:val="0"/>
      <w:marTop w:val="0"/>
      <w:marBottom w:val="0"/>
      <w:divBdr>
        <w:top w:val="none" w:sz="0" w:space="0" w:color="auto"/>
        <w:left w:val="none" w:sz="0" w:space="0" w:color="auto"/>
        <w:bottom w:val="none" w:sz="0" w:space="0" w:color="auto"/>
        <w:right w:val="none" w:sz="0" w:space="0" w:color="auto"/>
      </w:divBdr>
    </w:div>
    <w:div w:id="1371373398">
      <w:bodyDiv w:val="1"/>
      <w:marLeft w:val="0"/>
      <w:marRight w:val="0"/>
      <w:marTop w:val="0"/>
      <w:marBottom w:val="0"/>
      <w:divBdr>
        <w:top w:val="none" w:sz="0" w:space="0" w:color="auto"/>
        <w:left w:val="none" w:sz="0" w:space="0" w:color="auto"/>
        <w:bottom w:val="none" w:sz="0" w:space="0" w:color="auto"/>
        <w:right w:val="none" w:sz="0" w:space="0" w:color="auto"/>
      </w:divBdr>
    </w:div>
    <w:div w:id="1387800916">
      <w:bodyDiv w:val="1"/>
      <w:marLeft w:val="0"/>
      <w:marRight w:val="0"/>
      <w:marTop w:val="0"/>
      <w:marBottom w:val="0"/>
      <w:divBdr>
        <w:top w:val="none" w:sz="0" w:space="0" w:color="auto"/>
        <w:left w:val="none" w:sz="0" w:space="0" w:color="auto"/>
        <w:bottom w:val="none" w:sz="0" w:space="0" w:color="auto"/>
        <w:right w:val="none" w:sz="0" w:space="0" w:color="auto"/>
      </w:divBdr>
    </w:div>
    <w:div w:id="1390689820">
      <w:bodyDiv w:val="1"/>
      <w:marLeft w:val="0"/>
      <w:marRight w:val="0"/>
      <w:marTop w:val="0"/>
      <w:marBottom w:val="0"/>
      <w:divBdr>
        <w:top w:val="none" w:sz="0" w:space="0" w:color="auto"/>
        <w:left w:val="none" w:sz="0" w:space="0" w:color="auto"/>
        <w:bottom w:val="none" w:sz="0" w:space="0" w:color="auto"/>
        <w:right w:val="none" w:sz="0" w:space="0" w:color="auto"/>
      </w:divBdr>
    </w:div>
    <w:div w:id="1398671985">
      <w:bodyDiv w:val="1"/>
      <w:marLeft w:val="0"/>
      <w:marRight w:val="0"/>
      <w:marTop w:val="0"/>
      <w:marBottom w:val="0"/>
      <w:divBdr>
        <w:top w:val="none" w:sz="0" w:space="0" w:color="auto"/>
        <w:left w:val="none" w:sz="0" w:space="0" w:color="auto"/>
        <w:bottom w:val="none" w:sz="0" w:space="0" w:color="auto"/>
        <w:right w:val="none" w:sz="0" w:space="0" w:color="auto"/>
      </w:divBdr>
    </w:div>
    <w:div w:id="1400400750">
      <w:bodyDiv w:val="1"/>
      <w:marLeft w:val="0"/>
      <w:marRight w:val="0"/>
      <w:marTop w:val="0"/>
      <w:marBottom w:val="0"/>
      <w:divBdr>
        <w:top w:val="none" w:sz="0" w:space="0" w:color="auto"/>
        <w:left w:val="none" w:sz="0" w:space="0" w:color="auto"/>
        <w:bottom w:val="none" w:sz="0" w:space="0" w:color="auto"/>
        <w:right w:val="none" w:sz="0" w:space="0" w:color="auto"/>
      </w:divBdr>
    </w:div>
    <w:div w:id="1415666425">
      <w:bodyDiv w:val="1"/>
      <w:marLeft w:val="0"/>
      <w:marRight w:val="0"/>
      <w:marTop w:val="0"/>
      <w:marBottom w:val="0"/>
      <w:divBdr>
        <w:top w:val="none" w:sz="0" w:space="0" w:color="auto"/>
        <w:left w:val="none" w:sz="0" w:space="0" w:color="auto"/>
        <w:bottom w:val="none" w:sz="0" w:space="0" w:color="auto"/>
        <w:right w:val="none" w:sz="0" w:space="0" w:color="auto"/>
      </w:divBdr>
    </w:div>
    <w:div w:id="1436516157">
      <w:bodyDiv w:val="1"/>
      <w:marLeft w:val="0"/>
      <w:marRight w:val="0"/>
      <w:marTop w:val="0"/>
      <w:marBottom w:val="0"/>
      <w:divBdr>
        <w:top w:val="none" w:sz="0" w:space="0" w:color="auto"/>
        <w:left w:val="none" w:sz="0" w:space="0" w:color="auto"/>
        <w:bottom w:val="none" w:sz="0" w:space="0" w:color="auto"/>
        <w:right w:val="none" w:sz="0" w:space="0" w:color="auto"/>
      </w:divBdr>
      <w:divsChild>
        <w:div w:id="807239294">
          <w:marLeft w:val="0"/>
          <w:marRight w:val="0"/>
          <w:marTop w:val="0"/>
          <w:marBottom w:val="0"/>
          <w:divBdr>
            <w:top w:val="none" w:sz="0" w:space="0" w:color="auto"/>
            <w:left w:val="none" w:sz="0" w:space="0" w:color="auto"/>
            <w:bottom w:val="none" w:sz="0" w:space="0" w:color="auto"/>
            <w:right w:val="none" w:sz="0" w:space="0" w:color="auto"/>
          </w:divBdr>
          <w:divsChild>
            <w:div w:id="831407033">
              <w:marLeft w:val="0"/>
              <w:marRight w:val="0"/>
              <w:marTop w:val="0"/>
              <w:marBottom w:val="0"/>
              <w:divBdr>
                <w:top w:val="none" w:sz="0" w:space="0" w:color="auto"/>
                <w:left w:val="none" w:sz="0" w:space="0" w:color="auto"/>
                <w:bottom w:val="none" w:sz="0" w:space="0" w:color="auto"/>
                <w:right w:val="none" w:sz="0" w:space="0" w:color="auto"/>
              </w:divBdr>
              <w:divsChild>
                <w:div w:id="1050809343">
                  <w:marLeft w:val="0"/>
                  <w:marRight w:val="0"/>
                  <w:marTop w:val="0"/>
                  <w:marBottom w:val="0"/>
                  <w:divBdr>
                    <w:top w:val="none" w:sz="0" w:space="0" w:color="auto"/>
                    <w:left w:val="none" w:sz="0" w:space="0" w:color="auto"/>
                    <w:bottom w:val="none" w:sz="0" w:space="0" w:color="auto"/>
                    <w:right w:val="none" w:sz="0" w:space="0" w:color="auto"/>
                  </w:divBdr>
                  <w:divsChild>
                    <w:div w:id="2052921848">
                      <w:marLeft w:val="0"/>
                      <w:marRight w:val="0"/>
                      <w:marTop w:val="0"/>
                      <w:marBottom w:val="0"/>
                      <w:divBdr>
                        <w:top w:val="none" w:sz="0" w:space="0" w:color="auto"/>
                        <w:left w:val="none" w:sz="0" w:space="0" w:color="auto"/>
                        <w:bottom w:val="none" w:sz="0" w:space="0" w:color="auto"/>
                        <w:right w:val="none" w:sz="0" w:space="0" w:color="auto"/>
                      </w:divBdr>
                      <w:divsChild>
                        <w:div w:id="1048995183">
                          <w:marLeft w:val="0"/>
                          <w:marRight w:val="0"/>
                          <w:marTop w:val="0"/>
                          <w:marBottom w:val="0"/>
                          <w:divBdr>
                            <w:top w:val="none" w:sz="0" w:space="0" w:color="auto"/>
                            <w:left w:val="none" w:sz="0" w:space="0" w:color="auto"/>
                            <w:bottom w:val="none" w:sz="0" w:space="0" w:color="auto"/>
                            <w:right w:val="none" w:sz="0" w:space="0" w:color="auto"/>
                          </w:divBdr>
                          <w:divsChild>
                            <w:div w:id="932665782">
                              <w:marLeft w:val="0"/>
                              <w:marRight w:val="0"/>
                              <w:marTop w:val="0"/>
                              <w:marBottom w:val="0"/>
                              <w:divBdr>
                                <w:top w:val="none" w:sz="0" w:space="0" w:color="auto"/>
                                <w:left w:val="none" w:sz="0" w:space="0" w:color="auto"/>
                                <w:bottom w:val="none" w:sz="0" w:space="0" w:color="auto"/>
                                <w:right w:val="none" w:sz="0" w:space="0" w:color="auto"/>
                              </w:divBdr>
                              <w:divsChild>
                                <w:div w:id="1879396532">
                                  <w:marLeft w:val="0"/>
                                  <w:marRight w:val="0"/>
                                  <w:marTop w:val="0"/>
                                  <w:marBottom w:val="0"/>
                                  <w:divBdr>
                                    <w:top w:val="none" w:sz="0" w:space="0" w:color="auto"/>
                                    <w:left w:val="none" w:sz="0" w:space="0" w:color="auto"/>
                                    <w:bottom w:val="none" w:sz="0" w:space="0" w:color="auto"/>
                                    <w:right w:val="none" w:sz="0" w:space="0" w:color="auto"/>
                                  </w:divBdr>
                                  <w:divsChild>
                                    <w:div w:id="1358193457">
                                      <w:marLeft w:val="0"/>
                                      <w:marRight w:val="0"/>
                                      <w:marTop w:val="0"/>
                                      <w:marBottom w:val="0"/>
                                      <w:divBdr>
                                        <w:top w:val="none" w:sz="0" w:space="0" w:color="auto"/>
                                        <w:left w:val="none" w:sz="0" w:space="0" w:color="auto"/>
                                        <w:bottom w:val="none" w:sz="0" w:space="0" w:color="auto"/>
                                        <w:right w:val="none" w:sz="0" w:space="0" w:color="auto"/>
                                      </w:divBdr>
                                      <w:divsChild>
                                        <w:div w:id="1202327799">
                                          <w:marLeft w:val="0"/>
                                          <w:marRight w:val="0"/>
                                          <w:marTop w:val="0"/>
                                          <w:marBottom w:val="0"/>
                                          <w:divBdr>
                                            <w:top w:val="none" w:sz="0" w:space="0" w:color="auto"/>
                                            <w:left w:val="none" w:sz="0" w:space="0" w:color="auto"/>
                                            <w:bottom w:val="none" w:sz="0" w:space="0" w:color="auto"/>
                                            <w:right w:val="none" w:sz="0" w:space="0" w:color="auto"/>
                                          </w:divBdr>
                                          <w:divsChild>
                                            <w:div w:id="113059634">
                                              <w:marLeft w:val="0"/>
                                              <w:marRight w:val="0"/>
                                              <w:marTop w:val="0"/>
                                              <w:marBottom w:val="0"/>
                                              <w:divBdr>
                                                <w:top w:val="none" w:sz="0" w:space="0" w:color="auto"/>
                                                <w:left w:val="none" w:sz="0" w:space="0" w:color="auto"/>
                                                <w:bottom w:val="none" w:sz="0" w:space="0" w:color="auto"/>
                                                <w:right w:val="none" w:sz="0" w:space="0" w:color="auto"/>
                                              </w:divBdr>
                                              <w:divsChild>
                                                <w:div w:id="532691155">
                                                  <w:marLeft w:val="0"/>
                                                  <w:marRight w:val="0"/>
                                                  <w:marTop w:val="0"/>
                                                  <w:marBottom w:val="0"/>
                                                  <w:divBdr>
                                                    <w:top w:val="none" w:sz="0" w:space="0" w:color="auto"/>
                                                    <w:left w:val="none" w:sz="0" w:space="0" w:color="auto"/>
                                                    <w:bottom w:val="none" w:sz="0" w:space="0" w:color="auto"/>
                                                    <w:right w:val="none" w:sz="0" w:space="0" w:color="auto"/>
                                                  </w:divBdr>
                                                  <w:divsChild>
                                                    <w:div w:id="1791392500">
                                                      <w:marLeft w:val="0"/>
                                                      <w:marRight w:val="0"/>
                                                      <w:marTop w:val="0"/>
                                                      <w:marBottom w:val="0"/>
                                                      <w:divBdr>
                                                        <w:top w:val="none" w:sz="0" w:space="0" w:color="auto"/>
                                                        <w:left w:val="none" w:sz="0" w:space="0" w:color="auto"/>
                                                        <w:bottom w:val="none" w:sz="0" w:space="0" w:color="auto"/>
                                                        <w:right w:val="none" w:sz="0" w:space="0" w:color="auto"/>
                                                      </w:divBdr>
                                                      <w:divsChild>
                                                        <w:div w:id="820386300">
                                                          <w:marLeft w:val="0"/>
                                                          <w:marRight w:val="0"/>
                                                          <w:marTop w:val="0"/>
                                                          <w:marBottom w:val="0"/>
                                                          <w:divBdr>
                                                            <w:top w:val="none" w:sz="0" w:space="0" w:color="auto"/>
                                                            <w:left w:val="none" w:sz="0" w:space="0" w:color="auto"/>
                                                            <w:bottom w:val="none" w:sz="0" w:space="0" w:color="auto"/>
                                                            <w:right w:val="none" w:sz="0" w:space="0" w:color="auto"/>
                                                          </w:divBdr>
                                                          <w:divsChild>
                                                            <w:div w:id="1603952985">
                                                              <w:marLeft w:val="0"/>
                                                              <w:marRight w:val="0"/>
                                                              <w:marTop w:val="0"/>
                                                              <w:marBottom w:val="0"/>
                                                              <w:divBdr>
                                                                <w:top w:val="none" w:sz="0" w:space="0" w:color="auto"/>
                                                                <w:left w:val="none" w:sz="0" w:space="0" w:color="auto"/>
                                                                <w:bottom w:val="none" w:sz="0" w:space="0" w:color="auto"/>
                                                                <w:right w:val="none" w:sz="0" w:space="0" w:color="auto"/>
                                                              </w:divBdr>
                                                              <w:divsChild>
                                                                <w:div w:id="946232329">
                                                                  <w:marLeft w:val="0"/>
                                                                  <w:marRight w:val="0"/>
                                                                  <w:marTop w:val="0"/>
                                                                  <w:marBottom w:val="0"/>
                                                                  <w:divBdr>
                                                                    <w:top w:val="none" w:sz="0" w:space="0" w:color="auto"/>
                                                                    <w:left w:val="none" w:sz="0" w:space="0" w:color="auto"/>
                                                                    <w:bottom w:val="none" w:sz="0" w:space="0" w:color="auto"/>
                                                                    <w:right w:val="none" w:sz="0" w:space="0" w:color="auto"/>
                                                                  </w:divBdr>
                                                                  <w:divsChild>
                                                                    <w:div w:id="150869765">
                                                                      <w:marLeft w:val="0"/>
                                                                      <w:marRight w:val="0"/>
                                                                      <w:marTop w:val="0"/>
                                                                      <w:marBottom w:val="0"/>
                                                                      <w:divBdr>
                                                                        <w:top w:val="none" w:sz="0" w:space="0" w:color="auto"/>
                                                                        <w:left w:val="none" w:sz="0" w:space="0" w:color="auto"/>
                                                                        <w:bottom w:val="none" w:sz="0" w:space="0" w:color="auto"/>
                                                                        <w:right w:val="none" w:sz="0" w:space="0" w:color="auto"/>
                                                                      </w:divBdr>
                                                                      <w:divsChild>
                                                                        <w:div w:id="1972589838">
                                                                          <w:marLeft w:val="0"/>
                                                                          <w:marRight w:val="0"/>
                                                                          <w:marTop w:val="0"/>
                                                                          <w:marBottom w:val="0"/>
                                                                          <w:divBdr>
                                                                            <w:top w:val="none" w:sz="0" w:space="0" w:color="auto"/>
                                                                            <w:left w:val="none" w:sz="0" w:space="0" w:color="auto"/>
                                                                            <w:bottom w:val="none" w:sz="0" w:space="0" w:color="auto"/>
                                                                            <w:right w:val="none" w:sz="0" w:space="0" w:color="auto"/>
                                                                          </w:divBdr>
                                                                          <w:divsChild>
                                                                            <w:div w:id="2009477814">
                                                                              <w:marLeft w:val="0"/>
                                                                              <w:marRight w:val="0"/>
                                                                              <w:marTop w:val="0"/>
                                                                              <w:marBottom w:val="0"/>
                                                                              <w:divBdr>
                                                                                <w:top w:val="none" w:sz="0" w:space="0" w:color="auto"/>
                                                                                <w:left w:val="none" w:sz="0" w:space="0" w:color="auto"/>
                                                                                <w:bottom w:val="none" w:sz="0" w:space="0" w:color="auto"/>
                                                                                <w:right w:val="none" w:sz="0" w:space="0" w:color="auto"/>
                                                                              </w:divBdr>
                                                                              <w:divsChild>
                                                                                <w:div w:id="8107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27347">
      <w:bodyDiv w:val="1"/>
      <w:marLeft w:val="0"/>
      <w:marRight w:val="0"/>
      <w:marTop w:val="0"/>
      <w:marBottom w:val="0"/>
      <w:divBdr>
        <w:top w:val="none" w:sz="0" w:space="0" w:color="auto"/>
        <w:left w:val="none" w:sz="0" w:space="0" w:color="auto"/>
        <w:bottom w:val="none" w:sz="0" w:space="0" w:color="auto"/>
        <w:right w:val="none" w:sz="0" w:space="0" w:color="auto"/>
      </w:divBdr>
    </w:div>
    <w:div w:id="1455978451">
      <w:bodyDiv w:val="1"/>
      <w:marLeft w:val="0"/>
      <w:marRight w:val="0"/>
      <w:marTop w:val="0"/>
      <w:marBottom w:val="0"/>
      <w:divBdr>
        <w:top w:val="none" w:sz="0" w:space="0" w:color="auto"/>
        <w:left w:val="none" w:sz="0" w:space="0" w:color="auto"/>
        <w:bottom w:val="none" w:sz="0" w:space="0" w:color="auto"/>
        <w:right w:val="none" w:sz="0" w:space="0" w:color="auto"/>
      </w:divBdr>
      <w:divsChild>
        <w:div w:id="1775443689">
          <w:marLeft w:val="0"/>
          <w:marRight w:val="0"/>
          <w:marTop w:val="0"/>
          <w:marBottom w:val="0"/>
          <w:divBdr>
            <w:top w:val="none" w:sz="0" w:space="0" w:color="auto"/>
            <w:left w:val="none" w:sz="0" w:space="0" w:color="auto"/>
            <w:bottom w:val="none" w:sz="0" w:space="0" w:color="auto"/>
            <w:right w:val="none" w:sz="0" w:space="0" w:color="auto"/>
          </w:divBdr>
          <w:divsChild>
            <w:div w:id="1075322698">
              <w:marLeft w:val="0"/>
              <w:marRight w:val="0"/>
              <w:marTop w:val="0"/>
              <w:marBottom w:val="0"/>
              <w:divBdr>
                <w:top w:val="none" w:sz="0" w:space="0" w:color="auto"/>
                <w:left w:val="none" w:sz="0" w:space="0" w:color="auto"/>
                <w:bottom w:val="none" w:sz="0" w:space="0" w:color="auto"/>
                <w:right w:val="none" w:sz="0" w:space="0" w:color="auto"/>
              </w:divBdr>
              <w:divsChild>
                <w:div w:id="303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3987">
      <w:bodyDiv w:val="1"/>
      <w:marLeft w:val="0"/>
      <w:marRight w:val="0"/>
      <w:marTop w:val="0"/>
      <w:marBottom w:val="0"/>
      <w:divBdr>
        <w:top w:val="none" w:sz="0" w:space="0" w:color="auto"/>
        <w:left w:val="none" w:sz="0" w:space="0" w:color="auto"/>
        <w:bottom w:val="none" w:sz="0" w:space="0" w:color="auto"/>
        <w:right w:val="none" w:sz="0" w:space="0" w:color="auto"/>
      </w:divBdr>
    </w:div>
    <w:div w:id="1478452963">
      <w:bodyDiv w:val="1"/>
      <w:marLeft w:val="0"/>
      <w:marRight w:val="0"/>
      <w:marTop w:val="0"/>
      <w:marBottom w:val="0"/>
      <w:divBdr>
        <w:top w:val="none" w:sz="0" w:space="0" w:color="auto"/>
        <w:left w:val="none" w:sz="0" w:space="0" w:color="auto"/>
        <w:bottom w:val="none" w:sz="0" w:space="0" w:color="auto"/>
        <w:right w:val="none" w:sz="0" w:space="0" w:color="auto"/>
      </w:divBdr>
      <w:divsChild>
        <w:div w:id="2083410378">
          <w:marLeft w:val="0"/>
          <w:marRight w:val="0"/>
          <w:marTop w:val="0"/>
          <w:marBottom w:val="0"/>
          <w:divBdr>
            <w:top w:val="none" w:sz="0" w:space="0" w:color="auto"/>
            <w:left w:val="none" w:sz="0" w:space="0" w:color="auto"/>
            <w:bottom w:val="none" w:sz="0" w:space="0" w:color="auto"/>
            <w:right w:val="none" w:sz="0" w:space="0" w:color="auto"/>
          </w:divBdr>
          <w:divsChild>
            <w:div w:id="1312521371">
              <w:marLeft w:val="0"/>
              <w:marRight w:val="0"/>
              <w:marTop w:val="0"/>
              <w:marBottom w:val="0"/>
              <w:divBdr>
                <w:top w:val="none" w:sz="0" w:space="0" w:color="auto"/>
                <w:left w:val="none" w:sz="0" w:space="0" w:color="auto"/>
                <w:bottom w:val="none" w:sz="0" w:space="0" w:color="auto"/>
                <w:right w:val="none" w:sz="0" w:space="0" w:color="auto"/>
              </w:divBdr>
              <w:divsChild>
                <w:div w:id="5996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2619">
      <w:bodyDiv w:val="1"/>
      <w:marLeft w:val="0"/>
      <w:marRight w:val="0"/>
      <w:marTop w:val="0"/>
      <w:marBottom w:val="0"/>
      <w:divBdr>
        <w:top w:val="none" w:sz="0" w:space="0" w:color="auto"/>
        <w:left w:val="none" w:sz="0" w:space="0" w:color="auto"/>
        <w:bottom w:val="none" w:sz="0" w:space="0" w:color="auto"/>
        <w:right w:val="none" w:sz="0" w:space="0" w:color="auto"/>
      </w:divBdr>
      <w:divsChild>
        <w:div w:id="65496354">
          <w:marLeft w:val="1282"/>
          <w:marRight w:val="0"/>
          <w:marTop w:val="40"/>
          <w:marBottom w:val="40"/>
          <w:divBdr>
            <w:top w:val="none" w:sz="0" w:space="0" w:color="auto"/>
            <w:left w:val="none" w:sz="0" w:space="0" w:color="auto"/>
            <w:bottom w:val="none" w:sz="0" w:space="0" w:color="auto"/>
            <w:right w:val="none" w:sz="0" w:space="0" w:color="auto"/>
          </w:divBdr>
        </w:div>
        <w:div w:id="688485631">
          <w:marLeft w:val="619"/>
          <w:marRight w:val="0"/>
          <w:marTop w:val="0"/>
          <w:marBottom w:val="100"/>
          <w:divBdr>
            <w:top w:val="none" w:sz="0" w:space="0" w:color="auto"/>
            <w:left w:val="none" w:sz="0" w:space="0" w:color="auto"/>
            <w:bottom w:val="none" w:sz="0" w:space="0" w:color="auto"/>
            <w:right w:val="none" w:sz="0" w:space="0" w:color="auto"/>
          </w:divBdr>
        </w:div>
        <w:div w:id="851918515">
          <w:marLeft w:val="1282"/>
          <w:marRight w:val="0"/>
          <w:marTop w:val="40"/>
          <w:marBottom w:val="40"/>
          <w:divBdr>
            <w:top w:val="none" w:sz="0" w:space="0" w:color="auto"/>
            <w:left w:val="none" w:sz="0" w:space="0" w:color="auto"/>
            <w:bottom w:val="none" w:sz="0" w:space="0" w:color="auto"/>
            <w:right w:val="none" w:sz="0" w:space="0" w:color="auto"/>
          </w:divBdr>
        </w:div>
        <w:div w:id="1559703891">
          <w:marLeft w:val="1282"/>
          <w:marRight w:val="0"/>
          <w:marTop w:val="40"/>
          <w:marBottom w:val="40"/>
          <w:divBdr>
            <w:top w:val="none" w:sz="0" w:space="0" w:color="auto"/>
            <w:left w:val="none" w:sz="0" w:space="0" w:color="auto"/>
            <w:bottom w:val="none" w:sz="0" w:space="0" w:color="auto"/>
            <w:right w:val="none" w:sz="0" w:space="0" w:color="auto"/>
          </w:divBdr>
        </w:div>
        <w:div w:id="1664822114">
          <w:marLeft w:val="1282"/>
          <w:marRight w:val="0"/>
          <w:marTop w:val="40"/>
          <w:marBottom w:val="40"/>
          <w:divBdr>
            <w:top w:val="none" w:sz="0" w:space="0" w:color="auto"/>
            <w:left w:val="none" w:sz="0" w:space="0" w:color="auto"/>
            <w:bottom w:val="none" w:sz="0" w:space="0" w:color="auto"/>
            <w:right w:val="none" w:sz="0" w:space="0" w:color="auto"/>
          </w:divBdr>
        </w:div>
        <w:div w:id="1672097870">
          <w:marLeft w:val="1282"/>
          <w:marRight w:val="0"/>
          <w:marTop w:val="40"/>
          <w:marBottom w:val="40"/>
          <w:divBdr>
            <w:top w:val="none" w:sz="0" w:space="0" w:color="auto"/>
            <w:left w:val="none" w:sz="0" w:space="0" w:color="auto"/>
            <w:bottom w:val="none" w:sz="0" w:space="0" w:color="auto"/>
            <w:right w:val="none" w:sz="0" w:space="0" w:color="auto"/>
          </w:divBdr>
        </w:div>
        <w:div w:id="1927493088">
          <w:marLeft w:val="1282"/>
          <w:marRight w:val="0"/>
          <w:marTop w:val="40"/>
          <w:marBottom w:val="40"/>
          <w:divBdr>
            <w:top w:val="none" w:sz="0" w:space="0" w:color="auto"/>
            <w:left w:val="none" w:sz="0" w:space="0" w:color="auto"/>
            <w:bottom w:val="none" w:sz="0" w:space="0" w:color="auto"/>
            <w:right w:val="none" w:sz="0" w:space="0" w:color="auto"/>
          </w:divBdr>
        </w:div>
      </w:divsChild>
    </w:div>
    <w:div w:id="1508907760">
      <w:bodyDiv w:val="1"/>
      <w:marLeft w:val="0"/>
      <w:marRight w:val="0"/>
      <w:marTop w:val="0"/>
      <w:marBottom w:val="0"/>
      <w:divBdr>
        <w:top w:val="none" w:sz="0" w:space="0" w:color="auto"/>
        <w:left w:val="none" w:sz="0" w:space="0" w:color="auto"/>
        <w:bottom w:val="none" w:sz="0" w:space="0" w:color="auto"/>
        <w:right w:val="none" w:sz="0" w:space="0" w:color="auto"/>
      </w:divBdr>
    </w:div>
    <w:div w:id="1526478554">
      <w:bodyDiv w:val="1"/>
      <w:marLeft w:val="0"/>
      <w:marRight w:val="0"/>
      <w:marTop w:val="0"/>
      <w:marBottom w:val="0"/>
      <w:divBdr>
        <w:top w:val="none" w:sz="0" w:space="0" w:color="auto"/>
        <w:left w:val="none" w:sz="0" w:space="0" w:color="auto"/>
        <w:bottom w:val="none" w:sz="0" w:space="0" w:color="auto"/>
        <w:right w:val="none" w:sz="0" w:space="0" w:color="auto"/>
      </w:divBdr>
    </w:div>
    <w:div w:id="1528981438">
      <w:bodyDiv w:val="1"/>
      <w:marLeft w:val="0"/>
      <w:marRight w:val="0"/>
      <w:marTop w:val="0"/>
      <w:marBottom w:val="0"/>
      <w:divBdr>
        <w:top w:val="none" w:sz="0" w:space="0" w:color="auto"/>
        <w:left w:val="none" w:sz="0" w:space="0" w:color="auto"/>
        <w:bottom w:val="none" w:sz="0" w:space="0" w:color="auto"/>
        <w:right w:val="none" w:sz="0" w:space="0" w:color="auto"/>
      </w:divBdr>
    </w:div>
    <w:div w:id="1550452828">
      <w:bodyDiv w:val="1"/>
      <w:marLeft w:val="0"/>
      <w:marRight w:val="0"/>
      <w:marTop w:val="0"/>
      <w:marBottom w:val="0"/>
      <w:divBdr>
        <w:top w:val="none" w:sz="0" w:space="0" w:color="auto"/>
        <w:left w:val="none" w:sz="0" w:space="0" w:color="auto"/>
        <w:bottom w:val="none" w:sz="0" w:space="0" w:color="auto"/>
        <w:right w:val="none" w:sz="0" w:space="0" w:color="auto"/>
      </w:divBdr>
    </w:div>
    <w:div w:id="1554269876">
      <w:bodyDiv w:val="1"/>
      <w:marLeft w:val="0"/>
      <w:marRight w:val="0"/>
      <w:marTop w:val="0"/>
      <w:marBottom w:val="0"/>
      <w:divBdr>
        <w:top w:val="none" w:sz="0" w:space="0" w:color="auto"/>
        <w:left w:val="none" w:sz="0" w:space="0" w:color="auto"/>
        <w:bottom w:val="none" w:sz="0" w:space="0" w:color="auto"/>
        <w:right w:val="none" w:sz="0" w:space="0" w:color="auto"/>
      </w:divBdr>
    </w:div>
    <w:div w:id="1577090051">
      <w:bodyDiv w:val="1"/>
      <w:marLeft w:val="0"/>
      <w:marRight w:val="0"/>
      <w:marTop w:val="0"/>
      <w:marBottom w:val="0"/>
      <w:divBdr>
        <w:top w:val="none" w:sz="0" w:space="0" w:color="auto"/>
        <w:left w:val="none" w:sz="0" w:space="0" w:color="auto"/>
        <w:bottom w:val="none" w:sz="0" w:space="0" w:color="auto"/>
        <w:right w:val="none" w:sz="0" w:space="0" w:color="auto"/>
      </w:divBdr>
    </w:div>
    <w:div w:id="1592356353">
      <w:bodyDiv w:val="1"/>
      <w:marLeft w:val="45"/>
      <w:marRight w:val="45"/>
      <w:marTop w:val="90"/>
      <w:marBottom w:val="90"/>
      <w:divBdr>
        <w:top w:val="none" w:sz="0" w:space="0" w:color="auto"/>
        <w:left w:val="none" w:sz="0" w:space="0" w:color="auto"/>
        <w:bottom w:val="none" w:sz="0" w:space="0" w:color="auto"/>
        <w:right w:val="none" w:sz="0" w:space="0" w:color="auto"/>
      </w:divBdr>
      <w:divsChild>
        <w:div w:id="1181309981">
          <w:marLeft w:val="0"/>
          <w:marRight w:val="0"/>
          <w:marTop w:val="480"/>
          <w:marBottom w:val="0"/>
          <w:divBdr>
            <w:top w:val="single" w:sz="8" w:space="28" w:color="000000"/>
            <w:left w:val="none" w:sz="0" w:space="0" w:color="auto"/>
            <w:bottom w:val="none" w:sz="0" w:space="0" w:color="auto"/>
            <w:right w:val="none" w:sz="0" w:space="0" w:color="auto"/>
          </w:divBdr>
        </w:div>
      </w:divsChild>
    </w:div>
    <w:div w:id="1592815808">
      <w:bodyDiv w:val="1"/>
      <w:marLeft w:val="0"/>
      <w:marRight w:val="0"/>
      <w:marTop w:val="0"/>
      <w:marBottom w:val="0"/>
      <w:divBdr>
        <w:top w:val="none" w:sz="0" w:space="0" w:color="auto"/>
        <w:left w:val="none" w:sz="0" w:space="0" w:color="auto"/>
        <w:bottom w:val="none" w:sz="0" w:space="0" w:color="auto"/>
        <w:right w:val="none" w:sz="0" w:space="0" w:color="auto"/>
      </w:divBdr>
    </w:div>
    <w:div w:id="1601647777">
      <w:bodyDiv w:val="1"/>
      <w:marLeft w:val="0"/>
      <w:marRight w:val="0"/>
      <w:marTop w:val="0"/>
      <w:marBottom w:val="0"/>
      <w:divBdr>
        <w:top w:val="none" w:sz="0" w:space="0" w:color="auto"/>
        <w:left w:val="none" w:sz="0" w:space="0" w:color="auto"/>
        <w:bottom w:val="none" w:sz="0" w:space="0" w:color="auto"/>
        <w:right w:val="none" w:sz="0" w:space="0" w:color="auto"/>
      </w:divBdr>
    </w:div>
    <w:div w:id="1617366276">
      <w:bodyDiv w:val="1"/>
      <w:marLeft w:val="0"/>
      <w:marRight w:val="0"/>
      <w:marTop w:val="0"/>
      <w:marBottom w:val="0"/>
      <w:divBdr>
        <w:top w:val="none" w:sz="0" w:space="0" w:color="auto"/>
        <w:left w:val="none" w:sz="0" w:space="0" w:color="auto"/>
        <w:bottom w:val="none" w:sz="0" w:space="0" w:color="auto"/>
        <w:right w:val="none" w:sz="0" w:space="0" w:color="auto"/>
      </w:divBdr>
    </w:div>
    <w:div w:id="1627617082">
      <w:bodyDiv w:val="1"/>
      <w:marLeft w:val="0"/>
      <w:marRight w:val="0"/>
      <w:marTop w:val="0"/>
      <w:marBottom w:val="0"/>
      <w:divBdr>
        <w:top w:val="none" w:sz="0" w:space="0" w:color="auto"/>
        <w:left w:val="none" w:sz="0" w:space="0" w:color="auto"/>
        <w:bottom w:val="none" w:sz="0" w:space="0" w:color="auto"/>
        <w:right w:val="none" w:sz="0" w:space="0" w:color="auto"/>
      </w:divBdr>
    </w:div>
    <w:div w:id="1686980807">
      <w:bodyDiv w:val="1"/>
      <w:marLeft w:val="0"/>
      <w:marRight w:val="0"/>
      <w:marTop w:val="0"/>
      <w:marBottom w:val="0"/>
      <w:divBdr>
        <w:top w:val="none" w:sz="0" w:space="0" w:color="auto"/>
        <w:left w:val="none" w:sz="0" w:space="0" w:color="auto"/>
        <w:bottom w:val="none" w:sz="0" w:space="0" w:color="auto"/>
        <w:right w:val="none" w:sz="0" w:space="0" w:color="auto"/>
      </w:divBdr>
    </w:div>
    <w:div w:id="1743671616">
      <w:bodyDiv w:val="1"/>
      <w:marLeft w:val="0"/>
      <w:marRight w:val="0"/>
      <w:marTop w:val="0"/>
      <w:marBottom w:val="0"/>
      <w:divBdr>
        <w:top w:val="none" w:sz="0" w:space="0" w:color="auto"/>
        <w:left w:val="none" w:sz="0" w:space="0" w:color="auto"/>
        <w:bottom w:val="none" w:sz="0" w:space="0" w:color="auto"/>
        <w:right w:val="none" w:sz="0" w:space="0" w:color="auto"/>
      </w:divBdr>
    </w:div>
    <w:div w:id="1781487753">
      <w:bodyDiv w:val="1"/>
      <w:marLeft w:val="0"/>
      <w:marRight w:val="0"/>
      <w:marTop w:val="0"/>
      <w:marBottom w:val="0"/>
      <w:divBdr>
        <w:top w:val="none" w:sz="0" w:space="0" w:color="auto"/>
        <w:left w:val="none" w:sz="0" w:space="0" w:color="auto"/>
        <w:bottom w:val="none" w:sz="0" w:space="0" w:color="auto"/>
        <w:right w:val="none" w:sz="0" w:space="0" w:color="auto"/>
      </w:divBdr>
    </w:div>
    <w:div w:id="1787774750">
      <w:bodyDiv w:val="1"/>
      <w:marLeft w:val="0"/>
      <w:marRight w:val="0"/>
      <w:marTop w:val="0"/>
      <w:marBottom w:val="0"/>
      <w:divBdr>
        <w:top w:val="none" w:sz="0" w:space="0" w:color="auto"/>
        <w:left w:val="none" w:sz="0" w:space="0" w:color="auto"/>
        <w:bottom w:val="none" w:sz="0" w:space="0" w:color="auto"/>
        <w:right w:val="none" w:sz="0" w:space="0" w:color="auto"/>
      </w:divBdr>
    </w:div>
    <w:div w:id="1810129932">
      <w:bodyDiv w:val="1"/>
      <w:marLeft w:val="0"/>
      <w:marRight w:val="0"/>
      <w:marTop w:val="0"/>
      <w:marBottom w:val="0"/>
      <w:divBdr>
        <w:top w:val="none" w:sz="0" w:space="0" w:color="auto"/>
        <w:left w:val="none" w:sz="0" w:space="0" w:color="auto"/>
        <w:bottom w:val="none" w:sz="0" w:space="0" w:color="auto"/>
        <w:right w:val="none" w:sz="0" w:space="0" w:color="auto"/>
      </w:divBdr>
    </w:div>
    <w:div w:id="1823815827">
      <w:bodyDiv w:val="1"/>
      <w:marLeft w:val="0"/>
      <w:marRight w:val="0"/>
      <w:marTop w:val="0"/>
      <w:marBottom w:val="0"/>
      <w:divBdr>
        <w:top w:val="none" w:sz="0" w:space="0" w:color="auto"/>
        <w:left w:val="none" w:sz="0" w:space="0" w:color="auto"/>
        <w:bottom w:val="none" w:sz="0" w:space="0" w:color="auto"/>
        <w:right w:val="none" w:sz="0" w:space="0" w:color="auto"/>
      </w:divBdr>
      <w:divsChild>
        <w:div w:id="1835300224">
          <w:marLeft w:val="0"/>
          <w:marRight w:val="0"/>
          <w:marTop w:val="0"/>
          <w:marBottom w:val="0"/>
          <w:divBdr>
            <w:top w:val="none" w:sz="0" w:space="0" w:color="auto"/>
            <w:left w:val="none" w:sz="0" w:space="0" w:color="auto"/>
            <w:bottom w:val="none" w:sz="0" w:space="0" w:color="auto"/>
            <w:right w:val="none" w:sz="0" w:space="0" w:color="auto"/>
          </w:divBdr>
          <w:divsChild>
            <w:div w:id="1805198281">
              <w:marLeft w:val="0"/>
              <w:marRight w:val="0"/>
              <w:marTop w:val="0"/>
              <w:marBottom w:val="0"/>
              <w:divBdr>
                <w:top w:val="none" w:sz="0" w:space="0" w:color="auto"/>
                <w:left w:val="none" w:sz="0" w:space="0" w:color="auto"/>
                <w:bottom w:val="none" w:sz="0" w:space="0" w:color="auto"/>
                <w:right w:val="none" w:sz="0" w:space="0" w:color="auto"/>
              </w:divBdr>
              <w:divsChild>
                <w:div w:id="19933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8113">
      <w:bodyDiv w:val="1"/>
      <w:marLeft w:val="0"/>
      <w:marRight w:val="0"/>
      <w:marTop w:val="0"/>
      <w:marBottom w:val="0"/>
      <w:divBdr>
        <w:top w:val="none" w:sz="0" w:space="0" w:color="auto"/>
        <w:left w:val="none" w:sz="0" w:space="0" w:color="auto"/>
        <w:bottom w:val="none" w:sz="0" w:space="0" w:color="auto"/>
        <w:right w:val="none" w:sz="0" w:space="0" w:color="auto"/>
      </w:divBdr>
      <w:divsChild>
        <w:div w:id="280577802">
          <w:marLeft w:val="0"/>
          <w:marRight w:val="0"/>
          <w:marTop w:val="0"/>
          <w:marBottom w:val="0"/>
          <w:divBdr>
            <w:top w:val="none" w:sz="0" w:space="0" w:color="auto"/>
            <w:left w:val="none" w:sz="0" w:space="0" w:color="auto"/>
            <w:bottom w:val="none" w:sz="0" w:space="0" w:color="auto"/>
            <w:right w:val="none" w:sz="0" w:space="0" w:color="auto"/>
          </w:divBdr>
          <w:divsChild>
            <w:div w:id="1764302994">
              <w:marLeft w:val="0"/>
              <w:marRight w:val="0"/>
              <w:marTop w:val="0"/>
              <w:marBottom w:val="0"/>
              <w:divBdr>
                <w:top w:val="none" w:sz="0" w:space="0" w:color="auto"/>
                <w:left w:val="none" w:sz="0" w:space="0" w:color="auto"/>
                <w:bottom w:val="none" w:sz="0" w:space="0" w:color="auto"/>
                <w:right w:val="none" w:sz="0" w:space="0" w:color="auto"/>
              </w:divBdr>
              <w:divsChild>
                <w:div w:id="1921140867">
                  <w:marLeft w:val="0"/>
                  <w:marRight w:val="0"/>
                  <w:marTop w:val="0"/>
                  <w:marBottom w:val="0"/>
                  <w:divBdr>
                    <w:top w:val="none" w:sz="0" w:space="0" w:color="auto"/>
                    <w:left w:val="none" w:sz="0" w:space="0" w:color="auto"/>
                    <w:bottom w:val="none" w:sz="0" w:space="0" w:color="auto"/>
                    <w:right w:val="none" w:sz="0" w:space="0" w:color="auto"/>
                  </w:divBdr>
                  <w:divsChild>
                    <w:div w:id="1465998652">
                      <w:marLeft w:val="0"/>
                      <w:marRight w:val="0"/>
                      <w:marTop w:val="0"/>
                      <w:marBottom w:val="0"/>
                      <w:divBdr>
                        <w:top w:val="none" w:sz="0" w:space="0" w:color="auto"/>
                        <w:left w:val="none" w:sz="0" w:space="0" w:color="auto"/>
                        <w:bottom w:val="none" w:sz="0" w:space="0" w:color="auto"/>
                        <w:right w:val="none" w:sz="0" w:space="0" w:color="auto"/>
                      </w:divBdr>
                      <w:divsChild>
                        <w:div w:id="1049916223">
                          <w:marLeft w:val="0"/>
                          <w:marRight w:val="0"/>
                          <w:marTop w:val="0"/>
                          <w:marBottom w:val="0"/>
                          <w:divBdr>
                            <w:top w:val="none" w:sz="0" w:space="0" w:color="auto"/>
                            <w:left w:val="none" w:sz="0" w:space="0" w:color="auto"/>
                            <w:bottom w:val="none" w:sz="0" w:space="0" w:color="auto"/>
                            <w:right w:val="none" w:sz="0" w:space="0" w:color="auto"/>
                          </w:divBdr>
                          <w:divsChild>
                            <w:div w:id="1454129131">
                              <w:marLeft w:val="0"/>
                              <w:marRight w:val="0"/>
                              <w:marTop w:val="0"/>
                              <w:marBottom w:val="0"/>
                              <w:divBdr>
                                <w:top w:val="none" w:sz="0" w:space="0" w:color="auto"/>
                                <w:left w:val="none" w:sz="0" w:space="0" w:color="auto"/>
                                <w:bottom w:val="none" w:sz="0" w:space="0" w:color="auto"/>
                                <w:right w:val="none" w:sz="0" w:space="0" w:color="auto"/>
                              </w:divBdr>
                              <w:divsChild>
                                <w:div w:id="940838949">
                                  <w:marLeft w:val="0"/>
                                  <w:marRight w:val="0"/>
                                  <w:marTop w:val="0"/>
                                  <w:marBottom w:val="0"/>
                                  <w:divBdr>
                                    <w:top w:val="none" w:sz="0" w:space="0" w:color="auto"/>
                                    <w:left w:val="none" w:sz="0" w:space="0" w:color="auto"/>
                                    <w:bottom w:val="none" w:sz="0" w:space="0" w:color="auto"/>
                                    <w:right w:val="none" w:sz="0" w:space="0" w:color="auto"/>
                                  </w:divBdr>
                                  <w:divsChild>
                                    <w:div w:id="1705324529">
                                      <w:marLeft w:val="0"/>
                                      <w:marRight w:val="0"/>
                                      <w:marTop w:val="0"/>
                                      <w:marBottom w:val="0"/>
                                      <w:divBdr>
                                        <w:top w:val="none" w:sz="0" w:space="0" w:color="auto"/>
                                        <w:left w:val="none" w:sz="0" w:space="0" w:color="auto"/>
                                        <w:bottom w:val="none" w:sz="0" w:space="0" w:color="auto"/>
                                        <w:right w:val="none" w:sz="0" w:space="0" w:color="auto"/>
                                      </w:divBdr>
                                      <w:divsChild>
                                        <w:div w:id="1637636101">
                                          <w:marLeft w:val="0"/>
                                          <w:marRight w:val="0"/>
                                          <w:marTop w:val="0"/>
                                          <w:marBottom w:val="0"/>
                                          <w:divBdr>
                                            <w:top w:val="none" w:sz="0" w:space="0" w:color="auto"/>
                                            <w:left w:val="none" w:sz="0" w:space="0" w:color="auto"/>
                                            <w:bottom w:val="none" w:sz="0" w:space="0" w:color="auto"/>
                                            <w:right w:val="none" w:sz="0" w:space="0" w:color="auto"/>
                                          </w:divBdr>
                                          <w:divsChild>
                                            <w:div w:id="1888906343">
                                              <w:marLeft w:val="0"/>
                                              <w:marRight w:val="0"/>
                                              <w:marTop w:val="0"/>
                                              <w:marBottom w:val="0"/>
                                              <w:divBdr>
                                                <w:top w:val="none" w:sz="0" w:space="0" w:color="auto"/>
                                                <w:left w:val="none" w:sz="0" w:space="0" w:color="auto"/>
                                                <w:bottom w:val="none" w:sz="0" w:space="0" w:color="auto"/>
                                                <w:right w:val="none" w:sz="0" w:space="0" w:color="auto"/>
                                              </w:divBdr>
                                              <w:divsChild>
                                                <w:div w:id="1973094110">
                                                  <w:marLeft w:val="0"/>
                                                  <w:marRight w:val="0"/>
                                                  <w:marTop w:val="0"/>
                                                  <w:marBottom w:val="0"/>
                                                  <w:divBdr>
                                                    <w:top w:val="none" w:sz="0" w:space="0" w:color="auto"/>
                                                    <w:left w:val="none" w:sz="0" w:space="0" w:color="auto"/>
                                                    <w:bottom w:val="none" w:sz="0" w:space="0" w:color="auto"/>
                                                    <w:right w:val="none" w:sz="0" w:space="0" w:color="auto"/>
                                                  </w:divBdr>
                                                  <w:divsChild>
                                                    <w:div w:id="410198959">
                                                      <w:marLeft w:val="0"/>
                                                      <w:marRight w:val="0"/>
                                                      <w:marTop w:val="0"/>
                                                      <w:marBottom w:val="0"/>
                                                      <w:divBdr>
                                                        <w:top w:val="none" w:sz="0" w:space="0" w:color="auto"/>
                                                        <w:left w:val="none" w:sz="0" w:space="0" w:color="auto"/>
                                                        <w:bottom w:val="none" w:sz="0" w:space="0" w:color="auto"/>
                                                        <w:right w:val="none" w:sz="0" w:space="0" w:color="auto"/>
                                                      </w:divBdr>
                                                      <w:divsChild>
                                                        <w:div w:id="1072436202">
                                                          <w:marLeft w:val="0"/>
                                                          <w:marRight w:val="0"/>
                                                          <w:marTop w:val="0"/>
                                                          <w:marBottom w:val="0"/>
                                                          <w:divBdr>
                                                            <w:top w:val="none" w:sz="0" w:space="0" w:color="auto"/>
                                                            <w:left w:val="none" w:sz="0" w:space="0" w:color="auto"/>
                                                            <w:bottom w:val="none" w:sz="0" w:space="0" w:color="auto"/>
                                                            <w:right w:val="none" w:sz="0" w:space="0" w:color="auto"/>
                                                          </w:divBdr>
                                                          <w:divsChild>
                                                            <w:div w:id="740523665">
                                                              <w:marLeft w:val="0"/>
                                                              <w:marRight w:val="0"/>
                                                              <w:marTop w:val="0"/>
                                                              <w:marBottom w:val="0"/>
                                                              <w:divBdr>
                                                                <w:top w:val="none" w:sz="0" w:space="0" w:color="auto"/>
                                                                <w:left w:val="none" w:sz="0" w:space="0" w:color="auto"/>
                                                                <w:bottom w:val="none" w:sz="0" w:space="0" w:color="auto"/>
                                                                <w:right w:val="none" w:sz="0" w:space="0" w:color="auto"/>
                                                              </w:divBdr>
                                                              <w:divsChild>
                                                                <w:div w:id="552431054">
                                                                  <w:marLeft w:val="0"/>
                                                                  <w:marRight w:val="0"/>
                                                                  <w:marTop w:val="0"/>
                                                                  <w:marBottom w:val="0"/>
                                                                  <w:divBdr>
                                                                    <w:top w:val="none" w:sz="0" w:space="0" w:color="auto"/>
                                                                    <w:left w:val="none" w:sz="0" w:space="0" w:color="auto"/>
                                                                    <w:bottom w:val="none" w:sz="0" w:space="0" w:color="auto"/>
                                                                    <w:right w:val="none" w:sz="0" w:space="0" w:color="auto"/>
                                                                  </w:divBdr>
                                                                  <w:divsChild>
                                                                    <w:div w:id="779110813">
                                                                      <w:marLeft w:val="0"/>
                                                                      <w:marRight w:val="0"/>
                                                                      <w:marTop w:val="0"/>
                                                                      <w:marBottom w:val="0"/>
                                                                      <w:divBdr>
                                                                        <w:top w:val="none" w:sz="0" w:space="0" w:color="auto"/>
                                                                        <w:left w:val="none" w:sz="0" w:space="0" w:color="auto"/>
                                                                        <w:bottom w:val="none" w:sz="0" w:space="0" w:color="auto"/>
                                                                        <w:right w:val="none" w:sz="0" w:space="0" w:color="auto"/>
                                                                      </w:divBdr>
                                                                      <w:divsChild>
                                                                        <w:div w:id="7497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4487">
      <w:bodyDiv w:val="1"/>
      <w:marLeft w:val="0"/>
      <w:marRight w:val="0"/>
      <w:marTop w:val="0"/>
      <w:marBottom w:val="0"/>
      <w:divBdr>
        <w:top w:val="none" w:sz="0" w:space="0" w:color="auto"/>
        <w:left w:val="none" w:sz="0" w:space="0" w:color="auto"/>
        <w:bottom w:val="none" w:sz="0" w:space="0" w:color="auto"/>
        <w:right w:val="none" w:sz="0" w:space="0" w:color="auto"/>
      </w:divBdr>
    </w:div>
    <w:div w:id="1845896523">
      <w:bodyDiv w:val="1"/>
      <w:marLeft w:val="0"/>
      <w:marRight w:val="0"/>
      <w:marTop w:val="0"/>
      <w:marBottom w:val="0"/>
      <w:divBdr>
        <w:top w:val="none" w:sz="0" w:space="0" w:color="auto"/>
        <w:left w:val="none" w:sz="0" w:space="0" w:color="auto"/>
        <w:bottom w:val="none" w:sz="0" w:space="0" w:color="auto"/>
        <w:right w:val="none" w:sz="0" w:space="0" w:color="auto"/>
      </w:divBdr>
    </w:div>
    <w:div w:id="1869878151">
      <w:bodyDiv w:val="1"/>
      <w:marLeft w:val="0"/>
      <w:marRight w:val="0"/>
      <w:marTop w:val="0"/>
      <w:marBottom w:val="0"/>
      <w:divBdr>
        <w:top w:val="none" w:sz="0" w:space="0" w:color="auto"/>
        <w:left w:val="none" w:sz="0" w:space="0" w:color="auto"/>
        <w:bottom w:val="none" w:sz="0" w:space="0" w:color="auto"/>
        <w:right w:val="none" w:sz="0" w:space="0" w:color="auto"/>
      </w:divBdr>
    </w:div>
    <w:div w:id="1894076308">
      <w:bodyDiv w:val="1"/>
      <w:marLeft w:val="0"/>
      <w:marRight w:val="0"/>
      <w:marTop w:val="0"/>
      <w:marBottom w:val="0"/>
      <w:divBdr>
        <w:top w:val="none" w:sz="0" w:space="0" w:color="auto"/>
        <w:left w:val="none" w:sz="0" w:space="0" w:color="auto"/>
        <w:bottom w:val="none" w:sz="0" w:space="0" w:color="auto"/>
        <w:right w:val="none" w:sz="0" w:space="0" w:color="auto"/>
      </w:divBdr>
    </w:div>
    <w:div w:id="1915703397">
      <w:bodyDiv w:val="1"/>
      <w:marLeft w:val="0"/>
      <w:marRight w:val="0"/>
      <w:marTop w:val="0"/>
      <w:marBottom w:val="0"/>
      <w:divBdr>
        <w:top w:val="none" w:sz="0" w:space="0" w:color="auto"/>
        <w:left w:val="none" w:sz="0" w:space="0" w:color="auto"/>
        <w:bottom w:val="none" w:sz="0" w:space="0" w:color="auto"/>
        <w:right w:val="none" w:sz="0" w:space="0" w:color="auto"/>
      </w:divBdr>
    </w:div>
    <w:div w:id="1917781921">
      <w:bodyDiv w:val="1"/>
      <w:marLeft w:val="0"/>
      <w:marRight w:val="0"/>
      <w:marTop w:val="0"/>
      <w:marBottom w:val="0"/>
      <w:divBdr>
        <w:top w:val="none" w:sz="0" w:space="0" w:color="auto"/>
        <w:left w:val="none" w:sz="0" w:space="0" w:color="auto"/>
        <w:bottom w:val="none" w:sz="0" w:space="0" w:color="auto"/>
        <w:right w:val="none" w:sz="0" w:space="0" w:color="auto"/>
      </w:divBdr>
      <w:divsChild>
        <w:div w:id="860241263">
          <w:marLeft w:val="0"/>
          <w:marRight w:val="0"/>
          <w:marTop w:val="0"/>
          <w:marBottom w:val="0"/>
          <w:divBdr>
            <w:top w:val="none" w:sz="0" w:space="0" w:color="auto"/>
            <w:left w:val="none" w:sz="0" w:space="0" w:color="auto"/>
            <w:bottom w:val="none" w:sz="0" w:space="0" w:color="auto"/>
            <w:right w:val="none" w:sz="0" w:space="0" w:color="auto"/>
          </w:divBdr>
          <w:divsChild>
            <w:div w:id="1477647163">
              <w:marLeft w:val="0"/>
              <w:marRight w:val="0"/>
              <w:marTop w:val="0"/>
              <w:marBottom w:val="0"/>
              <w:divBdr>
                <w:top w:val="none" w:sz="0" w:space="0" w:color="auto"/>
                <w:left w:val="none" w:sz="0" w:space="0" w:color="auto"/>
                <w:bottom w:val="none" w:sz="0" w:space="0" w:color="auto"/>
                <w:right w:val="none" w:sz="0" w:space="0" w:color="auto"/>
              </w:divBdr>
              <w:divsChild>
                <w:div w:id="1580289672">
                  <w:marLeft w:val="0"/>
                  <w:marRight w:val="0"/>
                  <w:marTop w:val="0"/>
                  <w:marBottom w:val="0"/>
                  <w:divBdr>
                    <w:top w:val="none" w:sz="0" w:space="0" w:color="auto"/>
                    <w:left w:val="none" w:sz="0" w:space="0" w:color="auto"/>
                    <w:bottom w:val="none" w:sz="0" w:space="0" w:color="auto"/>
                    <w:right w:val="none" w:sz="0" w:space="0" w:color="auto"/>
                  </w:divBdr>
                  <w:divsChild>
                    <w:div w:id="256252338">
                      <w:marLeft w:val="0"/>
                      <w:marRight w:val="0"/>
                      <w:marTop w:val="0"/>
                      <w:marBottom w:val="0"/>
                      <w:divBdr>
                        <w:top w:val="none" w:sz="0" w:space="0" w:color="auto"/>
                        <w:left w:val="none" w:sz="0" w:space="0" w:color="auto"/>
                        <w:bottom w:val="none" w:sz="0" w:space="0" w:color="auto"/>
                        <w:right w:val="none" w:sz="0" w:space="0" w:color="auto"/>
                      </w:divBdr>
                      <w:divsChild>
                        <w:div w:id="509223368">
                          <w:marLeft w:val="0"/>
                          <w:marRight w:val="0"/>
                          <w:marTop w:val="0"/>
                          <w:marBottom w:val="0"/>
                          <w:divBdr>
                            <w:top w:val="none" w:sz="0" w:space="0" w:color="auto"/>
                            <w:left w:val="none" w:sz="0" w:space="0" w:color="auto"/>
                            <w:bottom w:val="none" w:sz="0" w:space="0" w:color="auto"/>
                            <w:right w:val="none" w:sz="0" w:space="0" w:color="auto"/>
                          </w:divBdr>
                          <w:divsChild>
                            <w:div w:id="658844125">
                              <w:marLeft w:val="0"/>
                              <w:marRight w:val="0"/>
                              <w:marTop w:val="0"/>
                              <w:marBottom w:val="0"/>
                              <w:divBdr>
                                <w:top w:val="none" w:sz="0" w:space="0" w:color="auto"/>
                                <w:left w:val="none" w:sz="0" w:space="0" w:color="auto"/>
                                <w:bottom w:val="none" w:sz="0" w:space="0" w:color="auto"/>
                                <w:right w:val="none" w:sz="0" w:space="0" w:color="auto"/>
                              </w:divBdr>
                              <w:divsChild>
                                <w:div w:id="1133212958">
                                  <w:marLeft w:val="0"/>
                                  <w:marRight w:val="0"/>
                                  <w:marTop w:val="0"/>
                                  <w:marBottom w:val="0"/>
                                  <w:divBdr>
                                    <w:top w:val="none" w:sz="0" w:space="0" w:color="auto"/>
                                    <w:left w:val="none" w:sz="0" w:space="0" w:color="auto"/>
                                    <w:bottom w:val="none" w:sz="0" w:space="0" w:color="auto"/>
                                    <w:right w:val="none" w:sz="0" w:space="0" w:color="auto"/>
                                  </w:divBdr>
                                  <w:divsChild>
                                    <w:div w:id="220988061">
                                      <w:marLeft w:val="0"/>
                                      <w:marRight w:val="0"/>
                                      <w:marTop w:val="0"/>
                                      <w:marBottom w:val="0"/>
                                      <w:divBdr>
                                        <w:top w:val="none" w:sz="0" w:space="0" w:color="auto"/>
                                        <w:left w:val="none" w:sz="0" w:space="0" w:color="auto"/>
                                        <w:bottom w:val="none" w:sz="0" w:space="0" w:color="auto"/>
                                        <w:right w:val="none" w:sz="0" w:space="0" w:color="auto"/>
                                      </w:divBdr>
                                      <w:divsChild>
                                        <w:div w:id="1769036576">
                                          <w:marLeft w:val="0"/>
                                          <w:marRight w:val="0"/>
                                          <w:marTop w:val="0"/>
                                          <w:marBottom w:val="0"/>
                                          <w:divBdr>
                                            <w:top w:val="none" w:sz="0" w:space="0" w:color="auto"/>
                                            <w:left w:val="none" w:sz="0" w:space="0" w:color="auto"/>
                                            <w:bottom w:val="none" w:sz="0" w:space="0" w:color="auto"/>
                                            <w:right w:val="none" w:sz="0" w:space="0" w:color="auto"/>
                                          </w:divBdr>
                                          <w:divsChild>
                                            <w:div w:id="1104351096">
                                              <w:marLeft w:val="0"/>
                                              <w:marRight w:val="0"/>
                                              <w:marTop w:val="0"/>
                                              <w:marBottom w:val="0"/>
                                              <w:divBdr>
                                                <w:top w:val="none" w:sz="0" w:space="0" w:color="auto"/>
                                                <w:left w:val="none" w:sz="0" w:space="0" w:color="auto"/>
                                                <w:bottom w:val="none" w:sz="0" w:space="0" w:color="auto"/>
                                                <w:right w:val="none" w:sz="0" w:space="0" w:color="auto"/>
                                              </w:divBdr>
                                              <w:divsChild>
                                                <w:div w:id="691734226">
                                                  <w:marLeft w:val="0"/>
                                                  <w:marRight w:val="0"/>
                                                  <w:marTop w:val="0"/>
                                                  <w:marBottom w:val="0"/>
                                                  <w:divBdr>
                                                    <w:top w:val="none" w:sz="0" w:space="0" w:color="auto"/>
                                                    <w:left w:val="none" w:sz="0" w:space="0" w:color="auto"/>
                                                    <w:bottom w:val="none" w:sz="0" w:space="0" w:color="auto"/>
                                                    <w:right w:val="none" w:sz="0" w:space="0" w:color="auto"/>
                                                  </w:divBdr>
                                                  <w:divsChild>
                                                    <w:div w:id="1085689479">
                                                      <w:marLeft w:val="0"/>
                                                      <w:marRight w:val="0"/>
                                                      <w:marTop w:val="0"/>
                                                      <w:marBottom w:val="0"/>
                                                      <w:divBdr>
                                                        <w:top w:val="none" w:sz="0" w:space="0" w:color="auto"/>
                                                        <w:left w:val="none" w:sz="0" w:space="0" w:color="auto"/>
                                                        <w:bottom w:val="none" w:sz="0" w:space="0" w:color="auto"/>
                                                        <w:right w:val="none" w:sz="0" w:space="0" w:color="auto"/>
                                                      </w:divBdr>
                                                      <w:divsChild>
                                                        <w:div w:id="921257373">
                                                          <w:marLeft w:val="0"/>
                                                          <w:marRight w:val="0"/>
                                                          <w:marTop w:val="0"/>
                                                          <w:marBottom w:val="0"/>
                                                          <w:divBdr>
                                                            <w:top w:val="none" w:sz="0" w:space="0" w:color="auto"/>
                                                            <w:left w:val="none" w:sz="0" w:space="0" w:color="auto"/>
                                                            <w:bottom w:val="none" w:sz="0" w:space="0" w:color="auto"/>
                                                            <w:right w:val="none" w:sz="0" w:space="0" w:color="auto"/>
                                                          </w:divBdr>
                                                          <w:divsChild>
                                                            <w:div w:id="1720473778">
                                                              <w:marLeft w:val="0"/>
                                                              <w:marRight w:val="0"/>
                                                              <w:marTop w:val="0"/>
                                                              <w:marBottom w:val="0"/>
                                                              <w:divBdr>
                                                                <w:top w:val="none" w:sz="0" w:space="0" w:color="auto"/>
                                                                <w:left w:val="none" w:sz="0" w:space="0" w:color="auto"/>
                                                                <w:bottom w:val="none" w:sz="0" w:space="0" w:color="auto"/>
                                                                <w:right w:val="none" w:sz="0" w:space="0" w:color="auto"/>
                                                              </w:divBdr>
                                                              <w:divsChild>
                                                                <w:div w:id="1620642936">
                                                                  <w:marLeft w:val="0"/>
                                                                  <w:marRight w:val="0"/>
                                                                  <w:marTop w:val="0"/>
                                                                  <w:marBottom w:val="0"/>
                                                                  <w:divBdr>
                                                                    <w:top w:val="none" w:sz="0" w:space="0" w:color="auto"/>
                                                                    <w:left w:val="none" w:sz="0" w:space="0" w:color="auto"/>
                                                                    <w:bottom w:val="none" w:sz="0" w:space="0" w:color="auto"/>
                                                                    <w:right w:val="none" w:sz="0" w:space="0" w:color="auto"/>
                                                                  </w:divBdr>
                                                                  <w:divsChild>
                                                                    <w:div w:id="1229799511">
                                                                      <w:marLeft w:val="0"/>
                                                                      <w:marRight w:val="0"/>
                                                                      <w:marTop w:val="0"/>
                                                                      <w:marBottom w:val="0"/>
                                                                      <w:divBdr>
                                                                        <w:top w:val="none" w:sz="0" w:space="0" w:color="auto"/>
                                                                        <w:left w:val="none" w:sz="0" w:space="0" w:color="auto"/>
                                                                        <w:bottom w:val="none" w:sz="0" w:space="0" w:color="auto"/>
                                                                        <w:right w:val="none" w:sz="0" w:space="0" w:color="auto"/>
                                                                      </w:divBdr>
                                                                      <w:divsChild>
                                                                        <w:div w:id="1269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329520">
      <w:bodyDiv w:val="1"/>
      <w:marLeft w:val="0"/>
      <w:marRight w:val="0"/>
      <w:marTop w:val="0"/>
      <w:marBottom w:val="0"/>
      <w:divBdr>
        <w:top w:val="none" w:sz="0" w:space="0" w:color="auto"/>
        <w:left w:val="none" w:sz="0" w:space="0" w:color="auto"/>
        <w:bottom w:val="none" w:sz="0" w:space="0" w:color="auto"/>
        <w:right w:val="none" w:sz="0" w:space="0" w:color="auto"/>
      </w:divBdr>
    </w:div>
    <w:div w:id="1925795292">
      <w:bodyDiv w:val="1"/>
      <w:marLeft w:val="0"/>
      <w:marRight w:val="0"/>
      <w:marTop w:val="0"/>
      <w:marBottom w:val="0"/>
      <w:divBdr>
        <w:top w:val="none" w:sz="0" w:space="0" w:color="auto"/>
        <w:left w:val="none" w:sz="0" w:space="0" w:color="auto"/>
        <w:bottom w:val="none" w:sz="0" w:space="0" w:color="auto"/>
        <w:right w:val="none" w:sz="0" w:space="0" w:color="auto"/>
      </w:divBdr>
    </w:div>
    <w:div w:id="1929003882">
      <w:bodyDiv w:val="1"/>
      <w:marLeft w:val="0"/>
      <w:marRight w:val="0"/>
      <w:marTop w:val="0"/>
      <w:marBottom w:val="0"/>
      <w:divBdr>
        <w:top w:val="none" w:sz="0" w:space="0" w:color="auto"/>
        <w:left w:val="none" w:sz="0" w:space="0" w:color="auto"/>
        <w:bottom w:val="none" w:sz="0" w:space="0" w:color="auto"/>
        <w:right w:val="none" w:sz="0" w:space="0" w:color="auto"/>
      </w:divBdr>
    </w:div>
    <w:div w:id="1951088970">
      <w:bodyDiv w:val="1"/>
      <w:marLeft w:val="0"/>
      <w:marRight w:val="0"/>
      <w:marTop w:val="0"/>
      <w:marBottom w:val="0"/>
      <w:divBdr>
        <w:top w:val="none" w:sz="0" w:space="0" w:color="auto"/>
        <w:left w:val="none" w:sz="0" w:space="0" w:color="auto"/>
        <w:bottom w:val="none" w:sz="0" w:space="0" w:color="auto"/>
        <w:right w:val="none" w:sz="0" w:space="0" w:color="auto"/>
      </w:divBdr>
    </w:div>
    <w:div w:id="1951551610">
      <w:bodyDiv w:val="1"/>
      <w:marLeft w:val="0"/>
      <w:marRight w:val="0"/>
      <w:marTop w:val="0"/>
      <w:marBottom w:val="0"/>
      <w:divBdr>
        <w:top w:val="none" w:sz="0" w:space="0" w:color="auto"/>
        <w:left w:val="none" w:sz="0" w:space="0" w:color="auto"/>
        <w:bottom w:val="none" w:sz="0" w:space="0" w:color="auto"/>
        <w:right w:val="none" w:sz="0" w:space="0" w:color="auto"/>
      </w:divBdr>
    </w:div>
    <w:div w:id="1964261149">
      <w:bodyDiv w:val="1"/>
      <w:marLeft w:val="0"/>
      <w:marRight w:val="0"/>
      <w:marTop w:val="0"/>
      <w:marBottom w:val="0"/>
      <w:divBdr>
        <w:top w:val="none" w:sz="0" w:space="0" w:color="auto"/>
        <w:left w:val="none" w:sz="0" w:space="0" w:color="auto"/>
        <w:bottom w:val="none" w:sz="0" w:space="0" w:color="auto"/>
        <w:right w:val="none" w:sz="0" w:space="0" w:color="auto"/>
      </w:divBdr>
    </w:div>
    <w:div w:id="1966422826">
      <w:bodyDiv w:val="1"/>
      <w:marLeft w:val="0"/>
      <w:marRight w:val="0"/>
      <w:marTop w:val="0"/>
      <w:marBottom w:val="0"/>
      <w:divBdr>
        <w:top w:val="none" w:sz="0" w:space="0" w:color="auto"/>
        <w:left w:val="none" w:sz="0" w:space="0" w:color="auto"/>
        <w:bottom w:val="none" w:sz="0" w:space="0" w:color="auto"/>
        <w:right w:val="none" w:sz="0" w:space="0" w:color="auto"/>
      </w:divBdr>
    </w:div>
    <w:div w:id="2007708588">
      <w:bodyDiv w:val="1"/>
      <w:marLeft w:val="0"/>
      <w:marRight w:val="0"/>
      <w:marTop w:val="0"/>
      <w:marBottom w:val="0"/>
      <w:divBdr>
        <w:top w:val="none" w:sz="0" w:space="0" w:color="auto"/>
        <w:left w:val="none" w:sz="0" w:space="0" w:color="auto"/>
        <w:bottom w:val="none" w:sz="0" w:space="0" w:color="auto"/>
        <w:right w:val="none" w:sz="0" w:space="0" w:color="auto"/>
      </w:divBdr>
    </w:div>
    <w:div w:id="2017421764">
      <w:bodyDiv w:val="1"/>
      <w:marLeft w:val="0"/>
      <w:marRight w:val="0"/>
      <w:marTop w:val="0"/>
      <w:marBottom w:val="0"/>
      <w:divBdr>
        <w:top w:val="none" w:sz="0" w:space="0" w:color="auto"/>
        <w:left w:val="none" w:sz="0" w:space="0" w:color="auto"/>
        <w:bottom w:val="none" w:sz="0" w:space="0" w:color="auto"/>
        <w:right w:val="none" w:sz="0" w:space="0" w:color="auto"/>
      </w:divBdr>
    </w:div>
    <w:div w:id="2022268702">
      <w:bodyDiv w:val="1"/>
      <w:marLeft w:val="0"/>
      <w:marRight w:val="0"/>
      <w:marTop w:val="0"/>
      <w:marBottom w:val="0"/>
      <w:divBdr>
        <w:top w:val="none" w:sz="0" w:space="0" w:color="auto"/>
        <w:left w:val="none" w:sz="0" w:space="0" w:color="auto"/>
        <w:bottom w:val="none" w:sz="0" w:space="0" w:color="auto"/>
        <w:right w:val="none" w:sz="0" w:space="0" w:color="auto"/>
      </w:divBdr>
    </w:div>
    <w:div w:id="2026052499">
      <w:bodyDiv w:val="1"/>
      <w:marLeft w:val="0"/>
      <w:marRight w:val="0"/>
      <w:marTop w:val="0"/>
      <w:marBottom w:val="0"/>
      <w:divBdr>
        <w:top w:val="none" w:sz="0" w:space="0" w:color="auto"/>
        <w:left w:val="none" w:sz="0" w:space="0" w:color="auto"/>
        <w:bottom w:val="none" w:sz="0" w:space="0" w:color="auto"/>
        <w:right w:val="none" w:sz="0" w:space="0" w:color="auto"/>
      </w:divBdr>
    </w:div>
    <w:div w:id="2034067320">
      <w:bodyDiv w:val="1"/>
      <w:marLeft w:val="0"/>
      <w:marRight w:val="0"/>
      <w:marTop w:val="0"/>
      <w:marBottom w:val="0"/>
      <w:divBdr>
        <w:top w:val="none" w:sz="0" w:space="0" w:color="auto"/>
        <w:left w:val="none" w:sz="0" w:space="0" w:color="auto"/>
        <w:bottom w:val="none" w:sz="0" w:space="0" w:color="auto"/>
        <w:right w:val="none" w:sz="0" w:space="0" w:color="auto"/>
      </w:divBdr>
    </w:div>
    <w:div w:id="2080206571">
      <w:bodyDiv w:val="1"/>
      <w:marLeft w:val="0"/>
      <w:marRight w:val="0"/>
      <w:marTop w:val="0"/>
      <w:marBottom w:val="0"/>
      <w:divBdr>
        <w:top w:val="none" w:sz="0" w:space="0" w:color="auto"/>
        <w:left w:val="none" w:sz="0" w:space="0" w:color="auto"/>
        <w:bottom w:val="none" w:sz="0" w:space="0" w:color="auto"/>
        <w:right w:val="none" w:sz="0" w:space="0" w:color="auto"/>
      </w:divBdr>
    </w:div>
    <w:div w:id="2082629805">
      <w:bodyDiv w:val="1"/>
      <w:marLeft w:val="0"/>
      <w:marRight w:val="0"/>
      <w:marTop w:val="0"/>
      <w:marBottom w:val="0"/>
      <w:divBdr>
        <w:top w:val="none" w:sz="0" w:space="0" w:color="auto"/>
        <w:left w:val="none" w:sz="0" w:space="0" w:color="auto"/>
        <w:bottom w:val="none" w:sz="0" w:space="0" w:color="auto"/>
        <w:right w:val="none" w:sz="0" w:space="0" w:color="auto"/>
      </w:divBdr>
    </w:div>
    <w:div w:id="2088726739">
      <w:bodyDiv w:val="1"/>
      <w:marLeft w:val="0"/>
      <w:marRight w:val="0"/>
      <w:marTop w:val="0"/>
      <w:marBottom w:val="0"/>
      <w:divBdr>
        <w:top w:val="none" w:sz="0" w:space="0" w:color="auto"/>
        <w:left w:val="none" w:sz="0" w:space="0" w:color="auto"/>
        <w:bottom w:val="none" w:sz="0" w:space="0" w:color="auto"/>
        <w:right w:val="none" w:sz="0" w:space="0" w:color="auto"/>
      </w:divBdr>
      <w:divsChild>
        <w:div w:id="1902770">
          <w:marLeft w:val="994"/>
          <w:marRight w:val="0"/>
          <w:marTop w:val="0"/>
          <w:marBottom w:val="0"/>
          <w:divBdr>
            <w:top w:val="none" w:sz="0" w:space="0" w:color="auto"/>
            <w:left w:val="none" w:sz="0" w:space="0" w:color="auto"/>
            <w:bottom w:val="none" w:sz="0" w:space="0" w:color="auto"/>
            <w:right w:val="none" w:sz="0" w:space="0" w:color="auto"/>
          </w:divBdr>
        </w:div>
        <w:div w:id="729697459">
          <w:marLeft w:val="994"/>
          <w:marRight w:val="0"/>
          <w:marTop w:val="0"/>
          <w:marBottom w:val="0"/>
          <w:divBdr>
            <w:top w:val="none" w:sz="0" w:space="0" w:color="auto"/>
            <w:left w:val="none" w:sz="0" w:space="0" w:color="auto"/>
            <w:bottom w:val="none" w:sz="0" w:space="0" w:color="auto"/>
            <w:right w:val="none" w:sz="0" w:space="0" w:color="auto"/>
          </w:divBdr>
        </w:div>
      </w:divsChild>
    </w:div>
    <w:div w:id="2119835028">
      <w:bodyDiv w:val="1"/>
      <w:marLeft w:val="0"/>
      <w:marRight w:val="0"/>
      <w:marTop w:val="0"/>
      <w:marBottom w:val="0"/>
      <w:divBdr>
        <w:top w:val="none" w:sz="0" w:space="0" w:color="auto"/>
        <w:left w:val="none" w:sz="0" w:space="0" w:color="auto"/>
        <w:bottom w:val="none" w:sz="0" w:space="0" w:color="auto"/>
        <w:right w:val="none" w:sz="0" w:space="0" w:color="auto"/>
      </w:divBdr>
    </w:div>
    <w:div w:id="21380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microsoft.com/office/2007/relationships/diagramDrawing" Target="diagrams/drawing1.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polsis.mk.gov.lv/view.do?id=357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diagramColors" Target="diagrams/colors1.xml"/><Relationship Id="rId33" Type="http://schemas.openxmlformats.org/officeDocument/2006/relationships/hyperlink" Target="http://polsis.mk.gov.lv/LoadAtt/file16856.do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diagramQuickStyle" Target="diagrams/quickStyle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diagramQuickStyle" Target="diagrams/quickStyle1.xml"/><Relationship Id="rId32" Type="http://schemas.openxmlformats.org/officeDocument/2006/relationships/hyperlink" Target="http://polsis.mk.gov.lv/LoadAtt/file16856.doc" TargetMode="External"/><Relationship Id="rId37" Type="http://schemas.openxmlformats.org/officeDocument/2006/relationships/hyperlink" Target="http://polsis.mk.gov.lv/view.do?id=2003"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openxmlformats.org/officeDocument/2006/relationships/hyperlink" Target="http://polsis.mk.gov.lv/view.do?id=2003" TargetMode="External"/><Relationship Id="rId10" Type="http://schemas.openxmlformats.org/officeDocument/2006/relationships/chart" Target="charts/chart2.xml"/><Relationship Id="rId19" Type="http://schemas.openxmlformats.org/officeDocument/2006/relationships/chart" Target="charts/chart11.xml"/><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http://polsis.mk.gov.lv/view.do?id=20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zechinvest.org/en" TargetMode="External"/><Relationship Id="rId3" Type="http://schemas.openxmlformats.org/officeDocument/2006/relationships/hyperlink" Target="http://www.weforum.org/issues/global-competitiveness" TargetMode="External"/><Relationship Id="rId7" Type="http://schemas.openxmlformats.org/officeDocument/2006/relationships/hyperlink" Target="http://www.mk.gov.lv/file/files/ESfondi/2012/latvijas_konkuretspejas_novertejums_final.pdf" TargetMode="External"/><Relationship Id="rId2" Type="http://schemas.openxmlformats.org/officeDocument/2006/relationships/hyperlink" Target="http://ec.europa.eu/enterprise/policies/innovation/files/ius-2013_en.pdf" TargetMode="External"/><Relationship Id="rId1" Type="http://schemas.openxmlformats.org/officeDocument/2006/relationships/hyperlink" Target="http://www.mk.gov.lv/file/files/ESfondi/2012/latvijas_konkuretspejas_novertejums_final.pdf" TargetMode="External"/><Relationship Id="rId6" Type="http://schemas.openxmlformats.org/officeDocument/2006/relationships/hyperlink" Target="http://www.em.gov.lv/images/modules/items/23032012.pdf" TargetMode="External"/><Relationship Id="rId11" Type="http://schemas.openxmlformats.org/officeDocument/2006/relationships/hyperlink" Target="http://www.investinestonia.com/en/Investment-guide/" TargetMode="External"/><Relationship Id="rId5" Type="http://schemas.openxmlformats.org/officeDocument/2006/relationships/hyperlink" Target="http://www.heritage.org/index/country/latvia" TargetMode="External"/><Relationship Id="rId10" Type="http://schemas.openxmlformats.org/officeDocument/2006/relationships/hyperlink" Target="http://www.business-sweden.se/en/Invest/" TargetMode="External"/><Relationship Id="rId4" Type="http://schemas.openxmlformats.org/officeDocument/2006/relationships/hyperlink" Target="http://doingbusiness.org/" TargetMode="External"/><Relationship Id="rId9" Type="http://schemas.openxmlformats.org/officeDocument/2006/relationships/hyperlink" Target="http://www.paiz.gov.pl/why_polan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518830307370534E-2"/>
          <c:y val="2.7126669279655083E-2"/>
          <c:w val="0.94048116969262108"/>
          <c:h val="0.82670809874171691"/>
        </c:manualLayout>
      </c:layout>
      <c:lineChart>
        <c:grouping val="standard"/>
        <c:varyColors val="0"/>
        <c:ser>
          <c:idx val="1"/>
          <c:order val="0"/>
          <c:tx>
            <c:strRef>
              <c:f>Sheet1!$A$3</c:f>
              <c:strCache>
                <c:ptCount val="1"/>
                <c:pt idx="0">
                  <c:v>Eksports</c:v>
                </c:pt>
              </c:strCache>
            </c:strRef>
          </c:tx>
          <c:spPr>
            <a:ln w="25400">
              <a:solidFill>
                <a:sysClr val="windowText" lastClr="000000"/>
              </a:solidFill>
              <a:prstDash val="solid"/>
            </a:ln>
          </c:spPr>
          <c:marker>
            <c:symbol val="none"/>
          </c:marker>
          <c:cat>
            <c:multiLvlStrRef>
              <c:f>Sheet1!$B$1:$AC$2</c:f>
              <c:multiLvlStrCache>
                <c:ptCount val="2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lvl>
                <c:lvl>
                  <c:pt idx="0">
                    <c:v>2006</c:v>
                  </c:pt>
                  <c:pt idx="4">
                    <c:v>2007</c:v>
                  </c:pt>
                  <c:pt idx="8">
                    <c:v>2008</c:v>
                  </c:pt>
                  <c:pt idx="12">
                    <c:v>2009</c:v>
                  </c:pt>
                  <c:pt idx="16">
                    <c:v>2010</c:v>
                  </c:pt>
                  <c:pt idx="20">
                    <c:v>2011</c:v>
                  </c:pt>
                  <c:pt idx="24">
                    <c:v>2012</c:v>
                  </c:pt>
                </c:lvl>
              </c:multiLvlStrCache>
            </c:multiLvlStrRef>
          </c:cat>
          <c:val>
            <c:numRef>
              <c:f>Sheet1!$B$3:$AC$3</c:f>
              <c:numCache>
                <c:formatCode>General</c:formatCode>
                <c:ptCount val="28"/>
                <c:pt idx="0">
                  <c:v>94.699999999999989</c:v>
                </c:pt>
                <c:pt idx="1">
                  <c:v>98.393299999999982</c:v>
                </c:pt>
                <c:pt idx="2">
                  <c:v>100.65634589999998</c:v>
                </c:pt>
                <c:pt idx="3">
                  <c:v>101.46159666719998</c:v>
                </c:pt>
                <c:pt idx="4">
                  <c:v>104.70836776055039</c:v>
                </c:pt>
                <c:pt idx="5">
                  <c:v>106.5931183802403</c:v>
                </c:pt>
                <c:pt idx="6">
                  <c:v>109.04476010298582</c:v>
                </c:pt>
                <c:pt idx="7">
                  <c:v>113.07941622679628</c:v>
                </c:pt>
                <c:pt idx="8">
                  <c:v>111.94862206452832</c:v>
                </c:pt>
                <c:pt idx="9">
                  <c:v>111.38887895420568</c:v>
                </c:pt>
                <c:pt idx="10">
                  <c:v>109.7180457698926</c:v>
                </c:pt>
                <c:pt idx="11">
                  <c:v>106.42650439679582</c:v>
                </c:pt>
                <c:pt idx="12">
                  <c:v>92.271779312021977</c:v>
                </c:pt>
                <c:pt idx="13">
                  <c:v>93.009953546518148</c:v>
                </c:pt>
                <c:pt idx="14">
                  <c:v>94.126072989076363</c:v>
                </c:pt>
                <c:pt idx="15">
                  <c:v>97.702863762661266</c:v>
                </c:pt>
                <c:pt idx="16">
                  <c:v>99.363812446626497</c:v>
                </c:pt>
                <c:pt idx="17">
                  <c:v>102.7421820698118</c:v>
                </c:pt>
                <c:pt idx="18">
                  <c:v>107.9820333553722</c:v>
                </c:pt>
                <c:pt idx="19">
                  <c:v>111.54544045609947</c:v>
                </c:pt>
                <c:pt idx="20">
                  <c:v>114.78025822932635</c:v>
                </c:pt>
                <c:pt idx="21">
                  <c:v>118.91234752558211</c:v>
                </c:pt>
                <c:pt idx="22">
                  <c:v>120.2203833483635</c:v>
                </c:pt>
                <c:pt idx="23">
                  <c:v>122.02368909858893</c:v>
                </c:pt>
                <c:pt idx="24">
                  <c:v>124.22011550236354</c:v>
                </c:pt>
                <c:pt idx="25" formatCode="0.0">
                  <c:v>125.46231665738718</c:v>
                </c:pt>
                <c:pt idx="26" formatCode="0.0">
                  <c:v>128.34794994050708</c:v>
                </c:pt>
                <c:pt idx="27" formatCode="0.0">
                  <c:v>131.04325688925772</c:v>
                </c:pt>
              </c:numCache>
            </c:numRef>
          </c:val>
          <c:smooth val="1"/>
        </c:ser>
        <c:ser>
          <c:idx val="0"/>
          <c:order val="1"/>
          <c:tx>
            <c:strRef>
              <c:f>Sheet1!$A$4</c:f>
              <c:strCache>
                <c:ptCount val="1"/>
                <c:pt idx="0">
                  <c:v>Iekšzemes pieprasījums</c:v>
                </c:pt>
              </c:strCache>
            </c:strRef>
          </c:tx>
          <c:spPr>
            <a:ln w="25400">
              <a:solidFill>
                <a:sysClr val="windowText" lastClr="000000"/>
              </a:solidFill>
              <a:prstDash val="dash"/>
            </a:ln>
          </c:spPr>
          <c:marker>
            <c:symbol val="none"/>
          </c:marker>
          <c:cat>
            <c:multiLvlStrRef>
              <c:f>Sheet1!$B$1:$AC$2</c:f>
              <c:multiLvlStrCache>
                <c:ptCount val="2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lvl>
                <c:lvl>
                  <c:pt idx="0">
                    <c:v>2006</c:v>
                  </c:pt>
                  <c:pt idx="4">
                    <c:v>2007</c:v>
                  </c:pt>
                  <c:pt idx="8">
                    <c:v>2008</c:v>
                  </c:pt>
                  <c:pt idx="12">
                    <c:v>2009</c:v>
                  </c:pt>
                  <c:pt idx="16">
                    <c:v>2010</c:v>
                  </c:pt>
                  <c:pt idx="20">
                    <c:v>2011</c:v>
                  </c:pt>
                  <c:pt idx="24">
                    <c:v>2012</c:v>
                  </c:pt>
                </c:lvl>
              </c:multiLvlStrCache>
            </c:multiLvlStrRef>
          </c:cat>
          <c:val>
            <c:numRef>
              <c:f>Sheet1!$B$4:$AC$4</c:f>
              <c:numCache>
                <c:formatCode>General</c:formatCode>
                <c:ptCount val="28"/>
                <c:pt idx="0">
                  <c:v>102.49999999999999</c:v>
                </c:pt>
                <c:pt idx="1">
                  <c:v>105.16499999999999</c:v>
                </c:pt>
                <c:pt idx="2">
                  <c:v>111.26456999999999</c:v>
                </c:pt>
                <c:pt idx="3">
                  <c:v>120.1657356</c:v>
                </c:pt>
                <c:pt idx="4">
                  <c:v>124.01103913920001</c:v>
                </c:pt>
                <c:pt idx="5">
                  <c:v>124.1350501783392</c:v>
                </c:pt>
                <c:pt idx="6">
                  <c:v>125.62467078047928</c:v>
                </c:pt>
                <c:pt idx="7">
                  <c:v>126.25279413438166</c:v>
                </c:pt>
                <c:pt idx="8">
                  <c:v>121.83394633967829</c:v>
                </c:pt>
                <c:pt idx="9">
                  <c:v>116.7169205934118</c:v>
                </c:pt>
                <c:pt idx="10">
                  <c:v>111.58137608730168</c:v>
                </c:pt>
                <c:pt idx="11">
                  <c:v>106.78337691554771</c:v>
                </c:pt>
                <c:pt idx="12">
                  <c:v>87.669152447664658</c:v>
                </c:pt>
                <c:pt idx="13">
                  <c:v>83.636371435072078</c:v>
                </c:pt>
                <c:pt idx="14">
                  <c:v>80.709098434844549</c:v>
                </c:pt>
                <c:pt idx="15">
                  <c:v>79.417752859887031</c:v>
                </c:pt>
                <c:pt idx="16">
                  <c:v>79.17949960130737</c:v>
                </c:pt>
                <c:pt idx="17">
                  <c:v>80.604730594130899</c:v>
                </c:pt>
                <c:pt idx="18">
                  <c:v>83.345291434331358</c:v>
                </c:pt>
                <c:pt idx="19">
                  <c:v>83.261946142897031</c:v>
                </c:pt>
                <c:pt idx="20">
                  <c:v>86.758947880898702</c:v>
                </c:pt>
                <c:pt idx="21">
                  <c:v>89.969028952491954</c:v>
                </c:pt>
                <c:pt idx="22">
                  <c:v>92.848037878971695</c:v>
                </c:pt>
                <c:pt idx="23">
                  <c:v>92.476645727455804</c:v>
                </c:pt>
                <c:pt idx="24">
                  <c:v>92.569122373183248</c:v>
                </c:pt>
                <c:pt idx="25" formatCode="0.0">
                  <c:v>94.050228331154187</c:v>
                </c:pt>
                <c:pt idx="26" formatCode="0.0">
                  <c:v>94.426429244478811</c:v>
                </c:pt>
                <c:pt idx="27" formatCode="0.0">
                  <c:v>95.087414249190147</c:v>
                </c:pt>
              </c:numCache>
            </c:numRef>
          </c:val>
          <c:smooth val="1"/>
        </c:ser>
        <c:ser>
          <c:idx val="2"/>
          <c:order val="2"/>
          <c:tx>
            <c:strRef>
              <c:f>Sheet1!$A$5</c:f>
              <c:strCache>
                <c:ptCount val="1"/>
                <c:pt idx="0">
                  <c:v>IKP</c:v>
                </c:pt>
              </c:strCache>
            </c:strRef>
          </c:tx>
          <c:spPr>
            <a:ln w="38100">
              <a:solidFill>
                <a:sysClr val="windowText" lastClr="000000"/>
              </a:solidFill>
              <a:prstDash val="sysDot"/>
            </a:ln>
          </c:spPr>
          <c:marker>
            <c:symbol val="none"/>
          </c:marker>
          <c:cat>
            <c:multiLvlStrRef>
              <c:f>Sheet1!$B$1:$AC$2</c:f>
              <c:multiLvlStrCache>
                <c:ptCount val="2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lvl>
                <c:lvl>
                  <c:pt idx="0">
                    <c:v>2006</c:v>
                  </c:pt>
                  <c:pt idx="4">
                    <c:v>2007</c:v>
                  </c:pt>
                  <c:pt idx="8">
                    <c:v>2008</c:v>
                  </c:pt>
                  <c:pt idx="12">
                    <c:v>2009</c:v>
                  </c:pt>
                  <c:pt idx="16">
                    <c:v>2010</c:v>
                  </c:pt>
                  <c:pt idx="20">
                    <c:v>2011</c:v>
                  </c:pt>
                  <c:pt idx="24">
                    <c:v>2012</c:v>
                  </c:pt>
                </c:lvl>
              </c:multiLvlStrCache>
            </c:multiLvlStrRef>
          </c:cat>
          <c:val>
            <c:numRef>
              <c:f>Sheet1!$B$5:$AC$5</c:f>
              <c:numCache>
                <c:formatCode>0.0</c:formatCode>
                <c:ptCount val="28"/>
                <c:pt idx="0">
                  <c:v>102.1</c:v>
                </c:pt>
                <c:pt idx="1">
                  <c:v>104.85669999999999</c:v>
                </c:pt>
                <c:pt idx="2">
                  <c:v>106.84897729999997</c:v>
                </c:pt>
                <c:pt idx="3">
                  <c:v>110.26814457359997</c:v>
                </c:pt>
                <c:pt idx="4">
                  <c:v>113.57618891080797</c:v>
                </c:pt>
                <c:pt idx="5">
                  <c:v>116.86989838922139</c:v>
                </c:pt>
                <c:pt idx="6">
                  <c:v>117.10363818599983</c:v>
                </c:pt>
                <c:pt idx="7">
                  <c:v>118.62598548241782</c:v>
                </c:pt>
                <c:pt idx="8">
                  <c:v>117.43972562759363</c:v>
                </c:pt>
                <c:pt idx="9">
                  <c:v>116.73508727382807</c:v>
                </c:pt>
                <c:pt idx="10">
                  <c:v>109.84771712467222</c:v>
                </c:pt>
                <c:pt idx="11">
                  <c:v>107.65076278217877</c:v>
                </c:pt>
                <c:pt idx="12">
                  <c:v>96.778035741178726</c:v>
                </c:pt>
                <c:pt idx="13">
                  <c:v>95.713477348025762</c:v>
                </c:pt>
                <c:pt idx="14">
                  <c:v>89.396387843056061</c:v>
                </c:pt>
                <c:pt idx="15">
                  <c:v>90.290351721486616</c:v>
                </c:pt>
                <c:pt idx="16">
                  <c:v>90.922384183537019</c:v>
                </c:pt>
                <c:pt idx="17">
                  <c:v>91.286073720271162</c:v>
                </c:pt>
                <c:pt idx="18">
                  <c:v>91.925076236313046</c:v>
                </c:pt>
                <c:pt idx="19">
                  <c:v>92.936252074912474</c:v>
                </c:pt>
                <c:pt idx="20">
                  <c:v>94.330295856036159</c:v>
                </c:pt>
                <c:pt idx="21">
                  <c:v>96.216901773156877</c:v>
                </c:pt>
                <c:pt idx="22" formatCode="General">
                  <c:v>97.467721496207901</c:v>
                </c:pt>
                <c:pt idx="23" formatCode="General">
                  <c:v>98.442398711169986</c:v>
                </c:pt>
                <c:pt idx="24" formatCode="General">
                  <c:v>99.722149894415182</c:v>
                </c:pt>
                <c:pt idx="25">
                  <c:v>101.118259992937</c:v>
                </c:pt>
                <c:pt idx="26">
                  <c:v>102.83727041281692</c:v>
                </c:pt>
                <c:pt idx="27">
                  <c:v>104.27699219859636</c:v>
                </c:pt>
              </c:numCache>
            </c:numRef>
          </c:val>
          <c:smooth val="1"/>
        </c:ser>
        <c:dLbls>
          <c:showLegendKey val="0"/>
          <c:showVal val="0"/>
          <c:showCatName val="0"/>
          <c:showSerName val="0"/>
          <c:showPercent val="0"/>
          <c:showBubbleSize val="0"/>
        </c:dLbls>
        <c:marker val="1"/>
        <c:smooth val="0"/>
        <c:axId val="46388352"/>
        <c:axId val="46389888"/>
      </c:lineChart>
      <c:catAx>
        <c:axId val="46388352"/>
        <c:scaling>
          <c:orientation val="minMax"/>
        </c:scaling>
        <c:delete val="0"/>
        <c:axPos val="b"/>
        <c:numFmt formatCode="General" sourceLinked="1"/>
        <c:majorTickMark val="out"/>
        <c:minorTickMark val="none"/>
        <c:tickLblPos val="nextTo"/>
        <c:spPr>
          <a:ln w="12700">
            <a:solidFill>
              <a:srgbClr val="000000"/>
            </a:solidFill>
            <a:prstDash val="solid"/>
          </a:ln>
        </c:spPr>
        <c:txPr>
          <a:bodyPr rot="0" vert="horz"/>
          <a:lstStyle/>
          <a:p>
            <a:pPr>
              <a:defRPr sz="900" b="0">
                <a:effectLst/>
                <a:latin typeface="Times New Roman" pitchFamily="18" charset="0"/>
                <a:cs typeface="Times New Roman" pitchFamily="18" charset="0"/>
              </a:defRPr>
            </a:pPr>
            <a:endParaRPr lang="lv-LV"/>
          </a:p>
        </c:txPr>
        <c:crossAx val="46389888"/>
        <c:crosses val="autoZero"/>
        <c:auto val="1"/>
        <c:lblAlgn val="ctr"/>
        <c:lblOffset val="0"/>
        <c:tickLblSkip val="1"/>
        <c:tickMarkSkip val="1"/>
        <c:noMultiLvlLbl val="1"/>
      </c:catAx>
      <c:valAx>
        <c:axId val="46389888"/>
        <c:scaling>
          <c:orientation val="minMax"/>
          <c:min val="70"/>
        </c:scaling>
        <c:delete val="0"/>
        <c:axPos val="l"/>
        <c:numFmt formatCode="0" sourceLinked="0"/>
        <c:majorTickMark val="cross"/>
        <c:minorTickMark val="none"/>
        <c:tickLblPos val="nextTo"/>
        <c:spPr>
          <a:ln w="6350">
            <a:solidFill>
              <a:sysClr val="windowText" lastClr="000000"/>
            </a:solidFill>
          </a:ln>
        </c:spPr>
        <c:txPr>
          <a:bodyPr rot="0" vert="horz"/>
          <a:lstStyle/>
          <a:p>
            <a:pPr>
              <a:defRPr sz="900" b="0">
                <a:effectLst/>
                <a:latin typeface="Times New Roman" pitchFamily="18" charset="0"/>
                <a:cs typeface="Times New Roman" pitchFamily="18" charset="0"/>
              </a:defRPr>
            </a:pPr>
            <a:endParaRPr lang="lv-LV"/>
          </a:p>
        </c:txPr>
        <c:crossAx val="46388352"/>
        <c:crosses val="autoZero"/>
        <c:crossBetween val="between"/>
      </c:valAx>
      <c:spPr>
        <a:solidFill>
          <a:srgbClr val="FFFFFF"/>
        </a:solidFill>
        <a:ln w="6350">
          <a:noFill/>
        </a:ln>
      </c:spPr>
    </c:plotArea>
    <c:legend>
      <c:legendPos val="l"/>
      <c:layout>
        <c:manualLayout>
          <c:xMode val="edge"/>
          <c:yMode val="edge"/>
          <c:x val="7.1222295129775431E-2"/>
          <c:y val="0.60214127080268809"/>
          <c:w val="0.38005705016039659"/>
          <c:h val="0.2069232450874674"/>
        </c:manualLayout>
      </c:layout>
      <c:overlay val="0"/>
      <c:txPr>
        <a:bodyPr/>
        <a:lstStyle/>
        <a:p>
          <a:pPr marL="144000" indent="0">
            <a:spcBef>
              <a:spcPts val="0"/>
            </a:spcBef>
            <a:defRPr sz="1100" b="0">
              <a:effectLst/>
              <a:latin typeface="Times New Roman" pitchFamily="18" charset="0"/>
              <a:cs typeface="Times New Roman" pitchFamily="18" charset="0"/>
            </a:defRPr>
          </a:pPr>
          <a:endParaRPr lang="lv-LV"/>
        </a:p>
      </c:txPr>
    </c:legend>
    <c:plotVisOnly val="1"/>
    <c:dispBlanksAs val="gap"/>
    <c:showDLblsOverMax val="0"/>
  </c:chart>
  <c:spPr>
    <a:noFill/>
    <a:ln>
      <a:noFill/>
    </a:ln>
  </c:spPr>
  <c:txPr>
    <a:bodyPr/>
    <a:lstStyle/>
    <a:p>
      <a:pPr>
        <a:defRPr sz="1400" b="0" i="0" u="none" strike="noStrike" baseline="0">
          <a:solidFill>
            <a:srgbClr val="000000"/>
          </a:solidFill>
          <a:latin typeface="Calibri" pitchFamily="34" charset="0"/>
          <a:ea typeface="Arial"/>
          <a:cs typeface="Arial"/>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35106543943948"/>
          <c:y val="0.15391041666666797"/>
          <c:w val="0.43806394517688452"/>
          <c:h val="0.64684335734629583"/>
        </c:manualLayout>
      </c:layout>
      <c:pieChart>
        <c:varyColors val="1"/>
        <c:ser>
          <c:idx val="0"/>
          <c:order val="0"/>
          <c:tx>
            <c:strRef>
              <c:f>Sheet1!$B$1</c:f>
              <c:strCache>
                <c:ptCount val="1"/>
                <c:pt idx="0">
                  <c:v>Sales</c:v>
                </c:pt>
              </c:strCache>
            </c:strRef>
          </c:tx>
          <c:dLbls>
            <c:dLbl>
              <c:idx val="0"/>
              <c:layout>
                <c:manualLayout>
                  <c:x val="-8.9782104105816107E-3"/>
                  <c:y val="2.1185074417626581E-2"/>
                </c:manualLayout>
              </c:layout>
              <c:dLblPos val="bestFit"/>
              <c:showLegendKey val="0"/>
              <c:showVal val="0"/>
              <c:showCatName val="1"/>
              <c:showSerName val="0"/>
              <c:showPercent val="1"/>
              <c:showBubbleSize val="0"/>
              <c:separator>
</c:separator>
            </c:dLbl>
            <c:dLbl>
              <c:idx val="2"/>
              <c:layout>
                <c:manualLayout>
                  <c:x val="0.21676040494938134"/>
                  <c:y val="-5.9103723145627363E-5"/>
                </c:manualLayout>
              </c:layout>
              <c:dLblPos val="bestFit"/>
              <c:showLegendKey val="0"/>
              <c:showVal val="0"/>
              <c:showCatName val="1"/>
              <c:showSerName val="0"/>
              <c:showPercent val="1"/>
              <c:showBubbleSize val="0"/>
              <c:separator>
</c:separator>
            </c:dLbl>
            <c:dLbl>
              <c:idx val="3"/>
              <c:layout>
                <c:manualLayout>
                  <c:x val="-1.8912580744659704E-2"/>
                  <c:y val="5.7326041666666723E-2"/>
                </c:manualLayout>
              </c:layout>
              <c:dLblPos val="bestFit"/>
              <c:showLegendKey val="0"/>
              <c:showVal val="0"/>
              <c:showCatName val="1"/>
              <c:showSerName val="0"/>
              <c:showPercent val="1"/>
              <c:showBubbleSize val="0"/>
              <c:separator>
</c:separator>
            </c:dLbl>
            <c:txPr>
              <a:bodyPr/>
              <a:lstStyle/>
              <a:p>
                <a:pPr>
                  <a:defRPr sz="1000">
                    <a:latin typeface="Times New Roman" pitchFamily="18" charset="0"/>
                    <a:cs typeface="Times New Roman" pitchFamily="18" charset="0"/>
                  </a:defRPr>
                </a:pPr>
                <a:endParaRPr lang="lv-LV"/>
              </a:p>
            </c:txPr>
            <c:dLblPos val="outEnd"/>
            <c:showLegendKey val="0"/>
            <c:showVal val="0"/>
            <c:showCatName val="1"/>
            <c:showSerName val="0"/>
            <c:showPercent val="1"/>
            <c:showBubbleSize val="0"/>
            <c:separator>
</c:separator>
            <c:showLeaderLines val="0"/>
          </c:dLbls>
          <c:cat>
            <c:strRef>
              <c:f>Sheet1!$A$2:$A$7</c:f>
              <c:strCache>
                <c:ptCount val="6"/>
                <c:pt idx="0">
                  <c:v>Apstrādes rūpniecība</c:v>
                </c:pt>
                <c:pt idx="1">
                  <c:v>Finanšu starpniecība</c:v>
                </c:pt>
                <c:pt idx="2">
                  <c:v>Operācijas ar nekustamo īpašumu</c:v>
                </c:pt>
                <c:pt idx="3">
                  <c:v>Tirdzniecība</c:v>
                </c:pt>
                <c:pt idx="4">
                  <c:v>Citi komercpakalpojumi</c:v>
                </c:pt>
                <c:pt idx="5">
                  <c:v>Pērējās nozares</c:v>
                </c:pt>
              </c:strCache>
            </c:strRef>
          </c:cat>
          <c:val>
            <c:numRef>
              <c:f>Sheet1!$B$2:$B$7</c:f>
              <c:numCache>
                <c:formatCode>0</c:formatCode>
                <c:ptCount val="6"/>
                <c:pt idx="0">
                  <c:v>10.859836221672071</c:v>
                </c:pt>
                <c:pt idx="1">
                  <c:v>24.685774138259379</c:v>
                </c:pt>
                <c:pt idx="2">
                  <c:v>28.275566558750718</c:v>
                </c:pt>
                <c:pt idx="3">
                  <c:v>11.807274804799086</c:v>
                </c:pt>
                <c:pt idx="4">
                  <c:v>16.73014663873548</c:v>
                </c:pt>
                <c:pt idx="5">
                  <c:v>7.6414016377832823</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0968750000014"/>
          <c:y val="0.2086724718000314"/>
          <c:w val="0.49098055555555775"/>
          <c:h val="0.49125825292908631"/>
        </c:manualLayout>
      </c:layout>
      <c:pieChart>
        <c:varyColors val="1"/>
        <c:ser>
          <c:idx val="0"/>
          <c:order val="0"/>
          <c:tx>
            <c:strRef>
              <c:f>Sheet1!$B$1</c:f>
              <c:strCache>
                <c:ptCount val="1"/>
                <c:pt idx="0">
                  <c:v>Sales</c:v>
                </c:pt>
              </c:strCache>
            </c:strRef>
          </c:tx>
          <c:dLbls>
            <c:dLbl>
              <c:idx val="0"/>
              <c:layout>
                <c:manualLayout>
                  <c:x val="3.2051282051282055E-2"/>
                  <c:y val="-4.9993750782608029E-7"/>
                </c:manualLayout>
              </c:layout>
              <c:dLblPos val="bestFit"/>
              <c:showLegendKey val="0"/>
              <c:showVal val="0"/>
              <c:showCatName val="1"/>
              <c:showSerName val="0"/>
              <c:showPercent val="1"/>
              <c:showBubbleSize val="0"/>
              <c:separator>
</c:separator>
            </c:dLbl>
            <c:dLbl>
              <c:idx val="1"/>
              <c:layout>
                <c:manualLayout>
                  <c:x val="3.878472222222222E-2"/>
                  <c:y val="8.5020282298466573E-3"/>
                </c:manualLayout>
              </c:layout>
              <c:dLblPos val="bestFit"/>
              <c:showLegendKey val="0"/>
              <c:showVal val="0"/>
              <c:showCatName val="1"/>
              <c:showSerName val="0"/>
              <c:showPercent val="1"/>
              <c:showBubbleSize val="0"/>
              <c:separator>
</c:separator>
            </c:dLbl>
            <c:dLbl>
              <c:idx val="2"/>
              <c:layout>
                <c:manualLayout>
                  <c:x val="-2.9361805555555606E-2"/>
                  <c:y val="2.2061081750378346E-2"/>
                </c:manualLayout>
              </c:layout>
              <c:dLblPos val="bestFit"/>
              <c:showLegendKey val="0"/>
              <c:showVal val="0"/>
              <c:showCatName val="1"/>
              <c:showSerName val="0"/>
              <c:showPercent val="1"/>
              <c:showBubbleSize val="0"/>
              <c:separator>
</c:separator>
            </c:dLbl>
            <c:dLbl>
              <c:idx val="3"/>
              <c:layout>
                <c:manualLayout>
                  <c:x val="4.0010416666666814E-3"/>
                  <c:y val="-4.4122163500756734E-3"/>
                </c:manualLayout>
              </c:layout>
              <c:dLblPos val="bestFit"/>
              <c:showLegendKey val="0"/>
              <c:showVal val="0"/>
              <c:showCatName val="1"/>
              <c:showSerName val="0"/>
              <c:showPercent val="1"/>
              <c:showBubbleSize val="0"/>
              <c:separator>
</c:separator>
            </c:dLbl>
            <c:dLbl>
              <c:idx val="4"/>
              <c:layout>
                <c:manualLayout>
                  <c:x val="3.5277777777778074E-2"/>
                  <c:y val="-4.4122163500756734E-3"/>
                </c:manualLayout>
              </c:layout>
              <c:dLblPos val="bestFit"/>
              <c:showLegendKey val="0"/>
              <c:showVal val="0"/>
              <c:showCatName val="1"/>
              <c:showSerName val="0"/>
              <c:showPercent val="1"/>
              <c:showBubbleSize val="0"/>
              <c:separator>
</c:separator>
            </c:dLbl>
            <c:dLbl>
              <c:idx val="5"/>
              <c:layout>
                <c:manualLayout>
                  <c:x val="6.6145833333333334E-2"/>
                  <c:y val="-1.3236649050227003E-2"/>
                </c:manualLayout>
              </c:layout>
              <c:dLblPos val="bestFit"/>
              <c:showLegendKey val="0"/>
              <c:showVal val="0"/>
              <c:showCatName val="1"/>
              <c:showSerName val="0"/>
              <c:showPercent val="1"/>
              <c:showBubbleSize val="0"/>
              <c:separator>
</c:separator>
            </c:dLbl>
            <c:txPr>
              <a:bodyPr/>
              <a:lstStyle/>
              <a:p>
                <a:pPr>
                  <a:defRPr sz="900">
                    <a:latin typeface="Times New Roman" pitchFamily="18" charset="0"/>
                    <a:cs typeface="Times New Roman" pitchFamily="18" charset="0"/>
                  </a:defRPr>
                </a:pPr>
                <a:endParaRPr lang="lv-LV"/>
              </a:p>
            </c:txPr>
            <c:dLblPos val="outEnd"/>
            <c:showLegendKey val="0"/>
            <c:showVal val="0"/>
            <c:showCatName val="1"/>
            <c:showSerName val="0"/>
            <c:showPercent val="1"/>
            <c:showBubbleSize val="0"/>
            <c:separator>
</c:separator>
            <c:showLeaderLines val="0"/>
          </c:dLbls>
          <c:cat>
            <c:strRef>
              <c:f>Sheet1!$A$2:$A$7</c:f>
              <c:strCache>
                <c:ptCount val="6"/>
                <c:pt idx="0">
                  <c:v>Apstrādes rūpniecība</c:v>
                </c:pt>
                <c:pt idx="1">
                  <c:v>Finanšu starpnie-cība</c:v>
                </c:pt>
                <c:pt idx="2">
                  <c:v>Operācijas ar nekustamo īpašumu</c:v>
                </c:pt>
                <c:pt idx="3">
                  <c:v>Tirdznie-cība</c:v>
                </c:pt>
                <c:pt idx="4">
                  <c:v>Citi komercpa-kalpojumi</c:v>
                </c:pt>
                <c:pt idx="5">
                  <c:v>Pērējās nozares</c:v>
                </c:pt>
              </c:strCache>
            </c:strRef>
          </c:cat>
          <c:val>
            <c:numRef>
              <c:f>Sheet1!$B$2:$B$7</c:f>
              <c:numCache>
                <c:formatCode>0</c:formatCode>
                <c:ptCount val="6"/>
                <c:pt idx="0">
                  <c:v>14.356120645386456</c:v>
                </c:pt>
                <c:pt idx="1">
                  <c:v>36.481309439711495</c:v>
                </c:pt>
                <c:pt idx="2">
                  <c:v>15.89680039039815</c:v>
                </c:pt>
                <c:pt idx="3">
                  <c:v>9.3640903987439259</c:v>
                </c:pt>
                <c:pt idx="4">
                  <c:v>17.966363771336219</c:v>
                </c:pt>
                <c:pt idx="5">
                  <c:v>5.9353153544237545</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6385416666667"/>
          <c:y val="0.2086724718000314"/>
          <c:w val="0.49098055555555792"/>
          <c:h val="0.49125825292908631"/>
        </c:manualLayout>
      </c:layout>
      <c:pieChart>
        <c:varyColors val="1"/>
        <c:ser>
          <c:idx val="0"/>
          <c:order val="0"/>
          <c:tx>
            <c:strRef>
              <c:f>Sheet1!$B$1</c:f>
              <c:strCache>
                <c:ptCount val="1"/>
                <c:pt idx="0">
                  <c:v>Sales</c:v>
                </c:pt>
              </c:strCache>
            </c:strRef>
          </c:tx>
          <c:dLbls>
            <c:dLbl>
              <c:idx val="0"/>
              <c:layout>
                <c:manualLayout>
                  <c:x val="2.32319444444446E-2"/>
                  <c:y val="3.5297383381995152E-2"/>
                </c:manualLayout>
              </c:layout>
              <c:dLblPos val="bestFit"/>
              <c:showLegendKey val="0"/>
              <c:showVal val="0"/>
              <c:showCatName val="1"/>
              <c:showSerName val="0"/>
              <c:showPercent val="1"/>
              <c:showBubbleSize val="0"/>
              <c:separator>
</c:separator>
            </c:dLbl>
            <c:dLbl>
              <c:idx val="1"/>
              <c:layout>
                <c:manualLayout>
                  <c:x val="8.7338954103222233E-2"/>
                  <c:y val="-1.1401172792805433E-2"/>
                </c:manualLayout>
              </c:layout>
              <c:dLblPos val="bestFit"/>
              <c:showLegendKey val="0"/>
              <c:showVal val="0"/>
              <c:showCatName val="1"/>
              <c:showSerName val="0"/>
              <c:showPercent val="1"/>
              <c:showBubbleSize val="0"/>
              <c:separator>
</c:separator>
            </c:dLbl>
            <c:dLbl>
              <c:idx val="2"/>
              <c:layout>
                <c:manualLayout>
                  <c:x val="1.0325694444444439E-2"/>
                  <c:y val="8.0889698640020981E-17"/>
                </c:manualLayout>
              </c:layout>
              <c:dLblPos val="bestFit"/>
              <c:showLegendKey val="0"/>
              <c:showVal val="0"/>
              <c:showCatName val="1"/>
              <c:showSerName val="0"/>
              <c:showPercent val="1"/>
              <c:showBubbleSize val="0"/>
              <c:separator>
</c:separator>
            </c:dLbl>
            <c:dLbl>
              <c:idx val="3"/>
              <c:layout>
                <c:manualLayout>
                  <c:x val="4.0006944444444534E-3"/>
                  <c:y val="-1.7648865400302721E-2"/>
                </c:manualLayout>
              </c:layout>
              <c:dLblPos val="bestFit"/>
              <c:showLegendKey val="0"/>
              <c:showVal val="0"/>
              <c:showCatName val="1"/>
              <c:showSerName val="0"/>
              <c:showPercent val="1"/>
              <c:showBubbleSize val="0"/>
              <c:separator>
</c:separator>
            </c:dLbl>
            <c:dLbl>
              <c:idx val="4"/>
              <c:layout>
                <c:manualLayout>
                  <c:x val="2.6457986111111206E-2"/>
                  <c:y val="2.2061081750378346E-2"/>
                </c:manualLayout>
              </c:layout>
              <c:dLblPos val="bestFit"/>
              <c:showLegendKey val="0"/>
              <c:showVal val="0"/>
              <c:showCatName val="1"/>
              <c:showSerName val="0"/>
              <c:showPercent val="1"/>
              <c:showBubbleSize val="0"/>
              <c:separator>
</c:separator>
            </c:dLbl>
            <c:dLbl>
              <c:idx val="5"/>
              <c:layout>
                <c:manualLayout>
                  <c:x val="5.7326388888888934E-2"/>
                  <c:y val="-8.8247801187616576E-3"/>
                </c:manualLayout>
              </c:layout>
              <c:dLblPos val="bestFit"/>
              <c:showLegendKey val="0"/>
              <c:showVal val="0"/>
              <c:showCatName val="1"/>
              <c:showSerName val="0"/>
              <c:showPercent val="1"/>
              <c:showBubbleSize val="0"/>
              <c:separator>
</c:separator>
            </c:dLbl>
            <c:txPr>
              <a:bodyPr/>
              <a:lstStyle/>
              <a:p>
                <a:pPr>
                  <a:defRPr sz="900">
                    <a:latin typeface="Times New Roman" pitchFamily="18" charset="0"/>
                    <a:cs typeface="Times New Roman" pitchFamily="18" charset="0"/>
                  </a:defRPr>
                </a:pPr>
                <a:endParaRPr lang="lv-LV"/>
              </a:p>
            </c:txPr>
            <c:dLblPos val="outEnd"/>
            <c:showLegendKey val="0"/>
            <c:showVal val="0"/>
            <c:showCatName val="1"/>
            <c:showSerName val="0"/>
            <c:showPercent val="1"/>
            <c:showBubbleSize val="0"/>
            <c:separator>
</c:separator>
            <c:showLeaderLines val="0"/>
          </c:dLbls>
          <c:cat>
            <c:strRef>
              <c:f>Sheet1!$A$2:$A$7</c:f>
              <c:strCache>
                <c:ptCount val="6"/>
                <c:pt idx="0">
                  <c:v>Apstrādes rūpniecība</c:v>
                </c:pt>
                <c:pt idx="1">
                  <c:v>Finanšu starpnie-cība</c:v>
                </c:pt>
                <c:pt idx="2">
                  <c:v>Operācijas ar nekustamo īpašumu</c:v>
                </c:pt>
                <c:pt idx="3">
                  <c:v>Tirdznie-cība</c:v>
                </c:pt>
                <c:pt idx="4">
                  <c:v>Citi komercpa-kalpojumi</c:v>
                </c:pt>
                <c:pt idx="5">
                  <c:v>Pērējās nozares</c:v>
                </c:pt>
              </c:strCache>
            </c:strRef>
          </c:cat>
          <c:val>
            <c:numRef>
              <c:f>Sheet1!$B$2:$B$7</c:f>
              <c:numCache>
                <c:formatCode>0</c:formatCode>
                <c:ptCount val="6"/>
                <c:pt idx="0">
                  <c:v>19.970822490339877</c:v>
                </c:pt>
                <c:pt idx="1">
                  <c:v>22.017191073259205</c:v>
                </c:pt>
                <c:pt idx="2">
                  <c:v>11.564545382856242</c:v>
                </c:pt>
                <c:pt idx="3">
                  <c:v>15.953000552006941</c:v>
                </c:pt>
                <c:pt idx="4">
                  <c:v>18.547433167731253</c:v>
                </c:pt>
                <c:pt idx="5">
                  <c:v>11.947007333806484</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554180727409064E-2"/>
          <c:y val="2.9390422582719442E-2"/>
          <c:w val="0.67932452276064614"/>
          <c:h val="0.88412611074218117"/>
        </c:manualLayout>
      </c:layout>
      <c:barChart>
        <c:barDir val="col"/>
        <c:grouping val="stacked"/>
        <c:varyColors val="0"/>
        <c:ser>
          <c:idx val="4"/>
          <c:order val="0"/>
          <c:tx>
            <c:strRef>
              <c:f>Sheet1!$A$2</c:f>
              <c:strCache>
                <c:ptCount val="1"/>
                <c:pt idx="0">
                  <c:v>Latvija</c:v>
                </c:pt>
              </c:strCache>
            </c:strRef>
          </c:tx>
          <c:spPr>
            <a:solidFill>
              <a:srgbClr val="760000"/>
            </a:solidFill>
            <a:ln w="3175">
              <a:solidFill>
                <a:sysClr val="windowText" lastClr="000000"/>
              </a:solidFill>
              <a:prstDash val="solid"/>
            </a:ln>
          </c:spPr>
          <c:invertIfNegative val="0"/>
          <c:cat>
            <c:strRef>
              <c:f>Sheet1!$B$1:$F$1</c:f>
              <c:strCache>
                <c:ptCount val="3"/>
                <c:pt idx="0">
                  <c:v>2005-2007</c:v>
                </c:pt>
                <c:pt idx="1">
                  <c:v>2008-2009</c:v>
                </c:pt>
                <c:pt idx="2">
                  <c:v>2010-2012</c:v>
                </c:pt>
              </c:strCache>
            </c:strRef>
          </c:cat>
          <c:val>
            <c:numRef>
              <c:f>Sheet1!$B$2:$F$2</c:f>
              <c:numCache>
                <c:formatCode>0</c:formatCode>
                <c:ptCount val="3"/>
                <c:pt idx="0">
                  <c:v>12.2</c:v>
                </c:pt>
                <c:pt idx="1">
                  <c:v>32.4</c:v>
                </c:pt>
                <c:pt idx="2">
                  <c:v>21.4</c:v>
                </c:pt>
              </c:numCache>
            </c:numRef>
          </c:val>
        </c:ser>
        <c:ser>
          <c:idx val="1"/>
          <c:order val="1"/>
          <c:tx>
            <c:strRef>
              <c:f>Sheet1!$A$3</c:f>
              <c:strCache>
                <c:ptCount val="1"/>
                <c:pt idx="0">
                  <c:v>Lietuva</c:v>
                </c:pt>
              </c:strCache>
            </c:strRef>
          </c:tx>
          <c:spPr>
            <a:solidFill>
              <a:srgbClr val="9BBB59">
                <a:lumMod val="75000"/>
              </a:srgbClr>
            </a:solidFill>
            <a:ln w="3134">
              <a:solidFill>
                <a:sysClr val="windowText" lastClr="000000"/>
              </a:solidFill>
              <a:prstDash val="solid"/>
            </a:ln>
          </c:spPr>
          <c:invertIfNegative val="0"/>
          <c:cat>
            <c:strRef>
              <c:f>Sheet1!$B$1:$F$1</c:f>
              <c:strCache>
                <c:ptCount val="3"/>
                <c:pt idx="0">
                  <c:v>2005-2007</c:v>
                </c:pt>
                <c:pt idx="1">
                  <c:v>2008-2009</c:v>
                </c:pt>
                <c:pt idx="2">
                  <c:v>2010-2012</c:v>
                </c:pt>
              </c:strCache>
            </c:strRef>
          </c:cat>
          <c:val>
            <c:numRef>
              <c:f>Sheet1!$B$3:$F$3</c:f>
              <c:numCache>
                <c:formatCode>0</c:formatCode>
                <c:ptCount val="3"/>
                <c:pt idx="0">
                  <c:v>60.6</c:v>
                </c:pt>
                <c:pt idx="1">
                  <c:v>61.9</c:v>
                </c:pt>
                <c:pt idx="2">
                  <c:v>31</c:v>
                </c:pt>
              </c:numCache>
            </c:numRef>
          </c:val>
        </c:ser>
        <c:ser>
          <c:idx val="3"/>
          <c:order val="2"/>
          <c:tx>
            <c:strRef>
              <c:f>Sheet1!$A$4</c:f>
              <c:strCache>
                <c:ptCount val="1"/>
                <c:pt idx="0">
                  <c:v>Igaunija</c:v>
                </c:pt>
              </c:strCache>
            </c:strRef>
          </c:tx>
          <c:spPr>
            <a:solidFill>
              <a:srgbClr val="1F497D"/>
            </a:solidFill>
            <a:ln w="3134">
              <a:solidFill>
                <a:sysClr val="windowText" lastClr="000000"/>
              </a:solidFill>
              <a:prstDash val="solid"/>
            </a:ln>
          </c:spPr>
          <c:invertIfNegative val="0"/>
          <c:cat>
            <c:strRef>
              <c:f>Sheet1!$B$1:$F$1</c:f>
              <c:strCache>
                <c:ptCount val="3"/>
                <c:pt idx="0">
                  <c:v>2005-2007</c:v>
                </c:pt>
                <c:pt idx="1">
                  <c:v>2008-2009</c:v>
                </c:pt>
                <c:pt idx="2">
                  <c:v>2010-2012</c:v>
                </c:pt>
              </c:strCache>
            </c:strRef>
          </c:cat>
          <c:val>
            <c:numRef>
              <c:f>Sheet1!$B$4:$F$4</c:f>
              <c:numCache>
                <c:formatCode>0</c:formatCode>
                <c:ptCount val="3"/>
                <c:pt idx="0">
                  <c:v>27.3</c:v>
                </c:pt>
                <c:pt idx="1">
                  <c:v>5.7</c:v>
                </c:pt>
                <c:pt idx="2">
                  <c:v>47.6</c:v>
                </c:pt>
              </c:numCache>
            </c:numRef>
          </c:val>
        </c:ser>
        <c:dLbls>
          <c:showLegendKey val="0"/>
          <c:showVal val="1"/>
          <c:showCatName val="0"/>
          <c:showSerName val="0"/>
          <c:showPercent val="0"/>
          <c:showBubbleSize val="0"/>
        </c:dLbls>
        <c:gapWidth val="40"/>
        <c:overlap val="100"/>
        <c:axId val="93755648"/>
        <c:axId val="93765632"/>
      </c:barChart>
      <c:catAx>
        <c:axId val="93755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lv-LV"/>
          </a:p>
        </c:txPr>
        <c:crossAx val="93765632"/>
        <c:crosses val="autoZero"/>
        <c:auto val="0"/>
        <c:lblAlgn val="ctr"/>
        <c:lblOffset val="0"/>
        <c:tickLblSkip val="1"/>
        <c:tickMarkSkip val="1"/>
        <c:noMultiLvlLbl val="0"/>
      </c:catAx>
      <c:valAx>
        <c:axId val="93765632"/>
        <c:scaling>
          <c:orientation val="minMax"/>
          <c:max val="100"/>
        </c:scaling>
        <c:delete val="0"/>
        <c:axPos val="l"/>
        <c:numFmt formatCode="0" sourceLinked="0"/>
        <c:majorTickMark val="out"/>
        <c:minorTickMark val="none"/>
        <c:tickLblPos val="nextTo"/>
        <c:spPr>
          <a:ln w="3175">
            <a:solidFill>
              <a:srgbClr val="000000"/>
            </a:solidFill>
            <a:prstDash val="solid"/>
          </a:ln>
          <a:effectLst/>
        </c:spPr>
        <c:txPr>
          <a:bodyPr rot="0" vert="horz"/>
          <a:lstStyle/>
          <a:p>
            <a:pPr>
              <a:defRPr/>
            </a:pPr>
            <a:endParaRPr lang="lv-LV"/>
          </a:p>
        </c:txPr>
        <c:crossAx val="93755648"/>
        <c:crosses val="autoZero"/>
        <c:crossBetween val="between"/>
        <c:majorUnit val="20"/>
        <c:minorUnit val="8.2000000000000011"/>
      </c:valAx>
      <c:spPr>
        <a:solidFill>
          <a:srgbClr val="FFFFFF"/>
        </a:solidFill>
        <a:ln w="25101">
          <a:noFill/>
        </a:ln>
      </c:spPr>
    </c:plotArea>
    <c:legend>
      <c:legendPos val="r"/>
      <c:layout>
        <c:manualLayout>
          <c:xMode val="edge"/>
          <c:yMode val="edge"/>
          <c:x val="0.73699632949035498"/>
          <c:y val="0.23883945580391161"/>
          <c:w val="0.23420022158303258"/>
          <c:h val="0.66140028722824729"/>
        </c:manualLayout>
      </c:layout>
      <c:overlay val="0"/>
      <c:spPr>
        <a:solidFill>
          <a:srgbClr val="FFFFFF"/>
        </a:solidFill>
        <a:ln w="3134">
          <a:noFill/>
          <a:prstDash val="solid"/>
        </a:ln>
      </c:spPr>
    </c:legend>
    <c:plotVisOnly val="1"/>
    <c:dispBlanksAs val="gap"/>
    <c:showDLblsOverMax val="0"/>
  </c:chart>
  <c:spPr>
    <a:noFill/>
    <a:ln>
      <a:noFill/>
    </a:ln>
  </c:spPr>
  <c:txPr>
    <a:bodyPr/>
    <a:lstStyle/>
    <a:p>
      <a:pPr>
        <a:defRPr sz="1200" b="0" i="0" u="none" strike="noStrike" baseline="0">
          <a:solidFill>
            <a:srgbClr val="000000"/>
          </a:solidFill>
          <a:latin typeface="Times New Roman" pitchFamily="18" charset="0"/>
          <a:ea typeface="Arial"/>
          <a:cs typeface="Times New Roman"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03523317863413"/>
          <c:y val="2.7861536175902542E-2"/>
          <c:w val="0.91191726361735059"/>
          <c:h val="0.87277653673401812"/>
        </c:manualLayout>
      </c:layout>
      <c:barChart>
        <c:barDir val="col"/>
        <c:grouping val="stacked"/>
        <c:varyColors val="0"/>
        <c:ser>
          <c:idx val="1"/>
          <c:order val="0"/>
          <c:tx>
            <c:strRef>
              <c:f>Sheet1!$B$2</c:f>
              <c:strCache>
                <c:ptCount val="1"/>
                <c:pt idx="0">
                  <c:v>Ārējā pieprasījuma efekts</c:v>
                </c:pt>
              </c:strCache>
            </c:strRef>
          </c:tx>
          <c:spPr>
            <a:solidFill>
              <a:srgbClr val="FFC000"/>
            </a:solidFill>
            <a:ln w="6350">
              <a:solidFill>
                <a:sysClr val="windowText" lastClr="000000"/>
              </a:solidFill>
              <a:prstDash val="solid"/>
            </a:ln>
          </c:spPr>
          <c:invertIfNegative val="0"/>
          <c:dLbls>
            <c:dLbl>
              <c:idx val="0"/>
              <c:layout>
                <c:manualLayout>
                  <c:x val="5.4386330847716886E-2"/>
                  <c:y val="-0.37074352498390534"/>
                </c:manualLayout>
              </c:layout>
              <c:tx>
                <c:rich>
                  <a:bodyPr/>
                  <a:lstStyle/>
                  <a:p>
                    <a:r>
                      <a:rPr lang="lv-LV"/>
                      <a:t>29,4%</a:t>
                    </a:r>
                    <a:endParaRPr lang="en-US"/>
                  </a:p>
                </c:rich>
              </c:tx>
              <c:showLegendKey val="0"/>
              <c:showVal val="1"/>
              <c:showCatName val="0"/>
              <c:showSerName val="0"/>
              <c:showPercent val="0"/>
              <c:showBubbleSize val="0"/>
            </c:dLbl>
            <c:dLbl>
              <c:idx val="1"/>
              <c:layout>
                <c:manualLayout>
                  <c:x val="5.7361422537414608E-2"/>
                  <c:y val="-0.40263259545387015"/>
                </c:manualLayout>
              </c:layout>
              <c:tx>
                <c:rich>
                  <a:bodyPr/>
                  <a:lstStyle/>
                  <a:p>
                    <a:r>
                      <a:rPr lang="lv-LV"/>
                      <a:t>28,9%</a:t>
                    </a:r>
                    <a:endParaRPr lang="en-US"/>
                  </a:p>
                </c:rich>
              </c:tx>
              <c:showLegendKey val="0"/>
              <c:showVal val="1"/>
              <c:showCatName val="0"/>
              <c:showSerName val="0"/>
              <c:showPercent val="0"/>
              <c:showBubbleSize val="0"/>
            </c:dLbl>
            <c:dLbl>
              <c:idx val="2"/>
              <c:layout>
                <c:manualLayout>
                  <c:x val="4.4116389424831828E-2"/>
                  <c:y val="0.20453028277125737"/>
                </c:manualLayout>
              </c:layout>
              <c:tx>
                <c:rich>
                  <a:bodyPr/>
                  <a:lstStyle/>
                  <a:p>
                    <a:r>
                      <a:rPr lang="lv-LV"/>
                      <a:t>11%</a:t>
                    </a:r>
                    <a:endParaRPr lang="en-US"/>
                  </a:p>
                </c:rich>
              </c:tx>
              <c:showLegendKey val="0"/>
              <c:showVal val="1"/>
              <c:showCatName val="0"/>
              <c:showSerName val="0"/>
              <c:showPercent val="0"/>
              <c:showBubbleSize val="0"/>
            </c:dLbl>
            <c:txPr>
              <a:bodyPr/>
              <a:lstStyle/>
              <a:p>
                <a:pPr>
                  <a:defRPr b="1"/>
                </a:pPr>
                <a:endParaRPr lang="lv-LV"/>
              </a:p>
            </c:txPr>
            <c:showLegendKey val="0"/>
            <c:showVal val="1"/>
            <c:showCatName val="0"/>
            <c:showSerName val="0"/>
            <c:showPercent val="0"/>
            <c:showBubbleSize val="0"/>
            <c:showLeaderLines val="0"/>
          </c:dLbls>
          <c:cat>
            <c:numRef>
              <c:f>Sheet1!$C$1:$F$1</c:f>
              <c:numCache>
                <c:formatCode>General</c:formatCode>
                <c:ptCount val="3"/>
                <c:pt idx="0">
                  <c:v>2010</c:v>
                </c:pt>
                <c:pt idx="1">
                  <c:v>2011</c:v>
                </c:pt>
                <c:pt idx="2">
                  <c:v>2012</c:v>
                </c:pt>
              </c:numCache>
            </c:numRef>
          </c:cat>
          <c:val>
            <c:numRef>
              <c:f>Sheet1!$C$2:$F$2</c:f>
              <c:numCache>
                <c:formatCode>0.0</c:formatCode>
                <c:ptCount val="3"/>
                <c:pt idx="0">
                  <c:v>15.944029593392992</c:v>
                </c:pt>
                <c:pt idx="1">
                  <c:v>10.052088728368131</c:v>
                </c:pt>
                <c:pt idx="2">
                  <c:v>-3.6224416312768681E-2</c:v>
                </c:pt>
              </c:numCache>
            </c:numRef>
          </c:val>
        </c:ser>
        <c:ser>
          <c:idx val="0"/>
          <c:order val="1"/>
          <c:tx>
            <c:strRef>
              <c:f>Sheet1!$B$3</c:f>
              <c:strCache>
                <c:ptCount val="1"/>
                <c:pt idx="0">
                  <c:v>Konkurētspējas efekts</c:v>
                </c:pt>
              </c:strCache>
            </c:strRef>
          </c:tx>
          <c:spPr>
            <a:solidFill>
              <a:srgbClr val="C00000"/>
            </a:solidFill>
            <a:ln w="6350">
              <a:solidFill>
                <a:sysClr val="windowText" lastClr="000000"/>
              </a:solidFill>
              <a:prstDash val="solid"/>
            </a:ln>
          </c:spPr>
          <c:invertIfNegative val="0"/>
          <c:cat>
            <c:numRef>
              <c:f>Sheet1!$C$1:$F$1</c:f>
              <c:numCache>
                <c:formatCode>General</c:formatCode>
                <c:ptCount val="3"/>
                <c:pt idx="0">
                  <c:v>2010</c:v>
                </c:pt>
                <c:pt idx="1">
                  <c:v>2011</c:v>
                </c:pt>
                <c:pt idx="2">
                  <c:v>2012</c:v>
                </c:pt>
              </c:numCache>
            </c:numRef>
          </c:cat>
          <c:val>
            <c:numRef>
              <c:f>Sheet1!$C$3:$F$3</c:f>
              <c:numCache>
                <c:formatCode>0.0</c:formatCode>
                <c:ptCount val="3"/>
                <c:pt idx="0">
                  <c:v>13.796613481217598</c:v>
                </c:pt>
                <c:pt idx="1">
                  <c:v>18.949879613302382</c:v>
                </c:pt>
                <c:pt idx="2">
                  <c:v>11.143246038354301</c:v>
                </c:pt>
              </c:numCache>
            </c:numRef>
          </c:val>
        </c:ser>
        <c:dLbls>
          <c:showLegendKey val="0"/>
          <c:showVal val="0"/>
          <c:showCatName val="0"/>
          <c:showSerName val="0"/>
          <c:showPercent val="0"/>
          <c:showBubbleSize val="0"/>
        </c:dLbls>
        <c:gapWidth val="50"/>
        <c:overlap val="100"/>
        <c:axId val="84508032"/>
        <c:axId val="84542592"/>
      </c:barChart>
      <c:catAx>
        <c:axId val="84508032"/>
        <c:scaling>
          <c:orientation val="minMax"/>
        </c:scaling>
        <c:delete val="0"/>
        <c:axPos val="b"/>
        <c:numFmt formatCode="General" sourceLinked="1"/>
        <c:majorTickMark val="out"/>
        <c:minorTickMark val="none"/>
        <c:tickLblPos val="low"/>
        <c:spPr>
          <a:noFill/>
          <a:ln w="6350">
            <a:solidFill>
              <a:srgbClr val="000000"/>
            </a:solidFill>
            <a:prstDash val="solid"/>
          </a:ln>
        </c:spPr>
        <c:txPr>
          <a:bodyPr rot="0" vert="horz"/>
          <a:lstStyle/>
          <a:p>
            <a:pPr>
              <a:defRPr/>
            </a:pPr>
            <a:endParaRPr lang="lv-LV"/>
          </a:p>
        </c:txPr>
        <c:crossAx val="84542592"/>
        <c:crosses val="autoZero"/>
        <c:auto val="1"/>
        <c:lblAlgn val="ctr"/>
        <c:lblOffset val="0"/>
        <c:tickMarkSkip val="1"/>
        <c:noMultiLvlLbl val="1"/>
      </c:catAx>
      <c:valAx>
        <c:axId val="84542592"/>
        <c:scaling>
          <c:orientation val="minMax"/>
          <c:max val="50"/>
          <c:min val="-10"/>
        </c:scaling>
        <c:delete val="0"/>
        <c:axPos val="l"/>
        <c:numFmt formatCode="0" sourceLinked="0"/>
        <c:majorTickMark val="out"/>
        <c:minorTickMark val="none"/>
        <c:tickLblPos val="nextTo"/>
        <c:spPr>
          <a:ln w="6350">
            <a:solidFill>
              <a:srgbClr val="000000"/>
            </a:solidFill>
          </a:ln>
        </c:spPr>
        <c:txPr>
          <a:bodyPr rot="0" vert="horz"/>
          <a:lstStyle/>
          <a:p>
            <a:pPr>
              <a:defRPr/>
            </a:pPr>
            <a:endParaRPr lang="lv-LV"/>
          </a:p>
        </c:txPr>
        <c:crossAx val="84508032"/>
        <c:crosses val="autoZero"/>
        <c:crossBetween val="between"/>
        <c:majorUnit val="10"/>
      </c:valAx>
      <c:spPr>
        <a:solidFill>
          <a:srgbClr val="FFFFFF"/>
        </a:solidFill>
        <a:ln w="6350">
          <a:noFill/>
        </a:ln>
      </c:spPr>
    </c:plotArea>
    <c:legend>
      <c:legendPos val="b"/>
      <c:layout>
        <c:manualLayout>
          <c:xMode val="edge"/>
          <c:yMode val="edge"/>
          <c:x val="0.27468669065373452"/>
          <c:y val="2.915029960877534E-2"/>
          <c:w val="0.5375131305940668"/>
          <c:h val="0.1378592581587679"/>
        </c:manualLayout>
      </c:layout>
      <c:overlay val="0"/>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79138890570499E-2"/>
          <c:y val="2.6470691163604652E-2"/>
          <c:w val="0.9018518518518519"/>
          <c:h val="0.83661043700155846"/>
        </c:manualLayout>
      </c:layout>
      <c:barChart>
        <c:barDir val="col"/>
        <c:grouping val="clustered"/>
        <c:varyColors val="0"/>
        <c:ser>
          <c:idx val="0"/>
          <c:order val="0"/>
          <c:tx>
            <c:strRef>
              <c:f>Sheet1!$C$1</c:f>
              <c:strCache>
                <c:ptCount val="1"/>
                <c:pt idx="0">
                  <c:v>Reālais kurss</c:v>
                </c:pt>
              </c:strCache>
            </c:strRef>
          </c:tx>
          <c:spPr>
            <a:solidFill>
              <a:schemeClr val="bg1">
                <a:lumMod val="65000"/>
              </a:schemeClr>
            </a:solidFill>
            <a:ln w="2953">
              <a:solidFill>
                <a:sysClr val="windowText" lastClr="000000"/>
              </a:solidFill>
            </a:ln>
          </c:spPr>
          <c:invertIfNegative val="0"/>
          <c:cat>
            <c:multiLvlStrRef>
              <c:f>Sheet1!$A$2:$B$40</c:f>
              <c:multiLvlStrCache>
                <c:ptCount val="3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lvl>
                <c:lvl>
                  <c:pt idx="0">
                    <c:v>2010</c:v>
                  </c:pt>
                  <c:pt idx="12">
                    <c:v>2011</c:v>
                  </c:pt>
                  <c:pt idx="24">
                    <c:v>2012</c:v>
                  </c:pt>
                  <c:pt idx="36">
                    <c:v>2013</c:v>
                  </c:pt>
                </c:lvl>
              </c:multiLvlStrCache>
            </c:multiLvlStrRef>
          </c:cat>
          <c:val>
            <c:numRef>
              <c:f>Sheet1!$C$2:$C$40</c:f>
              <c:numCache>
                <c:formatCode>0.00</c:formatCode>
                <c:ptCount val="38"/>
                <c:pt idx="0">
                  <c:v>98.281559814937197</c:v>
                </c:pt>
                <c:pt idx="1">
                  <c:v>97.35624586913417</c:v>
                </c:pt>
                <c:pt idx="2">
                  <c:v>96.629213483146046</c:v>
                </c:pt>
                <c:pt idx="3">
                  <c:v>96.298744216787824</c:v>
                </c:pt>
                <c:pt idx="4">
                  <c:v>96.034368803701256</c:v>
                </c:pt>
                <c:pt idx="5">
                  <c:v>95.968274950429588</c:v>
                </c:pt>
                <c:pt idx="6">
                  <c:v>96.629213483146046</c:v>
                </c:pt>
                <c:pt idx="7">
                  <c:v>96.298744216787824</c:v>
                </c:pt>
                <c:pt idx="8">
                  <c:v>96.364838070059491</c:v>
                </c:pt>
                <c:pt idx="9">
                  <c:v>97.025776602775949</c:v>
                </c:pt>
                <c:pt idx="10">
                  <c:v>97.157964309319226</c:v>
                </c:pt>
                <c:pt idx="11">
                  <c:v>96.298744216787824</c:v>
                </c:pt>
                <c:pt idx="12">
                  <c:v>95.968274950429588</c:v>
                </c:pt>
                <c:pt idx="13">
                  <c:v>95.836087243886297</c:v>
                </c:pt>
                <c:pt idx="14">
                  <c:v>95.968274950429574</c:v>
                </c:pt>
                <c:pt idx="15">
                  <c:v>96.364838070059463</c:v>
                </c:pt>
                <c:pt idx="16">
                  <c:v>96.232650363516171</c:v>
                </c:pt>
                <c:pt idx="17">
                  <c:v>96.629213483146046</c:v>
                </c:pt>
                <c:pt idx="18">
                  <c:v>96.695307336417699</c:v>
                </c:pt>
                <c:pt idx="19">
                  <c:v>97.488433575677448</c:v>
                </c:pt>
                <c:pt idx="20">
                  <c:v>97.951090548578961</c:v>
                </c:pt>
                <c:pt idx="21">
                  <c:v>98.215465961665544</c:v>
                </c:pt>
                <c:pt idx="22">
                  <c:v>97.818902842035669</c:v>
                </c:pt>
                <c:pt idx="23">
                  <c:v>97.752808988764031</c:v>
                </c:pt>
                <c:pt idx="24">
                  <c:v>96.893588896232629</c:v>
                </c:pt>
                <c:pt idx="25">
                  <c:v>96.034368803701241</c:v>
                </c:pt>
                <c:pt idx="26">
                  <c:v>95.637805684071353</c:v>
                </c:pt>
                <c:pt idx="27">
                  <c:v>95.505617977528075</c:v>
                </c:pt>
                <c:pt idx="28">
                  <c:v>95.70389953734302</c:v>
                </c:pt>
                <c:pt idx="29">
                  <c:v>96.034368803701256</c:v>
                </c:pt>
                <c:pt idx="30">
                  <c:v>94.910773298083271</c:v>
                </c:pt>
                <c:pt idx="31">
                  <c:v>94.315928618638452</c:v>
                </c:pt>
                <c:pt idx="32">
                  <c:v>94.976867151354909</c:v>
                </c:pt>
                <c:pt idx="33">
                  <c:v>94.580304031725035</c:v>
                </c:pt>
                <c:pt idx="34">
                  <c:v>94.712491738268341</c:v>
                </c:pt>
                <c:pt idx="35">
                  <c:v>94.910773298083271</c:v>
                </c:pt>
                <c:pt idx="36">
                  <c:v>93.919365499008592</c:v>
                </c:pt>
              </c:numCache>
            </c:numRef>
          </c:val>
        </c:ser>
        <c:dLbls>
          <c:showLegendKey val="0"/>
          <c:showVal val="0"/>
          <c:showCatName val="0"/>
          <c:showSerName val="0"/>
          <c:showPercent val="0"/>
          <c:showBubbleSize val="0"/>
        </c:dLbls>
        <c:gapWidth val="40"/>
        <c:axId val="86070400"/>
        <c:axId val="86071936"/>
      </c:barChart>
      <c:lineChart>
        <c:grouping val="standard"/>
        <c:varyColors val="0"/>
        <c:ser>
          <c:idx val="1"/>
          <c:order val="1"/>
          <c:tx>
            <c:strRef>
              <c:f>Sheet1!$D$1</c:f>
              <c:strCache>
                <c:ptCount val="1"/>
                <c:pt idx="0">
                  <c:v>Nominālais kurss</c:v>
                </c:pt>
              </c:strCache>
            </c:strRef>
          </c:tx>
          <c:spPr>
            <a:ln w="38100">
              <a:solidFill>
                <a:srgbClr val="800000"/>
              </a:solidFill>
            </a:ln>
          </c:spPr>
          <c:marker>
            <c:symbol val="none"/>
          </c:marker>
          <c:cat>
            <c:multiLvlStrRef>
              <c:f>Sheet1!$A$2:$B$40</c:f>
              <c:multiLvlStrCache>
                <c:ptCount val="3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lvl>
                <c:lvl>
                  <c:pt idx="0">
                    <c:v>2010</c:v>
                  </c:pt>
                  <c:pt idx="12">
                    <c:v>2011</c:v>
                  </c:pt>
                  <c:pt idx="24">
                    <c:v>2012</c:v>
                  </c:pt>
                  <c:pt idx="36">
                    <c:v>2013</c:v>
                  </c:pt>
                </c:lvl>
              </c:multiLvlStrCache>
            </c:multiLvlStrRef>
          </c:cat>
          <c:val>
            <c:numRef>
              <c:f>Sheet1!$D$2:$D$40</c:f>
              <c:numCache>
                <c:formatCode>0.00</c:formatCode>
                <c:ptCount val="38"/>
                <c:pt idx="0">
                  <c:v>99.307479224376721</c:v>
                </c:pt>
                <c:pt idx="1">
                  <c:v>98.54570637119113</c:v>
                </c:pt>
                <c:pt idx="2">
                  <c:v>97.991689750692515</c:v>
                </c:pt>
                <c:pt idx="3">
                  <c:v>97.506925207756225</c:v>
                </c:pt>
                <c:pt idx="4">
                  <c:v>97.368421052631561</c:v>
                </c:pt>
                <c:pt idx="5">
                  <c:v>97.091412742382246</c:v>
                </c:pt>
                <c:pt idx="6">
                  <c:v>97.368421052631561</c:v>
                </c:pt>
                <c:pt idx="7">
                  <c:v>97.160664819944586</c:v>
                </c:pt>
                <c:pt idx="8">
                  <c:v>97.229916897506911</c:v>
                </c:pt>
                <c:pt idx="9">
                  <c:v>98.130193905817137</c:v>
                </c:pt>
                <c:pt idx="10">
                  <c:v>98.060941828254812</c:v>
                </c:pt>
                <c:pt idx="11">
                  <c:v>97.506925207756211</c:v>
                </c:pt>
                <c:pt idx="12">
                  <c:v>96.952908587257596</c:v>
                </c:pt>
                <c:pt idx="13">
                  <c:v>96.952908587257596</c:v>
                </c:pt>
                <c:pt idx="14">
                  <c:v>97.160664819944586</c:v>
                </c:pt>
                <c:pt idx="15">
                  <c:v>97.506925207756225</c:v>
                </c:pt>
                <c:pt idx="16">
                  <c:v>97.299168975069236</c:v>
                </c:pt>
                <c:pt idx="17">
                  <c:v>97.437673130193872</c:v>
                </c:pt>
                <c:pt idx="18">
                  <c:v>97.506925207756225</c:v>
                </c:pt>
                <c:pt idx="19">
                  <c:v>98.06094182825484</c:v>
                </c:pt>
                <c:pt idx="20">
                  <c:v>98.614958448753455</c:v>
                </c:pt>
                <c:pt idx="21">
                  <c:v>98.961218836565095</c:v>
                </c:pt>
                <c:pt idx="22">
                  <c:v>98.753462603878106</c:v>
                </c:pt>
                <c:pt idx="23">
                  <c:v>98.54570637119113</c:v>
                </c:pt>
                <c:pt idx="24">
                  <c:v>97.853185595567865</c:v>
                </c:pt>
                <c:pt idx="25">
                  <c:v>97.1606648199446</c:v>
                </c:pt>
                <c:pt idx="26">
                  <c:v>96.883656509695285</c:v>
                </c:pt>
                <c:pt idx="27">
                  <c:v>96.95290858725761</c:v>
                </c:pt>
                <c:pt idx="28">
                  <c:v>97.29916897506925</c:v>
                </c:pt>
                <c:pt idx="29">
                  <c:v>97.78393351800554</c:v>
                </c:pt>
                <c:pt idx="30">
                  <c:v>96.952908587257625</c:v>
                </c:pt>
                <c:pt idx="31">
                  <c:v>96.329639889196685</c:v>
                </c:pt>
                <c:pt idx="32">
                  <c:v>97.02216066481995</c:v>
                </c:pt>
                <c:pt idx="33">
                  <c:v>97.02216066481995</c:v>
                </c:pt>
                <c:pt idx="34">
                  <c:v>97.02216066481995</c:v>
                </c:pt>
                <c:pt idx="35">
                  <c:v>97.091412742382275</c:v>
                </c:pt>
                <c:pt idx="36">
                  <c:v>97.091412742382275</c:v>
                </c:pt>
                <c:pt idx="37">
                  <c:v>97.368421052631589</c:v>
                </c:pt>
              </c:numCache>
            </c:numRef>
          </c:val>
          <c:smooth val="0"/>
        </c:ser>
        <c:ser>
          <c:idx val="2"/>
          <c:order val="2"/>
          <c:tx>
            <c:strRef>
              <c:f>Sheet1!$E$1</c:f>
              <c:strCache>
                <c:ptCount val="1"/>
                <c:pt idx="0">
                  <c:v>PCI</c:v>
                </c:pt>
              </c:strCache>
            </c:strRef>
          </c:tx>
          <c:spPr>
            <a:ln w="31750">
              <a:solidFill>
                <a:schemeClr val="tx1"/>
              </a:solidFill>
              <a:prstDash val="dash"/>
            </a:ln>
          </c:spPr>
          <c:marker>
            <c:symbol val="none"/>
          </c:marker>
          <c:cat>
            <c:multiLvlStrRef>
              <c:f>Sheet1!$A$2:$B$40</c:f>
              <c:multiLvlStrCache>
                <c:ptCount val="3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lvl>
                <c:lvl>
                  <c:pt idx="0">
                    <c:v>2010</c:v>
                  </c:pt>
                  <c:pt idx="12">
                    <c:v>2011</c:v>
                  </c:pt>
                  <c:pt idx="24">
                    <c:v>2012</c:v>
                  </c:pt>
                  <c:pt idx="36">
                    <c:v>2013</c:v>
                  </c:pt>
                </c:lvl>
              </c:multiLvlStrCache>
            </c:multiLvlStrRef>
          </c:cat>
          <c:val>
            <c:numRef>
              <c:f>Sheet1!$E$2:$E$40</c:f>
              <c:numCache>
                <c:formatCode>0.0</c:formatCode>
                <c:ptCount val="38"/>
                <c:pt idx="0">
                  <c:v>100.17804836023203</c:v>
                </c:pt>
                <c:pt idx="1">
                  <c:v>100.15507437826659</c:v>
                </c:pt>
                <c:pt idx="2">
                  <c:v>100.6375279995405</c:v>
                </c:pt>
                <c:pt idx="3">
                  <c:v>101.51628280971796</c:v>
                </c:pt>
                <c:pt idx="4">
                  <c:v>101.435873872839</c:v>
                </c:pt>
                <c:pt idx="5">
                  <c:v>101.84366205272528</c:v>
                </c:pt>
                <c:pt idx="6">
                  <c:v>102.04468439492274</c:v>
                </c:pt>
                <c:pt idx="7">
                  <c:v>101.32674745850323</c:v>
                </c:pt>
                <c:pt idx="8">
                  <c:v>101.78048360232036</c:v>
                </c:pt>
                <c:pt idx="9">
                  <c:v>102.16529780024121</c:v>
                </c:pt>
                <c:pt idx="10">
                  <c:v>102.40078111538681</c:v>
                </c:pt>
                <c:pt idx="11">
                  <c:v>102.54436850267071</c:v>
                </c:pt>
                <c:pt idx="12">
                  <c:v>103.8653724656826</c:v>
                </c:pt>
                <c:pt idx="13">
                  <c:v>104.1525472402504</c:v>
                </c:pt>
                <c:pt idx="14">
                  <c:v>104.89345815863533</c:v>
                </c:pt>
                <c:pt idx="15">
                  <c:v>106.09384871632874</c:v>
                </c:pt>
                <c:pt idx="16">
                  <c:v>106.47291941875824</c:v>
                </c:pt>
                <c:pt idx="17">
                  <c:v>106.74286370685196</c:v>
                </c:pt>
                <c:pt idx="18">
                  <c:v>106.44994543679282</c:v>
                </c:pt>
                <c:pt idx="19">
                  <c:v>106.07661822985467</c:v>
                </c:pt>
                <c:pt idx="20">
                  <c:v>106.4786629142496</c:v>
                </c:pt>
                <c:pt idx="21">
                  <c:v>106.69691574292112</c:v>
                </c:pt>
                <c:pt idx="22">
                  <c:v>106.65671127448164</c:v>
                </c:pt>
                <c:pt idx="23">
                  <c:v>106.67394176095571</c:v>
                </c:pt>
                <c:pt idx="24">
                  <c:v>107.56992705760726</c:v>
                </c:pt>
                <c:pt idx="25">
                  <c:v>107.71925794038251</c:v>
                </c:pt>
                <c:pt idx="26">
                  <c:v>108.34529894894033</c:v>
                </c:pt>
                <c:pt idx="27">
                  <c:v>109.01728792142899</c:v>
                </c:pt>
                <c:pt idx="28">
                  <c:v>108.84498305668831</c:v>
                </c:pt>
                <c:pt idx="29">
                  <c:v>108.77606111079204</c:v>
                </c:pt>
                <c:pt idx="30">
                  <c:v>108.23617253460458</c:v>
                </c:pt>
                <c:pt idx="31">
                  <c:v>107.92028028257999</c:v>
                </c:pt>
                <c:pt idx="32">
                  <c:v>108.41996439032798</c:v>
                </c:pt>
                <c:pt idx="33">
                  <c:v>108.40847739934526</c:v>
                </c:pt>
                <c:pt idx="34">
                  <c:v>108.32806846246628</c:v>
                </c:pt>
                <c:pt idx="35">
                  <c:v>108.37401642639713</c:v>
                </c:pt>
                <c:pt idx="36">
                  <c:v>108.20171156165645</c:v>
                </c:pt>
                <c:pt idx="37">
                  <c:v>108.05812417437254</c:v>
                </c:pt>
              </c:numCache>
            </c:numRef>
          </c:val>
          <c:smooth val="0"/>
        </c:ser>
        <c:dLbls>
          <c:showLegendKey val="0"/>
          <c:showVal val="0"/>
          <c:showCatName val="0"/>
          <c:showSerName val="0"/>
          <c:showPercent val="0"/>
          <c:showBubbleSize val="0"/>
        </c:dLbls>
        <c:marker val="1"/>
        <c:smooth val="0"/>
        <c:axId val="86070400"/>
        <c:axId val="86071936"/>
      </c:lineChart>
      <c:catAx>
        <c:axId val="86070400"/>
        <c:scaling>
          <c:orientation val="minMax"/>
        </c:scaling>
        <c:delete val="0"/>
        <c:axPos val="b"/>
        <c:numFmt formatCode="General" sourceLinked="1"/>
        <c:majorTickMark val="out"/>
        <c:minorTickMark val="none"/>
        <c:tickLblPos val="nextTo"/>
        <c:spPr>
          <a:ln w="2953">
            <a:solidFill>
              <a:schemeClr val="bg1">
                <a:lumMod val="50000"/>
              </a:schemeClr>
            </a:solidFill>
          </a:ln>
        </c:spPr>
        <c:txPr>
          <a:bodyPr rot="0"/>
          <a:lstStyle/>
          <a:p>
            <a:pPr>
              <a:defRPr sz="800">
                <a:latin typeface="Times New Roman" pitchFamily="18" charset="0"/>
                <a:cs typeface="Times New Roman" pitchFamily="18" charset="0"/>
              </a:defRPr>
            </a:pPr>
            <a:endParaRPr lang="lv-LV"/>
          </a:p>
        </c:txPr>
        <c:crossAx val="86071936"/>
        <c:crosses val="autoZero"/>
        <c:auto val="1"/>
        <c:lblAlgn val="ctr"/>
        <c:lblOffset val="0"/>
        <c:tickLblSkip val="3"/>
        <c:noMultiLvlLbl val="1"/>
      </c:catAx>
      <c:valAx>
        <c:axId val="86071936"/>
        <c:scaling>
          <c:orientation val="minMax"/>
          <c:max val="110"/>
          <c:min val="90"/>
        </c:scaling>
        <c:delete val="0"/>
        <c:axPos val="l"/>
        <c:numFmt formatCode="0" sourceLinked="0"/>
        <c:majorTickMark val="out"/>
        <c:minorTickMark val="none"/>
        <c:tickLblPos val="nextTo"/>
        <c:spPr>
          <a:ln w="3175">
            <a:solidFill>
              <a:schemeClr val="bg1">
                <a:lumMod val="50000"/>
              </a:schemeClr>
            </a:solidFill>
          </a:ln>
        </c:spPr>
        <c:txPr>
          <a:bodyPr/>
          <a:lstStyle/>
          <a:p>
            <a:pPr>
              <a:defRPr>
                <a:latin typeface="Times New Roman" pitchFamily="18" charset="0"/>
                <a:cs typeface="Times New Roman" pitchFamily="18" charset="0"/>
              </a:defRPr>
            </a:pPr>
            <a:endParaRPr lang="lv-LV"/>
          </a:p>
        </c:txPr>
        <c:crossAx val="86070400"/>
        <c:crosses val="autoZero"/>
        <c:crossBetween val="between"/>
        <c:majorUnit val="4"/>
      </c:valAx>
      <c:spPr>
        <a:ln>
          <a:noFill/>
        </a:ln>
      </c:spPr>
    </c:plotArea>
    <c:legend>
      <c:legendPos val="l"/>
      <c:layout>
        <c:manualLayout>
          <c:xMode val="edge"/>
          <c:yMode val="edge"/>
          <c:x val="0.10974728158980129"/>
          <c:y val="0"/>
          <c:w val="0.50076071594729588"/>
          <c:h val="0.23531442131377417"/>
        </c:manualLayout>
      </c:layout>
      <c:overlay val="1"/>
      <c:spPr>
        <a:noFill/>
      </c:spPr>
      <c:txPr>
        <a:bodyPr/>
        <a:lstStyle/>
        <a:p>
          <a:pPr>
            <a:defRPr sz="900">
              <a:latin typeface="Times New Roman" pitchFamily="18" charset="0"/>
              <a:cs typeface="Times New Roman" pitchFamily="18" charset="0"/>
            </a:defRPr>
          </a:pPr>
          <a:endParaRPr lang="lv-LV"/>
        </a:p>
      </c:txPr>
    </c:legend>
    <c:plotVisOnly val="1"/>
    <c:dispBlanksAs val="gap"/>
    <c:showDLblsOverMax val="0"/>
  </c:chart>
  <c:spPr>
    <a:ln>
      <a:noFill/>
    </a:ln>
  </c:spPr>
  <c:txPr>
    <a:bodyPr/>
    <a:lstStyle/>
    <a:p>
      <a:pPr>
        <a:defRPr sz="900" baseline="0">
          <a:latin typeface="Garamond" pitchFamily="18" charset="0"/>
          <a:cs typeface="Times New Roman"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02932785575716"/>
          <c:y val="5.0217495678893789E-2"/>
          <c:w val="0.9018518518518519"/>
          <c:h val="0.81310231481481454"/>
        </c:manualLayout>
      </c:layout>
      <c:lineChart>
        <c:grouping val="standard"/>
        <c:varyColors val="0"/>
        <c:ser>
          <c:idx val="0"/>
          <c:order val="0"/>
          <c:tx>
            <c:strRef>
              <c:f>Sheet1!$C$1</c:f>
              <c:strCache>
                <c:ptCount val="1"/>
                <c:pt idx="0">
                  <c:v>Produktivitāte</c:v>
                </c:pt>
              </c:strCache>
            </c:strRef>
          </c:tx>
          <c:spPr>
            <a:ln w="31750">
              <a:solidFill>
                <a:schemeClr val="accent2">
                  <a:lumMod val="75000"/>
                </a:schemeClr>
              </a:solidFill>
            </a:ln>
          </c:spPr>
          <c:marker>
            <c:symbol val="none"/>
          </c:marker>
          <c:cat>
            <c:multiLvlStrRef>
              <c:f>Sheet1!$A$2:$B$21</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2008</c:v>
                  </c:pt>
                  <c:pt idx="4">
                    <c:v>2009</c:v>
                  </c:pt>
                  <c:pt idx="8">
                    <c:v>2010</c:v>
                  </c:pt>
                  <c:pt idx="12">
                    <c:v>2011</c:v>
                  </c:pt>
                  <c:pt idx="16">
                    <c:v>2012</c:v>
                  </c:pt>
                </c:lvl>
              </c:multiLvlStrCache>
            </c:multiLvlStrRef>
          </c:cat>
          <c:val>
            <c:numRef>
              <c:f>Sheet1!$C$2:$C$21</c:f>
              <c:numCache>
                <c:formatCode>0.0</c:formatCode>
                <c:ptCount val="20"/>
                <c:pt idx="0">
                  <c:v>100.74553126942175</c:v>
                </c:pt>
                <c:pt idx="1">
                  <c:v>101.07385113528777</c:v>
                </c:pt>
                <c:pt idx="2">
                  <c:v>97.154327901275025</c:v>
                </c:pt>
                <c:pt idx="3">
                  <c:v>98.239830817781908</c:v>
                </c:pt>
                <c:pt idx="4">
                  <c:v>90.412499674272425</c:v>
                </c:pt>
                <c:pt idx="5">
                  <c:v>95.539094740860634</c:v>
                </c:pt>
                <c:pt idx="6">
                  <c:v>94.887711420211318</c:v>
                </c:pt>
                <c:pt idx="7">
                  <c:v>96.791343563208557</c:v>
                </c:pt>
                <c:pt idx="8">
                  <c:v>97.59043160964012</c:v>
                </c:pt>
                <c:pt idx="9">
                  <c:v>97.666978178940155</c:v>
                </c:pt>
                <c:pt idx="10">
                  <c:v>97.47854850811089</c:v>
                </c:pt>
                <c:pt idx="11">
                  <c:v>98.106341439258316</c:v>
                </c:pt>
                <c:pt idx="12">
                  <c:v>110.58696211985817</c:v>
                </c:pt>
                <c:pt idx="13">
                  <c:v>111.73158783696093</c:v>
                </c:pt>
                <c:pt idx="14">
                  <c:v>112.99509735338064</c:v>
                </c:pt>
                <c:pt idx="15">
                  <c:v>112.44360886781975</c:v>
                </c:pt>
                <c:pt idx="16">
                  <c:v>114.56529480432324</c:v>
                </c:pt>
                <c:pt idx="17">
                  <c:v>114.97268928960922</c:v>
                </c:pt>
                <c:pt idx="18">
                  <c:v>115.05018804330003</c:v>
                </c:pt>
                <c:pt idx="19">
                  <c:v>115.73638975693561</c:v>
                </c:pt>
              </c:numCache>
            </c:numRef>
          </c:val>
          <c:smooth val="0"/>
        </c:ser>
        <c:ser>
          <c:idx val="1"/>
          <c:order val="1"/>
          <c:tx>
            <c:strRef>
              <c:f>Sheet1!$D$1</c:f>
              <c:strCache>
                <c:ptCount val="1"/>
                <c:pt idx="0">
                  <c:v>Darbaspēka izmaksas</c:v>
                </c:pt>
              </c:strCache>
            </c:strRef>
          </c:tx>
          <c:spPr>
            <a:ln w="31750">
              <a:solidFill>
                <a:sysClr val="windowText" lastClr="000000"/>
              </a:solidFill>
            </a:ln>
          </c:spPr>
          <c:marker>
            <c:symbol val="none"/>
          </c:marker>
          <c:cat>
            <c:multiLvlStrRef>
              <c:f>Sheet1!$A$2:$B$21</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2008</c:v>
                  </c:pt>
                  <c:pt idx="4">
                    <c:v>2009</c:v>
                  </c:pt>
                  <c:pt idx="8">
                    <c:v>2010</c:v>
                  </c:pt>
                  <c:pt idx="12">
                    <c:v>2011</c:v>
                  </c:pt>
                  <c:pt idx="16">
                    <c:v>2012</c:v>
                  </c:pt>
                </c:lvl>
              </c:multiLvlStrCache>
            </c:multiLvlStrRef>
          </c:cat>
          <c:val>
            <c:numRef>
              <c:f>Sheet1!$D$2:$D$21</c:f>
              <c:numCache>
                <c:formatCode>0.0</c:formatCode>
                <c:ptCount val="20"/>
                <c:pt idx="0">
                  <c:v>132.02180451803349</c:v>
                </c:pt>
                <c:pt idx="1">
                  <c:v>136.74640617502754</c:v>
                </c:pt>
                <c:pt idx="2">
                  <c:v>143.91052747658057</c:v>
                </c:pt>
                <c:pt idx="3">
                  <c:v>144.3819345198969</c:v>
                </c:pt>
                <c:pt idx="4">
                  <c:v>128.990624688846</c:v>
                </c:pt>
                <c:pt idx="5">
                  <c:v>125.46291534975092</c:v>
                </c:pt>
                <c:pt idx="6">
                  <c:v>120.55807846816408</c:v>
                </c:pt>
                <c:pt idx="7">
                  <c:v>111.78256439190154</c:v>
                </c:pt>
                <c:pt idx="8">
                  <c:v>112.27225718373077</c:v>
                </c:pt>
                <c:pt idx="9">
                  <c:v>112.23021638014414</c:v>
                </c:pt>
                <c:pt idx="10">
                  <c:v>112.54353940208523</c:v>
                </c:pt>
                <c:pt idx="11">
                  <c:v>117.55961710094951</c:v>
                </c:pt>
                <c:pt idx="12">
                  <c:v>129.37411482690652</c:v>
                </c:pt>
                <c:pt idx="13">
                  <c:v>132.6321727005845</c:v>
                </c:pt>
                <c:pt idx="14">
                  <c:v>134.44920780737868</c:v>
                </c:pt>
                <c:pt idx="15">
                  <c:v>137.06270622606965</c:v>
                </c:pt>
                <c:pt idx="16">
                  <c:v>139.89578414246535</c:v>
                </c:pt>
                <c:pt idx="17">
                  <c:v>139.85887773031496</c:v>
                </c:pt>
                <c:pt idx="18">
                  <c:v>141.26485538373424</c:v>
                </c:pt>
                <c:pt idx="19">
                  <c:v>142.48433994442513</c:v>
                </c:pt>
              </c:numCache>
            </c:numRef>
          </c:val>
          <c:smooth val="0"/>
        </c:ser>
        <c:dLbls>
          <c:showLegendKey val="0"/>
          <c:showVal val="0"/>
          <c:showCatName val="0"/>
          <c:showSerName val="0"/>
          <c:showPercent val="0"/>
          <c:showBubbleSize val="0"/>
        </c:dLbls>
        <c:marker val="1"/>
        <c:smooth val="0"/>
        <c:axId val="86096896"/>
        <c:axId val="86106880"/>
      </c:lineChart>
      <c:catAx>
        <c:axId val="86096896"/>
        <c:scaling>
          <c:orientation val="minMax"/>
        </c:scaling>
        <c:delete val="0"/>
        <c:axPos val="b"/>
        <c:numFmt formatCode="General" sourceLinked="1"/>
        <c:majorTickMark val="out"/>
        <c:minorTickMark val="none"/>
        <c:tickLblPos val="nextTo"/>
        <c:spPr>
          <a:ln w="2953">
            <a:solidFill>
              <a:schemeClr val="bg1">
                <a:lumMod val="50000"/>
              </a:schemeClr>
            </a:solidFill>
          </a:ln>
        </c:spPr>
        <c:txPr>
          <a:bodyPr rot="0"/>
          <a:lstStyle/>
          <a:p>
            <a:pPr>
              <a:defRPr sz="800">
                <a:latin typeface="Times New Roman" pitchFamily="18" charset="0"/>
                <a:cs typeface="Times New Roman" pitchFamily="18" charset="0"/>
              </a:defRPr>
            </a:pPr>
            <a:endParaRPr lang="lv-LV"/>
          </a:p>
        </c:txPr>
        <c:crossAx val="86106880"/>
        <c:crosses val="autoZero"/>
        <c:auto val="1"/>
        <c:lblAlgn val="ctr"/>
        <c:lblOffset val="0"/>
        <c:noMultiLvlLbl val="1"/>
      </c:catAx>
      <c:valAx>
        <c:axId val="86106880"/>
        <c:scaling>
          <c:orientation val="minMax"/>
          <c:min val="90"/>
        </c:scaling>
        <c:delete val="0"/>
        <c:axPos val="l"/>
        <c:numFmt formatCode="0" sourceLinked="0"/>
        <c:majorTickMark val="out"/>
        <c:minorTickMark val="none"/>
        <c:tickLblPos val="nextTo"/>
        <c:spPr>
          <a:ln w="3175">
            <a:solidFill>
              <a:schemeClr val="bg1">
                <a:lumMod val="50000"/>
              </a:schemeClr>
            </a:solidFill>
          </a:ln>
        </c:spPr>
        <c:txPr>
          <a:bodyPr/>
          <a:lstStyle/>
          <a:p>
            <a:pPr>
              <a:defRPr>
                <a:latin typeface="Times New Roman" pitchFamily="18" charset="0"/>
                <a:cs typeface="Times New Roman" pitchFamily="18" charset="0"/>
              </a:defRPr>
            </a:pPr>
            <a:endParaRPr lang="lv-LV"/>
          </a:p>
        </c:txPr>
        <c:crossAx val="86096896"/>
        <c:crosses val="autoZero"/>
        <c:crossBetween val="between"/>
      </c:valAx>
      <c:spPr>
        <a:ln>
          <a:noFill/>
        </a:ln>
      </c:spPr>
    </c:plotArea>
    <c:legend>
      <c:legendPos val="l"/>
      <c:layout>
        <c:manualLayout>
          <c:xMode val="edge"/>
          <c:yMode val="edge"/>
          <c:x val="0.29601804791123515"/>
          <c:y val="2.4689840599193394E-2"/>
          <c:w val="0.48804641894679551"/>
          <c:h val="0.19154591977372692"/>
        </c:manualLayout>
      </c:layout>
      <c:overlay val="1"/>
      <c:spPr>
        <a:noFill/>
      </c:spPr>
      <c:txPr>
        <a:bodyPr/>
        <a:lstStyle/>
        <a:p>
          <a:pPr>
            <a:defRPr sz="900">
              <a:latin typeface="Times New Roman" pitchFamily="18" charset="0"/>
              <a:cs typeface="Times New Roman" pitchFamily="18" charset="0"/>
            </a:defRPr>
          </a:pPr>
          <a:endParaRPr lang="lv-LV"/>
        </a:p>
      </c:txPr>
    </c:legend>
    <c:plotVisOnly val="1"/>
    <c:dispBlanksAs val="gap"/>
    <c:showDLblsOverMax val="0"/>
  </c:chart>
  <c:spPr>
    <a:ln>
      <a:noFill/>
    </a:ln>
  </c:spPr>
  <c:txPr>
    <a:bodyPr/>
    <a:lstStyle/>
    <a:p>
      <a:pPr>
        <a:defRPr sz="900" baseline="0">
          <a:latin typeface="Garamond" pitchFamily="18" charset="0"/>
          <a:cs typeface="Times New Roman"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70268477865376E-2"/>
          <c:y val="2.7663156308432989E-2"/>
          <c:w val="0.90541377363290576"/>
          <c:h val="0.88412611074218117"/>
        </c:manualLayout>
      </c:layout>
      <c:barChart>
        <c:barDir val="col"/>
        <c:grouping val="stacked"/>
        <c:varyColors val="0"/>
        <c:ser>
          <c:idx val="4"/>
          <c:order val="0"/>
          <c:tx>
            <c:strRef>
              <c:f>Sheet1!$A$2</c:f>
              <c:strCache>
                <c:ptCount val="1"/>
                <c:pt idx="0">
                  <c:v>Pakalpojumu eksports</c:v>
                </c:pt>
              </c:strCache>
            </c:strRef>
          </c:tx>
          <c:spPr>
            <a:solidFill>
              <a:sysClr val="window" lastClr="FFFFFF">
                <a:lumMod val="85000"/>
              </a:sysClr>
            </a:solidFill>
            <a:ln w="6348">
              <a:solidFill>
                <a:srgbClr val="000000"/>
              </a:solidFill>
              <a:prstDash val="solid"/>
            </a:ln>
          </c:spPr>
          <c:invertIfNegative val="0"/>
          <c:dLbls>
            <c:dLbl>
              <c:idx val="0"/>
              <c:tx>
                <c:rich>
                  <a:bodyPr/>
                  <a:lstStyle/>
                  <a:p>
                    <a:r>
                      <a:rPr lang="lv-LV"/>
                      <a:t>29%</a:t>
                    </a:r>
                    <a:endParaRPr lang="en-US"/>
                  </a:p>
                </c:rich>
              </c:tx>
              <c:showLegendKey val="0"/>
              <c:showVal val="1"/>
              <c:showCatName val="0"/>
              <c:showSerName val="0"/>
              <c:showPercent val="0"/>
              <c:showBubbleSize val="0"/>
            </c:dLbl>
            <c:dLbl>
              <c:idx val="1"/>
              <c:tx>
                <c:rich>
                  <a:bodyPr/>
                  <a:lstStyle/>
                  <a:p>
                    <a:r>
                      <a:rPr lang="lv-LV"/>
                      <a:t>30%</a:t>
                    </a:r>
                    <a:endParaRPr lang="en-US"/>
                  </a:p>
                </c:rich>
              </c:tx>
              <c:showLegendKey val="0"/>
              <c:showVal val="1"/>
              <c:showCatName val="0"/>
              <c:showSerName val="0"/>
              <c:showPercent val="0"/>
              <c:showBubbleSize val="0"/>
            </c:dLbl>
            <c:dLbl>
              <c:idx val="2"/>
              <c:tx>
                <c:rich>
                  <a:bodyPr/>
                  <a:lstStyle/>
                  <a:p>
                    <a:r>
                      <a:rPr lang="lv-LV"/>
                      <a:t>31%</a:t>
                    </a:r>
                    <a:endParaRPr lang="en-US"/>
                  </a:p>
                </c:rich>
              </c:tx>
              <c:showLegendKey val="0"/>
              <c:showVal val="1"/>
              <c:showCatName val="0"/>
              <c:showSerName val="0"/>
              <c:showPercent val="0"/>
              <c:showBubbleSize val="0"/>
            </c:dLbl>
            <c:dLbl>
              <c:idx val="3"/>
              <c:tx>
                <c:rich>
                  <a:bodyPr/>
                  <a:lstStyle/>
                  <a:p>
                    <a:r>
                      <a:rPr lang="lv-LV"/>
                      <a:t>32%</a:t>
                    </a:r>
                    <a:endParaRPr lang="en-US"/>
                  </a:p>
                </c:rich>
              </c:tx>
              <c:showLegendKey val="0"/>
              <c:showVal val="1"/>
              <c:showCatName val="0"/>
              <c:showSerName val="0"/>
              <c:showPercent val="0"/>
              <c:showBubbleSize val="0"/>
            </c:dLbl>
            <c:dLbl>
              <c:idx val="4"/>
              <c:tx>
                <c:rich>
                  <a:bodyPr/>
                  <a:lstStyle/>
                  <a:p>
                    <a:r>
                      <a:rPr lang="lv-LV"/>
                      <a:t>34%</a:t>
                    </a:r>
                    <a:endParaRPr lang="en-US"/>
                  </a:p>
                </c:rich>
              </c:tx>
              <c:showLegendKey val="0"/>
              <c:showVal val="1"/>
              <c:showCatName val="0"/>
              <c:showSerName val="0"/>
              <c:showPercent val="0"/>
              <c:showBubbleSize val="0"/>
            </c:dLbl>
            <c:dLbl>
              <c:idx val="5"/>
              <c:tx>
                <c:rich>
                  <a:bodyPr/>
                  <a:lstStyle/>
                  <a:p>
                    <a:r>
                      <a:rPr lang="lv-LV"/>
                      <a:t>29%</a:t>
                    </a:r>
                    <a:endParaRPr lang="en-US"/>
                  </a:p>
                </c:rich>
              </c:tx>
              <c:showLegendKey val="0"/>
              <c:showVal val="1"/>
              <c:showCatName val="0"/>
              <c:showSerName val="0"/>
              <c:showPercent val="0"/>
              <c:showBubbleSize val="0"/>
            </c:dLbl>
            <c:dLbl>
              <c:idx val="6"/>
              <c:tx>
                <c:rich>
                  <a:bodyPr/>
                  <a:lstStyle/>
                  <a:p>
                    <a:r>
                      <a:rPr lang="lv-LV"/>
                      <a:t>27%</a:t>
                    </a:r>
                    <a:endParaRPr lang="en-US"/>
                  </a:p>
                </c:rich>
              </c:tx>
              <c:showLegendKey val="0"/>
              <c:showVal val="1"/>
              <c:showCatName val="0"/>
              <c:showSerName val="0"/>
              <c:showPercent val="0"/>
              <c:showBubbleSize val="0"/>
            </c:dLbl>
            <c:dLbl>
              <c:idx val="7"/>
              <c:tx>
                <c:rich>
                  <a:bodyPr/>
                  <a:lstStyle/>
                  <a:p>
                    <a:r>
                      <a:rPr lang="lv-LV"/>
                      <a:t>26%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Sheet1!$B$1:$K$1</c:f>
              <c:numCache>
                <c:formatCode>General</c:formatCode>
                <c:ptCount val="8"/>
                <c:pt idx="0">
                  <c:v>2005</c:v>
                </c:pt>
                <c:pt idx="1">
                  <c:v>2006</c:v>
                </c:pt>
                <c:pt idx="2">
                  <c:v>2007</c:v>
                </c:pt>
                <c:pt idx="3">
                  <c:v>2008</c:v>
                </c:pt>
                <c:pt idx="4">
                  <c:v>2009</c:v>
                </c:pt>
                <c:pt idx="5">
                  <c:v>2010</c:v>
                </c:pt>
                <c:pt idx="6">
                  <c:v>2011</c:v>
                </c:pt>
                <c:pt idx="7">
                  <c:v>2012</c:v>
                </c:pt>
              </c:numCache>
            </c:numRef>
          </c:cat>
          <c:val>
            <c:numRef>
              <c:f>Sheet1!$B$2:$K$2</c:f>
              <c:numCache>
                <c:formatCode>0.0</c:formatCode>
                <c:ptCount val="8"/>
                <c:pt idx="0">
                  <c:v>1225</c:v>
                </c:pt>
                <c:pt idx="1">
                  <c:v>1476.6</c:v>
                </c:pt>
                <c:pt idx="2">
                  <c:v>1894.7</c:v>
                </c:pt>
                <c:pt idx="3">
                  <c:v>2169.6999999999998</c:v>
                </c:pt>
                <c:pt idx="4">
                  <c:v>1937.3</c:v>
                </c:pt>
                <c:pt idx="5" formatCode="General">
                  <c:v>1952.3290000000002</c:v>
                </c:pt>
                <c:pt idx="6" formatCode="General">
                  <c:v>2246.3870000000002</c:v>
                </c:pt>
                <c:pt idx="7" formatCode="General">
                  <c:v>2472.8389999999999</c:v>
                </c:pt>
              </c:numCache>
            </c:numRef>
          </c:val>
        </c:ser>
        <c:ser>
          <c:idx val="1"/>
          <c:order val="1"/>
          <c:tx>
            <c:strRef>
              <c:f>Sheet1!$A$3</c:f>
              <c:strCache>
                <c:ptCount val="1"/>
                <c:pt idx="0">
                  <c:v>Preču eksports</c:v>
                </c:pt>
              </c:strCache>
            </c:strRef>
          </c:tx>
          <c:spPr>
            <a:solidFill>
              <a:srgbClr val="7E0000"/>
            </a:solidFill>
            <a:ln w="3133">
              <a:solidFill>
                <a:sysClr val="windowText" lastClr="000000"/>
              </a:solidFill>
              <a:prstDash val="solid"/>
            </a:ln>
          </c:spPr>
          <c:invertIfNegative val="0"/>
          <c:dLbls>
            <c:dLbl>
              <c:idx val="0"/>
              <c:tx>
                <c:rich>
                  <a:bodyPr/>
                  <a:lstStyle/>
                  <a:p>
                    <a:r>
                      <a:rPr lang="lv-LV"/>
                      <a:t>71%</a:t>
                    </a:r>
                    <a:endParaRPr lang="en-US"/>
                  </a:p>
                </c:rich>
              </c:tx>
              <c:showLegendKey val="0"/>
              <c:showVal val="1"/>
              <c:showCatName val="0"/>
              <c:showSerName val="0"/>
              <c:showPercent val="0"/>
              <c:showBubbleSize val="0"/>
            </c:dLbl>
            <c:dLbl>
              <c:idx val="1"/>
              <c:tx>
                <c:rich>
                  <a:bodyPr/>
                  <a:lstStyle/>
                  <a:p>
                    <a:r>
                      <a:rPr lang="lv-LV"/>
                      <a:t>70%</a:t>
                    </a:r>
                    <a:endParaRPr lang="en-US"/>
                  </a:p>
                </c:rich>
              </c:tx>
              <c:showLegendKey val="0"/>
              <c:showVal val="1"/>
              <c:showCatName val="0"/>
              <c:showSerName val="0"/>
              <c:showPercent val="0"/>
              <c:showBubbleSize val="0"/>
            </c:dLbl>
            <c:dLbl>
              <c:idx val="2"/>
              <c:tx>
                <c:rich>
                  <a:bodyPr/>
                  <a:lstStyle/>
                  <a:p>
                    <a:r>
                      <a:rPr lang="lv-LV"/>
                      <a:t>69%</a:t>
                    </a:r>
                    <a:endParaRPr lang="en-US"/>
                  </a:p>
                </c:rich>
              </c:tx>
              <c:showLegendKey val="0"/>
              <c:showVal val="1"/>
              <c:showCatName val="0"/>
              <c:showSerName val="0"/>
              <c:showPercent val="0"/>
              <c:showBubbleSize val="0"/>
            </c:dLbl>
            <c:dLbl>
              <c:idx val="3"/>
              <c:tx>
                <c:rich>
                  <a:bodyPr/>
                  <a:lstStyle/>
                  <a:p>
                    <a:r>
                      <a:rPr lang="lv-LV"/>
                      <a:t>68%</a:t>
                    </a:r>
                    <a:endParaRPr lang="en-US"/>
                  </a:p>
                </c:rich>
              </c:tx>
              <c:showLegendKey val="0"/>
              <c:showVal val="1"/>
              <c:showCatName val="0"/>
              <c:showSerName val="0"/>
              <c:showPercent val="0"/>
              <c:showBubbleSize val="0"/>
            </c:dLbl>
            <c:dLbl>
              <c:idx val="4"/>
              <c:tx>
                <c:rich>
                  <a:bodyPr/>
                  <a:lstStyle/>
                  <a:p>
                    <a:r>
                      <a:rPr lang="lv-LV"/>
                      <a:t>66%</a:t>
                    </a:r>
                    <a:endParaRPr lang="en-US"/>
                  </a:p>
                </c:rich>
              </c:tx>
              <c:showLegendKey val="0"/>
              <c:showVal val="1"/>
              <c:showCatName val="0"/>
              <c:showSerName val="0"/>
              <c:showPercent val="0"/>
              <c:showBubbleSize val="0"/>
            </c:dLbl>
            <c:dLbl>
              <c:idx val="5"/>
              <c:tx>
                <c:rich>
                  <a:bodyPr/>
                  <a:lstStyle/>
                  <a:p>
                    <a:r>
                      <a:rPr lang="lv-LV"/>
                      <a:t>71%</a:t>
                    </a:r>
                    <a:endParaRPr lang="en-US"/>
                  </a:p>
                </c:rich>
              </c:tx>
              <c:showLegendKey val="0"/>
              <c:showVal val="1"/>
              <c:showCatName val="0"/>
              <c:showSerName val="0"/>
              <c:showPercent val="0"/>
              <c:showBubbleSize val="0"/>
            </c:dLbl>
            <c:dLbl>
              <c:idx val="6"/>
              <c:tx>
                <c:rich>
                  <a:bodyPr/>
                  <a:lstStyle/>
                  <a:p>
                    <a:r>
                      <a:rPr lang="lv-LV"/>
                      <a:t>73%</a:t>
                    </a:r>
                    <a:endParaRPr lang="en-US"/>
                  </a:p>
                </c:rich>
              </c:tx>
              <c:showLegendKey val="0"/>
              <c:showVal val="1"/>
              <c:showCatName val="0"/>
              <c:showSerName val="0"/>
              <c:showPercent val="0"/>
              <c:showBubbleSize val="0"/>
            </c:dLbl>
            <c:dLbl>
              <c:idx val="7"/>
              <c:tx>
                <c:rich>
                  <a:bodyPr/>
                  <a:lstStyle/>
                  <a:p>
                    <a:r>
                      <a:rPr lang="lv-LV"/>
                      <a:t>74%</a:t>
                    </a:r>
                    <a:endParaRPr lang="en-US"/>
                  </a:p>
                </c:rich>
              </c:tx>
              <c:showLegendKey val="0"/>
              <c:showVal val="1"/>
              <c:showCatName val="0"/>
              <c:showSerName val="0"/>
              <c:showPercent val="0"/>
              <c:showBubbleSize val="0"/>
            </c:dLbl>
            <c:txPr>
              <a:bodyPr/>
              <a:lstStyle/>
              <a:p>
                <a:pPr>
                  <a:defRPr>
                    <a:solidFill>
                      <a:schemeClr val="bg1"/>
                    </a:solidFill>
                  </a:defRPr>
                </a:pPr>
                <a:endParaRPr lang="lv-LV"/>
              </a:p>
            </c:txPr>
            <c:showLegendKey val="0"/>
            <c:showVal val="1"/>
            <c:showCatName val="0"/>
            <c:showSerName val="0"/>
            <c:showPercent val="0"/>
            <c:showBubbleSize val="0"/>
            <c:showLeaderLines val="0"/>
          </c:dLbls>
          <c:cat>
            <c:numRef>
              <c:f>Sheet1!$B$1:$K$1</c:f>
              <c:numCache>
                <c:formatCode>General</c:formatCode>
                <c:ptCount val="8"/>
                <c:pt idx="0">
                  <c:v>2005</c:v>
                </c:pt>
                <c:pt idx="1">
                  <c:v>2006</c:v>
                </c:pt>
                <c:pt idx="2">
                  <c:v>2007</c:v>
                </c:pt>
                <c:pt idx="3">
                  <c:v>2008</c:v>
                </c:pt>
                <c:pt idx="4">
                  <c:v>2009</c:v>
                </c:pt>
                <c:pt idx="5">
                  <c:v>2010</c:v>
                </c:pt>
                <c:pt idx="6">
                  <c:v>2011</c:v>
                </c:pt>
                <c:pt idx="7">
                  <c:v>2012</c:v>
                </c:pt>
              </c:numCache>
            </c:numRef>
          </c:cat>
          <c:val>
            <c:numRef>
              <c:f>Sheet1!$B$3:$K$3</c:f>
              <c:numCache>
                <c:formatCode>0.0</c:formatCode>
                <c:ptCount val="8"/>
                <c:pt idx="0">
                  <c:v>3031.3</c:v>
                </c:pt>
                <c:pt idx="1">
                  <c:v>3431.8</c:v>
                </c:pt>
                <c:pt idx="2">
                  <c:v>4214.3999999999996</c:v>
                </c:pt>
                <c:pt idx="3">
                  <c:v>4587.1000000000004</c:v>
                </c:pt>
                <c:pt idx="4">
                  <c:v>3708.2</c:v>
                </c:pt>
                <c:pt idx="5">
                  <c:v>4830</c:v>
                </c:pt>
                <c:pt idx="6" formatCode="0">
                  <c:v>6058.4870000000001</c:v>
                </c:pt>
                <c:pt idx="7" formatCode="0">
                  <c:v>6917.2829999999994</c:v>
                </c:pt>
              </c:numCache>
            </c:numRef>
          </c:val>
        </c:ser>
        <c:dLbls>
          <c:showLegendKey val="0"/>
          <c:showVal val="1"/>
          <c:showCatName val="0"/>
          <c:showSerName val="0"/>
          <c:showPercent val="0"/>
          <c:showBubbleSize val="0"/>
        </c:dLbls>
        <c:gapWidth val="47"/>
        <c:overlap val="100"/>
        <c:axId val="84720640"/>
        <c:axId val="86139648"/>
      </c:barChart>
      <c:catAx>
        <c:axId val="84720640"/>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a:pPr>
            <a:endParaRPr lang="lv-LV"/>
          </a:p>
        </c:txPr>
        <c:crossAx val="86139648"/>
        <c:crosses val="autoZero"/>
        <c:auto val="0"/>
        <c:lblAlgn val="ctr"/>
        <c:lblOffset val="0"/>
        <c:tickLblSkip val="1"/>
        <c:tickMarkSkip val="1"/>
        <c:noMultiLvlLbl val="0"/>
      </c:catAx>
      <c:valAx>
        <c:axId val="86139648"/>
        <c:scaling>
          <c:orientation val="minMax"/>
          <c:max val="9000"/>
          <c:min val="0"/>
        </c:scaling>
        <c:delete val="0"/>
        <c:axPos val="l"/>
        <c:numFmt formatCode="0" sourceLinked="0"/>
        <c:majorTickMark val="out"/>
        <c:minorTickMark val="none"/>
        <c:tickLblPos val="nextTo"/>
        <c:spPr>
          <a:noFill/>
          <a:ln w="3174">
            <a:solidFill>
              <a:srgbClr val="000000"/>
            </a:solidFill>
            <a:prstDash val="solid"/>
          </a:ln>
        </c:spPr>
        <c:txPr>
          <a:bodyPr rot="0" vert="horz"/>
          <a:lstStyle/>
          <a:p>
            <a:pPr>
              <a:defRPr/>
            </a:pPr>
            <a:endParaRPr lang="lv-LV"/>
          </a:p>
        </c:txPr>
        <c:crossAx val="84720640"/>
        <c:crosses val="autoZero"/>
        <c:crossBetween val="between"/>
        <c:majorUnit val="1500"/>
      </c:valAx>
      <c:spPr>
        <a:solidFill>
          <a:srgbClr val="FFFFFF"/>
        </a:solidFill>
        <a:ln w="25095">
          <a:noFill/>
        </a:ln>
      </c:spPr>
    </c:plotArea>
    <c:legend>
      <c:legendPos val="r"/>
      <c:layout>
        <c:manualLayout>
          <c:xMode val="edge"/>
          <c:yMode val="edge"/>
          <c:x val="0.15919460422057172"/>
          <c:y val="5.9999435554426654E-2"/>
          <c:w val="0.39343844430793667"/>
          <c:h val="0.14271140838577975"/>
        </c:manualLayout>
      </c:layout>
      <c:overlay val="0"/>
      <c:spPr>
        <a:noFill/>
        <a:ln w="3133">
          <a:noFill/>
          <a:prstDash val="solid"/>
        </a:ln>
      </c:spPr>
    </c:legend>
    <c:plotVisOnly val="1"/>
    <c:dispBlanksAs val="gap"/>
    <c:showDLblsOverMax val="0"/>
  </c:chart>
  <c:spPr>
    <a:noFill/>
    <a:ln>
      <a:noFill/>
    </a:ln>
  </c:spPr>
  <c:txPr>
    <a:bodyPr/>
    <a:lstStyle/>
    <a:p>
      <a:pPr>
        <a:defRPr sz="1000" b="0" i="0" u="none" strike="noStrike" baseline="0">
          <a:solidFill>
            <a:sysClr val="windowText" lastClr="000000"/>
          </a:solidFill>
          <a:latin typeface="Times New Roman" pitchFamily="18" charset="0"/>
          <a:ea typeface="Arial"/>
          <a:cs typeface="Times New Roman" pitchFamily="18" charset="0"/>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54180727409064E-2"/>
          <c:y val="2.9390422582719442E-2"/>
          <c:w val="0.49255158209390498"/>
          <c:h val="0.88412611074218117"/>
        </c:manualLayout>
      </c:layout>
      <c:barChart>
        <c:barDir val="col"/>
        <c:grouping val="stacked"/>
        <c:varyColors val="0"/>
        <c:ser>
          <c:idx val="4"/>
          <c:order val="0"/>
          <c:tx>
            <c:strRef>
              <c:f>Sheet1!$A$2</c:f>
              <c:strCache>
                <c:ptCount val="1"/>
                <c:pt idx="0">
                  <c:v>Pārējās preces</c:v>
                </c:pt>
              </c:strCache>
            </c:strRef>
          </c:tx>
          <c:spPr>
            <a:solidFill>
              <a:sysClr val="window" lastClr="FFFFFF">
                <a:lumMod val="65000"/>
              </a:sysClr>
            </a:solidFill>
            <a:ln w="3175">
              <a:solidFill>
                <a:sysClr val="windowText" lastClr="000000"/>
              </a:solidFill>
              <a:prstDash val="solid"/>
            </a:ln>
          </c:spPr>
          <c:invertIfNegative val="0"/>
          <c:dLbls>
            <c:dLbl>
              <c:idx val="0"/>
              <c:tx>
                <c:rich>
                  <a:bodyPr/>
                  <a:lstStyle/>
                  <a:p>
                    <a:r>
                      <a:rPr lang="en-US" sz="1000" b="0" smtClean="0">
                        <a:latin typeface="Times New Roman" pitchFamily="18" charset="0"/>
                        <a:cs typeface="Times New Roman" pitchFamily="18" charset="0"/>
                      </a:rPr>
                      <a:t>2</a:t>
                    </a:r>
                    <a:r>
                      <a:rPr lang="en-US" b="0" smtClean="0">
                        <a:latin typeface="Times New Roman" pitchFamily="18" charset="0"/>
                        <a:cs typeface="Times New Roman" pitchFamily="18" charset="0"/>
                      </a:rPr>
                      <a:t>8</a:t>
                    </a:r>
                    <a:r>
                      <a:rPr lang="lv-LV" b="0" smtClean="0">
                        <a:latin typeface="Times New Roman" pitchFamily="18" charset="0"/>
                        <a:cs typeface="Times New Roman" pitchFamily="18" charset="0"/>
                      </a:rPr>
                      <a:t>%</a:t>
                    </a:r>
                    <a:endParaRPr lang="en-US"/>
                  </a:p>
                </c:rich>
              </c:tx>
              <c:showLegendKey val="0"/>
              <c:showVal val="0"/>
              <c:showCatName val="0"/>
              <c:showSerName val="0"/>
              <c:showPercent val="0"/>
              <c:showBubbleSize val="0"/>
            </c:dLbl>
            <c:dLbl>
              <c:idx val="1"/>
              <c:tx>
                <c:rich>
                  <a:bodyPr/>
                  <a:lstStyle/>
                  <a:p>
                    <a:r>
                      <a:rPr lang="en-US" sz="1000" b="0" smtClean="0">
                        <a:latin typeface="Times New Roman" pitchFamily="18" charset="0"/>
                        <a:cs typeface="Times New Roman" pitchFamily="18" charset="0"/>
                      </a:rPr>
                      <a:t>2</a:t>
                    </a:r>
                    <a:r>
                      <a:rPr lang="en-US" b="0" smtClean="0">
                        <a:latin typeface="Times New Roman" pitchFamily="18" charset="0"/>
                        <a:cs typeface="Times New Roman" pitchFamily="18" charset="0"/>
                      </a:rPr>
                      <a:t>0</a:t>
                    </a:r>
                    <a:r>
                      <a:rPr lang="lv-LV" b="0" smtClean="0">
                        <a:latin typeface="Times New Roman" pitchFamily="18" charset="0"/>
                        <a:cs typeface="Times New Roman" pitchFamily="18" charset="0"/>
                      </a:rPr>
                      <a:t>%</a:t>
                    </a:r>
                    <a:endParaRPr lang="en-US"/>
                  </a:p>
                </c:rich>
              </c:tx>
              <c:showLegendKey val="0"/>
              <c:showVal val="0"/>
              <c:showCatName val="0"/>
              <c:showSerName val="0"/>
              <c:showPercent val="0"/>
              <c:showBubbleSize val="0"/>
            </c:dLbl>
            <c:dLbl>
              <c:idx val="2"/>
              <c:tx>
                <c:rich>
                  <a:bodyPr/>
                  <a:lstStyle/>
                  <a:p>
                    <a:r>
                      <a:rPr lang="lv-LV" sz="1000" b="0" dirty="0" smtClean="0">
                        <a:latin typeface="Times New Roman" pitchFamily="18" charset="0"/>
                        <a:cs typeface="Times New Roman" pitchFamily="18" charset="0"/>
                      </a:rPr>
                      <a:t>22</a:t>
                    </a:r>
                    <a:r>
                      <a:rPr lang="lv-LV" b="0" dirty="0" smtClean="0">
                        <a:latin typeface="Times New Roman" pitchFamily="18" charset="0"/>
                        <a:cs typeface="Times New Roman" pitchFamily="18" charset="0"/>
                      </a:rPr>
                      <a:t>%</a:t>
                    </a:r>
                    <a:endParaRPr lang="en-US" dirty="0"/>
                  </a:p>
                </c:rich>
              </c:tx>
              <c:showLegendKey val="0"/>
              <c:showVal val="0"/>
              <c:showCatName val="0"/>
              <c:showSerName val="0"/>
              <c:showPercent val="0"/>
              <c:showBubbleSize val="0"/>
            </c:dLbl>
            <c:txPr>
              <a:bodyPr/>
              <a:lstStyle/>
              <a:p>
                <a:pPr>
                  <a:defRPr b="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numRef>
              <c:f>Sheet1!$D$1:$F$1</c:f>
              <c:numCache>
                <c:formatCode>General</c:formatCode>
                <c:ptCount val="3"/>
                <c:pt idx="0">
                  <c:v>2000</c:v>
                </c:pt>
                <c:pt idx="1">
                  <c:v>2007</c:v>
                </c:pt>
                <c:pt idx="2">
                  <c:v>2011</c:v>
                </c:pt>
              </c:numCache>
            </c:numRef>
          </c:cat>
          <c:val>
            <c:numRef>
              <c:f>Sheet1!$B$2:$F$2</c:f>
              <c:numCache>
                <c:formatCode>0</c:formatCode>
                <c:ptCount val="3"/>
                <c:pt idx="0">
                  <c:v>28</c:v>
                </c:pt>
                <c:pt idx="1">
                  <c:v>20</c:v>
                </c:pt>
                <c:pt idx="2">
                  <c:v>22.214568352533661</c:v>
                </c:pt>
              </c:numCache>
            </c:numRef>
          </c:val>
        </c:ser>
        <c:ser>
          <c:idx val="1"/>
          <c:order val="1"/>
          <c:tx>
            <c:strRef>
              <c:f>Sheet1!$A$3</c:f>
              <c:strCache>
                <c:ptCount val="1"/>
                <c:pt idx="0">
                  <c:v>Ķīmiskās rūpniecības, tās saskarnozaru produkcija</c:v>
                </c:pt>
              </c:strCache>
            </c:strRef>
          </c:tx>
          <c:spPr>
            <a:solidFill>
              <a:sysClr val="window" lastClr="FFFFFF">
                <a:lumMod val="85000"/>
              </a:sysClr>
            </a:solidFill>
            <a:ln w="3134">
              <a:solidFill>
                <a:sysClr val="windowText" lastClr="000000"/>
              </a:solidFill>
              <a:prstDash val="solid"/>
            </a:ln>
          </c:spPr>
          <c:invertIfNegative val="0"/>
          <c:dLbls>
            <c:dLbl>
              <c:idx val="0"/>
              <c:tx>
                <c:rich>
                  <a:bodyPr/>
                  <a:lstStyle/>
                  <a:p>
                    <a:r>
                      <a:rPr lang="en-US" sz="1000" b="0" smtClean="0">
                        <a:latin typeface="Times New Roman" pitchFamily="18" charset="0"/>
                        <a:cs typeface="Times New Roman" pitchFamily="18" charset="0"/>
                      </a:rPr>
                      <a:t>8</a:t>
                    </a:r>
                    <a:r>
                      <a:rPr lang="lv-LV" b="0" smtClean="0">
                        <a:latin typeface="Times New Roman" pitchFamily="18" charset="0"/>
                        <a:cs typeface="Times New Roman" pitchFamily="18" charset="0"/>
                      </a:rPr>
                      <a:t>%</a:t>
                    </a:r>
                    <a:endParaRPr lang="en-US"/>
                  </a:p>
                </c:rich>
              </c:tx>
              <c:showLegendKey val="0"/>
              <c:showVal val="0"/>
              <c:showCatName val="0"/>
              <c:showSerName val="0"/>
              <c:showPercent val="0"/>
              <c:showBubbleSize val="0"/>
            </c:dLbl>
            <c:dLbl>
              <c:idx val="1"/>
              <c:tx>
                <c:rich>
                  <a:bodyPr/>
                  <a:lstStyle/>
                  <a:p>
                    <a:r>
                      <a:rPr lang="en-US" sz="1000" b="0" smtClean="0">
                        <a:latin typeface="Times New Roman" pitchFamily="18" charset="0"/>
                        <a:cs typeface="Times New Roman" pitchFamily="18" charset="0"/>
                      </a:rPr>
                      <a:t>1</a:t>
                    </a:r>
                    <a:r>
                      <a:rPr lang="en-US" b="0" smtClean="0">
                        <a:latin typeface="Times New Roman" pitchFamily="18" charset="0"/>
                        <a:cs typeface="Times New Roman" pitchFamily="18" charset="0"/>
                      </a:rPr>
                      <a:t>0</a:t>
                    </a:r>
                    <a:r>
                      <a:rPr lang="lv-LV" b="0" smtClean="0">
                        <a:latin typeface="Times New Roman" pitchFamily="18" charset="0"/>
                        <a:cs typeface="Times New Roman" pitchFamily="18" charset="0"/>
                      </a:rPr>
                      <a:t>%</a:t>
                    </a:r>
                    <a:endParaRPr lang="en-US"/>
                  </a:p>
                </c:rich>
              </c:tx>
              <c:showLegendKey val="0"/>
              <c:showVal val="0"/>
              <c:showCatName val="0"/>
              <c:showSerName val="0"/>
              <c:showPercent val="0"/>
              <c:showBubbleSize val="0"/>
            </c:dLbl>
            <c:dLbl>
              <c:idx val="2"/>
              <c:tx>
                <c:rich>
                  <a:bodyPr/>
                  <a:lstStyle/>
                  <a:p>
                    <a:r>
                      <a:rPr lang="en-US" sz="1000" b="0" dirty="0" smtClean="0">
                        <a:latin typeface="Times New Roman" pitchFamily="18" charset="0"/>
                        <a:cs typeface="Times New Roman" pitchFamily="18" charset="0"/>
                      </a:rPr>
                      <a:t>1</a:t>
                    </a:r>
                    <a:r>
                      <a:rPr lang="en-US" b="0" dirty="0" smtClean="0">
                        <a:latin typeface="Times New Roman" pitchFamily="18" charset="0"/>
                        <a:cs typeface="Times New Roman" pitchFamily="18" charset="0"/>
                      </a:rPr>
                      <a:t>1</a:t>
                    </a:r>
                    <a:r>
                      <a:rPr lang="lv-LV" b="0" dirty="0" smtClean="0">
                        <a:latin typeface="Times New Roman" pitchFamily="18" charset="0"/>
                        <a:cs typeface="Times New Roman" pitchFamily="18" charset="0"/>
                      </a:rPr>
                      <a:t>%</a:t>
                    </a:r>
                    <a:endParaRPr lang="en-US" dirty="0"/>
                  </a:p>
                </c:rich>
              </c:tx>
              <c:showLegendKey val="0"/>
              <c:showVal val="0"/>
              <c:showCatName val="0"/>
              <c:showSerName val="0"/>
              <c:showPercent val="0"/>
              <c:showBubbleSize val="0"/>
            </c:dLbl>
            <c:txPr>
              <a:bodyPr/>
              <a:lstStyle/>
              <a:p>
                <a:pPr>
                  <a:defRPr b="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numRef>
              <c:f>Sheet1!$D$1:$F$1</c:f>
              <c:numCache>
                <c:formatCode>General</c:formatCode>
                <c:ptCount val="3"/>
                <c:pt idx="0">
                  <c:v>2000</c:v>
                </c:pt>
                <c:pt idx="1">
                  <c:v>2007</c:v>
                </c:pt>
                <c:pt idx="2">
                  <c:v>2011</c:v>
                </c:pt>
              </c:numCache>
            </c:numRef>
          </c:cat>
          <c:val>
            <c:numRef>
              <c:f>Sheet1!$B$3:$F$3</c:f>
              <c:numCache>
                <c:formatCode>0</c:formatCode>
                <c:ptCount val="3"/>
                <c:pt idx="0">
                  <c:v>8</c:v>
                </c:pt>
                <c:pt idx="1">
                  <c:v>10</c:v>
                </c:pt>
                <c:pt idx="2">
                  <c:v>10.700172699647327</c:v>
                </c:pt>
              </c:numCache>
            </c:numRef>
          </c:val>
        </c:ser>
        <c:ser>
          <c:idx val="3"/>
          <c:order val="2"/>
          <c:tx>
            <c:strRef>
              <c:f>Sheet1!$A$4</c:f>
              <c:strCache>
                <c:ptCount val="1"/>
                <c:pt idx="0">
                  <c:v>Lauksaimniecības un pārtikas produkti</c:v>
                </c:pt>
              </c:strCache>
            </c:strRef>
          </c:tx>
          <c:spPr>
            <a:solidFill>
              <a:srgbClr val="FFFFFF">
                <a:lumMod val="95000"/>
              </a:srgbClr>
            </a:solidFill>
            <a:ln w="3134">
              <a:solidFill>
                <a:sysClr val="windowText" lastClr="000000"/>
              </a:solidFill>
              <a:prstDash val="solid"/>
            </a:ln>
          </c:spPr>
          <c:invertIfNegative val="0"/>
          <c:dLbls>
            <c:dLbl>
              <c:idx val="0"/>
              <c:tx>
                <c:rich>
                  <a:bodyPr/>
                  <a:lstStyle/>
                  <a:p>
                    <a:r>
                      <a:rPr lang="en-US" sz="1000" b="0" smtClean="0">
                        <a:latin typeface="Times New Roman" pitchFamily="18" charset="0"/>
                        <a:cs typeface="Times New Roman" pitchFamily="18" charset="0"/>
                      </a:rPr>
                      <a:t>6</a:t>
                    </a:r>
                    <a:r>
                      <a:rPr lang="lv-LV" b="0" smtClean="0">
                        <a:latin typeface="Times New Roman" pitchFamily="18" charset="0"/>
                        <a:cs typeface="Times New Roman" pitchFamily="18" charset="0"/>
                      </a:rPr>
                      <a:t>%</a:t>
                    </a:r>
                    <a:endParaRPr lang="en-US" dirty="0"/>
                  </a:p>
                </c:rich>
              </c:tx>
              <c:showLegendKey val="0"/>
              <c:showVal val="0"/>
              <c:showCatName val="0"/>
              <c:showSerName val="0"/>
              <c:showPercent val="0"/>
              <c:showBubbleSize val="0"/>
            </c:dLbl>
            <c:dLbl>
              <c:idx val="1"/>
              <c:tx>
                <c:rich>
                  <a:bodyPr/>
                  <a:lstStyle/>
                  <a:p>
                    <a:r>
                      <a:rPr lang="en-US" sz="1000" b="0" smtClean="0">
                        <a:latin typeface="Times New Roman" pitchFamily="18" charset="0"/>
                        <a:cs typeface="Times New Roman" pitchFamily="18" charset="0"/>
                      </a:rPr>
                      <a:t>1</a:t>
                    </a:r>
                    <a:r>
                      <a:rPr lang="en-US" b="0" smtClean="0">
                        <a:latin typeface="Times New Roman" pitchFamily="18" charset="0"/>
                        <a:cs typeface="Times New Roman" pitchFamily="18" charset="0"/>
                      </a:rPr>
                      <a:t>4</a:t>
                    </a:r>
                    <a:r>
                      <a:rPr lang="lv-LV" b="0" smtClean="0">
                        <a:latin typeface="Times New Roman" pitchFamily="18" charset="0"/>
                        <a:cs typeface="Times New Roman" pitchFamily="18" charset="0"/>
                      </a:rPr>
                      <a:t>%</a:t>
                    </a:r>
                    <a:endParaRPr lang="en-US"/>
                  </a:p>
                </c:rich>
              </c:tx>
              <c:showLegendKey val="0"/>
              <c:showVal val="0"/>
              <c:showCatName val="0"/>
              <c:showSerName val="0"/>
              <c:showPercent val="0"/>
              <c:showBubbleSize val="0"/>
            </c:dLbl>
            <c:dLbl>
              <c:idx val="2"/>
              <c:layout>
                <c:manualLayout>
                  <c:x val="0"/>
                  <c:y val="0"/>
                </c:manualLayout>
              </c:layout>
              <c:tx>
                <c:rich>
                  <a:bodyPr/>
                  <a:lstStyle/>
                  <a:p>
                    <a:r>
                      <a:rPr lang="lv-LV" sz="1000" b="0" dirty="0" smtClean="0">
                        <a:latin typeface="Times New Roman" pitchFamily="18" charset="0"/>
                        <a:cs typeface="Times New Roman" pitchFamily="18" charset="0"/>
                      </a:rPr>
                      <a:t>1</a:t>
                    </a:r>
                    <a:r>
                      <a:rPr lang="lv-LV" b="0" dirty="0" smtClean="0">
                        <a:latin typeface="Times New Roman" pitchFamily="18" charset="0"/>
                        <a:cs typeface="Times New Roman" pitchFamily="18" charset="0"/>
                      </a:rPr>
                      <a:t>6%</a:t>
                    </a:r>
                    <a:endParaRPr lang="lv-LV" dirty="0" smtClean="0"/>
                  </a:p>
                </c:rich>
              </c:tx>
              <c:showLegendKey val="0"/>
              <c:showVal val="0"/>
              <c:showCatName val="0"/>
              <c:showSerName val="0"/>
              <c:showPercent val="0"/>
              <c:showBubbleSize val="0"/>
            </c:dLbl>
            <c:txPr>
              <a:bodyPr/>
              <a:lstStyle/>
              <a:p>
                <a:pPr>
                  <a:defRPr b="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numRef>
              <c:f>Sheet1!$D$1:$F$1</c:f>
              <c:numCache>
                <c:formatCode>General</c:formatCode>
                <c:ptCount val="3"/>
                <c:pt idx="0">
                  <c:v>2000</c:v>
                </c:pt>
                <c:pt idx="1">
                  <c:v>2007</c:v>
                </c:pt>
                <c:pt idx="2">
                  <c:v>2011</c:v>
                </c:pt>
              </c:numCache>
            </c:numRef>
          </c:cat>
          <c:val>
            <c:numRef>
              <c:f>Sheet1!$B$4:$F$4</c:f>
              <c:numCache>
                <c:formatCode>0</c:formatCode>
                <c:ptCount val="3"/>
                <c:pt idx="0">
                  <c:v>6</c:v>
                </c:pt>
                <c:pt idx="1">
                  <c:v>14</c:v>
                </c:pt>
                <c:pt idx="2">
                  <c:v>16.369358036516992</c:v>
                </c:pt>
              </c:numCache>
            </c:numRef>
          </c:val>
        </c:ser>
        <c:ser>
          <c:idx val="2"/>
          <c:order val="3"/>
          <c:tx>
            <c:strRef>
              <c:f>Sheet1!$A$5</c:f>
              <c:strCache>
                <c:ptCount val="1"/>
                <c:pt idx="0">
                  <c:v>Metālapstrāde, mašīnbūve un satiksmes līdzekļi</c:v>
                </c:pt>
              </c:strCache>
            </c:strRef>
          </c:tx>
          <c:spPr>
            <a:solidFill>
              <a:srgbClr val="FFC000"/>
            </a:solidFill>
            <a:ln w="9524">
              <a:solidFill>
                <a:srgbClr val="000000"/>
              </a:solidFill>
              <a:prstDash val="solid"/>
            </a:ln>
          </c:spPr>
          <c:invertIfNegative val="0"/>
          <c:dLbls>
            <c:dLbl>
              <c:idx val="0"/>
              <c:tx>
                <c:rich>
                  <a:bodyPr/>
                  <a:lstStyle/>
                  <a:p>
                    <a:r>
                      <a:rPr lang="en-US" sz="1000" b="0" smtClean="0">
                        <a:latin typeface="Times New Roman" pitchFamily="18" charset="0"/>
                        <a:cs typeface="Times New Roman" pitchFamily="18" charset="0"/>
                      </a:rPr>
                      <a:t>2</a:t>
                    </a:r>
                    <a:r>
                      <a:rPr lang="en-US" b="0" smtClean="0">
                        <a:latin typeface="Times New Roman" pitchFamily="18" charset="0"/>
                        <a:cs typeface="Times New Roman" pitchFamily="18" charset="0"/>
                      </a:rPr>
                      <a:t>1</a:t>
                    </a:r>
                    <a:r>
                      <a:rPr lang="lv-LV" b="0" smtClean="0">
                        <a:latin typeface="Times New Roman" pitchFamily="18" charset="0"/>
                        <a:cs typeface="Times New Roman" pitchFamily="18" charset="0"/>
                      </a:rPr>
                      <a:t>%</a:t>
                    </a:r>
                    <a:endParaRPr lang="en-US"/>
                  </a:p>
                </c:rich>
              </c:tx>
              <c:showLegendKey val="0"/>
              <c:showVal val="0"/>
              <c:showCatName val="0"/>
              <c:showSerName val="0"/>
              <c:showPercent val="0"/>
              <c:showBubbleSize val="0"/>
            </c:dLbl>
            <c:dLbl>
              <c:idx val="1"/>
              <c:tx>
                <c:rich>
                  <a:bodyPr/>
                  <a:lstStyle/>
                  <a:p>
                    <a:r>
                      <a:rPr lang="lv-LV" sz="1000" b="0" smtClean="0">
                        <a:latin typeface="Times New Roman" pitchFamily="18" charset="0"/>
                        <a:cs typeface="Times New Roman" pitchFamily="18" charset="0"/>
                      </a:rPr>
                      <a:t>3</a:t>
                    </a:r>
                    <a:r>
                      <a:rPr lang="lv-LV" b="0" smtClean="0">
                        <a:latin typeface="Times New Roman" pitchFamily="18" charset="0"/>
                        <a:cs typeface="Times New Roman" pitchFamily="18" charset="0"/>
                      </a:rPr>
                      <a:t>3%</a:t>
                    </a:r>
                    <a:endParaRPr lang="en-US" dirty="0"/>
                  </a:p>
                </c:rich>
              </c:tx>
              <c:showLegendKey val="0"/>
              <c:showVal val="0"/>
              <c:showCatName val="0"/>
              <c:showSerName val="0"/>
              <c:showPercent val="0"/>
              <c:showBubbleSize val="0"/>
            </c:dLbl>
            <c:dLbl>
              <c:idx val="2"/>
              <c:tx>
                <c:rich>
                  <a:bodyPr/>
                  <a:lstStyle/>
                  <a:p>
                    <a:r>
                      <a:rPr lang="en-US" sz="1000" b="0" smtClean="0">
                        <a:latin typeface="Times New Roman" pitchFamily="18" charset="0"/>
                        <a:cs typeface="Times New Roman" pitchFamily="18" charset="0"/>
                      </a:rPr>
                      <a:t>3</a:t>
                    </a:r>
                    <a:r>
                      <a:rPr lang="lv-LV" b="0" smtClean="0">
                        <a:latin typeface="Times New Roman" pitchFamily="18" charset="0"/>
                        <a:cs typeface="Times New Roman" pitchFamily="18" charset="0"/>
                      </a:rPr>
                      <a:t>4%</a:t>
                    </a:r>
                    <a:endParaRPr lang="en-US"/>
                  </a:p>
                </c:rich>
              </c:tx>
              <c:showLegendKey val="0"/>
              <c:showVal val="0"/>
              <c:showCatName val="0"/>
              <c:showSerName val="0"/>
              <c:showPercent val="0"/>
              <c:showBubbleSize val="0"/>
            </c:dLbl>
            <c:numFmt formatCode="#,##0" sourceLinked="0"/>
            <c:txPr>
              <a:bodyPr/>
              <a:lstStyle/>
              <a:p>
                <a:pPr>
                  <a:defRPr b="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numRef>
              <c:f>Sheet1!$D$1:$F$1</c:f>
              <c:numCache>
                <c:formatCode>General</c:formatCode>
                <c:ptCount val="3"/>
                <c:pt idx="0">
                  <c:v>2000</c:v>
                </c:pt>
                <c:pt idx="1">
                  <c:v>2007</c:v>
                </c:pt>
                <c:pt idx="2">
                  <c:v>2011</c:v>
                </c:pt>
              </c:numCache>
            </c:numRef>
          </c:cat>
          <c:val>
            <c:numRef>
              <c:f>Sheet1!$B$5:$F$5</c:f>
              <c:numCache>
                <c:formatCode>0</c:formatCode>
                <c:ptCount val="3"/>
                <c:pt idx="0">
                  <c:v>21</c:v>
                </c:pt>
                <c:pt idx="1">
                  <c:v>33</c:v>
                </c:pt>
                <c:pt idx="2">
                  <c:v>33.700000000000003</c:v>
                </c:pt>
              </c:numCache>
            </c:numRef>
          </c:val>
        </c:ser>
        <c:ser>
          <c:idx val="5"/>
          <c:order val="4"/>
          <c:tx>
            <c:strRef>
              <c:f>Sheet1!$A$6</c:f>
              <c:strCache>
                <c:ptCount val="1"/>
                <c:pt idx="0">
                  <c:v>Koksne un tās izstrādājumi</c:v>
                </c:pt>
              </c:strCache>
            </c:strRef>
          </c:tx>
          <c:spPr>
            <a:solidFill>
              <a:srgbClr val="7E0000"/>
            </a:solidFill>
            <a:ln>
              <a:solidFill>
                <a:srgbClr val="000000"/>
              </a:solidFill>
            </a:ln>
          </c:spPr>
          <c:invertIfNegative val="0"/>
          <c:dLbls>
            <c:dLbl>
              <c:idx val="0"/>
              <c:tx>
                <c:rich>
                  <a:bodyPr/>
                  <a:lstStyle/>
                  <a:p>
                    <a:r>
                      <a:rPr lang="en-US" sz="1000" b="0" smtClean="0">
                        <a:solidFill>
                          <a:schemeClr val="bg1"/>
                        </a:solidFill>
                        <a:latin typeface="Times New Roman" pitchFamily="18" charset="0"/>
                        <a:cs typeface="Times New Roman" pitchFamily="18" charset="0"/>
                      </a:rPr>
                      <a:t>37</a:t>
                    </a:r>
                    <a:r>
                      <a:rPr lang="lv-LV" sz="1000" b="0" smtClean="0">
                        <a:solidFill>
                          <a:schemeClr val="bg1"/>
                        </a:solidFill>
                        <a:latin typeface="Times New Roman" pitchFamily="18" charset="0"/>
                        <a:cs typeface="Times New Roman" pitchFamily="18" charset="0"/>
                      </a:rPr>
                      <a:t>%</a:t>
                    </a:r>
                    <a:endParaRPr lang="en-US"/>
                  </a:p>
                </c:rich>
              </c:tx>
              <c:showLegendKey val="0"/>
              <c:showVal val="0"/>
              <c:showCatName val="0"/>
              <c:showSerName val="0"/>
              <c:showPercent val="0"/>
              <c:showBubbleSize val="0"/>
            </c:dLbl>
            <c:dLbl>
              <c:idx val="1"/>
              <c:tx>
                <c:rich>
                  <a:bodyPr/>
                  <a:lstStyle/>
                  <a:p>
                    <a:r>
                      <a:rPr lang="en-US" sz="1000" b="0" smtClean="0">
                        <a:solidFill>
                          <a:schemeClr val="bg1"/>
                        </a:solidFill>
                        <a:latin typeface="Times New Roman" pitchFamily="18" charset="0"/>
                        <a:cs typeface="Times New Roman" pitchFamily="18" charset="0"/>
                      </a:rPr>
                      <a:t>23</a:t>
                    </a:r>
                    <a:r>
                      <a:rPr lang="lv-LV" sz="1000" b="0" smtClean="0">
                        <a:solidFill>
                          <a:schemeClr val="bg1"/>
                        </a:solidFill>
                        <a:latin typeface="Times New Roman" pitchFamily="18" charset="0"/>
                        <a:cs typeface="Times New Roman" pitchFamily="18" charset="0"/>
                      </a:rPr>
                      <a:t>%</a:t>
                    </a:r>
                    <a:endParaRPr lang="en-US" dirty="0"/>
                  </a:p>
                </c:rich>
              </c:tx>
              <c:showLegendKey val="0"/>
              <c:showVal val="0"/>
              <c:showCatName val="0"/>
              <c:showSerName val="0"/>
              <c:showPercent val="0"/>
              <c:showBubbleSize val="0"/>
            </c:dLbl>
            <c:dLbl>
              <c:idx val="2"/>
              <c:tx>
                <c:rich>
                  <a:bodyPr/>
                  <a:lstStyle/>
                  <a:p>
                    <a:r>
                      <a:rPr lang="en-US" sz="1000" b="0" dirty="0" smtClean="0">
                        <a:solidFill>
                          <a:schemeClr val="bg1"/>
                        </a:solidFill>
                        <a:latin typeface="Times New Roman" pitchFamily="18" charset="0"/>
                        <a:cs typeface="Times New Roman" pitchFamily="18" charset="0"/>
                      </a:rPr>
                      <a:t>1</a:t>
                    </a:r>
                    <a:r>
                      <a:rPr lang="lv-LV" sz="1000" b="0" dirty="0" smtClean="0">
                        <a:solidFill>
                          <a:schemeClr val="bg1"/>
                        </a:solidFill>
                        <a:latin typeface="Times New Roman" pitchFamily="18" charset="0"/>
                        <a:cs typeface="Times New Roman" pitchFamily="18" charset="0"/>
                      </a:rPr>
                      <a:t>7%</a:t>
                    </a:r>
                    <a:endParaRPr lang="en-US" dirty="0"/>
                  </a:p>
                </c:rich>
              </c:tx>
              <c:showLegendKey val="0"/>
              <c:showVal val="0"/>
              <c:showCatName val="0"/>
              <c:showSerName val="0"/>
              <c:showPercent val="0"/>
              <c:showBubbleSize val="0"/>
            </c:dLbl>
            <c:txPr>
              <a:bodyPr/>
              <a:lstStyle/>
              <a:p>
                <a:pPr>
                  <a:defRPr sz="1000" b="0">
                    <a:solidFill>
                      <a:schemeClr val="bg1"/>
                    </a:solidFill>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numRef>
              <c:f>Sheet1!$D$1:$F$1</c:f>
              <c:numCache>
                <c:formatCode>General</c:formatCode>
                <c:ptCount val="3"/>
                <c:pt idx="0">
                  <c:v>2000</c:v>
                </c:pt>
                <c:pt idx="1">
                  <c:v>2007</c:v>
                </c:pt>
                <c:pt idx="2">
                  <c:v>2011</c:v>
                </c:pt>
              </c:numCache>
            </c:numRef>
          </c:cat>
          <c:val>
            <c:numRef>
              <c:f>Sheet1!$B$6:$F$6</c:f>
              <c:numCache>
                <c:formatCode>0</c:formatCode>
                <c:ptCount val="3"/>
                <c:pt idx="0">
                  <c:v>37</c:v>
                </c:pt>
                <c:pt idx="1">
                  <c:v>23</c:v>
                </c:pt>
                <c:pt idx="2">
                  <c:v>17.01590091130203</c:v>
                </c:pt>
              </c:numCache>
            </c:numRef>
          </c:val>
        </c:ser>
        <c:dLbls>
          <c:showLegendKey val="0"/>
          <c:showVal val="1"/>
          <c:showCatName val="0"/>
          <c:showSerName val="0"/>
          <c:showPercent val="0"/>
          <c:showBubbleSize val="0"/>
        </c:dLbls>
        <c:gapWidth val="50"/>
        <c:overlap val="100"/>
        <c:axId val="86234240"/>
        <c:axId val="86235776"/>
      </c:barChart>
      <c:catAx>
        <c:axId val="86234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lv-LV"/>
          </a:p>
        </c:txPr>
        <c:crossAx val="86235776"/>
        <c:crosses val="autoZero"/>
        <c:auto val="0"/>
        <c:lblAlgn val="ctr"/>
        <c:lblOffset val="0"/>
        <c:tickLblSkip val="1"/>
        <c:tickMarkSkip val="1"/>
        <c:noMultiLvlLbl val="0"/>
      </c:catAx>
      <c:valAx>
        <c:axId val="86235776"/>
        <c:scaling>
          <c:orientation val="minMax"/>
          <c:max val="100"/>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lv-LV"/>
          </a:p>
        </c:txPr>
        <c:crossAx val="86234240"/>
        <c:crosses val="autoZero"/>
        <c:crossBetween val="between"/>
        <c:majorUnit val="20"/>
        <c:minorUnit val="8.2000000000000011"/>
      </c:valAx>
      <c:spPr>
        <a:solidFill>
          <a:srgbClr val="FFFFFF"/>
        </a:solidFill>
        <a:ln w="25101">
          <a:noFill/>
        </a:ln>
      </c:spPr>
    </c:plotArea>
    <c:legend>
      <c:legendPos val="r"/>
      <c:layout>
        <c:manualLayout>
          <c:xMode val="edge"/>
          <c:yMode val="edge"/>
          <c:x val="0.55791010498687654"/>
          <c:y val="7.0604964434511724E-2"/>
          <c:w val="0.44111821959755032"/>
          <c:h val="0.8382375013597827"/>
        </c:manualLayout>
      </c:layout>
      <c:overlay val="0"/>
      <c:spPr>
        <a:solidFill>
          <a:srgbClr val="FFFFFF"/>
        </a:solidFill>
        <a:ln w="3134">
          <a:noFill/>
          <a:prstDash val="solid"/>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87518355359765"/>
          <c:y val="3.3493141986283975E-2"/>
          <c:w val="0.88044052863436129"/>
          <c:h val="0.87611843989609861"/>
        </c:manualLayout>
      </c:layout>
      <c:barChart>
        <c:barDir val="col"/>
        <c:grouping val="stacked"/>
        <c:varyColors val="0"/>
        <c:ser>
          <c:idx val="0"/>
          <c:order val="0"/>
          <c:tx>
            <c:strRef>
              <c:f>Sheet1!$B$1</c:f>
              <c:strCache>
                <c:ptCount val="1"/>
                <c:pt idx="0">
                  <c:v>Netirgojamās nozarēs</c:v>
                </c:pt>
              </c:strCache>
            </c:strRef>
          </c:tx>
          <c:spPr>
            <a:solidFill>
              <a:srgbClr val="740000"/>
            </a:solidFill>
          </c:spPr>
          <c:invertIfNegative val="0"/>
          <c:dLbls>
            <c:dLbl>
              <c:idx val="0"/>
              <c:tx>
                <c:rich>
                  <a:bodyPr/>
                  <a:lstStyle/>
                  <a:p>
                    <a:r>
                      <a:rPr lang="lv-LV">
                        <a:solidFill>
                          <a:schemeClr val="bg1"/>
                        </a:solidFill>
                      </a:rPr>
                      <a:t>72</a:t>
                    </a:r>
                    <a:endParaRPr lang="en-US"/>
                  </a:p>
                </c:rich>
              </c:tx>
              <c:showLegendKey val="0"/>
              <c:showVal val="0"/>
              <c:showCatName val="0"/>
              <c:showSerName val="0"/>
              <c:showPercent val="0"/>
              <c:showBubbleSize val="0"/>
            </c:dLbl>
            <c:dLbl>
              <c:idx val="1"/>
              <c:tx>
                <c:rich>
                  <a:bodyPr/>
                  <a:lstStyle/>
                  <a:p>
                    <a:r>
                      <a:rPr lang="lv-LV">
                        <a:solidFill>
                          <a:schemeClr val="bg1"/>
                        </a:solidFill>
                      </a:rPr>
                      <a:t>74</a:t>
                    </a:r>
                    <a:endParaRPr lang="en-US"/>
                  </a:p>
                </c:rich>
              </c:tx>
              <c:showLegendKey val="0"/>
              <c:showVal val="0"/>
              <c:showCatName val="0"/>
              <c:showSerName val="0"/>
              <c:showPercent val="0"/>
              <c:showBubbleSize val="0"/>
            </c:dLbl>
            <c:dLbl>
              <c:idx val="2"/>
              <c:tx>
                <c:rich>
                  <a:bodyPr/>
                  <a:lstStyle/>
                  <a:p>
                    <a:r>
                      <a:rPr lang="lv-LV">
                        <a:solidFill>
                          <a:schemeClr val="bg1"/>
                        </a:solidFill>
                      </a:rPr>
                      <a:t>80</a:t>
                    </a:r>
                    <a:endParaRPr lang="en-US"/>
                  </a:p>
                </c:rich>
              </c:tx>
              <c:showLegendKey val="0"/>
              <c:showVal val="0"/>
              <c:showCatName val="0"/>
              <c:showSerName val="0"/>
              <c:showPercent val="0"/>
              <c:showBubbleSize val="0"/>
            </c:dLbl>
            <c:dLbl>
              <c:idx val="3"/>
              <c:tx>
                <c:rich>
                  <a:bodyPr/>
                  <a:lstStyle/>
                  <a:p>
                    <a:r>
                      <a:rPr lang="lv-LV">
                        <a:solidFill>
                          <a:schemeClr val="bg1"/>
                        </a:solidFill>
                      </a:rPr>
                      <a:t>81</a:t>
                    </a:r>
                    <a:endParaRPr lang="en-US"/>
                  </a:p>
                </c:rich>
              </c:tx>
              <c:showLegendKey val="0"/>
              <c:showVal val="0"/>
              <c:showCatName val="0"/>
              <c:showSerName val="0"/>
              <c:showPercent val="0"/>
              <c:showBubbleSize val="0"/>
            </c:dLbl>
            <c:dLbl>
              <c:idx val="4"/>
              <c:tx>
                <c:rich>
                  <a:bodyPr/>
                  <a:lstStyle/>
                  <a:p>
                    <a:r>
                      <a:rPr lang="lv-LV">
                        <a:solidFill>
                          <a:schemeClr val="bg1"/>
                        </a:solidFill>
                      </a:rPr>
                      <a:t>79</a:t>
                    </a:r>
                    <a:endParaRPr lang="en-US"/>
                  </a:p>
                </c:rich>
              </c:tx>
              <c:showLegendKey val="0"/>
              <c:showVal val="0"/>
              <c:showCatName val="0"/>
              <c:showSerName val="0"/>
              <c:showPercent val="0"/>
              <c:showBubbleSize val="0"/>
            </c:dLbl>
            <c:dLbl>
              <c:idx val="5"/>
              <c:tx>
                <c:rich>
                  <a:bodyPr/>
                  <a:lstStyle/>
                  <a:p>
                    <a:r>
                      <a:rPr lang="lv-LV">
                        <a:solidFill>
                          <a:schemeClr val="bg1"/>
                        </a:solidFill>
                      </a:rPr>
                      <a:t>78</a:t>
                    </a:r>
                    <a:endParaRPr lang="en-US"/>
                  </a:p>
                </c:rich>
              </c:tx>
              <c:showLegendKey val="0"/>
              <c:showVal val="0"/>
              <c:showCatName val="0"/>
              <c:showSerName val="0"/>
              <c:showPercent val="0"/>
              <c:showBubbleSize val="0"/>
            </c:dLbl>
            <c:dLbl>
              <c:idx val="6"/>
              <c:tx>
                <c:rich>
                  <a:bodyPr/>
                  <a:lstStyle/>
                  <a:p>
                    <a:r>
                      <a:rPr lang="lv-LV">
                        <a:solidFill>
                          <a:schemeClr val="bg1"/>
                        </a:solidFill>
                      </a:rPr>
                      <a:t>77</a:t>
                    </a:r>
                    <a:endParaRPr lang="en-US"/>
                  </a:p>
                </c:rich>
              </c:tx>
              <c:showLegendKey val="0"/>
              <c:showVal val="0"/>
              <c:showCatName val="0"/>
              <c:showSerName val="0"/>
              <c:showPercent val="0"/>
              <c:showBubbleSize val="0"/>
            </c:dLbl>
            <c:dLbl>
              <c:idx val="7"/>
              <c:tx>
                <c:rich>
                  <a:bodyPr/>
                  <a:lstStyle/>
                  <a:p>
                    <a:r>
                      <a:rPr lang="lv-LV">
                        <a:solidFill>
                          <a:schemeClr val="bg1"/>
                        </a:solidFill>
                      </a:rPr>
                      <a:t>77</a:t>
                    </a:r>
                    <a:endParaRPr lang="en-US"/>
                  </a:p>
                </c:rich>
              </c:tx>
              <c:showLegendKey val="0"/>
              <c:showVal val="1"/>
              <c:showCatName val="0"/>
              <c:showSerName val="0"/>
              <c:showPercent val="0"/>
              <c:showBubbleSize val="0"/>
            </c:dLbl>
            <c:dLbl>
              <c:idx val="8"/>
              <c:tx>
                <c:rich>
                  <a:bodyPr/>
                  <a:lstStyle/>
                  <a:p>
                    <a:r>
                      <a:rPr lang="lv-LV">
                        <a:solidFill>
                          <a:schemeClr val="bg1"/>
                        </a:solidFill>
                      </a:rPr>
                      <a:t>77</a:t>
                    </a:r>
                    <a:endParaRPr lang="en-US"/>
                  </a:p>
                </c:rich>
              </c:tx>
              <c:showLegendKey val="0"/>
              <c:showVal val="1"/>
              <c:showCatName val="0"/>
              <c:showSerName val="0"/>
              <c:showPercent val="0"/>
              <c:showBubbleSize val="0"/>
            </c:dLbl>
            <c:numFmt formatCode="#,##0" sourceLinked="0"/>
            <c:spPr>
              <a:noFill/>
              <a:ln w="24870">
                <a:noFill/>
              </a:ln>
            </c:spPr>
            <c:txPr>
              <a:bodyPr/>
              <a:lstStyle/>
              <a:p>
                <a:pPr>
                  <a:defRPr>
                    <a:solidFill>
                      <a:schemeClr val="bg1"/>
                    </a:solidFill>
                  </a:defRPr>
                </a:pPr>
                <a:endParaRPr lang="lv-LV"/>
              </a:p>
            </c:txPr>
            <c:showLegendKey val="0"/>
            <c:showVal val="1"/>
            <c:showCatName val="0"/>
            <c:showSerName val="0"/>
            <c:showPercent val="0"/>
            <c:showBubbleSize val="0"/>
            <c:showLeaderLines val="0"/>
          </c:dLbls>
          <c:cat>
            <c:numRef>
              <c:f>Sheet1!$A$2:$A$10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Sheet1!$B$2:$B$10</c:f>
              <c:numCache>
                <c:formatCode>General</c:formatCode>
                <c:ptCount val="9"/>
                <c:pt idx="0">
                  <c:v>1678.1000000000001</c:v>
                </c:pt>
                <c:pt idx="1">
                  <c:v>2151.1999999999998</c:v>
                </c:pt>
                <c:pt idx="2">
                  <c:v>3193.2</c:v>
                </c:pt>
                <c:pt idx="3">
                  <c:v>4224.8999999999996</c:v>
                </c:pt>
                <c:pt idx="4">
                  <c:v>4487.7</c:v>
                </c:pt>
                <c:pt idx="5">
                  <c:v>4410.3999999999996</c:v>
                </c:pt>
                <c:pt idx="6">
                  <c:v>4421.1000000000004</c:v>
                </c:pt>
                <c:pt idx="7">
                  <c:v>5098.3</c:v>
                </c:pt>
                <c:pt idx="8">
                  <c:v>5434.1999999999989</c:v>
                </c:pt>
              </c:numCache>
            </c:numRef>
          </c:val>
        </c:ser>
        <c:ser>
          <c:idx val="1"/>
          <c:order val="1"/>
          <c:tx>
            <c:strRef>
              <c:f>Sheet1!$C$1</c:f>
              <c:strCache>
                <c:ptCount val="1"/>
                <c:pt idx="0">
                  <c:v>Tirgojamās nozarēs</c:v>
                </c:pt>
              </c:strCache>
            </c:strRef>
          </c:tx>
          <c:spPr>
            <a:solidFill>
              <a:sysClr val="window" lastClr="FFFFFF">
                <a:lumMod val="65000"/>
              </a:sysClr>
            </a:solidFill>
          </c:spPr>
          <c:invertIfNegative val="0"/>
          <c:dLbls>
            <c:dLbl>
              <c:idx val="0"/>
              <c:tx>
                <c:rich>
                  <a:bodyPr/>
                  <a:lstStyle/>
                  <a:p>
                    <a:pPr>
                      <a:defRPr/>
                    </a:pPr>
                    <a:r>
                      <a:rPr lang="lv-LV"/>
                      <a:t>28</a:t>
                    </a:r>
                    <a:endParaRPr lang="en-US"/>
                  </a:p>
                </c:rich>
              </c:tx>
              <c:numFmt formatCode="#,##0" sourceLinked="0"/>
              <c:spPr>
                <a:noFill/>
                <a:ln w="24870">
                  <a:noFill/>
                </a:ln>
              </c:spPr>
              <c:showLegendKey val="0"/>
              <c:showVal val="0"/>
              <c:showCatName val="0"/>
              <c:showSerName val="0"/>
              <c:showPercent val="0"/>
              <c:showBubbleSize val="0"/>
            </c:dLbl>
            <c:dLbl>
              <c:idx val="1"/>
              <c:tx>
                <c:rich>
                  <a:bodyPr/>
                  <a:lstStyle/>
                  <a:p>
                    <a:pPr>
                      <a:defRPr/>
                    </a:pPr>
                    <a:r>
                      <a:rPr lang="lv-LV"/>
                      <a:t>26</a:t>
                    </a:r>
                    <a:endParaRPr lang="en-US"/>
                  </a:p>
                </c:rich>
              </c:tx>
              <c:numFmt formatCode="#,##0" sourceLinked="0"/>
              <c:spPr>
                <a:noFill/>
                <a:ln w="24870">
                  <a:noFill/>
                </a:ln>
              </c:spPr>
              <c:showLegendKey val="0"/>
              <c:showVal val="0"/>
              <c:showCatName val="0"/>
              <c:showSerName val="0"/>
              <c:showPercent val="0"/>
              <c:showBubbleSize val="0"/>
            </c:dLbl>
            <c:dLbl>
              <c:idx val="2"/>
              <c:tx>
                <c:rich>
                  <a:bodyPr/>
                  <a:lstStyle/>
                  <a:p>
                    <a:pPr>
                      <a:defRPr/>
                    </a:pPr>
                    <a:r>
                      <a:rPr lang="lv-LV"/>
                      <a:t>20</a:t>
                    </a:r>
                    <a:endParaRPr lang="en-US"/>
                  </a:p>
                </c:rich>
              </c:tx>
              <c:numFmt formatCode="#,##0" sourceLinked="0"/>
              <c:spPr>
                <a:noFill/>
                <a:ln w="24870">
                  <a:noFill/>
                </a:ln>
              </c:spPr>
              <c:showLegendKey val="0"/>
              <c:showVal val="0"/>
              <c:showCatName val="0"/>
              <c:showSerName val="0"/>
              <c:showPercent val="0"/>
              <c:showBubbleSize val="0"/>
            </c:dLbl>
            <c:dLbl>
              <c:idx val="3"/>
              <c:layout>
                <c:manualLayout>
                  <c:x val="-2.5985659598908276E-3"/>
                  <c:y val="0"/>
                </c:manualLayout>
              </c:layout>
              <c:tx>
                <c:rich>
                  <a:bodyPr/>
                  <a:lstStyle/>
                  <a:p>
                    <a:pPr>
                      <a:defRPr/>
                    </a:pPr>
                    <a:r>
                      <a:rPr lang="lv-LV"/>
                      <a:t>19</a:t>
                    </a:r>
                    <a:endParaRPr lang="en-US"/>
                  </a:p>
                </c:rich>
              </c:tx>
              <c:numFmt formatCode="#,##0" sourceLinked="0"/>
              <c:spPr>
                <a:noFill/>
                <a:ln w="24870">
                  <a:noFill/>
                </a:ln>
              </c:spPr>
              <c:dLblPos val="ctr"/>
              <c:showLegendKey val="0"/>
              <c:showVal val="0"/>
              <c:showCatName val="0"/>
              <c:showSerName val="0"/>
              <c:showPercent val="0"/>
              <c:showBubbleSize val="0"/>
            </c:dLbl>
            <c:dLbl>
              <c:idx val="4"/>
              <c:tx>
                <c:rich>
                  <a:bodyPr/>
                  <a:lstStyle/>
                  <a:p>
                    <a:pPr>
                      <a:defRPr/>
                    </a:pPr>
                    <a:r>
                      <a:rPr lang="lv-LV"/>
                      <a:t>21</a:t>
                    </a:r>
                    <a:endParaRPr lang="en-US"/>
                  </a:p>
                </c:rich>
              </c:tx>
              <c:numFmt formatCode="#,##0" sourceLinked="0"/>
              <c:spPr>
                <a:noFill/>
                <a:ln w="24870">
                  <a:noFill/>
                </a:ln>
              </c:spPr>
              <c:showLegendKey val="0"/>
              <c:showVal val="0"/>
              <c:showCatName val="0"/>
              <c:showSerName val="0"/>
              <c:showPercent val="0"/>
              <c:showBubbleSize val="0"/>
            </c:dLbl>
            <c:dLbl>
              <c:idx val="5"/>
              <c:tx>
                <c:rich>
                  <a:bodyPr/>
                  <a:lstStyle/>
                  <a:p>
                    <a:pPr>
                      <a:defRPr/>
                    </a:pPr>
                    <a:r>
                      <a:rPr lang="lv-LV"/>
                      <a:t>22</a:t>
                    </a:r>
                    <a:endParaRPr lang="en-US"/>
                  </a:p>
                </c:rich>
              </c:tx>
              <c:numFmt formatCode="#,##0" sourceLinked="0"/>
              <c:spPr>
                <a:noFill/>
                <a:ln w="24870">
                  <a:noFill/>
                </a:ln>
              </c:spPr>
              <c:showLegendKey val="0"/>
              <c:showVal val="0"/>
              <c:showCatName val="0"/>
              <c:showSerName val="0"/>
              <c:showPercent val="0"/>
              <c:showBubbleSize val="0"/>
            </c:dLbl>
            <c:dLbl>
              <c:idx val="6"/>
              <c:tx>
                <c:rich>
                  <a:bodyPr/>
                  <a:lstStyle/>
                  <a:p>
                    <a:pPr>
                      <a:defRPr/>
                    </a:pPr>
                    <a:r>
                      <a:rPr lang="lv-LV"/>
                      <a:t>23</a:t>
                    </a:r>
                    <a:endParaRPr lang="en-US"/>
                  </a:p>
                </c:rich>
              </c:tx>
              <c:numFmt formatCode="#,##0" sourceLinked="0"/>
              <c:spPr>
                <a:noFill/>
                <a:ln w="24870">
                  <a:noFill/>
                </a:ln>
              </c:spPr>
              <c:showLegendKey val="0"/>
              <c:showVal val="0"/>
              <c:showCatName val="0"/>
              <c:showSerName val="0"/>
              <c:showPercent val="0"/>
              <c:showBubbleSize val="0"/>
            </c:dLbl>
            <c:dLbl>
              <c:idx val="7"/>
              <c:tx>
                <c:rich>
                  <a:bodyPr/>
                  <a:lstStyle/>
                  <a:p>
                    <a:r>
                      <a:rPr lang="lv-LV"/>
                      <a:t>23</a:t>
                    </a:r>
                    <a:endParaRPr lang="en-US"/>
                  </a:p>
                </c:rich>
              </c:tx>
              <c:showLegendKey val="0"/>
              <c:showVal val="1"/>
              <c:showCatName val="0"/>
              <c:showSerName val="0"/>
              <c:showPercent val="0"/>
              <c:showBubbleSize val="0"/>
            </c:dLbl>
            <c:dLbl>
              <c:idx val="8"/>
              <c:tx>
                <c:rich>
                  <a:bodyPr/>
                  <a:lstStyle/>
                  <a:p>
                    <a:r>
                      <a:rPr lang="lv-LV"/>
                      <a:t>23</a:t>
                    </a:r>
                    <a:endParaRPr lang="en-US"/>
                  </a:p>
                </c:rich>
              </c:tx>
              <c:showLegendKey val="0"/>
              <c:showVal val="1"/>
              <c:showCatName val="0"/>
              <c:showSerName val="0"/>
              <c:showPercent val="0"/>
              <c:showBubbleSize val="0"/>
            </c:dLbl>
            <c:numFmt formatCode="#,##0" sourceLinked="0"/>
            <c:spPr>
              <a:noFill/>
              <a:ln w="24870">
                <a:noFill/>
              </a:ln>
            </c:spPr>
            <c:showLegendKey val="0"/>
            <c:showVal val="1"/>
            <c:showCatName val="0"/>
            <c:showSerName val="0"/>
            <c:showPercent val="0"/>
            <c:showBubbleSize val="0"/>
            <c:showLeaderLines val="0"/>
          </c:dLbls>
          <c:cat>
            <c:numRef>
              <c:f>Sheet1!$A$2:$A$10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Sheet1!$C$2:$C$10</c:f>
              <c:numCache>
                <c:formatCode>General</c:formatCode>
                <c:ptCount val="9"/>
                <c:pt idx="0">
                  <c:v>658.8</c:v>
                </c:pt>
                <c:pt idx="1">
                  <c:v>771.8</c:v>
                </c:pt>
                <c:pt idx="2">
                  <c:v>814</c:v>
                </c:pt>
                <c:pt idx="3">
                  <c:v>1022.5</c:v>
                </c:pt>
                <c:pt idx="4">
                  <c:v>1223.3</c:v>
                </c:pt>
                <c:pt idx="5">
                  <c:v>1263</c:v>
                </c:pt>
                <c:pt idx="6">
                  <c:v>1330.5</c:v>
                </c:pt>
                <c:pt idx="7">
                  <c:v>1489</c:v>
                </c:pt>
                <c:pt idx="8">
                  <c:v>1604.1</c:v>
                </c:pt>
              </c:numCache>
            </c:numRef>
          </c:val>
        </c:ser>
        <c:dLbls>
          <c:showLegendKey val="0"/>
          <c:showVal val="0"/>
          <c:showCatName val="0"/>
          <c:showSerName val="0"/>
          <c:showPercent val="0"/>
          <c:showBubbleSize val="0"/>
        </c:dLbls>
        <c:gapWidth val="40"/>
        <c:overlap val="100"/>
        <c:axId val="87415424"/>
        <c:axId val="94249344"/>
      </c:barChart>
      <c:catAx>
        <c:axId val="87415424"/>
        <c:scaling>
          <c:orientation val="minMax"/>
        </c:scaling>
        <c:delete val="0"/>
        <c:axPos val="b"/>
        <c:numFmt formatCode="General" sourceLinked="1"/>
        <c:majorTickMark val="out"/>
        <c:minorTickMark val="none"/>
        <c:tickLblPos val="nextTo"/>
        <c:crossAx val="94249344"/>
        <c:crosses val="autoZero"/>
        <c:auto val="1"/>
        <c:lblAlgn val="ctr"/>
        <c:lblOffset val="100"/>
        <c:noMultiLvlLbl val="0"/>
      </c:catAx>
      <c:valAx>
        <c:axId val="94249344"/>
        <c:scaling>
          <c:orientation val="minMax"/>
          <c:max val="7500"/>
          <c:min val="0"/>
        </c:scaling>
        <c:delete val="0"/>
        <c:axPos val="l"/>
        <c:numFmt formatCode="General" sourceLinked="1"/>
        <c:majorTickMark val="out"/>
        <c:minorTickMark val="none"/>
        <c:tickLblPos val="nextTo"/>
        <c:crossAx val="87415424"/>
        <c:crosses val="autoZero"/>
        <c:crossBetween val="between"/>
        <c:majorUnit val="1500"/>
        <c:minorUnit val="200"/>
      </c:valAx>
    </c:plotArea>
    <c:legend>
      <c:legendPos val="r"/>
      <c:layout>
        <c:manualLayout>
          <c:xMode val="edge"/>
          <c:yMode val="edge"/>
          <c:x val="0.11048689398406697"/>
          <c:y val="3.3160956946913893E-2"/>
          <c:w val="0.38687525292818575"/>
          <c:h val="0.20282774003048007"/>
        </c:manualLayout>
      </c:layout>
      <c:overlay val="1"/>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03440260432165"/>
          <c:y val="4.9958801589429808E-2"/>
          <c:w val="0.87570241415465089"/>
          <c:h val="0.82534224731342531"/>
        </c:manualLayout>
      </c:layout>
      <c:lineChart>
        <c:grouping val="standard"/>
        <c:varyColors val="0"/>
        <c:ser>
          <c:idx val="1"/>
          <c:order val="0"/>
          <c:tx>
            <c:strRef>
              <c:f>Sheet1!$A$3</c:f>
              <c:strCache>
                <c:ptCount val="1"/>
                <c:pt idx="0">
                  <c:v>Lietuva</c:v>
                </c:pt>
              </c:strCache>
            </c:strRef>
          </c:tx>
          <c:spPr>
            <a:ln>
              <a:solidFill>
                <a:schemeClr val="accent3">
                  <a:lumMod val="75000"/>
                </a:schemeClr>
              </a:solidFill>
            </a:ln>
          </c:spPr>
          <c:marker>
            <c:symbol val="none"/>
          </c:marker>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Sheet1!$B$3:$J$3</c:f>
              <c:numCache>
                <c:formatCode>0.0</c:formatCode>
                <c:ptCount val="9"/>
                <c:pt idx="0">
                  <c:v>623.06999999999994</c:v>
                </c:pt>
                <c:pt idx="1">
                  <c:v>825.98</c:v>
                </c:pt>
                <c:pt idx="2">
                  <c:v>1448.17</c:v>
                </c:pt>
                <c:pt idx="3">
                  <c:v>1472.81</c:v>
                </c:pt>
                <c:pt idx="4">
                  <c:v>1341.1000000000001</c:v>
                </c:pt>
                <c:pt idx="5">
                  <c:v>47.139999999999986</c:v>
                </c:pt>
                <c:pt idx="6">
                  <c:v>603.58999999999992</c:v>
                </c:pt>
                <c:pt idx="7">
                  <c:v>1040.5200000000002</c:v>
                </c:pt>
                <c:pt idx="8">
                  <c:v>649.79999999999995</c:v>
                </c:pt>
              </c:numCache>
            </c:numRef>
          </c:val>
          <c:smooth val="0"/>
        </c:ser>
        <c:ser>
          <c:idx val="2"/>
          <c:order val="1"/>
          <c:tx>
            <c:strRef>
              <c:f>Sheet1!$A$4</c:f>
              <c:strCache>
                <c:ptCount val="1"/>
                <c:pt idx="0">
                  <c:v>Igaunija</c:v>
                </c:pt>
              </c:strCache>
            </c:strRef>
          </c:tx>
          <c:spPr>
            <a:ln>
              <a:solidFill>
                <a:schemeClr val="tx2"/>
              </a:solidFill>
            </a:ln>
          </c:spPr>
          <c:marker>
            <c:symbol val="none"/>
          </c:marker>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Sheet1!$B$4:$J$4</c:f>
              <c:numCache>
                <c:formatCode>0.0</c:formatCode>
                <c:ptCount val="9"/>
                <c:pt idx="0">
                  <c:v>770.8</c:v>
                </c:pt>
                <c:pt idx="1">
                  <c:v>2307.3000000000002</c:v>
                </c:pt>
                <c:pt idx="2">
                  <c:v>1431.9</c:v>
                </c:pt>
                <c:pt idx="3">
                  <c:v>1985</c:v>
                </c:pt>
                <c:pt idx="4">
                  <c:v>1181.9000000000001</c:v>
                </c:pt>
                <c:pt idx="5">
                  <c:v>1323.1</c:v>
                </c:pt>
                <c:pt idx="6">
                  <c:v>1207.3</c:v>
                </c:pt>
                <c:pt idx="7">
                  <c:v>185</c:v>
                </c:pt>
                <c:pt idx="8">
                  <c:v>1144.4000000000001</c:v>
                </c:pt>
              </c:numCache>
            </c:numRef>
          </c:val>
          <c:smooth val="0"/>
        </c:ser>
        <c:ser>
          <c:idx val="0"/>
          <c:order val="2"/>
          <c:tx>
            <c:strRef>
              <c:f>Sheet1!$A$2</c:f>
              <c:strCache>
                <c:ptCount val="1"/>
                <c:pt idx="0">
                  <c:v>Latvija</c:v>
                </c:pt>
              </c:strCache>
            </c:strRef>
          </c:tx>
          <c:spPr>
            <a:ln w="38100">
              <a:solidFill>
                <a:srgbClr val="760000"/>
              </a:solidFill>
            </a:ln>
          </c:spPr>
          <c:marker>
            <c:symbol val="none"/>
          </c:marker>
          <c:cat>
            <c:strRef>
              <c:f>Sheet1!$B$1:$J$1</c:f>
              <c:strCache>
                <c:ptCount val="9"/>
                <c:pt idx="0">
                  <c:v>2004</c:v>
                </c:pt>
                <c:pt idx="1">
                  <c:v>2005</c:v>
                </c:pt>
                <c:pt idx="2">
                  <c:v>2006</c:v>
                </c:pt>
                <c:pt idx="3">
                  <c:v>2007</c:v>
                </c:pt>
                <c:pt idx="4">
                  <c:v>2008</c:v>
                </c:pt>
                <c:pt idx="5">
                  <c:v>2009</c:v>
                </c:pt>
                <c:pt idx="6">
                  <c:v>2010</c:v>
                </c:pt>
                <c:pt idx="7">
                  <c:v>2011</c:v>
                </c:pt>
                <c:pt idx="8">
                  <c:v>2012</c:v>
                </c:pt>
              </c:strCache>
            </c:strRef>
          </c:cat>
          <c:val>
            <c:numRef>
              <c:f>Sheet1!$B$2:$J$2</c:f>
              <c:numCache>
                <c:formatCode>0.0</c:formatCode>
                <c:ptCount val="9"/>
                <c:pt idx="0">
                  <c:v>512.6</c:v>
                </c:pt>
                <c:pt idx="1">
                  <c:v>567.9</c:v>
                </c:pt>
                <c:pt idx="2">
                  <c:v>1326.3</c:v>
                </c:pt>
                <c:pt idx="3">
                  <c:v>1697.8</c:v>
                </c:pt>
                <c:pt idx="4">
                  <c:v>863</c:v>
                </c:pt>
                <c:pt idx="5">
                  <c:v>67.599999999999994</c:v>
                </c:pt>
                <c:pt idx="6">
                  <c:v>286.49999999999989</c:v>
                </c:pt>
                <c:pt idx="7">
                  <c:v>1045.4000000000001</c:v>
                </c:pt>
                <c:pt idx="8">
                  <c:v>768.5</c:v>
                </c:pt>
              </c:numCache>
            </c:numRef>
          </c:val>
          <c:smooth val="0"/>
        </c:ser>
        <c:dLbls>
          <c:showLegendKey val="0"/>
          <c:showVal val="0"/>
          <c:showCatName val="0"/>
          <c:showSerName val="0"/>
          <c:showPercent val="0"/>
          <c:showBubbleSize val="0"/>
        </c:dLbls>
        <c:marker val="1"/>
        <c:smooth val="0"/>
        <c:axId val="94287360"/>
        <c:axId val="94288896"/>
      </c:lineChart>
      <c:catAx>
        <c:axId val="94287360"/>
        <c:scaling>
          <c:orientation val="minMax"/>
        </c:scaling>
        <c:delete val="0"/>
        <c:axPos val="b"/>
        <c:majorTickMark val="out"/>
        <c:minorTickMark val="none"/>
        <c:tickLblPos val="nextTo"/>
        <c:crossAx val="94288896"/>
        <c:crosses val="autoZero"/>
        <c:auto val="1"/>
        <c:lblAlgn val="ctr"/>
        <c:lblOffset val="100"/>
        <c:noMultiLvlLbl val="0"/>
      </c:catAx>
      <c:valAx>
        <c:axId val="94288896"/>
        <c:scaling>
          <c:orientation val="minMax"/>
        </c:scaling>
        <c:delete val="0"/>
        <c:axPos val="l"/>
        <c:numFmt formatCode="General" sourceLinked="0"/>
        <c:majorTickMark val="out"/>
        <c:minorTickMark val="none"/>
        <c:tickLblPos val="nextTo"/>
        <c:spPr>
          <a:ln>
            <a:prstDash val="sysDot"/>
          </a:ln>
        </c:spPr>
        <c:crossAx val="94287360"/>
        <c:crosses val="autoZero"/>
        <c:crossBetween val="between"/>
        <c:majorUnit val="500"/>
      </c:valAx>
    </c:plotArea>
    <c:legend>
      <c:legendPos val="r"/>
      <c:layout>
        <c:manualLayout>
          <c:xMode val="edge"/>
          <c:yMode val="edge"/>
          <c:x val="0.70804814596413335"/>
          <c:y val="5.5695961391922781E-2"/>
          <c:w val="0.22362713471388762"/>
          <c:h val="0.28166750854256428"/>
        </c:manualLayout>
      </c:layout>
      <c:overlay val="1"/>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398262230303671E-2"/>
          <c:y val="6.5767478409956823E-2"/>
          <c:w val="0.55505178933333021"/>
          <c:h val="0.82374882384984893"/>
        </c:manualLayout>
      </c:layout>
      <c:barChart>
        <c:barDir val="col"/>
        <c:grouping val="stacked"/>
        <c:varyColors val="0"/>
        <c:ser>
          <c:idx val="4"/>
          <c:order val="0"/>
          <c:tx>
            <c:strRef>
              <c:f>Sheet1!$A$2</c:f>
              <c:strCache>
                <c:ptCount val="1"/>
                <c:pt idx="0">
                  <c:v>no pārējām ES valstīm</c:v>
                </c:pt>
              </c:strCache>
            </c:strRef>
          </c:tx>
          <c:spPr>
            <a:solidFill>
              <a:srgbClr val="760000"/>
            </a:solidFill>
            <a:ln w="3175">
              <a:solidFill>
                <a:sysClr val="windowText" lastClr="000000"/>
              </a:solidFill>
              <a:prstDash val="solid"/>
            </a:ln>
          </c:spPr>
          <c:invertIfNegative val="0"/>
          <c:cat>
            <c:strRef>
              <c:f>Sheet1!$B$1:$D$1</c:f>
              <c:strCache>
                <c:ptCount val="3"/>
                <c:pt idx="0">
                  <c:v>2005-2007</c:v>
                </c:pt>
                <c:pt idx="1">
                  <c:v>2008-2009</c:v>
                </c:pt>
                <c:pt idx="2">
                  <c:v>2010-2012</c:v>
                </c:pt>
              </c:strCache>
            </c:strRef>
          </c:cat>
          <c:val>
            <c:numRef>
              <c:f>Sheet1!$B$2:$D$2</c:f>
              <c:numCache>
                <c:formatCode>0</c:formatCode>
                <c:ptCount val="3"/>
                <c:pt idx="0">
                  <c:v>95</c:v>
                </c:pt>
                <c:pt idx="1">
                  <c:v>66.8</c:v>
                </c:pt>
                <c:pt idx="2">
                  <c:v>70</c:v>
                </c:pt>
              </c:numCache>
            </c:numRef>
          </c:val>
        </c:ser>
        <c:ser>
          <c:idx val="3"/>
          <c:order val="1"/>
          <c:tx>
            <c:strRef>
              <c:f>Sheet1!$A$3</c:f>
              <c:strCache>
                <c:ptCount val="1"/>
                <c:pt idx="0">
                  <c:v>no citām valstīm</c:v>
                </c:pt>
              </c:strCache>
            </c:strRef>
          </c:tx>
          <c:spPr>
            <a:solidFill>
              <a:srgbClr val="EAB200"/>
            </a:solidFill>
            <a:ln w="3134">
              <a:solidFill>
                <a:sysClr val="windowText" lastClr="000000"/>
              </a:solidFill>
              <a:prstDash val="solid"/>
            </a:ln>
          </c:spPr>
          <c:invertIfNegative val="0"/>
          <c:cat>
            <c:strRef>
              <c:f>Sheet1!$B$1:$D$1</c:f>
              <c:strCache>
                <c:ptCount val="3"/>
                <c:pt idx="0">
                  <c:v>2005-2007</c:v>
                </c:pt>
                <c:pt idx="1">
                  <c:v>2008-2009</c:v>
                </c:pt>
                <c:pt idx="2">
                  <c:v>2010-2012</c:v>
                </c:pt>
              </c:strCache>
            </c:strRef>
          </c:cat>
          <c:val>
            <c:numRef>
              <c:f>Sheet1!$B$3:$D$3</c:f>
              <c:numCache>
                <c:formatCode>0</c:formatCode>
                <c:ptCount val="3"/>
                <c:pt idx="0">
                  <c:v>5</c:v>
                </c:pt>
                <c:pt idx="1">
                  <c:v>32.700000000000003</c:v>
                </c:pt>
                <c:pt idx="2">
                  <c:v>30</c:v>
                </c:pt>
              </c:numCache>
            </c:numRef>
          </c:val>
        </c:ser>
        <c:dLbls>
          <c:showLegendKey val="0"/>
          <c:showVal val="1"/>
          <c:showCatName val="0"/>
          <c:showSerName val="0"/>
          <c:showPercent val="0"/>
          <c:showBubbleSize val="0"/>
        </c:dLbls>
        <c:gapWidth val="40"/>
        <c:overlap val="100"/>
        <c:axId val="94344320"/>
        <c:axId val="94345856"/>
      </c:barChart>
      <c:catAx>
        <c:axId val="94344320"/>
        <c:scaling>
          <c:orientation val="minMax"/>
        </c:scaling>
        <c:delete val="0"/>
        <c:axPos val="b"/>
        <c:numFmt formatCode="General" sourceLinked="1"/>
        <c:majorTickMark val="out"/>
        <c:minorTickMark val="none"/>
        <c:tickLblPos val="low"/>
        <c:txPr>
          <a:bodyPr rot="0" vert="horz"/>
          <a:lstStyle/>
          <a:p>
            <a:pPr>
              <a:defRPr/>
            </a:pPr>
            <a:endParaRPr lang="lv-LV"/>
          </a:p>
        </c:txPr>
        <c:crossAx val="94345856"/>
        <c:crosses val="autoZero"/>
        <c:auto val="0"/>
        <c:lblAlgn val="ctr"/>
        <c:lblOffset val="0"/>
        <c:noMultiLvlLbl val="0"/>
      </c:catAx>
      <c:valAx>
        <c:axId val="94345856"/>
        <c:scaling>
          <c:orientation val="minMax"/>
          <c:max val="120"/>
          <c:min val="-20"/>
        </c:scaling>
        <c:delete val="0"/>
        <c:axPos val="l"/>
        <c:numFmt formatCode="0" sourceLinked="0"/>
        <c:majorTickMark val="out"/>
        <c:minorTickMark val="none"/>
        <c:tickLblPos val="nextTo"/>
        <c:txPr>
          <a:bodyPr rot="0" vert="horz"/>
          <a:lstStyle/>
          <a:p>
            <a:pPr>
              <a:defRPr/>
            </a:pPr>
            <a:endParaRPr lang="lv-LV"/>
          </a:p>
        </c:txPr>
        <c:crossAx val="94344320"/>
        <c:crosses val="autoZero"/>
        <c:crossBetween val="between"/>
        <c:majorUnit val="20"/>
        <c:minorUnit val="8.2000000000000011"/>
      </c:valAx>
      <c:spPr>
        <a:solidFill>
          <a:srgbClr val="FFFFFF"/>
        </a:solidFill>
        <a:ln w="25101">
          <a:noFill/>
        </a:ln>
      </c:spPr>
    </c:plotArea>
    <c:legend>
      <c:legendPos val="l"/>
      <c:layout>
        <c:manualLayout>
          <c:xMode val="edge"/>
          <c:yMode val="edge"/>
          <c:x val="0.63142437591776801"/>
          <c:y val="0.28603751270002542"/>
          <c:w val="0.36729812345410373"/>
          <c:h val="0.44225305799039272"/>
        </c:manualLayout>
      </c:layout>
      <c:overlay val="1"/>
    </c:legend>
    <c:plotVisOnly val="1"/>
    <c:dispBlanksAs val="gap"/>
    <c:showDLblsOverMax val="0"/>
  </c:chart>
  <c:spPr>
    <a:noFill/>
    <a:ln>
      <a:noFill/>
    </a:ln>
  </c:spPr>
  <c:txPr>
    <a:bodyPr/>
    <a:lstStyle/>
    <a:p>
      <a:pPr>
        <a:defRPr sz="1200" b="0" i="0" u="none" strike="noStrike" baseline="0">
          <a:solidFill>
            <a:srgbClr val="000000"/>
          </a:solidFill>
          <a:latin typeface="Times New Roman" pitchFamily="18" charset="0"/>
          <a:ea typeface="Arial"/>
          <a:cs typeface="Times New Roman" pitchFamily="18" charset="0"/>
        </a:defRPr>
      </a:pPr>
      <a:endParaRPr lang="lv-LV"/>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A117C5-0B49-4328-B020-DB80AE1BFD93}" type="doc">
      <dgm:prSet loTypeId="urn:microsoft.com/office/officeart/2005/8/layout/radial5" loCatId="relationship" qsTypeId="urn:microsoft.com/office/officeart/2005/8/quickstyle/simple5" qsCatId="simple" csTypeId="urn:microsoft.com/office/officeart/2005/8/colors/colorful5" csCatId="colorful" phldr="1"/>
      <dgm:spPr/>
      <dgm:t>
        <a:bodyPr/>
        <a:lstStyle/>
        <a:p>
          <a:endParaRPr lang="lv-LV"/>
        </a:p>
      </dgm:t>
    </dgm:pt>
    <dgm:pt modelId="{4EB4F2B6-183F-4A4B-B8C8-3FE487AF60B2}">
      <dgm:prSet phldrT="[Text]" custT="1"/>
      <dgm:spPr/>
      <dgm:t>
        <a:bodyPr/>
        <a:lstStyle/>
        <a:p>
          <a:r>
            <a:rPr lang="lv-LV" sz="1300" b="1" dirty="0" smtClean="0">
              <a:latin typeface="Times New Roman" pitchFamily="18" charset="0"/>
              <a:cs typeface="Times New Roman" pitchFamily="18" charset="0"/>
            </a:rPr>
            <a:t>Uzņēmumi</a:t>
          </a:r>
        </a:p>
      </dgm:t>
    </dgm:pt>
    <dgm:pt modelId="{F5C6B4B2-26B5-4741-ABCA-CF793CD59A42}" type="parTrans" cxnId="{3D4FE285-0CDD-4097-A0DC-76FC6ED3692A}">
      <dgm:prSet/>
      <dgm:spPr/>
      <dgm:t>
        <a:bodyPr/>
        <a:lstStyle/>
        <a:p>
          <a:endParaRPr lang="lv-LV" sz="900"/>
        </a:p>
      </dgm:t>
    </dgm:pt>
    <dgm:pt modelId="{5835E0D6-21DA-4EAF-B2B5-168CEA66E373}" type="sibTrans" cxnId="{3D4FE285-0CDD-4097-A0DC-76FC6ED3692A}">
      <dgm:prSet/>
      <dgm:spPr/>
      <dgm:t>
        <a:bodyPr/>
        <a:lstStyle/>
        <a:p>
          <a:endParaRPr lang="lv-LV" sz="900"/>
        </a:p>
      </dgm:t>
    </dgm:pt>
    <dgm:pt modelId="{366E2886-9B80-46A6-8E75-CCC4F2EBB7C7}">
      <dgm:prSet phldrT="[Text]" custT="1"/>
      <dgm:spPr/>
      <dgm:t>
        <a:bodyPr/>
        <a:lstStyle/>
        <a:p>
          <a:r>
            <a:rPr lang="lv-LV" sz="1600" b="1" noProof="0" dirty="0" smtClean="0">
              <a:latin typeface="Times New Roman" pitchFamily="18" charset="0"/>
              <a:cs typeface="Times New Roman" pitchFamily="18" charset="0"/>
            </a:rPr>
            <a:t>LIAA</a:t>
          </a:r>
          <a:endParaRPr lang="en-GB" sz="1600" b="1" noProof="0" dirty="0">
            <a:latin typeface="Times New Roman" pitchFamily="18" charset="0"/>
            <a:cs typeface="Times New Roman" pitchFamily="18" charset="0"/>
          </a:endParaRPr>
        </a:p>
      </dgm:t>
    </dgm:pt>
    <dgm:pt modelId="{4AE6A492-22CF-4E8D-960F-E057B46DE6B3}" type="parTrans" cxnId="{A877B220-D674-47F6-B543-2A37F12846BB}">
      <dgm:prSet custT="1"/>
      <dgm:spPr/>
      <dgm:t>
        <a:bodyPr/>
        <a:lstStyle/>
        <a:p>
          <a:endParaRPr lang="lv-LV" sz="900"/>
        </a:p>
      </dgm:t>
    </dgm:pt>
    <dgm:pt modelId="{A776C0D1-58E0-4B77-996F-E56C24383B14}" type="sibTrans" cxnId="{A877B220-D674-47F6-B543-2A37F12846BB}">
      <dgm:prSet/>
      <dgm:spPr/>
      <dgm:t>
        <a:bodyPr/>
        <a:lstStyle/>
        <a:p>
          <a:endParaRPr lang="lv-LV" sz="900"/>
        </a:p>
      </dgm:t>
    </dgm:pt>
    <dgm:pt modelId="{9E2ADA7E-956B-47D1-BEC4-AE90D6AB0194}">
      <dgm:prSet phldrT="[Text]" custT="1"/>
      <dgm:spPr/>
      <dgm:t>
        <a:bodyPr/>
        <a:lstStyle/>
        <a:p>
          <a:r>
            <a:rPr lang="lv-LV" sz="1100" b="1">
              <a:latin typeface="Times New Roman" pitchFamily="18" charset="0"/>
              <a:cs typeface="Times New Roman" pitchFamily="18" charset="0"/>
            </a:rPr>
            <a:t>Nozaru ministrijas</a:t>
          </a:r>
        </a:p>
      </dgm:t>
    </dgm:pt>
    <dgm:pt modelId="{C1994A2A-ED83-4D0D-9B80-08A94F1FD90E}" type="parTrans" cxnId="{A0FC4BEC-8E61-469B-BE8E-81CCF9C6639E}">
      <dgm:prSet custT="1"/>
      <dgm:spPr/>
      <dgm:t>
        <a:bodyPr/>
        <a:lstStyle/>
        <a:p>
          <a:endParaRPr lang="en-GB" sz="900"/>
        </a:p>
      </dgm:t>
    </dgm:pt>
    <dgm:pt modelId="{E1F0AE5F-25C1-403D-8247-B51FFC33D2C2}" type="sibTrans" cxnId="{A0FC4BEC-8E61-469B-BE8E-81CCF9C6639E}">
      <dgm:prSet/>
      <dgm:spPr/>
      <dgm:t>
        <a:bodyPr/>
        <a:lstStyle/>
        <a:p>
          <a:endParaRPr lang="en-GB" sz="900"/>
        </a:p>
      </dgm:t>
    </dgm:pt>
    <dgm:pt modelId="{C81E980A-6F8A-44A3-98AB-BEC1738C8D44}">
      <dgm:prSet phldrT="[Text]" custT="1"/>
      <dgm:spPr/>
      <dgm:t>
        <a:bodyPr/>
        <a:lstStyle/>
        <a:p>
          <a:r>
            <a:rPr lang="lv-LV" sz="1000" b="1" noProof="0" dirty="0" smtClean="0">
              <a:latin typeface="Times New Roman" pitchFamily="18" charset="0"/>
              <a:cs typeface="Times New Roman" pitchFamily="18" charset="0"/>
            </a:rPr>
            <a:t>Konsultāciju uzņēmumi</a:t>
          </a:r>
          <a:endParaRPr lang="en-GB" sz="1000" b="1" noProof="0" dirty="0">
            <a:latin typeface="Times New Roman" pitchFamily="18" charset="0"/>
            <a:cs typeface="Times New Roman" pitchFamily="18" charset="0"/>
          </a:endParaRPr>
        </a:p>
      </dgm:t>
    </dgm:pt>
    <dgm:pt modelId="{9D2D6159-E330-4C5B-A6AF-DE35DF945BDD}" type="parTrans" cxnId="{E412631A-2531-46EF-8A75-EAC8473D6F33}">
      <dgm:prSet custT="1"/>
      <dgm:spPr/>
      <dgm:t>
        <a:bodyPr/>
        <a:lstStyle/>
        <a:p>
          <a:endParaRPr lang="en-GB" sz="900"/>
        </a:p>
      </dgm:t>
    </dgm:pt>
    <dgm:pt modelId="{D8C88E40-3638-4D08-BC23-9A69CFBF45C6}" type="sibTrans" cxnId="{E412631A-2531-46EF-8A75-EAC8473D6F33}">
      <dgm:prSet/>
      <dgm:spPr/>
      <dgm:t>
        <a:bodyPr/>
        <a:lstStyle/>
        <a:p>
          <a:endParaRPr lang="en-GB" sz="900"/>
        </a:p>
      </dgm:t>
    </dgm:pt>
    <dgm:pt modelId="{AFC84451-1B1B-4E30-B660-1ECD32C3E744}">
      <dgm:prSet phldrT="[Text]" custT="1"/>
      <dgm:spPr/>
      <dgm:t>
        <a:bodyPr/>
        <a:lstStyle/>
        <a:p>
          <a:r>
            <a:rPr lang="lv-LV" sz="1100" b="1">
              <a:latin typeface="Times New Roman" pitchFamily="18" charset="0"/>
              <a:cs typeface="Times New Roman" pitchFamily="18" charset="0"/>
            </a:rPr>
            <a:t>LDDK</a:t>
          </a:r>
        </a:p>
      </dgm:t>
    </dgm:pt>
    <dgm:pt modelId="{DE36B1C9-CAFA-425E-BF17-517968F5BF05}" type="parTrans" cxnId="{4A6B216C-D4C6-4F9D-ABBA-1F056CA334FD}">
      <dgm:prSet custT="1"/>
      <dgm:spPr/>
      <dgm:t>
        <a:bodyPr/>
        <a:lstStyle/>
        <a:p>
          <a:endParaRPr lang="en-GB" sz="900"/>
        </a:p>
      </dgm:t>
    </dgm:pt>
    <dgm:pt modelId="{E4156948-746E-4407-BDC0-78F1D4D41CD9}" type="sibTrans" cxnId="{4A6B216C-D4C6-4F9D-ABBA-1F056CA334FD}">
      <dgm:prSet/>
      <dgm:spPr/>
      <dgm:t>
        <a:bodyPr/>
        <a:lstStyle/>
        <a:p>
          <a:endParaRPr lang="en-GB" sz="900"/>
        </a:p>
      </dgm:t>
    </dgm:pt>
    <dgm:pt modelId="{9CE6CB92-25EA-4B02-A6BF-BCD50077C086}">
      <dgm:prSet phldrT="[Text]" custT="1"/>
      <dgm:spPr/>
      <dgm:t>
        <a:bodyPr/>
        <a:lstStyle/>
        <a:p>
          <a:r>
            <a:rPr lang="lv-LV" sz="1100" b="1">
              <a:latin typeface="Times New Roman" pitchFamily="18" charset="0"/>
              <a:cs typeface="Times New Roman" pitchFamily="18" charset="0"/>
            </a:rPr>
            <a:t>Nozaru asociācijas</a:t>
          </a:r>
        </a:p>
      </dgm:t>
    </dgm:pt>
    <dgm:pt modelId="{EB3253D0-51C8-4AA1-B661-ED64BB4077F6}" type="parTrans" cxnId="{4EE318F0-EA80-46C6-94D7-B65190E9F7C2}">
      <dgm:prSet custT="1"/>
      <dgm:spPr/>
      <dgm:t>
        <a:bodyPr/>
        <a:lstStyle/>
        <a:p>
          <a:endParaRPr lang="en-GB" sz="900"/>
        </a:p>
      </dgm:t>
    </dgm:pt>
    <dgm:pt modelId="{03EA4B33-1E6B-4158-ABB1-1A595C1182EB}" type="sibTrans" cxnId="{4EE318F0-EA80-46C6-94D7-B65190E9F7C2}">
      <dgm:prSet/>
      <dgm:spPr/>
      <dgm:t>
        <a:bodyPr/>
        <a:lstStyle/>
        <a:p>
          <a:endParaRPr lang="en-GB" sz="900"/>
        </a:p>
      </dgm:t>
    </dgm:pt>
    <dgm:pt modelId="{A7F16447-3797-42A7-9617-70C0B52D6A5C}">
      <dgm:prSet phldrT="[Text]" custT="1"/>
      <dgm:spPr>
        <a:gradFill rotWithShape="0">
          <a:gsLst>
            <a:gs pos="91670">
              <a:srgbClr val="FFF029"/>
            </a:gs>
            <a:gs pos="10000">
              <a:srgbClr val="C19EB4"/>
            </a:gs>
            <a:gs pos="16000">
              <a:schemeClr val="accent4">
                <a:lumMod val="60000"/>
                <a:lumOff val="40000"/>
              </a:schemeClr>
            </a:gs>
            <a:gs pos="0">
              <a:schemeClr val="accent2">
                <a:lumMod val="60000"/>
                <a:lumOff val="40000"/>
              </a:schemeClr>
            </a:gs>
            <a:gs pos="86000">
              <a:schemeClr val="accent3">
                <a:lumMod val="75000"/>
              </a:schemeClr>
            </a:gs>
            <a:gs pos="100000">
              <a:schemeClr val="accent3">
                <a:lumMod val="60000"/>
                <a:lumOff val="40000"/>
              </a:schemeClr>
            </a:gs>
            <a:gs pos="100000">
              <a:schemeClr val="accent5">
                <a:hueOff val="-8278230"/>
                <a:satOff val="33176"/>
                <a:lumOff val="7190"/>
                <a:alphaOff val="0"/>
                <a:shade val="94000"/>
                <a:satMod val="135000"/>
              </a:schemeClr>
            </a:gs>
          </a:gsLst>
        </a:gradFill>
      </dgm:spPr>
      <dgm:t>
        <a:bodyPr/>
        <a:lstStyle/>
        <a:p>
          <a:r>
            <a:rPr lang="lv-LV" sz="1200" b="1">
              <a:latin typeface="Times New Roman" pitchFamily="18" charset="0"/>
              <a:cs typeface="Times New Roman" pitchFamily="18" charset="0"/>
            </a:rPr>
            <a:t>Valsts prezidents</a:t>
          </a:r>
        </a:p>
        <a:p>
          <a:r>
            <a:rPr lang="lv-LV" sz="1200" b="1">
              <a:latin typeface="Times New Roman" pitchFamily="18" charset="0"/>
              <a:cs typeface="Times New Roman" pitchFamily="18" charset="0"/>
            </a:rPr>
            <a:t>Ministru prezidents</a:t>
          </a:r>
        </a:p>
      </dgm:t>
    </dgm:pt>
    <dgm:pt modelId="{FB21FA9B-9D1C-4649-A505-56987C201CCB}" type="parTrans" cxnId="{3E7EAC0F-20F2-45E2-B313-E57D4AC5C529}">
      <dgm:prSet custT="1"/>
      <dgm:spPr/>
      <dgm:t>
        <a:bodyPr/>
        <a:lstStyle/>
        <a:p>
          <a:endParaRPr lang="en-GB" sz="900"/>
        </a:p>
      </dgm:t>
    </dgm:pt>
    <dgm:pt modelId="{3BE07BAE-7B48-4E1A-89EF-231E45BAFD34}" type="sibTrans" cxnId="{3E7EAC0F-20F2-45E2-B313-E57D4AC5C529}">
      <dgm:prSet/>
      <dgm:spPr/>
      <dgm:t>
        <a:bodyPr/>
        <a:lstStyle/>
        <a:p>
          <a:endParaRPr lang="en-GB" sz="900"/>
        </a:p>
      </dgm:t>
    </dgm:pt>
    <dgm:pt modelId="{DE402037-4F3E-4EC5-AEF5-D5B559BE1079}">
      <dgm:prSet phldrT="[Text]" custT="1"/>
      <dgm:spPr/>
      <dgm:t>
        <a:bodyPr/>
        <a:lstStyle/>
        <a:p>
          <a:r>
            <a:rPr lang="lv-LV" sz="1100" b="1">
              <a:latin typeface="Times New Roman" pitchFamily="18" charset="0"/>
              <a:cs typeface="Times New Roman" pitchFamily="18" charset="0"/>
            </a:rPr>
            <a:t>LTRK </a:t>
          </a:r>
        </a:p>
      </dgm:t>
    </dgm:pt>
    <dgm:pt modelId="{CF890EF6-91A2-4788-88EC-96F2763ADFCD}" type="parTrans" cxnId="{EF9C2501-4B77-45C8-B139-916E8C9FB7A1}">
      <dgm:prSet custT="1"/>
      <dgm:spPr/>
      <dgm:t>
        <a:bodyPr/>
        <a:lstStyle/>
        <a:p>
          <a:endParaRPr lang="en-GB" sz="900"/>
        </a:p>
      </dgm:t>
    </dgm:pt>
    <dgm:pt modelId="{1FDA7673-8793-41D1-88FE-8C4950FB0D82}" type="sibTrans" cxnId="{EF9C2501-4B77-45C8-B139-916E8C9FB7A1}">
      <dgm:prSet/>
      <dgm:spPr/>
      <dgm:t>
        <a:bodyPr/>
        <a:lstStyle/>
        <a:p>
          <a:endParaRPr lang="en-GB" sz="900"/>
        </a:p>
      </dgm:t>
    </dgm:pt>
    <dgm:pt modelId="{793A5775-D56A-4C88-BF42-84C7DFA24D87}">
      <dgm:prSet/>
      <dgm:spPr/>
      <dgm:t>
        <a:bodyPr/>
        <a:lstStyle/>
        <a:p>
          <a:endParaRPr lang="lv-LV"/>
        </a:p>
      </dgm:t>
    </dgm:pt>
    <dgm:pt modelId="{047D3A3E-F2ED-4989-A109-B8EDDE5901C4}" type="parTrans" cxnId="{EF5A6016-2472-48D6-A66F-E185E543D8D1}">
      <dgm:prSet/>
      <dgm:spPr/>
      <dgm:t>
        <a:bodyPr/>
        <a:lstStyle/>
        <a:p>
          <a:endParaRPr lang="en-GB"/>
        </a:p>
      </dgm:t>
    </dgm:pt>
    <dgm:pt modelId="{DA33EBFA-F8FF-48E8-B6B5-B08D3B4D67D8}" type="sibTrans" cxnId="{EF5A6016-2472-48D6-A66F-E185E543D8D1}">
      <dgm:prSet/>
      <dgm:spPr/>
      <dgm:t>
        <a:bodyPr/>
        <a:lstStyle/>
        <a:p>
          <a:endParaRPr lang="lv-LV"/>
        </a:p>
      </dgm:t>
    </dgm:pt>
    <dgm:pt modelId="{CECB79C8-9A7D-431B-9040-6443464D7423}">
      <dgm:prSet/>
      <dgm:spPr/>
      <dgm:t>
        <a:bodyPr/>
        <a:lstStyle/>
        <a:p>
          <a:endParaRPr lang="lv-LV"/>
        </a:p>
      </dgm:t>
    </dgm:pt>
    <dgm:pt modelId="{04BD6068-713E-45BD-A272-13266A363A8A}" type="parTrans" cxnId="{F6C8DFBD-39F2-4FC4-BE7A-F56B3EEA37D5}">
      <dgm:prSet/>
      <dgm:spPr/>
      <dgm:t>
        <a:bodyPr/>
        <a:lstStyle/>
        <a:p>
          <a:endParaRPr lang="en-GB"/>
        </a:p>
      </dgm:t>
    </dgm:pt>
    <dgm:pt modelId="{6A5D4FF0-DCD1-4B7F-BC18-2F7D02EE6F77}" type="sibTrans" cxnId="{F6C8DFBD-39F2-4FC4-BE7A-F56B3EEA37D5}">
      <dgm:prSet/>
      <dgm:spPr/>
      <dgm:t>
        <a:bodyPr/>
        <a:lstStyle/>
        <a:p>
          <a:endParaRPr lang="lv-LV"/>
        </a:p>
      </dgm:t>
    </dgm:pt>
    <dgm:pt modelId="{E03E3551-FE7E-40C1-A876-0587B58C76DB}">
      <dgm:prSet/>
      <dgm:spPr/>
      <dgm:t>
        <a:bodyPr/>
        <a:lstStyle/>
        <a:p>
          <a:endParaRPr lang="lv-LV"/>
        </a:p>
      </dgm:t>
    </dgm:pt>
    <dgm:pt modelId="{F30500F5-4BB1-4B4D-A565-A181B8BB757C}" type="parTrans" cxnId="{063DBE77-829B-47C7-B809-7F772F60CC92}">
      <dgm:prSet/>
      <dgm:spPr/>
      <dgm:t>
        <a:bodyPr/>
        <a:lstStyle/>
        <a:p>
          <a:endParaRPr lang="en-GB"/>
        </a:p>
      </dgm:t>
    </dgm:pt>
    <dgm:pt modelId="{19D8E4B6-514A-4272-84FF-671C3F4D61FD}" type="sibTrans" cxnId="{063DBE77-829B-47C7-B809-7F772F60CC92}">
      <dgm:prSet/>
      <dgm:spPr/>
      <dgm:t>
        <a:bodyPr/>
        <a:lstStyle/>
        <a:p>
          <a:endParaRPr lang="lv-LV"/>
        </a:p>
      </dgm:t>
    </dgm:pt>
    <dgm:pt modelId="{F3A95087-B6CF-4B58-B1A2-ABF96C0AD982}" type="pres">
      <dgm:prSet presAssocID="{9DA117C5-0B49-4328-B020-DB80AE1BFD93}" presName="Name0" presStyleCnt="0">
        <dgm:presLayoutVars>
          <dgm:chMax val="1"/>
          <dgm:dir/>
          <dgm:animLvl val="ctr"/>
          <dgm:resizeHandles val="exact"/>
        </dgm:presLayoutVars>
      </dgm:prSet>
      <dgm:spPr/>
      <dgm:t>
        <a:bodyPr/>
        <a:lstStyle/>
        <a:p>
          <a:endParaRPr lang="lv-LV"/>
        </a:p>
      </dgm:t>
    </dgm:pt>
    <dgm:pt modelId="{9256E175-9D26-41EE-A2BD-6E163CC0E94B}" type="pres">
      <dgm:prSet presAssocID="{4EB4F2B6-183F-4A4B-B8C8-3FE487AF60B2}" presName="centerShape" presStyleLbl="node0" presStyleIdx="0" presStyleCnt="1" custLinFactNeighborX="261" custLinFactNeighborY="784"/>
      <dgm:spPr/>
      <dgm:t>
        <a:bodyPr/>
        <a:lstStyle/>
        <a:p>
          <a:endParaRPr lang="lv-LV"/>
        </a:p>
      </dgm:t>
    </dgm:pt>
    <dgm:pt modelId="{5C9730B1-68E7-44A7-BFFF-07A68FDF1457}" type="pres">
      <dgm:prSet presAssocID="{4AE6A492-22CF-4E8D-960F-E057B46DE6B3}" presName="parTrans" presStyleLbl="sibTrans2D1" presStyleIdx="0" presStyleCnt="7" custAng="5418241"/>
      <dgm:spPr>
        <a:prstGeom prst="upDownArrow">
          <a:avLst/>
        </a:prstGeom>
      </dgm:spPr>
      <dgm:t>
        <a:bodyPr/>
        <a:lstStyle/>
        <a:p>
          <a:endParaRPr lang="lv-LV"/>
        </a:p>
      </dgm:t>
    </dgm:pt>
    <dgm:pt modelId="{4D4EDCCB-7D72-4D04-BED0-EC84FCF8D647}" type="pres">
      <dgm:prSet presAssocID="{4AE6A492-22CF-4E8D-960F-E057B46DE6B3}" presName="connectorText" presStyleLbl="sibTrans2D1" presStyleIdx="0" presStyleCnt="7"/>
      <dgm:spPr/>
      <dgm:t>
        <a:bodyPr/>
        <a:lstStyle/>
        <a:p>
          <a:endParaRPr lang="lv-LV"/>
        </a:p>
      </dgm:t>
    </dgm:pt>
    <dgm:pt modelId="{6DA03BB8-CEFF-4138-B2CA-9A05900B3869}" type="pres">
      <dgm:prSet presAssocID="{366E2886-9B80-46A6-8E75-CCC4F2EBB7C7}" presName="node" presStyleLbl="node1" presStyleIdx="0" presStyleCnt="7" custRadScaleRad="96809">
        <dgm:presLayoutVars>
          <dgm:bulletEnabled val="1"/>
        </dgm:presLayoutVars>
      </dgm:prSet>
      <dgm:spPr/>
      <dgm:t>
        <a:bodyPr/>
        <a:lstStyle/>
        <a:p>
          <a:endParaRPr lang="lv-LV"/>
        </a:p>
      </dgm:t>
    </dgm:pt>
    <dgm:pt modelId="{B55A4D95-341E-4315-B473-ACB374E79006}" type="pres">
      <dgm:prSet presAssocID="{C1994A2A-ED83-4D0D-9B80-08A94F1FD90E}" presName="parTrans" presStyleLbl="sibTrans2D1" presStyleIdx="1" presStyleCnt="7" custAng="15867312" custLinFactNeighborX="5900" custLinFactNeighborY="217"/>
      <dgm:spPr>
        <a:prstGeom prst="upDownArrow">
          <a:avLst/>
        </a:prstGeom>
      </dgm:spPr>
      <dgm:t>
        <a:bodyPr/>
        <a:lstStyle/>
        <a:p>
          <a:endParaRPr lang="en-GB"/>
        </a:p>
      </dgm:t>
    </dgm:pt>
    <dgm:pt modelId="{1E15EF8D-FDBD-467D-B670-2B53D8105F16}" type="pres">
      <dgm:prSet presAssocID="{C1994A2A-ED83-4D0D-9B80-08A94F1FD90E}" presName="connectorText" presStyleLbl="sibTrans2D1" presStyleIdx="1" presStyleCnt="7"/>
      <dgm:spPr/>
      <dgm:t>
        <a:bodyPr/>
        <a:lstStyle/>
        <a:p>
          <a:endParaRPr lang="en-GB"/>
        </a:p>
      </dgm:t>
    </dgm:pt>
    <dgm:pt modelId="{9DE8C753-AD7C-42BE-B851-329E2B3A6B3A}" type="pres">
      <dgm:prSet presAssocID="{9E2ADA7E-956B-47D1-BEC4-AE90D6AB0194}" presName="node" presStyleLbl="node1" presStyleIdx="1" presStyleCnt="7">
        <dgm:presLayoutVars>
          <dgm:bulletEnabled val="1"/>
        </dgm:presLayoutVars>
      </dgm:prSet>
      <dgm:spPr/>
      <dgm:t>
        <a:bodyPr/>
        <a:lstStyle/>
        <a:p>
          <a:endParaRPr lang="en-GB"/>
        </a:p>
      </dgm:t>
    </dgm:pt>
    <dgm:pt modelId="{9DA0AC1F-D69B-4D5D-AEB1-E168451C1DF6}" type="pres">
      <dgm:prSet presAssocID="{9D2D6159-E330-4C5B-A6AF-DE35DF945BDD}" presName="parTrans" presStyleLbl="sibTrans2D1" presStyleIdx="2" presStyleCnt="7" custAng="16377548" custLinFactNeighborX="4511" custLinFactNeighborY="0"/>
      <dgm:spPr>
        <a:prstGeom prst="upDownArrow">
          <a:avLst/>
        </a:prstGeom>
      </dgm:spPr>
      <dgm:t>
        <a:bodyPr/>
        <a:lstStyle/>
        <a:p>
          <a:endParaRPr lang="en-GB"/>
        </a:p>
      </dgm:t>
    </dgm:pt>
    <dgm:pt modelId="{067505F8-0A99-4775-A52D-76F1C6B68090}" type="pres">
      <dgm:prSet presAssocID="{9D2D6159-E330-4C5B-A6AF-DE35DF945BDD}" presName="connectorText" presStyleLbl="sibTrans2D1" presStyleIdx="2" presStyleCnt="7"/>
      <dgm:spPr/>
      <dgm:t>
        <a:bodyPr/>
        <a:lstStyle/>
        <a:p>
          <a:endParaRPr lang="en-GB"/>
        </a:p>
      </dgm:t>
    </dgm:pt>
    <dgm:pt modelId="{A4FB84AB-702D-4AE4-86F2-D6292FE219A5}" type="pres">
      <dgm:prSet presAssocID="{C81E980A-6F8A-44A3-98AB-BEC1738C8D44}" presName="node" presStyleLbl="node1" presStyleIdx="2" presStyleCnt="7">
        <dgm:presLayoutVars>
          <dgm:bulletEnabled val="1"/>
        </dgm:presLayoutVars>
      </dgm:prSet>
      <dgm:spPr/>
      <dgm:t>
        <a:bodyPr/>
        <a:lstStyle/>
        <a:p>
          <a:endParaRPr lang="en-GB"/>
        </a:p>
      </dgm:t>
    </dgm:pt>
    <dgm:pt modelId="{B86724E9-163C-4DE7-BE3D-2D14B70BA54A}" type="pres">
      <dgm:prSet presAssocID="{DE36B1C9-CAFA-425E-BF17-517968F5BF05}" presName="parTrans" presStyleLbl="sibTrans2D1" presStyleIdx="3" presStyleCnt="7" custAng="15950198" custLinFactNeighborX="-8959" custLinFactNeighborY="3500" custRadScaleRad="0" custRadScaleInc="-2147483648"/>
      <dgm:spPr>
        <a:prstGeom prst="upDownArrow">
          <a:avLst/>
        </a:prstGeom>
      </dgm:spPr>
      <dgm:t>
        <a:bodyPr/>
        <a:lstStyle/>
        <a:p>
          <a:endParaRPr lang="en-GB"/>
        </a:p>
      </dgm:t>
    </dgm:pt>
    <dgm:pt modelId="{50929780-50C7-409A-B0FE-B909D5CFA5E0}" type="pres">
      <dgm:prSet presAssocID="{DE36B1C9-CAFA-425E-BF17-517968F5BF05}" presName="connectorText" presStyleLbl="sibTrans2D1" presStyleIdx="3" presStyleCnt="7"/>
      <dgm:spPr/>
      <dgm:t>
        <a:bodyPr/>
        <a:lstStyle/>
        <a:p>
          <a:endParaRPr lang="en-GB"/>
        </a:p>
      </dgm:t>
    </dgm:pt>
    <dgm:pt modelId="{C7DB1E4B-56F2-4389-98F6-716C637B725D}" type="pres">
      <dgm:prSet presAssocID="{AFC84451-1B1B-4E30-B660-1ECD32C3E744}" presName="node" presStyleLbl="node1" presStyleIdx="3" presStyleCnt="7">
        <dgm:presLayoutVars>
          <dgm:bulletEnabled val="1"/>
        </dgm:presLayoutVars>
      </dgm:prSet>
      <dgm:spPr/>
      <dgm:t>
        <a:bodyPr/>
        <a:lstStyle/>
        <a:p>
          <a:endParaRPr lang="en-GB"/>
        </a:p>
      </dgm:t>
    </dgm:pt>
    <dgm:pt modelId="{2C5AC533-7BF1-429F-AAC8-5FDF085FA291}" type="pres">
      <dgm:prSet presAssocID="{EB3253D0-51C8-4AA1-B661-ED64BB4077F6}" presName="parTrans" presStyleLbl="sibTrans2D1" presStyleIdx="4" presStyleCnt="7" custAng="16404314"/>
      <dgm:spPr>
        <a:prstGeom prst="upDownArrow">
          <a:avLst/>
        </a:prstGeom>
      </dgm:spPr>
      <dgm:t>
        <a:bodyPr/>
        <a:lstStyle/>
        <a:p>
          <a:endParaRPr lang="en-GB"/>
        </a:p>
      </dgm:t>
    </dgm:pt>
    <dgm:pt modelId="{B4F24667-02C0-42B9-BBDD-428DC27D3AB6}" type="pres">
      <dgm:prSet presAssocID="{EB3253D0-51C8-4AA1-B661-ED64BB4077F6}" presName="connectorText" presStyleLbl="sibTrans2D1" presStyleIdx="4" presStyleCnt="7"/>
      <dgm:spPr/>
      <dgm:t>
        <a:bodyPr/>
        <a:lstStyle/>
        <a:p>
          <a:endParaRPr lang="en-GB"/>
        </a:p>
      </dgm:t>
    </dgm:pt>
    <dgm:pt modelId="{AAFF8967-2B33-447A-AED7-77001419E4E1}" type="pres">
      <dgm:prSet presAssocID="{9CE6CB92-25EA-4B02-A6BF-BCD50077C086}" presName="node" presStyleLbl="node1" presStyleIdx="4" presStyleCnt="7" custRadScaleRad="100428" custRadScaleInc="831">
        <dgm:presLayoutVars>
          <dgm:bulletEnabled val="1"/>
        </dgm:presLayoutVars>
      </dgm:prSet>
      <dgm:spPr/>
      <dgm:t>
        <a:bodyPr/>
        <a:lstStyle/>
        <a:p>
          <a:endParaRPr lang="en-GB"/>
        </a:p>
      </dgm:t>
    </dgm:pt>
    <dgm:pt modelId="{0571F065-6294-43AE-B0B6-467E3F9EF1BE}" type="pres">
      <dgm:prSet presAssocID="{FB21FA9B-9D1C-4649-A505-56987C201CCB}" presName="parTrans" presStyleLbl="sibTrans2D1" presStyleIdx="5" presStyleCnt="7" custAng="16014978"/>
      <dgm:spPr>
        <a:prstGeom prst="upDownArrow">
          <a:avLst/>
        </a:prstGeom>
      </dgm:spPr>
      <dgm:t>
        <a:bodyPr/>
        <a:lstStyle/>
        <a:p>
          <a:endParaRPr lang="en-GB"/>
        </a:p>
      </dgm:t>
    </dgm:pt>
    <dgm:pt modelId="{B4CB486B-61A3-40A4-A3F4-56D57D768753}" type="pres">
      <dgm:prSet presAssocID="{FB21FA9B-9D1C-4649-A505-56987C201CCB}" presName="connectorText" presStyleLbl="sibTrans2D1" presStyleIdx="5" presStyleCnt="7"/>
      <dgm:spPr/>
      <dgm:t>
        <a:bodyPr/>
        <a:lstStyle/>
        <a:p>
          <a:endParaRPr lang="en-GB"/>
        </a:p>
      </dgm:t>
    </dgm:pt>
    <dgm:pt modelId="{CB76EA99-4327-48E0-93C1-060437F069E4}" type="pres">
      <dgm:prSet presAssocID="{A7F16447-3797-42A7-9617-70C0B52D6A5C}" presName="node" presStyleLbl="node1" presStyleIdx="5" presStyleCnt="7">
        <dgm:presLayoutVars>
          <dgm:bulletEnabled val="1"/>
        </dgm:presLayoutVars>
      </dgm:prSet>
      <dgm:spPr/>
      <dgm:t>
        <a:bodyPr/>
        <a:lstStyle/>
        <a:p>
          <a:endParaRPr lang="en-GB"/>
        </a:p>
      </dgm:t>
    </dgm:pt>
    <dgm:pt modelId="{8E4C25AF-2A00-408A-97A3-8D366A635987}" type="pres">
      <dgm:prSet presAssocID="{CF890EF6-91A2-4788-88EC-96F2763ADFCD}" presName="parTrans" presStyleLbl="sibTrans2D1" presStyleIdx="6" presStyleCnt="7" custAng="16555183"/>
      <dgm:spPr>
        <a:prstGeom prst="upDownArrow">
          <a:avLst/>
        </a:prstGeom>
      </dgm:spPr>
      <dgm:t>
        <a:bodyPr/>
        <a:lstStyle/>
        <a:p>
          <a:endParaRPr lang="en-GB"/>
        </a:p>
      </dgm:t>
    </dgm:pt>
    <dgm:pt modelId="{A6120B05-9C28-4C66-9C2A-E68C771AC62E}" type="pres">
      <dgm:prSet presAssocID="{CF890EF6-91A2-4788-88EC-96F2763ADFCD}" presName="connectorText" presStyleLbl="sibTrans2D1" presStyleIdx="6" presStyleCnt="7"/>
      <dgm:spPr/>
      <dgm:t>
        <a:bodyPr/>
        <a:lstStyle/>
        <a:p>
          <a:endParaRPr lang="en-GB"/>
        </a:p>
      </dgm:t>
    </dgm:pt>
    <dgm:pt modelId="{094D9330-11B3-4F99-B93F-C2FC25900C7B}" type="pres">
      <dgm:prSet presAssocID="{DE402037-4F3E-4EC5-AEF5-D5B559BE1079}" presName="node" presStyleLbl="node1" presStyleIdx="6" presStyleCnt="7">
        <dgm:presLayoutVars>
          <dgm:bulletEnabled val="1"/>
        </dgm:presLayoutVars>
      </dgm:prSet>
      <dgm:spPr/>
      <dgm:t>
        <a:bodyPr/>
        <a:lstStyle/>
        <a:p>
          <a:endParaRPr lang="en-GB"/>
        </a:p>
      </dgm:t>
    </dgm:pt>
  </dgm:ptLst>
  <dgm:cxnLst>
    <dgm:cxn modelId="{ED1A4FFA-FF27-4C09-9AA8-DE4DF1A0E9C6}" type="presOf" srcId="{CF890EF6-91A2-4788-88EC-96F2763ADFCD}" destId="{A6120B05-9C28-4C66-9C2A-E68C771AC62E}" srcOrd="1" destOrd="0" presId="urn:microsoft.com/office/officeart/2005/8/layout/radial5"/>
    <dgm:cxn modelId="{5B7CC81A-3EF1-4D7C-AF97-BFE9C58B5150}" type="presOf" srcId="{9DA117C5-0B49-4328-B020-DB80AE1BFD93}" destId="{F3A95087-B6CF-4B58-B1A2-ABF96C0AD982}" srcOrd="0" destOrd="0" presId="urn:microsoft.com/office/officeart/2005/8/layout/radial5"/>
    <dgm:cxn modelId="{A0FC4BEC-8E61-469B-BE8E-81CCF9C6639E}" srcId="{4EB4F2B6-183F-4A4B-B8C8-3FE487AF60B2}" destId="{9E2ADA7E-956B-47D1-BEC4-AE90D6AB0194}" srcOrd="1" destOrd="0" parTransId="{C1994A2A-ED83-4D0D-9B80-08A94F1FD90E}" sibTransId="{E1F0AE5F-25C1-403D-8247-B51FFC33D2C2}"/>
    <dgm:cxn modelId="{F6C8DFBD-39F2-4FC4-BE7A-F56B3EEA37D5}" srcId="{9DA117C5-0B49-4328-B020-DB80AE1BFD93}" destId="{CECB79C8-9A7D-431B-9040-6443464D7423}" srcOrd="2" destOrd="0" parTransId="{04BD6068-713E-45BD-A272-13266A363A8A}" sibTransId="{6A5D4FF0-DCD1-4B7F-BC18-2F7D02EE6F77}"/>
    <dgm:cxn modelId="{5C7B98C5-26E4-4999-BAD9-F04FF0C38B6B}" type="presOf" srcId="{4AE6A492-22CF-4E8D-960F-E057B46DE6B3}" destId="{5C9730B1-68E7-44A7-BFFF-07A68FDF1457}" srcOrd="0" destOrd="0" presId="urn:microsoft.com/office/officeart/2005/8/layout/radial5"/>
    <dgm:cxn modelId="{4EE318F0-EA80-46C6-94D7-B65190E9F7C2}" srcId="{4EB4F2B6-183F-4A4B-B8C8-3FE487AF60B2}" destId="{9CE6CB92-25EA-4B02-A6BF-BCD50077C086}" srcOrd="4" destOrd="0" parTransId="{EB3253D0-51C8-4AA1-B661-ED64BB4077F6}" sibTransId="{03EA4B33-1E6B-4158-ABB1-1A595C1182EB}"/>
    <dgm:cxn modelId="{063DBE77-829B-47C7-B809-7F772F60CC92}" srcId="{9DA117C5-0B49-4328-B020-DB80AE1BFD93}" destId="{E03E3551-FE7E-40C1-A876-0587B58C76DB}" srcOrd="3" destOrd="0" parTransId="{F30500F5-4BB1-4B4D-A565-A181B8BB757C}" sibTransId="{19D8E4B6-514A-4272-84FF-671C3F4D61FD}"/>
    <dgm:cxn modelId="{EF9C2501-4B77-45C8-B139-916E8C9FB7A1}" srcId="{4EB4F2B6-183F-4A4B-B8C8-3FE487AF60B2}" destId="{DE402037-4F3E-4EC5-AEF5-D5B559BE1079}" srcOrd="6" destOrd="0" parTransId="{CF890EF6-91A2-4788-88EC-96F2763ADFCD}" sibTransId="{1FDA7673-8793-41D1-88FE-8C4950FB0D82}"/>
    <dgm:cxn modelId="{14833A5C-2E6F-4E9A-8B87-2A65E060F31D}" type="presOf" srcId="{4AE6A492-22CF-4E8D-960F-E057B46DE6B3}" destId="{4D4EDCCB-7D72-4D04-BED0-EC84FCF8D647}" srcOrd="1" destOrd="0" presId="urn:microsoft.com/office/officeart/2005/8/layout/radial5"/>
    <dgm:cxn modelId="{EE215BF2-9D7C-42ED-807C-BFA2FBC247CE}" type="presOf" srcId="{EB3253D0-51C8-4AA1-B661-ED64BB4077F6}" destId="{2C5AC533-7BF1-429F-AAC8-5FDF085FA291}" srcOrd="0" destOrd="0" presId="urn:microsoft.com/office/officeart/2005/8/layout/radial5"/>
    <dgm:cxn modelId="{ABA7682B-E4B4-4010-ABA7-22F683B8DB62}" type="presOf" srcId="{C81E980A-6F8A-44A3-98AB-BEC1738C8D44}" destId="{A4FB84AB-702D-4AE4-86F2-D6292FE219A5}" srcOrd="0" destOrd="0" presId="urn:microsoft.com/office/officeart/2005/8/layout/radial5"/>
    <dgm:cxn modelId="{E412631A-2531-46EF-8A75-EAC8473D6F33}" srcId="{4EB4F2B6-183F-4A4B-B8C8-3FE487AF60B2}" destId="{C81E980A-6F8A-44A3-98AB-BEC1738C8D44}" srcOrd="2" destOrd="0" parTransId="{9D2D6159-E330-4C5B-A6AF-DE35DF945BDD}" sibTransId="{D8C88E40-3638-4D08-BC23-9A69CFBF45C6}"/>
    <dgm:cxn modelId="{3E7EAC0F-20F2-45E2-B313-E57D4AC5C529}" srcId="{4EB4F2B6-183F-4A4B-B8C8-3FE487AF60B2}" destId="{A7F16447-3797-42A7-9617-70C0B52D6A5C}" srcOrd="5" destOrd="0" parTransId="{FB21FA9B-9D1C-4649-A505-56987C201CCB}" sibTransId="{3BE07BAE-7B48-4E1A-89EF-231E45BAFD34}"/>
    <dgm:cxn modelId="{54057604-12A4-4D59-8A59-CA3F1B1E8D54}" type="presOf" srcId="{DE36B1C9-CAFA-425E-BF17-517968F5BF05}" destId="{50929780-50C7-409A-B0FE-B909D5CFA5E0}" srcOrd="1" destOrd="0" presId="urn:microsoft.com/office/officeart/2005/8/layout/radial5"/>
    <dgm:cxn modelId="{9A2D71EB-F91F-45CC-9402-AF5BC421F46B}" type="presOf" srcId="{A7F16447-3797-42A7-9617-70C0B52D6A5C}" destId="{CB76EA99-4327-48E0-93C1-060437F069E4}" srcOrd="0" destOrd="0" presId="urn:microsoft.com/office/officeart/2005/8/layout/radial5"/>
    <dgm:cxn modelId="{4A6B216C-D4C6-4F9D-ABBA-1F056CA334FD}" srcId="{4EB4F2B6-183F-4A4B-B8C8-3FE487AF60B2}" destId="{AFC84451-1B1B-4E30-B660-1ECD32C3E744}" srcOrd="3" destOrd="0" parTransId="{DE36B1C9-CAFA-425E-BF17-517968F5BF05}" sibTransId="{E4156948-746E-4407-BDC0-78F1D4D41CD9}"/>
    <dgm:cxn modelId="{36FA0F33-C5CC-4619-B573-E6F3F3DBBA7E}" type="presOf" srcId="{C1994A2A-ED83-4D0D-9B80-08A94F1FD90E}" destId="{B55A4D95-341E-4315-B473-ACB374E79006}" srcOrd="0" destOrd="0" presId="urn:microsoft.com/office/officeart/2005/8/layout/radial5"/>
    <dgm:cxn modelId="{EF5A6016-2472-48D6-A66F-E185E543D8D1}" srcId="{9DA117C5-0B49-4328-B020-DB80AE1BFD93}" destId="{793A5775-D56A-4C88-BF42-84C7DFA24D87}" srcOrd="1" destOrd="0" parTransId="{047D3A3E-F2ED-4989-A109-B8EDDE5901C4}" sibTransId="{DA33EBFA-F8FF-48E8-B6B5-B08D3B4D67D8}"/>
    <dgm:cxn modelId="{02E417EC-D98A-427C-9B53-4DC2FECEC53F}" type="presOf" srcId="{9D2D6159-E330-4C5B-A6AF-DE35DF945BDD}" destId="{9DA0AC1F-D69B-4D5D-AEB1-E168451C1DF6}" srcOrd="0" destOrd="0" presId="urn:microsoft.com/office/officeart/2005/8/layout/radial5"/>
    <dgm:cxn modelId="{A877B220-D674-47F6-B543-2A37F12846BB}" srcId="{4EB4F2B6-183F-4A4B-B8C8-3FE487AF60B2}" destId="{366E2886-9B80-46A6-8E75-CCC4F2EBB7C7}" srcOrd="0" destOrd="0" parTransId="{4AE6A492-22CF-4E8D-960F-E057B46DE6B3}" sibTransId="{A776C0D1-58E0-4B77-996F-E56C24383B14}"/>
    <dgm:cxn modelId="{CEC63CB7-54CD-43C2-9BB1-266A30C97D12}" type="presOf" srcId="{CF890EF6-91A2-4788-88EC-96F2763ADFCD}" destId="{8E4C25AF-2A00-408A-97A3-8D366A635987}" srcOrd="0" destOrd="0" presId="urn:microsoft.com/office/officeart/2005/8/layout/radial5"/>
    <dgm:cxn modelId="{F44F5D74-A9B6-4BC3-975E-E568A14B1BF8}" type="presOf" srcId="{9CE6CB92-25EA-4B02-A6BF-BCD50077C086}" destId="{AAFF8967-2B33-447A-AED7-77001419E4E1}" srcOrd="0" destOrd="0" presId="urn:microsoft.com/office/officeart/2005/8/layout/radial5"/>
    <dgm:cxn modelId="{01D113AF-9B2D-4A55-B4E3-5A9576C00627}" type="presOf" srcId="{4EB4F2B6-183F-4A4B-B8C8-3FE487AF60B2}" destId="{9256E175-9D26-41EE-A2BD-6E163CC0E94B}" srcOrd="0" destOrd="0" presId="urn:microsoft.com/office/officeart/2005/8/layout/radial5"/>
    <dgm:cxn modelId="{9DBFCF8D-86E4-490A-8514-2AB9F39D71E1}" type="presOf" srcId="{AFC84451-1B1B-4E30-B660-1ECD32C3E744}" destId="{C7DB1E4B-56F2-4389-98F6-716C637B725D}" srcOrd="0" destOrd="0" presId="urn:microsoft.com/office/officeart/2005/8/layout/radial5"/>
    <dgm:cxn modelId="{CCC47C2E-BD88-49E7-9035-52BB7FDE4187}" type="presOf" srcId="{EB3253D0-51C8-4AA1-B661-ED64BB4077F6}" destId="{B4F24667-02C0-42B9-BBDD-428DC27D3AB6}" srcOrd="1" destOrd="0" presId="urn:microsoft.com/office/officeart/2005/8/layout/radial5"/>
    <dgm:cxn modelId="{5DE7E1C2-F990-409A-80EE-4F87741D9140}" type="presOf" srcId="{366E2886-9B80-46A6-8E75-CCC4F2EBB7C7}" destId="{6DA03BB8-CEFF-4138-B2CA-9A05900B3869}" srcOrd="0" destOrd="0" presId="urn:microsoft.com/office/officeart/2005/8/layout/radial5"/>
    <dgm:cxn modelId="{646BAAB8-AA2B-4934-9F53-C1E6D2F53767}" type="presOf" srcId="{9D2D6159-E330-4C5B-A6AF-DE35DF945BDD}" destId="{067505F8-0A99-4775-A52D-76F1C6B68090}" srcOrd="1" destOrd="0" presId="urn:microsoft.com/office/officeart/2005/8/layout/radial5"/>
    <dgm:cxn modelId="{46A71157-4316-4F38-91AE-7193CB0F5D4A}" type="presOf" srcId="{C1994A2A-ED83-4D0D-9B80-08A94F1FD90E}" destId="{1E15EF8D-FDBD-467D-B670-2B53D8105F16}" srcOrd="1" destOrd="0" presId="urn:microsoft.com/office/officeart/2005/8/layout/radial5"/>
    <dgm:cxn modelId="{92E4072E-DF08-43E4-A76A-CC06EE83CD0A}" type="presOf" srcId="{DE402037-4F3E-4EC5-AEF5-D5B559BE1079}" destId="{094D9330-11B3-4F99-B93F-C2FC25900C7B}" srcOrd="0" destOrd="0" presId="urn:microsoft.com/office/officeart/2005/8/layout/radial5"/>
    <dgm:cxn modelId="{5D6FE6D0-AFD8-47C7-9072-19F6355A182C}" type="presOf" srcId="{FB21FA9B-9D1C-4649-A505-56987C201CCB}" destId="{0571F065-6294-43AE-B0B6-467E3F9EF1BE}" srcOrd="0" destOrd="0" presId="urn:microsoft.com/office/officeart/2005/8/layout/radial5"/>
    <dgm:cxn modelId="{3CEDB177-83DD-4DAB-8886-9F33CFDD1894}" type="presOf" srcId="{FB21FA9B-9D1C-4649-A505-56987C201CCB}" destId="{B4CB486B-61A3-40A4-A3F4-56D57D768753}" srcOrd="1" destOrd="0" presId="urn:microsoft.com/office/officeart/2005/8/layout/radial5"/>
    <dgm:cxn modelId="{3D4FE285-0CDD-4097-A0DC-76FC6ED3692A}" srcId="{9DA117C5-0B49-4328-B020-DB80AE1BFD93}" destId="{4EB4F2B6-183F-4A4B-B8C8-3FE487AF60B2}" srcOrd="0" destOrd="0" parTransId="{F5C6B4B2-26B5-4741-ABCA-CF793CD59A42}" sibTransId="{5835E0D6-21DA-4EAF-B2B5-168CEA66E373}"/>
    <dgm:cxn modelId="{B306F007-31C9-48B0-B69B-5D5F61DEFC63}" type="presOf" srcId="{DE36B1C9-CAFA-425E-BF17-517968F5BF05}" destId="{B86724E9-163C-4DE7-BE3D-2D14B70BA54A}" srcOrd="0" destOrd="0" presId="urn:microsoft.com/office/officeart/2005/8/layout/radial5"/>
    <dgm:cxn modelId="{8888D978-F6DD-4701-AA1D-10B12A986EF0}" type="presOf" srcId="{9E2ADA7E-956B-47D1-BEC4-AE90D6AB0194}" destId="{9DE8C753-AD7C-42BE-B851-329E2B3A6B3A}" srcOrd="0" destOrd="0" presId="urn:microsoft.com/office/officeart/2005/8/layout/radial5"/>
    <dgm:cxn modelId="{C395FF35-45F6-4B22-9CE4-5F9EBE2FC6D5}" type="presParOf" srcId="{F3A95087-B6CF-4B58-B1A2-ABF96C0AD982}" destId="{9256E175-9D26-41EE-A2BD-6E163CC0E94B}" srcOrd="0" destOrd="0" presId="urn:microsoft.com/office/officeart/2005/8/layout/radial5"/>
    <dgm:cxn modelId="{A5D8B508-93BD-4D61-BACF-F05C1853A65A}" type="presParOf" srcId="{F3A95087-B6CF-4B58-B1A2-ABF96C0AD982}" destId="{5C9730B1-68E7-44A7-BFFF-07A68FDF1457}" srcOrd="1" destOrd="0" presId="urn:microsoft.com/office/officeart/2005/8/layout/radial5"/>
    <dgm:cxn modelId="{33D1739D-9218-410D-BE70-1D8E0ADA5D0E}" type="presParOf" srcId="{5C9730B1-68E7-44A7-BFFF-07A68FDF1457}" destId="{4D4EDCCB-7D72-4D04-BED0-EC84FCF8D647}" srcOrd="0" destOrd="0" presId="urn:microsoft.com/office/officeart/2005/8/layout/radial5"/>
    <dgm:cxn modelId="{9E71ACBA-232B-4B8A-BE6F-07AE317C4F94}" type="presParOf" srcId="{F3A95087-B6CF-4B58-B1A2-ABF96C0AD982}" destId="{6DA03BB8-CEFF-4138-B2CA-9A05900B3869}" srcOrd="2" destOrd="0" presId="urn:microsoft.com/office/officeart/2005/8/layout/radial5"/>
    <dgm:cxn modelId="{6EF0A76D-D8FA-4021-BD28-602640A98FBA}" type="presParOf" srcId="{F3A95087-B6CF-4B58-B1A2-ABF96C0AD982}" destId="{B55A4D95-341E-4315-B473-ACB374E79006}" srcOrd="3" destOrd="0" presId="urn:microsoft.com/office/officeart/2005/8/layout/radial5"/>
    <dgm:cxn modelId="{244D85C7-4620-4D0C-BAAE-39E6B9C3CBCD}" type="presParOf" srcId="{B55A4D95-341E-4315-B473-ACB374E79006}" destId="{1E15EF8D-FDBD-467D-B670-2B53D8105F16}" srcOrd="0" destOrd="0" presId="urn:microsoft.com/office/officeart/2005/8/layout/radial5"/>
    <dgm:cxn modelId="{C0AEBC6A-ADB8-4303-94E9-0ECA10886C17}" type="presParOf" srcId="{F3A95087-B6CF-4B58-B1A2-ABF96C0AD982}" destId="{9DE8C753-AD7C-42BE-B851-329E2B3A6B3A}" srcOrd="4" destOrd="0" presId="urn:microsoft.com/office/officeart/2005/8/layout/radial5"/>
    <dgm:cxn modelId="{BBC2972E-904A-44BF-8124-5A36FFDD72FB}" type="presParOf" srcId="{F3A95087-B6CF-4B58-B1A2-ABF96C0AD982}" destId="{9DA0AC1F-D69B-4D5D-AEB1-E168451C1DF6}" srcOrd="5" destOrd="0" presId="urn:microsoft.com/office/officeart/2005/8/layout/radial5"/>
    <dgm:cxn modelId="{62E26B14-DA17-4428-BB7C-EF7086DD02B3}" type="presParOf" srcId="{9DA0AC1F-D69B-4D5D-AEB1-E168451C1DF6}" destId="{067505F8-0A99-4775-A52D-76F1C6B68090}" srcOrd="0" destOrd="0" presId="urn:microsoft.com/office/officeart/2005/8/layout/radial5"/>
    <dgm:cxn modelId="{3E7885E3-84DD-4E0A-9BC7-06CBBAE4589F}" type="presParOf" srcId="{F3A95087-B6CF-4B58-B1A2-ABF96C0AD982}" destId="{A4FB84AB-702D-4AE4-86F2-D6292FE219A5}" srcOrd="6" destOrd="0" presId="urn:microsoft.com/office/officeart/2005/8/layout/radial5"/>
    <dgm:cxn modelId="{E1E1CBDC-C031-41DD-B75C-35B6FCD738A5}" type="presParOf" srcId="{F3A95087-B6CF-4B58-B1A2-ABF96C0AD982}" destId="{B86724E9-163C-4DE7-BE3D-2D14B70BA54A}" srcOrd="7" destOrd="0" presId="urn:microsoft.com/office/officeart/2005/8/layout/radial5"/>
    <dgm:cxn modelId="{9E8C0F00-2248-45F7-988B-43B94A0321F8}" type="presParOf" srcId="{B86724E9-163C-4DE7-BE3D-2D14B70BA54A}" destId="{50929780-50C7-409A-B0FE-B909D5CFA5E0}" srcOrd="0" destOrd="0" presId="urn:microsoft.com/office/officeart/2005/8/layout/radial5"/>
    <dgm:cxn modelId="{EE75125A-BF40-4646-A53B-C3A49D96070F}" type="presParOf" srcId="{F3A95087-B6CF-4B58-B1A2-ABF96C0AD982}" destId="{C7DB1E4B-56F2-4389-98F6-716C637B725D}" srcOrd="8" destOrd="0" presId="urn:microsoft.com/office/officeart/2005/8/layout/radial5"/>
    <dgm:cxn modelId="{AA0D2F24-128C-455D-A40B-DA9E218C9F5D}" type="presParOf" srcId="{F3A95087-B6CF-4B58-B1A2-ABF96C0AD982}" destId="{2C5AC533-7BF1-429F-AAC8-5FDF085FA291}" srcOrd="9" destOrd="0" presId="urn:microsoft.com/office/officeart/2005/8/layout/radial5"/>
    <dgm:cxn modelId="{A0297059-FBBC-4C00-A7FB-0B192AA79523}" type="presParOf" srcId="{2C5AC533-7BF1-429F-AAC8-5FDF085FA291}" destId="{B4F24667-02C0-42B9-BBDD-428DC27D3AB6}" srcOrd="0" destOrd="0" presId="urn:microsoft.com/office/officeart/2005/8/layout/radial5"/>
    <dgm:cxn modelId="{9DCF22FF-F8D1-4477-A0B2-6FB48E16B469}" type="presParOf" srcId="{F3A95087-B6CF-4B58-B1A2-ABF96C0AD982}" destId="{AAFF8967-2B33-447A-AED7-77001419E4E1}" srcOrd="10" destOrd="0" presId="urn:microsoft.com/office/officeart/2005/8/layout/radial5"/>
    <dgm:cxn modelId="{90A3C9C2-AD5A-44A5-8BC5-A6BED731F0AC}" type="presParOf" srcId="{F3A95087-B6CF-4B58-B1A2-ABF96C0AD982}" destId="{0571F065-6294-43AE-B0B6-467E3F9EF1BE}" srcOrd="11" destOrd="0" presId="urn:microsoft.com/office/officeart/2005/8/layout/radial5"/>
    <dgm:cxn modelId="{12BC59CE-2C53-4950-A59D-B3E071A84D77}" type="presParOf" srcId="{0571F065-6294-43AE-B0B6-467E3F9EF1BE}" destId="{B4CB486B-61A3-40A4-A3F4-56D57D768753}" srcOrd="0" destOrd="0" presId="urn:microsoft.com/office/officeart/2005/8/layout/radial5"/>
    <dgm:cxn modelId="{24A05E1B-61AD-4D32-80AB-CB55362BFA0D}" type="presParOf" srcId="{F3A95087-B6CF-4B58-B1A2-ABF96C0AD982}" destId="{CB76EA99-4327-48E0-93C1-060437F069E4}" srcOrd="12" destOrd="0" presId="urn:microsoft.com/office/officeart/2005/8/layout/radial5"/>
    <dgm:cxn modelId="{E3B0E73D-C854-4B3A-B014-560097E8480E}" type="presParOf" srcId="{F3A95087-B6CF-4B58-B1A2-ABF96C0AD982}" destId="{8E4C25AF-2A00-408A-97A3-8D366A635987}" srcOrd="13" destOrd="0" presId="urn:microsoft.com/office/officeart/2005/8/layout/radial5"/>
    <dgm:cxn modelId="{162D0572-DBB8-4071-B7A5-FFC138C4A42F}" type="presParOf" srcId="{8E4C25AF-2A00-408A-97A3-8D366A635987}" destId="{A6120B05-9C28-4C66-9C2A-E68C771AC62E}" srcOrd="0" destOrd="0" presId="urn:microsoft.com/office/officeart/2005/8/layout/radial5"/>
    <dgm:cxn modelId="{38C4816B-28D8-4688-B8FC-A1536DD4ED78}" type="presParOf" srcId="{F3A95087-B6CF-4B58-B1A2-ABF96C0AD982}" destId="{094D9330-11B3-4F99-B93F-C2FC25900C7B}" srcOrd="14"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DA117C5-0B49-4328-B020-DB80AE1BFD93}" type="doc">
      <dgm:prSet loTypeId="urn:microsoft.com/office/officeart/2005/8/layout/radial5" loCatId="relationship" qsTypeId="urn:microsoft.com/office/officeart/2005/8/quickstyle/simple5" qsCatId="simple" csTypeId="urn:microsoft.com/office/officeart/2005/8/colors/colorful5" csCatId="colorful" phldr="1"/>
      <dgm:spPr/>
      <dgm:t>
        <a:bodyPr/>
        <a:lstStyle/>
        <a:p>
          <a:endParaRPr lang="lv-LV"/>
        </a:p>
      </dgm:t>
    </dgm:pt>
    <dgm:pt modelId="{4EB4F2B6-183F-4A4B-B8C8-3FE487AF60B2}">
      <dgm:prSet phldrT="[Text]" custT="1"/>
      <dgm:spPr/>
      <dgm:t>
        <a:bodyPr/>
        <a:lstStyle/>
        <a:p>
          <a:r>
            <a:rPr lang="lv-LV" sz="1600" b="1" dirty="0" smtClean="0">
              <a:latin typeface="Times New Roman" pitchFamily="18" charset="0"/>
              <a:cs typeface="Times New Roman" pitchFamily="18" charset="0"/>
            </a:rPr>
            <a:t>Investori</a:t>
          </a:r>
        </a:p>
      </dgm:t>
    </dgm:pt>
    <dgm:pt modelId="{F5C6B4B2-26B5-4741-ABCA-CF793CD59A42}" type="parTrans" cxnId="{3D4FE285-0CDD-4097-A0DC-76FC6ED3692A}">
      <dgm:prSet/>
      <dgm:spPr/>
      <dgm:t>
        <a:bodyPr/>
        <a:lstStyle/>
        <a:p>
          <a:endParaRPr lang="lv-LV" sz="900"/>
        </a:p>
      </dgm:t>
    </dgm:pt>
    <dgm:pt modelId="{5835E0D6-21DA-4EAF-B2B5-168CEA66E373}" type="sibTrans" cxnId="{3D4FE285-0CDD-4097-A0DC-76FC6ED3692A}">
      <dgm:prSet/>
      <dgm:spPr/>
      <dgm:t>
        <a:bodyPr/>
        <a:lstStyle/>
        <a:p>
          <a:endParaRPr lang="lv-LV" sz="900"/>
        </a:p>
      </dgm:t>
    </dgm:pt>
    <dgm:pt modelId="{366E2886-9B80-46A6-8E75-CCC4F2EBB7C7}">
      <dgm:prSet phldrT="[Text]" custT="1"/>
      <dgm:spPr/>
      <dgm:t>
        <a:bodyPr/>
        <a:lstStyle/>
        <a:p>
          <a:r>
            <a:rPr lang="lv-LV" sz="1600" b="1" noProof="0" dirty="0" smtClean="0">
              <a:latin typeface="Times New Roman" pitchFamily="18" charset="0"/>
              <a:cs typeface="Times New Roman" pitchFamily="18" charset="0"/>
            </a:rPr>
            <a:t>LIAA</a:t>
          </a:r>
          <a:endParaRPr lang="en-GB" sz="1600" b="1" noProof="0" dirty="0">
            <a:latin typeface="Times New Roman" pitchFamily="18" charset="0"/>
            <a:cs typeface="Times New Roman" pitchFamily="18" charset="0"/>
          </a:endParaRPr>
        </a:p>
      </dgm:t>
    </dgm:pt>
    <dgm:pt modelId="{4AE6A492-22CF-4E8D-960F-E057B46DE6B3}" type="parTrans" cxnId="{A877B220-D674-47F6-B543-2A37F12846BB}">
      <dgm:prSet custT="1"/>
      <dgm:spPr/>
      <dgm:t>
        <a:bodyPr/>
        <a:lstStyle/>
        <a:p>
          <a:endParaRPr lang="lv-LV" sz="900"/>
        </a:p>
      </dgm:t>
    </dgm:pt>
    <dgm:pt modelId="{A776C0D1-58E0-4B77-996F-E56C24383B14}" type="sibTrans" cxnId="{A877B220-D674-47F6-B543-2A37F12846BB}">
      <dgm:prSet/>
      <dgm:spPr/>
      <dgm:t>
        <a:bodyPr/>
        <a:lstStyle/>
        <a:p>
          <a:endParaRPr lang="lv-LV" sz="900"/>
        </a:p>
      </dgm:t>
    </dgm:pt>
    <dgm:pt modelId="{9E2ADA7E-956B-47D1-BEC4-AE90D6AB0194}">
      <dgm:prSet phldrT="[Text]" custT="1"/>
      <dgm:spPr/>
      <dgm:t>
        <a:bodyPr/>
        <a:lstStyle/>
        <a:p>
          <a:r>
            <a:rPr lang="lv-LV" sz="1100" b="1">
              <a:latin typeface="Times New Roman" pitchFamily="18" charset="0"/>
              <a:cs typeface="Times New Roman" pitchFamily="18" charset="0"/>
            </a:rPr>
            <a:t>Ekonomikas un Ārlietu ministrija, citas nozaru ministrijas</a:t>
          </a:r>
        </a:p>
      </dgm:t>
    </dgm:pt>
    <dgm:pt modelId="{C1994A2A-ED83-4D0D-9B80-08A94F1FD90E}" type="parTrans" cxnId="{A0FC4BEC-8E61-469B-BE8E-81CCF9C6639E}">
      <dgm:prSet custT="1"/>
      <dgm:spPr/>
      <dgm:t>
        <a:bodyPr/>
        <a:lstStyle/>
        <a:p>
          <a:endParaRPr lang="en-GB" sz="900"/>
        </a:p>
      </dgm:t>
    </dgm:pt>
    <dgm:pt modelId="{E1F0AE5F-25C1-403D-8247-B51FFC33D2C2}" type="sibTrans" cxnId="{A0FC4BEC-8E61-469B-BE8E-81CCF9C6639E}">
      <dgm:prSet/>
      <dgm:spPr/>
      <dgm:t>
        <a:bodyPr/>
        <a:lstStyle/>
        <a:p>
          <a:endParaRPr lang="en-GB" sz="900"/>
        </a:p>
      </dgm:t>
    </dgm:pt>
    <dgm:pt modelId="{C81E980A-6F8A-44A3-98AB-BEC1738C8D44}">
      <dgm:prSet phldrT="[Text]" custT="1"/>
      <dgm:spPr/>
      <dgm:t>
        <a:bodyPr/>
        <a:lstStyle/>
        <a:p>
          <a:r>
            <a:rPr lang="lv-LV" sz="1000" b="1">
              <a:latin typeface="Times New Roman" pitchFamily="18" charset="0"/>
              <a:cs typeface="Times New Roman" pitchFamily="18" charset="0"/>
            </a:rPr>
            <a:t>Konsultāciju un citu pakalpojumu sniedzēji</a:t>
          </a:r>
          <a:endParaRPr lang="en-GB" sz="1000" b="1" noProof="0" dirty="0">
            <a:latin typeface="Times New Roman" pitchFamily="18" charset="0"/>
            <a:cs typeface="Times New Roman" pitchFamily="18" charset="0"/>
          </a:endParaRPr>
        </a:p>
      </dgm:t>
    </dgm:pt>
    <dgm:pt modelId="{9D2D6159-E330-4C5B-A6AF-DE35DF945BDD}" type="parTrans" cxnId="{E412631A-2531-46EF-8A75-EAC8473D6F33}">
      <dgm:prSet custT="1"/>
      <dgm:spPr/>
      <dgm:t>
        <a:bodyPr/>
        <a:lstStyle/>
        <a:p>
          <a:endParaRPr lang="en-GB" sz="900"/>
        </a:p>
      </dgm:t>
    </dgm:pt>
    <dgm:pt modelId="{D8C88E40-3638-4D08-BC23-9A69CFBF45C6}" type="sibTrans" cxnId="{E412631A-2531-46EF-8A75-EAC8473D6F33}">
      <dgm:prSet/>
      <dgm:spPr/>
      <dgm:t>
        <a:bodyPr/>
        <a:lstStyle/>
        <a:p>
          <a:endParaRPr lang="en-GB" sz="900"/>
        </a:p>
      </dgm:t>
    </dgm:pt>
    <dgm:pt modelId="{AFC84451-1B1B-4E30-B660-1ECD32C3E744}">
      <dgm:prSet phldrT="[Text]" custT="1"/>
      <dgm:spPr/>
      <dgm:t>
        <a:bodyPr/>
        <a:lstStyle/>
        <a:p>
          <a:r>
            <a:rPr lang="lv-LV" sz="1100" b="1">
              <a:latin typeface="Times New Roman" pitchFamily="18" charset="0"/>
              <a:cs typeface="Times New Roman" pitchFamily="18" charset="0"/>
            </a:rPr>
            <a:t>LTRK, LDDK, ārvalstu investori un to apvienības</a:t>
          </a:r>
        </a:p>
      </dgm:t>
    </dgm:pt>
    <dgm:pt modelId="{DE36B1C9-CAFA-425E-BF17-517968F5BF05}" type="parTrans" cxnId="{4A6B216C-D4C6-4F9D-ABBA-1F056CA334FD}">
      <dgm:prSet custT="1"/>
      <dgm:spPr/>
      <dgm:t>
        <a:bodyPr/>
        <a:lstStyle/>
        <a:p>
          <a:endParaRPr lang="en-GB" sz="900"/>
        </a:p>
      </dgm:t>
    </dgm:pt>
    <dgm:pt modelId="{E4156948-746E-4407-BDC0-78F1D4D41CD9}" type="sibTrans" cxnId="{4A6B216C-D4C6-4F9D-ABBA-1F056CA334FD}">
      <dgm:prSet/>
      <dgm:spPr/>
      <dgm:t>
        <a:bodyPr/>
        <a:lstStyle/>
        <a:p>
          <a:endParaRPr lang="en-GB" sz="900"/>
        </a:p>
      </dgm:t>
    </dgm:pt>
    <dgm:pt modelId="{9CE6CB92-25EA-4B02-A6BF-BCD50077C086}">
      <dgm:prSet phldrT="[Text]" custT="1"/>
      <dgm:spPr/>
      <dgm:t>
        <a:bodyPr/>
        <a:lstStyle/>
        <a:p>
          <a:r>
            <a:rPr lang="lv-LV" sz="1100" b="1">
              <a:latin typeface="Times New Roman" pitchFamily="18" charset="0"/>
              <a:cs typeface="Times New Roman" pitchFamily="18" charset="0"/>
            </a:rPr>
            <a:t>Pašvaldības</a:t>
          </a:r>
        </a:p>
      </dgm:t>
    </dgm:pt>
    <dgm:pt modelId="{EB3253D0-51C8-4AA1-B661-ED64BB4077F6}" type="parTrans" cxnId="{4EE318F0-EA80-46C6-94D7-B65190E9F7C2}">
      <dgm:prSet custT="1"/>
      <dgm:spPr/>
      <dgm:t>
        <a:bodyPr/>
        <a:lstStyle/>
        <a:p>
          <a:endParaRPr lang="en-GB" sz="900"/>
        </a:p>
      </dgm:t>
    </dgm:pt>
    <dgm:pt modelId="{03EA4B33-1E6B-4158-ABB1-1A595C1182EB}" type="sibTrans" cxnId="{4EE318F0-EA80-46C6-94D7-B65190E9F7C2}">
      <dgm:prSet/>
      <dgm:spPr/>
      <dgm:t>
        <a:bodyPr/>
        <a:lstStyle/>
        <a:p>
          <a:endParaRPr lang="en-GB" sz="900"/>
        </a:p>
      </dgm:t>
    </dgm:pt>
    <dgm:pt modelId="{A7F16447-3797-42A7-9617-70C0B52D6A5C}">
      <dgm:prSet phldrT="[Text]" custT="1"/>
      <dgm:spPr>
        <a:gradFill rotWithShape="0">
          <a:gsLst>
            <a:gs pos="2000">
              <a:schemeClr val="accent2">
                <a:lumMod val="60000"/>
                <a:lumOff val="40000"/>
              </a:schemeClr>
            </a:gs>
            <a:gs pos="87000">
              <a:schemeClr val="accent3">
                <a:lumMod val="60000"/>
                <a:lumOff val="40000"/>
              </a:schemeClr>
            </a:gs>
          </a:gsLst>
        </a:gradFill>
      </dgm:spPr>
      <dgm:t>
        <a:bodyPr/>
        <a:lstStyle/>
        <a:p>
          <a:r>
            <a:rPr lang="lv-LV" sz="1200" b="1">
              <a:latin typeface="Times New Roman" pitchFamily="18" charset="0"/>
              <a:cs typeface="Times New Roman" pitchFamily="18" charset="0"/>
            </a:rPr>
            <a:t>Valsts prezidents</a:t>
          </a:r>
        </a:p>
        <a:p>
          <a:r>
            <a:rPr lang="lv-LV" sz="1200" b="1">
              <a:latin typeface="Times New Roman" pitchFamily="18" charset="0"/>
              <a:cs typeface="Times New Roman" pitchFamily="18" charset="0"/>
            </a:rPr>
            <a:t>Ministru prezidents</a:t>
          </a:r>
        </a:p>
      </dgm:t>
    </dgm:pt>
    <dgm:pt modelId="{FB21FA9B-9D1C-4649-A505-56987C201CCB}" type="parTrans" cxnId="{3E7EAC0F-20F2-45E2-B313-E57D4AC5C529}">
      <dgm:prSet custT="1"/>
      <dgm:spPr/>
      <dgm:t>
        <a:bodyPr/>
        <a:lstStyle/>
        <a:p>
          <a:endParaRPr lang="en-GB" sz="900"/>
        </a:p>
      </dgm:t>
    </dgm:pt>
    <dgm:pt modelId="{3BE07BAE-7B48-4E1A-89EF-231E45BAFD34}" type="sibTrans" cxnId="{3E7EAC0F-20F2-45E2-B313-E57D4AC5C529}">
      <dgm:prSet/>
      <dgm:spPr/>
      <dgm:t>
        <a:bodyPr/>
        <a:lstStyle/>
        <a:p>
          <a:endParaRPr lang="en-GB" sz="900"/>
        </a:p>
      </dgm:t>
    </dgm:pt>
    <dgm:pt modelId="{DE402037-4F3E-4EC5-AEF5-D5B559BE1079}">
      <dgm:prSet phldrT="[Text]" custT="1"/>
      <dgm:spPr/>
      <dgm:t>
        <a:bodyPr/>
        <a:lstStyle/>
        <a:p>
          <a:r>
            <a:rPr lang="lv-LV" sz="1100" b="1">
              <a:latin typeface="Times New Roman" pitchFamily="18" charset="0"/>
              <a:cs typeface="Times New Roman" pitchFamily="18" charset="0"/>
            </a:rPr>
            <a:t>Nozaru asociācijas, vietējie uzņēmumi</a:t>
          </a:r>
        </a:p>
      </dgm:t>
    </dgm:pt>
    <dgm:pt modelId="{CF890EF6-91A2-4788-88EC-96F2763ADFCD}" type="parTrans" cxnId="{EF9C2501-4B77-45C8-B139-916E8C9FB7A1}">
      <dgm:prSet custT="1"/>
      <dgm:spPr/>
      <dgm:t>
        <a:bodyPr/>
        <a:lstStyle/>
        <a:p>
          <a:endParaRPr lang="en-GB" sz="900"/>
        </a:p>
      </dgm:t>
    </dgm:pt>
    <dgm:pt modelId="{1FDA7673-8793-41D1-88FE-8C4950FB0D82}" type="sibTrans" cxnId="{EF9C2501-4B77-45C8-B139-916E8C9FB7A1}">
      <dgm:prSet/>
      <dgm:spPr/>
      <dgm:t>
        <a:bodyPr/>
        <a:lstStyle/>
        <a:p>
          <a:endParaRPr lang="en-GB" sz="900"/>
        </a:p>
      </dgm:t>
    </dgm:pt>
    <dgm:pt modelId="{793A5775-D56A-4C88-BF42-84C7DFA24D87}">
      <dgm:prSet/>
      <dgm:spPr/>
      <dgm:t>
        <a:bodyPr/>
        <a:lstStyle/>
        <a:p>
          <a:endParaRPr lang="lv-LV"/>
        </a:p>
      </dgm:t>
    </dgm:pt>
    <dgm:pt modelId="{047D3A3E-F2ED-4989-A109-B8EDDE5901C4}" type="parTrans" cxnId="{EF5A6016-2472-48D6-A66F-E185E543D8D1}">
      <dgm:prSet/>
      <dgm:spPr/>
      <dgm:t>
        <a:bodyPr/>
        <a:lstStyle/>
        <a:p>
          <a:endParaRPr lang="en-GB"/>
        </a:p>
      </dgm:t>
    </dgm:pt>
    <dgm:pt modelId="{DA33EBFA-F8FF-48E8-B6B5-B08D3B4D67D8}" type="sibTrans" cxnId="{EF5A6016-2472-48D6-A66F-E185E543D8D1}">
      <dgm:prSet/>
      <dgm:spPr/>
      <dgm:t>
        <a:bodyPr/>
        <a:lstStyle/>
        <a:p>
          <a:endParaRPr lang="lv-LV"/>
        </a:p>
      </dgm:t>
    </dgm:pt>
    <dgm:pt modelId="{CECB79C8-9A7D-431B-9040-6443464D7423}">
      <dgm:prSet/>
      <dgm:spPr/>
      <dgm:t>
        <a:bodyPr/>
        <a:lstStyle/>
        <a:p>
          <a:endParaRPr lang="lv-LV"/>
        </a:p>
      </dgm:t>
    </dgm:pt>
    <dgm:pt modelId="{04BD6068-713E-45BD-A272-13266A363A8A}" type="parTrans" cxnId="{F6C8DFBD-39F2-4FC4-BE7A-F56B3EEA37D5}">
      <dgm:prSet/>
      <dgm:spPr/>
      <dgm:t>
        <a:bodyPr/>
        <a:lstStyle/>
        <a:p>
          <a:endParaRPr lang="en-GB"/>
        </a:p>
      </dgm:t>
    </dgm:pt>
    <dgm:pt modelId="{6A5D4FF0-DCD1-4B7F-BC18-2F7D02EE6F77}" type="sibTrans" cxnId="{F6C8DFBD-39F2-4FC4-BE7A-F56B3EEA37D5}">
      <dgm:prSet/>
      <dgm:spPr/>
      <dgm:t>
        <a:bodyPr/>
        <a:lstStyle/>
        <a:p>
          <a:endParaRPr lang="lv-LV"/>
        </a:p>
      </dgm:t>
    </dgm:pt>
    <dgm:pt modelId="{E03E3551-FE7E-40C1-A876-0587B58C76DB}">
      <dgm:prSet/>
      <dgm:spPr/>
      <dgm:t>
        <a:bodyPr/>
        <a:lstStyle/>
        <a:p>
          <a:endParaRPr lang="lv-LV"/>
        </a:p>
      </dgm:t>
    </dgm:pt>
    <dgm:pt modelId="{F30500F5-4BB1-4B4D-A565-A181B8BB757C}" type="parTrans" cxnId="{063DBE77-829B-47C7-B809-7F772F60CC92}">
      <dgm:prSet/>
      <dgm:spPr/>
      <dgm:t>
        <a:bodyPr/>
        <a:lstStyle/>
        <a:p>
          <a:endParaRPr lang="en-GB"/>
        </a:p>
      </dgm:t>
    </dgm:pt>
    <dgm:pt modelId="{19D8E4B6-514A-4272-84FF-671C3F4D61FD}" type="sibTrans" cxnId="{063DBE77-829B-47C7-B809-7F772F60CC92}">
      <dgm:prSet/>
      <dgm:spPr/>
      <dgm:t>
        <a:bodyPr/>
        <a:lstStyle/>
        <a:p>
          <a:endParaRPr lang="lv-LV"/>
        </a:p>
      </dgm:t>
    </dgm:pt>
    <dgm:pt modelId="{F3A95087-B6CF-4B58-B1A2-ABF96C0AD982}" type="pres">
      <dgm:prSet presAssocID="{9DA117C5-0B49-4328-B020-DB80AE1BFD93}" presName="Name0" presStyleCnt="0">
        <dgm:presLayoutVars>
          <dgm:chMax val="1"/>
          <dgm:dir/>
          <dgm:animLvl val="ctr"/>
          <dgm:resizeHandles val="exact"/>
        </dgm:presLayoutVars>
      </dgm:prSet>
      <dgm:spPr/>
      <dgm:t>
        <a:bodyPr/>
        <a:lstStyle/>
        <a:p>
          <a:endParaRPr lang="lv-LV"/>
        </a:p>
      </dgm:t>
    </dgm:pt>
    <dgm:pt modelId="{9256E175-9D26-41EE-A2BD-6E163CC0E94B}" type="pres">
      <dgm:prSet presAssocID="{4EB4F2B6-183F-4A4B-B8C8-3FE487AF60B2}" presName="centerShape" presStyleLbl="node0" presStyleIdx="0" presStyleCnt="1" custLinFactNeighborX="261" custLinFactNeighborY="784"/>
      <dgm:spPr/>
      <dgm:t>
        <a:bodyPr/>
        <a:lstStyle/>
        <a:p>
          <a:endParaRPr lang="lv-LV"/>
        </a:p>
      </dgm:t>
    </dgm:pt>
    <dgm:pt modelId="{5C9730B1-68E7-44A7-BFFF-07A68FDF1457}" type="pres">
      <dgm:prSet presAssocID="{4AE6A492-22CF-4E8D-960F-E057B46DE6B3}" presName="parTrans" presStyleLbl="sibTrans2D1" presStyleIdx="0" presStyleCnt="7" custAng="5418241" custScaleX="104628" custScaleY="89679" custLinFactNeighborY="-4582"/>
      <dgm:spPr>
        <a:prstGeom prst="upDownArrow">
          <a:avLst/>
        </a:prstGeom>
      </dgm:spPr>
      <dgm:t>
        <a:bodyPr/>
        <a:lstStyle/>
        <a:p>
          <a:endParaRPr lang="lv-LV"/>
        </a:p>
      </dgm:t>
    </dgm:pt>
    <dgm:pt modelId="{4D4EDCCB-7D72-4D04-BED0-EC84FCF8D647}" type="pres">
      <dgm:prSet presAssocID="{4AE6A492-22CF-4E8D-960F-E057B46DE6B3}" presName="connectorText" presStyleLbl="sibTrans2D1" presStyleIdx="0" presStyleCnt="7"/>
      <dgm:spPr/>
      <dgm:t>
        <a:bodyPr/>
        <a:lstStyle/>
        <a:p>
          <a:endParaRPr lang="lv-LV"/>
        </a:p>
      </dgm:t>
    </dgm:pt>
    <dgm:pt modelId="{6DA03BB8-CEFF-4138-B2CA-9A05900B3869}" type="pres">
      <dgm:prSet presAssocID="{366E2886-9B80-46A6-8E75-CCC4F2EBB7C7}" presName="node" presStyleLbl="node1" presStyleIdx="0" presStyleCnt="7" custRadScaleRad="96809">
        <dgm:presLayoutVars>
          <dgm:bulletEnabled val="1"/>
        </dgm:presLayoutVars>
      </dgm:prSet>
      <dgm:spPr/>
      <dgm:t>
        <a:bodyPr/>
        <a:lstStyle/>
        <a:p>
          <a:endParaRPr lang="lv-LV"/>
        </a:p>
      </dgm:t>
    </dgm:pt>
    <dgm:pt modelId="{B55A4D95-341E-4315-B473-ACB374E79006}" type="pres">
      <dgm:prSet presAssocID="{C1994A2A-ED83-4D0D-9B80-08A94F1FD90E}" presName="parTrans" presStyleLbl="sibTrans2D1" presStyleIdx="1" presStyleCnt="7" custLinFactNeighborX="13118" custLinFactNeighborY="-2074"/>
      <dgm:spPr>
        <a:prstGeom prst="leftArrow">
          <a:avLst/>
        </a:prstGeom>
      </dgm:spPr>
      <dgm:t>
        <a:bodyPr/>
        <a:lstStyle/>
        <a:p>
          <a:endParaRPr lang="en-GB"/>
        </a:p>
      </dgm:t>
    </dgm:pt>
    <dgm:pt modelId="{1E15EF8D-FDBD-467D-B670-2B53D8105F16}" type="pres">
      <dgm:prSet presAssocID="{C1994A2A-ED83-4D0D-9B80-08A94F1FD90E}" presName="connectorText" presStyleLbl="sibTrans2D1" presStyleIdx="1" presStyleCnt="7"/>
      <dgm:spPr/>
      <dgm:t>
        <a:bodyPr/>
        <a:lstStyle/>
        <a:p>
          <a:endParaRPr lang="en-GB"/>
        </a:p>
      </dgm:t>
    </dgm:pt>
    <dgm:pt modelId="{9DE8C753-AD7C-42BE-B851-329E2B3A6B3A}" type="pres">
      <dgm:prSet presAssocID="{9E2ADA7E-956B-47D1-BEC4-AE90D6AB0194}" presName="node" presStyleLbl="node1" presStyleIdx="1" presStyleCnt="7">
        <dgm:presLayoutVars>
          <dgm:bulletEnabled val="1"/>
        </dgm:presLayoutVars>
      </dgm:prSet>
      <dgm:spPr/>
      <dgm:t>
        <a:bodyPr/>
        <a:lstStyle/>
        <a:p>
          <a:endParaRPr lang="en-GB"/>
        </a:p>
      </dgm:t>
    </dgm:pt>
    <dgm:pt modelId="{9DA0AC1F-D69B-4D5D-AEB1-E168451C1DF6}" type="pres">
      <dgm:prSet presAssocID="{9D2D6159-E330-4C5B-A6AF-DE35DF945BDD}" presName="parTrans" presStyleLbl="sibTrans2D1" presStyleIdx="2" presStyleCnt="7" custLinFactNeighborX="4511" custLinFactNeighborY="0"/>
      <dgm:spPr>
        <a:prstGeom prst="leftArrow">
          <a:avLst/>
        </a:prstGeom>
      </dgm:spPr>
      <dgm:t>
        <a:bodyPr/>
        <a:lstStyle/>
        <a:p>
          <a:endParaRPr lang="en-GB"/>
        </a:p>
      </dgm:t>
    </dgm:pt>
    <dgm:pt modelId="{067505F8-0A99-4775-A52D-76F1C6B68090}" type="pres">
      <dgm:prSet presAssocID="{9D2D6159-E330-4C5B-A6AF-DE35DF945BDD}" presName="connectorText" presStyleLbl="sibTrans2D1" presStyleIdx="2" presStyleCnt="7"/>
      <dgm:spPr/>
      <dgm:t>
        <a:bodyPr/>
        <a:lstStyle/>
        <a:p>
          <a:endParaRPr lang="en-GB"/>
        </a:p>
      </dgm:t>
    </dgm:pt>
    <dgm:pt modelId="{A4FB84AB-702D-4AE4-86F2-D6292FE219A5}" type="pres">
      <dgm:prSet presAssocID="{C81E980A-6F8A-44A3-98AB-BEC1738C8D44}" presName="node" presStyleLbl="node1" presStyleIdx="2" presStyleCnt="7">
        <dgm:presLayoutVars>
          <dgm:bulletEnabled val="1"/>
        </dgm:presLayoutVars>
      </dgm:prSet>
      <dgm:spPr/>
      <dgm:t>
        <a:bodyPr/>
        <a:lstStyle/>
        <a:p>
          <a:endParaRPr lang="en-GB"/>
        </a:p>
      </dgm:t>
    </dgm:pt>
    <dgm:pt modelId="{B86724E9-163C-4DE7-BE3D-2D14B70BA54A}" type="pres">
      <dgm:prSet presAssocID="{DE36B1C9-CAFA-425E-BF17-517968F5BF05}" presName="parTrans" presStyleLbl="sibTrans2D1" presStyleIdx="3" presStyleCnt="7" custLinFactNeighborX="29991" custLinFactNeighborY="10373"/>
      <dgm:spPr>
        <a:prstGeom prst="leftArrow">
          <a:avLst/>
        </a:prstGeom>
      </dgm:spPr>
      <dgm:t>
        <a:bodyPr/>
        <a:lstStyle/>
        <a:p>
          <a:endParaRPr lang="en-GB"/>
        </a:p>
      </dgm:t>
    </dgm:pt>
    <dgm:pt modelId="{50929780-50C7-409A-B0FE-B909D5CFA5E0}" type="pres">
      <dgm:prSet presAssocID="{DE36B1C9-CAFA-425E-BF17-517968F5BF05}" presName="connectorText" presStyleLbl="sibTrans2D1" presStyleIdx="3" presStyleCnt="7"/>
      <dgm:spPr/>
      <dgm:t>
        <a:bodyPr/>
        <a:lstStyle/>
        <a:p>
          <a:endParaRPr lang="en-GB"/>
        </a:p>
      </dgm:t>
    </dgm:pt>
    <dgm:pt modelId="{C7DB1E4B-56F2-4389-98F6-716C637B725D}" type="pres">
      <dgm:prSet presAssocID="{AFC84451-1B1B-4E30-B660-1ECD32C3E744}" presName="node" presStyleLbl="node1" presStyleIdx="3" presStyleCnt="7" custRadScaleRad="100374" custRadScaleInc="400">
        <dgm:presLayoutVars>
          <dgm:bulletEnabled val="1"/>
        </dgm:presLayoutVars>
      </dgm:prSet>
      <dgm:spPr/>
      <dgm:t>
        <a:bodyPr/>
        <a:lstStyle/>
        <a:p>
          <a:endParaRPr lang="en-GB"/>
        </a:p>
      </dgm:t>
    </dgm:pt>
    <dgm:pt modelId="{2C5AC533-7BF1-429F-AAC8-5FDF085FA291}" type="pres">
      <dgm:prSet presAssocID="{EB3253D0-51C8-4AA1-B661-ED64BB4077F6}" presName="parTrans" presStyleLbl="sibTrans2D1" presStyleIdx="4" presStyleCnt="7"/>
      <dgm:spPr>
        <a:prstGeom prst="leftArrow">
          <a:avLst/>
        </a:prstGeom>
      </dgm:spPr>
      <dgm:t>
        <a:bodyPr/>
        <a:lstStyle/>
        <a:p>
          <a:endParaRPr lang="en-GB"/>
        </a:p>
      </dgm:t>
    </dgm:pt>
    <dgm:pt modelId="{B4F24667-02C0-42B9-BBDD-428DC27D3AB6}" type="pres">
      <dgm:prSet presAssocID="{EB3253D0-51C8-4AA1-B661-ED64BB4077F6}" presName="connectorText" presStyleLbl="sibTrans2D1" presStyleIdx="4" presStyleCnt="7"/>
      <dgm:spPr/>
      <dgm:t>
        <a:bodyPr/>
        <a:lstStyle/>
        <a:p>
          <a:endParaRPr lang="en-GB"/>
        </a:p>
      </dgm:t>
    </dgm:pt>
    <dgm:pt modelId="{AAFF8967-2B33-447A-AED7-77001419E4E1}" type="pres">
      <dgm:prSet presAssocID="{9CE6CB92-25EA-4B02-A6BF-BCD50077C086}" presName="node" presStyleLbl="node1" presStyleIdx="4" presStyleCnt="7" custRadScaleRad="100428" custRadScaleInc="831">
        <dgm:presLayoutVars>
          <dgm:bulletEnabled val="1"/>
        </dgm:presLayoutVars>
      </dgm:prSet>
      <dgm:spPr/>
      <dgm:t>
        <a:bodyPr/>
        <a:lstStyle/>
        <a:p>
          <a:endParaRPr lang="en-GB"/>
        </a:p>
      </dgm:t>
    </dgm:pt>
    <dgm:pt modelId="{0571F065-6294-43AE-B0B6-467E3F9EF1BE}" type="pres">
      <dgm:prSet presAssocID="{FB21FA9B-9D1C-4649-A505-56987C201CCB}" presName="parTrans" presStyleLbl="sibTrans2D1" presStyleIdx="5" presStyleCnt="7"/>
      <dgm:spPr>
        <a:prstGeom prst="leftArrow">
          <a:avLst/>
        </a:prstGeom>
      </dgm:spPr>
      <dgm:t>
        <a:bodyPr/>
        <a:lstStyle/>
        <a:p>
          <a:endParaRPr lang="en-GB"/>
        </a:p>
      </dgm:t>
    </dgm:pt>
    <dgm:pt modelId="{B4CB486B-61A3-40A4-A3F4-56D57D768753}" type="pres">
      <dgm:prSet presAssocID="{FB21FA9B-9D1C-4649-A505-56987C201CCB}" presName="connectorText" presStyleLbl="sibTrans2D1" presStyleIdx="5" presStyleCnt="7"/>
      <dgm:spPr/>
      <dgm:t>
        <a:bodyPr/>
        <a:lstStyle/>
        <a:p>
          <a:endParaRPr lang="en-GB"/>
        </a:p>
      </dgm:t>
    </dgm:pt>
    <dgm:pt modelId="{CB76EA99-4327-48E0-93C1-060437F069E4}" type="pres">
      <dgm:prSet presAssocID="{A7F16447-3797-42A7-9617-70C0B52D6A5C}" presName="node" presStyleLbl="node1" presStyleIdx="5" presStyleCnt="7">
        <dgm:presLayoutVars>
          <dgm:bulletEnabled val="1"/>
        </dgm:presLayoutVars>
      </dgm:prSet>
      <dgm:spPr/>
      <dgm:t>
        <a:bodyPr/>
        <a:lstStyle/>
        <a:p>
          <a:endParaRPr lang="en-GB"/>
        </a:p>
      </dgm:t>
    </dgm:pt>
    <dgm:pt modelId="{8E4C25AF-2A00-408A-97A3-8D366A635987}" type="pres">
      <dgm:prSet presAssocID="{CF890EF6-91A2-4788-88EC-96F2763ADFCD}" presName="parTrans" presStyleLbl="sibTrans2D1" presStyleIdx="6" presStyleCnt="7"/>
      <dgm:spPr>
        <a:prstGeom prst="leftArrow">
          <a:avLst/>
        </a:prstGeom>
      </dgm:spPr>
      <dgm:t>
        <a:bodyPr/>
        <a:lstStyle/>
        <a:p>
          <a:endParaRPr lang="en-GB"/>
        </a:p>
      </dgm:t>
    </dgm:pt>
    <dgm:pt modelId="{A6120B05-9C28-4C66-9C2A-E68C771AC62E}" type="pres">
      <dgm:prSet presAssocID="{CF890EF6-91A2-4788-88EC-96F2763ADFCD}" presName="connectorText" presStyleLbl="sibTrans2D1" presStyleIdx="6" presStyleCnt="7"/>
      <dgm:spPr/>
      <dgm:t>
        <a:bodyPr/>
        <a:lstStyle/>
        <a:p>
          <a:endParaRPr lang="en-GB"/>
        </a:p>
      </dgm:t>
    </dgm:pt>
    <dgm:pt modelId="{094D9330-11B3-4F99-B93F-C2FC25900C7B}" type="pres">
      <dgm:prSet presAssocID="{DE402037-4F3E-4EC5-AEF5-D5B559BE1079}" presName="node" presStyleLbl="node1" presStyleIdx="6" presStyleCnt="7">
        <dgm:presLayoutVars>
          <dgm:bulletEnabled val="1"/>
        </dgm:presLayoutVars>
      </dgm:prSet>
      <dgm:spPr/>
      <dgm:t>
        <a:bodyPr/>
        <a:lstStyle/>
        <a:p>
          <a:endParaRPr lang="en-GB"/>
        </a:p>
      </dgm:t>
    </dgm:pt>
  </dgm:ptLst>
  <dgm:cxnLst>
    <dgm:cxn modelId="{AE4400D4-8118-4567-A9C4-627E911CC3BE}" type="presOf" srcId="{4AE6A492-22CF-4E8D-960F-E057B46DE6B3}" destId="{5C9730B1-68E7-44A7-BFFF-07A68FDF1457}" srcOrd="0" destOrd="0" presId="urn:microsoft.com/office/officeart/2005/8/layout/radial5"/>
    <dgm:cxn modelId="{A76C6305-2FC4-491B-8505-DAA191DA1165}" type="presOf" srcId="{C81E980A-6F8A-44A3-98AB-BEC1738C8D44}" destId="{A4FB84AB-702D-4AE4-86F2-D6292FE219A5}" srcOrd="0" destOrd="0" presId="urn:microsoft.com/office/officeart/2005/8/layout/radial5"/>
    <dgm:cxn modelId="{8FF84AD0-93FD-41B6-B284-EE1F35ACF24F}" type="presOf" srcId="{CF890EF6-91A2-4788-88EC-96F2763ADFCD}" destId="{8E4C25AF-2A00-408A-97A3-8D366A635987}" srcOrd="0" destOrd="0" presId="urn:microsoft.com/office/officeart/2005/8/layout/radial5"/>
    <dgm:cxn modelId="{A0FC4BEC-8E61-469B-BE8E-81CCF9C6639E}" srcId="{4EB4F2B6-183F-4A4B-B8C8-3FE487AF60B2}" destId="{9E2ADA7E-956B-47D1-BEC4-AE90D6AB0194}" srcOrd="1" destOrd="0" parTransId="{C1994A2A-ED83-4D0D-9B80-08A94F1FD90E}" sibTransId="{E1F0AE5F-25C1-403D-8247-B51FFC33D2C2}"/>
    <dgm:cxn modelId="{74512B40-5686-4B60-8658-5E07D28CBCA9}" type="presOf" srcId="{CF890EF6-91A2-4788-88EC-96F2763ADFCD}" destId="{A6120B05-9C28-4C66-9C2A-E68C771AC62E}" srcOrd="1" destOrd="0" presId="urn:microsoft.com/office/officeart/2005/8/layout/radial5"/>
    <dgm:cxn modelId="{F6C8DFBD-39F2-4FC4-BE7A-F56B3EEA37D5}" srcId="{9DA117C5-0B49-4328-B020-DB80AE1BFD93}" destId="{CECB79C8-9A7D-431B-9040-6443464D7423}" srcOrd="2" destOrd="0" parTransId="{04BD6068-713E-45BD-A272-13266A363A8A}" sibTransId="{6A5D4FF0-DCD1-4B7F-BC18-2F7D02EE6F77}"/>
    <dgm:cxn modelId="{4EE318F0-EA80-46C6-94D7-B65190E9F7C2}" srcId="{4EB4F2B6-183F-4A4B-B8C8-3FE487AF60B2}" destId="{9CE6CB92-25EA-4B02-A6BF-BCD50077C086}" srcOrd="4" destOrd="0" parTransId="{EB3253D0-51C8-4AA1-B661-ED64BB4077F6}" sibTransId="{03EA4B33-1E6B-4158-ABB1-1A595C1182EB}"/>
    <dgm:cxn modelId="{063DBE77-829B-47C7-B809-7F772F60CC92}" srcId="{9DA117C5-0B49-4328-B020-DB80AE1BFD93}" destId="{E03E3551-FE7E-40C1-A876-0587B58C76DB}" srcOrd="3" destOrd="0" parTransId="{F30500F5-4BB1-4B4D-A565-A181B8BB757C}" sibTransId="{19D8E4B6-514A-4272-84FF-671C3F4D61FD}"/>
    <dgm:cxn modelId="{EF9C2501-4B77-45C8-B139-916E8C9FB7A1}" srcId="{4EB4F2B6-183F-4A4B-B8C8-3FE487AF60B2}" destId="{DE402037-4F3E-4EC5-AEF5-D5B559BE1079}" srcOrd="6" destOrd="0" parTransId="{CF890EF6-91A2-4788-88EC-96F2763ADFCD}" sibTransId="{1FDA7673-8793-41D1-88FE-8C4950FB0D82}"/>
    <dgm:cxn modelId="{CB9FAB51-9DA8-4FB6-8B81-9E99E1A4CC55}" type="presOf" srcId="{C1994A2A-ED83-4D0D-9B80-08A94F1FD90E}" destId="{1E15EF8D-FDBD-467D-B670-2B53D8105F16}" srcOrd="1" destOrd="0" presId="urn:microsoft.com/office/officeart/2005/8/layout/radial5"/>
    <dgm:cxn modelId="{97B58C69-9E62-41A7-822D-A000E0BAF217}" type="presOf" srcId="{9D2D6159-E330-4C5B-A6AF-DE35DF945BDD}" destId="{9DA0AC1F-D69B-4D5D-AEB1-E168451C1DF6}" srcOrd="0" destOrd="0" presId="urn:microsoft.com/office/officeart/2005/8/layout/radial5"/>
    <dgm:cxn modelId="{B49BE04B-AA84-4FB5-BE4A-FBA796C2EC3E}" type="presOf" srcId="{FB21FA9B-9D1C-4649-A505-56987C201CCB}" destId="{0571F065-6294-43AE-B0B6-467E3F9EF1BE}" srcOrd="0" destOrd="0" presId="urn:microsoft.com/office/officeart/2005/8/layout/radial5"/>
    <dgm:cxn modelId="{75466191-9B5B-4888-BCA8-00C46653DD39}" type="presOf" srcId="{366E2886-9B80-46A6-8E75-CCC4F2EBB7C7}" destId="{6DA03BB8-CEFF-4138-B2CA-9A05900B3869}" srcOrd="0" destOrd="0" presId="urn:microsoft.com/office/officeart/2005/8/layout/radial5"/>
    <dgm:cxn modelId="{85EDF984-396E-41ED-B6D7-FDFFBBFE6713}" type="presOf" srcId="{EB3253D0-51C8-4AA1-B661-ED64BB4077F6}" destId="{B4F24667-02C0-42B9-BBDD-428DC27D3AB6}" srcOrd="1" destOrd="0" presId="urn:microsoft.com/office/officeart/2005/8/layout/radial5"/>
    <dgm:cxn modelId="{E412631A-2531-46EF-8A75-EAC8473D6F33}" srcId="{4EB4F2B6-183F-4A4B-B8C8-3FE487AF60B2}" destId="{C81E980A-6F8A-44A3-98AB-BEC1738C8D44}" srcOrd="2" destOrd="0" parTransId="{9D2D6159-E330-4C5B-A6AF-DE35DF945BDD}" sibTransId="{D8C88E40-3638-4D08-BC23-9A69CFBF45C6}"/>
    <dgm:cxn modelId="{3E7EAC0F-20F2-45E2-B313-E57D4AC5C529}" srcId="{4EB4F2B6-183F-4A4B-B8C8-3FE487AF60B2}" destId="{A7F16447-3797-42A7-9617-70C0B52D6A5C}" srcOrd="5" destOrd="0" parTransId="{FB21FA9B-9D1C-4649-A505-56987C201CCB}" sibTransId="{3BE07BAE-7B48-4E1A-89EF-231E45BAFD34}"/>
    <dgm:cxn modelId="{792356D6-7240-4396-BFAC-D398EF8344EC}" type="presOf" srcId="{EB3253D0-51C8-4AA1-B661-ED64BB4077F6}" destId="{2C5AC533-7BF1-429F-AAC8-5FDF085FA291}" srcOrd="0" destOrd="0" presId="urn:microsoft.com/office/officeart/2005/8/layout/radial5"/>
    <dgm:cxn modelId="{BB05E3D4-BF6A-4757-8314-428D5B9A5FCC}" type="presOf" srcId="{4AE6A492-22CF-4E8D-960F-E057B46DE6B3}" destId="{4D4EDCCB-7D72-4D04-BED0-EC84FCF8D647}" srcOrd="1" destOrd="0" presId="urn:microsoft.com/office/officeart/2005/8/layout/radial5"/>
    <dgm:cxn modelId="{4A6B216C-D4C6-4F9D-ABBA-1F056CA334FD}" srcId="{4EB4F2B6-183F-4A4B-B8C8-3FE487AF60B2}" destId="{AFC84451-1B1B-4E30-B660-1ECD32C3E744}" srcOrd="3" destOrd="0" parTransId="{DE36B1C9-CAFA-425E-BF17-517968F5BF05}" sibTransId="{E4156948-746E-4407-BDC0-78F1D4D41CD9}"/>
    <dgm:cxn modelId="{92D77369-8A78-4ABC-B5EF-19A6CFED7070}" type="presOf" srcId="{9CE6CB92-25EA-4B02-A6BF-BCD50077C086}" destId="{AAFF8967-2B33-447A-AED7-77001419E4E1}" srcOrd="0" destOrd="0" presId="urn:microsoft.com/office/officeart/2005/8/layout/radial5"/>
    <dgm:cxn modelId="{EF5A6016-2472-48D6-A66F-E185E543D8D1}" srcId="{9DA117C5-0B49-4328-B020-DB80AE1BFD93}" destId="{793A5775-D56A-4C88-BF42-84C7DFA24D87}" srcOrd="1" destOrd="0" parTransId="{047D3A3E-F2ED-4989-A109-B8EDDE5901C4}" sibTransId="{DA33EBFA-F8FF-48E8-B6B5-B08D3B4D67D8}"/>
    <dgm:cxn modelId="{9C90F763-197E-4ABB-8DF4-97C62D3C828A}" type="presOf" srcId="{A7F16447-3797-42A7-9617-70C0B52D6A5C}" destId="{CB76EA99-4327-48E0-93C1-060437F069E4}" srcOrd="0" destOrd="0" presId="urn:microsoft.com/office/officeart/2005/8/layout/radial5"/>
    <dgm:cxn modelId="{A877B220-D674-47F6-B543-2A37F12846BB}" srcId="{4EB4F2B6-183F-4A4B-B8C8-3FE487AF60B2}" destId="{366E2886-9B80-46A6-8E75-CCC4F2EBB7C7}" srcOrd="0" destOrd="0" parTransId="{4AE6A492-22CF-4E8D-960F-E057B46DE6B3}" sibTransId="{A776C0D1-58E0-4B77-996F-E56C24383B14}"/>
    <dgm:cxn modelId="{3711A4FC-017B-4385-997A-2CC0861D6969}" type="presOf" srcId="{9E2ADA7E-956B-47D1-BEC4-AE90D6AB0194}" destId="{9DE8C753-AD7C-42BE-B851-329E2B3A6B3A}" srcOrd="0" destOrd="0" presId="urn:microsoft.com/office/officeart/2005/8/layout/radial5"/>
    <dgm:cxn modelId="{F07F6DE7-B103-4378-B814-1656465323EE}" type="presOf" srcId="{C1994A2A-ED83-4D0D-9B80-08A94F1FD90E}" destId="{B55A4D95-341E-4315-B473-ACB374E79006}" srcOrd="0" destOrd="0" presId="urn:microsoft.com/office/officeart/2005/8/layout/radial5"/>
    <dgm:cxn modelId="{B6D66302-B0D2-4E1C-83CA-55201B756562}" type="presOf" srcId="{9DA117C5-0B49-4328-B020-DB80AE1BFD93}" destId="{F3A95087-B6CF-4B58-B1A2-ABF96C0AD982}" srcOrd="0" destOrd="0" presId="urn:microsoft.com/office/officeart/2005/8/layout/radial5"/>
    <dgm:cxn modelId="{377DEFC6-62CA-4E90-A79D-A959CD928992}" type="presOf" srcId="{9D2D6159-E330-4C5B-A6AF-DE35DF945BDD}" destId="{067505F8-0A99-4775-A52D-76F1C6B68090}" srcOrd="1" destOrd="0" presId="urn:microsoft.com/office/officeart/2005/8/layout/radial5"/>
    <dgm:cxn modelId="{A159BBE5-6636-423B-B874-009E88972681}" type="presOf" srcId="{DE36B1C9-CAFA-425E-BF17-517968F5BF05}" destId="{B86724E9-163C-4DE7-BE3D-2D14B70BA54A}" srcOrd="0" destOrd="0" presId="urn:microsoft.com/office/officeart/2005/8/layout/radial5"/>
    <dgm:cxn modelId="{1478C9BA-FD01-426B-B95A-118940256DF1}" type="presOf" srcId="{DE36B1C9-CAFA-425E-BF17-517968F5BF05}" destId="{50929780-50C7-409A-B0FE-B909D5CFA5E0}" srcOrd="1" destOrd="0" presId="urn:microsoft.com/office/officeart/2005/8/layout/radial5"/>
    <dgm:cxn modelId="{AE0191CD-0A7C-485A-87A6-1DDE393F5F79}" type="presOf" srcId="{FB21FA9B-9D1C-4649-A505-56987C201CCB}" destId="{B4CB486B-61A3-40A4-A3F4-56D57D768753}" srcOrd="1" destOrd="0" presId="urn:microsoft.com/office/officeart/2005/8/layout/radial5"/>
    <dgm:cxn modelId="{3D4FE285-0CDD-4097-A0DC-76FC6ED3692A}" srcId="{9DA117C5-0B49-4328-B020-DB80AE1BFD93}" destId="{4EB4F2B6-183F-4A4B-B8C8-3FE487AF60B2}" srcOrd="0" destOrd="0" parTransId="{F5C6B4B2-26B5-4741-ABCA-CF793CD59A42}" sibTransId="{5835E0D6-21DA-4EAF-B2B5-168CEA66E373}"/>
    <dgm:cxn modelId="{AC9AD2C2-CDB7-44FD-A7A4-30E51BEB170E}" type="presOf" srcId="{4EB4F2B6-183F-4A4B-B8C8-3FE487AF60B2}" destId="{9256E175-9D26-41EE-A2BD-6E163CC0E94B}" srcOrd="0" destOrd="0" presId="urn:microsoft.com/office/officeart/2005/8/layout/radial5"/>
    <dgm:cxn modelId="{B35A5684-84DE-4326-9AD2-F5D724092DF5}" type="presOf" srcId="{DE402037-4F3E-4EC5-AEF5-D5B559BE1079}" destId="{094D9330-11B3-4F99-B93F-C2FC25900C7B}" srcOrd="0" destOrd="0" presId="urn:microsoft.com/office/officeart/2005/8/layout/radial5"/>
    <dgm:cxn modelId="{BBD9D0DA-652C-4EA2-A0D5-043A4500AC8A}" type="presOf" srcId="{AFC84451-1B1B-4E30-B660-1ECD32C3E744}" destId="{C7DB1E4B-56F2-4389-98F6-716C637B725D}" srcOrd="0" destOrd="0" presId="urn:microsoft.com/office/officeart/2005/8/layout/radial5"/>
    <dgm:cxn modelId="{3D11F09A-D090-4A7C-B69E-165FD4014CCB}" type="presParOf" srcId="{F3A95087-B6CF-4B58-B1A2-ABF96C0AD982}" destId="{9256E175-9D26-41EE-A2BD-6E163CC0E94B}" srcOrd="0" destOrd="0" presId="urn:microsoft.com/office/officeart/2005/8/layout/radial5"/>
    <dgm:cxn modelId="{955C036C-C368-4792-9950-E82339FCAD13}" type="presParOf" srcId="{F3A95087-B6CF-4B58-B1A2-ABF96C0AD982}" destId="{5C9730B1-68E7-44A7-BFFF-07A68FDF1457}" srcOrd="1" destOrd="0" presId="urn:microsoft.com/office/officeart/2005/8/layout/radial5"/>
    <dgm:cxn modelId="{74C8EC13-3A0E-4E59-85FC-15D11FDD73BB}" type="presParOf" srcId="{5C9730B1-68E7-44A7-BFFF-07A68FDF1457}" destId="{4D4EDCCB-7D72-4D04-BED0-EC84FCF8D647}" srcOrd="0" destOrd="0" presId="urn:microsoft.com/office/officeart/2005/8/layout/radial5"/>
    <dgm:cxn modelId="{9074D4EF-6785-406C-B47F-795ED900DDF8}" type="presParOf" srcId="{F3A95087-B6CF-4B58-B1A2-ABF96C0AD982}" destId="{6DA03BB8-CEFF-4138-B2CA-9A05900B3869}" srcOrd="2" destOrd="0" presId="urn:microsoft.com/office/officeart/2005/8/layout/radial5"/>
    <dgm:cxn modelId="{AC51E19D-27FE-40AA-AC7B-BFFA611F55EC}" type="presParOf" srcId="{F3A95087-B6CF-4B58-B1A2-ABF96C0AD982}" destId="{B55A4D95-341E-4315-B473-ACB374E79006}" srcOrd="3" destOrd="0" presId="urn:microsoft.com/office/officeart/2005/8/layout/radial5"/>
    <dgm:cxn modelId="{83434B80-7CE7-4627-BB97-9DC290AF774D}" type="presParOf" srcId="{B55A4D95-341E-4315-B473-ACB374E79006}" destId="{1E15EF8D-FDBD-467D-B670-2B53D8105F16}" srcOrd="0" destOrd="0" presId="urn:microsoft.com/office/officeart/2005/8/layout/radial5"/>
    <dgm:cxn modelId="{9B4AD79E-82ED-462D-9FEE-81855366373E}" type="presParOf" srcId="{F3A95087-B6CF-4B58-B1A2-ABF96C0AD982}" destId="{9DE8C753-AD7C-42BE-B851-329E2B3A6B3A}" srcOrd="4" destOrd="0" presId="urn:microsoft.com/office/officeart/2005/8/layout/radial5"/>
    <dgm:cxn modelId="{26CA5341-1290-49EB-9430-220D3AC300FE}" type="presParOf" srcId="{F3A95087-B6CF-4B58-B1A2-ABF96C0AD982}" destId="{9DA0AC1F-D69B-4D5D-AEB1-E168451C1DF6}" srcOrd="5" destOrd="0" presId="urn:microsoft.com/office/officeart/2005/8/layout/radial5"/>
    <dgm:cxn modelId="{FF834C3D-1016-4DCE-B233-AC0240EE0639}" type="presParOf" srcId="{9DA0AC1F-D69B-4D5D-AEB1-E168451C1DF6}" destId="{067505F8-0A99-4775-A52D-76F1C6B68090}" srcOrd="0" destOrd="0" presId="urn:microsoft.com/office/officeart/2005/8/layout/radial5"/>
    <dgm:cxn modelId="{B3D4C03A-C3D1-49BC-A84B-3EA93861045F}" type="presParOf" srcId="{F3A95087-B6CF-4B58-B1A2-ABF96C0AD982}" destId="{A4FB84AB-702D-4AE4-86F2-D6292FE219A5}" srcOrd="6" destOrd="0" presId="urn:microsoft.com/office/officeart/2005/8/layout/radial5"/>
    <dgm:cxn modelId="{48202344-EF7C-40D1-9A0F-45323A836A05}" type="presParOf" srcId="{F3A95087-B6CF-4B58-B1A2-ABF96C0AD982}" destId="{B86724E9-163C-4DE7-BE3D-2D14B70BA54A}" srcOrd="7" destOrd="0" presId="urn:microsoft.com/office/officeart/2005/8/layout/radial5"/>
    <dgm:cxn modelId="{EB022811-6915-44D1-B6AA-9D3C9A839351}" type="presParOf" srcId="{B86724E9-163C-4DE7-BE3D-2D14B70BA54A}" destId="{50929780-50C7-409A-B0FE-B909D5CFA5E0}" srcOrd="0" destOrd="0" presId="urn:microsoft.com/office/officeart/2005/8/layout/radial5"/>
    <dgm:cxn modelId="{5005124A-0770-4D32-A111-323E02437A64}" type="presParOf" srcId="{F3A95087-B6CF-4B58-B1A2-ABF96C0AD982}" destId="{C7DB1E4B-56F2-4389-98F6-716C637B725D}" srcOrd="8" destOrd="0" presId="urn:microsoft.com/office/officeart/2005/8/layout/radial5"/>
    <dgm:cxn modelId="{4B65C2B4-CA69-4A93-8DF1-1DB6578B91E8}" type="presParOf" srcId="{F3A95087-B6CF-4B58-B1A2-ABF96C0AD982}" destId="{2C5AC533-7BF1-429F-AAC8-5FDF085FA291}" srcOrd="9" destOrd="0" presId="urn:microsoft.com/office/officeart/2005/8/layout/radial5"/>
    <dgm:cxn modelId="{51CF6E81-812D-4E49-AD73-2303D97F32D5}" type="presParOf" srcId="{2C5AC533-7BF1-429F-AAC8-5FDF085FA291}" destId="{B4F24667-02C0-42B9-BBDD-428DC27D3AB6}" srcOrd="0" destOrd="0" presId="urn:microsoft.com/office/officeart/2005/8/layout/radial5"/>
    <dgm:cxn modelId="{2A87BA3C-F0D6-4F58-8887-E53AFA632382}" type="presParOf" srcId="{F3A95087-B6CF-4B58-B1A2-ABF96C0AD982}" destId="{AAFF8967-2B33-447A-AED7-77001419E4E1}" srcOrd="10" destOrd="0" presId="urn:microsoft.com/office/officeart/2005/8/layout/radial5"/>
    <dgm:cxn modelId="{CB723E9C-DC08-42B9-85B9-6AFF4A211CA0}" type="presParOf" srcId="{F3A95087-B6CF-4B58-B1A2-ABF96C0AD982}" destId="{0571F065-6294-43AE-B0B6-467E3F9EF1BE}" srcOrd="11" destOrd="0" presId="urn:microsoft.com/office/officeart/2005/8/layout/radial5"/>
    <dgm:cxn modelId="{97E121D5-7566-4EC0-B170-6840F22BD53A}" type="presParOf" srcId="{0571F065-6294-43AE-B0B6-467E3F9EF1BE}" destId="{B4CB486B-61A3-40A4-A3F4-56D57D768753}" srcOrd="0" destOrd="0" presId="urn:microsoft.com/office/officeart/2005/8/layout/radial5"/>
    <dgm:cxn modelId="{27E560B8-6101-416D-BC12-7607F25E5A86}" type="presParOf" srcId="{F3A95087-B6CF-4B58-B1A2-ABF96C0AD982}" destId="{CB76EA99-4327-48E0-93C1-060437F069E4}" srcOrd="12" destOrd="0" presId="urn:microsoft.com/office/officeart/2005/8/layout/radial5"/>
    <dgm:cxn modelId="{8C0CAC43-2552-4535-8158-4781E909F771}" type="presParOf" srcId="{F3A95087-B6CF-4B58-B1A2-ABF96C0AD982}" destId="{8E4C25AF-2A00-408A-97A3-8D366A635987}" srcOrd="13" destOrd="0" presId="urn:microsoft.com/office/officeart/2005/8/layout/radial5"/>
    <dgm:cxn modelId="{7E5033F4-593D-47CC-9300-3AE64A370734}" type="presParOf" srcId="{8E4C25AF-2A00-408A-97A3-8D366A635987}" destId="{A6120B05-9C28-4C66-9C2A-E68C771AC62E}" srcOrd="0" destOrd="0" presId="urn:microsoft.com/office/officeart/2005/8/layout/radial5"/>
    <dgm:cxn modelId="{32FCE5C9-43E9-4967-ABDB-7A5F22E5CD8B}" type="presParOf" srcId="{F3A95087-B6CF-4B58-B1A2-ABF96C0AD982}" destId="{094D9330-11B3-4F99-B93F-C2FC25900C7B}" srcOrd="14" destOrd="0" presId="urn:microsoft.com/office/officeart/2005/8/layout/radial5"/>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56E175-9D26-41EE-A2BD-6E163CC0E94B}">
      <dsp:nvSpPr>
        <dsp:cNvPr id="0" name=""/>
        <dsp:cNvSpPr/>
      </dsp:nvSpPr>
      <dsp:spPr>
        <a:xfrm>
          <a:off x="2140353" y="1618613"/>
          <a:ext cx="1222920" cy="122292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lv-LV" sz="1300" b="1" kern="1200" dirty="0" smtClean="0">
              <a:latin typeface="Times New Roman" pitchFamily="18" charset="0"/>
              <a:cs typeface="Times New Roman" pitchFamily="18" charset="0"/>
            </a:rPr>
            <a:t>Uzņēmumi</a:t>
          </a:r>
        </a:p>
      </dsp:txBody>
      <dsp:txXfrm>
        <a:off x="2319445" y="1797705"/>
        <a:ext cx="864736" cy="864736"/>
      </dsp:txXfrm>
    </dsp:sp>
    <dsp:sp modelId="{5C9730B1-68E7-44A7-BFFF-07A68FDF1457}">
      <dsp:nvSpPr>
        <dsp:cNvPr id="0" name=""/>
        <dsp:cNvSpPr/>
      </dsp:nvSpPr>
      <dsp:spPr>
        <a:xfrm>
          <a:off x="2625037" y="1186815"/>
          <a:ext cx="244688" cy="415793"/>
        </a:xfrm>
        <a:prstGeom prst="upDownArrow">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lv-LV" sz="900" kern="1200"/>
        </a:p>
      </dsp:txBody>
      <dsp:txXfrm rot="10800000">
        <a:off x="2625037" y="1269974"/>
        <a:ext cx="171282" cy="249475"/>
      </dsp:txXfrm>
    </dsp:sp>
    <dsp:sp modelId="{6DA03BB8-CEFF-4138-B2CA-9A05900B3869}">
      <dsp:nvSpPr>
        <dsp:cNvPr id="0" name=""/>
        <dsp:cNvSpPr/>
      </dsp:nvSpPr>
      <dsp:spPr>
        <a:xfrm>
          <a:off x="2192885" y="56331"/>
          <a:ext cx="1100628" cy="1100628"/>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lv-LV" sz="1600" b="1" kern="1200" noProof="0" dirty="0" smtClean="0">
              <a:latin typeface="Times New Roman" pitchFamily="18" charset="0"/>
              <a:cs typeface="Times New Roman" pitchFamily="18" charset="0"/>
            </a:rPr>
            <a:t>LIAA</a:t>
          </a:r>
          <a:endParaRPr lang="en-GB" sz="1600" b="1" kern="1200" noProof="0" dirty="0">
            <a:latin typeface="Times New Roman" pitchFamily="18" charset="0"/>
            <a:cs typeface="Times New Roman" pitchFamily="18" charset="0"/>
          </a:endParaRPr>
        </a:p>
      </dsp:txBody>
      <dsp:txXfrm>
        <a:off x="2354068" y="217514"/>
        <a:ext cx="778262" cy="778262"/>
      </dsp:txXfrm>
    </dsp:sp>
    <dsp:sp modelId="{B55A4D95-341E-4315-B473-ACB374E79006}">
      <dsp:nvSpPr>
        <dsp:cNvPr id="0" name=""/>
        <dsp:cNvSpPr/>
      </dsp:nvSpPr>
      <dsp:spPr>
        <a:xfrm rot="13500000">
          <a:off x="3294033" y="1481015"/>
          <a:ext cx="263957" cy="415793"/>
        </a:xfrm>
        <a:prstGeom prst="upDownArrow">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3361623" y="1592171"/>
        <a:ext cx="184770" cy="249475"/>
      </dsp:txXfrm>
    </dsp:sp>
    <dsp:sp modelId="{9DE8C753-AD7C-42BE-B851-329E2B3A6B3A}">
      <dsp:nvSpPr>
        <dsp:cNvPr id="0" name=""/>
        <dsp:cNvSpPr/>
      </dsp:nvSpPr>
      <dsp:spPr>
        <a:xfrm>
          <a:off x="3483072" y="624994"/>
          <a:ext cx="1100628" cy="1100628"/>
        </a:xfrm>
        <a:prstGeom prst="ellipse">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Nozaru ministrijas</a:t>
          </a:r>
        </a:p>
      </dsp:txBody>
      <dsp:txXfrm>
        <a:off x="3644255" y="786177"/>
        <a:ext cx="778262" cy="778262"/>
      </dsp:txXfrm>
    </dsp:sp>
    <dsp:sp modelId="{9DA0AC1F-D69B-4D5D-AEB1-E168451C1DF6}">
      <dsp:nvSpPr>
        <dsp:cNvPr id="0" name=""/>
        <dsp:cNvSpPr/>
      </dsp:nvSpPr>
      <dsp:spPr>
        <a:xfrm rot="17100000">
          <a:off x="3460480" y="2197736"/>
          <a:ext cx="251456" cy="415793"/>
        </a:xfrm>
        <a:prstGeom prst="upDownArrow">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3488436" y="2317328"/>
        <a:ext cx="176019" cy="249475"/>
      </dsp:txXfrm>
    </dsp:sp>
    <dsp:sp modelId="{A4FB84AB-702D-4AE4-86F2-D6292FE219A5}">
      <dsp:nvSpPr>
        <dsp:cNvPr id="0" name=""/>
        <dsp:cNvSpPr/>
      </dsp:nvSpPr>
      <dsp:spPr>
        <a:xfrm>
          <a:off x="3801722" y="2021090"/>
          <a:ext cx="1100628" cy="1100628"/>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noProof="0" dirty="0" smtClean="0">
              <a:latin typeface="Times New Roman" pitchFamily="18" charset="0"/>
              <a:cs typeface="Times New Roman" pitchFamily="18" charset="0"/>
            </a:rPr>
            <a:t>Konsultāciju uzņēmumi</a:t>
          </a:r>
          <a:endParaRPr lang="en-GB" sz="1000" b="1" kern="1200" noProof="0" dirty="0">
            <a:latin typeface="Times New Roman" pitchFamily="18" charset="0"/>
            <a:cs typeface="Times New Roman" pitchFamily="18" charset="0"/>
          </a:endParaRPr>
        </a:p>
      </dsp:txBody>
      <dsp:txXfrm>
        <a:off x="3962905" y="2182273"/>
        <a:ext cx="778262" cy="778262"/>
      </dsp:txXfrm>
    </dsp:sp>
    <dsp:sp modelId="{B86724E9-163C-4DE7-BE3D-2D14B70BA54A}">
      <dsp:nvSpPr>
        <dsp:cNvPr id="0" name=""/>
        <dsp:cNvSpPr/>
      </dsp:nvSpPr>
      <dsp:spPr>
        <a:xfrm rot="19800000">
          <a:off x="2971638" y="2788475"/>
          <a:ext cx="244536" cy="415793"/>
        </a:xfrm>
        <a:prstGeom prst="upDownArrow">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2976552" y="2889974"/>
        <a:ext cx="171175" cy="249475"/>
      </dsp:txXfrm>
    </dsp:sp>
    <dsp:sp modelId="{C7DB1E4B-56F2-4389-98F6-716C637B725D}">
      <dsp:nvSpPr>
        <dsp:cNvPr id="0" name=""/>
        <dsp:cNvSpPr/>
      </dsp:nvSpPr>
      <dsp:spPr>
        <a:xfrm>
          <a:off x="2908885" y="3140673"/>
          <a:ext cx="1100628" cy="1100628"/>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LDDK</a:t>
          </a:r>
        </a:p>
      </dsp:txBody>
      <dsp:txXfrm>
        <a:off x="3070068" y="3301856"/>
        <a:ext cx="778262" cy="778262"/>
      </dsp:txXfrm>
    </dsp:sp>
    <dsp:sp modelId="{2C5AC533-7BF1-429F-AAC8-5FDF085FA291}">
      <dsp:nvSpPr>
        <dsp:cNvPr id="0" name=""/>
        <dsp:cNvSpPr/>
      </dsp:nvSpPr>
      <dsp:spPr>
        <a:xfrm rot="1800000">
          <a:off x="2248535" y="2775422"/>
          <a:ext cx="252336" cy="415793"/>
        </a:xfrm>
        <a:prstGeom prst="upDownArrow">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2253606" y="2839656"/>
        <a:ext cx="176635" cy="249475"/>
      </dsp:txXfrm>
    </dsp:sp>
    <dsp:sp modelId="{AAFF8967-2B33-447A-AED7-77001419E4E1}">
      <dsp:nvSpPr>
        <dsp:cNvPr id="0" name=""/>
        <dsp:cNvSpPr/>
      </dsp:nvSpPr>
      <dsp:spPr>
        <a:xfrm>
          <a:off x="1468257" y="3144344"/>
          <a:ext cx="1100628" cy="1100628"/>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Nozaru asociācijas</a:t>
          </a:r>
        </a:p>
      </dsp:txBody>
      <dsp:txXfrm>
        <a:off x="1629440" y="3305527"/>
        <a:ext cx="778262" cy="778262"/>
      </dsp:txXfrm>
    </dsp:sp>
    <dsp:sp modelId="{0571F065-6294-43AE-B0B6-467E3F9EF1BE}">
      <dsp:nvSpPr>
        <dsp:cNvPr id="0" name=""/>
        <dsp:cNvSpPr/>
      </dsp:nvSpPr>
      <dsp:spPr>
        <a:xfrm rot="4500000">
          <a:off x="1790190" y="2197634"/>
          <a:ext cx="260389" cy="415793"/>
        </a:xfrm>
        <a:prstGeom prst="upDownArrow">
          <a:avLst/>
        </a:prstGeom>
        <a:gradFill rotWithShape="0">
          <a:gsLst>
            <a:gs pos="0">
              <a:schemeClr val="accent5">
                <a:hueOff val="-8278230"/>
                <a:satOff val="33176"/>
                <a:lumOff val="7190"/>
                <a:alphaOff val="0"/>
                <a:shade val="51000"/>
                <a:satMod val="130000"/>
              </a:schemeClr>
            </a:gs>
            <a:gs pos="80000">
              <a:schemeClr val="accent5">
                <a:hueOff val="-8278230"/>
                <a:satOff val="33176"/>
                <a:lumOff val="7190"/>
                <a:alphaOff val="0"/>
                <a:shade val="93000"/>
                <a:satMod val="130000"/>
              </a:schemeClr>
            </a:gs>
            <a:gs pos="100000">
              <a:schemeClr val="accent5">
                <a:hueOff val="-8278230"/>
                <a:satOff val="33176"/>
                <a:lumOff val="71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1819139" y="2243065"/>
        <a:ext cx="182272" cy="249475"/>
      </dsp:txXfrm>
    </dsp:sp>
    <dsp:sp modelId="{CB76EA99-4327-48E0-93C1-060437F069E4}">
      <dsp:nvSpPr>
        <dsp:cNvPr id="0" name=""/>
        <dsp:cNvSpPr/>
      </dsp:nvSpPr>
      <dsp:spPr>
        <a:xfrm>
          <a:off x="584048" y="2021090"/>
          <a:ext cx="1100628" cy="1100628"/>
        </a:xfrm>
        <a:prstGeom prst="ellipse">
          <a:avLst/>
        </a:prstGeom>
        <a:gradFill rotWithShape="0">
          <a:gsLst>
            <a:gs pos="91670">
              <a:srgbClr val="FFF029"/>
            </a:gs>
            <a:gs pos="10000">
              <a:srgbClr val="C19EB4"/>
            </a:gs>
            <a:gs pos="16000">
              <a:schemeClr val="accent4">
                <a:lumMod val="60000"/>
                <a:lumOff val="40000"/>
              </a:schemeClr>
            </a:gs>
            <a:gs pos="0">
              <a:schemeClr val="accent2">
                <a:lumMod val="60000"/>
                <a:lumOff val="40000"/>
              </a:schemeClr>
            </a:gs>
            <a:gs pos="86000">
              <a:schemeClr val="accent3">
                <a:lumMod val="75000"/>
              </a:schemeClr>
            </a:gs>
            <a:gs pos="100000">
              <a:schemeClr val="accent3">
                <a:lumMod val="60000"/>
                <a:lumOff val="40000"/>
              </a:schemeClr>
            </a:gs>
            <a:gs pos="100000">
              <a:schemeClr val="accent5">
                <a:hueOff val="-8278230"/>
                <a:satOff val="33176"/>
                <a:lumOff val="71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b="1" kern="1200">
              <a:latin typeface="Times New Roman" pitchFamily="18" charset="0"/>
              <a:cs typeface="Times New Roman" pitchFamily="18" charset="0"/>
            </a:rPr>
            <a:t>Valsts prezidents</a:t>
          </a:r>
        </a:p>
        <a:p>
          <a:pPr lvl="0" algn="ctr" defTabSz="533400">
            <a:lnSpc>
              <a:spcPct val="90000"/>
            </a:lnSpc>
            <a:spcBef>
              <a:spcPct val="0"/>
            </a:spcBef>
            <a:spcAft>
              <a:spcPct val="35000"/>
            </a:spcAft>
          </a:pPr>
          <a:r>
            <a:rPr lang="lv-LV" sz="1200" b="1" kern="1200">
              <a:latin typeface="Times New Roman" pitchFamily="18" charset="0"/>
              <a:cs typeface="Times New Roman" pitchFamily="18" charset="0"/>
            </a:rPr>
            <a:t>Ministru prezidents</a:t>
          </a:r>
        </a:p>
      </dsp:txBody>
      <dsp:txXfrm>
        <a:off x="745231" y="2182273"/>
        <a:ext cx="778262" cy="778262"/>
      </dsp:txXfrm>
    </dsp:sp>
    <dsp:sp modelId="{8E4C25AF-2A00-408A-97A3-8D366A635987}">
      <dsp:nvSpPr>
        <dsp:cNvPr id="0" name=""/>
        <dsp:cNvSpPr/>
      </dsp:nvSpPr>
      <dsp:spPr>
        <a:xfrm rot="8100000">
          <a:off x="1949121" y="1480356"/>
          <a:ext cx="271026" cy="415793"/>
        </a:xfrm>
        <a:prstGeom prst="upDownArrow">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2018522" y="1534768"/>
        <a:ext cx="189718" cy="249475"/>
      </dsp:txXfrm>
    </dsp:sp>
    <dsp:sp modelId="{094D9330-11B3-4F99-B93F-C2FC25900C7B}">
      <dsp:nvSpPr>
        <dsp:cNvPr id="0" name=""/>
        <dsp:cNvSpPr/>
      </dsp:nvSpPr>
      <dsp:spPr>
        <a:xfrm>
          <a:off x="902698" y="624994"/>
          <a:ext cx="1100628" cy="1100628"/>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LTRK </a:t>
          </a:r>
        </a:p>
      </dsp:txBody>
      <dsp:txXfrm>
        <a:off x="1063881" y="786177"/>
        <a:ext cx="778262" cy="778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56E175-9D26-41EE-A2BD-6E163CC0E94B}">
      <dsp:nvSpPr>
        <dsp:cNvPr id="0" name=""/>
        <dsp:cNvSpPr/>
      </dsp:nvSpPr>
      <dsp:spPr>
        <a:xfrm>
          <a:off x="2140353" y="1618613"/>
          <a:ext cx="1222920" cy="122292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lv-LV" sz="1600" b="1" kern="1200" dirty="0" smtClean="0">
              <a:latin typeface="Times New Roman" pitchFamily="18" charset="0"/>
              <a:cs typeface="Times New Roman" pitchFamily="18" charset="0"/>
            </a:rPr>
            <a:t>Investori</a:t>
          </a:r>
        </a:p>
      </dsp:txBody>
      <dsp:txXfrm>
        <a:off x="2319445" y="1797705"/>
        <a:ext cx="864736" cy="864736"/>
      </dsp:txXfrm>
    </dsp:sp>
    <dsp:sp modelId="{5C9730B1-68E7-44A7-BFFF-07A68FDF1457}">
      <dsp:nvSpPr>
        <dsp:cNvPr id="0" name=""/>
        <dsp:cNvSpPr/>
      </dsp:nvSpPr>
      <dsp:spPr>
        <a:xfrm>
          <a:off x="2619375" y="1189221"/>
          <a:ext cx="256012" cy="372879"/>
        </a:xfrm>
        <a:prstGeom prst="upDownArrow">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lv-LV" sz="900" kern="1200"/>
        </a:p>
      </dsp:txBody>
      <dsp:txXfrm rot="10800000">
        <a:off x="2619375" y="1263797"/>
        <a:ext cx="179208" cy="223727"/>
      </dsp:txXfrm>
    </dsp:sp>
    <dsp:sp modelId="{6DA03BB8-CEFF-4138-B2CA-9A05900B3869}">
      <dsp:nvSpPr>
        <dsp:cNvPr id="0" name=""/>
        <dsp:cNvSpPr/>
      </dsp:nvSpPr>
      <dsp:spPr>
        <a:xfrm>
          <a:off x="2192885" y="56331"/>
          <a:ext cx="1100628" cy="1100628"/>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lv-LV" sz="1600" b="1" kern="1200" noProof="0" dirty="0" smtClean="0">
              <a:latin typeface="Times New Roman" pitchFamily="18" charset="0"/>
              <a:cs typeface="Times New Roman" pitchFamily="18" charset="0"/>
            </a:rPr>
            <a:t>LIAA</a:t>
          </a:r>
          <a:endParaRPr lang="en-GB" sz="1600" b="1" kern="1200" noProof="0" dirty="0">
            <a:latin typeface="Times New Roman" pitchFamily="18" charset="0"/>
            <a:cs typeface="Times New Roman" pitchFamily="18" charset="0"/>
          </a:endParaRPr>
        </a:p>
      </dsp:txBody>
      <dsp:txXfrm>
        <a:off x="2354068" y="217514"/>
        <a:ext cx="778262" cy="778262"/>
      </dsp:txXfrm>
    </dsp:sp>
    <dsp:sp modelId="{B55A4D95-341E-4315-B473-ACB374E79006}">
      <dsp:nvSpPr>
        <dsp:cNvPr id="0" name=""/>
        <dsp:cNvSpPr/>
      </dsp:nvSpPr>
      <dsp:spPr>
        <a:xfrm rot="19232688">
          <a:off x="3313085" y="1471490"/>
          <a:ext cx="263957" cy="415793"/>
        </a:xfrm>
        <a:prstGeom prst="leftArrow">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3322107" y="1579810"/>
        <a:ext cx="184770" cy="249475"/>
      </dsp:txXfrm>
    </dsp:sp>
    <dsp:sp modelId="{9DE8C753-AD7C-42BE-B851-329E2B3A6B3A}">
      <dsp:nvSpPr>
        <dsp:cNvPr id="0" name=""/>
        <dsp:cNvSpPr/>
      </dsp:nvSpPr>
      <dsp:spPr>
        <a:xfrm>
          <a:off x="3483072" y="624994"/>
          <a:ext cx="1100628" cy="1100628"/>
        </a:xfrm>
        <a:prstGeom prst="ellipse">
          <a:avLst/>
        </a:prstGeom>
        <a:gradFill rotWithShape="0">
          <a:gsLst>
            <a:gs pos="0">
              <a:schemeClr val="accent5">
                <a:hueOff val="-1655646"/>
                <a:satOff val="6635"/>
                <a:lumOff val="1438"/>
                <a:alphaOff val="0"/>
                <a:shade val="51000"/>
                <a:satMod val="130000"/>
              </a:schemeClr>
            </a:gs>
            <a:gs pos="80000">
              <a:schemeClr val="accent5">
                <a:hueOff val="-1655646"/>
                <a:satOff val="6635"/>
                <a:lumOff val="1438"/>
                <a:alphaOff val="0"/>
                <a:shade val="93000"/>
                <a:satMod val="130000"/>
              </a:schemeClr>
            </a:gs>
            <a:gs pos="100000">
              <a:schemeClr val="accent5">
                <a:hueOff val="-1655646"/>
                <a:satOff val="6635"/>
                <a:lumOff val="14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Ekonomikas un Ārlietu ministrija, citas nozaru ministrijas</a:t>
          </a:r>
        </a:p>
      </dsp:txBody>
      <dsp:txXfrm>
        <a:off x="3644255" y="786177"/>
        <a:ext cx="778262" cy="778262"/>
      </dsp:txXfrm>
    </dsp:sp>
    <dsp:sp modelId="{9DA0AC1F-D69B-4D5D-AEB1-E168451C1DF6}">
      <dsp:nvSpPr>
        <dsp:cNvPr id="0" name=""/>
        <dsp:cNvSpPr/>
      </dsp:nvSpPr>
      <dsp:spPr>
        <a:xfrm rot="722452">
          <a:off x="3460480" y="2197736"/>
          <a:ext cx="251456" cy="415793"/>
        </a:xfrm>
        <a:prstGeom prst="leftArrow">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3461310" y="2273027"/>
        <a:ext cx="176019" cy="249475"/>
      </dsp:txXfrm>
    </dsp:sp>
    <dsp:sp modelId="{A4FB84AB-702D-4AE4-86F2-D6292FE219A5}">
      <dsp:nvSpPr>
        <dsp:cNvPr id="0" name=""/>
        <dsp:cNvSpPr/>
      </dsp:nvSpPr>
      <dsp:spPr>
        <a:xfrm>
          <a:off x="3801722" y="2021090"/>
          <a:ext cx="1100628" cy="1100628"/>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itchFamily="18" charset="0"/>
              <a:cs typeface="Times New Roman" pitchFamily="18" charset="0"/>
            </a:rPr>
            <a:t>Konsultāciju un citu pakalpojumu sniedzēji</a:t>
          </a:r>
          <a:endParaRPr lang="en-GB" sz="1000" b="1" kern="1200" noProof="0" dirty="0">
            <a:latin typeface="Times New Roman" pitchFamily="18" charset="0"/>
            <a:cs typeface="Times New Roman" pitchFamily="18" charset="0"/>
          </a:endParaRPr>
        </a:p>
      </dsp:txBody>
      <dsp:txXfrm>
        <a:off x="3962905" y="2182273"/>
        <a:ext cx="778262" cy="778262"/>
      </dsp:txXfrm>
    </dsp:sp>
    <dsp:sp modelId="{B86724E9-163C-4DE7-BE3D-2D14B70BA54A}">
      <dsp:nvSpPr>
        <dsp:cNvPr id="0" name=""/>
        <dsp:cNvSpPr/>
      </dsp:nvSpPr>
      <dsp:spPr>
        <a:xfrm rot="3853190">
          <a:off x="3066491" y="2818854"/>
          <a:ext cx="246288" cy="415793"/>
        </a:xfrm>
        <a:prstGeom prst="leftArrow">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a:off x="3087367" y="2868747"/>
        <a:ext cx="172402" cy="249475"/>
      </dsp:txXfrm>
    </dsp:sp>
    <dsp:sp modelId="{C7DB1E4B-56F2-4389-98F6-716C637B725D}">
      <dsp:nvSpPr>
        <dsp:cNvPr id="0" name=""/>
        <dsp:cNvSpPr/>
      </dsp:nvSpPr>
      <dsp:spPr>
        <a:xfrm>
          <a:off x="2908883" y="3144346"/>
          <a:ext cx="1100628" cy="1100628"/>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LTRK, LDDK, ārvalstu investori un to apvienības</a:t>
          </a:r>
        </a:p>
      </dsp:txBody>
      <dsp:txXfrm>
        <a:off x="3070066" y="3305529"/>
        <a:ext cx="778262" cy="778262"/>
      </dsp:txXfrm>
    </dsp:sp>
    <dsp:sp modelId="{2C5AC533-7BF1-429F-AAC8-5FDF085FA291}">
      <dsp:nvSpPr>
        <dsp:cNvPr id="0" name=""/>
        <dsp:cNvSpPr/>
      </dsp:nvSpPr>
      <dsp:spPr>
        <a:xfrm rot="6995686">
          <a:off x="2248535" y="2775422"/>
          <a:ext cx="252336" cy="415793"/>
        </a:xfrm>
        <a:prstGeom prst="leftArrow">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2303330" y="2824735"/>
        <a:ext cx="176635" cy="249475"/>
      </dsp:txXfrm>
    </dsp:sp>
    <dsp:sp modelId="{AAFF8967-2B33-447A-AED7-77001419E4E1}">
      <dsp:nvSpPr>
        <dsp:cNvPr id="0" name=""/>
        <dsp:cNvSpPr/>
      </dsp:nvSpPr>
      <dsp:spPr>
        <a:xfrm>
          <a:off x="1468257" y="3144344"/>
          <a:ext cx="1100628" cy="1100628"/>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Pašvaldības</a:t>
          </a:r>
        </a:p>
      </dsp:txBody>
      <dsp:txXfrm>
        <a:off x="1629440" y="3305527"/>
        <a:ext cx="778262" cy="778262"/>
      </dsp:txXfrm>
    </dsp:sp>
    <dsp:sp modelId="{0571F065-6294-43AE-B0B6-467E3F9EF1BE}">
      <dsp:nvSpPr>
        <dsp:cNvPr id="0" name=""/>
        <dsp:cNvSpPr/>
      </dsp:nvSpPr>
      <dsp:spPr>
        <a:xfrm rot="10085022">
          <a:off x="1790190" y="2197634"/>
          <a:ext cx="260389" cy="415793"/>
        </a:xfrm>
        <a:prstGeom prst="leftArrow">
          <a:avLst/>
        </a:prstGeom>
        <a:gradFill rotWithShape="0">
          <a:gsLst>
            <a:gs pos="0">
              <a:schemeClr val="accent5">
                <a:hueOff val="-8278230"/>
                <a:satOff val="33176"/>
                <a:lumOff val="7190"/>
                <a:alphaOff val="0"/>
                <a:shade val="51000"/>
                <a:satMod val="130000"/>
              </a:schemeClr>
            </a:gs>
            <a:gs pos="80000">
              <a:schemeClr val="accent5">
                <a:hueOff val="-8278230"/>
                <a:satOff val="33176"/>
                <a:lumOff val="7190"/>
                <a:alphaOff val="0"/>
                <a:shade val="93000"/>
                <a:satMod val="130000"/>
              </a:schemeClr>
            </a:gs>
            <a:gs pos="100000">
              <a:schemeClr val="accent5">
                <a:hueOff val="-8278230"/>
                <a:satOff val="33176"/>
                <a:lumOff val="71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1867465" y="2272728"/>
        <a:ext cx="182272" cy="249475"/>
      </dsp:txXfrm>
    </dsp:sp>
    <dsp:sp modelId="{CB76EA99-4327-48E0-93C1-060437F069E4}">
      <dsp:nvSpPr>
        <dsp:cNvPr id="0" name=""/>
        <dsp:cNvSpPr/>
      </dsp:nvSpPr>
      <dsp:spPr>
        <a:xfrm>
          <a:off x="584048" y="2021090"/>
          <a:ext cx="1100628" cy="1100628"/>
        </a:xfrm>
        <a:prstGeom prst="ellipse">
          <a:avLst/>
        </a:prstGeom>
        <a:gradFill rotWithShape="0">
          <a:gsLst>
            <a:gs pos="2000">
              <a:schemeClr val="accent2">
                <a:lumMod val="60000"/>
                <a:lumOff val="40000"/>
              </a:schemeClr>
            </a:gs>
            <a:gs pos="87000">
              <a:schemeClr val="accent3">
                <a:lumMod val="60000"/>
                <a:lumOff val="4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b="1" kern="1200">
              <a:latin typeface="Times New Roman" pitchFamily="18" charset="0"/>
              <a:cs typeface="Times New Roman" pitchFamily="18" charset="0"/>
            </a:rPr>
            <a:t>Valsts prezidents</a:t>
          </a:r>
        </a:p>
        <a:p>
          <a:pPr lvl="0" algn="ctr" defTabSz="533400">
            <a:lnSpc>
              <a:spcPct val="90000"/>
            </a:lnSpc>
            <a:spcBef>
              <a:spcPct val="0"/>
            </a:spcBef>
            <a:spcAft>
              <a:spcPct val="35000"/>
            </a:spcAft>
          </a:pPr>
          <a:r>
            <a:rPr lang="lv-LV" sz="1200" b="1" kern="1200">
              <a:latin typeface="Times New Roman" pitchFamily="18" charset="0"/>
              <a:cs typeface="Times New Roman" pitchFamily="18" charset="0"/>
            </a:rPr>
            <a:t>Ministru prezidents</a:t>
          </a:r>
        </a:p>
      </dsp:txBody>
      <dsp:txXfrm>
        <a:off x="745231" y="2182273"/>
        <a:ext cx="778262" cy="778262"/>
      </dsp:txXfrm>
    </dsp:sp>
    <dsp:sp modelId="{8E4C25AF-2A00-408A-97A3-8D366A635987}">
      <dsp:nvSpPr>
        <dsp:cNvPr id="0" name=""/>
        <dsp:cNvSpPr/>
      </dsp:nvSpPr>
      <dsp:spPr>
        <a:xfrm rot="13144817">
          <a:off x="1949121" y="1480356"/>
          <a:ext cx="271026" cy="415793"/>
        </a:xfrm>
        <a:prstGeom prst="leftArrow">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2021333" y="1589144"/>
        <a:ext cx="189718" cy="249475"/>
      </dsp:txXfrm>
    </dsp:sp>
    <dsp:sp modelId="{094D9330-11B3-4F99-B93F-C2FC25900C7B}">
      <dsp:nvSpPr>
        <dsp:cNvPr id="0" name=""/>
        <dsp:cNvSpPr/>
      </dsp:nvSpPr>
      <dsp:spPr>
        <a:xfrm>
          <a:off x="902698" y="624994"/>
          <a:ext cx="1100628" cy="1100628"/>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itchFamily="18" charset="0"/>
              <a:cs typeface="Times New Roman" pitchFamily="18" charset="0"/>
            </a:rPr>
            <a:t>Nozaru asociācijas, vietējie uzņēmumi</a:t>
          </a:r>
        </a:p>
      </dsp:txBody>
      <dsp:txXfrm>
        <a:off x="1063881" y="786177"/>
        <a:ext cx="778262" cy="7782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49E6-BDE7-47C0-B454-991494E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53</Pages>
  <Words>81675</Words>
  <Characters>46556</Characters>
  <Application>Microsoft Office Word</Application>
  <DocSecurity>0</DocSecurity>
  <Lines>387</Lines>
  <Paragraphs>255</Paragraphs>
  <ScaleCrop>false</ScaleCrop>
  <HeadingPairs>
    <vt:vector size="2" baseType="variant">
      <vt:variant>
        <vt:lpstr>Title</vt:lpstr>
      </vt:variant>
      <vt:variant>
        <vt:i4>1</vt:i4>
      </vt:variant>
    </vt:vector>
  </HeadingPairs>
  <TitlesOfParts>
    <vt:vector size="1" baseType="lpstr">
      <vt:lpstr>Pamatnostādņu projekts „Latvijas preču un pakalpojumu eksporta veicināšanas un ārvalstu investīciju piesaistes pamatnostādnes 2010.-2016. gadam</vt:lpstr>
    </vt:vector>
  </TitlesOfParts>
  <Company>Ekonomikas ministrija</Company>
  <LinksUpToDate>false</LinksUpToDate>
  <CharactersWithSpaces>127976</CharactersWithSpaces>
  <SharedDoc>false</SharedDoc>
  <HLinks>
    <vt:vector size="174" baseType="variant">
      <vt:variant>
        <vt:i4>8323113</vt:i4>
      </vt:variant>
      <vt:variant>
        <vt:i4>189</vt:i4>
      </vt:variant>
      <vt:variant>
        <vt:i4>0</vt:i4>
      </vt:variant>
      <vt:variant>
        <vt:i4>5</vt:i4>
      </vt:variant>
      <vt:variant>
        <vt:lpwstr>http://www.exim.lv/</vt:lpwstr>
      </vt:variant>
      <vt:variant>
        <vt:lpwstr/>
      </vt:variant>
      <vt:variant>
        <vt:i4>6422605</vt:i4>
      </vt:variant>
      <vt:variant>
        <vt:i4>186</vt:i4>
      </vt:variant>
      <vt:variant>
        <vt:i4>0</vt:i4>
      </vt:variant>
      <vt:variant>
        <vt:i4>5</vt:i4>
      </vt:variant>
      <vt:variant>
        <vt:lpwstr>http://www.liaa.gov.lv/lv/par_liaa/darbinieki/arejas_tirdzniecibas_veicinasa/</vt:lpwstr>
      </vt:variant>
      <vt:variant>
        <vt:lpwstr/>
      </vt:variant>
      <vt:variant>
        <vt:i4>7077921</vt:i4>
      </vt:variant>
      <vt:variant>
        <vt:i4>183</vt:i4>
      </vt:variant>
      <vt:variant>
        <vt:i4>0</vt:i4>
      </vt:variant>
      <vt:variant>
        <vt:i4>5</vt:i4>
      </vt:variant>
      <vt:variant>
        <vt:lpwstr>http://polsis.mk.gov.lv/view.do?id=3574</vt:lpwstr>
      </vt:variant>
      <vt:variant>
        <vt:lpwstr/>
      </vt:variant>
      <vt:variant>
        <vt:i4>7274532</vt:i4>
      </vt:variant>
      <vt:variant>
        <vt:i4>180</vt:i4>
      </vt:variant>
      <vt:variant>
        <vt:i4>0</vt:i4>
      </vt:variant>
      <vt:variant>
        <vt:i4>5</vt:i4>
      </vt:variant>
      <vt:variant>
        <vt:lpwstr>http://polsis.mk.gov.lv/view.do?id=3049</vt:lpwstr>
      </vt:variant>
      <vt:variant>
        <vt:lpwstr/>
      </vt:variant>
      <vt:variant>
        <vt:i4>2949145</vt:i4>
      </vt:variant>
      <vt:variant>
        <vt:i4>168</vt:i4>
      </vt:variant>
      <vt:variant>
        <vt:i4>0</vt:i4>
      </vt:variant>
      <vt:variant>
        <vt:i4>5</vt:i4>
      </vt:variant>
      <vt:variant>
        <vt:lpwstr>http://www.wto.org/english/thewto_e/acc_e/status_e.htm</vt:lpwstr>
      </vt:variant>
      <vt:variant>
        <vt:lpwstr/>
      </vt:variant>
      <vt:variant>
        <vt:i4>6094915</vt:i4>
      </vt:variant>
      <vt:variant>
        <vt:i4>165</vt:i4>
      </vt:variant>
      <vt:variant>
        <vt:i4>0</vt:i4>
      </vt:variant>
      <vt:variant>
        <vt:i4>5</vt:i4>
      </vt:variant>
      <vt:variant>
        <vt:lpwstr>http://www.wto.org/english/thewto_e/whatis_e/tif_e/org6_e.htm</vt:lpwstr>
      </vt:variant>
      <vt:variant>
        <vt:lpwstr/>
      </vt:variant>
      <vt:variant>
        <vt:i4>1507380</vt:i4>
      </vt:variant>
      <vt:variant>
        <vt:i4>134</vt:i4>
      </vt:variant>
      <vt:variant>
        <vt:i4>0</vt:i4>
      </vt:variant>
      <vt:variant>
        <vt:i4>5</vt:i4>
      </vt:variant>
      <vt:variant>
        <vt:lpwstr/>
      </vt:variant>
      <vt:variant>
        <vt:lpwstr>_Toc305433177</vt:lpwstr>
      </vt:variant>
      <vt:variant>
        <vt:i4>1507380</vt:i4>
      </vt:variant>
      <vt:variant>
        <vt:i4>128</vt:i4>
      </vt:variant>
      <vt:variant>
        <vt:i4>0</vt:i4>
      </vt:variant>
      <vt:variant>
        <vt:i4>5</vt:i4>
      </vt:variant>
      <vt:variant>
        <vt:lpwstr/>
      </vt:variant>
      <vt:variant>
        <vt:lpwstr>_Toc305433176</vt:lpwstr>
      </vt:variant>
      <vt:variant>
        <vt:i4>1507380</vt:i4>
      </vt:variant>
      <vt:variant>
        <vt:i4>122</vt:i4>
      </vt:variant>
      <vt:variant>
        <vt:i4>0</vt:i4>
      </vt:variant>
      <vt:variant>
        <vt:i4>5</vt:i4>
      </vt:variant>
      <vt:variant>
        <vt:lpwstr/>
      </vt:variant>
      <vt:variant>
        <vt:lpwstr>_Toc305433175</vt:lpwstr>
      </vt:variant>
      <vt:variant>
        <vt:i4>1507380</vt:i4>
      </vt:variant>
      <vt:variant>
        <vt:i4>116</vt:i4>
      </vt:variant>
      <vt:variant>
        <vt:i4>0</vt:i4>
      </vt:variant>
      <vt:variant>
        <vt:i4>5</vt:i4>
      </vt:variant>
      <vt:variant>
        <vt:lpwstr/>
      </vt:variant>
      <vt:variant>
        <vt:lpwstr>_Toc305433174</vt:lpwstr>
      </vt:variant>
      <vt:variant>
        <vt:i4>1507380</vt:i4>
      </vt:variant>
      <vt:variant>
        <vt:i4>110</vt:i4>
      </vt:variant>
      <vt:variant>
        <vt:i4>0</vt:i4>
      </vt:variant>
      <vt:variant>
        <vt:i4>5</vt:i4>
      </vt:variant>
      <vt:variant>
        <vt:lpwstr/>
      </vt:variant>
      <vt:variant>
        <vt:lpwstr>_Toc305433173</vt:lpwstr>
      </vt:variant>
      <vt:variant>
        <vt:i4>1507380</vt:i4>
      </vt:variant>
      <vt:variant>
        <vt:i4>104</vt:i4>
      </vt:variant>
      <vt:variant>
        <vt:i4>0</vt:i4>
      </vt:variant>
      <vt:variant>
        <vt:i4>5</vt:i4>
      </vt:variant>
      <vt:variant>
        <vt:lpwstr/>
      </vt:variant>
      <vt:variant>
        <vt:lpwstr>_Toc305433172</vt:lpwstr>
      </vt:variant>
      <vt:variant>
        <vt:i4>1507380</vt:i4>
      </vt:variant>
      <vt:variant>
        <vt:i4>98</vt:i4>
      </vt:variant>
      <vt:variant>
        <vt:i4>0</vt:i4>
      </vt:variant>
      <vt:variant>
        <vt:i4>5</vt:i4>
      </vt:variant>
      <vt:variant>
        <vt:lpwstr/>
      </vt:variant>
      <vt:variant>
        <vt:lpwstr>_Toc305433171</vt:lpwstr>
      </vt:variant>
      <vt:variant>
        <vt:i4>1507380</vt:i4>
      </vt:variant>
      <vt:variant>
        <vt:i4>92</vt:i4>
      </vt:variant>
      <vt:variant>
        <vt:i4>0</vt:i4>
      </vt:variant>
      <vt:variant>
        <vt:i4>5</vt:i4>
      </vt:variant>
      <vt:variant>
        <vt:lpwstr/>
      </vt:variant>
      <vt:variant>
        <vt:lpwstr>_Toc305433170</vt:lpwstr>
      </vt:variant>
      <vt:variant>
        <vt:i4>1441844</vt:i4>
      </vt:variant>
      <vt:variant>
        <vt:i4>86</vt:i4>
      </vt:variant>
      <vt:variant>
        <vt:i4>0</vt:i4>
      </vt:variant>
      <vt:variant>
        <vt:i4>5</vt:i4>
      </vt:variant>
      <vt:variant>
        <vt:lpwstr/>
      </vt:variant>
      <vt:variant>
        <vt:lpwstr>_Toc305433169</vt:lpwstr>
      </vt:variant>
      <vt:variant>
        <vt:i4>1441844</vt:i4>
      </vt:variant>
      <vt:variant>
        <vt:i4>80</vt:i4>
      </vt:variant>
      <vt:variant>
        <vt:i4>0</vt:i4>
      </vt:variant>
      <vt:variant>
        <vt:i4>5</vt:i4>
      </vt:variant>
      <vt:variant>
        <vt:lpwstr/>
      </vt:variant>
      <vt:variant>
        <vt:lpwstr>_Toc305433168</vt:lpwstr>
      </vt:variant>
      <vt:variant>
        <vt:i4>1441844</vt:i4>
      </vt:variant>
      <vt:variant>
        <vt:i4>74</vt:i4>
      </vt:variant>
      <vt:variant>
        <vt:i4>0</vt:i4>
      </vt:variant>
      <vt:variant>
        <vt:i4>5</vt:i4>
      </vt:variant>
      <vt:variant>
        <vt:lpwstr/>
      </vt:variant>
      <vt:variant>
        <vt:lpwstr>_Toc305433167</vt:lpwstr>
      </vt:variant>
      <vt:variant>
        <vt:i4>1441844</vt:i4>
      </vt:variant>
      <vt:variant>
        <vt:i4>68</vt:i4>
      </vt:variant>
      <vt:variant>
        <vt:i4>0</vt:i4>
      </vt:variant>
      <vt:variant>
        <vt:i4>5</vt:i4>
      </vt:variant>
      <vt:variant>
        <vt:lpwstr/>
      </vt:variant>
      <vt:variant>
        <vt:lpwstr>_Toc305433166</vt:lpwstr>
      </vt:variant>
      <vt:variant>
        <vt:i4>1441844</vt:i4>
      </vt:variant>
      <vt:variant>
        <vt:i4>62</vt:i4>
      </vt:variant>
      <vt:variant>
        <vt:i4>0</vt:i4>
      </vt:variant>
      <vt:variant>
        <vt:i4>5</vt:i4>
      </vt:variant>
      <vt:variant>
        <vt:lpwstr/>
      </vt:variant>
      <vt:variant>
        <vt:lpwstr>_Toc305433165</vt:lpwstr>
      </vt:variant>
      <vt:variant>
        <vt:i4>1441844</vt:i4>
      </vt:variant>
      <vt:variant>
        <vt:i4>56</vt:i4>
      </vt:variant>
      <vt:variant>
        <vt:i4>0</vt:i4>
      </vt:variant>
      <vt:variant>
        <vt:i4>5</vt:i4>
      </vt:variant>
      <vt:variant>
        <vt:lpwstr/>
      </vt:variant>
      <vt:variant>
        <vt:lpwstr>_Toc305433164</vt:lpwstr>
      </vt:variant>
      <vt:variant>
        <vt:i4>1441844</vt:i4>
      </vt:variant>
      <vt:variant>
        <vt:i4>50</vt:i4>
      </vt:variant>
      <vt:variant>
        <vt:i4>0</vt:i4>
      </vt:variant>
      <vt:variant>
        <vt:i4>5</vt:i4>
      </vt:variant>
      <vt:variant>
        <vt:lpwstr/>
      </vt:variant>
      <vt:variant>
        <vt:lpwstr>_Toc305433163</vt:lpwstr>
      </vt:variant>
      <vt:variant>
        <vt:i4>1441844</vt:i4>
      </vt:variant>
      <vt:variant>
        <vt:i4>44</vt:i4>
      </vt:variant>
      <vt:variant>
        <vt:i4>0</vt:i4>
      </vt:variant>
      <vt:variant>
        <vt:i4>5</vt:i4>
      </vt:variant>
      <vt:variant>
        <vt:lpwstr/>
      </vt:variant>
      <vt:variant>
        <vt:lpwstr>_Toc305433162</vt:lpwstr>
      </vt:variant>
      <vt:variant>
        <vt:i4>1441844</vt:i4>
      </vt:variant>
      <vt:variant>
        <vt:i4>38</vt:i4>
      </vt:variant>
      <vt:variant>
        <vt:i4>0</vt:i4>
      </vt:variant>
      <vt:variant>
        <vt:i4>5</vt:i4>
      </vt:variant>
      <vt:variant>
        <vt:lpwstr/>
      </vt:variant>
      <vt:variant>
        <vt:lpwstr>_Toc305433161</vt:lpwstr>
      </vt:variant>
      <vt:variant>
        <vt:i4>1441844</vt:i4>
      </vt:variant>
      <vt:variant>
        <vt:i4>32</vt:i4>
      </vt:variant>
      <vt:variant>
        <vt:i4>0</vt:i4>
      </vt:variant>
      <vt:variant>
        <vt:i4>5</vt:i4>
      </vt:variant>
      <vt:variant>
        <vt:lpwstr/>
      </vt:variant>
      <vt:variant>
        <vt:lpwstr>_Toc305433160</vt:lpwstr>
      </vt:variant>
      <vt:variant>
        <vt:i4>1376308</vt:i4>
      </vt:variant>
      <vt:variant>
        <vt:i4>26</vt:i4>
      </vt:variant>
      <vt:variant>
        <vt:i4>0</vt:i4>
      </vt:variant>
      <vt:variant>
        <vt:i4>5</vt:i4>
      </vt:variant>
      <vt:variant>
        <vt:lpwstr/>
      </vt:variant>
      <vt:variant>
        <vt:lpwstr>_Toc305433159</vt:lpwstr>
      </vt:variant>
      <vt:variant>
        <vt:i4>1376308</vt:i4>
      </vt:variant>
      <vt:variant>
        <vt:i4>20</vt:i4>
      </vt:variant>
      <vt:variant>
        <vt:i4>0</vt:i4>
      </vt:variant>
      <vt:variant>
        <vt:i4>5</vt:i4>
      </vt:variant>
      <vt:variant>
        <vt:lpwstr/>
      </vt:variant>
      <vt:variant>
        <vt:lpwstr>_Toc305433158</vt:lpwstr>
      </vt:variant>
      <vt:variant>
        <vt:i4>1376308</vt:i4>
      </vt:variant>
      <vt:variant>
        <vt:i4>14</vt:i4>
      </vt:variant>
      <vt:variant>
        <vt:i4>0</vt:i4>
      </vt:variant>
      <vt:variant>
        <vt:i4>5</vt:i4>
      </vt:variant>
      <vt:variant>
        <vt:lpwstr/>
      </vt:variant>
      <vt:variant>
        <vt:lpwstr>_Toc305433157</vt:lpwstr>
      </vt:variant>
      <vt:variant>
        <vt:i4>1376308</vt:i4>
      </vt:variant>
      <vt:variant>
        <vt:i4>8</vt:i4>
      </vt:variant>
      <vt:variant>
        <vt:i4>0</vt:i4>
      </vt:variant>
      <vt:variant>
        <vt:i4>5</vt:i4>
      </vt:variant>
      <vt:variant>
        <vt:lpwstr/>
      </vt:variant>
      <vt:variant>
        <vt:lpwstr>_Toc305433156</vt:lpwstr>
      </vt:variant>
      <vt:variant>
        <vt:i4>1376308</vt:i4>
      </vt:variant>
      <vt:variant>
        <vt:i4>2</vt:i4>
      </vt:variant>
      <vt:variant>
        <vt:i4>0</vt:i4>
      </vt:variant>
      <vt:variant>
        <vt:i4>5</vt:i4>
      </vt:variant>
      <vt:variant>
        <vt:lpwstr/>
      </vt:variant>
      <vt:variant>
        <vt:lpwstr>_Toc305433155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projekts „Latvijas preču un pakalpojumu eksporta veicināšanas un ārvalstu investīciju piesaistes pamatnostādnes 2010.-2016. gadam</dc:title>
  <dc:subject>Empamn_050609_ekspamn</dc:subject>
  <dc:creator>Iveta Ozoliņa</dc:creator>
  <cp:lastModifiedBy>Arta Krūze</cp:lastModifiedBy>
  <cp:revision>21</cp:revision>
  <cp:lastPrinted>2012-10-08T11:53:00Z</cp:lastPrinted>
  <dcterms:created xsi:type="dcterms:W3CDTF">2013-05-07T10:42:00Z</dcterms:created>
  <dcterms:modified xsi:type="dcterms:W3CDTF">2013-05-14T06:22:00Z</dcterms:modified>
</cp:coreProperties>
</file>