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31" w:rsidRPr="009179E5" w:rsidRDefault="00ED1D31"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(Ministru kabineta</w:t>
      </w:r>
    </w:p>
    <w:p w:rsidR="00ED1D31" w:rsidRPr="009179E5" w:rsidRDefault="00ED1D31"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 xml:space="preserve">                   2011.gada __.____</w:t>
      </w:r>
    </w:p>
    <w:p w:rsidR="00B16EC2" w:rsidRPr="009179E5" w:rsidRDefault="00ED1D31" w:rsidP="00574AC8">
      <w:pPr>
        <w:spacing w:after="0" w:line="240" w:lineRule="auto"/>
        <w:ind w:left="357"/>
        <w:jc w:val="right"/>
        <w:rPr>
          <w:b/>
          <w:caps/>
          <w:lang w:val="lv-LV"/>
        </w:rPr>
      </w:pPr>
      <w:r w:rsidRPr="009179E5">
        <w:rPr>
          <w:rFonts w:ascii="Times New Roman" w:hAnsi="Times New Roman"/>
          <w:sz w:val="28"/>
          <w:szCs w:val="28"/>
          <w:lang w:val="lv-LV"/>
        </w:rPr>
        <w:t xml:space="preserve">   </w:t>
      </w:r>
      <w:smartTag w:uri="schemas-tilde-lv/tildestengine" w:element="veidnes">
        <w:smartTagPr>
          <w:attr w:name="text" w:val="Rīkojums"/>
          <w:attr w:name="baseform" w:val="Rīkojums"/>
          <w:attr w:name="id" w:val="-1"/>
        </w:smartTagPr>
        <w:r w:rsidRPr="009179E5">
          <w:rPr>
            <w:rFonts w:ascii="Times New Roman" w:hAnsi="Times New Roman"/>
            <w:sz w:val="28"/>
            <w:szCs w:val="28"/>
            <w:lang w:val="lv-LV"/>
          </w:rPr>
          <w:t>Rīkojums</w:t>
        </w:r>
      </w:smartTag>
      <w:r w:rsidRPr="009179E5">
        <w:rPr>
          <w:rFonts w:ascii="Times New Roman" w:hAnsi="Times New Roman"/>
          <w:sz w:val="28"/>
          <w:szCs w:val="28"/>
          <w:lang w:val="lv-LV"/>
        </w:rPr>
        <w:t xml:space="preserve"> Nr.___)</w:t>
      </w:r>
    </w:p>
    <w:p w:rsidR="00B16EC2" w:rsidRPr="009179E5" w:rsidRDefault="00B16EC2" w:rsidP="00574AC8">
      <w:pPr>
        <w:spacing w:before="120" w:after="120" w:line="240" w:lineRule="auto"/>
        <w:ind w:left="357"/>
        <w:jc w:val="center"/>
        <w:rPr>
          <w:b/>
          <w:caps/>
          <w:lang w:val="lv-LV"/>
        </w:rPr>
      </w:pPr>
    </w:p>
    <w:p w:rsidR="00F83F07" w:rsidRPr="009179E5" w:rsidRDefault="00B16EC2" w:rsidP="00574AC8">
      <w:pPr>
        <w:pStyle w:val="Title"/>
        <w:spacing w:before="120" w:after="120"/>
        <w:jc w:val="center"/>
        <w:rPr>
          <w:color w:val="auto"/>
          <w:lang w:val="lv-LV"/>
        </w:rPr>
      </w:pPr>
      <w:r w:rsidRPr="009179E5">
        <w:rPr>
          <w:lang w:val="lv-LV"/>
        </w:rPr>
        <w:br/>
      </w:r>
      <w:r w:rsidRPr="009179E5">
        <w:rPr>
          <w:lang w:val="lv-LV"/>
        </w:rPr>
        <w:br/>
      </w:r>
      <w:bookmarkStart w:id="0" w:name="OLE_LINK1"/>
      <w:bookmarkStart w:id="1" w:name="OLE_LINK8"/>
    </w:p>
    <w:p w:rsidR="00F83F07" w:rsidRPr="009179E5" w:rsidRDefault="00F83F07" w:rsidP="00574AC8">
      <w:pPr>
        <w:pStyle w:val="Title"/>
        <w:spacing w:before="120" w:after="120"/>
        <w:jc w:val="center"/>
        <w:rPr>
          <w:color w:val="auto"/>
          <w:lang w:val="lv-LV"/>
        </w:rPr>
      </w:pPr>
    </w:p>
    <w:p w:rsidR="005B5CDD" w:rsidRPr="009179E5" w:rsidRDefault="005B5CDD" w:rsidP="00574AC8">
      <w:pPr>
        <w:pStyle w:val="Title"/>
        <w:spacing w:before="120" w:after="120"/>
        <w:jc w:val="center"/>
        <w:rPr>
          <w:rFonts w:ascii="Times New Roman" w:hAnsi="Times New Roman"/>
          <w:color w:val="auto"/>
          <w:lang w:val="lv-LV"/>
        </w:rPr>
      </w:pPr>
      <w:r w:rsidRPr="009179E5">
        <w:rPr>
          <w:rFonts w:ascii="Times New Roman" w:hAnsi="Times New Roman"/>
          <w:color w:val="auto"/>
          <w:lang w:val="lv-LV"/>
        </w:rPr>
        <w:t xml:space="preserve">Latvijas Republikas </w:t>
      </w:r>
      <w:r w:rsidRPr="009179E5">
        <w:rPr>
          <w:rFonts w:ascii="Times New Roman" w:hAnsi="Times New Roman"/>
          <w:b/>
          <w:color w:val="auto"/>
          <w:lang w:val="lv-LV"/>
        </w:rPr>
        <w:t>Otrais</w:t>
      </w:r>
      <w:r w:rsidRPr="009179E5">
        <w:rPr>
          <w:rFonts w:ascii="Times New Roman" w:hAnsi="Times New Roman"/>
          <w:color w:val="auto"/>
          <w:lang w:val="lv-LV"/>
        </w:rPr>
        <w:t xml:space="preserve"> energoefektivitātes rīcības plāns </w:t>
      </w:r>
    </w:p>
    <w:p w:rsidR="00B16EC2" w:rsidRPr="009179E5" w:rsidRDefault="005B5CDD" w:rsidP="00574AC8">
      <w:pPr>
        <w:pStyle w:val="Title"/>
        <w:spacing w:before="120" w:after="120"/>
        <w:jc w:val="center"/>
        <w:rPr>
          <w:lang w:val="lv-LV"/>
        </w:rPr>
      </w:pPr>
      <w:r w:rsidRPr="009179E5">
        <w:rPr>
          <w:rFonts w:ascii="Times New Roman" w:hAnsi="Times New Roman"/>
          <w:color w:val="auto"/>
          <w:lang w:val="lv-LV"/>
        </w:rPr>
        <w:t>2011</w:t>
      </w:r>
      <w:r w:rsidR="00C00E08" w:rsidRPr="009179E5">
        <w:rPr>
          <w:rFonts w:ascii="Times New Roman" w:hAnsi="Times New Roman"/>
          <w:color w:val="auto"/>
          <w:lang w:val="lv-LV"/>
        </w:rPr>
        <w:t>.</w:t>
      </w:r>
      <w:r w:rsidRPr="009179E5">
        <w:rPr>
          <w:rFonts w:ascii="Times New Roman" w:hAnsi="Times New Roman"/>
          <w:color w:val="auto"/>
          <w:lang w:val="lv-LV"/>
        </w:rPr>
        <w:t xml:space="preserve"> </w:t>
      </w:r>
      <w:r w:rsidR="00C00E08" w:rsidRPr="009179E5">
        <w:rPr>
          <w:rFonts w:ascii="Times New Roman" w:hAnsi="Times New Roman"/>
          <w:color w:val="auto"/>
          <w:lang w:val="lv-LV"/>
        </w:rPr>
        <w:t>–</w:t>
      </w:r>
      <w:r w:rsidRPr="009179E5">
        <w:rPr>
          <w:rFonts w:ascii="Times New Roman" w:hAnsi="Times New Roman"/>
          <w:color w:val="auto"/>
          <w:lang w:val="lv-LV"/>
        </w:rPr>
        <w:t xml:space="preserve"> 2013</w:t>
      </w:r>
      <w:bookmarkEnd w:id="0"/>
      <w:bookmarkEnd w:id="1"/>
      <w:r w:rsidR="00C00E08" w:rsidRPr="009179E5">
        <w:rPr>
          <w:rFonts w:ascii="Times New Roman" w:hAnsi="Times New Roman"/>
          <w:color w:val="auto"/>
          <w:lang w:val="lv-LV"/>
        </w:rPr>
        <w:t>.gadam</w:t>
      </w:r>
    </w:p>
    <w:p w:rsidR="005B5CDD" w:rsidRPr="009179E5" w:rsidRDefault="005B5CDD" w:rsidP="00574AC8">
      <w:pPr>
        <w:pStyle w:val="Title"/>
        <w:spacing w:before="120" w:after="120"/>
        <w:jc w:val="center"/>
        <w:rPr>
          <w:lang w:val="lv-LV"/>
        </w:rPr>
      </w:pPr>
    </w:p>
    <w:p w:rsidR="005B5CDD" w:rsidRPr="009179E5" w:rsidRDefault="005B5CDD" w:rsidP="00574AC8">
      <w:pPr>
        <w:pStyle w:val="Title"/>
        <w:spacing w:before="120" w:after="120"/>
        <w:jc w:val="center"/>
        <w:rPr>
          <w:sz w:val="40"/>
          <w:szCs w:val="40"/>
          <w:lang w:val="lv-LV"/>
        </w:rPr>
      </w:pPr>
    </w:p>
    <w:p w:rsidR="005B5CDD" w:rsidRPr="009179E5" w:rsidRDefault="005B5CDD" w:rsidP="00574AC8">
      <w:pPr>
        <w:pStyle w:val="Title"/>
        <w:spacing w:before="120" w:after="120"/>
        <w:jc w:val="center"/>
        <w:rPr>
          <w:sz w:val="40"/>
          <w:szCs w:val="40"/>
          <w:lang w:val="lv-LV"/>
        </w:rPr>
      </w:pPr>
    </w:p>
    <w:p w:rsidR="005B5CDD" w:rsidRPr="009179E5" w:rsidRDefault="005B5CDD" w:rsidP="00574AC8">
      <w:pPr>
        <w:pStyle w:val="Title"/>
        <w:spacing w:before="120" w:after="120"/>
        <w:jc w:val="center"/>
        <w:rPr>
          <w:sz w:val="40"/>
          <w:szCs w:val="40"/>
          <w:lang w:val="lv-LV"/>
        </w:rPr>
      </w:pPr>
    </w:p>
    <w:p w:rsidR="005B5CDD" w:rsidRPr="009179E5" w:rsidRDefault="005B5CDD" w:rsidP="00574AC8">
      <w:pPr>
        <w:pStyle w:val="Title"/>
        <w:spacing w:before="120" w:after="120"/>
        <w:jc w:val="center"/>
        <w:rPr>
          <w:sz w:val="40"/>
          <w:szCs w:val="40"/>
          <w:lang w:val="lv-LV"/>
        </w:rPr>
      </w:pPr>
    </w:p>
    <w:p w:rsidR="005B5CDD" w:rsidRPr="009179E5" w:rsidRDefault="005B5CDD" w:rsidP="00574AC8">
      <w:pPr>
        <w:pStyle w:val="Title"/>
        <w:spacing w:before="120" w:after="120"/>
        <w:jc w:val="center"/>
        <w:rPr>
          <w:sz w:val="40"/>
          <w:szCs w:val="40"/>
          <w:lang w:val="lv-LV"/>
        </w:rPr>
      </w:pPr>
    </w:p>
    <w:p w:rsidR="005B5CDD" w:rsidRPr="009179E5" w:rsidRDefault="005B5CDD" w:rsidP="00574AC8">
      <w:pPr>
        <w:pStyle w:val="Title"/>
        <w:spacing w:before="120" w:after="120"/>
        <w:jc w:val="center"/>
        <w:rPr>
          <w:sz w:val="40"/>
          <w:szCs w:val="40"/>
          <w:lang w:val="lv-LV"/>
        </w:rPr>
      </w:pPr>
    </w:p>
    <w:p w:rsidR="005B5CDD" w:rsidRPr="009179E5" w:rsidRDefault="005B5CDD" w:rsidP="00574AC8">
      <w:pPr>
        <w:pStyle w:val="Title"/>
        <w:spacing w:before="120" w:after="120"/>
        <w:jc w:val="center"/>
        <w:rPr>
          <w:sz w:val="40"/>
          <w:szCs w:val="40"/>
          <w:lang w:val="lv-LV"/>
        </w:rPr>
      </w:pPr>
    </w:p>
    <w:p w:rsidR="005B5CDD" w:rsidRPr="009179E5" w:rsidRDefault="005B5CDD" w:rsidP="00574AC8">
      <w:pPr>
        <w:pStyle w:val="Title"/>
        <w:spacing w:before="120" w:after="120"/>
        <w:jc w:val="center"/>
        <w:rPr>
          <w:sz w:val="40"/>
          <w:szCs w:val="40"/>
          <w:lang w:val="lv-LV"/>
        </w:rPr>
      </w:pPr>
    </w:p>
    <w:p w:rsidR="005B5CDD" w:rsidRPr="009179E5" w:rsidRDefault="005B5CDD" w:rsidP="00574AC8">
      <w:pPr>
        <w:pStyle w:val="Title"/>
        <w:spacing w:before="120" w:after="120"/>
        <w:jc w:val="center"/>
        <w:rPr>
          <w:sz w:val="40"/>
          <w:szCs w:val="40"/>
          <w:lang w:val="lv-LV"/>
        </w:rPr>
      </w:pPr>
    </w:p>
    <w:p w:rsidR="005B5CDD" w:rsidRPr="009179E5" w:rsidRDefault="005B5CDD" w:rsidP="00574AC8">
      <w:pPr>
        <w:pStyle w:val="Title"/>
        <w:spacing w:before="120" w:after="120"/>
        <w:jc w:val="center"/>
        <w:rPr>
          <w:sz w:val="40"/>
          <w:szCs w:val="40"/>
          <w:lang w:val="lv-LV"/>
        </w:rPr>
      </w:pPr>
    </w:p>
    <w:p w:rsidR="005B5CDD" w:rsidRPr="009179E5" w:rsidRDefault="005B5CDD" w:rsidP="00574AC8">
      <w:pPr>
        <w:pStyle w:val="Title"/>
        <w:spacing w:before="120" w:after="120"/>
        <w:jc w:val="center"/>
        <w:rPr>
          <w:sz w:val="40"/>
          <w:szCs w:val="40"/>
          <w:lang w:val="lv-LV"/>
        </w:rPr>
      </w:pPr>
    </w:p>
    <w:p w:rsidR="005B5CDD" w:rsidRPr="009179E5" w:rsidRDefault="005B5CDD" w:rsidP="00574AC8">
      <w:pPr>
        <w:pStyle w:val="Title"/>
        <w:spacing w:before="120" w:after="120"/>
        <w:jc w:val="center"/>
        <w:rPr>
          <w:sz w:val="40"/>
          <w:szCs w:val="40"/>
          <w:lang w:val="lv-LV"/>
        </w:rPr>
      </w:pPr>
    </w:p>
    <w:p w:rsidR="005B5CDD" w:rsidRPr="009179E5" w:rsidRDefault="005B5CDD" w:rsidP="00574AC8">
      <w:pPr>
        <w:pStyle w:val="Title"/>
        <w:spacing w:before="120" w:after="120"/>
        <w:jc w:val="center"/>
        <w:rPr>
          <w:sz w:val="40"/>
          <w:szCs w:val="40"/>
          <w:lang w:val="lv-LV"/>
        </w:rPr>
      </w:pPr>
    </w:p>
    <w:p w:rsidR="005B5CDD" w:rsidRPr="009179E5" w:rsidRDefault="005B5CDD" w:rsidP="00574AC8">
      <w:pPr>
        <w:pStyle w:val="Title"/>
        <w:spacing w:before="120" w:after="120"/>
        <w:jc w:val="center"/>
        <w:rPr>
          <w:sz w:val="40"/>
          <w:szCs w:val="40"/>
          <w:lang w:val="lv-LV"/>
        </w:rPr>
      </w:pPr>
    </w:p>
    <w:p w:rsidR="00B16EC2" w:rsidRPr="009179E5" w:rsidRDefault="005B5CDD" w:rsidP="00574AC8">
      <w:pPr>
        <w:pStyle w:val="Title"/>
        <w:spacing w:before="120" w:after="120"/>
        <w:jc w:val="center"/>
        <w:rPr>
          <w:rFonts w:ascii="Times New Roman" w:hAnsi="Times New Roman"/>
          <w:color w:val="auto"/>
          <w:sz w:val="40"/>
          <w:szCs w:val="40"/>
          <w:lang w:val="lv-LV"/>
        </w:rPr>
      </w:pPr>
      <w:r w:rsidRPr="009179E5">
        <w:rPr>
          <w:rFonts w:ascii="Times New Roman" w:hAnsi="Times New Roman"/>
          <w:color w:val="auto"/>
          <w:sz w:val="40"/>
          <w:szCs w:val="40"/>
          <w:lang w:val="lv-LV"/>
        </w:rPr>
        <w:t>Rīga, 2011</w:t>
      </w:r>
    </w:p>
    <w:p w:rsidR="00B16EC2" w:rsidRPr="009179E5" w:rsidRDefault="00B16EC2" w:rsidP="00574AC8">
      <w:pPr>
        <w:pStyle w:val="TOC1"/>
        <w:spacing w:before="120" w:after="120" w:line="240" w:lineRule="auto"/>
        <w:rPr>
          <w:sz w:val="20"/>
          <w:szCs w:val="20"/>
          <w:lang w:val="lv-LV"/>
        </w:rPr>
      </w:pPr>
      <w:r w:rsidRPr="009179E5">
        <w:rPr>
          <w:lang w:val="lv-LV"/>
        </w:rPr>
        <w:br w:type="page"/>
      </w:r>
      <w:r w:rsidR="00C2372C" w:rsidRPr="009179E5">
        <w:rPr>
          <w:b/>
          <w:sz w:val="28"/>
          <w:szCs w:val="28"/>
          <w:lang w:val="lv-LV"/>
        </w:rPr>
        <w:lastRenderedPageBreak/>
        <w:t>SATURS</w:t>
      </w:r>
    </w:p>
    <w:p w:rsidR="00BA4388" w:rsidRPr="003B66D9" w:rsidRDefault="00E86DD9">
      <w:pPr>
        <w:pStyle w:val="TOC4"/>
        <w:rPr>
          <w:rFonts w:asciiTheme="minorHAnsi" w:eastAsiaTheme="minorEastAsia" w:hAnsiTheme="minorHAnsi" w:cstheme="minorBidi"/>
          <w:noProof/>
          <w:sz w:val="22"/>
          <w:lang w:val="lv-LV" w:eastAsia="lv-LV"/>
        </w:rPr>
      </w:pPr>
      <w:r w:rsidRPr="009179E5">
        <w:rPr>
          <w:b/>
          <w:caps/>
          <w:szCs w:val="24"/>
          <w:lang w:val="lv-LV"/>
        </w:rPr>
        <w:fldChar w:fldCharType="begin"/>
      </w:r>
      <w:r w:rsidR="00217F5A" w:rsidRPr="009179E5">
        <w:rPr>
          <w:b/>
          <w:caps/>
          <w:szCs w:val="24"/>
          <w:lang w:val="lv-LV"/>
        </w:rPr>
        <w:instrText xml:space="preserve"> TOC \o "1-4" \h \z \u </w:instrText>
      </w:r>
      <w:r w:rsidRPr="009179E5">
        <w:rPr>
          <w:b/>
          <w:caps/>
          <w:szCs w:val="24"/>
          <w:lang w:val="lv-LV"/>
        </w:rPr>
        <w:fldChar w:fldCharType="separate"/>
      </w:r>
      <w:hyperlink w:anchor="_Toc300320552" w:history="1">
        <w:r w:rsidR="00BA4388" w:rsidRPr="003B66D9">
          <w:rPr>
            <w:rStyle w:val="Hyperlink"/>
            <w:b/>
            <w:noProof/>
            <w:lang w:val="lv-LV"/>
          </w:rPr>
          <w:t>Abreviatūru saraksts un saīsinājumi</w:t>
        </w:r>
        <w:r w:rsidR="00BA4388" w:rsidRPr="003B66D9">
          <w:rPr>
            <w:noProof/>
            <w:webHidden/>
          </w:rPr>
          <w:tab/>
        </w:r>
        <w:r w:rsidRPr="003B66D9">
          <w:rPr>
            <w:noProof/>
            <w:webHidden/>
          </w:rPr>
          <w:fldChar w:fldCharType="begin"/>
        </w:r>
        <w:r w:rsidR="00BA4388" w:rsidRPr="003B66D9">
          <w:rPr>
            <w:noProof/>
            <w:webHidden/>
          </w:rPr>
          <w:instrText xml:space="preserve"> PAGEREF _Toc300320552 \h </w:instrText>
        </w:r>
        <w:r w:rsidRPr="003B66D9">
          <w:rPr>
            <w:noProof/>
            <w:webHidden/>
          </w:rPr>
        </w:r>
        <w:r w:rsidRPr="003B66D9">
          <w:rPr>
            <w:noProof/>
            <w:webHidden/>
          </w:rPr>
          <w:fldChar w:fldCharType="separate"/>
        </w:r>
        <w:r w:rsidR="00807598">
          <w:rPr>
            <w:noProof/>
            <w:webHidden/>
          </w:rPr>
          <w:t>4</w:t>
        </w:r>
        <w:r w:rsidRPr="003B66D9">
          <w:rPr>
            <w:noProof/>
            <w:webHidden/>
          </w:rPr>
          <w:fldChar w:fldCharType="end"/>
        </w:r>
      </w:hyperlink>
    </w:p>
    <w:p w:rsidR="00BA4388" w:rsidRPr="003B66D9" w:rsidRDefault="00E86DD9">
      <w:pPr>
        <w:pStyle w:val="TOC4"/>
        <w:rPr>
          <w:rFonts w:asciiTheme="minorHAnsi" w:eastAsiaTheme="minorEastAsia" w:hAnsiTheme="minorHAnsi" w:cstheme="minorBidi"/>
          <w:noProof/>
          <w:sz w:val="22"/>
          <w:lang w:val="lv-LV" w:eastAsia="lv-LV"/>
        </w:rPr>
      </w:pPr>
      <w:hyperlink w:anchor="_Toc300320553" w:history="1">
        <w:r w:rsidR="00BA4388" w:rsidRPr="003B66D9">
          <w:rPr>
            <w:rStyle w:val="Hyperlink"/>
            <w:b/>
            <w:noProof/>
            <w:lang w:val="lv-LV"/>
          </w:rPr>
          <w:t>IEVADS</w:t>
        </w:r>
        <w:r w:rsidR="00BA4388" w:rsidRPr="003B66D9">
          <w:rPr>
            <w:noProof/>
            <w:webHidden/>
          </w:rPr>
          <w:tab/>
        </w:r>
        <w:r w:rsidRPr="003B66D9">
          <w:rPr>
            <w:noProof/>
            <w:webHidden/>
          </w:rPr>
          <w:fldChar w:fldCharType="begin"/>
        </w:r>
        <w:r w:rsidR="00BA4388" w:rsidRPr="003B66D9">
          <w:rPr>
            <w:noProof/>
            <w:webHidden/>
          </w:rPr>
          <w:instrText xml:space="preserve"> PAGEREF _Toc300320553 \h </w:instrText>
        </w:r>
        <w:r w:rsidRPr="003B66D9">
          <w:rPr>
            <w:noProof/>
            <w:webHidden/>
          </w:rPr>
        </w:r>
        <w:r w:rsidRPr="003B66D9">
          <w:rPr>
            <w:noProof/>
            <w:webHidden/>
          </w:rPr>
          <w:fldChar w:fldCharType="separate"/>
        </w:r>
        <w:r w:rsidR="00807598">
          <w:rPr>
            <w:noProof/>
            <w:webHidden/>
          </w:rPr>
          <w:t>5</w:t>
        </w:r>
        <w:r w:rsidRPr="003B66D9">
          <w:rPr>
            <w:noProof/>
            <w:webHidden/>
          </w:rPr>
          <w:fldChar w:fldCharType="end"/>
        </w:r>
      </w:hyperlink>
    </w:p>
    <w:p w:rsidR="00BA4388" w:rsidRPr="003B66D9" w:rsidRDefault="00E86DD9">
      <w:pPr>
        <w:pStyle w:val="TOC4"/>
        <w:rPr>
          <w:rFonts w:asciiTheme="minorHAnsi" w:eastAsiaTheme="minorEastAsia" w:hAnsiTheme="minorHAnsi" w:cstheme="minorBidi"/>
          <w:noProof/>
          <w:sz w:val="22"/>
          <w:lang w:val="lv-LV" w:eastAsia="lv-LV"/>
        </w:rPr>
      </w:pPr>
      <w:hyperlink w:anchor="_Toc300320554" w:history="1">
        <w:r w:rsidR="00BA4388" w:rsidRPr="003B66D9">
          <w:rPr>
            <w:rStyle w:val="Hyperlink"/>
            <w:rFonts w:ascii="Times New Roman Bold" w:hAnsi="Times New Roman Bold"/>
            <w:b/>
            <w:caps/>
            <w:noProof/>
            <w:lang w:val="lv-LV"/>
          </w:rPr>
          <w:t>1.</w:t>
        </w:r>
        <w:r w:rsidR="00BA4388" w:rsidRPr="003B66D9">
          <w:rPr>
            <w:rFonts w:asciiTheme="minorHAnsi" w:eastAsiaTheme="minorEastAsia" w:hAnsiTheme="minorHAnsi" w:cstheme="minorBidi"/>
            <w:noProof/>
            <w:sz w:val="22"/>
            <w:lang w:val="lv-LV" w:eastAsia="lv-LV"/>
          </w:rPr>
          <w:tab/>
        </w:r>
        <w:r w:rsidR="00BA4388" w:rsidRPr="003B66D9">
          <w:rPr>
            <w:rStyle w:val="Hyperlink"/>
            <w:rFonts w:ascii="Times New Roman Bold" w:hAnsi="Times New Roman Bold"/>
            <w:b/>
            <w:caps/>
            <w:noProof/>
            <w:lang w:val="lv-LV"/>
          </w:rPr>
          <w:t>VISPĀRĪGS LatvijAS SITUĀCIJAS RAKSTUROJUMS</w:t>
        </w:r>
        <w:r w:rsidR="00BA4388" w:rsidRPr="003B66D9">
          <w:rPr>
            <w:noProof/>
            <w:webHidden/>
          </w:rPr>
          <w:tab/>
        </w:r>
        <w:r w:rsidRPr="003B66D9">
          <w:rPr>
            <w:noProof/>
            <w:webHidden/>
          </w:rPr>
          <w:fldChar w:fldCharType="begin"/>
        </w:r>
        <w:r w:rsidR="00BA4388" w:rsidRPr="003B66D9">
          <w:rPr>
            <w:noProof/>
            <w:webHidden/>
          </w:rPr>
          <w:instrText xml:space="preserve"> PAGEREF _Toc300320554 \h </w:instrText>
        </w:r>
        <w:r w:rsidRPr="003B66D9">
          <w:rPr>
            <w:noProof/>
            <w:webHidden/>
          </w:rPr>
        </w:r>
        <w:r w:rsidRPr="003B66D9">
          <w:rPr>
            <w:noProof/>
            <w:webHidden/>
          </w:rPr>
          <w:fldChar w:fldCharType="separate"/>
        </w:r>
        <w:r w:rsidR="00807598">
          <w:rPr>
            <w:noProof/>
            <w:webHidden/>
          </w:rPr>
          <w:t>5</w:t>
        </w:r>
        <w:r w:rsidRPr="003B66D9">
          <w:rPr>
            <w:noProof/>
            <w:webHidden/>
          </w:rPr>
          <w:fldChar w:fldCharType="end"/>
        </w:r>
      </w:hyperlink>
    </w:p>
    <w:p w:rsidR="00BA4388" w:rsidRPr="003B66D9" w:rsidRDefault="00E86DD9">
      <w:pPr>
        <w:pStyle w:val="TOC4"/>
        <w:rPr>
          <w:rFonts w:asciiTheme="minorHAnsi" w:eastAsiaTheme="minorEastAsia" w:hAnsiTheme="minorHAnsi" w:cstheme="minorBidi"/>
          <w:noProof/>
          <w:sz w:val="22"/>
          <w:lang w:val="lv-LV" w:eastAsia="lv-LV"/>
        </w:rPr>
      </w:pPr>
      <w:hyperlink w:anchor="_Toc300320555" w:history="1">
        <w:r w:rsidR="00BA4388" w:rsidRPr="003B66D9">
          <w:rPr>
            <w:rStyle w:val="Hyperlink"/>
            <w:rFonts w:ascii="Times New Roman Bold" w:hAnsi="Times New Roman Bold"/>
            <w:b/>
            <w:caps/>
            <w:noProof/>
            <w:lang w:val="lv-LV"/>
          </w:rPr>
          <w:t>1.1. Esošās situācijas apraksts</w:t>
        </w:r>
        <w:r w:rsidR="00BA4388" w:rsidRPr="003B66D9">
          <w:rPr>
            <w:noProof/>
            <w:webHidden/>
          </w:rPr>
          <w:tab/>
        </w:r>
        <w:r w:rsidRPr="003B66D9">
          <w:rPr>
            <w:noProof/>
            <w:webHidden/>
          </w:rPr>
          <w:fldChar w:fldCharType="begin"/>
        </w:r>
        <w:r w:rsidR="00BA4388" w:rsidRPr="003B66D9">
          <w:rPr>
            <w:noProof/>
            <w:webHidden/>
          </w:rPr>
          <w:instrText xml:space="preserve"> PAGEREF _Toc300320555 \h </w:instrText>
        </w:r>
        <w:r w:rsidRPr="003B66D9">
          <w:rPr>
            <w:noProof/>
            <w:webHidden/>
          </w:rPr>
        </w:r>
        <w:r w:rsidRPr="003B66D9">
          <w:rPr>
            <w:noProof/>
            <w:webHidden/>
          </w:rPr>
          <w:fldChar w:fldCharType="separate"/>
        </w:r>
        <w:r w:rsidR="00807598">
          <w:rPr>
            <w:noProof/>
            <w:webHidden/>
          </w:rPr>
          <w:t>5</w:t>
        </w:r>
        <w:r w:rsidRPr="003B66D9">
          <w:rPr>
            <w:noProof/>
            <w:webHidden/>
          </w:rPr>
          <w:fldChar w:fldCharType="end"/>
        </w:r>
      </w:hyperlink>
    </w:p>
    <w:p w:rsidR="00BA4388" w:rsidRPr="003B66D9" w:rsidRDefault="00E86DD9">
      <w:pPr>
        <w:pStyle w:val="TOC4"/>
        <w:rPr>
          <w:rFonts w:asciiTheme="minorHAnsi" w:eastAsiaTheme="minorEastAsia" w:hAnsiTheme="minorHAnsi" w:cstheme="minorBidi"/>
          <w:noProof/>
          <w:sz w:val="22"/>
          <w:lang w:val="lv-LV" w:eastAsia="lv-LV"/>
        </w:rPr>
      </w:pPr>
      <w:hyperlink w:anchor="_Toc300320556" w:history="1">
        <w:r w:rsidR="00BA4388" w:rsidRPr="003B66D9">
          <w:rPr>
            <w:rStyle w:val="Hyperlink"/>
            <w:rFonts w:ascii="Times New Roman Bold" w:hAnsi="Times New Roman Bold"/>
            <w:b/>
            <w:caps/>
            <w:noProof/>
            <w:lang w:val="lv-LV"/>
          </w:rPr>
          <w:t>1.2. enerģijas ietaupījuma mērķa 2010.gadam sasniegšanas pārskats galapatēriņa sektoros</w:t>
        </w:r>
        <w:r w:rsidR="00BA4388" w:rsidRPr="003B66D9">
          <w:rPr>
            <w:noProof/>
            <w:webHidden/>
          </w:rPr>
          <w:tab/>
        </w:r>
        <w:r w:rsidRPr="003B66D9">
          <w:rPr>
            <w:noProof/>
            <w:webHidden/>
          </w:rPr>
          <w:fldChar w:fldCharType="begin"/>
        </w:r>
        <w:r w:rsidR="00BA4388" w:rsidRPr="003B66D9">
          <w:rPr>
            <w:noProof/>
            <w:webHidden/>
          </w:rPr>
          <w:instrText xml:space="preserve"> PAGEREF _Toc300320556 \h </w:instrText>
        </w:r>
        <w:r w:rsidRPr="003B66D9">
          <w:rPr>
            <w:noProof/>
            <w:webHidden/>
          </w:rPr>
        </w:r>
        <w:r w:rsidRPr="003B66D9">
          <w:rPr>
            <w:noProof/>
            <w:webHidden/>
          </w:rPr>
          <w:fldChar w:fldCharType="separate"/>
        </w:r>
        <w:r w:rsidR="00807598">
          <w:rPr>
            <w:noProof/>
            <w:webHidden/>
          </w:rPr>
          <w:t>12</w:t>
        </w:r>
        <w:r w:rsidRPr="003B66D9">
          <w:rPr>
            <w:noProof/>
            <w:webHidden/>
          </w:rPr>
          <w:fldChar w:fldCharType="end"/>
        </w:r>
      </w:hyperlink>
    </w:p>
    <w:p w:rsidR="00BA4388" w:rsidRPr="003B66D9" w:rsidRDefault="00E86DD9">
      <w:pPr>
        <w:pStyle w:val="TOC4"/>
        <w:rPr>
          <w:rFonts w:asciiTheme="minorHAnsi" w:eastAsiaTheme="minorEastAsia" w:hAnsiTheme="minorHAnsi" w:cstheme="minorBidi"/>
          <w:noProof/>
          <w:sz w:val="22"/>
          <w:lang w:val="lv-LV" w:eastAsia="lv-LV"/>
        </w:rPr>
      </w:pPr>
      <w:hyperlink w:anchor="_Toc300320557" w:history="1">
        <w:r w:rsidR="00BA4388" w:rsidRPr="003B66D9">
          <w:rPr>
            <w:rStyle w:val="Hyperlink"/>
            <w:rFonts w:ascii="Times New Roman Bold" w:hAnsi="Times New Roman Bold"/>
            <w:b/>
            <w:caps/>
            <w:noProof/>
            <w:lang w:val="lv-LV"/>
          </w:rPr>
          <w:t>2.1. Pasākumi primārās enerģijas ietaupījumu sasniegšanai (vispārīgs apraksts)</w:t>
        </w:r>
        <w:r w:rsidR="00BA4388" w:rsidRPr="003B66D9">
          <w:rPr>
            <w:noProof/>
            <w:webHidden/>
          </w:rPr>
          <w:tab/>
        </w:r>
        <w:r w:rsidRPr="003B66D9">
          <w:rPr>
            <w:noProof/>
            <w:webHidden/>
          </w:rPr>
          <w:fldChar w:fldCharType="begin"/>
        </w:r>
        <w:r w:rsidR="00BA4388" w:rsidRPr="003B66D9">
          <w:rPr>
            <w:noProof/>
            <w:webHidden/>
          </w:rPr>
          <w:instrText xml:space="preserve"> PAGEREF _Toc300320557 \h </w:instrText>
        </w:r>
        <w:r w:rsidRPr="003B66D9">
          <w:rPr>
            <w:noProof/>
            <w:webHidden/>
          </w:rPr>
        </w:r>
        <w:r w:rsidRPr="003B66D9">
          <w:rPr>
            <w:noProof/>
            <w:webHidden/>
          </w:rPr>
          <w:fldChar w:fldCharType="separate"/>
        </w:r>
        <w:r w:rsidR="00807598">
          <w:rPr>
            <w:noProof/>
            <w:webHidden/>
          </w:rPr>
          <w:t>19</w:t>
        </w:r>
        <w:r w:rsidRPr="003B66D9">
          <w:rPr>
            <w:noProof/>
            <w:webHidden/>
          </w:rPr>
          <w:fldChar w:fldCharType="end"/>
        </w:r>
      </w:hyperlink>
    </w:p>
    <w:p w:rsidR="00BA4388" w:rsidRPr="003B66D9" w:rsidRDefault="00E86DD9">
      <w:pPr>
        <w:pStyle w:val="TOC4"/>
        <w:rPr>
          <w:rFonts w:asciiTheme="minorHAnsi" w:eastAsiaTheme="minorEastAsia" w:hAnsiTheme="minorHAnsi" w:cstheme="minorBidi"/>
          <w:noProof/>
          <w:sz w:val="22"/>
          <w:lang w:val="lv-LV" w:eastAsia="lv-LV"/>
        </w:rPr>
      </w:pPr>
      <w:hyperlink w:anchor="_Toc300320558" w:history="1">
        <w:r w:rsidR="00BA4388" w:rsidRPr="003B66D9">
          <w:rPr>
            <w:rStyle w:val="Hyperlink"/>
            <w:rFonts w:ascii="Times New Roman Bold" w:hAnsi="Times New Roman Bold"/>
            <w:b/>
            <w:caps/>
            <w:noProof/>
            <w:lang w:val="lv-LV"/>
          </w:rPr>
          <w:t>2.2. ENERGOEFEKTIVITĀTES PASĀKUMI CENTRALIZĒTAJĀ SILTUMAPGĀDĒ</w:t>
        </w:r>
        <w:r w:rsidR="00BA4388" w:rsidRPr="003B66D9">
          <w:rPr>
            <w:noProof/>
            <w:webHidden/>
          </w:rPr>
          <w:tab/>
        </w:r>
        <w:r w:rsidRPr="003B66D9">
          <w:rPr>
            <w:noProof/>
            <w:webHidden/>
          </w:rPr>
          <w:fldChar w:fldCharType="begin"/>
        </w:r>
        <w:r w:rsidR="00BA4388" w:rsidRPr="003B66D9">
          <w:rPr>
            <w:noProof/>
            <w:webHidden/>
          </w:rPr>
          <w:instrText xml:space="preserve"> PAGEREF _Toc300320558 \h </w:instrText>
        </w:r>
        <w:r w:rsidRPr="003B66D9">
          <w:rPr>
            <w:noProof/>
            <w:webHidden/>
          </w:rPr>
        </w:r>
        <w:r w:rsidRPr="003B66D9">
          <w:rPr>
            <w:noProof/>
            <w:webHidden/>
          </w:rPr>
          <w:fldChar w:fldCharType="separate"/>
        </w:r>
        <w:r w:rsidR="00807598">
          <w:rPr>
            <w:noProof/>
            <w:webHidden/>
          </w:rPr>
          <w:t>19</w:t>
        </w:r>
        <w:r w:rsidRPr="003B66D9">
          <w:rPr>
            <w:noProof/>
            <w:webHidden/>
          </w:rPr>
          <w:fldChar w:fldCharType="end"/>
        </w:r>
      </w:hyperlink>
    </w:p>
    <w:p w:rsidR="00BA4388" w:rsidRPr="003B66D9" w:rsidRDefault="00E86DD9">
      <w:pPr>
        <w:pStyle w:val="TOC4"/>
        <w:rPr>
          <w:rFonts w:asciiTheme="minorHAnsi" w:eastAsiaTheme="minorEastAsia" w:hAnsiTheme="minorHAnsi" w:cstheme="minorBidi"/>
          <w:noProof/>
          <w:sz w:val="22"/>
          <w:lang w:val="lv-LV" w:eastAsia="lv-LV"/>
        </w:rPr>
      </w:pPr>
      <w:hyperlink w:anchor="_Toc300320559" w:history="1">
        <w:r w:rsidR="00BA4388" w:rsidRPr="003B66D9">
          <w:rPr>
            <w:rStyle w:val="Hyperlink"/>
            <w:rFonts w:ascii="Times New Roman Bold" w:hAnsi="Times New Roman Bold"/>
            <w:b/>
            <w:caps/>
            <w:noProof/>
            <w:lang w:val="lv-LV"/>
          </w:rPr>
          <w:t>2.3. ENERGOEFEKTIVITĀTES PAAUGSTINĀŠANAS PASĀKUMI ELEKTROENERĢIJAS RAŽOŠANĀ</w:t>
        </w:r>
        <w:r w:rsidR="00BA4388" w:rsidRPr="003B66D9">
          <w:rPr>
            <w:noProof/>
            <w:webHidden/>
          </w:rPr>
          <w:tab/>
        </w:r>
        <w:r w:rsidRPr="003B66D9">
          <w:rPr>
            <w:noProof/>
            <w:webHidden/>
          </w:rPr>
          <w:fldChar w:fldCharType="begin"/>
        </w:r>
        <w:r w:rsidR="00BA4388" w:rsidRPr="003B66D9">
          <w:rPr>
            <w:noProof/>
            <w:webHidden/>
          </w:rPr>
          <w:instrText xml:space="preserve"> PAGEREF _Toc300320559 \h </w:instrText>
        </w:r>
        <w:r w:rsidRPr="003B66D9">
          <w:rPr>
            <w:noProof/>
            <w:webHidden/>
          </w:rPr>
        </w:r>
        <w:r w:rsidRPr="003B66D9">
          <w:rPr>
            <w:noProof/>
            <w:webHidden/>
          </w:rPr>
          <w:fldChar w:fldCharType="separate"/>
        </w:r>
        <w:r w:rsidR="00807598">
          <w:rPr>
            <w:noProof/>
            <w:webHidden/>
          </w:rPr>
          <w:t>23</w:t>
        </w:r>
        <w:r w:rsidRPr="003B66D9">
          <w:rPr>
            <w:noProof/>
            <w:webHidden/>
          </w:rPr>
          <w:fldChar w:fldCharType="end"/>
        </w:r>
      </w:hyperlink>
    </w:p>
    <w:p w:rsidR="00BA4388" w:rsidRPr="003B66D9" w:rsidRDefault="00E86DD9">
      <w:pPr>
        <w:pStyle w:val="TOC4"/>
        <w:rPr>
          <w:rFonts w:asciiTheme="minorHAnsi" w:eastAsiaTheme="minorEastAsia" w:hAnsiTheme="minorHAnsi" w:cstheme="minorBidi"/>
          <w:noProof/>
          <w:sz w:val="22"/>
          <w:lang w:val="lv-LV" w:eastAsia="lv-LV"/>
        </w:rPr>
      </w:pPr>
      <w:hyperlink w:anchor="_Toc300320560" w:history="1">
        <w:r w:rsidR="00BA4388" w:rsidRPr="003B66D9">
          <w:rPr>
            <w:rStyle w:val="Hyperlink"/>
            <w:rFonts w:ascii="Times New Roman Bold" w:hAnsi="Times New Roman Bold"/>
            <w:b/>
            <w:caps/>
            <w:noProof/>
            <w:lang w:val="lv-LV"/>
          </w:rPr>
          <w:t>2.3.1. PASĀKUMI DAUGAVAS HIDROELEKTROSTACIJĀS</w:t>
        </w:r>
        <w:r w:rsidR="00BA4388" w:rsidRPr="003B66D9">
          <w:rPr>
            <w:noProof/>
            <w:webHidden/>
          </w:rPr>
          <w:tab/>
        </w:r>
        <w:r w:rsidRPr="003B66D9">
          <w:rPr>
            <w:noProof/>
            <w:webHidden/>
          </w:rPr>
          <w:fldChar w:fldCharType="begin"/>
        </w:r>
        <w:r w:rsidR="00BA4388" w:rsidRPr="003B66D9">
          <w:rPr>
            <w:noProof/>
            <w:webHidden/>
          </w:rPr>
          <w:instrText xml:space="preserve"> PAGEREF _Toc300320560 \h </w:instrText>
        </w:r>
        <w:r w:rsidRPr="003B66D9">
          <w:rPr>
            <w:noProof/>
            <w:webHidden/>
          </w:rPr>
        </w:r>
        <w:r w:rsidRPr="003B66D9">
          <w:rPr>
            <w:noProof/>
            <w:webHidden/>
          </w:rPr>
          <w:fldChar w:fldCharType="separate"/>
        </w:r>
        <w:r w:rsidR="00807598">
          <w:rPr>
            <w:noProof/>
            <w:webHidden/>
          </w:rPr>
          <w:t>23</w:t>
        </w:r>
        <w:r w:rsidRPr="003B66D9">
          <w:rPr>
            <w:noProof/>
            <w:webHidden/>
          </w:rPr>
          <w:fldChar w:fldCharType="end"/>
        </w:r>
      </w:hyperlink>
    </w:p>
    <w:p w:rsidR="00BA4388" w:rsidRPr="003B66D9" w:rsidRDefault="00E86DD9">
      <w:pPr>
        <w:pStyle w:val="TOC4"/>
        <w:rPr>
          <w:rFonts w:asciiTheme="minorHAnsi" w:eastAsiaTheme="minorEastAsia" w:hAnsiTheme="minorHAnsi" w:cstheme="minorBidi"/>
          <w:noProof/>
          <w:sz w:val="22"/>
          <w:lang w:val="lv-LV" w:eastAsia="lv-LV"/>
        </w:rPr>
      </w:pPr>
      <w:hyperlink w:anchor="_Toc300320561" w:history="1">
        <w:r w:rsidR="00BA4388" w:rsidRPr="003B66D9">
          <w:rPr>
            <w:rStyle w:val="Hyperlink"/>
            <w:rFonts w:ascii="Times New Roman Bold" w:hAnsi="Times New Roman Bold"/>
            <w:b/>
            <w:caps/>
            <w:noProof/>
            <w:lang w:val="lv-LV"/>
          </w:rPr>
          <w:t>2.3.2. RĪGAS TEC-1 REKONSTRUKCIJA</w:t>
        </w:r>
        <w:r w:rsidR="00BA4388" w:rsidRPr="003B66D9">
          <w:rPr>
            <w:noProof/>
            <w:webHidden/>
          </w:rPr>
          <w:tab/>
        </w:r>
        <w:r w:rsidRPr="003B66D9">
          <w:rPr>
            <w:noProof/>
            <w:webHidden/>
          </w:rPr>
          <w:fldChar w:fldCharType="begin"/>
        </w:r>
        <w:r w:rsidR="00BA4388" w:rsidRPr="003B66D9">
          <w:rPr>
            <w:noProof/>
            <w:webHidden/>
          </w:rPr>
          <w:instrText xml:space="preserve"> PAGEREF _Toc300320561 \h </w:instrText>
        </w:r>
        <w:r w:rsidRPr="003B66D9">
          <w:rPr>
            <w:noProof/>
            <w:webHidden/>
          </w:rPr>
        </w:r>
        <w:r w:rsidRPr="003B66D9">
          <w:rPr>
            <w:noProof/>
            <w:webHidden/>
          </w:rPr>
          <w:fldChar w:fldCharType="separate"/>
        </w:r>
        <w:r w:rsidR="00807598">
          <w:rPr>
            <w:noProof/>
            <w:webHidden/>
          </w:rPr>
          <w:t>24</w:t>
        </w:r>
        <w:r w:rsidRPr="003B66D9">
          <w:rPr>
            <w:noProof/>
            <w:webHidden/>
          </w:rPr>
          <w:fldChar w:fldCharType="end"/>
        </w:r>
      </w:hyperlink>
    </w:p>
    <w:p w:rsidR="00BA4388" w:rsidRPr="003B66D9" w:rsidRDefault="00E86DD9">
      <w:pPr>
        <w:pStyle w:val="TOC4"/>
        <w:rPr>
          <w:rFonts w:asciiTheme="minorHAnsi" w:eastAsiaTheme="minorEastAsia" w:hAnsiTheme="minorHAnsi" w:cstheme="minorBidi"/>
          <w:noProof/>
          <w:sz w:val="22"/>
          <w:lang w:val="lv-LV" w:eastAsia="lv-LV"/>
        </w:rPr>
      </w:pPr>
      <w:hyperlink w:anchor="_Toc300320562" w:history="1">
        <w:r w:rsidR="00BA4388" w:rsidRPr="003B66D9">
          <w:rPr>
            <w:rStyle w:val="Hyperlink"/>
            <w:rFonts w:ascii="Times New Roman Bold" w:hAnsi="Times New Roman Bold"/>
            <w:b/>
            <w:caps/>
            <w:noProof/>
            <w:lang w:val="lv-LV"/>
          </w:rPr>
          <w:t>2.3.3. RĪGAS TEC-2 REKONSTRUKCIJA</w:t>
        </w:r>
        <w:r w:rsidR="00BA4388" w:rsidRPr="003B66D9">
          <w:rPr>
            <w:noProof/>
            <w:webHidden/>
          </w:rPr>
          <w:tab/>
        </w:r>
        <w:r w:rsidRPr="003B66D9">
          <w:rPr>
            <w:noProof/>
            <w:webHidden/>
          </w:rPr>
          <w:fldChar w:fldCharType="begin"/>
        </w:r>
        <w:r w:rsidR="00BA4388" w:rsidRPr="003B66D9">
          <w:rPr>
            <w:noProof/>
            <w:webHidden/>
          </w:rPr>
          <w:instrText xml:space="preserve"> PAGEREF _Toc300320562 \h </w:instrText>
        </w:r>
        <w:r w:rsidRPr="003B66D9">
          <w:rPr>
            <w:noProof/>
            <w:webHidden/>
          </w:rPr>
        </w:r>
        <w:r w:rsidRPr="003B66D9">
          <w:rPr>
            <w:noProof/>
            <w:webHidden/>
          </w:rPr>
          <w:fldChar w:fldCharType="separate"/>
        </w:r>
        <w:r w:rsidR="00807598">
          <w:rPr>
            <w:noProof/>
            <w:webHidden/>
          </w:rPr>
          <w:t>25</w:t>
        </w:r>
        <w:r w:rsidRPr="003B66D9">
          <w:rPr>
            <w:noProof/>
            <w:webHidden/>
          </w:rPr>
          <w:fldChar w:fldCharType="end"/>
        </w:r>
      </w:hyperlink>
    </w:p>
    <w:p w:rsidR="00BA4388" w:rsidRPr="003B66D9" w:rsidRDefault="00E86DD9">
      <w:pPr>
        <w:pStyle w:val="TOC4"/>
        <w:rPr>
          <w:rFonts w:asciiTheme="minorHAnsi" w:eastAsiaTheme="minorEastAsia" w:hAnsiTheme="minorHAnsi" w:cstheme="minorBidi"/>
          <w:noProof/>
          <w:sz w:val="22"/>
          <w:lang w:val="lv-LV" w:eastAsia="lv-LV"/>
        </w:rPr>
      </w:pPr>
      <w:hyperlink w:anchor="_Toc300320563" w:history="1">
        <w:r w:rsidR="00BA4388" w:rsidRPr="003B66D9">
          <w:rPr>
            <w:rStyle w:val="Hyperlink"/>
            <w:rFonts w:ascii="Times New Roman Bold" w:hAnsi="Times New Roman Bold"/>
            <w:b/>
            <w:caps/>
            <w:noProof/>
            <w:lang w:val="lv-LV"/>
          </w:rPr>
          <w:t>2.3.4. RĪGAS TERMOELEKTROSTACIJU pRIMĀRO eNERGORESURSU EKONOMIJAS NOVĒRTĒJUMS</w:t>
        </w:r>
        <w:r w:rsidR="00BA4388" w:rsidRPr="003B66D9">
          <w:rPr>
            <w:noProof/>
            <w:webHidden/>
          </w:rPr>
          <w:tab/>
        </w:r>
        <w:r w:rsidRPr="003B66D9">
          <w:rPr>
            <w:noProof/>
            <w:webHidden/>
          </w:rPr>
          <w:fldChar w:fldCharType="begin"/>
        </w:r>
        <w:r w:rsidR="00BA4388" w:rsidRPr="003B66D9">
          <w:rPr>
            <w:noProof/>
            <w:webHidden/>
          </w:rPr>
          <w:instrText xml:space="preserve"> PAGEREF _Toc300320563 \h </w:instrText>
        </w:r>
        <w:r w:rsidRPr="003B66D9">
          <w:rPr>
            <w:noProof/>
            <w:webHidden/>
          </w:rPr>
        </w:r>
        <w:r w:rsidRPr="003B66D9">
          <w:rPr>
            <w:noProof/>
            <w:webHidden/>
          </w:rPr>
          <w:fldChar w:fldCharType="separate"/>
        </w:r>
        <w:r w:rsidR="00807598">
          <w:rPr>
            <w:noProof/>
            <w:webHidden/>
          </w:rPr>
          <w:t>26</w:t>
        </w:r>
        <w:r w:rsidRPr="003B66D9">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64" w:history="1">
        <w:r w:rsidR="00BA4388" w:rsidRPr="003B66D9">
          <w:rPr>
            <w:rStyle w:val="Hyperlink"/>
            <w:rFonts w:ascii="Times New Roman Bold" w:hAnsi="Times New Roman Bold"/>
            <w:b/>
            <w:caps/>
            <w:noProof/>
            <w:lang w:val="lv-LV"/>
          </w:rPr>
          <w:t>2.3.5. atbalsts koģenerācijas attīstībai</w:t>
        </w:r>
        <w:r w:rsidR="00BA4388" w:rsidRPr="003B66D9">
          <w:rPr>
            <w:noProof/>
            <w:webHidden/>
          </w:rPr>
          <w:tab/>
        </w:r>
        <w:r w:rsidRPr="003B66D9">
          <w:rPr>
            <w:noProof/>
            <w:webHidden/>
          </w:rPr>
          <w:fldChar w:fldCharType="begin"/>
        </w:r>
        <w:r w:rsidR="00BA4388" w:rsidRPr="003B66D9">
          <w:rPr>
            <w:noProof/>
            <w:webHidden/>
          </w:rPr>
          <w:instrText xml:space="preserve"> PAGEREF _Toc300320564 \h </w:instrText>
        </w:r>
        <w:r w:rsidRPr="003B66D9">
          <w:rPr>
            <w:noProof/>
            <w:webHidden/>
          </w:rPr>
        </w:r>
        <w:r w:rsidRPr="003B66D9">
          <w:rPr>
            <w:noProof/>
            <w:webHidden/>
          </w:rPr>
          <w:fldChar w:fldCharType="separate"/>
        </w:r>
        <w:r w:rsidR="00807598">
          <w:rPr>
            <w:noProof/>
            <w:webHidden/>
          </w:rPr>
          <w:t>26</w:t>
        </w:r>
        <w:r w:rsidRPr="003B66D9">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65" w:history="1">
        <w:r w:rsidR="00BA4388" w:rsidRPr="00A42685">
          <w:rPr>
            <w:rStyle w:val="Hyperlink"/>
            <w:rFonts w:ascii="Times New Roman Bold" w:hAnsi="Times New Roman Bold"/>
            <w:b/>
            <w:caps/>
            <w:noProof/>
            <w:lang w:val="lv-LV" w:eastAsia="de-DE"/>
          </w:rPr>
          <w:t>2.4. Energoefektivitātes paaugstināšanas pasākumi elektroenerģijas pārvadē un sadalē</w:t>
        </w:r>
        <w:r w:rsidR="00BA4388">
          <w:rPr>
            <w:noProof/>
            <w:webHidden/>
          </w:rPr>
          <w:tab/>
        </w:r>
        <w:r>
          <w:rPr>
            <w:noProof/>
            <w:webHidden/>
          </w:rPr>
          <w:fldChar w:fldCharType="begin"/>
        </w:r>
        <w:r w:rsidR="00BA4388">
          <w:rPr>
            <w:noProof/>
            <w:webHidden/>
          </w:rPr>
          <w:instrText xml:space="preserve"> PAGEREF _Toc300320565 \h </w:instrText>
        </w:r>
        <w:r>
          <w:rPr>
            <w:noProof/>
            <w:webHidden/>
          </w:rPr>
        </w:r>
        <w:r>
          <w:rPr>
            <w:noProof/>
            <w:webHidden/>
          </w:rPr>
          <w:fldChar w:fldCharType="separate"/>
        </w:r>
        <w:r w:rsidR="00807598">
          <w:rPr>
            <w:noProof/>
            <w:webHidden/>
          </w:rPr>
          <w:t>27</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66" w:history="1">
        <w:r w:rsidR="00BA4388" w:rsidRPr="00A42685">
          <w:rPr>
            <w:rStyle w:val="Hyperlink"/>
            <w:b/>
            <w:caps/>
            <w:noProof/>
            <w:lang w:val="lv-LV" w:eastAsia="de-DE"/>
          </w:rPr>
          <w:t>2.5. Energoefektivitātes paaugstināšanas pasākumi dabas gāzes pārvadē un sadalē</w:t>
        </w:r>
        <w:r w:rsidR="00BA4388">
          <w:rPr>
            <w:noProof/>
            <w:webHidden/>
          </w:rPr>
          <w:tab/>
        </w:r>
        <w:r>
          <w:rPr>
            <w:noProof/>
            <w:webHidden/>
          </w:rPr>
          <w:fldChar w:fldCharType="begin"/>
        </w:r>
        <w:r w:rsidR="00BA4388">
          <w:rPr>
            <w:noProof/>
            <w:webHidden/>
          </w:rPr>
          <w:instrText xml:space="preserve"> PAGEREF _Toc300320566 \h </w:instrText>
        </w:r>
        <w:r>
          <w:rPr>
            <w:noProof/>
            <w:webHidden/>
          </w:rPr>
        </w:r>
        <w:r>
          <w:rPr>
            <w:noProof/>
            <w:webHidden/>
          </w:rPr>
          <w:fldChar w:fldCharType="separate"/>
        </w:r>
        <w:r w:rsidR="00807598">
          <w:rPr>
            <w:noProof/>
            <w:webHidden/>
          </w:rPr>
          <w:t>31</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67" w:history="1">
        <w:r w:rsidR="00BA4388" w:rsidRPr="00A42685">
          <w:rPr>
            <w:rStyle w:val="Hyperlink"/>
            <w:rFonts w:ascii="Times New Roman Bold" w:hAnsi="Times New Roman Bold"/>
            <w:b/>
            <w:caps/>
            <w:noProof/>
            <w:lang w:val="lv-LV"/>
          </w:rPr>
          <w:t>3.</w:t>
        </w:r>
        <w:r w:rsidR="00BA4388">
          <w:rPr>
            <w:rFonts w:asciiTheme="minorHAnsi" w:eastAsiaTheme="minorEastAsia" w:hAnsiTheme="minorHAnsi" w:cstheme="minorBidi"/>
            <w:noProof/>
            <w:sz w:val="22"/>
            <w:lang w:val="lv-LV" w:eastAsia="lv-LV"/>
          </w:rPr>
          <w:tab/>
        </w:r>
        <w:r w:rsidR="00BA4388" w:rsidRPr="00A42685">
          <w:rPr>
            <w:rStyle w:val="Hyperlink"/>
            <w:rFonts w:ascii="Times New Roman Bold" w:hAnsi="Times New Roman Bold"/>
            <w:b/>
            <w:caps/>
            <w:noProof/>
            <w:lang w:val="lv-LV"/>
          </w:rPr>
          <w:t>SASNIEGTAIS enerģijas ietaupījums enerģijas galapatēriņa sektoros</w:t>
        </w:r>
        <w:r w:rsidR="00BA4388">
          <w:rPr>
            <w:noProof/>
            <w:webHidden/>
          </w:rPr>
          <w:tab/>
        </w:r>
        <w:r>
          <w:rPr>
            <w:noProof/>
            <w:webHidden/>
          </w:rPr>
          <w:fldChar w:fldCharType="begin"/>
        </w:r>
        <w:r w:rsidR="00BA4388">
          <w:rPr>
            <w:noProof/>
            <w:webHidden/>
          </w:rPr>
          <w:instrText xml:space="preserve"> PAGEREF _Toc300320567 \h </w:instrText>
        </w:r>
        <w:r>
          <w:rPr>
            <w:noProof/>
            <w:webHidden/>
          </w:rPr>
        </w:r>
        <w:r>
          <w:rPr>
            <w:noProof/>
            <w:webHidden/>
          </w:rPr>
          <w:fldChar w:fldCharType="separate"/>
        </w:r>
        <w:r w:rsidR="00807598">
          <w:rPr>
            <w:noProof/>
            <w:webHidden/>
          </w:rPr>
          <w:t>33</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68" w:history="1">
        <w:r w:rsidR="00BA4388" w:rsidRPr="00A42685">
          <w:rPr>
            <w:rStyle w:val="Hyperlink"/>
            <w:rFonts w:ascii="Times New Roman Bold" w:hAnsi="Times New Roman Bold"/>
            <w:b/>
            <w:caps/>
            <w:noProof/>
            <w:lang w:val="lv-LV"/>
          </w:rPr>
          <w:t>3.1. sasniegtā Enerģijas ietaupījuma aprēķins</w:t>
        </w:r>
        <w:r w:rsidR="00BA4388">
          <w:rPr>
            <w:noProof/>
            <w:webHidden/>
          </w:rPr>
          <w:tab/>
        </w:r>
        <w:r>
          <w:rPr>
            <w:noProof/>
            <w:webHidden/>
          </w:rPr>
          <w:fldChar w:fldCharType="begin"/>
        </w:r>
        <w:r w:rsidR="00BA4388">
          <w:rPr>
            <w:noProof/>
            <w:webHidden/>
          </w:rPr>
          <w:instrText xml:space="preserve"> PAGEREF _Toc300320568 \h </w:instrText>
        </w:r>
        <w:r>
          <w:rPr>
            <w:noProof/>
            <w:webHidden/>
          </w:rPr>
        </w:r>
        <w:r>
          <w:rPr>
            <w:noProof/>
            <w:webHidden/>
          </w:rPr>
          <w:fldChar w:fldCharType="separate"/>
        </w:r>
        <w:r w:rsidR="00807598">
          <w:rPr>
            <w:noProof/>
            <w:webHidden/>
          </w:rPr>
          <w:t>34</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69" w:history="1">
        <w:r w:rsidR="00BA4388" w:rsidRPr="00A42685">
          <w:rPr>
            <w:rStyle w:val="Hyperlink"/>
            <w:rFonts w:ascii="Times New Roman Bold" w:hAnsi="Times New Roman Bold"/>
            <w:b/>
            <w:caps/>
            <w:noProof/>
            <w:lang w:val="lv-LV"/>
          </w:rPr>
          <w:t>3.2. Sasniegtā enerģijas Ietaupījuma apraksts</w:t>
        </w:r>
        <w:r w:rsidR="00BA4388">
          <w:rPr>
            <w:noProof/>
            <w:webHidden/>
          </w:rPr>
          <w:tab/>
        </w:r>
        <w:r>
          <w:rPr>
            <w:noProof/>
            <w:webHidden/>
          </w:rPr>
          <w:fldChar w:fldCharType="begin"/>
        </w:r>
        <w:r w:rsidR="00BA4388">
          <w:rPr>
            <w:noProof/>
            <w:webHidden/>
          </w:rPr>
          <w:instrText xml:space="preserve"> PAGEREF _Toc300320569 \h </w:instrText>
        </w:r>
        <w:r>
          <w:rPr>
            <w:noProof/>
            <w:webHidden/>
          </w:rPr>
        </w:r>
        <w:r>
          <w:rPr>
            <w:noProof/>
            <w:webHidden/>
          </w:rPr>
          <w:fldChar w:fldCharType="separate"/>
        </w:r>
        <w:r w:rsidR="00807598">
          <w:rPr>
            <w:noProof/>
            <w:webHidden/>
          </w:rPr>
          <w:t>36</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70" w:history="1">
        <w:r w:rsidR="00BA4388" w:rsidRPr="00A42685">
          <w:rPr>
            <w:rStyle w:val="Hyperlink"/>
            <w:rFonts w:ascii="Times New Roman Bold" w:hAnsi="Times New Roman Bold"/>
            <w:b/>
            <w:caps/>
            <w:noProof/>
            <w:lang w:val="lv-LV"/>
          </w:rPr>
          <w:t>3.2.1. Mājsaimniecības</w:t>
        </w:r>
        <w:r w:rsidR="00BA4388">
          <w:rPr>
            <w:noProof/>
            <w:webHidden/>
          </w:rPr>
          <w:tab/>
        </w:r>
        <w:r>
          <w:rPr>
            <w:noProof/>
            <w:webHidden/>
          </w:rPr>
          <w:fldChar w:fldCharType="begin"/>
        </w:r>
        <w:r w:rsidR="00BA4388">
          <w:rPr>
            <w:noProof/>
            <w:webHidden/>
          </w:rPr>
          <w:instrText xml:space="preserve"> PAGEREF _Toc300320570 \h </w:instrText>
        </w:r>
        <w:r>
          <w:rPr>
            <w:noProof/>
            <w:webHidden/>
          </w:rPr>
        </w:r>
        <w:r>
          <w:rPr>
            <w:noProof/>
            <w:webHidden/>
          </w:rPr>
          <w:fldChar w:fldCharType="separate"/>
        </w:r>
        <w:r w:rsidR="00807598">
          <w:rPr>
            <w:noProof/>
            <w:webHidden/>
          </w:rPr>
          <w:t>36</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71" w:history="1">
        <w:r w:rsidR="00BA4388" w:rsidRPr="00A42685">
          <w:rPr>
            <w:rStyle w:val="Hyperlink"/>
            <w:rFonts w:ascii="Times New Roman Bold" w:hAnsi="Times New Roman Bold"/>
            <w:b/>
            <w:caps/>
            <w:noProof/>
            <w:lang w:val="lv-LV"/>
          </w:rPr>
          <w:t>3.2.2. Pakalpojumi</w:t>
        </w:r>
        <w:r w:rsidR="00BA4388">
          <w:rPr>
            <w:noProof/>
            <w:webHidden/>
          </w:rPr>
          <w:tab/>
        </w:r>
        <w:r>
          <w:rPr>
            <w:noProof/>
            <w:webHidden/>
          </w:rPr>
          <w:fldChar w:fldCharType="begin"/>
        </w:r>
        <w:r w:rsidR="00BA4388">
          <w:rPr>
            <w:noProof/>
            <w:webHidden/>
          </w:rPr>
          <w:instrText xml:space="preserve"> PAGEREF _Toc300320571 \h </w:instrText>
        </w:r>
        <w:r>
          <w:rPr>
            <w:noProof/>
            <w:webHidden/>
          </w:rPr>
        </w:r>
        <w:r>
          <w:rPr>
            <w:noProof/>
            <w:webHidden/>
          </w:rPr>
          <w:fldChar w:fldCharType="separate"/>
        </w:r>
        <w:r w:rsidR="00807598">
          <w:rPr>
            <w:noProof/>
            <w:webHidden/>
          </w:rPr>
          <w:t>37</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72" w:history="1">
        <w:r w:rsidR="00BA4388" w:rsidRPr="00A42685">
          <w:rPr>
            <w:rStyle w:val="Hyperlink"/>
            <w:rFonts w:ascii="Times New Roman Bold" w:hAnsi="Times New Roman Bold"/>
            <w:b/>
            <w:caps/>
            <w:noProof/>
            <w:lang w:val="lv-LV"/>
          </w:rPr>
          <w:t>3.2.3. Transports</w:t>
        </w:r>
        <w:r w:rsidR="00BA4388">
          <w:rPr>
            <w:noProof/>
            <w:webHidden/>
          </w:rPr>
          <w:tab/>
        </w:r>
        <w:r>
          <w:rPr>
            <w:noProof/>
            <w:webHidden/>
          </w:rPr>
          <w:fldChar w:fldCharType="begin"/>
        </w:r>
        <w:r w:rsidR="00BA4388">
          <w:rPr>
            <w:noProof/>
            <w:webHidden/>
          </w:rPr>
          <w:instrText xml:space="preserve"> PAGEREF _Toc300320572 \h </w:instrText>
        </w:r>
        <w:r>
          <w:rPr>
            <w:noProof/>
            <w:webHidden/>
          </w:rPr>
        </w:r>
        <w:r>
          <w:rPr>
            <w:noProof/>
            <w:webHidden/>
          </w:rPr>
          <w:fldChar w:fldCharType="separate"/>
        </w:r>
        <w:r w:rsidR="00807598">
          <w:rPr>
            <w:noProof/>
            <w:webHidden/>
          </w:rPr>
          <w:t>39</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73" w:history="1">
        <w:r w:rsidR="00BA4388" w:rsidRPr="00A42685">
          <w:rPr>
            <w:rStyle w:val="Hyperlink"/>
            <w:rFonts w:ascii="Times New Roman Bold" w:hAnsi="Times New Roman Bold"/>
            <w:b/>
            <w:caps/>
            <w:noProof/>
            <w:lang w:val="lv-LV"/>
          </w:rPr>
          <w:t>3.2.4. Rūpniecība</w:t>
        </w:r>
        <w:r w:rsidR="00BA4388">
          <w:rPr>
            <w:noProof/>
            <w:webHidden/>
          </w:rPr>
          <w:tab/>
        </w:r>
        <w:r>
          <w:rPr>
            <w:noProof/>
            <w:webHidden/>
          </w:rPr>
          <w:fldChar w:fldCharType="begin"/>
        </w:r>
        <w:r w:rsidR="00BA4388">
          <w:rPr>
            <w:noProof/>
            <w:webHidden/>
          </w:rPr>
          <w:instrText xml:space="preserve"> PAGEREF _Toc300320573 \h </w:instrText>
        </w:r>
        <w:r>
          <w:rPr>
            <w:noProof/>
            <w:webHidden/>
          </w:rPr>
        </w:r>
        <w:r>
          <w:rPr>
            <w:noProof/>
            <w:webHidden/>
          </w:rPr>
          <w:fldChar w:fldCharType="separate"/>
        </w:r>
        <w:r w:rsidR="00807598">
          <w:rPr>
            <w:noProof/>
            <w:webHidden/>
          </w:rPr>
          <w:t>40</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74" w:history="1">
        <w:r w:rsidR="00BA4388" w:rsidRPr="00A42685">
          <w:rPr>
            <w:rStyle w:val="Hyperlink"/>
            <w:rFonts w:ascii="Times New Roman Bold" w:hAnsi="Times New Roman Bold"/>
            <w:b/>
            <w:caps/>
            <w:noProof/>
            <w:lang w:val="lv-LV"/>
          </w:rPr>
          <w:t>3.3. sasniegto un plānoto enerģijas ietaupījumu kopsavilkuma tabulas</w:t>
        </w:r>
        <w:r w:rsidR="00BA4388">
          <w:rPr>
            <w:noProof/>
            <w:webHidden/>
          </w:rPr>
          <w:tab/>
        </w:r>
        <w:r>
          <w:rPr>
            <w:noProof/>
            <w:webHidden/>
          </w:rPr>
          <w:fldChar w:fldCharType="begin"/>
        </w:r>
        <w:r w:rsidR="00BA4388">
          <w:rPr>
            <w:noProof/>
            <w:webHidden/>
          </w:rPr>
          <w:instrText xml:space="preserve"> PAGEREF _Toc300320574 \h </w:instrText>
        </w:r>
        <w:r>
          <w:rPr>
            <w:noProof/>
            <w:webHidden/>
          </w:rPr>
        </w:r>
        <w:r>
          <w:rPr>
            <w:noProof/>
            <w:webHidden/>
          </w:rPr>
          <w:fldChar w:fldCharType="separate"/>
        </w:r>
        <w:r w:rsidR="00807598">
          <w:rPr>
            <w:noProof/>
            <w:webHidden/>
          </w:rPr>
          <w:t>42</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75" w:history="1">
        <w:r w:rsidR="00BA4388" w:rsidRPr="00A42685">
          <w:rPr>
            <w:rStyle w:val="Hyperlink"/>
            <w:rFonts w:ascii="Times New Roman Bold" w:hAnsi="Times New Roman Bold"/>
            <w:b/>
            <w:caps/>
            <w:noProof/>
            <w:lang w:val="lv-LV"/>
          </w:rPr>
          <w:t>4. Otrā energoefektivitātes rīcības plāna energoefektivitātes pasākumi galapatēriņa sektoros</w:t>
        </w:r>
        <w:r w:rsidR="00BA4388">
          <w:rPr>
            <w:noProof/>
            <w:webHidden/>
          </w:rPr>
          <w:tab/>
        </w:r>
        <w:r>
          <w:rPr>
            <w:noProof/>
            <w:webHidden/>
          </w:rPr>
          <w:fldChar w:fldCharType="begin"/>
        </w:r>
        <w:r w:rsidR="00BA4388">
          <w:rPr>
            <w:noProof/>
            <w:webHidden/>
          </w:rPr>
          <w:instrText xml:space="preserve"> PAGEREF _Toc300320575 \h </w:instrText>
        </w:r>
        <w:r>
          <w:rPr>
            <w:noProof/>
            <w:webHidden/>
          </w:rPr>
        </w:r>
        <w:r>
          <w:rPr>
            <w:noProof/>
            <w:webHidden/>
          </w:rPr>
          <w:fldChar w:fldCharType="separate"/>
        </w:r>
        <w:r w:rsidR="00807598">
          <w:rPr>
            <w:noProof/>
            <w:webHidden/>
          </w:rPr>
          <w:t>43</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76" w:history="1">
        <w:r w:rsidR="00BA4388" w:rsidRPr="00A42685">
          <w:rPr>
            <w:rStyle w:val="Hyperlink"/>
            <w:rFonts w:ascii="Times New Roman Bold" w:hAnsi="Times New Roman Bold"/>
            <w:b/>
            <w:caps/>
            <w:noProof/>
            <w:lang w:val="lv-LV"/>
          </w:rPr>
          <w:t>4.1. Mājsaimniecības</w:t>
        </w:r>
        <w:r w:rsidR="00BA4388">
          <w:rPr>
            <w:noProof/>
            <w:webHidden/>
          </w:rPr>
          <w:tab/>
        </w:r>
        <w:r>
          <w:rPr>
            <w:noProof/>
            <w:webHidden/>
          </w:rPr>
          <w:fldChar w:fldCharType="begin"/>
        </w:r>
        <w:r w:rsidR="00BA4388">
          <w:rPr>
            <w:noProof/>
            <w:webHidden/>
          </w:rPr>
          <w:instrText xml:space="preserve"> PAGEREF _Toc300320576 \h </w:instrText>
        </w:r>
        <w:r>
          <w:rPr>
            <w:noProof/>
            <w:webHidden/>
          </w:rPr>
        </w:r>
        <w:r>
          <w:rPr>
            <w:noProof/>
            <w:webHidden/>
          </w:rPr>
          <w:fldChar w:fldCharType="separate"/>
        </w:r>
        <w:r w:rsidR="00807598">
          <w:rPr>
            <w:noProof/>
            <w:webHidden/>
          </w:rPr>
          <w:t>43</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77" w:history="1">
        <w:r w:rsidR="00BA4388" w:rsidRPr="00A42685">
          <w:rPr>
            <w:rStyle w:val="Hyperlink"/>
            <w:rFonts w:ascii="Times New Roman Bold" w:hAnsi="Times New Roman Bold"/>
            <w:b/>
            <w:caps/>
            <w:noProof/>
            <w:lang w:val="lv-LV"/>
          </w:rPr>
          <w:t>4.2. Transports</w:t>
        </w:r>
        <w:r w:rsidR="00BA4388">
          <w:rPr>
            <w:noProof/>
            <w:webHidden/>
          </w:rPr>
          <w:tab/>
        </w:r>
        <w:r>
          <w:rPr>
            <w:noProof/>
            <w:webHidden/>
          </w:rPr>
          <w:fldChar w:fldCharType="begin"/>
        </w:r>
        <w:r w:rsidR="00BA4388">
          <w:rPr>
            <w:noProof/>
            <w:webHidden/>
          </w:rPr>
          <w:instrText xml:space="preserve"> PAGEREF _Toc300320577 \h </w:instrText>
        </w:r>
        <w:r>
          <w:rPr>
            <w:noProof/>
            <w:webHidden/>
          </w:rPr>
        </w:r>
        <w:r>
          <w:rPr>
            <w:noProof/>
            <w:webHidden/>
          </w:rPr>
          <w:fldChar w:fldCharType="separate"/>
        </w:r>
        <w:r w:rsidR="00807598">
          <w:rPr>
            <w:noProof/>
            <w:webHidden/>
          </w:rPr>
          <w:t>49</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78" w:history="1">
        <w:r w:rsidR="00BA4388" w:rsidRPr="00A42685">
          <w:rPr>
            <w:rStyle w:val="Hyperlink"/>
            <w:rFonts w:ascii="Times New Roman Bold" w:hAnsi="Times New Roman Bold"/>
            <w:b/>
            <w:caps/>
            <w:noProof/>
            <w:lang w:val="lv-LV"/>
          </w:rPr>
          <w:t>4.3. Pakalpojumu sektors</w:t>
        </w:r>
        <w:r w:rsidR="00BA4388">
          <w:rPr>
            <w:noProof/>
            <w:webHidden/>
          </w:rPr>
          <w:tab/>
        </w:r>
        <w:r>
          <w:rPr>
            <w:noProof/>
            <w:webHidden/>
          </w:rPr>
          <w:fldChar w:fldCharType="begin"/>
        </w:r>
        <w:r w:rsidR="00BA4388">
          <w:rPr>
            <w:noProof/>
            <w:webHidden/>
          </w:rPr>
          <w:instrText xml:space="preserve"> PAGEREF _Toc300320578 \h </w:instrText>
        </w:r>
        <w:r>
          <w:rPr>
            <w:noProof/>
            <w:webHidden/>
          </w:rPr>
        </w:r>
        <w:r>
          <w:rPr>
            <w:noProof/>
            <w:webHidden/>
          </w:rPr>
          <w:fldChar w:fldCharType="separate"/>
        </w:r>
        <w:r w:rsidR="00807598">
          <w:rPr>
            <w:noProof/>
            <w:webHidden/>
          </w:rPr>
          <w:t>54</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79" w:history="1">
        <w:r w:rsidR="00BA4388" w:rsidRPr="00A42685">
          <w:rPr>
            <w:rStyle w:val="Hyperlink"/>
            <w:rFonts w:ascii="Times New Roman Bold" w:hAnsi="Times New Roman Bold"/>
            <w:b/>
            <w:caps/>
            <w:noProof/>
            <w:lang w:val="lv-LV"/>
          </w:rPr>
          <w:t>4.4. Rūpniecība</w:t>
        </w:r>
        <w:r w:rsidR="00BA4388">
          <w:rPr>
            <w:noProof/>
            <w:webHidden/>
          </w:rPr>
          <w:tab/>
        </w:r>
        <w:r>
          <w:rPr>
            <w:noProof/>
            <w:webHidden/>
          </w:rPr>
          <w:fldChar w:fldCharType="begin"/>
        </w:r>
        <w:r w:rsidR="00BA4388">
          <w:rPr>
            <w:noProof/>
            <w:webHidden/>
          </w:rPr>
          <w:instrText xml:space="preserve"> PAGEREF _Toc300320579 \h </w:instrText>
        </w:r>
        <w:r>
          <w:rPr>
            <w:noProof/>
            <w:webHidden/>
          </w:rPr>
        </w:r>
        <w:r>
          <w:rPr>
            <w:noProof/>
            <w:webHidden/>
          </w:rPr>
          <w:fldChar w:fldCharType="separate"/>
        </w:r>
        <w:r w:rsidR="00807598">
          <w:rPr>
            <w:noProof/>
            <w:webHidden/>
          </w:rPr>
          <w:t>60</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80" w:history="1">
        <w:r w:rsidR="00BA4388" w:rsidRPr="00A42685">
          <w:rPr>
            <w:rStyle w:val="Hyperlink"/>
            <w:rFonts w:ascii="Times New Roman Bold" w:hAnsi="Times New Roman Bold"/>
            <w:b/>
            <w:caps/>
            <w:noProof/>
            <w:lang w:val="lv-LV"/>
          </w:rPr>
          <w:t>4.5. Centralizētā siltumapgāde</w:t>
        </w:r>
        <w:r w:rsidR="00BA4388">
          <w:rPr>
            <w:noProof/>
            <w:webHidden/>
          </w:rPr>
          <w:tab/>
        </w:r>
        <w:r>
          <w:rPr>
            <w:noProof/>
            <w:webHidden/>
          </w:rPr>
          <w:fldChar w:fldCharType="begin"/>
        </w:r>
        <w:r w:rsidR="00BA4388">
          <w:rPr>
            <w:noProof/>
            <w:webHidden/>
          </w:rPr>
          <w:instrText xml:space="preserve"> PAGEREF _Toc300320580 \h </w:instrText>
        </w:r>
        <w:r>
          <w:rPr>
            <w:noProof/>
            <w:webHidden/>
          </w:rPr>
        </w:r>
        <w:r>
          <w:rPr>
            <w:noProof/>
            <w:webHidden/>
          </w:rPr>
          <w:fldChar w:fldCharType="separate"/>
        </w:r>
        <w:r w:rsidR="00807598">
          <w:rPr>
            <w:noProof/>
            <w:webHidden/>
          </w:rPr>
          <w:t>63</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81" w:history="1">
        <w:r w:rsidR="00BA4388" w:rsidRPr="00A42685">
          <w:rPr>
            <w:rStyle w:val="Hyperlink"/>
            <w:rFonts w:ascii="Times New Roman Bold" w:hAnsi="Times New Roman Bold"/>
            <w:b/>
            <w:caps/>
            <w:noProof/>
            <w:lang w:val="lv-LV"/>
          </w:rPr>
          <w:t>4.6. Ēku sektors</w:t>
        </w:r>
        <w:r w:rsidR="00BA4388">
          <w:rPr>
            <w:noProof/>
            <w:webHidden/>
          </w:rPr>
          <w:tab/>
        </w:r>
        <w:r>
          <w:rPr>
            <w:noProof/>
            <w:webHidden/>
          </w:rPr>
          <w:fldChar w:fldCharType="begin"/>
        </w:r>
        <w:r w:rsidR="00BA4388">
          <w:rPr>
            <w:noProof/>
            <w:webHidden/>
          </w:rPr>
          <w:instrText xml:space="preserve"> PAGEREF _Toc300320581 \h </w:instrText>
        </w:r>
        <w:r>
          <w:rPr>
            <w:noProof/>
            <w:webHidden/>
          </w:rPr>
        </w:r>
        <w:r>
          <w:rPr>
            <w:noProof/>
            <w:webHidden/>
          </w:rPr>
          <w:fldChar w:fldCharType="separate"/>
        </w:r>
        <w:r w:rsidR="00807598">
          <w:rPr>
            <w:noProof/>
            <w:webHidden/>
          </w:rPr>
          <w:t>65</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82" w:history="1">
        <w:r w:rsidR="00BA4388" w:rsidRPr="00A42685">
          <w:rPr>
            <w:rStyle w:val="Hyperlink"/>
            <w:rFonts w:ascii="Times New Roman Bold" w:hAnsi="Times New Roman Bold"/>
            <w:b/>
            <w:caps/>
            <w:noProof/>
            <w:lang w:val="lv-LV"/>
          </w:rPr>
          <w:t>4.7. Horizontālie pasākumi</w:t>
        </w:r>
        <w:r w:rsidR="00BA4388">
          <w:rPr>
            <w:noProof/>
            <w:webHidden/>
          </w:rPr>
          <w:tab/>
        </w:r>
        <w:r>
          <w:rPr>
            <w:noProof/>
            <w:webHidden/>
          </w:rPr>
          <w:fldChar w:fldCharType="begin"/>
        </w:r>
        <w:r w:rsidR="00BA4388">
          <w:rPr>
            <w:noProof/>
            <w:webHidden/>
          </w:rPr>
          <w:instrText xml:space="preserve"> PAGEREF _Toc300320582 \h </w:instrText>
        </w:r>
        <w:r>
          <w:rPr>
            <w:noProof/>
            <w:webHidden/>
          </w:rPr>
        </w:r>
        <w:r>
          <w:rPr>
            <w:noProof/>
            <w:webHidden/>
          </w:rPr>
          <w:fldChar w:fldCharType="separate"/>
        </w:r>
        <w:r w:rsidR="00807598">
          <w:rPr>
            <w:noProof/>
            <w:webHidden/>
          </w:rPr>
          <w:t>67</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83" w:history="1">
        <w:r w:rsidR="00BA4388" w:rsidRPr="00A42685">
          <w:rPr>
            <w:rStyle w:val="Hyperlink"/>
            <w:rFonts w:ascii="Times New Roman Bold" w:hAnsi="Times New Roman Bold"/>
            <w:b/>
            <w:caps/>
            <w:noProof/>
            <w:lang w:val="lv-LV"/>
          </w:rPr>
          <w:t>4.8. SABIEDRISKĀ sektora (valsts un pašvaldības) vadošā loma Ēku energoefektivitātes direktīvas prasību ieviešanā</w:t>
        </w:r>
        <w:r w:rsidR="00BA4388">
          <w:rPr>
            <w:noProof/>
            <w:webHidden/>
          </w:rPr>
          <w:tab/>
        </w:r>
        <w:r>
          <w:rPr>
            <w:noProof/>
            <w:webHidden/>
          </w:rPr>
          <w:fldChar w:fldCharType="begin"/>
        </w:r>
        <w:r w:rsidR="00BA4388">
          <w:rPr>
            <w:noProof/>
            <w:webHidden/>
          </w:rPr>
          <w:instrText xml:space="preserve"> PAGEREF _Toc300320583 \h </w:instrText>
        </w:r>
        <w:r>
          <w:rPr>
            <w:noProof/>
            <w:webHidden/>
          </w:rPr>
        </w:r>
        <w:r>
          <w:rPr>
            <w:noProof/>
            <w:webHidden/>
          </w:rPr>
          <w:fldChar w:fldCharType="separate"/>
        </w:r>
        <w:r w:rsidR="00807598">
          <w:rPr>
            <w:noProof/>
            <w:webHidden/>
          </w:rPr>
          <w:t>71</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84" w:history="1">
        <w:r w:rsidR="00BA4388" w:rsidRPr="00A42685">
          <w:rPr>
            <w:rStyle w:val="Hyperlink"/>
            <w:rFonts w:ascii="Times New Roman Bold" w:hAnsi="Times New Roman Bold"/>
            <w:b/>
            <w:caps/>
            <w:noProof/>
            <w:lang w:val="lv-LV"/>
          </w:rPr>
          <w:t>4.9.  Konsultācijas un informācija</w:t>
        </w:r>
        <w:r w:rsidR="00BA4388">
          <w:rPr>
            <w:noProof/>
            <w:webHidden/>
          </w:rPr>
          <w:tab/>
        </w:r>
        <w:r>
          <w:rPr>
            <w:noProof/>
            <w:webHidden/>
          </w:rPr>
          <w:fldChar w:fldCharType="begin"/>
        </w:r>
        <w:r w:rsidR="00BA4388">
          <w:rPr>
            <w:noProof/>
            <w:webHidden/>
          </w:rPr>
          <w:instrText xml:space="preserve"> PAGEREF _Toc300320584 \h </w:instrText>
        </w:r>
        <w:r>
          <w:rPr>
            <w:noProof/>
            <w:webHidden/>
          </w:rPr>
        </w:r>
        <w:r>
          <w:rPr>
            <w:noProof/>
            <w:webHidden/>
          </w:rPr>
          <w:fldChar w:fldCharType="separate"/>
        </w:r>
        <w:r w:rsidR="00807598">
          <w:rPr>
            <w:noProof/>
            <w:webHidden/>
          </w:rPr>
          <w:t>73</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85" w:history="1">
        <w:r w:rsidR="00BA4388" w:rsidRPr="00A42685">
          <w:rPr>
            <w:rStyle w:val="Hyperlink"/>
            <w:rFonts w:ascii="Times New Roman Bold" w:hAnsi="Times New Roman Bold"/>
            <w:b/>
            <w:caps/>
            <w:noProof/>
            <w:lang w:val="lv-LV"/>
          </w:rPr>
          <w:t>4.10. Stratēģija, kā palielināt “nulles” enerģijas patēriņa ēku skaitu</w:t>
        </w:r>
        <w:r w:rsidR="00BA4388">
          <w:rPr>
            <w:noProof/>
            <w:webHidden/>
          </w:rPr>
          <w:tab/>
        </w:r>
        <w:r>
          <w:rPr>
            <w:noProof/>
            <w:webHidden/>
          </w:rPr>
          <w:fldChar w:fldCharType="begin"/>
        </w:r>
        <w:r w:rsidR="00BA4388">
          <w:rPr>
            <w:noProof/>
            <w:webHidden/>
          </w:rPr>
          <w:instrText xml:space="preserve"> PAGEREF _Toc300320585 \h </w:instrText>
        </w:r>
        <w:r>
          <w:rPr>
            <w:noProof/>
            <w:webHidden/>
          </w:rPr>
        </w:r>
        <w:r>
          <w:rPr>
            <w:noProof/>
            <w:webHidden/>
          </w:rPr>
          <w:fldChar w:fldCharType="separate"/>
        </w:r>
        <w:r w:rsidR="00807598">
          <w:rPr>
            <w:noProof/>
            <w:webHidden/>
          </w:rPr>
          <w:t>75</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86" w:history="1">
        <w:r w:rsidR="00BA4388" w:rsidRPr="00A42685">
          <w:rPr>
            <w:rStyle w:val="Hyperlink"/>
            <w:rFonts w:ascii="Times New Roman Bold" w:hAnsi="Times New Roman Bold"/>
            <w:b/>
            <w:caps/>
            <w:noProof/>
            <w:lang w:val="lv-LV"/>
          </w:rPr>
          <w:t>4.11. Alternatīvi pasākumi apkures un gaisa kondicionēšanas sistēmām</w:t>
        </w:r>
        <w:r w:rsidR="00BA4388">
          <w:rPr>
            <w:noProof/>
            <w:webHidden/>
          </w:rPr>
          <w:tab/>
        </w:r>
        <w:r>
          <w:rPr>
            <w:noProof/>
            <w:webHidden/>
          </w:rPr>
          <w:fldChar w:fldCharType="begin"/>
        </w:r>
        <w:r w:rsidR="00BA4388">
          <w:rPr>
            <w:noProof/>
            <w:webHidden/>
          </w:rPr>
          <w:instrText xml:space="preserve"> PAGEREF _Toc300320586 \h </w:instrText>
        </w:r>
        <w:r>
          <w:rPr>
            <w:noProof/>
            <w:webHidden/>
          </w:rPr>
        </w:r>
        <w:r>
          <w:rPr>
            <w:noProof/>
            <w:webHidden/>
          </w:rPr>
          <w:fldChar w:fldCharType="separate"/>
        </w:r>
        <w:r w:rsidR="00807598">
          <w:rPr>
            <w:noProof/>
            <w:webHidden/>
          </w:rPr>
          <w:t>75</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87" w:history="1">
        <w:r w:rsidR="00BA4388" w:rsidRPr="00A42685">
          <w:rPr>
            <w:rStyle w:val="Hyperlink"/>
            <w:rFonts w:ascii="Times New Roman Bold" w:hAnsi="Times New Roman Bold"/>
            <w:b/>
            <w:caps/>
            <w:noProof/>
            <w:lang w:val="lv-LV"/>
          </w:rPr>
          <w:t>4.12. Ēku energoefektivitātes direktīvas ieviešanas atbalsta pasākumi</w:t>
        </w:r>
        <w:r w:rsidR="00BA4388">
          <w:rPr>
            <w:noProof/>
            <w:webHidden/>
          </w:rPr>
          <w:tab/>
        </w:r>
        <w:r>
          <w:rPr>
            <w:noProof/>
            <w:webHidden/>
          </w:rPr>
          <w:fldChar w:fldCharType="begin"/>
        </w:r>
        <w:r w:rsidR="00BA4388">
          <w:rPr>
            <w:noProof/>
            <w:webHidden/>
          </w:rPr>
          <w:instrText xml:space="preserve"> PAGEREF _Toc300320587 \h </w:instrText>
        </w:r>
        <w:r>
          <w:rPr>
            <w:noProof/>
            <w:webHidden/>
          </w:rPr>
        </w:r>
        <w:r>
          <w:rPr>
            <w:noProof/>
            <w:webHidden/>
          </w:rPr>
          <w:fldChar w:fldCharType="separate"/>
        </w:r>
        <w:r w:rsidR="00807598">
          <w:rPr>
            <w:noProof/>
            <w:webHidden/>
          </w:rPr>
          <w:t>77</w:t>
        </w:r>
        <w:r>
          <w:rPr>
            <w:noProof/>
            <w:webHidden/>
          </w:rPr>
          <w:fldChar w:fldCharType="end"/>
        </w:r>
      </w:hyperlink>
    </w:p>
    <w:p w:rsidR="00BA4388" w:rsidRDefault="00E86DD9">
      <w:pPr>
        <w:pStyle w:val="TOC4"/>
        <w:rPr>
          <w:rFonts w:asciiTheme="minorHAnsi" w:eastAsiaTheme="minorEastAsia" w:hAnsiTheme="minorHAnsi" w:cstheme="minorBidi"/>
          <w:noProof/>
          <w:sz w:val="22"/>
          <w:lang w:val="lv-LV" w:eastAsia="lv-LV"/>
        </w:rPr>
      </w:pPr>
      <w:hyperlink w:anchor="_Toc300320588" w:history="1">
        <w:r w:rsidR="00BA4388" w:rsidRPr="00A42685">
          <w:rPr>
            <w:rStyle w:val="Hyperlink"/>
            <w:rFonts w:ascii="Times New Roman Bold" w:hAnsi="Times New Roman Bold"/>
            <w:b/>
            <w:caps/>
            <w:noProof/>
            <w:lang w:val="lv-LV"/>
          </w:rPr>
          <w:t>5.</w:t>
        </w:r>
        <w:r w:rsidR="00BA4388">
          <w:rPr>
            <w:rFonts w:asciiTheme="minorHAnsi" w:eastAsiaTheme="minorEastAsia" w:hAnsiTheme="minorHAnsi" w:cstheme="minorBidi"/>
            <w:noProof/>
            <w:sz w:val="22"/>
            <w:lang w:val="lv-LV" w:eastAsia="lv-LV"/>
          </w:rPr>
          <w:tab/>
        </w:r>
        <w:r w:rsidR="00BA4388" w:rsidRPr="00A42685">
          <w:rPr>
            <w:rStyle w:val="Hyperlink"/>
            <w:rFonts w:ascii="Times New Roman Bold" w:hAnsi="Times New Roman Bold"/>
            <w:b/>
            <w:caps/>
            <w:noProof/>
            <w:lang w:val="lv-LV"/>
          </w:rPr>
          <w:t>Kompetento iestāžu un padotības iestāžu izveide</w:t>
        </w:r>
        <w:r w:rsidR="00BA4388">
          <w:rPr>
            <w:noProof/>
            <w:webHidden/>
          </w:rPr>
          <w:tab/>
        </w:r>
        <w:r>
          <w:rPr>
            <w:noProof/>
            <w:webHidden/>
          </w:rPr>
          <w:fldChar w:fldCharType="begin"/>
        </w:r>
        <w:r w:rsidR="00BA4388">
          <w:rPr>
            <w:noProof/>
            <w:webHidden/>
          </w:rPr>
          <w:instrText xml:space="preserve"> PAGEREF _Toc300320588 \h </w:instrText>
        </w:r>
        <w:r>
          <w:rPr>
            <w:noProof/>
            <w:webHidden/>
          </w:rPr>
        </w:r>
        <w:r>
          <w:rPr>
            <w:noProof/>
            <w:webHidden/>
          </w:rPr>
          <w:fldChar w:fldCharType="separate"/>
        </w:r>
        <w:r w:rsidR="00807598">
          <w:rPr>
            <w:noProof/>
            <w:webHidden/>
          </w:rPr>
          <w:t>77</w:t>
        </w:r>
        <w:r>
          <w:rPr>
            <w:noProof/>
            <w:webHidden/>
          </w:rPr>
          <w:fldChar w:fldCharType="end"/>
        </w:r>
      </w:hyperlink>
    </w:p>
    <w:p w:rsidR="00B16EC2" w:rsidRPr="009179E5" w:rsidRDefault="00E86DD9" w:rsidP="00574AC8">
      <w:pPr>
        <w:spacing w:before="120" w:after="120" w:line="240" w:lineRule="auto"/>
        <w:rPr>
          <w:b/>
          <w:caps/>
          <w:sz w:val="20"/>
          <w:szCs w:val="20"/>
          <w:lang w:val="lv-LV"/>
        </w:rPr>
      </w:pPr>
      <w:r w:rsidRPr="009179E5">
        <w:rPr>
          <w:rFonts w:ascii="Times New Roman" w:hAnsi="Times New Roman"/>
          <w:b/>
          <w:caps/>
          <w:sz w:val="24"/>
          <w:szCs w:val="24"/>
          <w:lang w:val="lv-LV"/>
        </w:rPr>
        <w:fldChar w:fldCharType="end"/>
      </w:r>
    </w:p>
    <w:p w:rsidR="006A128A" w:rsidRPr="009179E5" w:rsidRDefault="00B16EC2" w:rsidP="00574AC8">
      <w:pPr>
        <w:pStyle w:val="Heading4"/>
        <w:numPr>
          <w:ilvl w:val="0"/>
          <w:numId w:val="0"/>
        </w:numPr>
        <w:spacing w:line="240" w:lineRule="auto"/>
        <w:ind w:left="426"/>
        <w:jc w:val="center"/>
        <w:rPr>
          <w:rFonts w:ascii="Times New Roman" w:hAnsi="Times New Roman"/>
          <w:b/>
          <w:lang w:val="lv-LV"/>
        </w:rPr>
      </w:pPr>
      <w:r w:rsidRPr="009179E5">
        <w:rPr>
          <w:lang w:val="lv-LV"/>
        </w:rPr>
        <w:br w:type="page"/>
      </w:r>
      <w:bookmarkStart w:id="2" w:name="_Toc300320552"/>
      <w:r w:rsidR="006A128A" w:rsidRPr="009179E5">
        <w:rPr>
          <w:rFonts w:ascii="Times New Roman" w:hAnsi="Times New Roman"/>
          <w:b/>
          <w:i w:val="0"/>
          <w:color w:val="auto"/>
          <w:sz w:val="28"/>
          <w:u w:val="none"/>
          <w:lang w:val="lv-LV"/>
        </w:rPr>
        <w:lastRenderedPageBreak/>
        <w:t>Abreviatūru saraksts un saīsinājumi</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142"/>
      </w:tblGrid>
      <w:tr w:rsidR="005E513A" w:rsidRPr="009179E5" w:rsidTr="00456E87">
        <w:tc>
          <w:tcPr>
            <w:tcW w:w="1101" w:type="dxa"/>
          </w:tcPr>
          <w:p w:rsidR="005E513A" w:rsidRPr="009179E5" w:rsidRDefault="005E513A" w:rsidP="00574AC8">
            <w:pPr>
              <w:spacing w:before="120" w:after="120" w:line="240" w:lineRule="auto"/>
              <w:rPr>
                <w:rFonts w:ascii="Times New Roman" w:hAnsi="Times New Roman"/>
                <w:lang w:val="lv-LV"/>
              </w:rPr>
            </w:pPr>
            <w:r w:rsidRPr="009179E5">
              <w:rPr>
                <w:rFonts w:ascii="Times New Roman" w:hAnsi="Times New Roman"/>
                <w:lang w:val="lv-LV"/>
              </w:rPr>
              <w:t>1.EERP</w:t>
            </w:r>
          </w:p>
        </w:tc>
        <w:tc>
          <w:tcPr>
            <w:tcW w:w="8142" w:type="dxa"/>
          </w:tcPr>
          <w:p w:rsidR="005E513A" w:rsidRPr="009179E5" w:rsidRDefault="005E513A" w:rsidP="00574AC8">
            <w:pPr>
              <w:spacing w:before="120" w:after="120" w:line="240" w:lineRule="auto"/>
              <w:rPr>
                <w:rFonts w:ascii="Times New Roman" w:hAnsi="Times New Roman"/>
                <w:lang w:val="lv-LV"/>
              </w:rPr>
            </w:pPr>
            <w:r w:rsidRPr="009179E5">
              <w:rPr>
                <w:rFonts w:ascii="Times New Roman" w:hAnsi="Times New Roman"/>
                <w:lang w:val="lv-LV"/>
              </w:rPr>
              <w:t>Pirmais energoefektivitātes rīcības plāns</w:t>
            </w:r>
          </w:p>
        </w:tc>
      </w:tr>
      <w:tr w:rsidR="005E513A" w:rsidRPr="009179E5" w:rsidTr="00456E87">
        <w:tc>
          <w:tcPr>
            <w:tcW w:w="1101" w:type="dxa"/>
          </w:tcPr>
          <w:p w:rsidR="005E513A" w:rsidRPr="009179E5" w:rsidRDefault="005E513A" w:rsidP="00574AC8">
            <w:pPr>
              <w:spacing w:before="120" w:after="120" w:line="240" w:lineRule="auto"/>
              <w:rPr>
                <w:rFonts w:ascii="Times New Roman" w:hAnsi="Times New Roman"/>
                <w:lang w:val="lv-LV"/>
              </w:rPr>
            </w:pPr>
            <w:r w:rsidRPr="009179E5">
              <w:rPr>
                <w:rFonts w:ascii="Times New Roman" w:hAnsi="Times New Roman"/>
                <w:lang w:val="lv-LV"/>
              </w:rPr>
              <w:t>2.EERP</w:t>
            </w:r>
          </w:p>
        </w:tc>
        <w:tc>
          <w:tcPr>
            <w:tcW w:w="8142" w:type="dxa"/>
          </w:tcPr>
          <w:p w:rsidR="005E513A" w:rsidRPr="009179E5" w:rsidRDefault="005E513A" w:rsidP="00574AC8">
            <w:pPr>
              <w:spacing w:before="120" w:after="120" w:line="240" w:lineRule="auto"/>
              <w:rPr>
                <w:rFonts w:ascii="Times New Roman" w:hAnsi="Times New Roman"/>
                <w:lang w:val="lv-LV"/>
              </w:rPr>
            </w:pPr>
            <w:r w:rsidRPr="009179E5">
              <w:rPr>
                <w:rFonts w:ascii="Times New Roman" w:hAnsi="Times New Roman"/>
                <w:lang w:val="lv-LV"/>
              </w:rPr>
              <w:t xml:space="preserve">Otrais energoefektivitātes rīcības plāns </w:t>
            </w:r>
          </w:p>
        </w:tc>
      </w:tr>
      <w:tr w:rsidR="006A128A" w:rsidRPr="009179E5" w:rsidTr="00456E87">
        <w:tc>
          <w:tcPr>
            <w:tcW w:w="1101" w:type="dxa"/>
          </w:tcPr>
          <w:p w:rsidR="006A128A" w:rsidRPr="009179E5" w:rsidRDefault="006A128A" w:rsidP="00574AC8">
            <w:pPr>
              <w:spacing w:before="120" w:after="120" w:line="240" w:lineRule="auto"/>
              <w:rPr>
                <w:rFonts w:ascii="Times New Roman" w:hAnsi="Times New Roman"/>
                <w:lang w:val="lv-LV"/>
              </w:rPr>
            </w:pPr>
            <w:r w:rsidRPr="009179E5">
              <w:rPr>
                <w:rFonts w:ascii="Times New Roman" w:hAnsi="Times New Roman"/>
                <w:lang w:val="lv-LV"/>
              </w:rPr>
              <w:t xml:space="preserve">CSP </w:t>
            </w:r>
          </w:p>
        </w:tc>
        <w:tc>
          <w:tcPr>
            <w:tcW w:w="8142" w:type="dxa"/>
          </w:tcPr>
          <w:p w:rsidR="006A128A" w:rsidRPr="009179E5" w:rsidRDefault="006A128A" w:rsidP="00574AC8">
            <w:pPr>
              <w:spacing w:before="120" w:after="120" w:line="240" w:lineRule="auto"/>
              <w:rPr>
                <w:rFonts w:ascii="Times New Roman" w:hAnsi="Times New Roman"/>
                <w:lang w:val="lv-LV"/>
              </w:rPr>
            </w:pPr>
            <w:r w:rsidRPr="009179E5">
              <w:rPr>
                <w:rFonts w:ascii="Times New Roman" w:hAnsi="Times New Roman"/>
                <w:lang w:val="lv-LV"/>
              </w:rPr>
              <w:t>Centrālā statistikas pārvalde</w:t>
            </w:r>
          </w:p>
        </w:tc>
      </w:tr>
      <w:tr w:rsidR="00E42289" w:rsidRPr="009179E5" w:rsidTr="00456E87">
        <w:tc>
          <w:tcPr>
            <w:tcW w:w="1101" w:type="dxa"/>
          </w:tcPr>
          <w:p w:rsidR="00E42289" w:rsidRPr="009179E5" w:rsidRDefault="00E42289" w:rsidP="00574AC8">
            <w:pPr>
              <w:spacing w:before="120" w:after="120" w:line="240" w:lineRule="auto"/>
              <w:rPr>
                <w:rFonts w:ascii="Times New Roman" w:hAnsi="Times New Roman"/>
                <w:lang w:val="lv-LV"/>
              </w:rPr>
            </w:pPr>
            <w:r>
              <w:rPr>
                <w:rFonts w:ascii="Times New Roman" w:hAnsi="Times New Roman"/>
                <w:lang w:val="lv-LV"/>
              </w:rPr>
              <w:t>CS</w:t>
            </w:r>
          </w:p>
        </w:tc>
        <w:tc>
          <w:tcPr>
            <w:tcW w:w="8142" w:type="dxa"/>
          </w:tcPr>
          <w:p w:rsidR="00E42289" w:rsidRPr="009179E5" w:rsidRDefault="00E42289" w:rsidP="00574AC8">
            <w:pPr>
              <w:spacing w:before="120" w:after="120" w:line="240" w:lineRule="auto"/>
              <w:rPr>
                <w:rFonts w:ascii="Times New Roman" w:hAnsi="Times New Roman"/>
                <w:lang w:val="lv-LV"/>
              </w:rPr>
            </w:pPr>
            <w:r>
              <w:rPr>
                <w:rFonts w:ascii="Times New Roman" w:hAnsi="Times New Roman"/>
                <w:lang w:val="lv-LV"/>
              </w:rPr>
              <w:t>Centralizētā siltumenerģija</w:t>
            </w:r>
          </w:p>
        </w:tc>
      </w:tr>
      <w:tr w:rsidR="006A128A" w:rsidRPr="009179E5" w:rsidTr="00456E87">
        <w:tc>
          <w:tcPr>
            <w:tcW w:w="1101" w:type="dxa"/>
          </w:tcPr>
          <w:p w:rsidR="006A128A" w:rsidRPr="009179E5" w:rsidRDefault="006A128A" w:rsidP="00574AC8">
            <w:pPr>
              <w:spacing w:before="120" w:after="120" w:line="240" w:lineRule="auto"/>
              <w:rPr>
                <w:rFonts w:ascii="Times New Roman" w:hAnsi="Times New Roman"/>
                <w:lang w:val="lv-LV"/>
              </w:rPr>
            </w:pPr>
            <w:r w:rsidRPr="009179E5">
              <w:rPr>
                <w:rFonts w:ascii="Times New Roman" w:hAnsi="Times New Roman"/>
                <w:lang w:val="lv-LV"/>
              </w:rPr>
              <w:t xml:space="preserve">EM </w:t>
            </w:r>
          </w:p>
        </w:tc>
        <w:tc>
          <w:tcPr>
            <w:tcW w:w="8142" w:type="dxa"/>
          </w:tcPr>
          <w:p w:rsidR="006A128A" w:rsidRPr="009179E5" w:rsidRDefault="006A128A" w:rsidP="00574AC8">
            <w:pPr>
              <w:spacing w:before="120" w:after="120" w:line="240" w:lineRule="auto"/>
              <w:rPr>
                <w:rFonts w:ascii="Times New Roman" w:hAnsi="Times New Roman"/>
                <w:lang w:val="lv-LV"/>
              </w:rPr>
            </w:pPr>
            <w:r w:rsidRPr="009179E5">
              <w:rPr>
                <w:rFonts w:ascii="Times New Roman" w:hAnsi="Times New Roman"/>
                <w:lang w:val="lv-LV"/>
              </w:rPr>
              <w:t>Ekonomikas ministrija</w:t>
            </w:r>
          </w:p>
        </w:tc>
      </w:tr>
      <w:tr w:rsidR="006A128A" w:rsidRPr="009179E5" w:rsidTr="00456E87">
        <w:tc>
          <w:tcPr>
            <w:tcW w:w="1101" w:type="dxa"/>
          </w:tcPr>
          <w:p w:rsidR="006A128A" w:rsidRPr="009179E5" w:rsidRDefault="005108F7" w:rsidP="00574AC8">
            <w:pPr>
              <w:spacing w:before="120" w:after="120" w:line="240" w:lineRule="auto"/>
              <w:rPr>
                <w:rFonts w:ascii="Times New Roman" w:hAnsi="Times New Roman"/>
                <w:lang w:val="lv-LV"/>
              </w:rPr>
            </w:pPr>
            <w:r>
              <w:rPr>
                <w:rFonts w:ascii="Times New Roman" w:hAnsi="Times New Roman"/>
                <w:lang w:val="lv-LV"/>
              </w:rPr>
              <w:t xml:space="preserve">ERAF </w:t>
            </w:r>
            <w:r w:rsidR="006A128A" w:rsidRPr="009179E5">
              <w:rPr>
                <w:rFonts w:ascii="Times New Roman" w:hAnsi="Times New Roman"/>
                <w:lang w:val="lv-LV"/>
              </w:rPr>
              <w:t xml:space="preserve"> </w:t>
            </w:r>
          </w:p>
        </w:tc>
        <w:tc>
          <w:tcPr>
            <w:tcW w:w="8142" w:type="dxa"/>
          </w:tcPr>
          <w:p w:rsidR="006A128A" w:rsidRPr="009179E5" w:rsidRDefault="006A128A" w:rsidP="00574AC8">
            <w:pPr>
              <w:spacing w:before="120" w:after="120" w:line="240" w:lineRule="auto"/>
              <w:rPr>
                <w:rFonts w:ascii="Times New Roman" w:hAnsi="Times New Roman"/>
                <w:lang w:val="lv-LV"/>
              </w:rPr>
            </w:pPr>
            <w:r w:rsidRPr="009179E5">
              <w:rPr>
                <w:rFonts w:ascii="Times New Roman" w:hAnsi="Times New Roman"/>
                <w:lang w:val="lv-LV"/>
              </w:rPr>
              <w:t>Eiropas Reģionālās attīstības fonds</w:t>
            </w:r>
          </w:p>
        </w:tc>
      </w:tr>
      <w:tr w:rsidR="006A128A" w:rsidRPr="009179E5" w:rsidTr="00456E87">
        <w:tc>
          <w:tcPr>
            <w:tcW w:w="1101" w:type="dxa"/>
          </w:tcPr>
          <w:p w:rsidR="006A128A" w:rsidRPr="009179E5" w:rsidRDefault="006A128A" w:rsidP="00574AC8">
            <w:pPr>
              <w:spacing w:before="120" w:after="120" w:line="240" w:lineRule="auto"/>
              <w:rPr>
                <w:rFonts w:ascii="Times New Roman" w:hAnsi="Times New Roman"/>
                <w:lang w:val="lv-LV"/>
              </w:rPr>
            </w:pPr>
            <w:r w:rsidRPr="009179E5">
              <w:rPr>
                <w:rFonts w:ascii="Times New Roman" w:hAnsi="Times New Roman"/>
                <w:lang w:val="lv-LV"/>
              </w:rPr>
              <w:t xml:space="preserve">ES </w:t>
            </w:r>
          </w:p>
        </w:tc>
        <w:tc>
          <w:tcPr>
            <w:tcW w:w="8142" w:type="dxa"/>
          </w:tcPr>
          <w:p w:rsidR="006A128A" w:rsidRPr="009179E5" w:rsidRDefault="006A128A" w:rsidP="00574AC8">
            <w:pPr>
              <w:spacing w:before="120" w:after="120" w:line="240" w:lineRule="auto"/>
              <w:rPr>
                <w:rFonts w:ascii="Times New Roman" w:hAnsi="Times New Roman"/>
                <w:lang w:val="lv-LV"/>
              </w:rPr>
            </w:pPr>
            <w:r w:rsidRPr="009179E5">
              <w:rPr>
                <w:rFonts w:ascii="Times New Roman" w:hAnsi="Times New Roman"/>
                <w:lang w:val="lv-LV"/>
              </w:rPr>
              <w:t>Eiropas Savienība</w:t>
            </w:r>
          </w:p>
        </w:tc>
      </w:tr>
      <w:tr w:rsidR="006A128A" w:rsidRPr="009179E5" w:rsidTr="00456E87">
        <w:tc>
          <w:tcPr>
            <w:tcW w:w="1101" w:type="dxa"/>
          </w:tcPr>
          <w:p w:rsidR="006A128A" w:rsidRPr="009179E5" w:rsidRDefault="006A128A" w:rsidP="005108F7">
            <w:pPr>
              <w:spacing w:before="120" w:after="120" w:line="240" w:lineRule="auto"/>
              <w:rPr>
                <w:rFonts w:ascii="Times New Roman" w:hAnsi="Times New Roman"/>
                <w:lang w:val="lv-LV"/>
              </w:rPr>
            </w:pPr>
            <w:r w:rsidRPr="009179E5">
              <w:rPr>
                <w:rFonts w:ascii="Times New Roman" w:hAnsi="Times New Roman"/>
                <w:lang w:val="lv-LV"/>
              </w:rPr>
              <w:t xml:space="preserve">EUR </w:t>
            </w:r>
          </w:p>
        </w:tc>
        <w:tc>
          <w:tcPr>
            <w:tcW w:w="8142" w:type="dxa"/>
          </w:tcPr>
          <w:p w:rsidR="006A128A" w:rsidRPr="009179E5" w:rsidRDefault="006A128A" w:rsidP="00574AC8">
            <w:pPr>
              <w:spacing w:before="120" w:after="120" w:line="240" w:lineRule="auto"/>
              <w:rPr>
                <w:rFonts w:ascii="Times New Roman" w:hAnsi="Times New Roman"/>
                <w:lang w:val="lv-LV"/>
              </w:rPr>
            </w:pPr>
            <w:r w:rsidRPr="009179E5">
              <w:rPr>
                <w:rFonts w:ascii="Times New Roman" w:hAnsi="Times New Roman"/>
                <w:lang w:val="lv-LV"/>
              </w:rPr>
              <w:t>Eira (Eiropas Savienības vienotā valūta)</w:t>
            </w:r>
          </w:p>
        </w:tc>
      </w:tr>
      <w:tr w:rsidR="00DA6F95" w:rsidRPr="009179E5" w:rsidTr="00456E87">
        <w:tc>
          <w:tcPr>
            <w:tcW w:w="1101" w:type="dxa"/>
          </w:tcPr>
          <w:p w:rsidR="00DA6F95" w:rsidRDefault="00DA6F95" w:rsidP="005108F7">
            <w:pPr>
              <w:spacing w:before="120" w:after="120" w:line="240" w:lineRule="auto"/>
              <w:rPr>
                <w:rFonts w:ascii="Times New Roman" w:hAnsi="Times New Roman"/>
                <w:lang w:val="lv-LV"/>
              </w:rPr>
            </w:pPr>
            <w:r>
              <w:rPr>
                <w:rFonts w:ascii="Times New Roman" w:hAnsi="Times New Roman"/>
                <w:lang w:val="lv-LV"/>
              </w:rPr>
              <w:t>EL</w:t>
            </w:r>
          </w:p>
        </w:tc>
        <w:tc>
          <w:tcPr>
            <w:tcW w:w="8142" w:type="dxa"/>
          </w:tcPr>
          <w:p w:rsidR="00DA6F95" w:rsidRDefault="00DA6F95" w:rsidP="00574AC8">
            <w:pPr>
              <w:spacing w:before="120" w:after="120" w:line="240" w:lineRule="auto"/>
              <w:rPr>
                <w:rFonts w:ascii="Times New Roman" w:hAnsi="Times New Roman"/>
                <w:lang w:val="lv-LV"/>
              </w:rPr>
            </w:pPr>
            <w:r>
              <w:rPr>
                <w:rFonts w:ascii="Times New Roman" w:hAnsi="Times New Roman"/>
                <w:lang w:val="lv-LV"/>
              </w:rPr>
              <w:t>Elektroenerģija</w:t>
            </w:r>
          </w:p>
        </w:tc>
      </w:tr>
      <w:tr w:rsidR="00DA6F95" w:rsidRPr="009179E5" w:rsidTr="00456E87">
        <w:tc>
          <w:tcPr>
            <w:tcW w:w="1101" w:type="dxa"/>
          </w:tcPr>
          <w:p w:rsidR="00DA6F95" w:rsidRPr="009179E5" w:rsidRDefault="00DA6F95" w:rsidP="005108F7">
            <w:pPr>
              <w:spacing w:before="120" w:after="120" w:line="240" w:lineRule="auto"/>
              <w:rPr>
                <w:rFonts w:ascii="Times New Roman" w:hAnsi="Times New Roman"/>
                <w:lang w:val="lv-LV"/>
              </w:rPr>
            </w:pPr>
            <w:r>
              <w:rPr>
                <w:rFonts w:ascii="Times New Roman" w:hAnsi="Times New Roman"/>
                <w:lang w:val="lv-LV"/>
              </w:rPr>
              <w:t>EL</w:t>
            </w:r>
            <w:r w:rsidR="00E42289">
              <w:rPr>
                <w:rFonts w:ascii="Times New Roman" w:hAnsi="Times New Roman"/>
                <w:lang w:val="lv-LV"/>
              </w:rPr>
              <w:t>imp</w:t>
            </w:r>
          </w:p>
        </w:tc>
        <w:tc>
          <w:tcPr>
            <w:tcW w:w="8142" w:type="dxa"/>
          </w:tcPr>
          <w:p w:rsidR="00DA6F95" w:rsidRPr="009179E5" w:rsidRDefault="00DA6F95" w:rsidP="00574AC8">
            <w:pPr>
              <w:spacing w:before="120" w:after="120" w:line="240" w:lineRule="auto"/>
              <w:rPr>
                <w:rFonts w:ascii="Times New Roman" w:hAnsi="Times New Roman"/>
                <w:lang w:val="lv-LV"/>
              </w:rPr>
            </w:pPr>
            <w:r>
              <w:rPr>
                <w:rFonts w:ascii="Times New Roman" w:hAnsi="Times New Roman"/>
                <w:lang w:val="lv-LV"/>
              </w:rPr>
              <w:t>Elektroenerģijas imports</w:t>
            </w:r>
          </w:p>
        </w:tc>
      </w:tr>
      <w:tr w:rsidR="006A128A" w:rsidRPr="009179E5" w:rsidTr="00456E87">
        <w:tc>
          <w:tcPr>
            <w:tcW w:w="1101" w:type="dxa"/>
          </w:tcPr>
          <w:p w:rsidR="006A128A" w:rsidRPr="009179E5" w:rsidRDefault="006A128A" w:rsidP="00574AC8">
            <w:pPr>
              <w:spacing w:before="120" w:after="120" w:line="240" w:lineRule="auto"/>
              <w:rPr>
                <w:rFonts w:ascii="Times New Roman" w:hAnsi="Times New Roman"/>
                <w:lang w:val="lv-LV"/>
              </w:rPr>
            </w:pPr>
            <w:r w:rsidRPr="009179E5">
              <w:rPr>
                <w:rFonts w:ascii="Times New Roman" w:hAnsi="Times New Roman"/>
                <w:lang w:val="lv-LV"/>
              </w:rPr>
              <w:t xml:space="preserve">HES </w:t>
            </w:r>
          </w:p>
        </w:tc>
        <w:tc>
          <w:tcPr>
            <w:tcW w:w="8142" w:type="dxa"/>
          </w:tcPr>
          <w:p w:rsidR="006A128A" w:rsidRPr="009179E5" w:rsidRDefault="006A128A" w:rsidP="00574AC8">
            <w:pPr>
              <w:spacing w:before="120" w:after="120" w:line="240" w:lineRule="auto"/>
              <w:rPr>
                <w:rFonts w:ascii="Times New Roman" w:hAnsi="Times New Roman"/>
                <w:lang w:val="lv-LV"/>
              </w:rPr>
            </w:pPr>
            <w:r w:rsidRPr="009179E5">
              <w:rPr>
                <w:rFonts w:ascii="Times New Roman" w:hAnsi="Times New Roman"/>
                <w:lang w:val="lv-LV"/>
              </w:rPr>
              <w:t>Hidroelektrostacijas</w:t>
            </w:r>
          </w:p>
        </w:tc>
      </w:tr>
      <w:tr w:rsidR="006A128A" w:rsidRPr="009179E5" w:rsidTr="00456E87">
        <w:tc>
          <w:tcPr>
            <w:tcW w:w="1101" w:type="dxa"/>
          </w:tcPr>
          <w:p w:rsidR="006A128A" w:rsidRPr="009179E5" w:rsidRDefault="005108F7" w:rsidP="00574AC8">
            <w:pPr>
              <w:spacing w:before="120" w:after="120" w:line="240" w:lineRule="auto"/>
              <w:rPr>
                <w:rFonts w:ascii="Times New Roman" w:hAnsi="Times New Roman"/>
                <w:lang w:val="lv-LV"/>
              </w:rPr>
            </w:pPr>
            <w:r>
              <w:rPr>
                <w:rFonts w:ascii="Times New Roman" w:hAnsi="Times New Roman"/>
                <w:lang w:val="lv-LV"/>
              </w:rPr>
              <w:t xml:space="preserve">IKP </w:t>
            </w:r>
            <w:r w:rsidR="006A128A" w:rsidRPr="009179E5">
              <w:rPr>
                <w:rFonts w:ascii="Times New Roman" w:hAnsi="Times New Roman"/>
                <w:lang w:val="lv-LV"/>
              </w:rPr>
              <w:t xml:space="preserve"> </w:t>
            </w:r>
          </w:p>
        </w:tc>
        <w:tc>
          <w:tcPr>
            <w:tcW w:w="8142" w:type="dxa"/>
          </w:tcPr>
          <w:p w:rsidR="006A128A" w:rsidRPr="009179E5" w:rsidRDefault="006A128A" w:rsidP="00574AC8">
            <w:pPr>
              <w:spacing w:before="120" w:after="120" w:line="240" w:lineRule="auto"/>
              <w:rPr>
                <w:rFonts w:ascii="Times New Roman" w:hAnsi="Times New Roman"/>
                <w:lang w:val="lv-LV"/>
              </w:rPr>
            </w:pPr>
            <w:r w:rsidRPr="009179E5">
              <w:rPr>
                <w:rFonts w:ascii="Times New Roman" w:hAnsi="Times New Roman"/>
                <w:lang w:val="lv-LV"/>
              </w:rPr>
              <w:t>Iekšzemes kopprodukts</w:t>
            </w:r>
          </w:p>
        </w:tc>
      </w:tr>
      <w:tr w:rsidR="006A128A" w:rsidRPr="009179E5" w:rsidTr="00456E87">
        <w:tc>
          <w:tcPr>
            <w:tcW w:w="1101" w:type="dxa"/>
          </w:tcPr>
          <w:p w:rsidR="006A128A" w:rsidRPr="009179E5" w:rsidRDefault="005108F7" w:rsidP="00574AC8">
            <w:pPr>
              <w:spacing w:before="120" w:after="120" w:line="240" w:lineRule="auto"/>
              <w:rPr>
                <w:rFonts w:ascii="Times New Roman" w:hAnsi="Times New Roman"/>
                <w:lang w:val="lv-LV"/>
              </w:rPr>
            </w:pPr>
            <w:r>
              <w:rPr>
                <w:rFonts w:ascii="Times New Roman" w:hAnsi="Times New Roman"/>
                <w:lang w:val="lv-LV"/>
              </w:rPr>
              <w:t xml:space="preserve">LVL </w:t>
            </w:r>
            <w:r w:rsidR="006A128A" w:rsidRPr="009179E5">
              <w:rPr>
                <w:rFonts w:ascii="Times New Roman" w:hAnsi="Times New Roman"/>
                <w:lang w:val="lv-LV"/>
              </w:rPr>
              <w:t xml:space="preserve"> </w:t>
            </w:r>
          </w:p>
        </w:tc>
        <w:tc>
          <w:tcPr>
            <w:tcW w:w="8142" w:type="dxa"/>
          </w:tcPr>
          <w:p w:rsidR="006A128A" w:rsidRPr="009179E5" w:rsidRDefault="006A128A" w:rsidP="00574AC8">
            <w:pPr>
              <w:spacing w:before="120" w:after="120" w:line="240" w:lineRule="auto"/>
              <w:rPr>
                <w:rFonts w:ascii="Times New Roman" w:hAnsi="Times New Roman"/>
                <w:lang w:val="lv-LV"/>
              </w:rPr>
            </w:pPr>
            <w:r w:rsidRPr="009179E5">
              <w:rPr>
                <w:rFonts w:ascii="Times New Roman" w:hAnsi="Times New Roman"/>
                <w:lang w:val="lv-LV"/>
              </w:rPr>
              <w:t>Latvijas valsts lats</w:t>
            </w:r>
          </w:p>
        </w:tc>
      </w:tr>
      <w:tr w:rsidR="006A128A" w:rsidRPr="009179E5" w:rsidTr="00456E87">
        <w:tc>
          <w:tcPr>
            <w:tcW w:w="1101" w:type="dxa"/>
          </w:tcPr>
          <w:p w:rsidR="006A128A" w:rsidRPr="009179E5" w:rsidRDefault="005108F7" w:rsidP="00574AC8">
            <w:pPr>
              <w:spacing w:before="120" w:after="120" w:line="240" w:lineRule="auto"/>
              <w:rPr>
                <w:rFonts w:ascii="Times New Roman" w:hAnsi="Times New Roman"/>
                <w:lang w:val="lv-LV"/>
              </w:rPr>
            </w:pPr>
            <w:r>
              <w:rPr>
                <w:rFonts w:ascii="Times New Roman" w:hAnsi="Times New Roman"/>
                <w:lang w:val="lv-LV"/>
              </w:rPr>
              <w:t xml:space="preserve">NAP </w:t>
            </w:r>
            <w:r w:rsidR="006A128A" w:rsidRPr="009179E5">
              <w:rPr>
                <w:rFonts w:ascii="Times New Roman" w:hAnsi="Times New Roman"/>
                <w:lang w:val="lv-LV"/>
              </w:rPr>
              <w:t xml:space="preserve"> </w:t>
            </w:r>
          </w:p>
        </w:tc>
        <w:tc>
          <w:tcPr>
            <w:tcW w:w="8142" w:type="dxa"/>
          </w:tcPr>
          <w:p w:rsidR="006A128A" w:rsidRPr="009179E5" w:rsidRDefault="006A128A" w:rsidP="00574AC8">
            <w:pPr>
              <w:spacing w:before="120" w:after="120" w:line="240" w:lineRule="auto"/>
              <w:rPr>
                <w:rFonts w:ascii="Times New Roman" w:hAnsi="Times New Roman"/>
                <w:lang w:val="lv-LV"/>
              </w:rPr>
            </w:pPr>
            <w:r w:rsidRPr="009179E5">
              <w:rPr>
                <w:rFonts w:ascii="Times New Roman" w:hAnsi="Times New Roman"/>
                <w:lang w:val="lv-LV"/>
              </w:rPr>
              <w:t>Nacionālais attīstības plāns</w:t>
            </w:r>
          </w:p>
        </w:tc>
      </w:tr>
      <w:tr w:rsidR="006A128A" w:rsidRPr="009179E5" w:rsidTr="00456E87">
        <w:tc>
          <w:tcPr>
            <w:tcW w:w="1101" w:type="dxa"/>
          </w:tcPr>
          <w:p w:rsidR="006A128A" w:rsidRPr="009179E5" w:rsidRDefault="006A128A" w:rsidP="00574AC8">
            <w:pPr>
              <w:spacing w:before="120" w:after="120" w:line="240" w:lineRule="auto"/>
              <w:rPr>
                <w:rFonts w:ascii="Times New Roman" w:hAnsi="Times New Roman"/>
                <w:lang w:val="lv-LV"/>
              </w:rPr>
            </w:pPr>
            <w:r w:rsidRPr="009179E5">
              <w:rPr>
                <w:rFonts w:ascii="Times New Roman" w:hAnsi="Times New Roman"/>
                <w:lang w:val="lv-LV"/>
              </w:rPr>
              <w:t xml:space="preserve">PJ </w:t>
            </w:r>
          </w:p>
        </w:tc>
        <w:tc>
          <w:tcPr>
            <w:tcW w:w="8142" w:type="dxa"/>
          </w:tcPr>
          <w:p w:rsidR="006A128A" w:rsidRPr="009179E5" w:rsidRDefault="006A128A" w:rsidP="00574AC8">
            <w:pPr>
              <w:spacing w:before="120" w:after="120" w:line="240" w:lineRule="auto"/>
              <w:rPr>
                <w:rFonts w:ascii="Times New Roman" w:hAnsi="Times New Roman"/>
                <w:lang w:val="lv-LV"/>
              </w:rPr>
            </w:pPr>
            <w:r w:rsidRPr="009179E5">
              <w:rPr>
                <w:rFonts w:ascii="Times New Roman" w:hAnsi="Times New Roman"/>
                <w:lang w:val="lv-LV"/>
              </w:rPr>
              <w:t>Petadžouls (enerģijas mērvienība)</w:t>
            </w:r>
          </w:p>
        </w:tc>
      </w:tr>
      <w:tr w:rsidR="005108F7" w:rsidRPr="009179E5" w:rsidTr="00456E87">
        <w:tc>
          <w:tcPr>
            <w:tcW w:w="1101" w:type="dxa"/>
          </w:tcPr>
          <w:p w:rsidR="005108F7" w:rsidRPr="009179E5" w:rsidRDefault="005108F7" w:rsidP="00574AC8">
            <w:pPr>
              <w:spacing w:before="120" w:after="120" w:line="240" w:lineRule="auto"/>
              <w:rPr>
                <w:rFonts w:ascii="Times New Roman" w:hAnsi="Times New Roman"/>
                <w:lang w:val="lv-LV"/>
              </w:rPr>
            </w:pPr>
            <w:r>
              <w:rPr>
                <w:rFonts w:ascii="Times New Roman" w:hAnsi="Times New Roman"/>
                <w:lang w:val="lv-LV"/>
              </w:rPr>
              <w:t>GWh</w:t>
            </w:r>
          </w:p>
        </w:tc>
        <w:tc>
          <w:tcPr>
            <w:tcW w:w="8142" w:type="dxa"/>
          </w:tcPr>
          <w:p w:rsidR="005108F7" w:rsidRPr="009179E5" w:rsidRDefault="005108F7" w:rsidP="00574AC8">
            <w:pPr>
              <w:spacing w:before="120" w:after="120" w:line="240" w:lineRule="auto"/>
              <w:rPr>
                <w:rFonts w:ascii="Times New Roman" w:hAnsi="Times New Roman"/>
                <w:lang w:val="lv-LV"/>
              </w:rPr>
            </w:pPr>
            <w:r>
              <w:rPr>
                <w:rFonts w:ascii="Times New Roman" w:hAnsi="Times New Roman"/>
                <w:lang w:val="lv-LV"/>
              </w:rPr>
              <w:t>Gigavatstunda (enerģijas mērvienība)</w:t>
            </w:r>
          </w:p>
        </w:tc>
      </w:tr>
      <w:tr w:rsidR="006A128A" w:rsidRPr="009179E5" w:rsidTr="00456E87">
        <w:tc>
          <w:tcPr>
            <w:tcW w:w="1101" w:type="dxa"/>
          </w:tcPr>
          <w:p w:rsidR="006A128A" w:rsidRPr="009179E5" w:rsidRDefault="005108F7" w:rsidP="00574AC8">
            <w:pPr>
              <w:spacing w:before="120" w:after="120" w:line="240" w:lineRule="auto"/>
              <w:rPr>
                <w:rFonts w:ascii="Times New Roman" w:hAnsi="Times New Roman"/>
                <w:lang w:val="lv-LV"/>
              </w:rPr>
            </w:pPr>
            <w:r>
              <w:rPr>
                <w:rFonts w:ascii="Times New Roman" w:hAnsi="Times New Roman"/>
                <w:lang w:val="lv-LV"/>
              </w:rPr>
              <w:t xml:space="preserve">VES </w:t>
            </w:r>
            <w:r w:rsidR="006A128A" w:rsidRPr="009179E5">
              <w:rPr>
                <w:rFonts w:ascii="Times New Roman" w:hAnsi="Times New Roman"/>
                <w:lang w:val="lv-LV"/>
              </w:rPr>
              <w:t xml:space="preserve"> </w:t>
            </w:r>
          </w:p>
        </w:tc>
        <w:tc>
          <w:tcPr>
            <w:tcW w:w="8142" w:type="dxa"/>
          </w:tcPr>
          <w:p w:rsidR="006A128A" w:rsidRPr="009179E5" w:rsidRDefault="006A128A" w:rsidP="00574AC8">
            <w:pPr>
              <w:spacing w:before="120" w:after="120" w:line="240" w:lineRule="auto"/>
              <w:rPr>
                <w:rFonts w:ascii="Times New Roman" w:hAnsi="Times New Roman"/>
                <w:lang w:val="lv-LV"/>
              </w:rPr>
            </w:pPr>
            <w:r w:rsidRPr="009179E5">
              <w:rPr>
                <w:rFonts w:ascii="Times New Roman" w:hAnsi="Times New Roman"/>
                <w:lang w:val="lv-LV"/>
              </w:rPr>
              <w:t>Vēja elektrostacijas</w:t>
            </w:r>
          </w:p>
        </w:tc>
      </w:tr>
    </w:tbl>
    <w:p w:rsidR="00D90A15" w:rsidRPr="009179E5" w:rsidRDefault="006A128A" w:rsidP="00487A66">
      <w:pPr>
        <w:pStyle w:val="Heading4"/>
        <w:numPr>
          <w:ilvl w:val="0"/>
          <w:numId w:val="0"/>
        </w:numPr>
        <w:spacing w:line="240" w:lineRule="auto"/>
        <w:ind w:left="426"/>
        <w:jc w:val="center"/>
        <w:rPr>
          <w:rFonts w:ascii="Times New Roman" w:hAnsi="Times New Roman"/>
          <w:b/>
          <w:i w:val="0"/>
          <w:color w:val="auto"/>
          <w:sz w:val="28"/>
          <w:u w:val="none"/>
          <w:lang w:val="lv-LV"/>
        </w:rPr>
      </w:pPr>
      <w:r w:rsidRPr="009179E5">
        <w:rPr>
          <w:lang w:val="lv-LV"/>
        </w:rPr>
        <w:br w:type="page"/>
      </w:r>
      <w:bookmarkStart w:id="3" w:name="_Toc300320553"/>
      <w:r w:rsidR="00A4231E" w:rsidRPr="009179E5">
        <w:rPr>
          <w:rFonts w:ascii="Times New Roman" w:hAnsi="Times New Roman"/>
          <w:b/>
          <w:i w:val="0"/>
          <w:color w:val="auto"/>
          <w:sz w:val="28"/>
          <w:u w:val="none"/>
          <w:lang w:val="lv-LV"/>
        </w:rPr>
        <w:lastRenderedPageBreak/>
        <w:t>IEVADS</w:t>
      </w:r>
      <w:bookmarkEnd w:id="3"/>
    </w:p>
    <w:p w:rsidR="003D5AC1" w:rsidRPr="009179E5" w:rsidRDefault="003539DD" w:rsidP="00574AC8">
      <w:pPr>
        <w:pStyle w:val="NormalWeb"/>
        <w:spacing w:before="120" w:beforeAutospacing="0" w:after="120" w:afterAutospacing="0"/>
        <w:jc w:val="both"/>
        <w:rPr>
          <w:sz w:val="28"/>
          <w:szCs w:val="28"/>
        </w:rPr>
      </w:pPr>
      <w:r w:rsidRPr="009179E5">
        <w:rPr>
          <w:sz w:val="28"/>
          <w:szCs w:val="28"/>
        </w:rPr>
        <w:t>Latvijas Republikas O</w:t>
      </w:r>
      <w:r w:rsidR="00D90A15" w:rsidRPr="009179E5">
        <w:rPr>
          <w:sz w:val="28"/>
          <w:szCs w:val="28"/>
        </w:rPr>
        <w:t xml:space="preserve">trais energoefektivitātes rīcības plāns (turpmāk  tekstā – </w:t>
      </w:r>
      <w:r w:rsidR="00C13D77" w:rsidRPr="009179E5">
        <w:rPr>
          <w:sz w:val="28"/>
          <w:szCs w:val="28"/>
        </w:rPr>
        <w:t>2.EERP</w:t>
      </w:r>
      <w:r w:rsidR="00D90A15" w:rsidRPr="009179E5">
        <w:rPr>
          <w:sz w:val="28"/>
          <w:szCs w:val="28"/>
        </w:rPr>
        <w:t>) ir izstrādāts</w:t>
      </w:r>
      <w:r w:rsidRPr="009179E5">
        <w:rPr>
          <w:sz w:val="28"/>
          <w:szCs w:val="28"/>
        </w:rPr>
        <w:t>,</w:t>
      </w:r>
      <w:r w:rsidR="00D90A15" w:rsidRPr="009179E5">
        <w:rPr>
          <w:sz w:val="28"/>
          <w:szCs w:val="28"/>
        </w:rPr>
        <w:t xml:space="preserve"> pamatojoties uz Enerģijas galapatēriņa efektivitātes likuma (pieņemts 2010.gada 28.janvārī) 17.panta un </w:t>
      </w:r>
      <w:r w:rsidR="00841325" w:rsidRPr="009179E5">
        <w:rPr>
          <w:sz w:val="28"/>
          <w:szCs w:val="28"/>
        </w:rPr>
        <w:t>p</w:t>
      </w:r>
      <w:r w:rsidR="00D90A15" w:rsidRPr="009179E5">
        <w:rPr>
          <w:sz w:val="28"/>
          <w:szCs w:val="28"/>
        </w:rPr>
        <w:t>ārejas noteikumu 4.punkta prasībām.</w:t>
      </w:r>
      <w:r w:rsidR="00C34E16" w:rsidRPr="009179E5">
        <w:rPr>
          <w:sz w:val="28"/>
          <w:szCs w:val="28"/>
        </w:rPr>
        <w:t xml:space="preserve"> </w:t>
      </w:r>
      <w:r w:rsidR="00C13D77" w:rsidRPr="009179E5">
        <w:rPr>
          <w:sz w:val="28"/>
          <w:szCs w:val="28"/>
        </w:rPr>
        <w:t>2.EERP</w:t>
      </w:r>
      <w:r w:rsidR="00C34E16" w:rsidRPr="009179E5">
        <w:rPr>
          <w:sz w:val="28"/>
          <w:szCs w:val="28"/>
        </w:rPr>
        <w:t xml:space="preserve"> izstrādāšanā ņemtas vērā Eiropas Komisijas Kopējo pētījumu centra</w:t>
      </w:r>
      <w:r w:rsidR="00841325" w:rsidRPr="009179E5">
        <w:rPr>
          <w:sz w:val="28"/>
          <w:szCs w:val="28"/>
        </w:rPr>
        <w:t xml:space="preserve"> (Joint Research Centre)</w:t>
      </w:r>
      <w:r w:rsidR="00C34E16" w:rsidRPr="009179E5">
        <w:rPr>
          <w:sz w:val="28"/>
          <w:szCs w:val="28"/>
        </w:rPr>
        <w:t xml:space="preserve">  izstrādātā</w:t>
      </w:r>
      <w:r w:rsidR="00AA4D1C" w:rsidRPr="009179E5">
        <w:rPr>
          <w:sz w:val="28"/>
          <w:szCs w:val="28"/>
        </w:rPr>
        <w:t>s vadlīnijas „Guide and templ</w:t>
      </w:r>
      <w:r w:rsidR="00841325" w:rsidRPr="009179E5">
        <w:rPr>
          <w:sz w:val="28"/>
          <w:szCs w:val="28"/>
        </w:rPr>
        <w:t>a</w:t>
      </w:r>
      <w:r w:rsidR="00AA4D1C" w:rsidRPr="009179E5">
        <w:rPr>
          <w:sz w:val="28"/>
          <w:szCs w:val="28"/>
        </w:rPr>
        <w:t>t</w:t>
      </w:r>
      <w:r w:rsidR="00C34E16" w:rsidRPr="009179E5">
        <w:rPr>
          <w:sz w:val="28"/>
          <w:szCs w:val="28"/>
        </w:rPr>
        <w:t>e for the preparation of the second national energy efficiency action plans” (</w:t>
      </w:r>
      <w:r w:rsidR="00F469D8" w:rsidRPr="009179E5">
        <w:rPr>
          <w:sz w:val="28"/>
          <w:szCs w:val="28"/>
        </w:rPr>
        <w:t>turpmāk tekstā – EK vadlīnijas</w:t>
      </w:r>
      <w:r w:rsidR="00C34E16" w:rsidRPr="009179E5">
        <w:rPr>
          <w:sz w:val="28"/>
          <w:szCs w:val="28"/>
        </w:rPr>
        <w:t>)</w:t>
      </w:r>
      <w:r w:rsidR="00841325" w:rsidRPr="009179E5">
        <w:rPr>
          <w:sz w:val="28"/>
          <w:szCs w:val="28"/>
        </w:rPr>
        <w:t>.</w:t>
      </w:r>
      <w:r w:rsidR="009A698E">
        <w:rPr>
          <w:sz w:val="28"/>
          <w:szCs w:val="28"/>
        </w:rPr>
        <w:t xml:space="preserve"> </w:t>
      </w:r>
      <w:r w:rsidR="009A698E" w:rsidRPr="009179E5">
        <w:rPr>
          <w:sz w:val="28"/>
          <w:szCs w:val="28"/>
        </w:rPr>
        <w:t>Latvijas Republikas Otra</w:t>
      </w:r>
      <w:r w:rsidR="009A698E">
        <w:rPr>
          <w:sz w:val="28"/>
          <w:szCs w:val="28"/>
        </w:rPr>
        <w:t xml:space="preserve">jā </w:t>
      </w:r>
      <w:r w:rsidR="009A698E" w:rsidRPr="009179E5">
        <w:rPr>
          <w:sz w:val="28"/>
          <w:szCs w:val="28"/>
        </w:rPr>
        <w:t xml:space="preserve"> e</w:t>
      </w:r>
      <w:r w:rsidR="009A698E">
        <w:rPr>
          <w:sz w:val="28"/>
          <w:szCs w:val="28"/>
        </w:rPr>
        <w:t>nergoefektivitātes rīcības plānā</w:t>
      </w:r>
      <w:r w:rsidR="009A698E" w:rsidRPr="009179E5">
        <w:rPr>
          <w:sz w:val="28"/>
          <w:szCs w:val="28"/>
        </w:rPr>
        <w:t xml:space="preserve"> </w:t>
      </w:r>
      <w:r w:rsidR="009A698E">
        <w:rPr>
          <w:sz w:val="28"/>
          <w:szCs w:val="28"/>
        </w:rPr>
        <w:t>paredzēto pasākumu kopumu skatīt 1.pielikumā.</w:t>
      </w:r>
      <w:r w:rsidR="00707E8E" w:rsidRPr="009179E5">
        <w:rPr>
          <w:sz w:val="28"/>
          <w:szCs w:val="28"/>
        </w:rPr>
        <w:t xml:space="preserve"> </w:t>
      </w:r>
      <w:r w:rsidR="003D5AC1" w:rsidRPr="009179E5">
        <w:rPr>
          <w:sz w:val="28"/>
          <w:szCs w:val="28"/>
        </w:rPr>
        <w:t>Enerģijas galapatēriņa efektivitātes paaugstināšanas pasākumu kategorijas un to piemērus, atbilstoši EK vadlīnijām, skatīt 2.pielikumā.</w:t>
      </w:r>
    </w:p>
    <w:p w:rsidR="00D90A15" w:rsidRPr="009179E5" w:rsidRDefault="00707E8E" w:rsidP="004722E1">
      <w:pPr>
        <w:pStyle w:val="NormalWeb"/>
        <w:spacing w:before="120" w:beforeAutospacing="0" w:after="120" w:afterAutospacing="0"/>
        <w:jc w:val="both"/>
        <w:rPr>
          <w:sz w:val="28"/>
          <w:szCs w:val="28"/>
        </w:rPr>
      </w:pPr>
      <w:r w:rsidRPr="009179E5">
        <w:rPr>
          <w:sz w:val="28"/>
          <w:szCs w:val="28"/>
        </w:rPr>
        <w:t xml:space="preserve">2.EERP mērķis ir </w:t>
      </w:r>
      <w:r w:rsidR="00A07323" w:rsidRPr="009179E5">
        <w:rPr>
          <w:sz w:val="28"/>
          <w:szCs w:val="28"/>
        </w:rPr>
        <w:t>energoefektivitātes paaugstināšana enerģijas galapatēriņa sektoros un enerģijas pārveidošanā. Plānā apkopoti energoefektivitātes pasākumi, kuri vērsti uz enerģijas racionālu izmantošanu un vides saglabāšanu.</w:t>
      </w:r>
    </w:p>
    <w:p w:rsidR="00487A66" w:rsidRPr="009179E5" w:rsidRDefault="00D90A15"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Latvijas Republikas Pirmais energoefektivitātes rīcības plāns 2008.-2010.gadam (turpmāk tekstā – </w:t>
      </w:r>
      <w:r w:rsidR="00C13D77" w:rsidRPr="009179E5">
        <w:rPr>
          <w:rFonts w:ascii="Times New Roman" w:hAnsi="Times New Roman"/>
          <w:sz w:val="28"/>
          <w:szCs w:val="28"/>
          <w:lang w:val="lv-LV"/>
        </w:rPr>
        <w:t>1.EERP</w:t>
      </w:r>
      <w:r w:rsidRPr="009179E5">
        <w:rPr>
          <w:rFonts w:ascii="Times New Roman" w:hAnsi="Times New Roman"/>
          <w:sz w:val="28"/>
          <w:szCs w:val="28"/>
          <w:lang w:val="lv-LV"/>
        </w:rPr>
        <w:t xml:space="preserve">) tika apstiprināts </w:t>
      </w:r>
      <w:r w:rsidR="006E67FA" w:rsidRPr="009179E5">
        <w:rPr>
          <w:rFonts w:ascii="Times New Roman" w:hAnsi="Times New Roman"/>
          <w:sz w:val="28"/>
          <w:szCs w:val="28"/>
          <w:lang w:val="lv-LV"/>
        </w:rPr>
        <w:t xml:space="preserve">ar Ministru kabineta </w:t>
      </w:r>
      <w:r w:rsidRPr="009179E5">
        <w:rPr>
          <w:rFonts w:ascii="Times New Roman" w:hAnsi="Times New Roman"/>
          <w:sz w:val="28"/>
          <w:szCs w:val="28"/>
          <w:lang w:val="lv-LV"/>
        </w:rPr>
        <w:t>2008.gada 20.maij</w:t>
      </w:r>
      <w:r w:rsidR="006E67FA" w:rsidRPr="009179E5">
        <w:rPr>
          <w:rFonts w:ascii="Times New Roman" w:hAnsi="Times New Roman"/>
          <w:sz w:val="28"/>
          <w:szCs w:val="28"/>
          <w:lang w:val="lv-LV"/>
        </w:rPr>
        <w:t>a</w:t>
      </w:r>
      <w:r w:rsidRPr="009179E5">
        <w:rPr>
          <w:rFonts w:ascii="Times New Roman" w:hAnsi="Times New Roman"/>
          <w:sz w:val="28"/>
          <w:szCs w:val="28"/>
          <w:lang w:val="lv-LV"/>
        </w:rPr>
        <w:t xml:space="preserve"> rīkojumu Nr.266</w:t>
      </w:r>
      <w:r w:rsidR="00841325" w:rsidRPr="009179E5">
        <w:rPr>
          <w:rFonts w:ascii="Times New Roman" w:hAnsi="Times New Roman"/>
          <w:sz w:val="28"/>
          <w:szCs w:val="28"/>
          <w:lang w:val="lv-LV"/>
        </w:rPr>
        <w:t xml:space="preserve"> „Par Latvijas Republikas Pirmo energoefektivitātes rīcības plānu 2008.–2010.gadam”</w:t>
      </w:r>
      <w:r w:rsidRPr="009179E5">
        <w:rPr>
          <w:rFonts w:ascii="Times New Roman" w:hAnsi="Times New Roman"/>
          <w:sz w:val="28"/>
          <w:szCs w:val="28"/>
          <w:lang w:val="lv-LV"/>
        </w:rPr>
        <w:t xml:space="preserve">. </w:t>
      </w:r>
      <w:r w:rsidR="00C13D77" w:rsidRPr="009179E5">
        <w:rPr>
          <w:rFonts w:ascii="Times New Roman" w:hAnsi="Times New Roman"/>
          <w:sz w:val="28"/>
          <w:szCs w:val="28"/>
          <w:lang w:val="lv-LV"/>
        </w:rPr>
        <w:t>1.EERP</w:t>
      </w:r>
      <w:r w:rsidRPr="009179E5">
        <w:rPr>
          <w:rFonts w:ascii="Times New Roman" w:hAnsi="Times New Roman"/>
          <w:sz w:val="28"/>
          <w:szCs w:val="28"/>
          <w:lang w:val="lv-LV"/>
        </w:rPr>
        <w:t xml:space="preserve"> tika sagatavots</w:t>
      </w:r>
      <w:r w:rsidR="006E67FA" w:rsidRPr="009179E5">
        <w:rPr>
          <w:rFonts w:ascii="Times New Roman" w:hAnsi="Times New Roman"/>
          <w:sz w:val="28"/>
          <w:szCs w:val="28"/>
          <w:lang w:val="lv-LV"/>
        </w:rPr>
        <w:t>,</w:t>
      </w:r>
      <w:r w:rsidRPr="009179E5">
        <w:rPr>
          <w:rFonts w:ascii="Times New Roman" w:hAnsi="Times New Roman"/>
          <w:sz w:val="28"/>
          <w:szCs w:val="28"/>
          <w:lang w:val="lv-LV"/>
        </w:rPr>
        <w:t xml:space="preserve"> pamatojoties uz Latvijas Republikas Nacionālās attīstības plānu 2007.-2013.gadam</w:t>
      </w:r>
      <w:r w:rsidR="00841325" w:rsidRPr="009179E5">
        <w:rPr>
          <w:rFonts w:ascii="Times New Roman" w:hAnsi="Times New Roman"/>
          <w:sz w:val="28"/>
          <w:szCs w:val="28"/>
          <w:lang w:val="lv-LV"/>
        </w:rPr>
        <w:t xml:space="preserve"> un Latvijas Republikas </w:t>
      </w:r>
      <w:r w:rsidRPr="009179E5">
        <w:rPr>
          <w:rFonts w:ascii="Times New Roman" w:hAnsi="Times New Roman"/>
          <w:sz w:val="28"/>
          <w:szCs w:val="28"/>
          <w:lang w:val="lv-LV"/>
        </w:rPr>
        <w:t>Enerģētikas pamatnostādnēm 2007.-2016.gad</w:t>
      </w:r>
      <w:r w:rsidR="006E67FA" w:rsidRPr="009179E5">
        <w:rPr>
          <w:rFonts w:ascii="Times New Roman" w:hAnsi="Times New Roman"/>
          <w:sz w:val="28"/>
          <w:szCs w:val="28"/>
          <w:lang w:val="lv-LV"/>
        </w:rPr>
        <w:t>am</w:t>
      </w:r>
      <w:r w:rsidRPr="009179E5">
        <w:rPr>
          <w:rFonts w:ascii="Times New Roman" w:hAnsi="Times New Roman"/>
          <w:sz w:val="28"/>
          <w:szCs w:val="28"/>
          <w:lang w:val="lv-LV"/>
        </w:rPr>
        <w:t>.</w:t>
      </w:r>
      <w:r w:rsidR="009E0D97" w:rsidRPr="009179E5">
        <w:rPr>
          <w:rFonts w:ascii="Times New Roman" w:hAnsi="Times New Roman"/>
          <w:sz w:val="28"/>
          <w:szCs w:val="28"/>
          <w:lang w:val="lv-LV"/>
        </w:rPr>
        <w:t xml:space="preserve"> Līdz ar 2.EERP apstiprināšanu, 1.EERP atzīstams par spēku zaudējušu. Saskaņā ar Ministru kabineta 2008.gada 20.maija rīkojum</w:t>
      </w:r>
      <w:r w:rsidR="00962C63" w:rsidRPr="009179E5">
        <w:rPr>
          <w:rFonts w:ascii="Times New Roman" w:hAnsi="Times New Roman"/>
          <w:sz w:val="28"/>
          <w:szCs w:val="28"/>
          <w:lang w:val="lv-LV"/>
        </w:rPr>
        <w:t>u</w:t>
      </w:r>
      <w:r w:rsidR="009E0D97" w:rsidRPr="009179E5">
        <w:rPr>
          <w:rFonts w:ascii="Times New Roman" w:hAnsi="Times New Roman"/>
          <w:sz w:val="28"/>
          <w:szCs w:val="28"/>
          <w:lang w:val="lv-LV"/>
        </w:rPr>
        <w:t xml:space="preserve"> Nr.266 (prot. Nr.30 20.§) 3.punktu, Ekonomikas ministrijai līdz 2011.gada 1.jūlijam jāiesniedz Ministru kabinetā informatīvo ziņojumu par 1.EERP izpildi.</w:t>
      </w:r>
    </w:p>
    <w:p w:rsidR="008F711D" w:rsidRPr="009179E5" w:rsidRDefault="008F711D" w:rsidP="0001273E">
      <w:pPr>
        <w:pStyle w:val="Heading4"/>
        <w:numPr>
          <w:ilvl w:val="0"/>
          <w:numId w:val="43"/>
        </w:numPr>
        <w:spacing w:line="240" w:lineRule="auto"/>
        <w:ind w:left="0" w:firstLine="0"/>
        <w:jc w:val="center"/>
        <w:rPr>
          <w:rFonts w:ascii="Times New Roman Bold" w:hAnsi="Times New Roman Bold"/>
          <w:b/>
          <w:i w:val="0"/>
          <w:caps/>
          <w:color w:val="auto"/>
          <w:sz w:val="28"/>
          <w:u w:val="none"/>
          <w:lang w:val="lv-LV"/>
        </w:rPr>
      </w:pPr>
      <w:bookmarkStart w:id="4" w:name="_Toc300320554"/>
      <w:r w:rsidRPr="009179E5">
        <w:rPr>
          <w:rFonts w:ascii="Times New Roman Bold" w:hAnsi="Times New Roman Bold"/>
          <w:b/>
          <w:i w:val="0"/>
          <w:caps/>
          <w:color w:val="auto"/>
          <w:sz w:val="28"/>
          <w:u w:val="none"/>
          <w:lang w:val="lv-LV"/>
        </w:rPr>
        <w:t>VISPĀRĪGS LatvijAS SITUĀCIJAS RAKSTUROJUMS</w:t>
      </w:r>
      <w:bookmarkEnd w:id="4"/>
    </w:p>
    <w:p w:rsidR="000F2BE6" w:rsidRPr="009179E5" w:rsidRDefault="000F2BE6" w:rsidP="0001273E">
      <w:pPr>
        <w:pStyle w:val="Heading4"/>
        <w:numPr>
          <w:ilvl w:val="0"/>
          <w:numId w:val="0"/>
        </w:numPr>
        <w:spacing w:line="240" w:lineRule="auto"/>
        <w:ind w:left="142" w:hanging="76"/>
        <w:jc w:val="center"/>
        <w:rPr>
          <w:rFonts w:ascii="Times New Roman Bold" w:hAnsi="Times New Roman Bold"/>
          <w:b/>
          <w:i w:val="0"/>
          <w:caps/>
          <w:color w:val="auto"/>
          <w:sz w:val="28"/>
          <w:u w:val="none"/>
          <w:lang w:val="lv-LV"/>
        </w:rPr>
      </w:pPr>
      <w:bookmarkStart w:id="5" w:name="_Toc300320555"/>
      <w:r w:rsidRPr="009179E5">
        <w:rPr>
          <w:rFonts w:ascii="Times New Roman Bold" w:hAnsi="Times New Roman Bold"/>
          <w:b/>
          <w:i w:val="0"/>
          <w:caps/>
          <w:color w:val="auto"/>
          <w:sz w:val="28"/>
          <w:u w:val="none"/>
          <w:lang w:val="lv-LV"/>
        </w:rPr>
        <w:t>1.1. Esošās situācijas apraksts</w:t>
      </w:r>
      <w:bookmarkEnd w:id="5"/>
    </w:p>
    <w:p w:rsidR="00517CEE" w:rsidRPr="009179E5" w:rsidRDefault="00D90A15" w:rsidP="00574AC8">
      <w:pPr>
        <w:spacing w:before="120" w:after="120" w:line="240" w:lineRule="auto"/>
        <w:jc w:val="both"/>
        <w:rPr>
          <w:rFonts w:ascii="Times New Roman" w:hAnsi="Times New Roman"/>
          <w:b/>
          <w:sz w:val="28"/>
          <w:szCs w:val="28"/>
          <w:lang w:val="lv-LV"/>
        </w:rPr>
      </w:pPr>
      <w:r w:rsidRPr="009179E5">
        <w:rPr>
          <w:rFonts w:ascii="Times New Roman" w:hAnsi="Times New Roman"/>
          <w:sz w:val="28"/>
          <w:szCs w:val="28"/>
          <w:lang w:val="lv-LV"/>
        </w:rPr>
        <w:t xml:space="preserve">Izstrādājot </w:t>
      </w:r>
      <w:r w:rsidR="00C13D77" w:rsidRPr="009179E5">
        <w:rPr>
          <w:rFonts w:ascii="Times New Roman" w:hAnsi="Times New Roman"/>
          <w:sz w:val="28"/>
          <w:szCs w:val="28"/>
          <w:lang w:val="lv-LV"/>
        </w:rPr>
        <w:t>1.EERP</w:t>
      </w:r>
      <w:r w:rsidR="00841325" w:rsidRPr="009179E5">
        <w:rPr>
          <w:rFonts w:ascii="Times New Roman" w:hAnsi="Times New Roman"/>
          <w:sz w:val="28"/>
          <w:szCs w:val="28"/>
          <w:lang w:val="lv-LV"/>
        </w:rPr>
        <w:t>,</w:t>
      </w:r>
      <w:r w:rsidRPr="009179E5">
        <w:rPr>
          <w:rFonts w:ascii="Times New Roman" w:hAnsi="Times New Roman"/>
          <w:sz w:val="28"/>
          <w:szCs w:val="28"/>
          <w:lang w:val="lv-LV"/>
        </w:rPr>
        <w:t xml:space="preserve"> tika aprēķināts valsts indikatīvais enerģijas ietaupījuma mērķis 2016.gadam sa</w:t>
      </w:r>
      <w:r w:rsidR="003539DD" w:rsidRPr="009179E5">
        <w:rPr>
          <w:rFonts w:ascii="Times New Roman" w:hAnsi="Times New Roman"/>
          <w:sz w:val="28"/>
          <w:szCs w:val="28"/>
          <w:lang w:val="lv-LV"/>
        </w:rPr>
        <w:t>skaņā ar Eiropas Parlamenta un P</w:t>
      </w:r>
      <w:r w:rsidRPr="009179E5">
        <w:rPr>
          <w:rFonts w:ascii="Times New Roman" w:hAnsi="Times New Roman"/>
          <w:sz w:val="28"/>
          <w:szCs w:val="28"/>
          <w:lang w:val="lv-LV"/>
        </w:rPr>
        <w:t>adomes 2006.gada 5.aprīļa Direktīvas 2006/32/EK par enerģijas galapatēriņa efektivitāti un energoefektivitātes pakalpojumiem I pielikum</w:t>
      </w:r>
      <w:r w:rsidR="00841325" w:rsidRPr="009179E5">
        <w:rPr>
          <w:rFonts w:ascii="Times New Roman" w:hAnsi="Times New Roman"/>
          <w:sz w:val="28"/>
          <w:szCs w:val="28"/>
          <w:lang w:val="lv-LV"/>
        </w:rPr>
        <w:t>a metodiku</w:t>
      </w:r>
      <w:r w:rsidRPr="009179E5">
        <w:rPr>
          <w:rFonts w:ascii="Times New Roman" w:hAnsi="Times New Roman"/>
          <w:sz w:val="28"/>
          <w:szCs w:val="28"/>
          <w:lang w:val="lv-LV"/>
        </w:rPr>
        <w:t xml:space="preserve">. </w:t>
      </w:r>
      <w:r w:rsidRPr="009179E5">
        <w:rPr>
          <w:rFonts w:ascii="Times New Roman" w:hAnsi="Times New Roman"/>
          <w:b/>
          <w:sz w:val="28"/>
          <w:szCs w:val="28"/>
          <w:lang w:val="lv-LV"/>
        </w:rPr>
        <w:t xml:space="preserve">Aprēķinātais indikatīvais enerģijas ietaupījuma mērķis </w:t>
      </w:r>
      <w:r w:rsidR="003539DD" w:rsidRPr="009179E5">
        <w:rPr>
          <w:rFonts w:ascii="Times New Roman" w:hAnsi="Times New Roman"/>
          <w:b/>
          <w:sz w:val="28"/>
          <w:szCs w:val="28"/>
          <w:lang w:val="lv-LV"/>
        </w:rPr>
        <w:t xml:space="preserve">Latvijai </w:t>
      </w:r>
      <w:r w:rsidRPr="009179E5">
        <w:rPr>
          <w:rFonts w:ascii="Times New Roman" w:hAnsi="Times New Roman"/>
          <w:b/>
          <w:sz w:val="28"/>
          <w:szCs w:val="28"/>
          <w:lang w:val="lv-LV"/>
        </w:rPr>
        <w:t>2016.gadam ir 3 483 GWh un</w:t>
      </w:r>
      <w:r w:rsidR="00F17D2B" w:rsidRPr="009179E5">
        <w:rPr>
          <w:rFonts w:ascii="Times New Roman" w:hAnsi="Times New Roman"/>
          <w:b/>
          <w:sz w:val="28"/>
          <w:szCs w:val="28"/>
          <w:lang w:val="lv-LV"/>
        </w:rPr>
        <w:t xml:space="preserve"> </w:t>
      </w:r>
      <w:r w:rsidR="00C13D77" w:rsidRPr="009179E5">
        <w:rPr>
          <w:rFonts w:ascii="Times New Roman" w:hAnsi="Times New Roman"/>
          <w:b/>
          <w:sz w:val="28"/>
          <w:szCs w:val="28"/>
          <w:lang w:val="lv-LV"/>
        </w:rPr>
        <w:t>2.EERP</w:t>
      </w:r>
      <w:r w:rsidRPr="009179E5">
        <w:rPr>
          <w:rFonts w:ascii="Times New Roman" w:hAnsi="Times New Roman"/>
          <w:b/>
          <w:sz w:val="28"/>
          <w:szCs w:val="28"/>
          <w:lang w:val="lv-LV"/>
        </w:rPr>
        <w:t xml:space="preserve"> </w:t>
      </w:r>
      <w:r w:rsidR="0046489F" w:rsidRPr="009179E5">
        <w:rPr>
          <w:rFonts w:ascii="Times New Roman" w:hAnsi="Times New Roman"/>
          <w:b/>
          <w:sz w:val="28"/>
          <w:szCs w:val="28"/>
          <w:lang w:val="lv-LV"/>
        </w:rPr>
        <w:t>enerģijas ietaupījuma mērķis</w:t>
      </w:r>
      <w:r w:rsidRPr="009179E5">
        <w:rPr>
          <w:rFonts w:ascii="Times New Roman" w:hAnsi="Times New Roman"/>
          <w:b/>
          <w:sz w:val="28"/>
          <w:szCs w:val="28"/>
          <w:lang w:val="lv-LV"/>
        </w:rPr>
        <w:t xml:space="preserve"> netiek mainīts.</w:t>
      </w:r>
    </w:p>
    <w:p w:rsidR="00D90A15" w:rsidRPr="009179E5" w:rsidRDefault="00517CEE"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Plānotie enerģijas ietaupījuma mērķi 2016.gadam netiek mainīti un tie saglabājas līdz 2014.gadam, kad, izstrādājot Latvijas Republikas Trešo energoefektivitātes rīcības plānu 2014.-2016.gadam, būs pieejami ar augšupvērsto metodi (bottom-up) aprēķinātie enerģijas ietaupījumi atsevišķiem energoefektivitātes paaugstināšanas pasākumiem (katram projektam individuāli </w:t>
      </w:r>
      <w:r w:rsidRPr="009179E5">
        <w:rPr>
          <w:rFonts w:ascii="Times New Roman" w:hAnsi="Times New Roman"/>
          <w:sz w:val="28"/>
          <w:szCs w:val="28"/>
          <w:lang w:val="lv-LV"/>
        </w:rPr>
        <w:lastRenderedPageBreak/>
        <w:t xml:space="preserve">nomērīts enerģijas </w:t>
      </w:r>
      <w:r w:rsidR="009179E5" w:rsidRPr="009179E5">
        <w:rPr>
          <w:rFonts w:ascii="Times New Roman" w:hAnsi="Times New Roman"/>
          <w:sz w:val="28"/>
          <w:szCs w:val="28"/>
          <w:lang w:val="lv-LV"/>
        </w:rPr>
        <w:t>patēriņš</w:t>
      </w:r>
      <w:r w:rsidRPr="009179E5">
        <w:rPr>
          <w:rFonts w:ascii="Times New Roman" w:hAnsi="Times New Roman"/>
          <w:sz w:val="28"/>
          <w:szCs w:val="28"/>
          <w:lang w:val="lv-LV"/>
        </w:rPr>
        <w:t xml:space="preserve"> pirms efektivitātes pasākumu ieviešanas un nomērīts enerģijas patēriņš pēc efektivitātes pasākumu ieviešanas).</w:t>
      </w:r>
      <w:r w:rsidR="00D90A15" w:rsidRPr="009179E5">
        <w:rPr>
          <w:rFonts w:ascii="Times New Roman" w:hAnsi="Times New Roman"/>
          <w:sz w:val="28"/>
          <w:szCs w:val="28"/>
          <w:lang w:val="lv-LV"/>
        </w:rPr>
        <w:t xml:space="preserve"> </w:t>
      </w:r>
    </w:p>
    <w:p w:rsidR="00AA4D1C" w:rsidRPr="009179E5" w:rsidRDefault="00C13D77"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1.EERP</w:t>
      </w:r>
      <w:r w:rsidR="00AA4D1C" w:rsidRPr="009179E5">
        <w:rPr>
          <w:rFonts w:ascii="Times New Roman" w:hAnsi="Times New Roman"/>
          <w:sz w:val="28"/>
          <w:szCs w:val="28"/>
          <w:lang w:val="lv-LV"/>
        </w:rPr>
        <w:t xml:space="preserve"> aprēķinātais enerģijas ietaupījuma mērķis </w:t>
      </w:r>
      <w:r w:rsidR="00310459" w:rsidRPr="009179E5">
        <w:rPr>
          <w:rFonts w:ascii="Times New Roman" w:hAnsi="Times New Roman"/>
          <w:sz w:val="28"/>
          <w:szCs w:val="28"/>
          <w:lang w:val="lv-LV"/>
        </w:rPr>
        <w:t xml:space="preserve">no </w:t>
      </w:r>
      <w:r w:rsidR="00AA4D1C" w:rsidRPr="009179E5">
        <w:rPr>
          <w:rFonts w:ascii="Times New Roman" w:hAnsi="Times New Roman"/>
          <w:sz w:val="28"/>
          <w:szCs w:val="28"/>
          <w:lang w:val="lv-LV"/>
        </w:rPr>
        <w:t>2008.-2016.</w:t>
      </w:r>
      <w:r w:rsidR="00310459" w:rsidRPr="009179E5">
        <w:rPr>
          <w:rFonts w:ascii="Times New Roman" w:hAnsi="Times New Roman"/>
          <w:sz w:val="28"/>
          <w:szCs w:val="28"/>
          <w:lang w:val="lv-LV"/>
        </w:rPr>
        <w:t>gadam</w:t>
      </w:r>
      <w:r w:rsidR="00AA4D1C" w:rsidRPr="009179E5">
        <w:rPr>
          <w:rFonts w:ascii="Times New Roman" w:hAnsi="Times New Roman"/>
          <w:sz w:val="28"/>
          <w:szCs w:val="28"/>
          <w:lang w:val="lv-LV"/>
        </w:rPr>
        <w:t xml:space="preserve"> atsevišķos tautsaimniecības sektoros </w:t>
      </w:r>
      <w:r w:rsidR="00310459" w:rsidRPr="009179E5">
        <w:rPr>
          <w:rFonts w:ascii="Times New Roman" w:hAnsi="Times New Roman"/>
          <w:sz w:val="28"/>
          <w:szCs w:val="28"/>
          <w:lang w:val="lv-LV"/>
        </w:rPr>
        <w:t>parādīts</w:t>
      </w:r>
      <w:r w:rsidR="00AA4D1C" w:rsidRPr="009179E5">
        <w:rPr>
          <w:rFonts w:ascii="Times New Roman" w:hAnsi="Times New Roman"/>
          <w:sz w:val="28"/>
          <w:szCs w:val="28"/>
          <w:lang w:val="lv-LV"/>
        </w:rPr>
        <w:t xml:space="preserve"> 1.tabulā. </w:t>
      </w:r>
      <w:r w:rsidR="00AA0FB8" w:rsidRPr="009179E5">
        <w:rPr>
          <w:rFonts w:ascii="Times New Roman" w:hAnsi="Times New Roman"/>
          <w:sz w:val="28"/>
          <w:szCs w:val="28"/>
          <w:lang w:val="lv-LV"/>
        </w:rPr>
        <w:t>Enerģijas i</w:t>
      </w:r>
      <w:r w:rsidR="00AA4D1C" w:rsidRPr="009179E5">
        <w:rPr>
          <w:rFonts w:ascii="Times New Roman" w:hAnsi="Times New Roman"/>
          <w:sz w:val="28"/>
          <w:szCs w:val="28"/>
          <w:lang w:val="lv-LV"/>
        </w:rPr>
        <w:t>etaupījuma attēlošanai katrā gadā ir izmantota kumulatīvā (summārā uzkrājuma) metode</w:t>
      </w:r>
      <w:r w:rsidR="003539DD" w:rsidRPr="009179E5">
        <w:rPr>
          <w:rFonts w:ascii="Times New Roman" w:hAnsi="Times New Roman"/>
          <w:sz w:val="28"/>
          <w:szCs w:val="28"/>
          <w:lang w:val="lv-LV"/>
        </w:rPr>
        <w:t>,</w:t>
      </w:r>
      <w:r w:rsidR="00AA4D1C" w:rsidRPr="009179E5">
        <w:rPr>
          <w:rFonts w:ascii="Times New Roman" w:hAnsi="Times New Roman"/>
          <w:sz w:val="28"/>
          <w:szCs w:val="28"/>
          <w:lang w:val="lv-LV"/>
        </w:rPr>
        <w:t xml:space="preserve"> salīdzinājumam ar bāzes gadu (</w:t>
      </w:r>
      <w:r w:rsidR="00841325" w:rsidRPr="009179E5">
        <w:rPr>
          <w:rFonts w:ascii="Times New Roman" w:hAnsi="Times New Roman"/>
          <w:sz w:val="28"/>
          <w:szCs w:val="28"/>
          <w:lang w:val="lv-LV"/>
        </w:rPr>
        <w:t xml:space="preserve">bāzes gads – </w:t>
      </w:r>
      <w:r w:rsidR="00AA4D1C" w:rsidRPr="009179E5">
        <w:rPr>
          <w:rFonts w:ascii="Times New Roman" w:hAnsi="Times New Roman"/>
          <w:sz w:val="28"/>
          <w:szCs w:val="28"/>
          <w:lang w:val="lv-LV"/>
        </w:rPr>
        <w:t>2008</w:t>
      </w:r>
      <w:r w:rsidR="00AA0FB8" w:rsidRPr="009179E5">
        <w:rPr>
          <w:rFonts w:ascii="Times New Roman" w:hAnsi="Times New Roman"/>
          <w:sz w:val="28"/>
          <w:szCs w:val="28"/>
          <w:lang w:val="lv-LV"/>
        </w:rPr>
        <w:t>.gads</w:t>
      </w:r>
      <w:r w:rsidR="00AA4D1C" w:rsidRPr="009179E5">
        <w:rPr>
          <w:rFonts w:ascii="Times New Roman" w:hAnsi="Times New Roman"/>
          <w:sz w:val="28"/>
          <w:szCs w:val="28"/>
          <w:lang w:val="lv-LV"/>
        </w:rPr>
        <w:t>).</w:t>
      </w:r>
    </w:p>
    <w:p w:rsidR="00AA4D1C" w:rsidRPr="009179E5" w:rsidRDefault="00AA4D1C" w:rsidP="00574AC8">
      <w:pPr>
        <w:spacing w:before="120" w:after="120" w:line="240" w:lineRule="auto"/>
        <w:jc w:val="right"/>
        <w:rPr>
          <w:rFonts w:ascii="Times New Roman" w:hAnsi="Times New Roman"/>
          <w:b/>
          <w:sz w:val="24"/>
          <w:szCs w:val="24"/>
          <w:lang w:val="lv-LV"/>
        </w:rPr>
      </w:pPr>
      <w:r w:rsidRPr="009179E5">
        <w:rPr>
          <w:rFonts w:ascii="Times New Roman" w:hAnsi="Times New Roman"/>
          <w:b/>
          <w:sz w:val="24"/>
          <w:szCs w:val="24"/>
          <w:lang w:val="lv-LV"/>
        </w:rPr>
        <w:t>1.tabula</w:t>
      </w:r>
    </w:p>
    <w:p w:rsidR="00AA4D1C" w:rsidRPr="009179E5" w:rsidRDefault="00D246BA" w:rsidP="00574AC8">
      <w:pPr>
        <w:spacing w:before="120" w:after="120" w:line="240" w:lineRule="auto"/>
        <w:jc w:val="center"/>
        <w:rPr>
          <w:rFonts w:ascii="Times New Roman" w:hAnsi="Times New Roman"/>
          <w:b/>
          <w:sz w:val="28"/>
          <w:szCs w:val="28"/>
          <w:lang w:val="lv-LV"/>
        </w:rPr>
      </w:pPr>
      <w:r w:rsidRPr="009179E5">
        <w:rPr>
          <w:rFonts w:ascii="Times New Roman" w:hAnsi="Times New Roman"/>
          <w:b/>
          <w:sz w:val="24"/>
          <w:szCs w:val="24"/>
          <w:lang w:val="lv-LV"/>
        </w:rPr>
        <w:t>Aprēķinātais v</w:t>
      </w:r>
      <w:r w:rsidR="00AA4D1C" w:rsidRPr="009179E5">
        <w:rPr>
          <w:rFonts w:ascii="Times New Roman" w:hAnsi="Times New Roman"/>
          <w:b/>
          <w:sz w:val="24"/>
          <w:szCs w:val="24"/>
          <w:lang w:val="lv-LV"/>
        </w:rPr>
        <w:t xml:space="preserve">alsts enerģijas ietaupījuma mērķis </w:t>
      </w:r>
      <w:r w:rsidRPr="009179E5">
        <w:rPr>
          <w:rFonts w:ascii="Times New Roman" w:hAnsi="Times New Roman"/>
          <w:b/>
          <w:sz w:val="24"/>
          <w:szCs w:val="24"/>
          <w:lang w:val="lv-LV"/>
        </w:rPr>
        <w:t xml:space="preserve">enerģijas galapatēriņa </w:t>
      </w:r>
      <w:r w:rsidR="00AA4D1C" w:rsidRPr="009179E5">
        <w:rPr>
          <w:rFonts w:ascii="Times New Roman" w:hAnsi="Times New Roman"/>
          <w:b/>
          <w:sz w:val="24"/>
          <w:szCs w:val="24"/>
          <w:lang w:val="lv-LV"/>
        </w:rPr>
        <w:t>sektoros, GWh</w:t>
      </w:r>
    </w:p>
    <w:tbl>
      <w:tblPr>
        <w:tblW w:w="9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9"/>
        <w:gridCol w:w="776"/>
        <w:gridCol w:w="776"/>
        <w:gridCol w:w="776"/>
        <w:gridCol w:w="776"/>
        <w:gridCol w:w="776"/>
        <w:gridCol w:w="776"/>
        <w:gridCol w:w="776"/>
        <w:gridCol w:w="776"/>
        <w:gridCol w:w="776"/>
      </w:tblGrid>
      <w:tr w:rsidR="00AA4D1C" w:rsidRPr="009179E5" w:rsidTr="00BD404B">
        <w:trPr>
          <w:trHeight w:val="255"/>
        </w:trPr>
        <w:tc>
          <w:tcPr>
            <w:tcW w:w="2129" w:type="dxa"/>
            <w:shd w:val="clear" w:color="auto" w:fill="auto"/>
            <w:noWrap/>
            <w:vAlign w:val="bottom"/>
          </w:tcPr>
          <w:p w:rsidR="00AA4D1C" w:rsidRPr="009179E5" w:rsidRDefault="00AA4D1C" w:rsidP="00574AC8">
            <w:pPr>
              <w:spacing w:after="0" w:line="240" w:lineRule="auto"/>
              <w:jc w:val="both"/>
              <w:rPr>
                <w:rFonts w:ascii="Times New Roman" w:hAnsi="Times New Roman"/>
                <w:sz w:val="28"/>
                <w:szCs w:val="28"/>
                <w:lang w:val="lv-LV"/>
              </w:rPr>
            </w:pPr>
          </w:p>
        </w:tc>
        <w:tc>
          <w:tcPr>
            <w:tcW w:w="776" w:type="dxa"/>
            <w:shd w:val="clear" w:color="auto" w:fill="auto"/>
            <w:noWrap/>
            <w:vAlign w:val="bottom"/>
          </w:tcPr>
          <w:p w:rsidR="00AA4D1C" w:rsidRPr="009179E5" w:rsidRDefault="00AA4D1C" w:rsidP="00574AC8">
            <w:pPr>
              <w:spacing w:after="0" w:line="240" w:lineRule="auto"/>
              <w:jc w:val="center"/>
              <w:rPr>
                <w:rFonts w:ascii="Times New Roman" w:hAnsi="Times New Roman"/>
                <w:b/>
                <w:sz w:val="28"/>
                <w:szCs w:val="28"/>
                <w:lang w:val="lv-LV"/>
              </w:rPr>
            </w:pPr>
            <w:r w:rsidRPr="009179E5">
              <w:rPr>
                <w:rFonts w:ascii="Times New Roman" w:hAnsi="Times New Roman"/>
                <w:b/>
                <w:sz w:val="28"/>
                <w:szCs w:val="28"/>
                <w:lang w:val="lv-LV"/>
              </w:rPr>
              <w:t>2008</w:t>
            </w:r>
          </w:p>
        </w:tc>
        <w:tc>
          <w:tcPr>
            <w:tcW w:w="776" w:type="dxa"/>
            <w:shd w:val="clear" w:color="auto" w:fill="auto"/>
            <w:noWrap/>
            <w:vAlign w:val="bottom"/>
          </w:tcPr>
          <w:p w:rsidR="00AA4D1C" w:rsidRPr="009179E5" w:rsidRDefault="00AA4D1C" w:rsidP="00574AC8">
            <w:pPr>
              <w:spacing w:after="0" w:line="240" w:lineRule="auto"/>
              <w:jc w:val="center"/>
              <w:rPr>
                <w:rFonts w:ascii="Times New Roman" w:hAnsi="Times New Roman"/>
                <w:b/>
                <w:sz w:val="28"/>
                <w:szCs w:val="28"/>
                <w:lang w:val="lv-LV"/>
              </w:rPr>
            </w:pPr>
            <w:r w:rsidRPr="009179E5">
              <w:rPr>
                <w:rFonts w:ascii="Times New Roman" w:hAnsi="Times New Roman"/>
                <w:b/>
                <w:sz w:val="28"/>
                <w:szCs w:val="28"/>
                <w:lang w:val="lv-LV"/>
              </w:rPr>
              <w:t>2009</w:t>
            </w:r>
          </w:p>
        </w:tc>
        <w:tc>
          <w:tcPr>
            <w:tcW w:w="776" w:type="dxa"/>
            <w:shd w:val="clear" w:color="auto" w:fill="auto"/>
            <w:noWrap/>
            <w:vAlign w:val="bottom"/>
          </w:tcPr>
          <w:p w:rsidR="00AA4D1C" w:rsidRPr="009179E5" w:rsidRDefault="00AA4D1C" w:rsidP="00574AC8">
            <w:pPr>
              <w:spacing w:after="0" w:line="240" w:lineRule="auto"/>
              <w:jc w:val="center"/>
              <w:rPr>
                <w:rFonts w:ascii="Times New Roman" w:hAnsi="Times New Roman"/>
                <w:b/>
                <w:sz w:val="28"/>
                <w:szCs w:val="28"/>
                <w:lang w:val="lv-LV"/>
              </w:rPr>
            </w:pPr>
            <w:r w:rsidRPr="009179E5">
              <w:rPr>
                <w:rFonts w:ascii="Times New Roman" w:hAnsi="Times New Roman"/>
                <w:b/>
                <w:sz w:val="28"/>
                <w:szCs w:val="28"/>
                <w:lang w:val="lv-LV"/>
              </w:rPr>
              <w:t>2010</w:t>
            </w:r>
          </w:p>
        </w:tc>
        <w:tc>
          <w:tcPr>
            <w:tcW w:w="776" w:type="dxa"/>
            <w:shd w:val="clear" w:color="auto" w:fill="auto"/>
            <w:noWrap/>
            <w:vAlign w:val="bottom"/>
          </w:tcPr>
          <w:p w:rsidR="00AA4D1C" w:rsidRPr="009179E5" w:rsidRDefault="00AA4D1C" w:rsidP="00574AC8">
            <w:pPr>
              <w:spacing w:after="0" w:line="240" w:lineRule="auto"/>
              <w:jc w:val="center"/>
              <w:rPr>
                <w:rFonts w:ascii="Times New Roman" w:hAnsi="Times New Roman"/>
                <w:b/>
                <w:sz w:val="28"/>
                <w:szCs w:val="28"/>
                <w:lang w:val="lv-LV"/>
              </w:rPr>
            </w:pPr>
            <w:r w:rsidRPr="009179E5">
              <w:rPr>
                <w:rFonts w:ascii="Times New Roman" w:hAnsi="Times New Roman"/>
                <w:b/>
                <w:sz w:val="28"/>
                <w:szCs w:val="28"/>
                <w:lang w:val="lv-LV"/>
              </w:rPr>
              <w:t>2011</w:t>
            </w:r>
          </w:p>
        </w:tc>
        <w:tc>
          <w:tcPr>
            <w:tcW w:w="776" w:type="dxa"/>
            <w:shd w:val="clear" w:color="auto" w:fill="auto"/>
            <w:noWrap/>
            <w:vAlign w:val="bottom"/>
          </w:tcPr>
          <w:p w:rsidR="00AA4D1C" w:rsidRPr="009179E5" w:rsidRDefault="00AA4D1C" w:rsidP="00574AC8">
            <w:pPr>
              <w:spacing w:after="0" w:line="240" w:lineRule="auto"/>
              <w:jc w:val="center"/>
              <w:rPr>
                <w:rFonts w:ascii="Times New Roman" w:hAnsi="Times New Roman"/>
                <w:b/>
                <w:sz w:val="28"/>
                <w:szCs w:val="28"/>
                <w:lang w:val="lv-LV"/>
              </w:rPr>
            </w:pPr>
            <w:r w:rsidRPr="009179E5">
              <w:rPr>
                <w:rFonts w:ascii="Times New Roman" w:hAnsi="Times New Roman"/>
                <w:b/>
                <w:sz w:val="28"/>
                <w:szCs w:val="28"/>
                <w:lang w:val="lv-LV"/>
              </w:rPr>
              <w:t>2012</w:t>
            </w:r>
          </w:p>
        </w:tc>
        <w:tc>
          <w:tcPr>
            <w:tcW w:w="776" w:type="dxa"/>
            <w:shd w:val="clear" w:color="auto" w:fill="auto"/>
            <w:noWrap/>
            <w:vAlign w:val="bottom"/>
          </w:tcPr>
          <w:p w:rsidR="00AA4D1C" w:rsidRPr="009179E5" w:rsidRDefault="00AA4D1C" w:rsidP="00574AC8">
            <w:pPr>
              <w:spacing w:after="0" w:line="240" w:lineRule="auto"/>
              <w:jc w:val="center"/>
              <w:rPr>
                <w:rFonts w:ascii="Times New Roman" w:hAnsi="Times New Roman"/>
                <w:b/>
                <w:sz w:val="28"/>
                <w:szCs w:val="28"/>
                <w:lang w:val="lv-LV"/>
              </w:rPr>
            </w:pPr>
            <w:r w:rsidRPr="009179E5">
              <w:rPr>
                <w:rFonts w:ascii="Times New Roman" w:hAnsi="Times New Roman"/>
                <w:b/>
                <w:sz w:val="28"/>
                <w:szCs w:val="28"/>
                <w:lang w:val="lv-LV"/>
              </w:rPr>
              <w:t>2013</w:t>
            </w:r>
          </w:p>
        </w:tc>
        <w:tc>
          <w:tcPr>
            <w:tcW w:w="776" w:type="dxa"/>
            <w:shd w:val="clear" w:color="auto" w:fill="auto"/>
            <w:noWrap/>
            <w:vAlign w:val="bottom"/>
          </w:tcPr>
          <w:p w:rsidR="00AA4D1C" w:rsidRPr="009179E5" w:rsidRDefault="00AA4D1C" w:rsidP="00574AC8">
            <w:pPr>
              <w:spacing w:after="0" w:line="240" w:lineRule="auto"/>
              <w:jc w:val="center"/>
              <w:rPr>
                <w:rFonts w:ascii="Times New Roman" w:hAnsi="Times New Roman"/>
                <w:b/>
                <w:sz w:val="28"/>
                <w:szCs w:val="28"/>
                <w:lang w:val="lv-LV"/>
              </w:rPr>
            </w:pPr>
            <w:r w:rsidRPr="009179E5">
              <w:rPr>
                <w:rFonts w:ascii="Times New Roman" w:hAnsi="Times New Roman"/>
                <w:b/>
                <w:sz w:val="28"/>
                <w:szCs w:val="28"/>
                <w:lang w:val="lv-LV"/>
              </w:rPr>
              <w:t>2014</w:t>
            </w:r>
          </w:p>
        </w:tc>
        <w:tc>
          <w:tcPr>
            <w:tcW w:w="776" w:type="dxa"/>
            <w:shd w:val="clear" w:color="auto" w:fill="auto"/>
            <w:noWrap/>
            <w:vAlign w:val="bottom"/>
          </w:tcPr>
          <w:p w:rsidR="00AA4D1C" w:rsidRPr="009179E5" w:rsidRDefault="00AA4D1C" w:rsidP="00574AC8">
            <w:pPr>
              <w:spacing w:after="0" w:line="240" w:lineRule="auto"/>
              <w:jc w:val="center"/>
              <w:rPr>
                <w:rFonts w:ascii="Times New Roman" w:hAnsi="Times New Roman"/>
                <w:b/>
                <w:sz w:val="28"/>
                <w:szCs w:val="28"/>
                <w:lang w:val="lv-LV"/>
              </w:rPr>
            </w:pPr>
            <w:r w:rsidRPr="009179E5">
              <w:rPr>
                <w:rFonts w:ascii="Times New Roman" w:hAnsi="Times New Roman"/>
                <w:b/>
                <w:sz w:val="28"/>
                <w:szCs w:val="28"/>
                <w:lang w:val="lv-LV"/>
              </w:rPr>
              <w:t>2015</w:t>
            </w:r>
          </w:p>
        </w:tc>
        <w:tc>
          <w:tcPr>
            <w:tcW w:w="776" w:type="dxa"/>
            <w:shd w:val="clear" w:color="auto" w:fill="auto"/>
            <w:noWrap/>
            <w:vAlign w:val="bottom"/>
          </w:tcPr>
          <w:p w:rsidR="00AA4D1C" w:rsidRPr="009179E5" w:rsidRDefault="00AA4D1C" w:rsidP="00574AC8">
            <w:pPr>
              <w:spacing w:after="0" w:line="240" w:lineRule="auto"/>
              <w:jc w:val="center"/>
              <w:rPr>
                <w:rFonts w:ascii="Times New Roman" w:hAnsi="Times New Roman"/>
                <w:b/>
                <w:sz w:val="28"/>
                <w:szCs w:val="28"/>
                <w:lang w:val="lv-LV"/>
              </w:rPr>
            </w:pPr>
            <w:r w:rsidRPr="009179E5">
              <w:rPr>
                <w:rFonts w:ascii="Times New Roman" w:hAnsi="Times New Roman"/>
                <w:b/>
                <w:sz w:val="28"/>
                <w:szCs w:val="28"/>
                <w:lang w:val="lv-LV"/>
              </w:rPr>
              <w:t>2016</w:t>
            </w:r>
          </w:p>
        </w:tc>
      </w:tr>
      <w:tr w:rsidR="00AA4D1C" w:rsidRPr="009179E5" w:rsidTr="00BD404B">
        <w:trPr>
          <w:trHeight w:val="255"/>
        </w:trPr>
        <w:tc>
          <w:tcPr>
            <w:tcW w:w="2129" w:type="dxa"/>
            <w:shd w:val="clear" w:color="auto" w:fill="auto"/>
            <w:noWrap/>
            <w:vAlign w:val="bottom"/>
          </w:tcPr>
          <w:p w:rsidR="00AA4D1C" w:rsidRPr="009179E5" w:rsidRDefault="00AA4D1C" w:rsidP="00574AC8">
            <w:pPr>
              <w:spacing w:after="0" w:line="240" w:lineRule="auto"/>
              <w:jc w:val="both"/>
              <w:rPr>
                <w:rFonts w:ascii="Times New Roman" w:hAnsi="Times New Roman"/>
                <w:sz w:val="28"/>
                <w:szCs w:val="28"/>
                <w:lang w:val="lv-LV"/>
              </w:rPr>
            </w:pPr>
            <w:r w:rsidRPr="009179E5">
              <w:rPr>
                <w:rFonts w:ascii="Times New Roman" w:hAnsi="Times New Roman"/>
                <w:sz w:val="28"/>
                <w:szCs w:val="28"/>
                <w:lang w:val="lv-LV"/>
              </w:rPr>
              <w:t>Mājsaimniecības</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3</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15</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52</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360</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900</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1471</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1921</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2311</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2701</w:t>
            </w:r>
          </w:p>
        </w:tc>
      </w:tr>
      <w:tr w:rsidR="00AA4D1C" w:rsidRPr="009179E5" w:rsidTr="00BD404B">
        <w:trPr>
          <w:trHeight w:val="255"/>
        </w:trPr>
        <w:tc>
          <w:tcPr>
            <w:tcW w:w="2129" w:type="dxa"/>
            <w:shd w:val="clear" w:color="auto" w:fill="auto"/>
            <w:noWrap/>
            <w:vAlign w:val="bottom"/>
          </w:tcPr>
          <w:p w:rsidR="00AA4D1C" w:rsidRPr="009179E5" w:rsidRDefault="00AA4D1C" w:rsidP="00574AC8">
            <w:pPr>
              <w:spacing w:after="0" w:line="240" w:lineRule="auto"/>
              <w:jc w:val="both"/>
              <w:rPr>
                <w:rFonts w:ascii="Times New Roman" w:hAnsi="Times New Roman"/>
                <w:sz w:val="28"/>
                <w:szCs w:val="28"/>
                <w:lang w:val="lv-LV"/>
              </w:rPr>
            </w:pPr>
            <w:r w:rsidRPr="009179E5">
              <w:rPr>
                <w:rFonts w:ascii="Times New Roman" w:hAnsi="Times New Roman"/>
                <w:sz w:val="28"/>
                <w:szCs w:val="28"/>
                <w:lang w:val="lv-LV"/>
              </w:rPr>
              <w:t>Transports</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0</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1</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4</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26</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68</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111</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145</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175</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204</w:t>
            </w:r>
          </w:p>
        </w:tc>
      </w:tr>
      <w:tr w:rsidR="00AA4D1C" w:rsidRPr="009179E5" w:rsidTr="00BD404B">
        <w:trPr>
          <w:trHeight w:val="255"/>
        </w:trPr>
        <w:tc>
          <w:tcPr>
            <w:tcW w:w="2129" w:type="dxa"/>
            <w:shd w:val="clear" w:color="auto" w:fill="auto"/>
            <w:noWrap/>
            <w:vAlign w:val="bottom"/>
          </w:tcPr>
          <w:p w:rsidR="00AA4D1C" w:rsidRPr="009179E5" w:rsidRDefault="00AA4D1C" w:rsidP="00574AC8">
            <w:pPr>
              <w:spacing w:after="0" w:line="240" w:lineRule="auto"/>
              <w:jc w:val="both"/>
              <w:rPr>
                <w:rFonts w:ascii="Times New Roman" w:hAnsi="Times New Roman"/>
                <w:sz w:val="28"/>
                <w:szCs w:val="28"/>
                <w:lang w:val="lv-LV"/>
              </w:rPr>
            </w:pPr>
            <w:r w:rsidRPr="009179E5">
              <w:rPr>
                <w:rFonts w:ascii="Times New Roman" w:hAnsi="Times New Roman"/>
                <w:sz w:val="28"/>
                <w:szCs w:val="28"/>
                <w:lang w:val="lv-LV"/>
              </w:rPr>
              <w:t>Rūpniecība</w:t>
            </w:r>
            <w:r w:rsidR="00D50DCF" w:rsidRPr="009179E5">
              <w:rPr>
                <w:rFonts w:ascii="Times New Roman" w:hAnsi="Times New Roman"/>
                <w:sz w:val="28"/>
                <w:szCs w:val="28"/>
                <w:lang w:val="lv-LV"/>
              </w:rPr>
              <w:t xml:space="preserve"> un</w:t>
            </w:r>
          </w:p>
          <w:p w:rsidR="00AA4D1C" w:rsidRPr="009179E5" w:rsidRDefault="00E25D05" w:rsidP="00574AC8">
            <w:pPr>
              <w:spacing w:after="0" w:line="240" w:lineRule="auto"/>
              <w:jc w:val="both"/>
              <w:rPr>
                <w:rFonts w:ascii="Times New Roman" w:hAnsi="Times New Roman"/>
                <w:sz w:val="28"/>
                <w:szCs w:val="28"/>
                <w:lang w:val="lv-LV"/>
              </w:rPr>
            </w:pPr>
            <w:r w:rsidRPr="009179E5">
              <w:rPr>
                <w:rFonts w:ascii="Times New Roman" w:hAnsi="Times New Roman"/>
                <w:sz w:val="28"/>
                <w:szCs w:val="28"/>
                <w:lang w:val="lv-LV"/>
              </w:rPr>
              <w:t>L</w:t>
            </w:r>
            <w:r w:rsidR="00AA4D1C" w:rsidRPr="009179E5">
              <w:rPr>
                <w:rFonts w:ascii="Times New Roman" w:hAnsi="Times New Roman"/>
                <w:sz w:val="28"/>
                <w:szCs w:val="28"/>
                <w:lang w:val="lv-LV"/>
              </w:rPr>
              <w:t>auksaimniecība</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0</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1</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3</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23</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57</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92</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121</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147</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170</w:t>
            </w:r>
          </w:p>
        </w:tc>
      </w:tr>
      <w:tr w:rsidR="00AA4D1C" w:rsidRPr="009179E5" w:rsidTr="00BD404B">
        <w:trPr>
          <w:trHeight w:val="255"/>
        </w:trPr>
        <w:tc>
          <w:tcPr>
            <w:tcW w:w="2129" w:type="dxa"/>
            <w:shd w:val="clear" w:color="auto" w:fill="auto"/>
            <w:noWrap/>
            <w:vAlign w:val="bottom"/>
          </w:tcPr>
          <w:p w:rsidR="00AA4D1C" w:rsidRPr="009179E5" w:rsidRDefault="00AA4D1C" w:rsidP="00574AC8">
            <w:pPr>
              <w:spacing w:after="0" w:line="240" w:lineRule="auto"/>
              <w:jc w:val="both"/>
              <w:rPr>
                <w:rFonts w:ascii="Times New Roman" w:hAnsi="Times New Roman"/>
                <w:sz w:val="28"/>
                <w:szCs w:val="28"/>
                <w:lang w:val="lv-LV"/>
              </w:rPr>
            </w:pPr>
            <w:r w:rsidRPr="009179E5">
              <w:rPr>
                <w:rFonts w:ascii="Times New Roman" w:hAnsi="Times New Roman"/>
                <w:sz w:val="28"/>
                <w:szCs w:val="28"/>
                <w:lang w:val="lv-LV"/>
              </w:rPr>
              <w:t>Pakalpojumi</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1</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2</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8</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54</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136</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222</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290</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349</w:t>
            </w:r>
          </w:p>
        </w:tc>
        <w:tc>
          <w:tcPr>
            <w:tcW w:w="776" w:type="dxa"/>
            <w:shd w:val="clear" w:color="auto" w:fill="auto"/>
            <w:noWrap/>
            <w:vAlign w:val="bottom"/>
          </w:tcPr>
          <w:p w:rsidR="00AA4D1C" w:rsidRPr="009179E5" w:rsidRDefault="00AA4D1C" w:rsidP="00574AC8">
            <w:pPr>
              <w:spacing w:after="0" w:line="240" w:lineRule="auto"/>
              <w:jc w:val="right"/>
              <w:rPr>
                <w:rFonts w:ascii="Times New Roman" w:hAnsi="Times New Roman"/>
                <w:sz w:val="28"/>
                <w:szCs w:val="28"/>
                <w:lang w:val="lv-LV"/>
              </w:rPr>
            </w:pPr>
            <w:r w:rsidRPr="009179E5">
              <w:rPr>
                <w:rFonts w:ascii="Times New Roman" w:hAnsi="Times New Roman"/>
                <w:sz w:val="28"/>
                <w:szCs w:val="28"/>
                <w:lang w:val="lv-LV"/>
              </w:rPr>
              <w:t>408</w:t>
            </w:r>
          </w:p>
        </w:tc>
      </w:tr>
      <w:tr w:rsidR="003539DD" w:rsidRPr="009179E5" w:rsidTr="00BD404B">
        <w:trPr>
          <w:trHeight w:val="255"/>
        </w:trPr>
        <w:tc>
          <w:tcPr>
            <w:tcW w:w="2129" w:type="dxa"/>
            <w:shd w:val="clear" w:color="auto" w:fill="auto"/>
            <w:noWrap/>
            <w:vAlign w:val="bottom"/>
          </w:tcPr>
          <w:p w:rsidR="003539DD" w:rsidRPr="009179E5" w:rsidRDefault="003539DD" w:rsidP="00574AC8">
            <w:pPr>
              <w:spacing w:after="0" w:line="240" w:lineRule="auto"/>
              <w:jc w:val="both"/>
              <w:rPr>
                <w:rFonts w:ascii="Times New Roman" w:hAnsi="Times New Roman"/>
                <w:b/>
                <w:sz w:val="28"/>
                <w:szCs w:val="28"/>
                <w:lang w:val="lv-LV"/>
              </w:rPr>
            </w:pPr>
            <w:r w:rsidRPr="009179E5">
              <w:rPr>
                <w:rFonts w:ascii="Times New Roman" w:hAnsi="Times New Roman"/>
                <w:b/>
                <w:sz w:val="28"/>
                <w:szCs w:val="28"/>
                <w:lang w:val="lv-LV"/>
              </w:rPr>
              <w:t>KOPĀ:</w:t>
            </w:r>
          </w:p>
        </w:tc>
        <w:tc>
          <w:tcPr>
            <w:tcW w:w="776" w:type="dxa"/>
            <w:shd w:val="clear" w:color="auto" w:fill="auto"/>
            <w:noWrap/>
            <w:vAlign w:val="bottom"/>
          </w:tcPr>
          <w:p w:rsidR="003539DD" w:rsidRPr="009179E5" w:rsidRDefault="003539DD" w:rsidP="00574AC8">
            <w:pPr>
              <w:spacing w:after="0" w:line="240" w:lineRule="auto"/>
              <w:jc w:val="right"/>
              <w:rPr>
                <w:rFonts w:ascii="Times New Roman" w:hAnsi="Times New Roman"/>
                <w:b/>
                <w:sz w:val="28"/>
                <w:szCs w:val="28"/>
                <w:lang w:val="lv-LV"/>
              </w:rPr>
            </w:pPr>
            <w:r w:rsidRPr="009179E5">
              <w:rPr>
                <w:rFonts w:ascii="Times New Roman" w:hAnsi="Times New Roman"/>
                <w:b/>
                <w:sz w:val="28"/>
                <w:szCs w:val="28"/>
                <w:lang w:val="lv-LV"/>
              </w:rPr>
              <w:t>4</w:t>
            </w:r>
          </w:p>
        </w:tc>
        <w:tc>
          <w:tcPr>
            <w:tcW w:w="776" w:type="dxa"/>
            <w:shd w:val="clear" w:color="auto" w:fill="auto"/>
            <w:noWrap/>
            <w:vAlign w:val="bottom"/>
          </w:tcPr>
          <w:p w:rsidR="003539DD" w:rsidRPr="009179E5" w:rsidRDefault="003539DD" w:rsidP="00574AC8">
            <w:pPr>
              <w:spacing w:after="0" w:line="240" w:lineRule="auto"/>
              <w:jc w:val="right"/>
              <w:rPr>
                <w:rFonts w:ascii="Times New Roman" w:hAnsi="Times New Roman"/>
                <w:b/>
                <w:sz w:val="28"/>
                <w:szCs w:val="28"/>
                <w:lang w:val="lv-LV"/>
              </w:rPr>
            </w:pPr>
            <w:r w:rsidRPr="009179E5">
              <w:rPr>
                <w:rFonts w:ascii="Times New Roman" w:hAnsi="Times New Roman"/>
                <w:b/>
                <w:sz w:val="28"/>
                <w:szCs w:val="28"/>
                <w:lang w:val="lv-LV"/>
              </w:rPr>
              <w:t>19</w:t>
            </w:r>
          </w:p>
        </w:tc>
        <w:tc>
          <w:tcPr>
            <w:tcW w:w="776" w:type="dxa"/>
            <w:shd w:val="clear" w:color="auto" w:fill="auto"/>
            <w:noWrap/>
            <w:vAlign w:val="bottom"/>
          </w:tcPr>
          <w:p w:rsidR="003539DD" w:rsidRPr="009179E5" w:rsidRDefault="003539DD" w:rsidP="00574AC8">
            <w:pPr>
              <w:spacing w:after="0" w:line="240" w:lineRule="auto"/>
              <w:jc w:val="right"/>
              <w:rPr>
                <w:rFonts w:ascii="Times New Roman" w:hAnsi="Times New Roman"/>
                <w:b/>
                <w:sz w:val="28"/>
                <w:szCs w:val="28"/>
                <w:lang w:val="lv-LV"/>
              </w:rPr>
            </w:pPr>
            <w:r w:rsidRPr="009179E5">
              <w:rPr>
                <w:rFonts w:ascii="Times New Roman" w:hAnsi="Times New Roman"/>
                <w:b/>
                <w:sz w:val="28"/>
                <w:szCs w:val="28"/>
                <w:lang w:val="lv-LV"/>
              </w:rPr>
              <w:t>67</w:t>
            </w:r>
          </w:p>
        </w:tc>
        <w:tc>
          <w:tcPr>
            <w:tcW w:w="776" w:type="dxa"/>
            <w:shd w:val="clear" w:color="auto" w:fill="auto"/>
            <w:noWrap/>
            <w:vAlign w:val="bottom"/>
          </w:tcPr>
          <w:p w:rsidR="003539DD" w:rsidRPr="009179E5" w:rsidRDefault="003539DD" w:rsidP="00574AC8">
            <w:pPr>
              <w:spacing w:after="0" w:line="240" w:lineRule="auto"/>
              <w:jc w:val="right"/>
              <w:rPr>
                <w:rFonts w:ascii="Times New Roman" w:hAnsi="Times New Roman"/>
                <w:b/>
                <w:sz w:val="28"/>
                <w:szCs w:val="28"/>
                <w:lang w:val="lv-LV"/>
              </w:rPr>
            </w:pPr>
            <w:r w:rsidRPr="009179E5">
              <w:rPr>
                <w:rFonts w:ascii="Times New Roman" w:hAnsi="Times New Roman"/>
                <w:b/>
                <w:sz w:val="28"/>
                <w:szCs w:val="28"/>
                <w:lang w:val="lv-LV"/>
              </w:rPr>
              <w:t>464</w:t>
            </w:r>
          </w:p>
        </w:tc>
        <w:tc>
          <w:tcPr>
            <w:tcW w:w="776" w:type="dxa"/>
            <w:shd w:val="clear" w:color="auto" w:fill="auto"/>
            <w:noWrap/>
            <w:vAlign w:val="bottom"/>
          </w:tcPr>
          <w:p w:rsidR="003539DD" w:rsidRPr="009179E5" w:rsidRDefault="003539DD" w:rsidP="00574AC8">
            <w:pPr>
              <w:spacing w:after="0" w:line="240" w:lineRule="auto"/>
              <w:jc w:val="right"/>
              <w:rPr>
                <w:rFonts w:ascii="Times New Roman" w:hAnsi="Times New Roman"/>
                <w:b/>
                <w:sz w:val="28"/>
                <w:szCs w:val="28"/>
                <w:lang w:val="lv-LV"/>
              </w:rPr>
            </w:pPr>
            <w:r w:rsidRPr="009179E5">
              <w:rPr>
                <w:rFonts w:ascii="Times New Roman" w:hAnsi="Times New Roman"/>
                <w:b/>
                <w:sz w:val="28"/>
                <w:szCs w:val="28"/>
                <w:lang w:val="lv-LV"/>
              </w:rPr>
              <w:t>1161</w:t>
            </w:r>
          </w:p>
        </w:tc>
        <w:tc>
          <w:tcPr>
            <w:tcW w:w="776" w:type="dxa"/>
            <w:shd w:val="clear" w:color="auto" w:fill="auto"/>
            <w:noWrap/>
            <w:vAlign w:val="bottom"/>
          </w:tcPr>
          <w:p w:rsidR="003539DD" w:rsidRPr="009179E5" w:rsidRDefault="003539DD" w:rsidP="00574AC8">
            <w:pPr>
              <w:spacing w:after="0" w:line="240" w:lineRule="auto"/>
              <w:jc w:val="right"/>
              <w:rPr>
                <w:rFonts w:ascii="Times New Roman" w:hAnsi="Times New Roman"/>
                <w:b/>
                <w:sz w:val="28"/>
                <w:szCs w:val="28"/>
                <w:lang w:val="lv-LV"/>
              </w:rPr>
            </w:pPr>
            <w:r w:rsidRPr="009179E5">
              <w:rPr>
                <w:rFonts w:ascii="Times New Roman" w:hAnsi="Times New Roman"/>
                <w:b/>
                <w:sz w:val="28"/>
                <w:szCs w:val="28"/>
                <w:lang w:val="lv-LV"/>
              </w:rPr>
              <w:t>1896</w:t>
            </w:r>
          </w:p>
        </w:tc>
        <w:tc>
          <w:tcPr>
            <w:tcW w:w="776" w:type="dxa"/>
            <w:shd w:val="clear" w:color="auto" w:fill="auto"/>
            <w:noWrap/>
            <w:vAlign w:val="bottom"/>
          </w:tcPr>
          <w:p w:rsidR="003539DD" w:rsidRPr="009179E5" w:rsidRDefault="003539DD" w:rsidP="00574AC8">
            <w:pPr>
              <w:spacing w:after="0" w:line="240" w:lineRule="auto"/>
              <w:jc w:val="right"/>
              <w:rPr>
                <w:rFonts w:ascii="Times New Roman" w:hAnsi="Times New Roman"/>
                <w:b/>
                <w:sz w:val="28"/>
                <w:szCs w:val="28"/>
                <w:lang w:val="lv-LV"/>
              </w:rPr>
            </w:pPr>
            <w:r w:rsidRPr="009179E5">
              <w:rPr>
                <w:rFonts w:ascii="Times New Roman" w:hAnsi="Times New Roman"/>
                <w:b/>
                <w:sz w:val="28"/>
                <w:szCs w:val="28"/>
                <w:lang w:val="lv-LV"/>
              </w:rPr>
              <w:t>2477</w:t>
            </w:r>
          </w:p>
        </w:tc>
        <w:tc>
          <w:tcPr>
            <w:tcW w:w="776" w:type="dxa"/>
            <w:shd w:val="clear" w:color="auto" w:fill="auto"/>
            <w:noWrap/>
            <w:vAlign w:val="bottom"/>
          </w:tcPr>
          <w:p w:rsidR="003539DD" w:rsidRPr="009179E5" w:rsidRDefault="003539DD" w:rsidP="00574AC8">
            <w:pPr>
              <w:spacing w:after="0" w:line="240" w:lineRule="auto"/>
              <w:jc w:val="right"/>
              <w:rPr>
                <w:rFonts w:ascii="Times New Roman" w:hAnsi="Times New Roman"/>
                <w:b/>
                <w:sz w:val="28"/>
                <w:szCs w:val="28"/>
                <w:lang w:val="lv-LV"/>
              </w:rPr>
            </w:pPr>
            <w:r w:rsidRPr="009179E5">
              <w:rPr>
                <w:rFonts w:ascii="Times New Roman" w:hAnsi="Times New Roman"/>
                <w:b/>
                <w:sz w:val="28"/>
                <w:szCs w:val="28"/>
                <w:lang w:val="lv-LV"/>
              </w:rPr>
              <w:t>2980</w:t>
            </w:r>
          </w:p>
        </w:tc>
        <w:tc>
          <w:tcPr>
            <w:tcW w:w="776" w:type="dxa"/>
            <w:shd w:val="clear" w:color="auto" w:fill="auto"/>
            <w:noWrap/>
            <w:vAlign w:val="bottom"/>
          </w:tcPr>
          <w:p w:rsidR="003539DD" w:rsidRPr="009179E5" w:rsidRDefault="003539DD" w:rsidP="00574AC8">
            <w:pPr>
              <w:spacing w:after="0" w:line="240" w:lineRule="auto"/>
              <w:jc w:val="right"/>
              <w:rPr>
                <w:rFonts w:ascii="Times New Roman" w:hAnsi="Times New Roman"/>
                <w:b/>
                <w:sz w:val="28"/>
                <w:szCs w:val="28"/>
                <w:lang w:val="lv-LV"/>
              </w:rPr>
            </w:pPr>
            <w:r w:rsidRPr="009179E5">
              <w:rPr>
                <w:rFonts w:ascii="Times New Roman" w:hAnsi="Times New Roman"/>
                <w:b/>
                <w:sz w:val="28"/>
                <w:szCs w:val="28"/>
                <w:lang w:val="lv-LV"/>
              </w:rPr>
              <w:t>3483</w:t>
            </w:r>
          </w:p>
        </w:tc>
      </w:tr>
    </w:tbl>
    <w:p w:rsidR="00AA4D1C" w:rsidRPr="009179E5" w:rsidRDefault="00AA4D1C" w:rsidP="00574AC8">
      <w:pPr>
        <w:spacing w:before="120" w:after="120" w:line="240" w:lineRule="auto"/>
        <w:rPr>
          <w:rFonts w:ascii="Times New Roman" w:hAnsi="Times New Roman"/>
          <w:sz w:val="28"/>
          <w:szCs w:val="28"/>
          <w:lang w:val="lv-LV"/>
        </w:rPr>
      </w:pPr>
    </w:p>
    <w:p w:rsidR="00A20346" w:rsidRPr="009179E5" w:rsidRDefault="00F469D8" w:rsidP="00574AC8">
      <w:pPr>
        <w:spacing w:before="120" w:after="120" w:line="240" w:lineRule="auto"/>
        <w:jc w:val="both"/>
        <w:rPr>
          <w:rFonts w:ascii="Times New Roman" w:hAnsi="Times New Roman"/>
          <w:sz w:val="28"/>
          <w:szCs w:val="28"/>
          <w:lang w:val="lv-LV"/>
        </w:rPr>
      </w:pPr>
      <w:r w:rsidRPr="009179E5">
        <w:rPr>
          <w:rFonts w:ascii="Times New Roman" w:hAnsi="Times New Roman"/>
          <w:b/>
          <w:sz w:val="28"/>
          <w:szCs w:val="28"/>
          <w:lang w:val="lv-LV"/>
        </w:rPr>
        <w:t xml:space="preserve">Atbilstoši Enerģijas galapatēriņa </w:t>
      </w:r>
      <w:r w:rsidR="005D52D2" w:rsidRPr="009179E5">
        <w:rPr>
          <w:rFonts w:ascii="Times New Roman" w:hAnsi="Times New Roman"/>
          <w:b/>
          <w:sz w:val="28"/>
          <w:szCs w:val="28"/>
          <w:lang w:val="lv-LV"/>
        </w:rPr>
        <w:t xml:space="preserve">efektivitātes </w:t>
      </w:r>
      <w:r w:rsidRPr="009179E5">
        <w:rPr>
          <w:rFonts w:ascii="Times New Roman" w:hAnsi="Times New Roman"/>
          <w:b/>
          <w:sz w:val="28"/>
          <w:szCs w:val="28"/>
          <w:lang w:val="lv-LV"/>
        </w:rPr>
        <w:t xml:space="preserve">likuma 17.panta prasībām, </w:t>
      </w:r>
      <w:r w:rsidR="00C13D77" w:rsidRPr="009179E5">
        <w:rPr>
          <w:rFonts w:ascii="Times New Roman" w:hAnsi="Times New Roman"/>
          <w:b/>
          <w:sz w:val="28"/>
          <w:szCs w:val="28"/>
          <w:lang w:val="lv-LV"/>
        </w:rPr>
        <w:t>2.EERP</w:t>
      </w:r>
      <w:r w:rsidRPr="009179E5">
        <w:rPr>
          <w:rFonts w:ascii="Times New Roman" w:hAnsi="Times New Roman"/>
          <w:b/>
          <w:sz w:val="28"/>
          <w:szCs w:val="28"/>
          <w:lang w:val="lv-LV"/>
        </w:rPr>
        <w:t xml:space="preserve"> ir izstrādā</w:t>
      </w:r>
      <w:r w:rsidR="005D52D2" w:rsidRPr="009179E5">
        <w:rPr>
          <w:rFonts w:ascii="Times New Roman" w:hAnsi="Times New Roman"/>
          <w:b/>
          <w:sz w:val="28"/>
          <w:szCs w:val="28"/>
          <w:lang w:val="lv-LV"/>
        </w:rPr>
        <w:t>jams</w:t>
      </w:r>
      <w:r w:rsidRPr="009179E5">
        <w:rPr>
          <w:rFonts w:ascii="Times New Roman" w:hAnsi="Times New Roman"/>
          <w:b/>
          <w:sz w:val="28"/>
          <w:szCs w:val="28"/>
          <w:lang w:val="lv-LV"/>
        </w:rPr>
        <w:t xml:space="preserve"> </w:t>
      </w:r>
      <w:r w:rsidR="00213F7C" w:rsidRPr="009179E5">
        <w:rPr>
          <w:rFonts w:ascii="Times New Roman" w:hAnsi="Times New Roman"/>
          <w:b/>
          <w:sz w:val="28"/>
          <w:szCs w:val="28"/>
          <w:lang w:val="lv-LV"/>
        </w:rPr>
        <w:t xml:space="preserve">attiecībā </w:t>
      </w:r>
      <w:r w:rsidRPr="009179E5">
        <w:rPr>
          <w:rFonts w:ascii="Times New Roman" w:hAnsi="Times New Roman"/>
          <w:b/>
          <w:sz w:val="28"/>
          <w:szCs w:val="28"/>
          <w:lang w:val="lv-LV"/>
        </w:rPr>
        <w:t xml:space="preserve">tikai </w:t>
      </w:r>
      <w:r w:rsidR="00213F7C" w:rsidRPr="009179E5">
        <w:rPr>
          <w:rFonts w:ascii="Times New Roman" w:hAnsi="Times New Roman"/>
          <w:b/>
          <w:sz w:val="28"/>
          <w:szCs w:val="28"/>
          <w:lang w:val="lv-LV"/>
        </w:rPr>
        <w:t xml:space="preserve">uz </w:t>
      </w:r>
      <w:r w:rsidRPr="009179E5">
        <w:rPr>
          <w:rFonts w:ascii="Times New Roman" w:hAnsi="Times New Roman"/>
          <w:b/>
          <w:sz w:val="28"/>
          <w:szCs w:val="28"/>
          <w:lang w:val="lv-LV"/>
        </w:rPr>
        <w:t>enerģijas galapatēriņa sektoriem.</w:t>
      </w:r>
      <w:r w:rsidRPr="009179E5">
        <w:rPr>
          <w:rFonts w:ascii="Times New Roman" w:hAnsi="Times New Roman"/>
          <w:sz w:val="28"/>
          <w:szCs w:val="28"/>
          <w:lang w:val="lv-LV"/>
        </w:rPr>
        <w:t xml:space="preserve"> </w:t>
      </w:r>
      <w:r w:rsidR="00D215A0" w:rsidRPr="009179E5">
        <w:rPr>
          <w:rFonts w:ascii="Times New Roman" w:hAnsi="Times New Roman"/>
          <w:sz w:val="28"/>
          <w:szCs w:val="28"/>
          <w:lang w:val="lv-LV"/>
        </w:rPr>
        <w:t>Aprēķinot un n</w:t>
      </w:r>
      <w:r w:rsidR="00A20346" w:rsidRPr="009179E5">
        <w:rPr>
          <w:rFonts w:ascii="Times New Roman" w:hAnsi="Times New Roman"/>
          <w:sz w:val="28"/>
          <w:szCs w:val="28"/>
          <w:lang w:val="lv-LV"/>
        </w:rPr>
        <w:t>osakot enerģijas ietaupījuma mērķ</w:t>
      </w:r>
      <w:r w:rsidR="004E43A3" w:rsidRPr="009179E5">
        <w:rPr>
          <w:rFonts w:ascii="Times New Roman" w:hAnsi="Times New Roman"/>
          <w:sz w:val="28"/>
          <w:szCs w:val="28"/>
          <w:lang w:val="lv-LV"/>
        </w:rPr>
        <w:t>i</w:t>
      </w:r>
      <w:r w:rsidR="00A20346" w:rsidRPr="009179E5">
        <w:rPr>
          <w:rFonts w:ascii="Times New Roman" w:hAnsi="Times New Roman"/>
          <w:sz w:val="28"/>
          <w:szCs w:val="28"/>
          <w:lang w:val="lv-LV"/>
        </w:rPr>
        <w:t xml:space="preserve"> 2020.gadam, </w:t>
      </w:r>
      <w:r w:rsidR="00C13D77" w:rsidRPr="009179E5">
        <w:rPr>
          <w:rFonts w:ascii="Times New Roman" w:hAnsi="Times New Roman"/>
          <w:sz w:val="28"/>
          <w:szCs w:val="28"/>
          <w:lang w:val="lv-LV"/>
        </w:rPr>
        <w:t>2.EERP</w:t>
      </w:r>
      <w:r w:rsidR="00A20346" w:rsidRPr="009179E5">
        <w:rPr>
          <w:rFonts w:ascii="Times New Roman" w:hAnsi="Times New Roman"/>
          <w:sz w:val="28"/>
          <w:szCs w:val="28"/>
          <w:lang w:val="lv-LV"/>
        </w:rPr>
        <w:t xml:space="preserve"> tiek ņemts vērā EK vadlīniju ieteikums novērtēt iespējamos enerģijas ietaupījum</w:t>
      </w:r>
      <w:r w:rsidR="004E43A3" w:rsidRPr="009179E5">
        <w:rPr>
          <w:rFonts w:ascii="Times New Roman" w:hAnsi="Times New Roman"/>
          <w:sz w:val="28"/>
          <w:szCs w:val="28"/>
          <w:lang w:val="lv-LV"/>
        </w:rPr>
        <w:t>u</w:t>
      </w:r>
      <w:r w:rsidR="00A20346" w:rsidRPr="009179E5">
        <w:rPr>
          <w:rFonts w:ascii="Times New Roman" w:hAnsi="Times New Roman"/>
          <w:sz w:val="28"/>
          <w:szCs w:val="28"/>
          <w:lang w:val="lv-LV"/>
        </w:rPr>
        <w:t xml:space="preserve">s </w:t>
      </w:r>
      <w:r w:rsidR="007613A1" w:rsidRPr="009179E5">
        <w:rPr>
          <w:rFonts w:ascii="Times New Roman" w:hAnsi="Times New Roman"/>
          <w:sz w:val="28"/>
          <w:szCs w:val="28"/>
          <w:lang w:val="lv-LV"/>
        </w:rPr>
        <w:t xml:space="preserve">arī </w:t>
      </w:r>
      <w:r w:rsidR="00A20346" w:rsidRPr="009179E5">
        <w:rPr>
          <w:rFonts w:ascii="Times New Roman" w:hAnsi="Times New Roman"/>
          <w:sz w:val="28"/>
          <w:szCs w:val="28"/>
          <w:lang w:val="lv-LV"/>
        </w:rPr>
        <w:t>pārveidošanas sektorā. Enerģijas ietaupījuma mērķis 2020.gadam t</w:t>
      </w:r>
      <w:r w:rsidR="003539DD" w:rsidRPr="009179E5">
        <w:rPr>
          <w:rFonts w:ascii="Times New Roman" w:hAnsi="Times New Roman"/>
          <w:sz w:val="28"/>
          <w:szCs w:val="28"/>
          <w:lang w:val="lv-LV"/>
        </w:rPr>
        <w:t>iek noteikts gan enerģijas gala</w:t>
      </w:r>
      <w:r w:rsidR="00A20346" w:rsidRPr="009179E5">
        <w:rPr>
          <w:rFonts w:ascii="Times New Roman" w:hAnsi="Times New Roman"/>
          <w:sz w:val="28"/>
          <w:szCs w:val="28"/>
          <w:lang w:val="lv-LV"/>
        </w:rPr>
        <w:t>patēriņa sektoriem, gan primārajiem energoresursiem.</w:t>
      </w:r>
    </w:p>
    <w:p w:rsidR="00A20346" w:rsidRPr="009179E5" w:rsidRDefault="00A20346"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Tā kā </w:t>
      </w:r>
      <w:r w:rsidRPr="009179E5">
        <w:rPr>
          <w:rFonts w:ascii="Times New Roman" w:hAnsi="Times New Roman"/>
          <w:bCs/>
          <w:sz w:val="28"/>
          <w:szCs w:val="28"/>
          <w:lang w:val="lv-LV"/>
        </w:rPr>
        <w:t xml:space="preserve">Ministru kabineta </w:t>
      </w:r>
      <w:r w:rsidR="000121D1" w:rsidRPr="009179E5">
        <w:rPr>
          <w:rFonts w:ascii="Times New Roman" w:hAnsi="Times New Roman"/>
          <w:sz w:val="28"/>
          <w:szCs w:val="28"/>
          <w:lang w:val="lv-LV"/>
        </w:rPr>
        <w:t xml:space="preserve">2010.gada 30.septembra </w:t>
      </w:r>
      <w:r w:rsidRPr="009179E5">
        <w:rPr>
          <w:rFonts w:ascii="Times New Roman" w:hAnsi="Times New Roman"/>
          <w:bCs/>
          <w:sz w:val="28"/>
          <w:szCs w:val="28"/>
          <w:lang w:val="lv-LV"/>
        </w:rPr>
        <w:t>noteikumi Nr.923</w:t>
      </w:r>
      <w:r w:rsidRPr="009179E5">
        <w:rPr>
          <w:rFonts w:ascii="Times New Roman" w:hAnsi="Times New Roman"/>
          <w:sz w:val="28"/>
          <w:szCs w:val="28"/>
          <w:lang w:val="lv-LV"/>
        </w:rPr>
        <w:t xml:space="preserve"> „Kārtība, kādā uzskaita valsts enerģijas galapatēriņa ietaupījumu un nodrošina energoefektivitātes monitoringa sistēmas darbību”</w:t>
      </w:r>
      <w:r w:rsidR="00E75551" w:rsidRPr="009179E5">
        <w:rPr>
          <w:rFonts w:ascii="Times New Roman" w:hAnsi="Times New Roman"/>
          <w:sz w:val="28"/>
          <w:szCs w:val="28"/>
          <w:lang w:val="lv-LV"/>
        </w:rPr>
        <w:t xml:space="preserve"> (turpmāk tekstā – MK noteikumi Nr.923)</w:t>
      </w:r>
      <w:r w:rsidRPr="009179E5">
        <w:rPr>
          <w:rFonts w:ascii="Times New Roman" w:hAnsi="Times New Roman"/>
          <w:sz w:val="28"/>
          <w:szCs w:val="28"/>
          <w:lang w:val="lv-LV"/>
        </w:rPr>
        <w:t xml:space="preserve"> stājušies spēkā tikai 2010.gada 6.oktobrī, tad 2011.gada maijā, kad tiek sagatavot</w:t>
      </w:r>
      <w:r w:rsidR="000121D1" w:rsidRPr="009179E5">
        <w:rPr>
          <w:rFonts w:ascii="Times New Roman" w:hAnsi="Times New Roman"/>
          <w:sz w:val="28"/>
          <w:szCs w:val="28"/>
          <w:lang w:val="lv-LV"/>
        </w:rPr>
        <w:t>a</w:t>
      </w:r>
      <w:r w:rsidRPr="009179E5">
        <w:rPr>
          <w:rFonts w:ascii="Times New Roman" w:hAnsi="Times New Roman"/>
          <w:sz w:val="28"/>
          <w:szCs w:val="28"/>
          <w:lang w:val="lv-LV"/>
        </w:rPr>
        <w:t xml:space="preserve"> </w:t>
      </w:r>
      <w:r w:rsidR="00C13D77" w:rsidRPr="009179E5">
        <w:rPr>
          <w:rFonts w:ascii="Times New Roman" w:hAnsi="Times New Roman"/>
          <w:sz w:val="28"/>
          <w:szCs w:val="28"/>
          <w:lang w:val="lv-LV"/>
        </w:rPr>
        <w:t>2.EERP</w:t>
      </w:r>
      <w:r w:rsidRPr="009179E5">
        <w:rPr>
          <w:rFonts w:ascii="Times New Roman" w:hAnsi="Times New Roman"/>
          <w:sz w:val="28"/>
          <w:szCs w:val="28"/>
          <w:lang w:val="lv-LV"/>
        </w:rPr>
        <w:t xml:space="preserve"> gala v</w:t>
      </w:r>
      <w:r w:rsidR="000121D1" w:rsidRPr="009179E5">
        <w:rPr>
          <w:rFonts w:ascii="Times New Roman" w:hAnsi="Times New Roman"/>
          <w:sz w:val="28"/>
          <w:szCs w:val="28"/>
          <w:lang w:val="lv-LV"/>
        </w:rPr>
        <w:t>ersija</w:t>
      </w:r>
      <w:r w:rsidRPr="009179E5">
        <w:rPr>
          <w:rFonts w:ascii="Times New Roman" w:hAnsi="Times New Roman"/>
          <w:sz w:val="28"/>
          <w:szCs w:val="28"/>
          <w:lang w:val="lv-LV"/>
        </w:rPr>
        <w:t xml:space="preserve">, </w:t>
      </w:r>
      <w:r w:rsidR="007613A1" w:rsidRPr="009179E5">
        <w:rPr>
          <w:rFonts w:ascii="Times New Roman" w:hAnsi="Times New Roman"/>
          <w:sz w:val="28"/>
          <w:szCs w:val="28"/>
          <w:lang w:val="lv-LV"/>
        </w:rPr>
        <w:t xml:space="preserve">Ekonomikas ministrijas rīcībā </w:t>
      </w:r>
      <w:r w:rsidRPr="009179E5">
        <w:rPr>
          <w:rFonts w:ascii="Times New Roman" w:hAnsi="Times New Roman"/>
          <w:sz w:val="28"/>
          <w:szCs w:val="28"/>
          <w:lang w:val="lv-LV"/>
        </w:rPr>
        <w:t xml:space="preserve">nav pieejami enerģijas monitoringa dati par </w:t>
      </w:r>
      <w:r w:rsidR="004C0417" w:rsidRPr="009179E5">
        <w:rPr>
          <w:rFonts w:ascii="Times New Roman" w:hAnsi="Times New Roman"/>
          <w:sz w:val="28"/>
          <w:szCs w:val="28"/>
          <w:lang w:val="lv-LV"/>
        </w:rPr>
        <w:t>energoefektivitātes paaugstināšanas p</w:t>
      </w:r>
      <w:r w:rsidRPr="009179E5">
        <w:rPr>
          <w:rFonts w:ascii="Times New Roman" w:hAnsi="Times New Roman"/>
          <w:sz w:val="28"/>
          <w:szCs w:val="28"/>
          <w:lang w:val="lv-LV"/>
        </w:rPr>
        <w:t xml:space="preserve">rogrammām, kuras apstiprinātas pirms šo Ministru kabineta noteikumu </w:t>
      </w:r>
      <w:r w:rsidR="004C0417" w:rsidRPr="009179E5">
        <w:rPr>
          <w:rFonts w:ascii="Times New Roman" w:hAnsi="Times New Roman"/>
          <w:sz w:val="28"/>
          <w:szCs w:val="28"/>
          <w:lang w:val="lv-LV"/>
        </w:rPr>
        <w:t xml:space="preserve">stāšanās spēkā. Enerģijas ietaupījumi atsevišķiem galapatēriņa sektoriem </w:t>
      </w:r>
      <w:r w:rsidR="00C13D77" w:rsidRPr="009179E5">
        <w:rPr>
          <w:rFonts w:ascii="Times New Roman" w:hAnsi="Times New Roman"/>
          <w:sz w:val="28"/>
          <w:szCs w:val="28"/>
          <w:lang w:val="lv-LV"/>
        </w:rPr>
        <w:t>1.EERP</w:t>
      </w:r>
      <w:r w:rsidRPr="009179E5">
        <w:rPr>
          <w:rFonts w:ascii="Times New Roman" w:hAnsi="Times New Roman"/>
          <w:sz w:val="28"/>
          <w:szCs w:val="28"/>
          <w:lang w:val="lv-LV"/>
        </w:rPr>
        <w:t xml:space="preserve"> ir aprēķināti</w:t>
      </w:r>
      <w:r w:rsidR="000121D1" w:rsidRPr="009179E5">
        <w:rPr>
          <w:rFonts w:ascii="Times New Roman" w:hAnsi="Times New Roman"/>
          <w:sz w:val="28"/>
          <w:szCs w:val="28"/>
          <w:lang w:val="lv-LV"/>
        </w:rPr>
        <w:t>,</w:t>
      </w:r>
      <w:r w:rsidRPr="009179E5">
        <w:rPr>
          <w:rFonts w:ascii="Times New Roman" w:hAnsi="Times New Roman"/>
          <w:sz w:val="28"/>
          <w:szCs w:val="28"/>
          <w:lang w:val="lv-LV"/>
        </w:rPr>
        <w:t xml:space="preserve"> izmantojot tikai lejup</w:t>
      </w:r>
      <w:r w:rsidR="00FC10A6" w:rsidRPr="009179E5">
        <w:rPr>
          <w:rFonts w:ascii="Times New Roman" w:hAnsi="Times New Roman"/>
          <w:sz w:val="28"/>
          <w:szCs w:val="28"/>
          <w:lang w:val="lv-LV"/>
        </w:rPr>
        <w:t>vērst</w:t>
      </w:r>
      <w:r w:rsidRPr="009179E5">
        <w:rPr>
          <w:rFonts w:ascii="Times New Roman" w:hAnsi="Times New Roman"/>
          <w:sz w:val="28"/>
          <w:szCs w:val="28"/>
          <w:lang w:val="lv-LV"/>
        </w:rPr>
        <w:t>o enerģijas ietaupījumu aprēķināšanas metodiku</w:t>
      </w:r>
      <w:r w:rsidR="000121D1" w:rsidRPr="009179E5">
        <w:rPr>
          <w:rFonts w:ascii="Times New Roman" w:hAnsi="Times New Roman"/>
          <w:sz w:val="28"/>
          <w:szCs w:val="28"/>
          <w:lang w:val="lv-LV"/>
        </w:rPr>
        <w:t xml:space="preserve"> (top-down)</w:t>
      </w:r>
      <w:r w:rsidR="004C0417" w:rsidRPr="009179E5">
        <w:rPr>
          <w:rFonts w:ascii="Times New Roman" w:hAnsi="Times New Roman"/>
          <w:sz w:val="28"/>
          <w:szCs w:val="28"/>
          <w:lang w:val="lv-LV"/>
        </w:rPr>
        <w:t>.</w:t>
      </w:r>
      <w:r w:rsidR="00E672D9" w:rsidRPr="009179E5">
        <w:rPr>
          <w:rFonts w:ascii="Times New Roman" w:hAnsi="Times New Roman"/>
          <w:sz w:val="28"/>
          <w:szCs w:val="28"/>
          <w:lang w:val="lv-LV"/>
        </w:rPr>
        <w:t xml:space="preserve"> </w:t>
      </w:r>
      <w:r w:rsidR="00C13D77" w:rsidRPr="009179E5">
        <w:rPr>
          <w:rFonts w:ascii="Times New Roman" w:hAnsi="Times New Roman"/>
          <w:sz w:val="28"/>
          <w:szCs w:val="28"/>
          <w:lang w:val="lv-LV"/>
        </w:rPr>
        <w:t>2.EERP</w:t>
      </w:r>
      <w:r w:rsidR="00E672D9" w:rsidRPr="009179E5">
        <w:rPr>
          <w:rFonts w:ascii="Times New Roman" w:hAnsi="Times New Roman"/>
          <w:sz w:val="28"/>
          <w:szCs w:val="28"/>
          <w:lang w:val="lv-LV"/>
        </w:rPr>
        <w:t xml:space="preserve"> izstrādē izmantoti Centrālās statistikas pārvaldes dati, kā arī atsevišķu energoefektivitātes pasākumu plānoto enerģijas ietaupījumu novērtējums.</w:t>
      </w:r>
      <w:r w:rsidR="00AD35C8" w:rsidRPr="009179E5">
        <w:rPr>
          <w:rFonts w:ascii="Times New Roman" w:hAnsi="Times New Roman"/>
          <w:sz w:val="28"/>
          <w:szCs w:val="28"/>
          <w:lang w:val="lv-LV"/>
        </w:rPr>
        <w:t xml:space="preserve"> Plānotie un iegūtie enerģijas ietaupījumi  enerģijas galapatēriņa sektoros un plānotie kopējie enerģijas ietaupījumi</w:t>
      </w:r>
      <w:r w:rsidR="00CE6D47" w:rsidRPr="009179E5">
        <w:rPr>
          <w:rFonts w:ascii="Times New Roman" w:hAnsi="Times New Roman"/>
          <w:sz w:val="28"/>
          <w:szCs w:val="28"/>
          <w:lang w:val="lv-LV"/>
        </w:rPr>
        <w:t xml:space="preserve"> (enerģijas ietaupījums gan galapatēriņa sektoros, gan primārās enerģijas ietaupījums)</w:t>
      </w:r>
      <w:r w:rsidR="00AD35C8" w:rsidRPr="009179E5">
        <w:rPr>
          <w:rFonts w:ascii="Times New Roman" w:hAnsi="Times New Roman"/>
          <w:sz w:val="28"/>
          <w:szCs w:val="28"/>
          <w:lang w:val="lv-LV"/>
        </w:rPr>
        <w:t xml:space="preserve"> 2020.gadam</w:t>
      </w:r>
      <w:r w:rsidR="007613A1" w:rsidRPr="009179E5">
        <w:rPr>
          <w:rFonts w:ascii="Times New Roman" w:hAnsi="Times New Roman"/>
          <w:sz w:val="28"/>
          <w:szCs w:val="28"/>
          <w:lang w:val="lv-LV"/>
        </w:rPr>
        <w:t xml:space="preserve"> </w:t>
      </w:r>
      <w:r w:rsidR="00AD35C8" w:rsidRPr="009179E5">
        <w:rPr>
          <w:rFonts w:ascii="Times New Roman" w:hAnsi="Times New Roman"/>
          <w:sz w:val="28"/>
          <w:szCs w:val="28"/>
          <w:lang w:val="lv-LV"/>
        </w:rPr>
        <w:t>apkopoti 2.tabulā.</w:t>
      </w:r>
    </w:p>
    <w:p w:rsidR="007A2876" w:rsidRPr="009179E5" w:rsidRDefault="007A2876" w:rsidP="00574AC8">
      <w:pPr>
        <w:spacing w:before="120" w:after="120" w:line="240" w:lineRule="auto"/>
        <w:jc w:val="both"/>
        <w:rPr>
          <w:rFonts w:ascii="Times New Roman" w:hAnsi="Times New Roman"/>
          <w:sz w:val="28"/>
          <w:szCs w:val="28"/>
          <w:lang w:val="lv-LV"/>
        </w:rPr>
      </w:pPr>
    </w:p>
    <w:p w:rsidR="007A2876" w:rsidRPr="009179E5" w:rsidRDefault="007A2876" w:rsidP="00574AC8">
      <w:pPr>
        <w:spacing w:before="120" w:after="120" w:line="240" w:lineRule="auto"/>
        <w:jc w:val="both"/>
        <w:rPr>
          <w:rFonts w:ascii="Times New Roman" w:hAnsi="Times New Roman"/>
          <w:sz w:val="28"/>
          <w:szCs w:val="28"/>
          <w:lang w:val="lv-LV"/>
        </w:rPr>
      </w:pPr>
    </w:p>
    <w:p w:rsidR="007A2876" w:rsidRPr="009179E5" w:rsidRDefault="007A2876" w:rsidP="00574AC8">
      <w:pPr>
        <w:spacing w:before="120" w:after="120" w:line="240" w:lineRule="auto"/>
        <w:jc w:val="both"/>
        <w:rPr>
          <w:rFonts w:ascii="Times New Roman" w:hAnsi="Times New Roman"/>
          <w:sz w:val="28"/>
          <w:szCs w:val="28"/>
          <w:lang w:val="lv-LV"/>
        </w:rPr>
      </w:pPr>
    </w:p>
    <w:p w:rsidR="00E712D4" w:rsidRPr="009179E5" w:rsidRDefault="00AD35C8" w:rsidP="00E712D4">
      <w:pPr>
        <w:spacing w:after="0" w:line="240" w:lineRule="auto"/>
        <w:jc w:val="right"/>
        <w:rPr>
          <w:rFonts w:ascii="Times New Roman" w:hAnsi="Times New Roman"/>
          <w:sz w:val="28"/>
          <w:szCs w:val="28"/>
          <w:lang w:val="lv-LV"/>
        </w:rPr>
      </w:pPr>
      <w:r w:rsidRPr="009179E5">
        <w:rPr>
          <w:rFonts w:ascii="Times New Roman" w:hAnsi="Times New Roman"/>
          <w:b/>
          <w:sz w:val="24"/>
          <w:szCs w:val="24"/>
          <w:lang w:val="lv-LV"/>
        </w:rPr>
        <w:lastRenderedPageBreak/>
        <w:t>2.tabula</w:t>
      </w:r>
    </w:p>
    <w:p w:rsidR="00A20346" w:rsidRPr="009179E5" w:rsidRDefault="00E712D4" w:rsidP="00E712D4">
      <w:pPr>
        <w:spacing w:after="0" w:line="240" w:lineRule="auto"/>
        <w:jc w:val="center"/>
        <w:rPr>
          <w:rFonts w:ascii="Times New Roman" w:hAnsi="Times New Roman"/>
          <w:sz w:val="24"/>
          <w:szCs w:val="24"/>
          <w:lang w:val="lv-LV"/>
        </w:rPr>
      </w:pPr>
      <w:r w:rsidRPr="009179E5">
        <w:rPr>
          <w:rFonts w:ascii="Times New Roman" w:hAnsi="Times New Roman"/>
          <w:b/>
          <w:sz w:val="24"/>
          <w:szCs w:val="24"/>
          <w:lang w:val="lv-LV"/>
        </w:rPr>
        <w:t>Kopējā enerģijas ietaupījuma mērķis (gan galapatēriņa sektoros, gan primārās enerģijas ietaupījums) 2010., 2016. un 2020.gadam</w:t>
      </w:r>
    </w:p>
    <w:tbl>
      <w:tblPr>
        <w:tblW w:w="0" w:type="auto"/>
        <w:jc w:val="center"/>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3"/>
        <w:gridCol w:w="2422"/>
        <w:gridCol w:w="2533"/>
        <w:gridCol w:w="2754"/>
      </w:tblGrid>
      <w:tr w:rsidR="00D90A15" w:rsidRPr="009179E5" w:rsidTr="000121D1">
        <w:trPr>
          <w:jc w:val="center"/>
        </w:trPr>
        <w:tc>
          <w:tcPr>
            <w:tcW w:w="923" w:type="dxa"/>
          </w:tcPr>
          <w:p w:rsidR="00D90A15" w:rsidRPr="009179E5" w:rsidRDefault="00D90A15" w:rsidP="007613A1">
            <w:pPr>
              <w:spacing w:after="0" w:line="240" w:lineRule="auto"/>
              <w:jc w:val="both"/>
              <w:rPr>
                <w:rFonts w:ascii="Times New Roman" w:hAnsi="Times New Roman"/>
                <w:sz w:val="28"/>
                <w:szCs w:val="28"/>
                <w:lang w:val="lv-LV"/>
              </w:rPr>
            </w:pPr>
          </w:p>
        </w:tc>
        <w:tc>
          <w:tcPr>
            <w:tcW w:w="2422" w:type="dxa"/>
            <w:vAlign w:val="center"/>
          </w:tcPr>
          <w:p w:rsidR="00D90A15" w:rsidRPr="009179E5" w:rsidRDefault="00D90A15" w:rsidP="00576BA5">
            <w:pPr>
              <w:spacing w:after="0" w:line="240" w:lineRule="auto"/>
              <w:jc w:val="both"/>
              <w:rPr>
                <w:rFonts w:ascii="Times New Roman" w:hAnsi="Times New Roman"/>
                <w:sz w:val="28"/>
                <w:szCs w:val="28"/>
                <w:lang w:val="lv-LV"/>
              </w:rPr>
            </w:pPr>
            <w:r w:rsidRPr="009179E5">
              <w:rPr>
                <w:rFonts w:ascii="Times New Roman" w:hAnsi="Times New Roman"/>
                <w:sz w:val="28"/>
                <w:szCs w:val="28"/>
                <w:lang w:val="lv-LV"/>
              </w:rPr>
              <w:t>Plānotie enerģijas ietaupījumi galapatēriņa sektoros, GWh (PJ)</w:t>
            </w:r>
          </w:p>
        </w:tc>
        <w:tc>
          <w:tcPr>
            <w:tcW w:w="2533" w:type="dxa"/>
            <w:vAlign w:val="center"/>
          </w:tcPr>
          <w:p w:rsidR="00D90A15" w:rsidRPr="009179E5" w:rsidRDefault="00D90A15" w:rsidP="00576BA5">
            <w:pPr>
              <w:spacing w:after="0" w:line="240" w:lineRule="auto"/>
              <w:jc w:val="both"/>
              <w:rPr>
                <w:rFonts w:ascii="Times New Roman" w:hAnsi="Times New Roman"/>
                <w:sz w:val="28"/>
                <w:szCs w:val="28"/>
                <w:lang w:val="lv-LV"/>
              </w:rPr>
            </w:pPr>
            <w:r w:rsidRPr="009179E5">
              <w:rPr>
                <w:rFonts w:ascii="Times New Roman" w:hAnsi="Times New Roman"/>
                <w:sz w:val="28"/>
                <w:szCs w:val="28"/>
                <w:lang w:val="lv-LV"/>
              </w:rPr>
              <w:t>Iegūtie enerģijas ietaupījumi</w:t>
            </w:r>
            <w:r w:rsidR="00AD35C8" w:rsidRPr="009179E5">
              <w:rPr>
                <w:rFonts w:ascii="Times New Roman" w:hAnsi="Times New Roman"/>
                <w:sz w:val="28"/>
                <w:szCs w:val="28"/>
                <w:lang w:val="lv-LV"/>
              </w:rPr>
              <w:t xml:space="preserve"> galapatēriņa sektoros</w:t>
            </w:r>
            <w:r w:rsidRPr="009179E5">
              <w:rPr>
                <w:rFonts w:ascii="Times New Roman" w:hAnsi="Times New Roman"/>
                <w:sz w:val="28"/>
                <w:szCs w:val="28"/>
                <w:lang w:val="lv-LV"/>
              </w:rPr>
              <w:t>, GWh (PJ)</w:t>
            </w:r>
          </w:p>
        </w:tc>
        <w:tc>
          <w:tcPr>
            <w:tcW w:w="2754" w:type="dxa"/>
            <w:vAlign w:val="center"/>
          </w:tcPr>
          <w:p w:rsidR="00D90A15" w:rsidRPr="009179E5" w:rsidRDefault="00D90A15" w:rsidP="007613A1">
            <w:pPr>
              <w:spacing w:after="0" w:line="240" w:lineRule="auto"/>
              <w:jc w:val="both"/>
              <w:rPr>
                <w:rFonts w:ascii="Times New Roman" w:hAnsi="Times New Roman"/>
                <w:sz w:val="28"/>
                <w:szCs w:val="28"/>
                <w:lang w:val="lv-LV"/>
              </w:rPr>
            </w:pPr>
            <w:r w:rsidRPr="009179E5">
              <w:rPr>
                <w:rFonts w:ascii="Times New Roman" w:hAnsi="Times New Roman"/>
                <w:sz w:val="28"/>
                <w:szCs w:val="28"/>
                <w:lang w:val="lv-LV"/>
              </w:rPr>
              <w:t>Plānotie kopējie enerģijas ietaupījumi, GWh (PJ)</w:t>
            </w:r>
          </w:p>
        </w:tc>
      </w:tr>
      <w:tr w:rsidR="00D90A15" w:rsidRPr="009179E5" w:rsidTr="000121D1">
        <w:trPr>
          <w:jc w:val="center"/>
        </w:trPr>
        <w:tc>
          <w:tcPr>
            <w:tcW w:w="923" w:type="dxa"/>
          </w:tcPr>
          <w:p w:rsidR="00D90A15" w:rsidRPr="009179E5" w:rsidRDefault="00D90A15" w:rsidP="007613A1">
            <w:pPr>
              <w:spacing w:after="0" w:line="240" w:lineRule="auto"/>
              <w:jc w:val="both"/>
              <w:rPr>
                <w:rFonts w:ascii="Times New Roman" w:hAnsi="Times New Roman"/>
                <w:b/>
                <w:sz w:val="28"/>
                <w:szCs w:val="28"/>
                <w:lang w:val="lv-LV"/>
              </w:rPr>
            </w:pPr>
            <w:r w:rsidRPr="009179E5">
              <w:rPr>
                <w:rFonts w:ascii="Times New Roman" w:hAnsi="Times New Roman"/>
                <w:b/>
                <w:sz w:val="28"/>
                <w:szCs w:val="28"/>
                <w:lang w:val="lv-LV"/>
              </w:rPr>
              <w:t>2010</w:t>
            </w:r>
          </w:p>
        </w:tc>
        <w:tc>
          <w:tcPr>
            <w:tcW w:w="2422" w:type="dxa"/>
          </w:tcPr>
          <w:p w:rsidR="00D90A15" w:rsidRPr="009179E5" w:rsidRDefault="00D90A15" w:rsidP="007613A1">
            <w:pPr>
              <w:spacing w:after="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67 </w:t>
            </w:r>
            <w:r w:rsidR="00AD6541" w:rsidRPr="009179E5">
              <w:rPr>
                <w:rFonts w:ascii="Times New Roman" w:hAnsi="Times New Roman"/>
                <w:sz w:val="28"/>
                <w:szCs w:val="28"/>
                <w:lang w:val="lv-LV"/>
              </w:rPr>
              <w:t>(</w:t>
            </w:r>
            <w:r w:rsidR="00546AFA" w:rsidRPr="009179E5">
              <w:rPr>
                <w:rFonts w:ascii="Times New Roman" w:hAnsi="Times New Roman"/>
                <w:sz w:val="28"/>
                <w:szCs w:val="28"/>
                <w:lang w:val="lv-LV"/>
              </w:rPr>
              <w:t>0,24</w:t>
            </w:r>
            <w:r w:rsidR="00AD6541" w:rsidRPr="009179E5">
              <w:rPr>
                <w:rFonts w:ascii="Times New Roman" w:hAnsi="Times New Roman"/>
                <w:sz w:val="28"/>
                <w:szCs w:val="28"/>
                <w:lang w:val="lv-LV"/>
              </w:rPr>
              <w:t>)</w:t>
            </w:r>
          </w:p>
        </w:tc>
        <w:tc>
          <w:tcPr>
            <w:tcW w:w="2533" w:type="dxa"/>
          </w:tcPr>
          <w:p w:rsidR="00D90A15" w:rsidRPr="009179E5" w:rsidRDefault="00546AFA" w:rsidP="001337EA">
            <w:pPr>
              <w:spacing w:after="0" w:line="240" w:lineRule="auto"/>
              <w:jc w:val="both"/>
              <w:rPr>
                <w:rFonts w:ascii="Times New Roman" w:hAnsi="Times New Roman"/>
                <w:sz w:val="28"/>
                <w:szCs w:val="28"/>
                <w:lang w:val="lv-LV"/>
              </w:rPr>
            </w:pPr>
            <w:r w:rsidRPr="009179E5">
              <w:rPr>
                <w:rFonts w:ascii="Times New Roman" w:hAnsi="Times New Roman"/>
                <w:sz w:val="28"/>
                <w:szCs w:val="28"/>
                <w:lang w:val="lv-LV"/>
              </w:rPr>
              <w:t>34</w:t>
            </w:r>
            <w:r w:rsidR="00D45CCD" w:rsidRPr="009179E5">
              <w:rPr>
                <w:rFonts w:ascii="Times New Roman" w:hAnsi="Times New Roman"/>
                <w:sz w:val="28"/>
                <w:szCs w:val="28"/>
                <w:lang w:val="lv-LV"/>
              </w:rPr>
              <w:t>18</w:t>
            </w:r>
            <w:r w:rsidRPr="009179E5">
              <w:rPr>
                <w:rFonts w:ascii="Times New Roman" w:hAnsi="Times New Roman"/>
                <w:sz w:val="28"/>
                <w:szCs w:val="28"/>
                <w:lang w:val="lv-LV"/>
              </w:rPr>
              <w:t xml:space="preserve"> (12,3</w:t>
            </w:r>
            <w:r w:rsidR="001337EA" w:rsidRPr="009179E5">
              <w:rPr>
                <w:rFonts w:ascii="Times New Roman" w:hAnsi="Times New Roman"/>
                <w:sz w:val="28"/>
                <w:szCs w:val="28"/>
                <w:lang w:val="lv-LV"/>
              </w:rPr>
              <w:t>0</w:t>
            </w:r>
            <w:r w:rsidRPr="009179E5">
              <w:rPr>
                <w:rFonts w:ascii="Times New Roman" w:hAnsi="Times New Roman"/>
                <w:sz w:val="28"/>
                <w:szCs w:val="28"/>
                <w:lang w:val="lv-LV"/>
              </w:rPr>
              <w:t>)</w:t>
            </w:r>
          </w:p>
        </w:tc>
        <w:tc>
          <w:tcPr>
            <w:tcW w:w="2754" w:type="dxa"/>
          </w:tcPr>
          <w:p w:rsidR="00D90A15" w:rsidRPr="009179E5" w:rsidRDefault="009333C0" w:rsidP="001C035E">
            <w:pPr>
              <w:spacing w:after="0" w:line="240" w:lineRule="auto"/>
              <w:jc w:val="both"/>
              <w:rPr>
                <w:rFonts w:ascii="Times New Roman" w:hAnsi="Times New Roman"/>
                <w:sz w:val="28"/>
                <w:szCs w:val="28"/>
                <w:lang w:val="lv-LV"/>
              </w:rPr>
            </w:pPr>
            <w:r w:rsidRPr="009179E5">
              <w:rPr>
                <w:rFonts w:ascii="Times New Roman" w:hAnsi="Times New Roman"/>
                <w:sz w:val="28"/>
                <w:szCs w:val="28"/>
                <w:lang w:val="lv-LV"/>
              </w:rPr>
              <w:t>Nav zinām</w:t>
            </w:r>
            <w:r w:rsidR="001C035E" w:rsidRPr="009179E5">
              <w:rPr>
                <w:rFonts w:ascii="Times New Roman" w:hAnsi="Times New Roman"/>
                <w:sz w:val="28"/>
                <w:szCs w:val="28"/>
                <w:lang w:val="lv-LV"/>
              </w:rPr>
              <w:t>i</w:t>
            </w:r>
          </w:p>
        </w:tc>
      </w:tr>
      <w:tr w:rsidR="00D90A15" w:rsidRPr="009179E5" w:rsidTr="000121D1">
        <w:trPr>
          <w:jc w:val="center"/>
        </w:trPr>
        <w:tc>
          <w:tcPr>
            <w:tcW w:w="923" w:type="dxa"/>
          </w:tcPr>
          <w:p w:rsidR="00D90A15" w:rsidRPr="009179E5" w:rsidRDefault="00D90A15" w:rsidP="007613A1">
            <w:pPr>
              <w:spacing w:after="0" w:line="240" w:lineRule="auto"/>
              <w:jc w:val="both"/>
              <w:rPr>
                <w:rFonts w:ascii="Times New Roman" w:hAnsi="Times New Roman"/>
                <w:b/>
                <w:sz w:val="28"/>
                <w:szCs w:val="28"/>
                <w:lang w:val="lv-LV"/>
              </w:rPr>
            </w:pPr>
            <w:r w:rsidRPr="009179E5">
              <w:rPr>
                <w:rFonts w:ascii="Times New Roman" w:hAnsi="Times New Roman"/>
                <w:b/>
                <w:sz w:val="28"/>
                <w:szCs w:val="28"/>
                <w:lang w:val="lv-LV"/>
              </w:rPr>
              <w:t>2016</w:t>
            </w:r>
          </w:p>
        </w:tc>
        <w:tc>
          <w:tcPr>
            <w:tcW w:w="2422" w:type="dxa"/>
          </w:tcPr>
          <w:p w:rsidR="00D90A15" w:rsidRPr="009179E5" w:rsidRDefault="00F672EA" w:rsidP="005C31C0">
            <w:pPr>
              <w:spacing w:after="0" w:line="240" w:lineRule="auto"/>
              <w:jc w:val="both"/>
              <w:rPr>
                <w:rFonts w:ascii="Times New Roman" w:hAnsi="Times New Roman"/>
                <w:sz w:val="28"/>
                <w:szCs w:val="28"/>
                <w:lang w:val="lv-LV"/>
              </w:rPr>
            </w:pPr>
            <w:r w:rsidRPr="009179E5">
              <w:rPr>
                <w:rFonts w:ascii="Times New Roman" w:hAnsi="Times New Roman"/>
                <w:sz w:val="28"/>
                <w:szCs w:val="28"/>
                <w:lang w:val="lv-LV"/>
              </w:rPr>
              <w:t>348</w:t>
            </w:r>
            <w:r w:rsidR="005C31C0" w:rsidRPr="009179E5">
              <w:rPr>
                <w:rFonts w:ascii="Times New Roman" w:hAnsi="Times New Roman"/>
                <w:sz w:val="28"/>
                <w:szCs w:val="28"/>
                <w:lang w:val="lv-LV"/>
              </w:rPr>
              <w:t>3</w:t>
            </w:r>
            <w:r w:rsidRPr="009179E5">
              <w:rPr>
                <w:rFonts w:ascii="Times New Roman" w:hAnsi="Times New Roman"/>
                <w:sz w:val="28"/>
                <w:szCs w:val="28"/>
                <w:lang w:val="lv-LV"/>
              </w:rPr>
              <w:t xml:space="preserve"> (</w:t>
            </w:r>
            <w:r w:rsidR="00546AFA" w:rsidRPr="009179E5">
              <w:rPr>
                <w:rFonts w:ascii="Times New Roman" w:hAnsi="Times New Roman"/>
                <w:sz w:val="28"/>
                <w:szCs w:val="28"/>
                <w:lang w:val="lv-LV"/>
              </w:rPr>
              <w:t>12,55</w:t>
            </w:r>
            <w:r w:rsidR="00D90A15" w:rsidRPr="009179E5">
              <w:rPr>
                <w:rFonts w:ascii="Times New Roman" w:hAnsi="Times New Roman"/>
                <w:sz w:val="28"/>
                <w:szCs w:val="28"/>
                <w:lang w:val="lv-LV"/>
              </w:rPr>
              <w:t xml:space="preserve"> )</w:t>
            </w:r>
          </w:p>
        </w:tc>
        <w:tc>
          <w:tcPr>
            <w:tcW w:w="2533" w:type="dxa"/>
          </w:tcPr>
          <w:p w:rsidR="00D90A15" w:rsidRPr="009179E5" w:rsidRDefault="009333C0" w:rsidP="001C035E">
            <w:pPr>
              <w:spacing w:after="0" w:line="240" w:lineRule="auto"/>
              <w:jc w:val="both"/>
              <w:rPr>
                <w:rFonts w:ascii="Times New Roman" w:hAnsi="Times New Roman"/>
                <w:sz w:val="28"/>
                <w:szCs w:val="28"/>
                <w:lang w:val="lv-LV"/>
              </w:rPr>
            </w:pPr>
            <w:r w:rsidRPr="009179E5">
              <w:rPr>
                <w:rFonts w:ascii="Times New Roman" w:hAnsi="Times New Roman"/>
                <w:sz w:val="28"/>
                <w:szCs w:val="28"/>
                <w:lang w:val="lv-LV"/>
              </w:rPr>
              <w:t>Nav zinām</w:t>
            </w:r>
            <w:r w:rsidR="001C035E" w:rsidRPr="009179E5">
              <w:rPr>
                <w:rFonts w:ascii="Times New Roman" w:hAnsi="Times New Roman"/>
                <w:sz w:val="28"/>
                <w:szCs w:val="28"/>
                <w:lang w:val="lv-LV"/>
              </w:rPr>
              <w:t>i</w:t>
            </w:r>
          </w:p>
        </w:tc>
        <w:tc>
          <w:tcPr>
            <w:tcW w:w="2754" w:type="dxa"/>
          </w:tcPr>
          <w:p w:rsidR="00D90A15" w:rsidRPr="009179E5" w:rsidRDefault="009333C0" w:rsidP="001C035E">
            <w:pPr>
              <w:spacing w:after="0" w:line="240" w:lineRule="auto"/>
              <w:jc w:val="both"/>
              <w:rPr>
                <w:rFonts w:ascii="Times New Roman" w:hAnsi="Times New Roman"/>
                <w:sz w:val="28"/>
                <w:szCs w:val="28"/>
                <w:lang w:val="lv-LV"/>
              </w:rPr>
            </w:pPr>
            <w:r w:rsidRPr="009179E5">
              <w:rPr>
                <w:rFonts w:ascii="Times New Roman" w:hAnsi="Times New Roman"/>
                <w:sz w:val="28"/>
                <w:szCs w:val="28"/>
                <w:lang w:val="lv-LV"/>
              </w:rPr>
              <w:t>Nav zinām</w:t>
            </w:r>
            <w:r w:rsidR="001C035E" w:rsidRPr="009179E5">
              <w:rPr>
                <w:rFonts w:ascii="Times New Roman" w:hAnsi="Times New Roman"/>
                <w:sz w:val="28"/>
                <w:szCs w:val="28"/>
                <w:lang w:val="lv-LV"/>
              </w:rPr>
              <w:t>i</w:t>
            </w:r>
          </w:p>
        </w:tc>
      </w:tr>
      <w:tr w:rsidR="00D90A15" w:rsidRPr="009179E5" w:rsidTr="000121D1">
        <w:trPr>
          <w:jc w:val="center"/>
        </w:trPr>
        <w:tc>
          <w:tcPr>
            <w:tcW w:w="923" w:type="dxa"/>
          </w:tcPr>
          <w:p w:rsidR="00D90A15" w:rsidRPr="009179E5" w:rsidRDefault="00D90A15" w:rsidP="007613A1">
            <w:pPr>
              <w:spacing w:after="0" w:line="240" w:lineRule="auto"/>
              <w:jc w:val="both"/>
              <w:rPr>
                <w:rFonts w:ascii="Times New Roman" w:hAnsi="Times New Roman"/>
                <w:b/>
                <w:sz w:val="28"/>
                <w:szCs w:val="28"/>
                <w:lang w:val="lv-LV"/>
              </w:rPr>
            </w:pPr>
            <w:r w:rsidRPr="009179E5">
              <w:rPr>
                <w:rFonts w:ascii="Times New Roman" w:hAnsi="Times New Roman"/>
                <w:b/>
                <w:sz w:val="28"/>
                <w:szCs w:val="28"/>
                <w:lang w:val="lv-LV"/>
              </w:rPr>
              <w:t>2020</w:t>
            </w:r>
          </w:p>
        </w:tc>
        <w:tc>
          <w:tcPr>
            <w:tcW w:w="2422" w:type="dxa"/>
          </w:tcPr>
          <w:p w:rsidR="00D90A15" w:rsidRPr="009179E5" w:rsidRDefault="00F672EA" w:rsidP="007613A1">
            <w:pPr>
              <w:spacing w:after="0" w:line="240" w:lineRule="auto"/>
              <w:jc w:val="both"/>
              <w:rPr>
                <w:rFonts w:ascii="Times New Roman" w:hAnsi="Times New Roman"/>
                <w:sz w:val="28"/>
                <w:szCs w:val="28"/>
                <w:lang w:val="lv-LV"/>
              </w:rPr>
            </w:pPr>
            <w:r w:rsidRPr="009179E5">
              <w:rPr>
                <w:rFonts w:ascii="Times New Roman" w:hAnsi="Times New Roman"/>
                <w:sz w:val="28"/>
                <w:szCs w:val="28"/>
                <w:lang w:val="lv-LV"/>
              </w:rPr>
              <w:t>6050 (21,78)</w:t>
            </w:r>
          </w:p>
        </w:tc>
        <w:tc>
          <w:tcPr>
            <w:tcW w:w="2533" w:type="dxa"/>
          </w:tcPr>
          <w:p w:rsidR="00D90A15" w:rsidRPr="009179E5" w:rsidRDefault="009333C0" w:rsidP="001C035E">
            <w:pPr>
              <w:spacing w:after="0" w:line="240" w:lineRule="auto"/>
              <w:jc w:val="both"/>
              <w:rPr>
                <w:rFonts w:ascii="Times New Roman" w:hAnsi="Times New Roman"/>
                <w:sz w:val="28"/>
                <w:szCs w:val="28"/>
                <w:lang w:val="lv-LV"/>
              </w:rPr>
            </w:pPr>
            <w:r w:rsidRPr="009179E5">
              <w:rPr>
                <w:rFonts w:ascii="Times New Roman" w:hAnsi="Times New Roman"/>
                <w:sz w:val="28"/>
                <w:szCs w:val="28"/>
                <w:lang w:val="lv-LV"/>
              </w:rPr>
              <w:t>Nav zinām</w:t>
            </w:r>
            <w:r w:rsidR="001C035E" w:rsidRPr="009179E5">
              <w:rPr>
                <w:rFonts w:ascii="Times New Roman" w:hAnsi="Times New Roman"/>
                <w:sz w:val="28"/>
                <w:szCs w:val="28"/>
                <w:lang w:val="lv-LV"/>
              </w:rPr>
              <w:t>i</w:t>
            </w:r>
          </w:p>
        </w:tc>
        <w:tc>
          <w:tcPr>
            <w:tcW w:w="2754" w:type="dxa"/>
          </w:tcPr>
          <w:p w:rsidR="00D90A15" w:rsidRPr="009179E5" w:rsidRDefault="0054528B" w:rsidP="00085A42">
            <w:pPr>
              <w:spacing w:after="0" w:line="240" w:lineRule="auto"/>
              <w:jc w:val="both"/>
              <w:rPr>
                <w:rFonts w:ascii="Times New Roman" w:hAnsi="Times New Roman"/>
                <w:sz w:val="28"/>
                <w:szCs w:val="28"/>
                <w:lang w:val="lv-LV"/>
              </w:rPr>
            </w:pPr>
            <w:r w:rsidRPr="009179E5">
              <w:rPr>
                <w:rFonts w:ascii="Times New Roman" w:hAnsi="Times New Roman"/>
                <w:sz w:val="28"/>
                <w:szCs w:val="28"/>
                <w:lang w:val="lv-LV"/>
              </w:rPr>
              <w:t>777</w:t>
            </w:r>
            <w:r w:rsidR="00C820E9" w:rsidRPr="009179E5">
              <w:rPr>
                <w:rFonts w:ascii="Times New Roman" w:hAnsi="Times New Roman"/>
                <w:sz w:val="28"/>
                <w:szCs w:val="28"/>
                <w:lang w:val="lv-LV"/>
              </w:rPr>
              <w:t>9</w:t>
            </w:r>
            <w:r w:rsidRPr="009179E5">
              <w:rPr>
                <w:rFonts w:ascii="Times New Roman" w:hAnsi="Times New Roman"/>
                <w:sz w:val="28"/>
                <w:szCs w:val="28"/>
                <w:lang w:val="lv-LV"/>
              </w:rPr>
              <w:t xml:space="preserve"> (</w:t>
            </w:r>
            <w:r w:rsidR="00CB2C81" w:rsidRPr="009179E5">
              <w:rPr>
                <w:rFonts w:ascii="Times New Roman" w:hAnsi="Times New Roman"/>
                <w:sz w:val="28"/>
                <w:szCs w:val="28"/>
                <w:lang w:val="lv-LV"/>
              </w:rPr>
              <w:t>28</w:t>
            </w:r>
            <w:r w:rsidR="000D1E63" w:rsidRPr="009179E5">
              <w:rPr>
                <w:rFonts w:ascii="Times New Roman" w:hAnsi="Times New Roman"/>
                <w:sz w:val="28"/>
                <w:szCs w:val="28"/>
                <w:lang w:val="lv-LV"/>
              </w:rPr>
              <w:t>,00</w:t>
            </w:r>
            <w:r w:rsidRPr="009179E5">
              <w:rPr>
                <w:rFonts w:ascii="Times New Roman" w:hAnsi="Times New Roman"/>
                <w:sz w:val="28"/>
                <w:szCs w:val="28"/>
                <w:lang w:val="lv-LV"/>
              </w:rPr>
              <w:t>)</w:t>
            </w:r>
          </w:p>
        </w:tc>
      </w:tr>
    </w:tbl>
    <w:p w:rsidR="00A563CF" w:rsidRPr="009179E5" w:rsidRDefault="00A563CF" w:rsidP="00574AC8">
      <w:pPr>
        <w:spacing w:before="120" w:after="120" w:line="240" w:lineRule="auto"/>
        <w:jc w:val="both"/>
        <w:rPr>
          <w:rFonts w:ascii="Times New Roman" w:hAnsi="Times New Roman"/>
          <w:sz w:val="28"/>
          <w:szCs w:val="28"/>
          <w:lang w:val="lv-LV"/>
        </w:rPr>
      </w:pPr>
    </w:p>
    <w:p w:rsidR="00D90A15" w:rsidRPr="009179E5" w:rsidRDefault="00C13D77" w:rsidP="00574AC8">
      <w:pPr>
        <w:spacing w:before="120" w:after="120" w:line="240" w:lineRule="auto"/>
        <w:jc w:val="both"/>
        <w:rPr>
          <w:rStyle w:val="Strong"/>
          <w:rFonts w:ascii="Times New Roman" w:hAnsi="Times New Roman"/>
          <w:b w:val="0"/>
          <w:bCs w:val="0"/>
          <w:sz w:val="28"/>
          <w:szCs w:val="28"/>
          <w:lang w:val="lv-LV"/>
        </w:rPr>
      </w:pPr>
      <w:r w:rsidRPr="009179E5">
        <w:rPr>
          <w:rFonts w:ascii="Times New Roman" w:hAnsi="Times New Roman"/>
          <w:sz w:val="28"/>
          <w:szCs w:val="28"/>
          <w:lang w:val="lv-LV"/>
        </w:rPr>
        <w:t>2.EERP</w:t>
      </w:r>
      <w:r w:rsidR="00D90A15" w:rsidRPr="009179E5">
        <w:rPr>
          <w:rFonts w:ascii="Times New Roman" w:hAnsi="Times New Roman"/>
          <w:sz w:val="28"/>
          <w:szCs w:val="28"/>
          <w:lang w:val="lv-LV"/>
        </w:rPr>
        <w:t xml:space="preserve"> ir izstrādāts</w:t>
      </w:r>
      <w:r w:rsidR="003539DD" w:rsidRPr="009179E5">
        <w:rPr>
          <w:rFonts w:ascii="Times New Roman" w:hAnsi="Times New Roman"/>
          <w:sz w:val="28"/>
          <w:szCs w:val="28"/>
          <w:lang w:val="lv-LV"/>
        </w:rPr>
        <w:t>,</w:t>
      </w:r>
      <w:r w:rsidR="00D90A15" w:rsidRPr="009179E5">
        <w:rPr>
          <w:rFonts w:ascii="Times New Roman" w:hAnsi="Times New Roman"/>
          <w:sz w:val="28"/>
          <w:szCs w:val="28"/>
          <w:lang w:val="lv-LV"/>
        </w:rPr>
        <w:t xml:space="preserve"> pamatojoties uz</w:t>
      </w:r>
      <w:r w:rsidR="00285F4B" w:rsidRPr="009179E5">
        <w:rPr>
          <w:rFonts w:ascii="Times New Roman" w:hAnsi="Times New Roman"/>
          <w:sz w:val="28"/>
          <w:szCs w:val="28"/>
          <w:lang w:val="lv-LV"/>
        </w:rPr>
        <w:t xml:space="preserve"> </w:t>
      </w:r>
      <w:r w:rsidR="00D90A15" w:rsidRPr="009179E5">
        <w:rPr>
          <w:rFonts w:ascii="Times New Roman" w:hAnsi="Times New Roman"/>
          <w:sz w:val="28"/>
          <w:szCs w:val="28"/>
          <w:lang w:val="lv-LV"/>
        </w:rPr>
        <w:t>s</w:t>
      </w:r>
      <w:r w:rsidR="00A20346" w:rsidRPr="009179E5">
        <w:rPr>
          <w:rFonts w:ascii="Times New Roman" w:hAnsi="Times New Roman"/>
          <w:sz w:val="28"/>
          <w:szCs w:val="28"/>
          <w:lang w:val="lv-LV" w:eastAsia="lv-LV"/>
        </w:rPr>
        <w:t>pēkā</w:t>
      </w:r>
      <w:r w:rsidR="00285F4B" w:rsidRPr="009179E5">
        <w:rPr>
          <w:rFonts w:ascii="Times New Roman" w:hAnsi="Times New Roman"/>
          <w:sz w:val="28"/>
          <w:szCs w:val="28"/>
          <w:lang w:val="lv-LV" w:eastAsia="lv-LV"/>
        </w:rPr>
        <w:t xml:space="preserve"> </w:t>
      </w:r>
      <w:r w:rsidR="00A20346" w:rsidRPr="009179E5">
        <w:rPr>
          <w:rFonts w:ascii="Times New Roman" w:hAnsi="Times New Roman"/>
          <w:sz w:val="28"/>
          <w:szCs w:val="28"/>
          <w:lang w:val="lv-LV" w:eastAsia="lv-LV"/>
        </w:rPr>
        <w:t>esošo</w:t>
      </w:r>
      <w:r w:rsidR="00285F4B" w:rsidRPr="009179E5">
        <w:rPr>
          <w:rFonts w:ascii="Times New Roman" w:hAnsi="Times New Roman"/>
          <w:sz w:val="28"/>
          <w:szCs w:val="28"/>
          <w:lang w:val="lv-LV" w:eastAsia="lv-LV"/>
        </w:rPr>
        <w:t xml:space="preserve"> </w:t>
      </w:r>
      <w:r w:rsidR="00D90A15" w:rsidRPr="009179E5">
        <w:rPr>
          <w:rFonts w:ascii="Times New Roman" w:hAnsi="Times New Roman"/>
          <w:sz w:val="28"/>
          <w:szCs w:val="28"/>
          <w:lang w:val="lv-LV" w:eastAsia="lv-LV"/>
        </w:rPr>
        <w:t xml:space="preserve">plānošanas dokumentu  „Enerģētikas </w:t>
      </w:r>
      <w:r w:rsidR="00DB4F5F" w:rsidRPr="009179E5">
        <w:rPr>
          <w:rFonts w:ascii="Times New Roman" w:hAnsi="Times New Roman"/>
          <w:sz w:val="28"/>
          <w:szCs w:val="28"/>
          <w:lang w:val="lv-LV" w:eastAsia="lv-LV"/>
        </w:rPr>
        <w:t xml:space="preserve">attīstības </w:t>
      </w:r>
      <w:r w:rsidR="00D90A15" w:rsidRPr="009179E5">
        <w:rPr>
          <w:rFonts w:ascii="Times New Roman" w:hAnsi="Times New Roman"/>
          <w:sz w:val="28"/>
          <w:szCs w:val="28"/>
          <w:lang w:val="lv-LV" w:eastAsia="lv-LV"/>
        </w:rPr>
        <w:t>pamatnostādnes 2007.-2016.gadam”</w:t>
      </w:r>
      <w:r w:rsidR="00E50A3C" w:rsidRPr="009179E5">
        <w:rPr>
          <w:rFonts w:ascii="Times New Roman" w:hAnsi="Times New Roman"/>
          <w:sz w:val="28"/>
          <w:szCs w:val="28"/>
          <w:lang w:val="lv-LV" w:eastAsia="lv-LV"/>
        </w:rPr>
        <w:t xml:space="preserve">, kas </w:t>
      </w:r>
      <w:r w:rsidR="00D90A15" w:rsidRPr="009179E5">
        <w:rPr>
          <w:rFonts w:ascii="Times New Roman" w:hAnsi="Times New Roman"/>
          <w:iCs/>
          <w:sz w:val="28"/>
          <w:szCs w:val="28"/>
          <w:lang w:val="lv-LV"/>
        </w:rPr>
        <w:t xml:space="preserve">apstiprinātas </w:t>
      </w:r>
      <w:r w:rsidR="00E50A3C" w:rsidRPr="009179E5">
        <w:rPr>
          <w:rFonts w:ascii="Times New Roman" w:hAnsi="Times New Roman"/>
          <w:iCs/>
          <w:sz w:val="28"/>
          <w:szCs w:val="28"/>
          <w:lang w:val="lv-LV"/>
        </w:rPr>
        <w:t xml:space="preserve">ar </w:t>
      </w:r>
      <w:r w:rsidR="00D90A15" w:rsidRPr="009179E5">
        <w:rPr>
          <w:rFonts w:ascii="Times New Roman" w:hAnsi="Times New Roman"/>
          <w:iCs/>
          <w:sz w:val="28"/>
          <w:szCs w:val="28"/>
          <w:lang w:val="lv-LV"/>
        </w:rPr>
        <w:t xml:space="preserve">Ministru kabineta 2006.gada </w:t>
      </w:r>
      <w:r w:rsidR="00E50A3C" w:rsidRPr="009179E5">
        <w:rPr>
          <w:rFonts w:ascii="Times New Roman" w:hAnsi="Times New Roman"/>
          <w:iCs/>
          <w:sz w:val="28"/>
          <w:szCs w:val="28"/>
          <w:lang w:val="lv-LV"/>
        </w:rPr>
        <w:t>1</w:t>
      </w:r>
      <w:r w:rsidR="00D90A15" w:rsidRPr="009179E5">
        <w:rPr>
          <w:rFonts w:ascii="Times New Roman" w:hAnsi="Times New Roman"/>
          <w:iCs/>
          <w:sz w:val="28"/>
          <w:szCs w:val="28"/>
          <w:lang w:val="lv-LV"/>
        </w:rPr>
        <w:t>.</w:t>
      </w:r>
      <w:r w:rsidR="00E50A3C" w:rsidRPr="009179E5">
        <w:rPr>
          <w:rFonts w:ascii="Times New Roman" w:hAnsi="Times New Roman"/>
          <w:iCs/>
          <w:sz w:val="28"/>
          <w:szCs w:val="28"/>
          <w:lang w:val="lv-LV"/>
        </w:rPr>
        <w:t xml:space="preserve">augusta rīkojumu Nr.571 </w:t>
      </w:r>
      <w:r w:rsidR="00D90A15" w:rsidRPr="009179E5">
        <w:rPr>
          <w:rFonts w:ascii="Times New Roman" w:hAnsi="Times New Roman"/>
          <w:sz w:val="28"/>
          <w:szCs w:val="28"/>
          <w:lang w:val="lv-LV" w:eastAsia="lv-LV"/>
        </w:rPr>
        <w:t>(turpmāk tekstā - Pamatnostādnes)</w:t>
      </w:r>
      <w:r w:rsidR="00D90A15" w:rsidRPr="009179E5">
        <w:rPr>
          <w:rStyle w:val="Strong"/>
          <w:rFonts w:ascii="Times New Roman" w:hAnsi="Times New Roman"/>
          <w:b w:val="0"/>
          <w:bCs w:val="0"/>
          <w:sz w:val="28"/>
          <w:szCs w:val="28"/>
          <w:lang w:val="lv-LV"/>
        </w:rPr>
        <w:t xml:space="preserve">, kas nosaka Latvijas valdības politikas pamatprincipus, mērķus un rīcības virzienus enerģētikā laikā </w:t>
      </w:r>
      <w:r w:rsidR="00E50A3C" w:rsidRPr="009179E5">
        <w:rPr>
          <w:rStyle w:val="Strong"/>
          <w:rFonts w:ascii="Times New Roman" w:hAnsi="Times New Roman"/>
          <w:b w:val="0"/>
          <w:bCs w:val="0"/>
          <w:sz w:val="28"/>
          <w:szCs w:val="28"/>
          <w:lang w:val="lv-LV"/>
        </w:rPr>
        <w:t xml:space="preserve">posmā </w:t>
      </w:r>
      <w:r w:rsidR="00D90A15" w:rsidRPr="009179E5">
        <w:rPr>
          <w:rStyle w:val="Strong"/>
          <w:rFonts w:ascii="Times New Roman" w:hAnsi="Times New Roman"/>
          <w:b w:val="0"/>
          <w:bCs w:val="0"/>
          <w:sz w:val="28"/>
          <w:szCs w:val="28"/>
          <w:lang w:val="lv-LV"/>
        </w:rPr>
        <w:t>līdz 2016.gadam</w:t>
      </w:r>
      <w:r w:rsidR="00910A9F" w:rsidRPr="009179E5">
        <w:rPr>
          <w:rStyle w:val="Strong"/>
          <w:rFonts w:ascii="Times New Roman" w:hAnsi="Times New Roman"/>
          <w:b w:val="0"/>
          <w:bCs w:val="0"/>
          <w:sz w:val="28"/>
          <w:szCs w:val="28"/>
          <w:lang w:val="lv-LV"/>
        </w:rPr>
        <w:t>.</w:t>
      </w:r>
    </w:p>
    <w:p w:rsidR="00AD35C8" w:rsidRPr="009179E5" w:rsidRDefault="007F00E9" w:rsidP="00574AC8">
      <w:pPr>
        <w:spacing w:before="120" w:after="120" w:line="240" w:lineRule="auto"/>
        <w:rPr>
          <w:rFonts w:ascii="Times New Roman" w:hAnsi="Times New Roman"/>
          <w:sz w:val="28"/>
          <w:szCs w:val="28"/>
          <w:lang w:val="lv-LV"/>
        </w:rPr>
      </w:pPr>
      <w:r w:rsidRPr="009179E5">
        <w:rPr>
          <w:rFonts w:ascii="Times New Roman" w:hAnsi="Times New Roman"/>
          <w:sz w:val="28"/>
          <w:szCs w:val="28"/>
          <w:lang w:val="lv-LV"/>
        </w:rPr>
        <w:t>E</w:t>
      </w:r>
      <w:r w:rsidR="00AD35C8" w:rsidRPr="009179E5">
        <w:rPr>
          <w:rFonts w:ascii="Times New Roman" w:hAnsi="Times New Roman"/>
          <w:sz w:val="28"/>
          <w:szCs w:val="28"/>
          <w:lang w:val="lv-LV"/>
        </w:rPr>
        <w:t>nerģijas galapatēriņ</w:t>
      </w:r>
      <w:r w:rsidRPr="009179E5">
        <w:rPr>
          <w:rFonts w:ascii="Times New Roman" w:hAnsi="Times New Roman"/>
          <w:sz w:val="28"/>
          <w:szCs w:val="28"/>
          <w:lang w:val="lv-LV"/>
        </w:rPr>
        <w:t>u</w:t>
      </w:r>
      <w:r w:rsidR="00AD35C8" w:rsidRPr="009179E5">
        <w:rPr>
          <w:rFonts w:ascii="Times New Roman" w:hAnsi="Times New Roman"/>
          <w:sz w:val="28"/>
          <w:szCs w:val="28"/>
          <w:lang w:val="lv-LV"/>
        </w:rPr>
        <w:t xml:space="preserve"> </w:t>
      </w:r>
      <w:r w:rsidRPr="009179E5">
        <w:rPr>
          <w:rFonts w:ascii="Times New Roman" w:hAnsi="Times New Roman"/>
          <w:sz w:val="28"/>
          <w:szCs w:val="28"/>
          <w:lang w:val="lv-LV"/>
        </w:rPr>
        <w:t xml:space="preserve">sadalījumā </w:t>
      </w:r>
      <w:r w:rsidR="00781143">
        <w:rPr>
          <w:rFonts w:ascii="Times New Roman" w:hAnsi="Times New Roman"/>
          <w:sz w:val="28"/>
          <w:szCs w:val="28"/>
          <w:lang w:val="lv-LV"/>
        </w:rPr>
        <w:t>pa sektoriem 2010</w:t>
      </w:r>
      <w:r w:rsidR="00AD35C8" w:rsidRPr="009179E5">
        <w:rPr>
          <w:rFonts w:ascii="Times New Roman" w:hAnsi="Times New Roman"/>
          <w:sz w:val="28"/>
          <w:szCs w:val="28"/>
          <w:lang w:val="lv-LV"/>
        </w:rPr>
        <w:t>.gadā</w:t>
      </w:r>
      <w:r w:rsidRPr="009179E5">
        <w:rPr>
          <w:rFonts w:ascii="Times New Roman" w:hAnsi="Times New Roman"/>
          <w:sz w:val="28"/>
          <w:szCs w:val="28"/>
          <w:lang w:val="lv-LV"/>
        </w:rPr>
        <w:t xml:space="preserve"> skatīt 1.</w:t>
      </w:r>
      <w:r w:rsidR="009B6C98" w:rsidRPr="009179E5">
        <w:rPr>
          <w:rFonts w:ascii="Times New Roman" w:hAnsi="Times New Roman"/>
          <w:sz w:val="28"/>
          <w:szCs w:val="28"/>
          <w:lang w:val="lv-LV"/>
        </w:rPr>
        <w:t>attēlā</w:t>
      </w:r>
      <w:r w:rsidR="00AD35C8" w:rsidRPr="009179E5">
        <w:rPr>
          <w:rFonts w:ascii="Times New Roman" w:hAnsi="Times New Roman"/>
          <w:sz w:val="28"/>
          <w:szCs w:val="28"/>
          <w:lang w:val="lv-LV"/>
        </w:rPr>
        <w:t>.</w:t>
      </w:r>
    </w:p>
    <w:p w:rsidR="00AD35C8" w:rsidRPr="009179E5" w:rsidRDefault="00E70641" w:rsidP="001009B1">
      <w:pPr>
        <w:spacing w:before="120" w:after="120" w:line="240" w:lineRule="auto"/>
        <w:jc w:val="both"/>
        <w:rPr>
          <w:rFonts w:ascii="Times New Roman" w:hAnsi="Times New Roman"/>
          <w:sz w:val="28"/>
          <w:szCs w:val="28"/>
          <w:lang w:val="lv-LV"/>
        </w:rPr>
      </w:pPr>
      <w:r w:rsidRPr="00E70641">
        <w:rPr>
          <w:noProof/>
          <w:szCs w:val="28"/>
          <w:lang w:val="lv-LV" w:eastAsia="lv-LV"/>
        </w:rPr>
        <w:drawing>
          <wp:inline distT="0" distB="0" distL="0" distR="0">
            <wp:extent cx="5096849" cy="3052800"/>
            <wp:effectExtent l="19050" t="0" r="8551" b="0"/>
            <wp:docPr id="10"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096849" cy="3052800"/>
                    </a:xfrm>
                    <a:prstGeom prst="rect">
                      <a:avLst/>
                    </a:prstGeom>
                    <a:noFill/>
                    <a:ln w="9525">
                      <a:noFill/>
                      <a:miter lim="800000"/>
                      <a:headEnd/>
                      <a:tailEnd/>
                    </a:ln>
                  </pic:spPr>
                </pic:pic>
              </a:graphicData>
            </a:graphic>
          </wp:inline>
        </w:drawing>
      </w:r>
    </w:p>
    <w:p w:rsidR="00AD35C8" w:rsidRPr="009179E5" w:rsidRDefault="00974117" w:rsidP="00574AC8">
      <w:pPr>
        <w:spacing w:before="120" w:after="120" w:line="240" w:lineRule="auto"/>
        <w:rPr>
          <w:rFonts w:ascii="Times New Roman" w:hAnsi="Times New Roman"/>
          <w:b/>
          <w:sz w:val="24"/>
          <w:szCs w:val="24"/>
          <w:lang w:val="lv-LV"/>
        </w:rPr>
      </w:pPr>
      <w:r w:rsidRPr="009179E5">
        <w:rPr>
          <w:rFonts w:ascii="Times New Roman" w:hAnsi="Times New Roman"/>
          <w:b/>
          <w:sz w:val="24"/>
          <w:szCs w:val="24"/>
          <w:lang w:val="lv-LV"/>
        </w:rPr>
        <w:t>1</w:t>
      </w:r>
      <w:r w:rsidR="00AD35C8" w:rsidRPr="009179E5">
        <w:rPr>
          <w:rFonts w:ascii="Times New Roman" w:hAnsi="Times New Roman"/>
          <w:b/>
          <w:sz w:val="24"/>
          <w:szCs w:val="24"/>
          <w:lang w:val="lv-LV"/>
        </w:rPr>
        <w:t>.</w:t>
      </w:r>
      <w:r w:rsidR="003539DD" w:rsidRPr="009179E5">
        <w:rPr>
          <w:rFonts w:ascii="Times New Roman" w:hAnsi="Times New Roman"/>
          <w:b/>
          <w:sz w:val="24"/>
          <w:szCs w:val="24"/>
          <w:lang w:val="lv-LV"/>
        </w:rPr>
        <w:t>attēls</w:t>
      </w:r>
      <w:r w:rsidR="00617F1E" w:rsidRPr="009179E5">
        <w:rPr>
          <w:rFonts w:ascii="Times New Roman" w:hAnsi="Times New Roman"/>
          <w:b/>
          <w:sz w:val="24"/>
          <w:szCs w:val="24"/>
          <w:lang w:val="lv-LV"/>
        </w:rPr>
        <w:t>.</w:t>
      </w:r>
      <w:r w:rsidR="00AD35C8" w:rsidRPr="009179E5">
        <w:rPr>
          <w:rFonts w:ascii="Times New Roman" w:hAnsi="Times New Roman"/>
          <w:b/>
          <w:sz w:val="24"/>
          <w:szCs w:val="24"/>
          <w:lang w:val="lv-LV"/>
        </w:rPr>
        <w:t xml:space="preserve"> Enerģijas galapatēriņš sektor</w:t>
      </w:r>
      <w:r w:rsidR="00EB7C29" w:rsidRPr="009179E5">
        <w:rPr>
          <w:rFonts w:ascii="Times New Roman" w:hAnsi="Times New Roman"/>
          <w:b/>
          <w:sz w:val="24"/>
          <w:szCs w:val="24"/>
          <w:lang w:val="lv-LV"/>
        </w:rPr>
        <w:t>os</w:t>
      </w:r>
      <w:r w:rsidR="00781143">
        <w:rPr>
          <w:rFonts w:ascii="Times New Roman" w:hAnsi="Times New Roman"/>
          <w:b/>
          <w:sz w:val="24"/>
          <w:szCs w:val="24"/>
          <w:lang w:val="lv-LV"/>
        </w:rPr>
        <w:t xml:space="preserve"> 2010</w:t>
      </w:r>
      <w:r w:rsidR="00AD35C8" w:rsidRPr="009179E5">
        <w:rPr>
          <w:rFonts w:ascii="Times New Roman" w:hAnsi="Times New Roman"/>
          <w:b/>
          <w:sz w:val="24"/>
          <w:szCs w:val="24"/>
          <w:lang w:val="lv-LV"/>
        </w:rPr>
        <w:t>.gadā</w:t>
      </w:r>
      <w:r w:rsidR="006F431B" w:rsidRPr="009179E5">
        <w:rPr>
          <w:rFonts w:ascii="Times New Roman" w:hAnsi="Times New Roman"/>
          <w:b/>
          <w:sz w:val="24"/>
          <w:szCs w:val="24"/>
          <w:lang w:val="lv-LV"/>
        </w:rPr>
        <w:t xml:space="preserve"> (Avots: CSP)</w:t>
      </w:r>
    </w:p>
    <w:p w:rsidR="00781143" w:rsidRDefault="00781143" w:rsidP="00574AC8">
      <w:pPr>
        <w:spacing w:before="120" w:after="120" w:line="240" w:lineRule="auto"/>
        <w:jc w:val="both"/>
        <w:rPr>
          <w:rFonts w:ascii="Times New Roman" w:hAnsi="Times New Roman"/>
          <w:sz w:val="28"/>
          <w:szCs w:val="28"/>
          <w:lang w:val="lv-LV"/>
        </w:rPr>
      </w:pPr>
      <w:r w:rsidRPr="00781143">
        <w:rPr>
          <w:rFonts w:ascii="Times New Roman" w:hAnsi="Times New Roman"/>
          <w:sz w:val="28"/>
          <w:szCs w:val="28"/>
          <w:lang w:val="lv-LV"/>
        </w:rPr>
        <w:t>Ņemot vērā, ka mājsaimniecību un transporta sektori ir būtiskākie enerģijas galapatēriņā, attiecīgi 35,1% un 28,4% no kopējā enerģijas galapatēriņa, šie sektori 2.EERP ir noteikti kā prioritāri sektori.</w:t>
      </w:r>
    </w:p>
    <w:p w:rsidR="00AD35C8" w:rsidRPr="009179E5" w:rsidRDefault="00C13D77"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2.EERP</w:t>
      </w:r>
      <w:r w:rsidR="00974117" w:rsidRPr="009179E5">
        <w:rPr>
          <w:rFonts w:ascii="Times New Roman" w:hAnsi="Times New Roman"/>
          <w:sz w:val="28"/>
          <w:szCs w:val="28"/>
          <w:lang w:val="lv-LV"/>
        </w:rPr>
        <w:t xml:space="preserve"> iekļauti tie enerģijas efektivitātes paaugstināšanas pasākumi</w:t>
      </w:r>
      <w:r w:rsidR="0078130B" w:rsidRPr="009179E5">
        <w:rPr>
          <w:rFonts w:ascii="Times New Roman" w:hAnsi="Times New Roman"/>
          <w:sz w:val="28"/>
          <w:szCs w:val="28"/>
          <w:lang w:val="lv-LV"/>
        </w:rPr>
        <w:t>,</w:t>
      </w:r>
      <w:r w:rsidR="003539DD" w:rsidRPr="009179E5">
        <w:rPr>
          <w:rFonts w:ascii="Times New Roman" w:hAnsi="Times New Roman"/>
          <w:sz w:val="28"/>
          <w:szCs w:val="28"/>
          <w:lang w:val="lv-LV"/>
        </w:rPr>
        <w:t xml:space="preserve"> kuriem līdz 2013</w:t>
      </w:r>
      <w:r w:rsidR="00AD35C8" w:rsidRPr="009179E5">
        <w:rPr>
          <w:rFonts w:ascii="Times New Roman" w:hAnsi="Times New Roman"/>
          <w:sz w:val="28"/>
          <w:szCs w:val="28"/>
          <w:lang w:val="lv-LV"/>
        </w:rPr>
        <w:t>.gadam ir pieejams finansējums no Eiropas struktūrfondu un kohēzijas fond</w:t>
      </w:r>
      <w:r w:rsidR="003071E0" w:rsidRPr="009179E5">
        <w:rPr>
          <w:rFonts w:ascii="Times New Roman" w:hAnsi="Times New Roman"/>
          <w:sz w:val="28"/>
          <w:szCs w:val="28"/>
          <w:lang w:val="lv-LV"/>
        </w:rPr>
        <w:t>a</w:t>
      </w:r>
      <w:r w:rsidR="00AD35C8" w:rsidRPr="009179E5">
        <w:rPr>
          <w:rFonts w:ascii="Times New Roman" w:hAnsi="Times New Roman"/>
          <w:sz w:val="28"/>
          <w:szCs w:val="28"/>
          <w:lang w:val="lv-LV"/>
        </w:rPr>
        <w:t xml:space="preserve"> programmām, kā arī no Klimata pārmaiņu finanšu instrumenta programmas. Bez tam</w:t>
      </w:r>
      <w:r w:rsidR="003071E0" w:rsidRPr="009179E5">
        <w:rPr>
          <w:rFonts w:ascii="Times New Roman" w:hAnsi="Times New Roman"/>
          <w:sz w:val="28"/>
          <w:szCs w:val="28"/>
          <w:lang w:val="lv-LV"/>
        </w:rPr>
        <w:t>,</w:t>
      </w:r>
      <w:r w:rsidR="00AD35C8" w:rsidRPr="009179E5">
        <w:rPr>
          <w:rFonts w:ascii="Times New Roman" w:hAnsi="Times New Roman"/>
          <w:sz w:val="28"/>
          <w:szCs w:val="28"/>
          <w:lang w:val="lv-LV"/>
        </w:rPr>
        <w:t xml:space="preserve"> </w:t>
      </w:r>
      <w:r w:rsidRPr="009179E5">
        <w:rPr>
          <w:rFonts w:ascii="Times New Roman" w:hAnsi="Times New Roman"/>
          <w:sz w:val="28"/>
          <w:szCs w:val="28"/>
          <w:lang w:val="lv-LV"/>
        </w:rPr>
        <w:t>2.EERP</w:t>
      </w:r>
      <w:r w:rsidR="00AD35C8" w:rsidRPr="009179E5">
        <w:rPr>
          <w:rFonts w:ascii="Times New Roman" w:hAnsi="Times New Roman"/>
          <w:sz w:val="28"/>
          <w:szCs w:val="28"/>
          <w:lang w:val="lv-LV"/>
        </w:rPr>
        <w:t xml:space="preserve"> iekļauti arī atsevišķi pasākumi, kurus finansē komersanti.</w:t>
      </w:r>
    </w:p>
    <w:p w:rsidR="00D90A15" w:rsidRPr="009179E5" w:rsidRDefault="00910A9F" w:rsidP="00574AC8">
      <w:pPr>
        <w:pStyle w:val="ListBullet"/>
        <w:spacing w:before="120" w:after="120"/>
        <w:rPr>
          <w:rStyle w:val="Strong"/>
          <w:b w:val="0"/>
          <w:bCs w:val="0"/>
          <w:u w:val="none"/>
        </w:rPr>
      </w:pPr>
      <w:r w:rsidRPr="009179E5">
        <w:rPr>
          <w:rStyle w:val="Strong"/>
          <w:b w:val="0"/>
          <w:bCs w:val="0"/>
          <w:u w:val="none"/>
        </w:rPr>
        <w:lastRenderedPageBreak/>
        <w:t xml:space="preserve">Ekonomikas ministrija ir uzsākusi darbu pie </w:t>
      </w:r>
      <w:r w:rsidR="00D90A15" w:rsidRPr="009179E5">
        <w:rPr>
          <w:rStyle w:val="Strong"/>
          <w:b w:val="0"/>
          <w:bCs w:val="0"/>
          <w:u w:val="none"/>
        </w:rPr>
        <w:t>enerģētikas nozares attīstības plānošanas dokumenta „Latvijas enerģētika 2030” izstrādes</w:t>
      </w:r>
      <w:r w:rsidRPr="009179E5">
        <w:rPr>
          <w:rStyle w:val="Strong"/>
          <w:b w:val="0"/>
          <w:bCs w:val="0"/>
          <w:u w:val="none"/>
        </w:rPr>
        <w:t>. Šo dokumentu</w:t>
      </w:r>
      <w:r w:rsidR="00D90A15" w:rsidRPr="009179E5">
        <w:rPr>
          <w:rStyle w:val="Strong"/>
          <w:b w:val="0"/>
          <w:bCs w:val="0"/>
          <w:u w:val="none"/>
        </w:rPr>
        <w:t xml:space="preserve"> </w:t>
      </w:r>
      <w:r w:rsidRPr="009179E5">
        <w:rPr>
          <w:rStyle w:val="Strong"/>
          <w:b w:val="0"/>
          <w:bCs w:val="0"/>
          <w:u w:val="none"/>
        </w:rPr>
        <w:t>plānots apstiprināt 2011.gada rudenī</w:t>
      </w:r>
      <w:r w:rsidR="00D90A15" w:rsidRPr="009179E5">
        <w:rPr>
          <w:rStyle w:val="Strong"/>
          <w:b w:val="0"/>
          <w:bCs w:val="0"/>
          <w:u w:val="none"/>
        </w:rPr>
        <w:t xml:space="preserve">, </w:t>
      </w:r>
      <w:r w:rsidRPr="009179E5">
        <w:rPr>
          <w:rStyle w:val="Strong"/>
          <w:b w:val="0"/>
          <w:bCs w:val="0"/>
          <w:u w:val="none"/>
        </w:rPr>
        <w:t xml:space="preserve">un tajā tiks aktualizēti arī energoefektivitātes paaugstināšanas </w:t>
      </w:r>
      <w:r w:rsidR="00D90A15" w:rsidRPr="009179E5">
        <w:rPr>
          <w:rStyle w:val="Strong"/>
          <w:b w:val="0"/>
          <w:bCs w:val="0"/>
          <w:u w:val="none"/>
        </w:rPr>
        <w:t>mērķi</w:t>
      </w:r>
      <w:r w:rsidRPr="009179E5">
        <w:rPr>
          <w:rStyle w:val="Strong"/>
          <w:b w:val="0"/>
          <w:bCs w:val="0"/>
          <w:u w:val="none"/>
        </w:rPr>
        <w:t xml:space="preserve"> līdz 2030.gadam</w:t>
      </w:r>
      <w:r w:rsidR="00D90A15" w:rsidRPr="009179E5">
        <w:rPr>
          <w:rStyle w:val="Strong"/>
          <w:b w:val="0"/>
          <w:bCs w:val="0"/>
          <w:u w:val="none"/>
        </w:rPr>
        <w:t>.</w:t>
      </w:r>
    </w:p>
    <w:p w:rsidR="00D90A15" w:rsidRPr="009179E5" w:rsidRDefault="00C13D77" w:rsidP="00574AC8">
      <w:pPr>
        <w:pStyle w:val="H4"/>
        <w:spacing w:before="120"/>
        <w:jc w:val="left"/>
        <w:rPr>
          <w:u w:val="single"/>
        </w:rPr>
      </w:pPr>
      <w:r w:rsidRPr="009179E5">
        <w:rPr>
          <w:u w:val="single"/>
        </w:rPr>
        <w:t>2.EERP</w:t>
      </w:r>
      <w:r w:rsidR="00D90A15" w:rsidRPr="009179E5">
        <w:rPr>
          <w:u w:val="single"/>
        </w:rPr>
        <w:t xml:space="preserve"> izstrādāts</w:t>
      </w:r>
      <w:r w:rsidR="00D526F8" w:rsidRPr="009179E5">
        <w:rPr>
          <w:u w:val="single"/>
        </w:rPr>
        <w:t>,</w:t>
      </w:r>
      <w:r w:rsidR="00D90A15" w:rsidRPr="009179E5">
        <w:rPr>
          <w:u w:val="single"/>
        </w:rPr>
        <w:t xml:space="preserve"> ņemot vērā šādus politikas plānošanas dokumentus</w:t>
      </w:r>
      <w:r w:rsidR="00910A9F" w:rsidRPr="009179E5">
        <w:rPr>
          <w:u w:val="single"/>
        </w:rPr>
        <w:t>:</w:t>
      </w:r>
    </w:p>
    <w:p w:rsidR="00D90A15" w:rsidRPr="009179E5" w:rsidRDefault="00D90A15" w:rsidP="00574AC8">
      <w:pPr>
        <w:pStyle w:val="naispant"/>
        <w:spacing w:before="120" w:beforeAutospacing="0" w:after="120" w:afterAutospacing="0"/>
        <w:jc w:val="both"/>
        <w:rPr>
          <w:sz w:val="28"/>
          <w:szCs w:val="28"/>
        </w:rPr>
      </w:pPr>
      <w:r w:rsidRPr="009179E5">
        <w:rPr>
          <w:sz w:val="28"/>
          <w:szCs w:val="28"/>
        </w:rPr>
        <w:t>1.</w:t>
      </w:r>
      <w:r w:rsidR="00BE6601" w:rsidRPr="009179E5">
        <w:rPr>
          <w:sz w:val="28"/>
          <w:szCs w:val="28"/>
        </w:rPr>
        <w:t xml:space="preserve"> </w:t>
      </w:r>
      <w:r w:rsidRPr="009179E5">
        <w:rPr>
          <w:sz w:val="28"/>
          <w:szCs w:val="28"/>
        </w:rPr>
        <w:t>Latvijas Ilgtspējīgas attīstības stratēģija līdz 2030.gadam (apstiprināta ar Saeimas lēmumu 2010.gada 10.jūnijā)</w:t>
      </w:r>
      <w:r w:rsidR="00D526F8" w:rsidRPr="009179E5">
        <w:rPr>
          <w:sz w:val="28"/>
          <w:szCs w:val="28"/>
        </w:rPr>
        <w:t>;</w:t>
      </w:r>
    </w:p>
    <w:p w:rsidR="00D90A15" w:rsidRPr="009179E5" w:rsidRDefault="00D90A15" w:rsidP="00574AC8">
      <w:pPr>
        <w:pStyle w:val="naispant"/>
        <w:spacing w:before="120" w:beforeAutospacing="0" w:after="120" w:afterAutospacing="0"/>
        <w:jc w:val="both"/>
        <w:rPr>
          <w:sz w:val="28"/>
          <w:szCs w:val="28"/>
        </w:rPr>
      </w:pPr>
      <w:r w:rsidRPr="009179E5">
        <w:rPr>
          <w:sz w:val="28"/>
          <w:szCs w:val="28"/>
        </w:rPr>
        <w:t>2.</w:t>
      </w:r>
      <w:r w:rsidR="00BE6601" w:rsidRPr="009179E5">
        <w:rPr>
          <w:sz w:val="28"/>
          <w:szCs w:val="28"/>
        </w:rPr>
        <w:t xml:space="preserve"> </w:t>
      </w:r>
      <w:r w:rsidRPr="009179E5">
        <w:rPr>
          <w:sz w:val="28"/>
          <w:szCs w:val="28"/>
        </w:rPr>
        <w:t>Nacionālais attīstības plāns 2003.-2013.gadam (apstiprināts ar Ministru kabineta 2006.gada 4.jūlija noteikumiem Nr.564 „Noteikumi par Latvijas Nacionālo attīstības plānu 2007.–2013.gadam”</w:t>
      </w:r>
      <w:r w:rsidR="00D526F8" w:rsidRPr="009179E5">
        <w:rPr>
          <w:sz w:val="28"/>
          <w:szCs w:val="28"/>
        </w:rPr>
        <w:t>;</w:t>
      </w:r>
    </w:p>
    <w:p w:rsidR="00D90A15" w:rsidRPr="009179E5" w:rsidRDefault="00D90A15" w:rsidP="00574AC8">
      <w:pPr>
        <w:spacing w:before="120" w:after="120" w:line="240" w:lineRule="auto"/>
        <w:jc w:val="both"/>
        <w:rPr>
          <w:rFonts w:ascii="Times New Roman" w:hAnsi="Times New Roman"/>
          <w:sz w:val="28"/>
          <w:szCs w:val="28"/>
          <w:lang w:val="lv-LV"/>
        </w:rPr>
      </w:pPr>
      <w:r w:rsidRPr="009179E5">
        <w:rPr>
          <w:rFonts w:ascii="Times New Roman" w:hAnsi="Times New Roman"/>
          <w:iCs/>
          <w:sz w:val="28"/>
          <w:szCs w:val="28"/>
          <w:lang w:val="lv-LV"/>
        </w:rPr>
        <w:t>3.</w:t>
      </w:r>
      <w:r w:rsidR="00BE6601" w:rsidRPr="009179E5">
        <w:rPr>
          <w:rFonts w:ascii="Times New Roman" w:hAnsi="Times New Roman"/>
          <w:iCs/>
          <w:sz w:val="28"/>
          <w:szCs w:val="28"/>
          <w:lang w:val="lv-LV"/>
        </w:rPr>
        <w:t xml:space="preserve"> </w:t>
      </w:r>
      <w:r w:rsidRPr="009179E5">
        <w:rPr>
          <w:rFonts w:ascii="Times New Roman" w:hAnsi="Times New Roman"/>
          <w:iCs/>
          <w:sz w:val="28"/>
          <w:szCs w:val="28"/>
          <w:lang w:val="lv-LV"/>
        </w:rPr>
        <w:t xml:space="preserve">Latvijas Republikas pirmais </w:t>
      </w:r>
      <w:r w:rsidR="00A40CAA" w:rsidRPr="009179E5">
        <w:rPr>
          <w:rFonts w:ascii="Times New Roman" w:hAnsi="Times New Roman"/>
          <w:iCs/>
          <w:sz w:val="28"/>
          <w:szCs w:val="28"/>
          <w:lang w:val="lv-LV"/>
        </w:rPr>
        <w:t>e</w:t>
      </w:r>
      <w:r w:rsidRPr="009179E5">
        <w:rPr>
          <w:rFonts w:ascii="Times New Roman" w:hAnsi="Times New Roman"/>
          <w:iCs/>
          <w:sz w:val="28"/>
          <w:szCs w:val="28"/>
          <w:lang w:val="lv-LV"/>
        </w:rPr>
        <w:t>nergoefektivitātes rīcības plāns 200</w:t>
      </w:r>
      <w:r w:rsidR="00A563CF" w:rsidRPr="009179E5">
        <w:rPr>
          <w:rFonts w:ascii="Times New Roman" w:hAnsi="Times New Roman"/>
          <w:iCs/>
          <w:sz w:val="28"/>
          <w:szCs w:val="28"/>
          <w:lang w:val="lv-LV"/>
        </w:rPr>
        <w:t>8</w:t>
      </w:r>
      <w:r w:rsidRPr="009179E5">
        <w:rPr>
          <w:rFonts w:ascii="Times New Roman" w:hAnsi="Times New Roman"/>
          <w:iCs/>
          <w:sz w:val="28"/>
          <w:szCs w:val="28"/>
          <w:lang w:val="lv-LV"/>
        </w:rPr>
        <w:t xml:space="preserve">.- 2010.gadam (apstiprināts </w:t>
      </w:r>
      <w:r w:rsidR="00A563CF" w:rsidRPr="009179E5">
        <w:rPr>
          <w:rFonts w:ascii="Times New Roman" w:hAnsi="Times New Roman"/>
          <w:iCs/>
          <w:sz w:val="28"/>
          <w:szCs w:val="28"/>
          <w:lang w:val="lv-LV"/>
        </w:rPr>
        <w:t xml:space="preserve">ar </w:t>
      </w:r>
      <w:r w:rsidR="00A563CF" w:rsidRPr="009179E5">
        <w:rPr>
          <w:rFonts w:ascii="Times New Roman" w:hAnsi="Times New Roman"/>
          <w:sz w:val="28"/>
          <w:szCs w:val="28"/>
          <w:lang w:val="lv-LV"/>
        </w:rPr>
        <w:t xml:space="preserve">Ministru kabineta </w:t>
      </w:r>
      <w:r w:rsidRPr="009179E5">
        <w:rPr>
          <w:rFonts w:ascii="Times New Roman" w:hAnsi="Times New Roman"/>
          <w:iCs/>
          <w:sz w:val="28"/>
          <w:szCs w:val="28"/>
          <w:lang w:val="lv-LV"/>
        </w:rPr>
        <w:t>2008.gada 20.maij</w:t>
      </w:r>
      <w:r w:rsidR="00A563CF" w:rsidRPr="009179E5">
        <w:rPr>
          <w:rFonts w:ascii="Times New Roman" w:hAnsi="Times New Roman"/>
          <w:iCs/>
          <w:sz w:val="28"/>
          <w:szCs w:val="28"/>
          <w:lang w:val="lv-LV"/>
        </w:rPr>
        <w:t>a</w:t>
      </w:r>
      <w:r w:rsidRPr="009179E5">
        <w:rPr>
          <w:rFonts w:ascii="Times New Roman" w:hAnsi="Times New Roman"/>
          <w:iCs/>
          <w:sz w:val="28"/>
          <w:szCs w:val="28"/>
          <w:lang w:val="lv-LV"/>
        </w:rPr>
        <w:t xml:space="preserve"> </w:t>
      </w:r>
      <w:r w:rsidRPr="009179E5">
        <w:rPr>
          <w:rFonts w:ascii="Times New Roman" w:hAnsi="Times New Roman"/>
          <w:sz w:val="28"/>
          <w:szCs w:val="28"/>
          <w:lang w:val="lv-LV"/>
        </w:rPr>
        <w:t>rīkojumu Nr.266)</w:t>
      </w:r>
      <w:r w:rsidR="00D526F8" w:rsidRPr="009179E5">
        <w:rPr>
          <w:rFonts w:ascii="Times New Roman" w:hAnsi="Times New Roman"/>
          <w:sz w:val="28"/>
          <w:szCs w:val="28"/>
          <w:lang w:val="lv-LV"/>
        </w:rPr>
        <w:t>;</w:t>
      </w:r>
    </w:p>
    <w:p w:rsidR="00D90A15" w:rsidRPr="009179E5" w:rsidRDefault="00D90A15" w:rsidP="00574AC8">
      <w:pPr>
        <w:spacing w:before="120" w:after="120" w:line="240" w:lineRule="auto"/>
        <w:jc w:val="both"/>
        <w:rPr>
          <w:rFonts w:ascii="Times New Roman" w:hAnsi="Times New Roman"/>
          <w:sz w:val="28"/>
          <w:lang w:val="lv-LV"/>
        </w:rPr>
      </w:pPr>
      <w:r w:rsidRPr="009179E5">
        <w:rPr>
          <w:rFonts w:ascii="Times New Roman" w:hAnsi="Times New Roman"/>
          <w:sz w:val="28"/>
          <w:szCs w:val="28"/>
          <w:lang w:val="lv-LV"/>
        </w:rPr>
        <w:t>4.</w:t>
      </w:r>
      <w:r w:rsidR="00BE6601" w:rsidRPr="009179E5">
        <w:rPr>
          <w:rFonts w:ascii="Times New Roman" w:hAnsi="Times New Roman"/>
          <w:sz w:val="28"/>
          <w:szCs w:val="28"/>
          <w:lang w:val="lv-LV"/>
        </w:rPr>
        <w:t xml:space="preserve"> </w:t>
      </w:r>
      <w:r w:rsidRPr="009179E5">
        <w:rPr>
          <w:rFonts w:ascii="Times New Roman" w:hAnsi="Times New Roman"/>
          <w:sz w:val="28"/>
          <w:szCs w:val="28"/>
          <w:lang w:val="lv-LV"/>
        </w:rPr>
        <w:t>Būvniecības nacionālā programma 2002.–2012.gadam</w:t>
      </w:r>
      <w:r w:rsidR="00A452A3" w:rsidRPr="009179E5">
        <w:rPr>
          <w:rFonts w:ascii="Times New Roman" w:hAnsi="Times New Roman"/>
          <w:sz w:val="28"/>
          <w:szCs w:val="28"/>
          <w:lang w:val="lv-LV"/>
        </w:rPr>
        <w:t xml:space="preserve"> (</w:t>
      </w:r>
      <w:r w:rsidRPr="009179E5">
        <w:rPr>
          <w:rFonts w:ascii="Times New Roman" w:hAnsi="Times New Roman"/>
          <w:sz w:val="28"/>
          <w:szCs w:val="28"/>
          <w:lang w:val="lv-LV"/>
        </w:rPr>
        <w:t xml:space="preserve">apstiprināta </w:t>
      </w:r>
      <w:r w:rsidR="00A452A3" w:rsidRPr="009179E5">
        <w:rPr>
          <w:rFonts w:ascii="Times New Roman" w:hAnsi="Times New Roman"/>
          <w:sz w:val="28"/>
          <w:lang w:val="lv-LV"/>
        </w:rPr>
        <w:t xml:space="preserve">ar </w:t>
      </w:r>
      <w:r w:rsidRPr="009179E5">
        <w:rPr>
          <w:rFonts w:ascii="Times New Roman" w:hAnsi="Times New Roman"/>
          <w:sz w:val="28"/>
          <w:lang w:val="lv-LV"/>
        </w:rPr>
        <w:t xml:space="preserve">Ministru kabineta </w:t>
      </w:r>
      <w:r w:rsidR="00A452A3" w:rsidRPr="009179E5">
        <w:rPr>
          <w:rFonts w:ascii="Times New Roman" w:hAnsi="Times New Roman"/>
          <w:sz w:val="28"/>
          <w:lang w:val="lv-LV"/>
        </w:rPr>
        <w:t>2002.gada 30.augusta rīkojumu</w:t>
      </w:r>
      <w:r w:rsidRPr="009179E5">
        <w:rPr>
          <w:rFonts w:ascii="Times New Roman" w:hAnsi="Times New Roman"/>
          <w:sz w:val="28"/>
          <w:lang w:val="lv-LV"/>
        </w:rPr>
        <w:t xml:space="preserve"> Nr.478)</w:t>
      </w:r>
      <w:r w:rsidR="00FD6617" w:rsidRPr="009179E5">
        <w:rPr>
          <w:rFonts w:ascii="Times New Roman" w:hAnsi="Times New Roman"/>
          <w:sz w:val="28"/>
          <w:lang w:val="lv-LV"/>
        </w:rPr>
        <w:t>;</w:t>
      </w:r>
    </w:p>
    <w:p w:rsidR="00644CD2" w:rsidRPr="009179E5" w:rsidRDefault="00644CD2"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5.</w:t>
      </w:r>
      <w:r w:rsidR="00BE6601" w:rsidRPr="009179E5">
        <w:rPr>
          <w:rFonts w:ascii="Times New Roman" w:hAnsi="Times New Roman"/>
          <w:sz w:val="28"/>
          <w:szCs w:val="28"/>
          <w:lang w:val="lv-LV"/>
        </w:rPr>
        <w:t xml:space="preserve"> </w:t>
      </w:r>
      <w:r w:rsidRPr="009179E5">
        <w:rPr>
          <w:rFonts w:ascii="Times New Roman" w:hAnsi="Times New Roman"/>
          <w:sz w:val="28"/>
          <w:szCs w:val="28"/>
          <w:lang w:val="lv-LV"/>
        </w:rPr>
        <w:t>Komercdarbības konkurētspējas un inovācijas veicināšanas programma 2007. – 2013.gadam (</w:t>
      </w:r>
      <w:r w:rsidR="00D526F8" w:rsidRPr="009179E5">
        <w:rPr>
          <w:rFonts w:ascii="Times New Roman" w:hAnsi="Times New Roman"/>
          <w:sz w:val="28"/>
          <w:szCs w:val="28"/>
          <w:lang w:val="lv-LV"/>
        </w:rPr>
        <w:t>a</w:t>
      </w:r>
      <w:r w:rsidRPr="009179E5">
        <w:rPr>
          <w:rFonts w:ascii="Times New Roman" w:hAnsi="Times New Roman"/>
          <w:sz w:val="28"/>
          <w:szCs w:val="28"/>
          <w:lang w:val="lv-LV"/>
        </w:rPr>
        <w:t>pstiprināta ar Ministru kabineta 2007.gada 28.jūnija rīkojumu Nr.406)</w:t>
      </w:r>
      <w:r w:rsidR="00D526F8" w:rsidRPr="009179E5">
        <w:rPr>
          <w:rFonts w:ascii="Times New Roman" w:hAnsi="Times New Roman"/>
          <w:sz w:val="28"/>
          <w:szCs w:val="28"/>
          <w:lang w:val="lv-LV"/>
        </w:rPr>
        <w:t>;</w:t>
      </w:r>
    </w:p>
    <w:p w:rsidR="00A452A3" w:rsidRPr="009179E5" w:rsidRDefault="00644CD2"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6</w:t>
      </w:r>
      <w:r w:rsidR="00D90A15" w:rsidRPr="009179E5">
        <w:rPr>
          <w:rFonts w:ascii="Times New Roman" w:hAnsi="Times New Roman"/>
          <w:sz w:val="28"/>
          <w:szCs w:val="28"/>
          <w:lang w:val="lv-LV"/>
        </w:rPr>
        <w:t>.</w:t>
      </w:r>
      <w:r w:rsidR="00BE6601" w:rsidRPr="009179E5">
        <w:rPr>
          <w:rFonts w:ascii="Times New Roman" w:hAnsi="Times New Roman"/>
          <w:sz w:val="28"/>
          <w:szCs w:val="28"/>
          <w:lang w:val="lv-LV"/>
        </w:rPr>
        <w:t xml:space="preserve"> </w:t>
      </w:r>
      <w:r w:rsidR="00D90A15" w:rsidRPr="009179E5">
        <w:rPr>
          <w:rFonts w:ascii="Times New Roman" w:hAnsi="Times New Roman"/>
          <w:sz w:val="28"/>
          <w:szCs w:val="28"/>
          <w:lang w:val="lv-LV"/>
        </w:rPr>
        <w:t xml:space="preserve">Klimata pārmaiņu samazināšanas programma 2005.-2010.gadam </w:t>
      </w:r>
      <w:r w:rsidR="00A452A3" w:rsidRPr="009179E5">
        <w:rPr>
          <w:rFonts w:ascii="Times New Roman" w:hAnsi="Times New Roman"/>
          <w:sz w:val="28"/>
          <w:szCs w:val="28"/>
          <w:lang w:val="lv-LV"/>
        </w:rPr>
        <w:t>(apstiprināta ar Ministru kabineta 2004.gada 4.jūnija rīkojumu Nr.220)</w:t>
      </w:r>
      <w:r w:rsidR="00D526F8" w:rsidRPr="009179E5">
        <w:rPr>
          <w:rFonts w:ascii="Times New Roman" w:hAnsi="Times New Roman"/>
          <w:sz w:val="28"/>
          <w:szCs w:val="28"/>
          <w:lang w:val="lv-LV"/>
        </w:rPr>
        <w:t>;</w:t>
      </w:r>
    </w:p>
    <w:p w:rsidR="00D90A15" w:rsidRPr="009179E5" w:rsidRDefault="00644CD2"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7</w:t>
      </w:r>
      <w:r w:rsidR="00D90A15" w:rsidRPr="009179E5">
        <w:rPr>
          <w:rFonts w:ascii="Times New Roman" w:hAnsi="Times New Roman"/>
          <w:sz w:val="28"/>
          <w:szCs w:val="28"/>
          <w:lang w:val="lv-LV"/>
        </w:rPr>
        <w:t>.</w:t>
      </w:r>
      <w:r w:rsidR="00BE6601" w:rsidRPr="009179E5">
        <w:rPr>
          <w:rFonts w:ascii="Times New Roman" w:hAnsi="Times New Roman"/>
          <w:sz w:val="28"/>
          <w:szCs w:val="28"/>
          <w:lang w:val="lv-LV"/>
        </w:rPr>
        <w:t xml:space="preserve"> </w:t>
      </w:r>
      <w:r w:rsidR="00D90A15" w:rsidRPr="009179E5">
        <w:rPr>
          <w:rFonts w:ascii="Times New Roman" w:hAnsi="Times New Roman"/>
          <w:sz w:val="28"/>
          <w:szCs w:val="28"/>
          <w:lang w:val="lv-LV"/>
        </w:rPr>
        <w:t>Latvijas Nacionālā reformu programma „ES 2020” (</w:t>
      </w:r>
      <w:r w:rsidR="00A346A6" w:rsidRPr="009179E5">
        <w:rPr>
          <w:rFonts w:ascii="Times New Roman" w:hAnsi="Times New Roman"/>
          <w:sz w:val="28"/>
          <w:szCs w:val="28"/>
          <w:lang w:val="lv-LV"/>
        </w:rPr>
        <w:t xml:space="preserve">programma stratēģijas īstenošanai </w:t>
      </w:r>
      <w:r w:rsidR="00D90A15" w:rsidRPr="009179E5">
        <w:rPr>
          <w:rFonts w:ascii="Times New Roman" w:hAnsi="Times New Roman"/>
          <w:sz w:val="28"/>
          <w:szCs w:val="28"/>
          <w:lang w:val="lv-LV"/>
        </w:rPr>
        <w:t>apstiprināta</w:t>
      </w:r>
      <w:r w:rsidR="007D5953" w:rsidRPr="009179E5">
        <w:rPr>
          <w:rFonts w:ascii="Times New Roman" w:hAnsi="Times New Roman"/>
          <w:sz w:val="28"/>
          <w:szCs w:val="28"/>
          <w:lang w:val="lv-LV"/>
        </w:rPr>
        <w:t xml:space="preserve"> </w:t>
      </w:r>
      <w:r w:rsidR="00A346A6" w:rsidRPr="009179E5">
        <w:rPr>
          <w:rFonts w:ascii="Times New Roman" w:hAnsi="Times New Roman"/>
          <w:sz w:val="28"/>
          <w:szCs w:val="28"/>
          <w:lang w:val="lv-LV"/>
        </w:rPr>
        <w:t>M</w:t>
      </w:r>
      <w:r w:rsidR="007D5953" w:rsidRPr="009179E5">
        <w:rPr>
          <w:rFonts w:ascii="Times New Roman" w:hAnsi="Times New Roman"/>
          <w:sz w:val="28"/>
          <w:szCs w:val="28"/>
          <w:lang w:val="lv-LV"/>
        </w:rPr>
        <w:t xml:space="preserve">inistru kabineta </w:t>
      </w:r>
      <w:r w:rsidR="00A346A6" w:rsidRPr="009179E5">
        <w:rPr>
          <w:rFonts w:ascii="Times New Roman" w:hAnsi="Times New Roman"/>
          <w:sz w:val="28"/>
          <w:szCs w:val="28"/>
          <w:lang w:val="lv-LV"/>
        </w:rPr>
        <w:t>2011.gada 26.aprīļa sēdē (Prot.</w:t>
      </w:r>
      <w:r w:rsidR="009A6778" w:rsidRPr="009179E5">
        <w:rPr>
          <w:rFonts w:ascii="Times New Roman" w:hAnsi="Times New Roman"/>
          <w:sz w:val="28"/>
          <w:szCs w:val="28"/>
          <w:lang w:val="lv-LV"/>
        </w:rPr>
        <w:t xml:space="preserve"> </w:t>
      </w:r>
      <w:r w:rsidR="00A346A6" w:rsidRPr="009179E5">
        <w:rPr>
          <w:rFonts w:ascii="Times New Roman" w:hAnsi="Times New Roman"/>
          <w:sz w:val="28"/>
          <w:szCs w:val="28"/>
          <w:lang w:val="lv-LV"/>
        </w:rPr>
        <w:t>Nr.27 34§)</w:t>
      </w:r>
      <w:r w:rsidR="00D90A15" w:rsidRPr="009179E5">
        <w:rPr>
          <w:rFonts w:ascii="Times New Roman" w:hAnsi="Times New Roman"/>
          <w:sz w:val="28"/>
          <w:szCs w:val="28"/>
          <w:lang w:val="lv-LV"/>
        </w:rPr>
        <w:t>)</w:t>
      </w:r>
      <w:r w:rsidR="00D526F8" w:rsidRPr="009179E5">
        <w:rPr>
          <w:rFonts w:ascii="Times New Roman" w:hAnsi="Times New Roman"/>
          <w:sz w:val="28"/>
          <w:szCs w:val="28"/>
          <w:lang w:val="lv-LV"/>
        </w:rPr>
        <w:t>.</w:t>
      </w:r>
      <w:r w:rsidR="00D90A15" w:rsidRPr="009179E5">
        <w:rPr>
          <w:rFonts w:ascii="Times New Roman" w:hAnsi="Times New Roman"/>
          <w:sz w:val="28"/>
          <w:szCs w:val="28"/>
          <w:lang w:val="lv-LV"/>
        </w:rPr>
        <w:t xml:space="preserve"> </w:t>
      </w:r>
    </w:p>
    <w:p w:rsidR="00D90A15" w:rsidRPr="009179E5" w:rsidRDefault="00D90A15" w:rsidP="00574AC8">
      <w:pPr>
        <w:pStyle w:val="H4"/>
        <w:spacing w:before="120"/>
        <w:jc w:val="both"/>
        <w:rPr>
          <w:u w:val="single"/>
        </w:rPr>
      </w:pPr>
      <w:r w:rsidRPr="009179E5">
        <w:rPr>
          <w:u w:val="single"/>
        </w:rPr>
        <w:t xml:space="preserve">Energoefektivitātes jautājumi tiek regulēti šādos </w:t>
      </w:r>
      <w:r w:rsidR="005B4FE4" w:rsidRPr="009179E5">
        <w:rPr>
          <w:u w:val="single"/>
        </w:rPr>
        <w:t>tiesību</w:t>
      </w:r>
      <w:r w:rsidRPr="009179E5">
        <w:rPr>
          <w:u w:val="single"/>
        </w:rPr>
        <w:t xml:space="preserve"> aktos:</w:t>
      </w:r>
    </w:p>
    <w:p w:rsidR="00D90A15" w:rsidRPr="009179E5" w:rsidRDefault="00A42D50" w:rsidP="00574AC8">
      <w:pPr>
        <w:pStyle w:val="NormalWeb"/>
        <w:numPr>
          <w:ilvl w:val="0"/>
          <w:numId w:val="12"/>
        </w:numPr>
        <w:autoSpaceDE w:val="0"/>
        <w:autoSpaceDN w:val="0"/>
        <w:adjustRightInd w:val="0"/>
        <w:spacing w:before="120" w:beforeAutospacing="0" w:after="120" w:afterAutospacing="0"/>
        <w:ind w:left="0" w:firstLine="0"/>
        <w:jc w:val="both"/>
        <w:rPr>
          <w:sz w:val="28"/>
          <w:szCs w:val="28"/>
        </w:rPr>
      </w:pPr>
      <w:r w:rsidRPr="009179E5">
        <w:rPr>
          <w:sz w:val="28"/>
          <w:szCs w:val="28"/>
        </w:rPr>
        <w:t>„</w:t>
      </w:r>
      <w:r w:rsidR="00D90A15" w:rsidRPr="009179E5">
        <w:rPr>
          <w:sz w:val="28"/>
          <w:szCs w:val="28"/>
        </w:rPr>
        <w:t>Enerģētikas likums</w:t>
      </w:r>
      <w:r w:rsidRPr="009179E5">
        <w:rPr>
          <w:sz w:val="28"/>
          <w:szCs w:val="28"/>
        </w:rPr>
        <w:t>”</w:t>
      </w:r>
      <w:r w:rsidR="00D90A15" w:rsidRPr="009179E5">
        <w:rPr>
          <w:sz w:val="28"/>
          <w:szCs w:val="28"/>
        </w:rPr>
        <w:t xml:space="preserve"> (pieņemts 1998.gada 3.septembrī, aktuālā redakcija no 2008.gada 4.jūlija)</w:t>
      </w:r>
      <w:r w:rsidR="005B4FE4" w:rsidRPr="009179E5">
        <w:rPr>
          <w:sz w:val="28"/>
          <w:szCs w:val="28"/>
        </w:rPr>
        <w:t xml:space="preserve">. </w:t>
      </w:r>
      <w:r w:rsidR="00D90A15" w:rsidRPr="009179E5">
        <w:rPr>
          <w:sz w:val="28"/>
          <w:szCs w:val="28"/>
        </w:rPr>
        <w:t>Viens no likuma mēr</w:t>
      </w:r>
      <w:r w:rsidR="00DA127A" w:rsidRPr="009179E5">
        <w:rPr>
          <w:sz w:val="28"/>
          <w:szCs w:val="28"/>
        </w:rPr>
        <w:t>ķiem ir</w:t>
      </w:r>
      <w:r w:rsidR="00D90A15" w:rsidRPr="009179E5">
        <w:rPr>
          <w:sz w:val="28"/>
          <w:szCs w:val="28"/>
        </w:rPr>
        <w:t xml:space="preserve"> veicināt enerģijas efektīvu izma</w:t>
      </w:r>
      <w:r w:rsidR="00DA127A" w:rsidRPr="009179E5">
        <w:rPr>
          <w:sz w:val="28"/>
          <w:szCs w:val="28"/>
        </w:rPr>
        <w:t>ntošanu un līdzsvarotu patēriņu.</w:t>
      </w:r>
    </w:p>
    <w:p w:rsidR="00DA127A" w:rsidRPr="00235673" w:rsidRDefault="00D90A15" w:rsidP="00235673">
      <w:pPr>
        <w:pStyle w:val="NormalWeb"/>
        <w:numPr>
          <w:ilvl w:val="0"/>
          <w:numId w:val="12"/>
        </w:numPr>
        <w:spacing w:before="120" w:beforeAutospacing="0" w:after="120" w:afterAutospacing="0"/>
        <w:ind w:left="0" w:firstLine="0"/>
        <w:jc w:val="both"/>
        <w:rPr>
          <w:sz w:val="28"/>
          <w:szCs w:val="28"/>
        </w:rPr>
      </w:pPr>
      <w:r w:rsidRPr="009179E5">
        <w:rPr>
          <w:sz w:val="28"/>
          <w:szCs w:val="28"/>
        </w:rPr>
        <w:t>Enerģijas galapatēriņa efektivitātes likums (pieņemts 2010.gada 28.janvārī)</w:t>
      </w:r>
      <w:r w:rsidR="005B4FE4" w:rsidRPr="009179E5">
        <w:rPr>
          <w:sz w:val="28"/>
          <w:szCs w:val="28"/>
        </w:rPr>
        <w:t xml:space="preserve">. </w:t>
      </w:r>
      <w:r w:rsidR="00DA127A" w:rsidRPr="009179E5">
        <w:rPr>
          <w:sz w:val="28"/>
          <w:szCs w:val="28"/>
        </w:rPr>
        <w:t>Likuma mērķis ir nodrošināt enerģijas galapatēriņa efektivitāti un energopakalpojumu ieviešanu, kā arī energopakalpojumu tirgus attīstību.</w:t>
      </w:r>
      <w:r w:rsidR="005B4FE4" w:rsidRPr="009179E5">
        <w:rPr>
          <w:sz w:val="28"/>
          <w:szCs w:val="28"/>
        </w:rPr>
        <w:t xml:space="preserve"> </w:t>
      </w:r>
      <w:r w:rsidR="00DA127A" w:rsidRPr="009179E5">
        <w:rPr>
          <w:sz w:val="28"/>
          <w:szCs w:val="28"/>
        </w:rPr>
        <w:t xml:space="preserve">Saskaņā ar šo likumu ir izdoti Ministru kabineta </w:t>
      </w:r>
      <w:r w:rsidR="005B4FE4" w:rsidRPr="009179E5">
        <w:rPr>
          <w:sz w:val="28"/>
          <w:szCs w:val="28"/>
        </w:rPr>
        <w:t xml:space="preserve">2010.gada 30.septembra </w:t>
      </w:r>
      <w:r w:rsidR="00DA127A" w:rsidRPr="009179E5">
        <w:rPr>
          <w:sz w:val="28"/>
          <w:szCs w:val="28"/>
        </w:rPr>
        <w:t>noteikumi Nr.923</w:t>
      </w:r>
      <w:r w:rsidR="005B4FE4" w:rsidRPr="009179E5">
        <w:rPr>
          <w:sz w:val="28"/>
          <w:szCs w:val="28"/>
        </w:rPr>
        <w:t xml:space="preserve"> </w:t>
      </w:r>
      <w:r w:rsidR="00DA127A" w:rsidRPr="009179E5">
        <w:rPr>
          <w:sz w:val="28"/>
          <w:szCs w:val="28"/>
        </w:rPr>
        <w:t>„</w:t>
      </w:r>
      <w:r w:rsidR="00DA127A" w:rsidRPr="009179E5">
        <w:rPr>
          <w:bCs/>
          <w:sz w:val="28"/>
          <w:szCs w:val="28"/>
        </w:rPr>
        <w:t>Kārtība, kādā uzskaita valsts enerģijas galapatēriņa ietaupījumu un nodrošina energoefektivitātes monitoringa sistēmas darbību”</w:t>
      </w:r>
      <w:r w:rsidR="00235673">
        <w:rPr>
          <w:bCs/>
          <w:sz w:val="28"/>
          <w:szCs w:val="28"/>
        </w:rPr>
        <w:t xml:space="preserve">  </w:t>
      </w:r>
      <w:r w:rsidR="00235673" w:rsidRPr="00235673">
        <w:rPr>
          <w:bCs/>
          <w:sz w:val="28"/>
          <w:szCs w:val="28"/>
        </w:rPr>
        <w:t xml:space="preserve">un </w:t>
      </w:r>
      <w:r w:rsidR="00235673" w:rsidRPr="00235673">
        <w:rPr>
          <w:color w:val="000000"/>
          <w:sz w:val="28"/>
          <w:szCs w:val="28"/>
        </w:rPr>
        <w:t>2011. gada 15. jūlijā  ir stājušies spēkā Ministru kabineta 2011. gada 12. jūlija noteikumi Nr. 555 „Noteikumi par kārtību, kādā noslēdz un pārrauga vienošanos par energoefektivitātes paaugstināšanu”.</w:t>
      </w:r>
    </w:p>
    <w:p w:rsidR="00DA127A" w:rsidRPr="009179E5" w:rsidRDefault="00D90A15" w:rsidP="00574AC8">
      <w:pPr>
        <w:numPr>
          <w:ilvl w:val="0"/>
          <w:numId w:val="12"/>
        </w:numPr>
        <w:spacing w:before="120" w:after="120" w:line="240" w:lineRule="auto"/>
        <w:ind w:left="0" w:firstLine="0"/>
        <w:jc w:val="both"/>
        <w:rPr>
          <w:rFonts w:ascii="Times New Roman" w:hAnsi="Times New Roman"/>
          <w:sz w:val="28"/>
          <w:szCs w:val="28"/>
          <w:lang w:val="lv-LV"/>
        </w:rPr>
      </w:pPr>
      <w:r w:rsidRPr="009179E5">
        <w:rPr>
          <w:rFonts w:ascii="Times New Roman" w:hAnsi="Times New Roman"/>
          <w:sz w:val="28"/>
          <w:szCs w:val="28"/>
          <w:lang w:val="lv-LV"/>
        </w:rPr>
        <w:t>Ēku energoefektivitātes likums (pieņemts 2008.gada 13.martā)</w:t>
      </w:r>
      <w:r w:rsidR="00395A3D" w:rsidRPr="009179E5">
        <w:rPr>
          <w:rFonts w:ascii="Times New Roman" w:hAnsi="Times New Roman"/>
          <w:sz w:val="28"/>
          <w:szCs w:val="28"/>
          <w:lang w:val="lv-LV"/>
        </w:rPr>
        <w:t xml:space="preserve">. </w:t>
      </w:r>
      <w:r w:rsidR="00DA127A" w:rsidRPr="009179E5">
        <w:rPr>
          <w:rFonts w:ascii="Times New Roman" w:hAnsi="Times New Roman"/>
          <w:sz w:val="28"/>
          <w:szCs w:val="28"/>
          <w:lang w:val="lv-LV"/>
        </w:rPr>
        <w:t xml:space="preserve">Likuma mērķis ir veicināt energoresursu racionālu izmantošanu un uzlabot ēku energoefektivitāti. Likums arī nosaka valsts un pašvaldību institūciju </w:t>
      </w:r>
      <w:r w:rsidR="00DA127A" w:rsidRPr="009179E5">
        <w:rPr>
          <w:rFonts w:ascii="Times New Roman" w:hAnsi="Times New Roman"/>
          <w:sz w:val="28"/>
          <w:szCs w:val="28"/>
          <w:lang w:val="lv-LV"/>
        </w:rPr>
        <w:lastRenderedPageBreak/>
        <w:t>kompetenci ēku energoefektivitātes jomā, kā arī ēku energosertifikācijas tiesisko un organizatorisko pamatu.</w:t>
      </w:r>
      <w:r w:rsidR="00EC047A" w:rsidRPr="009179E5">
        <w:rPr>
          <w:rFonts w:ascii="Times New Roman" w:hAnsi="Times New Roman"/>
          <w:sz w:val="28"/>
          <w:szCs w:val="28"/>
          <w:lang w:val="lv-LV"/>
        </w:rPr>
        <w:t xml:space="preserve"> </w:t>
      </w:r>
      <w:r w:rsidR="00DA127A" w:rsidRPr="009179E5">
        <w:rPr>
          <w:rFonts w:ascii="Times New Roman" w:hAnsi="Times New Roman"/>
          <w:sz w:val="28"/>
          <w:szCs w:val="28"/>
          <w:lang w:val="lv-LV"/>
        </w:rPr>
        <w:t>Saskaņā ar šo likumu ir izdoti šādi Ministru kabineta noteikumi:</w:t>
      </w:r>
    </w:p>
    <w:p w:rsidR="00DA127A" w:rsidRPr="009179E5" w:rsidRDefault="00EC047A" w:rsidP="00574AC8">
      <w:pPr>
        <w:numPr>
          <w:ilvl w:val="0"/>
          <w:numId w:val="13"/>
        </w:numPr>
        <w:spacing w:before="120" w:after="120" w:line="240" w:lineRule="auto"/>
        <w:ind w:left="0" w:firstLine="360"/>
        <w:jc w:val="both"/>
        <w:rPr>
          <w:rFonts w:ascii="Times New Roman" w:hAnsi="Times New Roman"/>
          <w:i/>
          <w:sz w:val="28"/>
          <w:szCs w:val="28"/>
          <w:lang w:val="lv-LV"/>
        </w:rPr>
      </w:pPr>
      <w:r w:rsidRPr="009179E5">
        <w:rPr>
          <w:rFonts w:ascii="Times New Roman" w:hAnsi="Times New Roman"/>
          <w:sz w:val="28"/>
          <w:szCs w:val="28"/>
          <w:lang w:val="lv-LV"/>
        </w:rPr>
        <w:t>Ministru</w:t>
      </w:r>
      <w:r w:rsidR="00965CB2" w:rsidRPr="009179E5">
        <w:rPr>
          <w:rFonts w:ascii="Times New Roman" w:hAnsi="Times New Roman"/>
          <w:sz w:val="28"/>
          <w:szCs w:val="28"/>
          <w:lang w:val="lv-LV"/>
        </w:rPr>
        <w:t xml:space="preserve"> </w:t>
      </w:r>
      <w:r w:rsidRPr="009179E5">
        <w:rPr>
          <w:rFonts w:ascii="Times New Roman" w:hAnsi="Times New Roman"/>
          <w:sz w:val="28"/>
          <w:szCs w:val="28"/>
          <w:lang w:val="lv-LV"/>
        </w:rPr>
        <w:t xml:space="preserve">kabineta 2009.gada 13.janvāra noteikumi Nr.26 </w:t>
      </w:r>
      <w:r w:rsidR="00DA127A" w:rsidRPr="009179E5">
        <w:rPr>
          <w:rFonts w:ascii="Times New Roman" w:hAnsi="Times New Roman"/>
          <w:sz w:val="28"/>
          <w:szCs w:val="28"/>
          <w:lang w:val="lv-LV"/>
        </w:rPr>
        <w:t>„Noteikumi par energoauditoriem”</w:t>
      </w:r>
      <w:r w:rsidR="00965CB2" w:rsidRPr="009179E5">
        <w:rPr>
          <w:rFonts w:ascii="Times New Roman" w:hAnsi="Times New Roman"/>
          <w:sz w:val="28"/>
          <w:szCs w:val="28"/>
          <w:lang w:val="lv-LV"/>
        </w:rPr>
        <w:t>;</w:t>
      </w:r>
    </w:p>
    <w:p w:rsidR="00DA127A" w:rsidRPr="009179E5" w:rsidRDefault="009770AD" w:rsidP="00574AC8">
      <w:pPr>
        <w:numPr>
          <w:ilvl w:val="0"/>
          <w:numId w:val="13"/>
        </w:numPr>
        <w:spacing w:before="120" w:after="120" w:line="240" w:lineRule="auto"/>
        <w:ind w:left="0" w:firstLine="360"/>
        <w:jc w:val="both"/>
        <w:rPr>
          <w:rFonts w:ascii="Times New Roman" w:hAnsi="Times New Roman"/>
          <w:sz w:val="28"/>
          <w:szCs w:val="28"/>
          <w:lang w:val="lv-LV"/>
        </w:rPr>
      </w:pPr>
      <w:r w:rsidRPr="009179E5">
        <w:rPr>
          <w:rFonts w:ascii="Times New Roman" w:hAnsi="Times New Roman"/>
          <w:sz w:val="28"/>
          <w:szCs w:val="28"/>
          <w:lang w:val="lv-LV"/>
        </w:rPr>
        <w:t xml:space="preserve">Ministru kabineta 2009.gada 13.janvāra noteikumi </w:t>
      </w:r>
      <w:r w:rsidR="00DA127A" w:rsidRPr="009179E5">
        <w:rPr>
          <w:rFonts w:ascii="Times New Roman" w:hAnsi="Times New Roman"/>
          <w:sz w:val="28"/>
          <w:szCs w:val="28"/>
          <w:lang w:val="lv-LV"/>
        </w:rPr>
        <w:t>Nr.3</w:t>
      </w:r>
      <w:r w:rsidRPr="009179E5">
        <w:rPr>
          <w:rFonts w:ascii="Times New Roman" w:hAnsi="Times New Roman"/>
          <w:sz w:val="28"/>
          <w:szCs w:val="28"/>
          <w:lang w:val="lv-LV"/>
        </w:rPr>
        <w:t>9</w:t>
      </w:r>
      <w:r w:rsidR="00DA127A" w:rsidRPr="009179E5">
        <w:rPr>
          <w:rFonts w:ascii="Times New Roman" w:hAnsi="Times New Roman"/>
          <w:sz w:val="28"/>
          <w:szCs w:val="28"/>
          <w:lang w:val="lv-LV"/>
        </w:rPr>
        <w:t xml:space="preserve"> „Ēkas energoefektivitātes aprēķina metode”</w:t>
      </w:r>
      <w:r w:rsidRPr="009179E5">
        <w:rPr>
          <w:rFonts w:ascii="Times New Roman" w:hAnsi="Times New Roman"/>
          <w:sz w:val="28"/>
          <w:szCs w:val="28"/>
          <w:lang w:val="lv-LV"/>
        </w:rPr>
        <w:t>;</w:t>
      </w:r>
    </w:p>
    <w:p w:rsidR="00DA127A" w:rsidRPr="009179E5" w:rsidRDefault="009770AD" w:rsidP="00574AC8">
      <w:pPr>
        <w:numPr>
          <w:ilvl w:val="0"/>
          <w:numId w:val="13"/>
        </w:numPr>
        <w:spacing w:before="120" w:after="120" w:line="240" w:lineRule="auto"/>
        <w:ind w:left="0" w:firstLine="360"/>
        <w:jc w:val="both"/>
        <w:rPr>
          <w:rFonts w:ascii="Times New Roman" w:hAnsi="Times New Roman"/>
          <w:i/>
          <w:sz w:val="28"/>
          <w:szCs w:val="28"/>
          <w:lang w:val="lv-LV"/>
        </w:rPr>
      </w:pPr>
      <w:r w:rsidRPr="009179E5">
        <w:rPr>
          <w:rFonts w:ascii="Times New Roman" w:hAnsi="Times New Roman"/>
          <w:sz w:val="28"/>
          <w:szCs w:val="28"/>
          <w:lang w:val="lv-LV"/>
        </w:rPr>
        <w:t xml:space="preserve">Ministru kabineta 2010.gada 8.jūnija noteikumi </w:t>
      </w:r>
      <w:r w:rsidR="00DA127A" w:rsidRPr="009179E5">
        <w:rPr>
          <w:rFonts w:ascii="Times New Roman" w:hAnsi="Times New Roman"/>
          <w:sz w:val="28"/>
          <w:szCs w:val="28"/>
          <w:lang w:val="lv-LV"/>
        </w:rPr>
        <w:t>Nr.504 „Noteikumi par ēku energosertifikāciju</w:t>
      </w:r>
      <w:r w:rsidRPr="009179E5">
        <w:rPr>
          <w:rFonts w:ascii="Times New Roman" w:hAnsi="Times New Roman"/>
          <w:sz w:val="28"/>
          <w:szCs w:val="28"/>
          <w:lang w:val="lv-LV"/>
        </w:rPr>
        <w:t>”;</w:t>
      </w:r>
    </w:p>
    <w:p w:rsidR="00DA127A" w:rsidRPr="009179E5" w:rsidRDefault="009770AD" w:rsidP="00574AC8">
      <w:pPr>
        <w:numPr>
          <w:ilvl w:val="0"/>
          <w:numId w:val="13"/>
        </w:numPr>
        <w:spacing w:before="120" w:after="120" w:line="240" w:lineRule="auto"/>
        <w:ind w:left="0" w:firstLine="360"/>
        <w:jc w:val="both"/>
        <w:rPr>
          <w:rFonts w:ascii="Times New Roman" w:hAnsi="Times New Roman"/>
          <w:sz w:val="28"/>
          <w:szCs w:val="28"/>
          <w:lang w:val="lv-LV" w:eastAsia="lv-LV"/>
        </w:rPr>
      </w:pPr>
      <w:r w:rsidRPr="009179E5">
        <w:rPr>
          <w:rFonts w:ascii="Times New Roman" w:hAnsi="Times New Roman"/>
          <w:sz w:val="28"/>
          <w:szCs w:val="28"/>
          <w:lang w:val="lv-LV"/>
        </w:rPr>
        <w:t xml:space="preserve">Ministru kabineta </w:t>
      </w:r>
      <w:r w:rsidRPr="009179E5">
        <w:rPr>
          <w:rFonts w:ascii="Times New Roman" w:hAnsi="Times New Roman"/>
          <w:sz w:val="28"/>
          <w:szCs w:val="28"/>
          <w:lang w:val="lv-LV" w:eastAsia="lv-LV"/>
        </w:rPr>
        <w:t xml:space="preserve">2009.gada 20.oktobra noteikumi </w:t>
      </w:r>
      <w:r w:rsidR="00DA127A" w:rsidRPr="009179E5">
        <w:rPr>
          <w:rFonts w:ascii="Times New Roman" w:hAnsi="Times New Roman"/>
          <w:sz w:val="28"/>
          <w:szCs w:val="28"/>
          <w:lang w:val="lv-LV"/>
        </w:rPr>
        <w:t>Nr.1214</w:t>
      </w:r>
      <w:r w:rsidR="00DA127A" w:rsidRPr="009179E5">
        <w:rPr>
          <w:rFonts w:ascii="Times New Roman" w:hAnsi="Times New Roman"/>
          <w:i/>
          <w:sz w:val="28"/>
          <w:szCs w:val="28"/>
          <w:lang w:val="lv-LV"/>
        </w:rPr>
        <w:t xml:space="preserve"> </w:t>
      </w:r>
      <w:r w:rsidRPr="009179E5">
        <w:rPr>
          <w:rFonts w:ascii="Times New Roman" w:hAnsi="Times New Roman"/>
          <w:sz w:val="28"/>
          <w:szCs w:val="28"/>
          <w:lang w:val="lv-LV"/>
        </w:rPr>
        <w:t>„</w:t>
      </w:r>
      <w:r w:rsidR="00DA127A" w:rsidRPr="009179E5">
        <w:rPr>
          <w:rFonts w:ascii="Times New Roman" w:hAnsi="Times New Roman"/>
          <w:bCs/>
          <w:sz w:val="28"/>
          <w:szCs w:val="28"/>
          <w:lang w:val="lv-LV" w:eastAsia="lv-LV"/>
        </w:rPr>
        <w:t>Noteikumi par energoefektivitātes prasībām licencēta energoapgādes komersanta valdījumā esošām centralizētām siltumapgādes sistēmām un to atbilstības pārbaudes kārtību”</w:t>
      </w:r>
      <w:r w:rsidRPr="009179E5">
        <w:rPr>
          <w:rFonts w:ascii="Times New Roman" w:hAnsi="Times New Roman"/>
          <w:sz w:val="28"/>
          <w:szCs w:val="28"/>
          <w:lang w:val="lv-LV" w:eastAsia="lv-LV"/>
        </w:rPr>
        <w:t>.</w:t>
      </w:r>
    </w:p>
    <w:p w:rsidR="00451C1E" w:rsidRPr="009179E5" w:rsidRDefault="00D90A15" w:rsidP="00574AC8">
      <w:pPr>
        <w:numPr>
          <w:ilvl w:val="0"/>
          <w:numId w:val="12"/>
        </w:numPr>
        <w:spacing w:before="120" w:after="120" w:line="240" w:lineRule="auto"/>
        <w:ind w:left="0" w:firstLine="0"/>
        <w:jc w:val="both"/>
        <w:rPr>
          <w:rFonts w:ascii="Times New Roman" w:hAnsi="Times New Roman"/>
          <w:sz w:val="28"/>
          <w:szCs w:val="28"/>
          <w:lang w:val="lv-LV"/>
        </w:rPr>
      </w:pPr>
      <w:r w:rsidRPr="009179E5">
        <w:rPr>
          <w:rFonts w:ascii="Times New Roman" w:hAnsi="Times New Roman"/>
          <w:bCs/>
          <w:sz w:val="28"/>
          <w:szCs w:val="28"/>
          <w:lang w:val="lv-LV" w:eastAsia="lv-LV"/>
        </w:rPr>
        <w:t>Elektroenerģijas tirgus likums</w:t>
      </w:r>
      <w:r w:rsidR="007D5953" w:rsidRPr="009179E5">
        <w:rPr>
          <w:rFonts w:ascii="Times New Roman" w:hAnsi="Times New Roman"/>
          <w:bCs/>
          <w:sz w:val="28"/>
          <w:szCs w:val="28"/>
          <w:lang w:val="lv-LV" w:eastAsia="lv-LV"/>
        </w:rPr>
        <w:t xml:space="preserve"> </w:t>
      </w:r>
      <w:r w:rsidRPr="009179E5">
        <w:rPr>
          <w:rFonts w:ascii="Times New Roman" w:hAnsi="Times New Roman"/>
          <w:bCs/>
          <w:sz w:val="28"/>
          <w:szCs w:val="28"/>
          <w:lang w:val="lv-LV" w:eastAsia="lv-LV"/>
        </w:rPr>
        <w:t>(pieņemts 2005.gada 5.maijā)</w:t>
      </w:r>
      <w:r w:rsidR="00451C1E" w:rsidRPr="009179E5">
        <w:rPr>
          <w:rFonts w:ascii="Times New Roman" w:hAnsi="Times New Roman"/>
          <w:bCs/>
          <w:sz w:val="28"/>
          <w:szCs w:val="28"/>
          <w:lang w:val="lv-LV" w:eastAsia="lv-LV"/>
        </w:rPr>
        <w:t xml:space="preserve">. </w:t>
      </w:r>
      <w:r w:rsidR="00DA127A" w:rsidRPr="009179E5">
        <w:rPr>
          <w:rFonts w:ascii="Times New Roman" w:hAnsi="Times New Roman"/>
          <w:sz w:val="28"/>
          <w:szCs w:val="28"/>
          <w:lang w:val="lv-LV"/>
        </w:rPr>
        <w:t>Viens no likuma mērķiem ir nodrošināt, lai visiem elektroenerģijas lietotājiem (turpmāk — lietotāji), ievērojot normatīvo aktu prasības, visefektīvākajā iespējamajā veidā par pamatotām cenām tiktu droši un kvalit</w:t>
      </w:r>
      <w:r w:rsidR="00451C1E" w:rsidRPr="009179E5">
        <w:rPr>
          <w:rFonts w:ascii="Times New Roman" w:hAnsi="Times New Roman"/>
          <w:sz w:val="28"/>
          <w:szCs w:val="28"/>
          <w:lang w:val="lv-LV"/>
        </w:rPr>
        <w:t>atīvi piegādāta elektroenerģija.</w:t>
      </w:r>
    </w:p>
    <w:p w:rsidR="00DA127A" w:rsidRPr="009179E5" w:rsidRDefault="00D90A15" w:rsidP="00574AC8">
      <w:pPr>
        <w:numPr>
          <w:ilvl w:val="0"/>
          <w:numId w:val="12"/>
        </w:numPr>
        <w:spacing w:before="120" w:after="120" w:line="240" w:lineRule="auto"/>
        <w:ind w:left="0" w:firstLine="0"/>
        <w:jc w:val="both"/>
        <w:rPr>
          <w:rFonts w:ascii="Times New Roman" w:hAnsi="Times New Roman"/>
          <w:sz w:val="28"/>
          <w:szCs w:val="28"/>
          <w:lang w:val="lv-LV"/>
        </w:rPr>
      </w:pPr>
      <w:r w:rsidRPr="009179E5">
        <w:rPr>
          <w:rFonts w:ascii="Times New Roman" w:hAnsi="Times New Roman"/>
          <w:sz w:val="28"/>
          <w:szCs w:val="28"/>
          <w:lang w:val="lv-LV"/>
        </w:rPr>
        <w:t>Būvniecības likums</w:t>
      </w:r>
      <w:r w:rsidRPr="009179E5">
        <w:rPr>
          <w:rFonts w:ascii="Times New Roman" w:hAnsi="Times New Roman"/>
          <w:i/>
          <w:sz w:val="28"/>
          <w:szCs w:val="28"/>
          <w:lang w:val="lv-LV"/>
        </w:rPr>
        <w:t xml:space="preserve"> </w:t>
      </w:r>
      <w:r w:rsidRPr="009179E5">
        <w:rPr>
          <w:rFonts w:ascii="Times New Roman" w:hAnsi="Times New Roman"/>
          <w:sz w:val="28"/>
          <w:szCs w:val="28"/>
          <w:lang w:val="lv-LV"/>
        </w:rPr>
        <w:t xml:space="preserve">(pieņemts </w:t>
      </w:r>
      <w:r w:rsidR="00BE6601" w:rsidRPr="009179E5">
        <w:rPr>
          <w:rFonts w:ascii="Times New Roman" w:hAnsi="Times New Roman"/>
          <w:sz w:val="28"/>
          <w:szCs w:val="28"/>
          <w:lang w:val="lv-LV"/>
        </w:rPr>
        <w:t xml:space="preserve">1995.gada </w:t>
      </w:r>
      <w:r w:rsidRPr="009179E5">
        <w:rPr>
          <w:rFonts w:ascii="Times New Roman" w:hAnsi="Times New Roman"/>
          <w:sz w:val="28"/>
          <w:szCs w:val="28"/>
          <w:lang w:val="lv-LV"/>
        </w:rPr>
        <w:t>10.</w:t>
      </w:r>
      <w:r w:rsidR="00BE6601" w:rsidRPr="009179E5">
        <w:rPr>
          <w:rFonts w:ascii="Times New Roman" w:hAnsi="Times New Roman"/>
          <w:sz w:val="28"/>
          <w:szCs w:val="28"/>
          <w:lang w:val="lv-LV"/>
        </w:rPr>
        <w:t>augustā</w:t>
      </w:r>
      <w:r w:rsidRPr="009179E5">
        <w:rPr>
          <w:rFonts w:ascii="Times New Roman" w:hAnsi="Times New Roman"/>
          <w:sz w:val="28"/>
          <w:szCs w:val="28"/>
          <w:lang w:val="lv-LV"/>
        </w:rPr>
        <w:t xml:space="preserve">, aktuālā redakcija </w:t>
      </w:r>
      <w:r w:rsidR="00DE49D6" w:rsidRPr="009179E5">
        <w:rPr>
          <w:rFonts w:ascii="Times New Roman" w:hAnsi="Times New Roman"/>
          <w:sz w:val="28"/>
          <w:szCs w:val="28"/>
          <w:lang w:val="lv-LV"/>
        </w:rPr>
        <w:t xml:space="preserve">uz </w:t>
      </w:r>
      <w:r w:rsidRPr="009179E5">
        <w:rPr>
          <w:rFonts w:ascii="Times New Roman" w:hAnsi="Times New Roman"/>
          <w:sz w:val="28"/>
          <w:szCs w:val="28"/>
          <w:lang w:val="lv-LV"/>
        </w:rPr>
        <w:t>2011</w:t>
      </w:r>
      <w:r w:rsidR="00DE49D6" w:rsidRPr="009179E5">
        <w:rPr>
          <w:rFonts w:ascii="Times New Roman" w:hAnsi="Times New Roman"/>
          <w:sz w:val="28"/>
          <w:szCs w:val="28"/>
          <w:lang w:val="lv-LV"/>
        </w:rPr>
        <w:t>.</w:t>
      </w:r>
      <w:r w:rsidR="00914B8D" w:rsidRPr="009179E5">
        <w:rPr>
          <w:rFonts w:ascii="Times New Roman" w:hAnsi="Times New Roman"/>
          <w:sz w:val="28"/>
          <w:szCs w:val="28"/>
          <w:lang w:val="lv-LV"/>
        </w:rPr>
        <w:t>gada 1.janvāri</w:t>
      </w:r>
      <w:r w:rsidRPr="009179E5">
        <w:rPr>
          <w:rFonts w:ascii="Times New Roman" w:hAnsi="Times New Roman"/>
          <w:sz w:val="28"/>
          <w:szCs w:val="28"/>
          <w:lang w:val="lv-LV"/>
        </w:rPr>
        <w:t>)</w:t>
      </w:r>
      <w:r w:rsidR="00451C1E" w:rsidRPr="009179E5">
        <w:rPr>
          <w:rFonts w:ascii="Times New Roman" w:hAnsi="Times New Roman"/>
          <w:sz w:val="28"/>
          <w:szCs w:val="28"/>
          <w:lang w:val="lv-LV"/>
        </w:rPr>
        <w:t xml:space="preserve">. </w:t>
      </w:r>
      <w:r w:rsidR="00DA127A" w:rsidRPr="009179E5">
        <w:rPr>
          <w:rFonts w:ascii="Times New Roman" w:hAnsi="Times New Roman"/>
          <w:sz w:val="28"/>
          <w:szCs w:val="28"/>
          <w:lang w:val="lv-LV"/>
        </w:rPr>
        <w:t xml:space="preserve">Attiecībā uz energoefektivitātes prasībām, saskaņā ar šo likumu ir izdoti šādi Ministru kabineta noteikumi: </w:t>
      </w:r>
    </w:p>
    <w:p w:rsidR="00DA127A" w:rsidRPr="009179E5" w:rsidRDefault="00451C1E" w:rsidP="00574AC8">
      <w:pPr>
        <w:numPr>
          <w:ilvl w:val="0"/>
          <w:numId w:val="13"/>
        </w:numPr>
        <w:spacing w:before="120" w:after="120" w:line="240" w:lineRule="auto"/>
        <w:ind w:left="0" w:firstLine="360"/>
        <w:jc w:val="both"/>
        <w:rPr>
          <w:rFonts w:ascii="Times New Roman" w:hAnsi="Times New Roman"/>
          <w:bCs/>
          <w:sz w:val="28"/>
          <w:szCs w:val="28"/>
          <w:lang w:val="lv-LV" w:eastAsia="lv-LV"/>
        </w:rPr>
      </w:pPr>
      <w:r w:rsidRPr="009179E5">
        <w:rPr>
          <w:rFonts w:ascii="Times New Roman" w:hAnsi="Times New Roman"/>
          <w:bCs/>
          <w:sz w:val="28"/>
          <w:szCs w:val="28"/>
          <w:lang w:val="lv-LV" w:eastAsia="lv-LV"/>
        </w:rPr>
        <w:t xml:space="preserve">Ministru kabineta 2001.gada 27.novembra noteikumi </w:t>
      </w:r>
      <w:r w:rsidR="00DA127A" w:rsidRPr="009179E5">
        <w:rPr>
          <w:rFonts w:ascii="Times New Roman" w:hAnsi="Times New Roman"/>
          <w:bCs/>
          <w:sz w:val="28"/>
          <w:szCs w:val="28"/>
          <w:lang w:val="lv-LV" w:eastAsia="lv-LV"/>
        </w:rPr>
        <w:t>Nr.495 „Noteikumi par Latvijas būvnormatīvu LBN 002-01 “Ēku norobežoj</w:t>
      </w:r>
      <w:r w:rsidR="00671AF7">
        <w:rPr>
          <w:rFonts w:ascii="Times New Roman" w:hAnsi="Times New Roman"/>
          <w:bCs/>
          <w:sz w:val="28"/>
          <w:szCs w:val="28"/>
          <w:lang w:val="lv-LV" w:eastAsia="lv-LV"/>
        </w:rPr>
        <w:t>ošo konstrukciju siltumtehnika”</w:t>
      </w:r>
      <w:r w:rsidRPr="009179E5">
        <w:rPr>
          <w:rFonts w:ascii="Times New Roman" w:hAnsi="Times New Roman"/>
          <w:bCs/>
          <w:sz w:val="28"/>
          <w:szCs w:val="28"/>
          <w:lang w:val="lv-LV" w:eastAsia="lv-LV"/>
        </w:rPr>
        <w:t>;</w:t>
      </w:r>
    </w:p>
    <w:p w:rsidR="00DA127A" w:rsidRPr="009179E5" w:rsidRDefault="00451C1E" w:rsidP="00574AC8">
      <w:pPr>
        <w:numPr>
          <w:ilvl w:val="0"/>
          <w:numId w:val="13"/>
        </w:numPr>
        <w:spacing w:before="120" w:after="120" w:line="240" w:lineRule="auto"/>
        <w:ind w:left="0" w:firstLine="360"/>
        <w:jc w:val="both"/>
        <w:rPr>
          <w:rFonts w:ascii="Times New Roman" w:hAnsi="Times New Roman"/>
          <w:sz w:val="28"/>
          <w:szCs w:val="28"/>
          <w:lang w:val="lv-LV" w:eastAsia="lv-LV"/>
        </w:rPr>
      </w:pPr>
      <w:r w:rsidRPr="009179E5">
        <w:rPr>
          <w:rFonts w:ascii="Times New Roman" w:hAnsi="Times New Roman"/>
          <w:bCs/>
          <w:sz w:val="28"/>
          <w:szCs w:val="28"/>
          <w:lang w:val="lv-LV" w:eastAsia="lv-LV"/>
        </w:rPr>
        <w:t xml:space="preserve">Ministru kabineta </w:t>
      </w:r>
      <w:r w:rsidRPr="009179E5">
        <w:rPr>
          <w:rFonts w:ascii="Times New Roman" w:hAnsi="Times New Roman"/>
          <w:sz w:val="28"/>
          <w:szCs w:val="28"/>
          <w:lang w:val="lv-LV" w:eastAsia="lv-LV"/>
        </w:rPr>
        <w:t xml:space="preserve">2001.gada 23.augusta noteikumi </w:t>
      </w:r>
      <w:r w:rsidR="00DA127A" w:rsidRPr="009179E5">
        <w:rPr>
          <w:rFonts w:ascii="Times New Roman" w:hAnsi="Times New Roman"/>
          <w:bCs/>
          <w:sz w:val="28"/>
          <w:szCs w:val="28"/>
          <w:lang w:val="lv-LV" w:eastAsia="lv-LV"/>
        </w:rPr>
        <w:t>Nr.376</w:t>
      </w:r>
      <w:r w:rsidRPr="009179E5">
        <w:rPr>
          <w:rFonts w:ascii="Times New Roman" w:hAnsi="Times New Roman"/>
          <w:bCs/>
          <w:sz w:val="28"/>
          <w:szCs w:val="28"/>
          <w:lang w:val="lv-LV" w:eastAsia="lv-LV"/>
        </w:rPr>
        <w:t xml:space="preserve"> </w:t>
      </w:r>
      <w:r w:rsidR="00DA127A" w:rsidRPr="009179E5">
        <w:rPr>
          <w:rFonts w:ascii="Times New Roman" w:hAnsi="Times New Roman"/>
          <w:bCs/>
          <w:sz w:val="28"/>
          <w:szCs w:val="28"/>
          <w:lang w:val="lv-LV" w:eastAsia="lv-LV"/>
        </w:rPr>
        <w:t xml:space="preserve">„Noteikumi par Latvijas būvnormatīvu LBN 003-01 </w:t>
      </w:r>
      <w:r w:rsidR="005B4FE4" w:rsidRPr="009179E5">
        <w:rPr>
          <w:rFonts w:ascii="Times New Roman" w:hAnsi="Times New Roman"/>
          <w:bCs/>
          <w:sz w:val="28"/>
          <w:szCs w:val="28"/>
          <w:lang w:val="lv-LV" w:eastAsia="lv-LV"/>
        </w:rPr>
        <w:t>„</w:t>
      </w:r>
      <w:r w:rsidR="00DA127A" w:rsidRPr="009179E5">
        <w:rPr>
          <w:rFonts w:ascii="Times New Roman" w:hAnsi="Times New Roman"/>
          <w:bCs/>
          <w:sz w:val="28"/>
          <w:szCs w:val="28"/>
          <w:lang w:val="lv-LV" w:eastAsia="lv-LV"/>
        </w:rPr>
        <w:t>Būvklimatoloģija</w:t>
      </w:r>
      <w:r w:rsidRPr="009179E5">
        <w:rPr>
          <w:rFonts w:ascii="Times New Roman" w:hAnsi="Times New Roman"/>
          <w:bCs/>
          <w:sz w:val="28"/>
          <w:szCs w:val="28"/>
          <w:lang w:val="lv-LV" w:eastAsia="lv-LV"/>
        </w:rPr>
        <w:t>”</w:t>
      </w:r>
      <w:r w:rsidR="00DA127A" w:rsidRPr="009179E5">
        <w:rPr>
          <w:rFonts w:ascii="Times New Roman" w:hAnsi="Times New Roman"/>
          <w:bCs/>
          <w:sz w:val="28"/>
          <w:szCs w:val="28"/>
          <w:lang w:val="lv-LV" w:eastAsia="lv-LV"/>
        </w:rPr>
        <w:t>”</w:t>
      </w:r>
      <w:r w:rsidRPr="009179E5">
        <w:rPr>
          <w:rFonts w:ascii="Times New Roman" w:hAnsi="Times New Roman"/>
          <w:bCs/>
          <w:sz w:val="28"/>
          <w:szCs w:val="28"/>
          <w:lang w:val="lv-LV" w:eastAsia="lv-LV"/>
        </w:rPr>
        <w:t>.</w:t>
      </w:r>
    </w:p>
    <w:p w:rsidR="00310AB3" w:rsidRPr="009179E5" w:rsidRDefault="00D90A15" w:rsidP="00574AC8">
      <w:pPr>
        <w:numPr>
          <w:ilvl w:val="0"/>
          <w:numId w:val="12"/>
        </w:numPr>
        <w:autoSpaceDE w:val="0"/>
        <w:autoSpaceDN w:val="0"/>
        <w:adjustRightInd w:val="0"/>
        <w:spacing w:before="120" w:after="120" w:line="240" w:lineRule="auto"/>
        <w:ind w:left="0" w:firstLine="0"/>
        <w:jc w:val="both"/>
        <w:rPr>
          <w:rFonts w:ascii="Times New Roman" w:hAnsi="Times New Roman"/>
          <w:color w:val="000000"/>
          <w:sz w:val="28"/>
          <w:szCs w:val="28"/>
          <w:lang w:val="lv-LV" w:eastAsia="lv-LV"/>
        </w:rPr>
      </w:pPr>
      <w:r w:rsidRPr="009179E5">
        <w:rPr>
          <w:rFonts w:ascii="Times New Roman" w:hAnsi="Times New Roman"/>
          <w:color w:val="000000"/>
          <w:sz w:val="28"/>
          <w:szCs w:val="28"/>
          <w:lang w:val="lv-LV" w:eastAsia="lv-LV"/>
        </w:rPr>
        <w:t>Dzīvokļa īpašuma likums (pieņemts 2010.gada 28. oktobrī)</w:t>
      </w:r>
      <w:r w:rsidR="00310AB3" w:rsidRPr="009179E5">
        <w:rPr>
          <w:rFonts w:ascii="Times New Roman" w:hAnsi="Times New Roman"/>
          <w:color w:val="000000"/>
          <w:sz w:val="28"/>
          <w:szCs w:val="28"/>
          <w:lang w:val="lv-LV" w:eastAsia="lv-LV"/>
        </w:rPr>
        <w:t xml:space="preserve">. </w:t>
      </w:r>
      <w:r w:rsidRPr="009179E5">
        <w:rPr>
          <w:rFonts w:ascii="Times New Roman" w:hAnsi="Times New Roman"/>
          <w:color w:val="000000"/>
          <w:sz w:val="28"/>
          <w:szCs w:val="28"/>
          <w:lang w:val="lv-LV" w:eastAsia="lv-LV"/>
        </w:rPr>
        <w:t>Šajā likumā ir noteikts dzīvokļa īpašuma statuss, dzīvokļa īpašnieka tiesības, pienākumi un atbildība, kā arī dzīvokļu īpašnieku kopības kompetence un lēmumu pieņemšanas kārtība.</w:t>
      </w:r>
    </w:p>
    <w:p w:rsidR="00310AB3" w:rsidRPr="009179E5" w:rsidRDefault="00D90A15" w:rsidP="00574AC8">
      <w:pPr>
        <w:numPr>
          <w:ilvl w:val="0"/>
          <w:numId w:val="12"/>
        </w:numPr>
        <w:spacing w:before="120" w:after="120" w:line="240" w:lineRule="auto"/>
        <w:ind w:left="0" w:firstLine="0"/>
        <w:jc w:val="both"/>
        <w:rPr>
          <w:lang w:val="lv-LV"/>
        </w:rPr>
      </w:pPr>
      <w:r w:rsidRPr="009179E5">
        <w:rPr>
          <w:rFonts w:ascii="Times New Roman" w:hAnsi="Times New Roman"/>
          <w:bCs/>
          <w:sz w:val="28"/>
          <w:szCs w:val="28"/>
          <w:lang w:val="lv-LV" w:eastAsia="lv-LV"/>
        </w:rPr>
        <w:t>Likums „Par Latvijas Republikas dalību Kioto protokola elastīgajos mehānismos”</w:t>
      </w:r>
      <w:r w:rsidR="007D5953" w:rsidRPr="009179E5">
        <w:rPr>
          <w:rFonts w:ascii="Times New Roman" w:hAnsi="Times New Roman"/>
          <w:bCs/>
          <w:sz w:val="28"/>
          <w:szCs w:val="28"/>
          <w:lang w:val="lv-LV" w:eastAsia="lv-LV"/>
        </w:rPr>
        <w:t xml:space="preserve"> </w:t>
      </w:r>
      <w:r w:rsidRPr="009179E5">
        <w:rPr>
          <w:rFonts w:ascii="Times New Roman" w:hAnsi="Times New Roman"/>
          <w:bCs/>
          <w:sz w:val="28"/>
          <w:szCs w:val="28"/>
          <w:lang w:val="lv-LV" w:eastAsia="lv-LV"/>
        </w:rPr>
        <w:t>(pieņemts 2007.gada 8.novembrī)</w:t>
      </w:r>
      <w:r w:rsidR="00310AB3" w:rsidRPr="009179E5">
        <w:rPr>
          <w:rFonts w:ascii="Times New Roman" w:hAnsi="Times New Roman"/>
          <w:bCs/>
          <w:sz w:val="28"/>
          <w:szCs w:val="28"/>
          <w:lang w:val="lv-LV" w:eastAsia="lv-LV"/>
        </w:rPr>
        <w:t xml:space="preserve"> </w:t>
      </w:r>
      <w:r w:rsidRPr="009179E5">
        <w:rPr>
          <w:rFonts w:ascii="Times New Roman" w:hAnsi="Times New Roman"/>
          <w:bCs/>
          <w:sz w:val="28"/>
          <w:szCs w:val="28"/>
          <w:lang w:val="lv-LV" w:eastAsia="lv-LV"/>
        </w:rPr>
        <w:t>un ar to saistītie Ministru kabineta noteikumi, atsevišķo programmu ieviešanas nodrošināšanai.</w:t>
      </w:r>
    </w:p>
    <w:p w:rsidR="00D90A15" w:rsidRPr="009179E5" w:rsidRDefault="00D90A15" w:rsidP="00574AC8">
      <w:pPr>
        <w:numPr>
          <w:ilvl w:val="0"/>
          <w:numId w:val="12"/>
        </w:numPr>
        <w:spacing w:before="120" w:after="120" w:line="240" w:lineRule="auto"/>
        <w:ind w:left="0" w:firstLine="0"/>
        <w:jc w:val="both"/>
        <w:rPr>
          <w:rFonts w:ascii="Times New Roman" w:hAnsi="Times New Roman"/>
          <w:sz w:val="28"/>
          <w:szCs w:val="28"/>
          <w:lang w:val="lv-LV"/>
        </w:rPr>
      </w:pPr>
      <w:r w:rsidRPr="009179E5">
        <w:rPr>
          <w:rFonts w:ascii="Times New Roman" w:hAnsi="Times New Roman"/>
          <w:bCs/>
          <w:sz w:val="28"/>
          <w:szCs w:val="28"/>
          <w:lang w:val="lv-LV" w:eastAsia="lv-LV"/>
        </w:rPr>
        <w:t>Ceļu satiksmes likums (apstiprināts 1999.gada 20.decembrī</w:t>
      </w:r>
      <w:r w:rsidR="00310AB3" w:rsidRPr="009179E5">
        <w:rPr>
          <w:rFonts w:ascii="Times New Roman" w:hAnsi="Times New Roman"/>
          <w:bCs/>
          <w:sz w:val="28"/>
          <w:szCs w:val="28"/>
          <w:lang w:val="lv-LV" w:eastAsia="lv-LV"/>
        </w:rPr>
        <w:t>). S</w:t>
      </w:r>
      <w:r w:rsidRPr="009179E5">
        <w:rPr>
          <w:rFonts w:ascii="Times New Roman" w:hAnsi="Times New Roman"/>
          <w:sz w:val="28"/>
          <w:szCs w:val="28"/>
          <w:lang w:val="lv-LV"/>
        </w:rPr>
        <w:t xml:space="preserve">askaņā ar šo likumu ir izdoti Ministru kabineta </w:t>
      </w:r>
      <w:r w:rsidR="00E86AB0" w:rsidRPr="009179E5">
        <w:rPr>
          <w:rFonts w:ascii="Times New Roman" w:hAnsi="Times New Roman"/>
          <w:bCs/>
          <w:sz w:val="28"/>
          <w:szCs w:val="28"/>
          <w:lang w:val="lv-LV"/>
        </w:rPr>
        <w:t xml:space="preserve">2004.gada 29.aprīļa </w:t>
      </w:r>
      <w:r w:rsidRPr="009179E5">
        <w:rPr>
          <w:rFonts w:ascii="Times New Roman" w:hAnsi="Times New Roman"/>
          <w:sz w:val="28"/>
          <w:szCs w:val="28"/>
          <w:lang w:val="lv-LV"/>
        </w:rPr>
        <w:t>noteikumi Nr.466 „</w:t>
      </w:r>
      <w:r w:rsidRPr="009179E5">
        <w:rPr>
          <w:rFonts w:ascii="Times New Roman" w:hAnsi="Times New Roman"/>
          <w:bCs/>
          <w:sz w:val="28"/>
          <w:szCs w:val="28"/>
          <w:lang w:val="lv-LV"/>
        </w:rPr>
        <w:t>Noteikumi par transportlīdzekļu valsts tehnisko apskati un tehnisko kontroli uz ceļiem”</w:t>
      </w:r>
      <w:r w:rsidR="00E86AB0" w:rsidRPr="009179E5">
        <w:rPr>
          <w:rFonts w:ascii="Times New Roman" w:hAnsi="Times New Roman"/>
          <w:bCs/>
          <w:sz w:val="28"/>
          <w:szCs w:val="28"/>
          <w:lang w:val="lv-LV"/>
        </w:rPr>
        <w:t>.</w:t>
      </w:r>
    </w:p>
    <w:p w:rsidR="00D90A15" w:rsidRPr="009179E5" w:rsidRDefault="00D90A15" w:rsidP="00574AC8">
      <w:pPr>
        <w:numPr>
          <w:ilvl w:val="0"/>
          <w:numId w:val="12"/>
        </w:numPr>
        <w:spacing w:before="120" w:after="120" w:line="240" w:lineRule="auto"/>
        <w:ind w:left="0" w:firstLine="0"/>
        <w:jc w:val="both"/>
        <w:rPr>
          <w:rFonts w:ascii="Times New Roman" w:hAnsi="Times New Roman"/>
          <w:bCs/>
          <w:sz w:val="28"/>
          <w:szCs w:val="28"/>
          <w:lang w:val="lv-LV" w:eastAsia="lv-LV"/>
        </w:rPr>
      </w:pPr>
      <w:r w:rsidRPr="009179E5">
        <w:rPr>
          <w:rFonts w:ascii="Times New Roman" w:hAnsi="Times New Roman"/>
          <w:bCs/>
          <w:sz w:val="28"/>
          <w:szCs w:val="28"/>
          <w:lang w:val="lv-LV" w:eastAsia="lv-LV"/>
        </w:rPr>
        <w:t>Likums „Par Enerģētikas hartas protokolu par energoefektivitāti un ar to saistītajiem vides aizsardzības aspektiem ”</w:t>
      </w:r>
      <w:r w:rsidR="007D5953" w:rsidRPr="009179E5">
        <w:rPr>
          <w:rFonts w:ascii="Times New Roman" w:hAnsi="Times New Roman"/>
          <w:bCs/>
          <w:sz w:val="28"/>
          <w:szCs w:val="28"/>
          <w:lang w:val="lv-LV" w:eastAsia="lv-LV"/>
        </w:rPr>
        <w:t xml:space="preserve"> </w:t>
      </w:r>
      <w:r w:rsidRPr="009179E5">
        <w:rPr>
          <w:rFonts w:ascii="Times New Roman" w:hAnsi="Times New Roman"/>
          <w:bCs/>
          <w:sz w:val="28"/>
          <w:szCs w:val="28"/>
          <w:lang w:val="lv-LV" w:eastAsia="lv-LV"/>
        </w:rPr>
        <w:t>(pieņemts 1998.gada 16.oktobrī)</w:t>
      </w:r>
      <w:r w:rsidR="00253B04" w:rsidRPr="009179E5">
        <w:rPr>
          <w:rFonts w:ascii="Times New Roman" w:hAnsi="Times New Roman"/>
          <w:bCs/>
          <w:sz w:val="28"/>
          <w:szCs w:val="28"/>
          <w:lang w:val="lv-LV" w:eastAsia="lv-LV"/>
        </w:rPr>
        <w:t>,</w:t>
      </w:r>
      <w:r w:rsidRPr="009179E5">
        <w:rPr>
          <w:rFonts w:ascii="Times New Roman" w:hAnsi="Times New Roman"/>
          <w:sz w:val="28"/>
          <w:szCs w:val="28"/>
          <w:lang w:val="lv-LV"/>
        </w:rPr>
        <w:t xml:space="preserve"> ar kuru pieņemt</w:t>
      </w:r>
      <w:r w:rsidR="00253B04" w:rsidRPr="009179E5">
        <w:rPr>
          <w:rFonts w:ascii="Times New Roman" w:hAnsi="Times New Roman"/>
          <w:sz w:val="28"/>
          <w:szCs w:val="28"/>
          <w:lang w:val="lv-LV"/>
        </w:rPr>
        <w:t>s</w:t>
      </w:r>
      <w:r w:rsidRPr="009179E5">
        <w:rPr>
          <w:rFonts w:ascii="Times New Roman" w:hAnsi="Times New Roman"/>
          <w:sz w:val="28"/>
          <w:szCs w:val="28"/>
          <w:lang w:val="lv-LV"/>
        </w:rPr>
        <w:t xml:space="preserve"> un apstiprināt</w:t>
      </w:r>
      <w:r w:rsidR="00253B04" w:rsidRPr="009179E5">
        <w:rPr>
          <w:rFonts w:ascii="Times New Roman" w:hAnsi="Times New Roman"/>
          <w:sz w:val="28"/>
          <w:szCs w:val="28"/>
          <w:lang w:val="lv-LV"/>
        </w:rPr>
        <w:t>s</w:t>
      </w:r>
      <w:r w:rsidRPr="009179E5">
        <w:rPr>
          <w:rFonts w:ascii="Times New Roman" w:hAnsi="Times New Roman"/>
          <w:sz w:val="28"/>
          <w:szCs w:val="28"/>
          <w:lang w:val="lv-LV"/>
        </w:rPr>
        <w:t xml:space="preserve"> 1994.gada 17.decembrī Lisabonā parakstītais </w:t>
      </w:r>
      <w:r w:rsidRPr="009179E5">
        <w:rPr>
          <w:rFonts w:ascii="Times New Roman" w:hAnsi="Times New Roman"/>
          <w:sz w:val="28"/>
          <w:szCs w:val="28"/>
          <w:lang w:val="lv-LV"/>
        </w:rPr>
        <w:lastRenderedPageBreak/>
        <w:t>Enerģētikas hartas protokols par energoefektivitāti un ar to saistītajiem vides aizsardzības aspektiem un tā pielikums.</w:t>
      </w:r>
    </w:p>
    <w:p w:rsidR="00D90A15" w:rsidRPr="009179E5" w:rsidRDefault="00D90A15" w:rsidP="00574AC8">
      <w:pPr>
        <w:numPr>
          <w:ilvl w:val="0"/>
          <w:numId w:val="12"/>
        </w:numPr>
        <w:spacing w:before="120" w:after="120" w:line="240" w:lineRule="auto"/>
        <w:ind w:left="0" w:firstLine="0"/>
        <w:jc w:val="both"/>
        <w:rPr>
          <w:rFonts w:ascii="Times New Roman" w:hAnsi="Times New Roman"/>
          <w:b/>
          <w:bCs/>
          <w:sz w:val="28"/>
          <w:szCs w:val="28"/>
          <w:u w:val="single"/>
          <w:lang w:val="lv-LV" w:eastAsia="lv-LV"/>
        </w:rPr>
      </w:pPr>
      <w:r w:rsidRPr="009179E5">
        <w:rPr>
          <w:rFonts w:ascii="Times New Roman" w:hAnsi="Times New Roman"/>
          <w:bCs/>
          <w:sz w:val="28"/>
          <w:szCs w:val="28"/>
          <w:lang w:val="lv-LV" w:eastAsia="lv-LV"/>
        </w:rPr>
        <w:t xml:space="preserve">Transportlīdzekļa ekspluatācijas nodokļa un uzņēmumu vieglo transportlīdzekļu nodokļa likums (pieņemts </w:t>
      </w:r>
      <w:r w:rsidR="002B46CD" w:rsidRPr="009179E5">
        <w:rPr>
          <w:rFonts w:ascii="Times New Roman" w:hAnsi="Times New Roman"/>
          <w:bCs/>
          <w:sz w:val="28"/>
          <w:szCs w:val="28"/>
          <w:lang w:val="lv-LV" w:eastAsia="lv-LV"/>
        </w:rPr>
        <w:t xml:space="preserve">2010.gada </w:t>
      </w:r>
      <w:r w:rsidRPr="009179E5">
        <w:rPr>
          <w:rFonts w:ascii="Times New Roman" w:hAnsi="Times New Roman"/>
          <w:bCs/>
          <w:sz w:val="28"/>
          <w:szCs w:val="28"/>
          <w:lang w:val="lv-LV" w:eastAsia="lv-LV"/>
        </w:rPr>
        <w:t>20.</w:t>
      </w:r>
      <w:r w:rsidR="002B46CD" w:rsidRPr="009179E5">
        <w:rPr>
          <w:rFonts w:ascii="Times New Roman" w:hAnsi="Times New Roman"/>
          <w:bCs/>
          <w:sz w:val="28"/>
          <w:szCs w:val="28"/>
          <w:lang w:val="lv-LV" w:eastAsia="lv-LV"/>
        </w:rPr>
        <w:t>decembrī</w:t>
      </w:r>
      <w:r w:rsidRPr="009179E5">
        <w:rPr>
          <w:rFonts w:ascii="Times New Roman" w:hAnsi="Times New Roman"/>
          <w:bCs/>
          <w:sz w:val="28"/>
          <w:szCs w:val="28"/>
          <w:lang w:val="lv-LV" w:eastAsia="lv-LV"/>
        </w:rPr>
        <w:t>)</w:t>
      </w:r>
      <w:r w:rsidR="002B46CD" w:rsidRPr="009179E5">
        <w:rPr>
          <w:rFonts w:ascii="Times New Roman" w:hAnsi="Times New Roman"/>
          <w:bCs/>
          <w:sz w:val="28"/>
          <w:szCs w:val="28"/>
          <w:lang w:val="lv-LV" w:eastAsia="lv-LV"/>
        </w:rPr>
        <w:t>.</w:t>
      </w:r>
    </w:p>
    <w:p w:rsidR="00D90A15" w:rsidRPr="009179E5" w:rsidRDefault="00FE12E8" w:rsidP="00574AC8">
      <w:pPr>
        <w:numPr>
          <w:ilvl w:val="0"/>
          <w:numId w:val="12"/>
        </w:numPr>
        <w:spacing w:before="120" w:after="120" w:line="240" w:lineRule="auto"/>
        <w:ind w:left="0" w:firstLine="0"/>
        <w:jc w:val="both"/>
        <w:rPr>
          <w:rFonts w:ascii="Times New Roman" w:hAnsi="Times New Roman"/>
          <w:bCs/>
          <w:sz w:val="28"/>
          <w:szCs w:val="28"/>
          <w:lang w:val="lv-LV" w:eastAsia="lv-LV"/>
        </w:rPr>
      </w:pPr>
      <w:r w:rsidRPr="009179E5">
        <w:rPr>
          <w:rFonts w:ascii="Times New Roman" w:hAnsi="Times New Roman"/>
          <w:bCs/>
          <w:sz w:val="28"/>
          <w:szCs w:val="28"/>
          <w:lang w:val="lv-LV" w:eastAsia="lv-LV"/>
        </w:rPr>
        <w:t>Likums „Par akcīzes nodokli” (pieņemts 2003.gada 30.oktobrī).</w:t>
      </w:r>
    </w:p>
    <w:p w:rsidR="00137742" w:rsidRPr="009179E5" w:rsidRDefault="00137742" w:rsidP="00574AC8">
      <w:pPr>
        <w:autoSpaceDE w:val="0"/>
        <w:autoSpaceDN w:val="0"/>
        <w:adjustRightInd w:val="0"/>
        <w:spacing w:before="120" w:after="120" w:line="240" w:lineRule="auto"/>
        <w:jc w:val="both"/>
        <w:rPr>
          <w:rFonts w:ascii="Times New Roman" w:eastAsia="Calibri" w:hAnsi="Times New Roman"/>
          <w:color w:val="000000"/>
          <w:sz w:val="28"/>
          <w:szCs w:val="28"/>
          <w:lang w:val="lv-LV" w:eastAsia="lv-LV"/>
        </w:rPr>
      </w:pPr>
      <w:r w:rsidRPr="009179E5">
        <w:rPr>
          <w:rFonts w:ascii="Times New Roman" w:eastAsia="Calibri" w:hAnsi="Times New Roman"/>
          <w:color w:val="000000"/>
          <w:sz w:val="28"/>
          <w:szCs w:val="28"/>
          <w:lang w:val="lv-LV" w:eastAsia="lv-LV"/>
        </w:rPr>
        <w:t xml:space="preserve">Pēc vairāku gadu straujās ekonomiskās izaugsmes, kad IKP pieauguma tempi </w:t>
      </w:r>
      <w:r w:rsidR="00E816D1" w:rsidRPr="009179E5">
        <w:rPr>
          <w:rFonts w:ascii="Times New Roman" w:eastAsia="Calibri" w:hAnsi="Times New Roman"/>
          <w:color w:val="000000"/>
          <w:sz w:val="28"/>
          <w:szCs w:val="28"/>
          <w:lang w:val="lv-LV" w:eastAsia="lv-LV"/>
        </w:rPr>
        <w:t xml:space="preserve">no </w:t>
      </w:r>
      <w:r w:rsidRPr="009179E5">
        <w:rPr>
          <w:rFonts w:ascii="Times New Roman" w:eastAsia="Calibri" w:hAnsi="Times New Roman"/>
          <w:color w:val="000000"/>
          <w:sz w:val="28"/>
          <w:szCs w:val="28"/>
          <w:lang w:val="lv-LV" w:eastAsia="lv-LV"/>
        </w:rPr>
        <w:t>2005.-2007.gad</w:t>
      </w:r>
      <w:r w:rsidR="00965003" w:rsidRPr="009179E5">
        <w:rPr>
          <w:rFonts w:ascii="Times New Roman" w:eastAsia="Calibri" w:hAnsi="Times New Roman"/>
          <w:color w:val="000000"/>
          <w:sz w:val="28"/>
          <w:szCs w:val="28"/>
          <w:lang w:val="lv-LV" w:eastAsia="lv-LV"/>
        </w:rPr>
        <w:t>ā</w:t>
      </w:r>
      <w:r w:rsidRPr="009179E5">
        <w:rPr>
          <w:rFonts w:ascii="Times New Roman" w:eastAsia="Calibri" w:hAnsi="Times New Roman"/>
          <w:color w:val="000000"/>
          <w:sz w:val="28"/>
          <w:szCs w:val="28"/>
          <w:lang w:val="lv-LV" w:eastAsia="lv-LV"/>
        </w:rPr>
        <w:t xml:space="preserve"> bija gandrīz 11% vidēji ik gadu, </w:t>
      </w:r>
      <w:r w:rsidRPr="009179E5">
        <w:rPr>
          <w:rFonts w:ascii="Times New Roman" w:eastAsia="Calibri" w:hAnsi="Times New Roman"/>
          <w:bCs/>
          <w:color w:val="000000"/>
          <w:sz w:val="28"/>
          <w:szCs w:val="28"/>
          <w:lang w:val="lv-LV" w:eastAsia="lv-LV"/>
        </w:rPr>
        <w:t>Latvijas ekonomikā 2008.gadā globālās finanšu krīzes rezultātā iestājās recesija</w:t>
      </w:r>
      <w:r w:rsidRPr="009179E5">
        <w:rPr>
          <w:rFonts w:ascii="Times New Roman" w:eastAsia="Calibri" w:hAnsi="Times New Roman"/>
          <w:color w:val="000000"/>
          <w:sz w:val="28"/>
          <w:szCs w:val="28"/>
          <w:lang w:val="lv-LV" w:eastAsia="lv-LV"/>
        </w:rPr>
        <w:t xml:space="preserve">. 2008.-2009. gadā kopumā IKP saruka par 21,4%. </w:t>
      </w:r>
    </w:p>
    <w:p w:rsidR="00644CD2" w:rsidRPr="009179E5" w:rsidRDefault="00137742" w:rsidP="00574AC8">
      <w:pPr>
        <w:autoSpaceDE w:val="0"/>
        <w:autoSpaceDN w:val="0"/>
        <w:adjustRightInd w:val="0"/>
        <w:spacing w:before="120" w:after="120" w:line="240" w:lineRule="auto"/>
        <w:jc w:val="both"/>
        <w:rPr>
          <w:rFonts w:ascii="Times New Roman" w:hAnsi="Times New Roman"/>
          <w:bCs/>
          <w:sz w:val="28"/>
          <w:szCs w:val="28"/>
          <w:lang w:val="lv-LV"/>
        </w:rPr>
      </w:pPr>
      <w:r w:rsidRPr="009179E5">
        <w:rPr>
          <w:rFonts w:ascii="Times New Roman" w:eastAsia="Calibri" w:hAnsi="Times New Roman"/>
          <w:bCs/>
          <w:color w:val="000000"/>
          <w:sz w:val="28"/>
          <w:szCs w:val="28"/>
          <w:lang w:val="lv-LV" w:eastAsia="lv-LV"/>
        </w:rPr>
        <w:t>Kopš 2010.gada sākuma ekonomiskā lejupslīde Latvijā ir apturēta, un ir atsākusies izaugsme</w:t>
      </w:r>
      <w:r w:rsidR="00122A1A" w:rsidRPr="009179E5">
        <w:rPr>
          <w:rFonts w:ascii="Times New Roman" w:eastAsia="Calibri" w:hAnsi="Times New Roman"/>
          <w:bCs/>
          <w:color w:val="000000"/>
          <w:sz w:val="28"/>
          <w:szCs w:val="28"/>
          <w:lang w:val="lv-LV" w:eastAsia="lv-LV"/>
        </w:rPr>
        <w:t>.</w:t>
      </w:r>
      <w:r w:rsidR="00122A1A" w:rsidRPr="009179E5">
        <w:rPr>
          <w:rFonts w:ascii="Times New Roman" w:hAnsi="Times New Roman"/>
          <w:sz w:val="28"/>
          <w:szCs w:val="28"/>
          <w:lang w:val="lv-LV"/>
        </w:rPr>
        <w:t xml:space="preserve"> Ekonomikas ministrija prognozē, ka </w:t>
      </w:r>
      <w:r w:rsidR="00122A1A" w:rsidRPr="009179E5">
        <w:rPr>
          <w:rFonts w:ascii="Times New Roman" w:hAnsi="Times New Roman"/>
          <w:bCs/>
          <w:sz w:val="28"/>
          <w:szCs w:val="28"/>
          <w:lang w:val="lv-LV"/>
        </w:rPr>
        <w:t>2011.gada kopējā izaugsme jau būs pozitīva.</w:t>
      </w:r>
    </w:p>
    <w:p w:rsidR="00122A1A" w:rsidRPr="009179E5" w:rsidRDefault="00122A1A" w:rsidP="00574AC8">
      <w:pPr>
        <w:autoSpaceDE w:val="0"/>
        <w:autoSpaceDN w:val="0"/>
        <w:adjustRightInd w:val="0"/>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Enerģētikas politikas galvenie virzieni ir vērsti uz valsts energoapgādes drošības paaugstināšanu, veicinot primāro energoresursu piegāžu dažādošanu un radot apstākļus elektroenerģijas ģenerēšanas pašnodrošinājuma pieaugumam, kā arī ar jaunu starpsavienojumu palīdzību novēršot reģiona elektroenerģijas tirgus izolāciju. Būtiska nozīme ir arī konkurences apstākļu radīšanai atjaunojamo un vietējo energoresursu izmantošanas veicināšanai un apkārtējās vides aizsardzī</w:t>
      </w:r>
      <w:r w:rsidR="001C66B7" w:rsidRPr="009179E5">
        <w:rPr>
          <w:rFonts w:ascii="Times New Roman" w:hAnsi="Times New Roman"/>
          <w:sz w:val="28"/>
          <w:szCs w:val="28"/>
          <w:lang w:val="lv-LV"/>
        </w:rPr>
        <w:t>bai, kā arī energoefektivitātes paaugstināšanai.</w:t>
      </w:r>
    </w:p>
    <w:p w:rsidR="004879C8" w:rsidRPr="009179E5" w:rsidRDefault="003F2761" w:rsidP="001009B1">
      <w:pPr>
        <w:autoSpaceDE w:val="0"/>
        <w:autoSpaceDN w:val="0"/>
        <w:adjustRightInd w:val="0"/>
        <w:spacing w:before="120" w:after="120" w:line="240" w:lineRule="auto"/>
        <w:rPr>
          <w:rFonts w:ascii="Times New Roman" w:hAnsi="Times New Roman"/>
          <w:sz w:val="28"/>
          <w:szCs w:val="28"/>
          <w:highlight w:val="yellow"/>
          <w:lang w:val="lv-LV"/>
        </w:rPr>
      </w:pPr>
      <w:r w:rsidRPr="003F2761">
        <w:rPr>
          <w:rFonts w:ascii="Times New Roman" w:hAnsi="Times New Roman"/>
          <w:noProof/>
          <w:sz w:val="28"/>
          <w:szCs w:val="28"/>
          <w:lang w:val="lv-LV" w:eastAsia="lv-LV"/>
        </w:rPr>
        <w:drawing>
          <wp:inline distT="0" distB="0" distL="0" distR="0">
            <wp:extent cx="5732145" cy="2918630"/>
            <wp:effectExtent l="0" t="0" r="0" b="0"/>
            <wp:docPr id="1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5732145" cy="2918630"/>
                    </a:xfrm>
                    <a:prstGeom prst="rect">
                      <a:avLst/>
                    </a:prstGeom>
                    <a:noFill/>
                    <a:ln w="9525">
                      <a:noFill/>
                      <a:miter lim="800000"/>
                      <a:headEnd/>
                      <a:tailEnd/>
                    </a:ln>
                  </pic:spPr>
                </pic:pic>
              </a:graphicData>
            </a:graphic>
          </wp:inline>
        </w:drawing>
      </w:r>
    </w:p>
    <w:p w:rsidR="004879C8" w:rsidRPr="009179E5" w:rsidRDefault="004879C8" w:rsidP="00574AC8">
      <w:pPr>
        <w:spacing w:before="120" w:after="120" w:line="240" w:lineRule="auto"/>
        <w:rPr>
          <w:rFonts w:ascii="Times New Roman" w:hAnsi="Times New Roman"/>
          <w:sz w:val="20"/>
          <w:szCs w:val="20"/>
          <w:lang w:val="lv-LV"/>
        </w:rPr>
      </w:pPr>
      <w:r w:rsidRPr="009179E5">
        <w:rPr>
          <w:rFonts w:ascii="Times New Roman" w:hAnsi="Times New Roman"/>
          <w:sz w:val="20"/>
          <w:szCs w:val="20"/>
          <w:lang w:val="lv-LV"/>
        </w:rPr>
        <w:t>* Atskaites punkts ir 2000. gads, kurā visiem attēlotajiem rādītājiem relatīvā vērtība ir 1</w:t>
      </w:r>
    </w:p>
    <w:p w:rsidR="004879C8" w:rsidRPr="009179E5" w:rsidRDefault="0049163E" w:rsidP="00574AC8">
      <w:pPr>
        <w:spacing w:before="120" w:after="120" w:line="240" w:lineRule="auto"/>
        <w:rPr>
          <w:rFonts w:ascii="Times New Roman" w:hAnsi="Times New Roman"/>
          <w:b/>
          <w:bCs/>
          <w:sz w:val="24"/>
          <w:szCs w:val="24"/>
          <w:lang w:val="lv-LV"/>
        </w:rPr>
      </w:pPr>
      <w:r w:rsidRPr="009179E5">
        <w:rPr>
          <w:rFonts w:ascii="Times New Roman" w:hAnsi="Times New Roman"/>
          <w:b/>
          <w:bCs/>
          <w:sz w:val="24"/>
          <w:szCs w:val="24"/>
          <w:lang w:val="lv-LV"/>
        </w:rPr>
        <w:t>2</w:t>
      </w:r>
      <w:r w:rsidR="009A6778" w:rsidRPr="009179E5">
        <w:rPr>
          <w:rFonts w:ascii="Times New Roman" w:hAnsi="Times New Roman"/>
          <w:b/>
          <w:bCs/>
          <w:sz w:val="24"/>
          <w:szCs w:val="24"/>
          <w:lang w:val="lv-LV"/>
        </w:rPr>
        <w:t>.attēls</w:t>
      </w:r>
      <w:r w:rsidR="004879C8" w:rsidRPr="009179E5">
        <w:rPr>
          <w:rFonts w:ascii="Times New Roman" w:hAnsi="Times New Roman"/>
          <w:b/>
          <w:bCs/>
          <w:sz w:val="24"/>
          <w:szCs w:val="24"/>
          <w:lang w:val="lv-LV"/>
        </w:rPr>
        <w:t>. Enerģētikas, ekonomikas un vides kvalitātes rādītāju mijiedarbība*</w:t>
      </w:r>
    </w:p>
    <w:p w:rsidR="00644CD2" w:rsidRPr="009179E5" w:rsidRDefault="00A5400B"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Gan kopējais primāro energoresursu patēriņš, gan bruto elektroenerģijas patēriņš seko IKP samazināšanās tendencei, kaut arī šī samazināšanās nenotiek tik strauji.</w:t>
      </w:r>
      <w:r w:rsidR="00781143" w:rsidRPr="00781143">
        <w:rPr>
          <w:rFonts w:ascii="Times New Roman" w:hAnsi="Times New Roman"/>
          <w:sz w:val="28"/>
          <w:szCs w:val="28"/>
          <w:lang w:val="lv-LV"/>
        </w:rPr>
        <w:t xml:space="preserve"> </w:t>
      </w:r>
    </w:p>
    <w:p w:rsidR="00A5400B" w:rsidRPr="009179E5" w:rsidRDefault="00A5400B" w:rsidP="00574AC8">
      <w:pPr>
        <w:pStyle w:val="BodyTEXT"/>
      </w:pPr>
      <w:r w:rsidRPr="009179E5">
        <w:t>Enerģijas gala patēriņa prognoze, k</w:t>
      </w:r>
      <w:r w:rsidR="009A6778" w:rsidRPr="009179E5">
        <w:t>as</w:t>
      </w:r>
      <w:r w:rsidRPr="009179E5">
        <w:t xml:space="preserve"> atbilst </w:t>
      </w:r>
      <w:r w:rsidR="009A6778" w:rsidRPr="009179E5">
        <w:t xml:space="preserve">informatīvajā ziņojumā </w:t>
      </w:r>
      <w:r w:rsidRPr="009179E5">
        <w:t xml:space="preserve">„Latvijas Republikas Rīcība atjaunojamās enerģijas jomā Eiropas Parlamenta un Padomes </w:t>
      </w:r>
      <w:r w:rsidRPr="009179E5">
        <w:lastRenderedPageBreak/>
        <w:t>2009. gada 23. aprīļa direktīvas 2009/28/EK par atjaunojamo energoresursu izmantošanas veicināšanu un ar ko groza un sekojoši atceļ Direktīvas 2001/77/EK un 2003/30/EK ieviešanai līdz 2020.gadam” izmantotajai prognozei</w:t>
      </w:r>
      <w:r w:rsidR="00FB1392" w:rsidRPr="009179E5">
        <w:t>,</w:t>
      </w:r>
      <w:r w:rsidRPr="009179E5">
        <w:t xml:space="preserve"> uz kuru pamatojoties tika aprēķināti atjaunojamās enerģijas izmantošanas mērķi 2020.gadam parādīta </w:t>
      </w:r>
      <w:r w:rsidR="00FB1392" w:rsidRPr="009179E5">
        <w:t>3</w:t>
      </w:r>
      <w:r w:rsidRPr="009179E5">
        <w:t>.</w:t>
      </w:r>
      <w:r w:rsidR="009A6778" w:rsidRPr="009179E5">
        <w:t>attēlā</w:t>
      </w:r>
      <w:r w:rsidRPr="009179E5">
        <w:t>.</w:t>
      </w:r>
      <w:r w:rsidR="00F672EA" w:rsidRPr="009179E5">
        <w:t xml:space="preserve"> Kopējais enerģijas galapatēriņš 2</w:t>
      </w:r>
      <w:r w:rsidR="00B825A0" w:rsidRPr="009179E5">
        <w:t>020.gadam prognozēts 55 233 GWh.</w:t>
      </w:r>
    </w:p>
    <w:p w:rsidR="00144345" w:rsidRPr="009179E5" w:rsidRDefault="00664126" w:rsidP="00574AC8">
      <w:pPr>
        <w:pStyle w:val="BodyTEXT"/>
      </w:pPr>
      <w:r w:rsidRPr="009179E5">
        <w:rPr>
          <w:noProof/>
          <w:lang w:eastAsia="lv-LV" w:bidi="ar-SA"/>
        </w:rPr>
        <w:drawing>
          <wp:inline distT="0" distB="0" distL="0" distR="0">
            <wp:extent cx="5483987" cy="3229864"/>
            <wp:effectExtent l="12192" t="6096" r="6096"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400B" w:rsidRPr="009179E5" w:rsidRDefault="00FB1392" w:rsidP="00574AC8">
      <w:pPr>
        <w:pStyle w:val="Caption"/>
        <w:spacing w:before="120" w:after="120" w:line="240" w:lineRule="auto"/>
        <w:rPr>
          <w:rFonts w:ascii="Times New Roman" w:hAnsi="Times New Roman"/>
          <w:sz w:val="24"/>
          <w:szCs w:val="24"/>
          <w:lang w:val="lv-LV"/>
        </w:rPr>
      </w:pPr>
      <w:r w:rsidRPr="009179E5">
        <w:rPr>
          <w:rFonts w:ascii="Times New Roman" w:hAnsi="Times New Roman"/>
          <w:sz w:val="24"/>
          <w:szCs w:val="24"/>
          <w:lang w:val="lv-LV"/>
        </w:rPr>
        <w:t>3</w:t>
      </w:r>
      <w:r w:rsidR="004C76AA" w:rsidRPr="009179E5">
        <w:rPr>
          <w:rFonts w:ascii="Times New Roman" w:hAnsi="Times New Roman"/>
          <w:sz w:val="24"/>
          <w:szCs w:val="24"/>
          <w:lang w:val="lv-LV"/>
        </w:rPr>
        <w:t>.attēls</w:t>
      </w:r>
      <w:r w:rsidR="00A5400B" w:rsidRPr="009179E5">
        <w:rPr>
          <w:rFonts w:ascii="Times New Roman" w:hAnsi="Times New Roman"/>
          <w:sz w:val="24"/>
          <w:szCs w:val="24"/>
          <w:lang w:val="lv-LV"/>
        </w:rPr>
        <w:t>.</w:t>
      </w:r>
      <w:r w:rsidRPr="009179E5">
        <w:rPr>
          <w:rFonts w:ascii="Times New Roman" w:hAnsi="Times New Roman"/>
          <w:sz w:val="24"/>
          <w:szCs w:val="24"/>
          <w:lang w:val="lv-LV"/>
        </w:rPr>
        <w:t xml:space="preserve"> </w:t>
      </w:r>
      <w:r w:rsidR="00A5400B" w:rsidRPr="009179E5">
        <w:rPr>
          <w:rFonts w:ascii="Times New Roman" w:hAnsi="Times New Roman"/>
          <w:sz w:val="24"/>
          <w:szCs w:val="24"/>
          <w:lang w:val="lv-LV"/>
        </w:rPr>
        <w:t xml:space="preserve">Enerģijas gala patēriņa dinamika sektoru griezumā, </w:t>
      </w:r>
      <w:r w:rsidR="00144345" w:rsidRPr="009179E5">
        <w:rPr>
          <w:rFonts w:ascii="Times New Roman" w:hAnsi="Times New Roman"/>
          <w:sz w:val="24"/>
          <w:szCs w:val="24"/>
          <w:lang w:val="lv-LV"/>
        </w:rPr>
        <w:t>GWh</w:t>
      </w:r>
    </w:p>
    <w:p w:rsidR="00B7316E" w:rsidRDefault="00D22AB5" w:rsidP="00574AC8">
      <w:pPr>
        <w:spacing w:before="120" w:after="120" w:line="240" w:lineRule="auto"/>
        <w:rPr>
          <w:rFonts w:ascii="Times New Roman" w:hAnsi="Times New Roman"/>
          <w:sz w:val="28"/>
          <w:szCs w:val="28"/>
          <w:lang w:val="lv-LV"/>
        </w:rPr>
      </w:pPr>
      <w:r w:rsidRPr="009179E5">
        <w:rPr>
          <w:rFonts w:ascii="Times New Roman" w:hAnsi="Times New Roman"/>
          <w:sz w:val="28"/>
          <w:szCs w:val="28"/>
          <w:lang w:val="lv-LV"/>
        </w:rPr>
        <w:t xml:space="preserve">Atbilstoši enerģijas gala patēriņam </w:t>
      </w:r>
      <w:r w:rsidR="00144345" w:rsidRPr="009179E5">
        <w:rPr>
          <w:rFonts w:ascii="Times New Roman" w:hAnsi="Times New Roman"/>
          <w:sz w:val="28"/>
          <w:szCs w:val="28"/>
          <w:lang w:val="lv-LV"/>
        </w:rPr>
        <w:t>prognozēts</w:t>
      </w:r>
      <w:r w:rsidRPr="009179E5">
        <w:rPr>
          <w:rFonts w:ascii="Times New Roman" w:hAnsi="Times New Roman"/>
          <w:sz w:val="28"/>
          <w:szCs w:val="28"/>
          <w:lang w:val="lv-LV"/>
        </w:rPr>
        <w:t xml:space="preserve"> primārais e</w:t>
      </w:r>
      <w:r w:rsidR="00144345" w:rsidRPr="009179E5">
        <w:rPr>
          <w:rFonts w:ascii="Times New Roman" w:hAnsi="Times New Roman"/>
          <w:sz w:val="28"/>
          <w:szCs w:val="28"/>
          <w:lang w:val="lv-LV"/>
        </w:rPr>
        <w:t xml:space="preserve">nerģijas patēriņš, kas redzams </w:t>
      </w:r>
      <w:r w:rsidR="006324E9" w:rsidRPr="009179E5">
        <w:rPr>
          <w:rFonts w:ascii="Times New Roman" w:hAnsi="Times New Roman"/>
          <w:sz w:val="28"/>
          <w:szCs w:val="28"/>
          <w:lang w:val="lv-LV"/>
        </w:rPr>
        <w:t>4</w:t>
      </w:r>
      <w:r w:rsidRPr="009179E5">
        <w:rPr>
          <w:rFonts w:ascii="Times New Roman" w:hAnsi="Times New Roman"/>
          <w:sz w:val="28"/>
          <w:szCs w:val="28"/>
          <w:lang w:val="lv-LV"/>
        </w:rPr>
        <w:t>.</w:t>
      </w:r>
      <w:r w:rsidR="009A6778" w:rsidRPr="009179E5">
        <w:rPr>
          <w:rFonts w:ascii="Times New Roman" w:hAnsi="Times New Roman"/>
          <w:sz w:val="28"/>
          <w:szCs w:val="28"/>
          <w:lang w:val="lv-LV"/>
        </w:rPr>
        <w:t>attēlā</w:t>
      </w:r>
      <w:r w:rsidRPr="009179E5">
        <w:rPr>
          <w:rFonts w:ascii="Times New Roman" w:hAnsi="Times New Roman"/>
          <w:sz w:val="28"/>
          <w:szCs w:val="28"/>
          <w:lang w:val="lv-LV"/>
        </w:rPr>
        <w:t>.</w:t>
      </w:r>
    </w:p>
    <w:p w:rsidR="00B7316E" w:rsidRDefault="00B7316E" w:rsidP="00574AC8">
      <w:pPr>
        <w:spacing w:before="120" w:after="120" w:line="240" w:lineRule="auto"/>
        <w:rPr>
          <w:rFonts w:ascii="Times New Roman" w:hAnsi="Times New Roman"/>
          <w:sz w:val="28"/>
          <w:szCs w:val="28"/>
          <w:lang w:val="lv-LV"/>
        </w:rPr>
      </w:pPr>
      <w:r w:rsidRPr="00B7316E">
        <w:rPr>
          <w:rFonts w:ascii="Times New Roman" w:hAnsi="Times New Roman"/>
          <w:noProof/>
          <w:sz w:val="28"/>
          <w:szCs w:val="28"/>
          <w:lang w:val="lv-LV" w:eastAsia="lv-LV"/>
        </w:rPr>
        <w:drawing>
          <wp:inline distT="0" distB="0" distL="0" distR="0">
            <wp:extent cx="5486400" cy="3227070"/>
            <wp:effectExtent l="19050" t="0" r="1905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400B" w:rsidRPr="009179E5" w:rsidRDefault="006324E9" w:rsidP="00574AC8">
      <w:pPr>
        <w:pStyle w:val="Caption"/>
        <w:spacing w:before="120" w:after="120" w:line="240" w:lineRule="auto"/>
        <w:rPr>
          <w:rFonts w:ascii="Times New Roman" w:hAnsi="Times New Roman"/>
          <w:sz w:val="24"/>
          <w:szCs w:val="24"/>
          <w:lang w:val="lv-LV"/>
        </w:rPr>
      </w:pPr>
      <w:r w:rsidRPr="009179E5">
        <w:rPr>
          <w:rFonts w:ascii="Times New Roman" w:hAnsi="Times New Roman"/>
          <w:sz w:val="24"/>
          <w:szCs w:val="24"/>
          <w:lang w:val="lv-LV"/>
        </w:rPr>
        <w:t>4</w:t>
      </w:r>
      <w:r w:rsidR="004C76AA" w:rsidRPr="009179E5">
        <w:rPr>
          <w:rFonts w:ascii="Times New Roman" w:hAnsi="Times New Roman"/>
          <w:sz w:val="24"/>
          <w:szCs w:val="24"/>
          <w:lang w:val="lv-LV"/>
        </w:rPr>
        <w:t>.attēls</w:t>
      </w:r>
      <w:r w:rsidR="00A5400B" w:rsidRPr="009179E5">
        <w:rPr>
          <w:rFonts w:ascii="Times New Roman" w:hAnsi="Times New Roman"/>
          <w:sz w:val="24"/>
          <w:szCs w:val="24"/>
          <w:lang w:val="lv-LV"/>
        </w:rPr>
        <w:t>.</w:t>
      </w:r>
      <w:r w:rsidRPr="009179E5">
        <w:rPr>
          <w:rFonts w:ascii="Times New Roman" w:hAnsi="Times New Roman"/>
          <w:sz w:val="24"/>
          <w:szCs w:val="24"/>
          <w:lang w:val="lv-LV"/>
        </w:rPr>
        <w:t xml:space="preserve"> </w:t>
      </w:r>
      <w:r w:rsidR="00A5400B" w:rsidRPr="009179E5">
        <w:rPr>
          <w:rFonts w:ascii="Times New Roman" w:hAnsi="Times New Roman"/>
          <w:sz w:val="24"/>
          <w:szCs w:val="24"/>
          <w:lang w:val="lv-LV"/>
        </w:rPr>
        <w:t>Primārā</w:t>
      </w:r>
      <w:r w:rsidR="00032317" w:rsidRPr="009179E5">
        <w:rPr>
          <w:rFonts w:ascii="Times New Roman" w:hAnsi="Times New Roman"/>
          <w:sz w:val="24"/>
          <w:szCs w:val="24"/>
          <w:lang w:val="lv-LV"/>
        </w:rPr>
        <w:t>s</w:t>
      </w:r>
      <w:r w:rsidR="00A5400B" w:rsidRPr="009179E5">
        <w:rPr>
          <w:rFonts w:ascii="Times New Roman" w:hAnsi="Times New Roman"/>
          <w:sz w:val="24"/>
          <w:szCs w:val="24"/>
          <w:lang w:val="lv-LV"/>
        </w:rPr>
        <w:t xml:space="preserve"> enerģijas patēriņa dinamika, </w:t>
      </w:r>
      <w:r w:rsidR="00144345" w:rsidRPr="009179E5">
        <w:rPr>
          <w:rFonts w:ascii="Times New Roman" w:hAnsi="Times New Roman"/>
          <w:sz w:val="24"/>
          <w:szCs w:val="24"/>
          <w:lang w:val="lv-LV"/>
        </w:rPr>
        <w:t>GWh</w:t>
      </w:r>
    </w:p>
    <w:p w:rsidR="00834221" w:rsidRPr="009179E5" w:rsidRDefault="008F711D" w:rsidP="00487A66">
      <w:pPr>
        <w:pStyle w:val="Heading4"/>
        <w:numPr>
          <w:ilvl w:val="0"/>
          <w:numId w:val="0"/>
        </w:numPr>
        <w:spacing w:line="240" w:lineRule="auto"/>
        <w:jc w:val="center"/>
        <w:rPr>
          <w:rFonts w:ascii="Times New Roman Bold" w:hAnsi="Times New Roman Bold"/>
          <w:b/>
          <w:i w:val="0"/>
          <w:caps/>
          <w:color w:val="auto"/>
          <w:sz w:val="28"/>
          <w:u w:val="none"/>
          <w:lang w:val="lv-LV"/>
        </w:rPr>
      </w:pPr>
      <w:bookmarkStart w:id="6" w:name="_Toc300320556"/>
      <w:r w:rsidRPr="009179E5">
        <w:rPr>
          <w:rFonts w:ascii="Times New Roman Bold" w:hAnsi="Times New Roman Bold"/>
          <w:b/>
          <w:i w:val="0"/>
          <w:caps/>
          <w:color w:val="auto"/>
          <w:sz w:val="28"/>
          <w:u w:val="none"/>
          <w:lang w:val="lv-LV"/>
        </w:rPr>
        <w:lastRenderedPageBreak/>
        <w:t>1.2</w:t>
      </w:r>
      <w:r w:rsidR="00487A66" w:rsidRPr="009179E5">
        <w:rPr>
          <w:rFonts w:ascii="Times New Roman Bold" w:hAnsi="Times New Roman Bold"/>
          <w:b/>
          <w:i w:val="0"/>
          <w:caps/>
          <w:color w:val="auto"/>
          <w:sz w:val="28"/>
          <w:u w:val="none"/>
          <w:lang w:val="lv-LV"/>
        </w:rPr>
        <w:t>.</w:t>
      </w:r>
      <w:r w:rsidRPr="009179E5">
        <w:rPr>
          <w:rFonts w:ascii="Times New Roman Bold" w:hAnsi="Times New Roman Bold"/>
          <w:b/>
          <w:i w:val="0"/>
          <w:caps/>
          <w:color w:val="auto"/>
          <w:sz w:val="28"/>
          <w:u w:val="none"/>
          <w:lang w:val="lv-LV"/>
        </w:rPr>
        <w:t xml:space="preserve"> </w:t>
      </w:r>
      <w:r w:rsidR="007D34DF" w:rsidRPr="009179E5">
        <w:rPr>
          <w:rFonts w:ascii="Times New Roman Bold" w:hAnsi="Times New Roman Bold"/>
          <w:b/>
          <w:i w:val="0"/>
          <w:caps/>
          <w:color w:val="auto"/>
          <w:sz w:val="28"/>
          <w:u w:val="none"/>
          <w:lang w:val="lv-LV"/>
        </w:rPr>
        <w:t>enerģijas ietaupījuma</w:t>
      </w:r>
      <w:r w:rsidR="00834221" w:rsidRPr="009179E5">
        <w:rPr>
          <w:rFonts w:ascii="Times New Roman Bold" w:hAnsi="Times New Roman Bold"/>
          <w:b/>
          <w:i w:val="0"/>
          <w:caps/>
          <w:color w:val="auto"/>
          <w:sz w:val="28"/>
          <w:u w:val="none"/>
          <w:lang w:val="lv-LV"/>
        </w:rPr>
        <w:t xml:space="preserve"> mērķa </w:t>
      </w:r>
      <w:r w:rsidR="001D3DE0" w:rsidRPr="009179E5">
        <w:rPr>
          <w:rFonts w:ascii="Times New Roman Bold" w:hAnsi="Times New Roman Bold"/>
          <w:b/>
          <w:i w:val="0"/>
          <w:caps/>
          <w:color w:val="auto"/>
          <w:sz w:val="28"/>
          <w:u w:val="none"/>
          <w:lang w:val="lv-LV"/>
        </w:rPr>
        <w:t xml:space="preserve">2010.gadam </w:t>
      </w:r>
      <w:r w:rsidR="00834221" w:rsidRPr="009179E5">
        <w:rPr>
          <w:rFonts w:ascii="Times New Roman Bold" w:hAnsi="Times New Roman Bold"/>
          <w:b/>
          <w:i w:val="0"/>
          <w:caps/>
          <w:color w:val="auto"/>
          <w:sz w:val="28"/>
          <w:u w:val="none"/>
          <w:lang w:val="lv-LV"/>
        </w:rPr>
        <w:t>sasniegšanas pārskats</w:t>
      </w:r>
      <w:r w:rsidR="00DD210E" w:rsidRPr="009179E5">
        <w:rPr>
          <w:rFonts w:ascii="Times New Roman Bold" w:hAnsi="Times New Roman Bold"/>
          <w:b/>
          <w:i w:val="0"/>
          <w:caps/>
          <w:color w:val="auto"/>
          <w:sz w:val="28"/>
          <w:u w:val="none"/>
          <w:lang w:val="lv-LV"/>
        </w:rPr>
        <w:t xml:space="preserve"> </w:t>
      </w:r>
      <w:r w:rsidR="00DD210E" w:rsidRPr="009179E5">
        <w:rPr>
          <w:rFonts w:ascii="Times New Roman Bold" w:hAnsi="Times New Roman Bold"/>
          <w:b/>
          <w:i w:val="0"/>
          <w:caps/>
          <w:color w:val="auto"/>
          <w:sz w:val="28"/>
          <w:lang w:val="lv-LV"/>
        </w:rPr>
        <w:t>galapatēriņa</w:t>
      </w:r>
      <w:r w:rsidR="00DD210E" w:rsidRPr="009179E5">
        <w:rPr>
          <w:rFonts w:ascii="Times New Roman Bold" w:hAnsi="Times New Roman Bold"/>
          <w:b/>
          <w:i w:val="0"/>
          <w:caps/>
          <w:color w:val="auto"/>
          <w:sz w:val="28"/>
          <w:u w:val="none"/>
          <w:lang w:val="lv-LV"/>
        </w:rPr>
        <w:t xml:space="preserve"> sektoros</w:t>
      </w:r>
      <w:bookmarkEnd w:id="6"/>
    </w:p>
    <w:p w:rsidR="00091873" w:rsidRPr="009179E5" w:rsidRDefault="00091873" w:rsidP="0001273E">
      <w:pPr>
        <w:spacing w:line="240" w:lineRule="auto"/>
        <w:jc w:val="both"/>
        <w:rPr>
          <w:sz w:val="28"/>
          <w:szCs w:val="28"/>
          <w:lang w:val="lv-LV"/>
        </w:rPr>
      </w:pPr>
      <w:r w:rsidRPr="009179E5">
        <w:rPr>
          <w:rFonts w:ascii="Times New Roman" w:hAnsi="Times New Roman"/>
          <w:sz w:val="28"/>
          <w:szCs w:val="28"/>
          <w:lang w:val="lv-LV"/>
        </w:rPr>
        <w:t>Latvijas Republikas pirmais energoefektivitātes rīcības plāns paredzēja realizēt energoefektivitātes paaugstināšanas pasākumus piecos enerģijas galapatēriņa sektoros: mājsaimniecībās, pakalpojumu sektorā</w:t>
      </w:r>
      <w:r w:rsidR="000F2BE6" w:rsidRPr="009179E5">
        <w:rPr>
          <w:rFonts w:ascii="Times New Roman" w:hAnsi="Times New Roman"/>
          <w:sz w:val="28"/>
          <w:szCs w:val="28"/>
          <w:lang w:val="lv-LV"/>
        </w:rPr>
        <w:t xml:space="preserve">, rūpniecībā, lauksaimniecībā un </w:t>
      </w:r>
      <w:r w:rsidRPr="009179E5">
        <w:rPr>
          <w:rFonts w:ascii="Times New Roman" w:hAnsi="Times New Roman"/>
          <w:sz w:val="28"/>
          <w:szCs w:val="28"/>
          <w:lang w:val="lv-LV"/>
        </w:rPr>
        <w:t>transportā.</w:t>
      </w:r>
    </w:p>
    <w:p w:rsidR="00834221" w:rsidRPr="009179E5" w:rsidRDefault="00834221" w:rsidP="0001273E">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Lai sasniegtu izvirzītos enerģijas ietaupījumu mērķus laika periodā no 200</w:t>
      </w:r>
      <w:r w:rsidR="004443AB" w:rsidRPr="009179E5">
        <w:rPr>
          <w:rFonts w:ascii="Times New Roman" w:hAnsi="Times New Roman"/>
          <w:sz w:val="28"/>
          <w:szCs w:val="28"/>
          <w:lang w:val="lv-LV"/>
        </w:rPr>
        <w:t>8</w:t>
      </w:r>
      <w:r w:rsidRPr="009179E5">
        <w:rPr>
          <w:rFonts w:ascii="Times New Roman" w:hAnsi="Times New Roman"/>
          <w:sz w:val="28"/>
          <w:szCs w:val="28"/>
          <w:lang w:val="lv-LV"/>
        </w:rPr>
        <w:t>.</w:t>
      </w:r>
      <w:r w:rsidR="004443AB" w:rsidRPr="009179E5">
        <w:rPr>
          <w:rFonts w:ascii="Times New Roman" w:hAnsi="Times New Roman"/>
          <w:sz w:val="28"/>
          <w:szCs w:val="28"/>
          <w:lang w:val="lv-LV"/>
        </w:rPr>
        <w:t>-</w:t>
      </w:r>
      <w:r w:rsidRPr="009179E5">
        <w:rPr>
          <w:rFonts w:ascii="Times New Roman" w:hAnsi="Times New Roman"/>
          <w:sz w:val="28"/>
          <w:szCs w:val="28"/>
          <w:lang w:val="lv-LV"/>
        </w:rPr>
        <w:t xml:space="preserve"> 2010.gadam</w:t>
      </w:r>
      <w:r w:rsidR="004443AB" w:rsidRPr="009179E5">
        <w:rPr>
          <w:rFonts w:ascii="Times New Roman" w:hAnsi="Times New Roman"/>
          <w:sz w:val="28"/>
          <w:szCs w:val="28"/>
          <w:lang w:val="lv-LV"/>
        </w:rPr>
        <w:t>,</w:t>
      </w:r>
      <w:r w:rsidRPr="009179E5">
        <w:rPr>
          <w:rFonts w:ascii="Times New Roman" w:hAnsi="Times New Roman"/>
          <w:sz w:val="28"/>
          <w:szCs w:val="28"/>
          <w:lang w:val="lv-LV"/>
        </w:rPr>
        <w:t xml:space="preserve"> tika </w:t>
      </w:r>
      <w:r w:rsidR="009A6778" w:rsidRPr="009179E5">
        <w:rPr>
          <w:rFonts w:ascii="Times New Roman" w:hAnsi="Times New Roman"/>
          <w:sz w:val="28"/>
          <w:szCs w:val="28"/>
          <w:lang w:val="lv-LV"/>
        </w:rPr>
        <w:t>īstenoti</w:t>
      </w:r>
      <w:r w:rsidRPr="009179E5">
        <w:rPr>
          <w:rFonts w:ascii="Times New Roman" w:hAnsi="Times New Roman"/>
          <w:sz w:val="28"/>
          <w:szCs w:val="28"/>
          <w:lang w:val="lv-LV"/>
        </w:rPr>
        <w:t xml:space="preserve"> energoefektivitātes paaugstināšanas pasākumi enerģijas gala patēriņa sektoros, </w:t>
      </w:r>
      <w:r w:rsidR="007D34DF" w:rsidRPr="009179E5">
        <w:rPr>
          <w:rFonts w:ascii="Times New Roman" w:hAnsi="Times New Roman"/>
          <w:sz w:val="28"/>
          <w:szCs w:val="28"/>
          <w:lang w:val="lv-LV"/>
        </w:rPr>
        <w:t>kā prioritāro nosakot</w:t>
      </w:r>
      <w:r w:rsidRPr="009179E5">
        <w:rPr>
          <w:rFonts w:ascii="Times New Roman" w:hAnsi="Times New Roman"/>
          <w:sz w:val="28"/>
          <w:szCs w:val="28"/>
          <w:lang w:val="lv-LV"/>
        </w:rPr>
        <w:t xml:space="preserve"> mājsaimniecīb</w:t>
      </w:r>
      <w:r w:rsidR="007D34DF" w:rsidRPr="009179E5">
        <w:rPr>
          <w:rFonts w:ascii="Times New Roman" w:hAnsi="Times New Roman"/>
          <w:sz w:val="28"/>
          <w:szCs w:val="28"/>
          <w:lang w:val="lv-LV"/>
        </w:rPr>
        <w:t>as</w:t>
      </w:r>
      <w:r w:rsidR="00675BE2" w:rsidRPr="009179E5">
        <w:rPr>
          <w:rFonts w:ascii="Times New Roman" w:hAnsi="Times New Roman"/>
          <w:sz w:val="28"/>
          <w:szCs w:val="28"/>
          <w:lang w:val="lv-LV"/>
        </w:rPr>
        <w:t xml:space="preserve"> sektoru, tas ir, </w:t>
      </w:r>
      <w:r w:rsidR="007D34DF" w:rsidRPr="009179E5">
        <w:rPr>
          <w:rFonts w:ascii="Times New Roman" w:hAnsi="Times New Roman"/>
          <w:sz w:val="28"/>
          <w:szCs w:val="28"/>
          <w:lang w:val="lv-LV"/>
        </w:rPr>
        <w:t xml:space="preserve">sociālo dzīvojamo māju un </w:t>
      </w:r>
      <w:r w:rsidRPr="009179E5">
        <w:rPr>
          <w:rFonts w:ascii="Times New Roman" w:hAnsi="Times New Roman"/>
          <w:sz w:val="28"/>
          <w:szCs w:val="28"/>
          <w:lang w:val="lv-LV"/>
        </w:rPr>
        <w:t>daudzdzīvokļu dzīvojamo ēku renov</w:t>
      </w:r>
      <w:r w:rsidR="007D34DF" w:rsidRPr="009179E5">
        <w:rPr>
          <w:rFonts w:ascii="Times New Roman" w:hAnsi="Times New Roman"/>
          <w:sz w:val="28"/>
          <w:szCs w:val="28"/>
          <w:lang w:val="lv-LV"/>
        </w:rPr>
        <w:t>ācij</w:t>
      </w:r>
      <w:r w:rsidR="00675BE2" w:rsidRPr="009179E5">
        <w:rPr>
          <w:rFonts w:ascii="Times New Roman" w:hAnsi="Times New Roman"/>
          <w:sz w:val="28"/>
          <w:szCs w:val="28"/>
          <w:lang w:val="lv-LV"/>
        </w:rPr>
        <w:t>a</w:t>
      </w:r>
      <w:r w:rsidRPr="009179E5">
        <w:rPr>
          <w:rFonts w:ascii="Times New Roman" w:hAnsi="Times New Roman"/>
          <w:sz w:val="28"/>
          <w:szCs w:val="28"/>
          <w:lang w:val="lv-LV"/>
        </w:rPr>
        <w:t>. Sasniegtos enerģijas ietaupījumus noteica arī izmaiņas tautsaimniecības struktūrā, tehnoloģiju attīstība un ieviešana, kā arī patērētāju uzvedības maiņa, kuru lielā mērā noteica enerģijas sadārdzināšanās un ekonomiskā krīze.</w:t>
      </w:r>
    </w:p>
    <w:p w:rsidR="007D34DF" w:rsidRPr="009179E5" w:rsidRDefault="00834221" w:rsidP="0001273E">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Vis</w:t>
      </w:r>
      <w:r w:rsidR="007D34DF" w:rsidRPr="009179E5">
        <w:rPr>
          <w:rFonts w:ascii="Times New Roman" w:hAnsi="Times New Roman"/>
          <w:sz w:val="28"/>
          <w:szCs w:val="28"/>
          <w:lang w:val="lv-LV"/>
        </w:rPr>
        <w:t>būtiskākie</w:t>
      </w:r>
      <w:r w:rsidRPr="009179E5">
        <w:rPr>
          <w:rFonts w:ascii="Times New Roman" w:hAnsi="Times New Roman"/>
          <w:sz w:val="28"/>
          <w:szCs w:val="28"/>
          <w:lang w:val="lv-LV"/>
        </w:rPr>
        <w:t xml:space="preserve"> energoefektivitātes </w:t>
      </w:r>
      <w:r w:rsidR="007D34DF" w:rsidRPr="009179E5">
        <w:rPr>
          <w:rFonts w:ascii="Times New Roman" w:hAnsi="Times New Roman"/>
          <w:sz w:val="28"/>
          <w:szCs w:val="28"/>
          <w:lang w:val="lv-LV"/>
        </w:rPr>
        <w:t xml:space="preserve">paaugstināšanas </w:t>
      </w:r>
      <w:r w:rsidRPr="009179E5">
        <w:rPr>
          <w:rFonts w:ascii="Times New Roman" w:hAnsi="Times New Roman"/>
          <w:sz w:val="28"/>
          <w:szCs w:val="28"/>
          <w:lang w:val="lv-LV"/>
        </w:rPr>
        <w:t xml:space="preserve">pasākumi iepriekšējā laika periodā tika veikti ēku energoefektivitātes uzlabošanas jomā mājsaimniecību un publiskajā sektorā. </w:t>
      </w:r>
    </w:p>
    <w:p w:rsidR="00192771" w:rsidRPr="009179E5" w:rsidRDefault="00192771" w:rsidP="00574AC8">
      <w:pPr>
        <w:pStyle w:val="BodyTEXT"/>
      </w:pPr>
      <w:r w:rsidRPr="009179E5">
        <w:rPr>
          <w:b/>
        </w:rPr>
        <w:t>Eiropas</w:t>
      </w:r>
      <w:r w:rsidRPr="009179E5">
        <w:t xml:space="preserve"> </w:t>
      </w:r>
      <w:r w:rsidRPr="009179E5">
        <w:rPr>
          <w:b/>
        </w:rPr>
        <w:t>Savienības</w:t>
      </w:r>
      <w:r w:rsidRPr="009179E5">
        <w:t xml:space="preserve"> </w:t>
      </w:r>
      <w:r w:rsidRPr="009179E5">
        <w:rPr>
          <w:b/>
        </w:rPr>
        <w:t>fondu</w:t>
      </w:r>
      <w:r w:rsidRPr="009179E5">
        <w:t xml:space="preserve"> </w:t>
      </w:r>
      <w:r w:rsidRPr="009179E5">
        <w:rPr>
          <w:b/>
        </w:rPr>
        <w:t>izmantošana</w:t>
      </w:r>
    </w:p>
    <w:p w:rsidR="00834221" w:rsidRPr="009179E5" w:rsidRDefault="00834221" w:rsidP="00574AC8">
      <w:pPr>
        <w:pStyle w:val="BodyTEXT"/>
      </w:pPr>
      <w:r w:rsidRPr="009179E5">
        <w:t>Latvija kā Eiropas Savienības (</w:t>
      </w:r>
      <w:r w:rsidR="00B471D9" w:rsidRPr="009179E5">
        <w:t xml:space="preserve">turpmāk tekstā - </w:t>
      </w:r>
      <w:r w:rsidRPr="009179E5">
        <w:t>ES) dalībvalsts, īstenojot ES reģionālo politiku, izmanto ES sniegto finanšu palīdzību ekonomiskajai un sociālajai attīstībai. Lielākie finanšu instrumenti, kuru ietvaros Latvija saņem finanšu palīdzību, ir ES fondi</w:t>
      </w:r>
      <w:r w:rsidR="00172D3F" w:rsidRPr="009179E5">
        <w:t xml:space="preserve">, kuru vadību Latvijā nodrošina Finanšu </w:t>
      </w:r>
      <w:r w:rsidR="009179E5" w:rsidRPr="009179E5">
        <w:t>ministrija</w:t>
      </w:r>
      <w:r w:rsidRPr="009179E5">
        <w:t xml:space="preserve">: Eiropas Reģionālās attīstības fonds (ERAF), Eiropas Sociālais fonds (ESF) un Kohēzijas fonds (KF). </w:t>
      </w:r>
      <w:r w:rsidR="00823A3C" w:rsidRPr="009179E5">
        <w:t xml:space="preserve">Plānošanas periodā no </w:t>
      </w:r>
      <w:r w:rsidRPr="009179E5">
        <w:t>2007.-2013.g</w:t>
      </w:r>
      <w:r w:rsidR="00823A3C" w:rsidRPr="009179E5">
        <w:t>adam</w:t>
      </w:r>
      <w:r w:rsidRPr="009179E5">
        <w:t xml:space="preserve"> ES fondu atbalsts primāri virzīts uz iedzīvotāju izglītību, uzņēmumu tehnoloģisko izcilību un elastību, kā arī zinātnes un pētniecības attīstību, lai veicinātu zināšanu ietilpīgas ekonomikas veidošanos valstī un stiprinātu citus nepieciešamos priekšnoteikumus ilgtspējīgai ekonomiskai attīstībai un cilvēku dzīvei Latvijā kopumā. Ekonomikas ministrijas pārraudzībā ir darbības programmas „Infrastruktūra un pakalpojumi” </w:t>
      </w:r>
      <w:r w:rsidR="0067320C" w:rsidRPr="009179E5">
        <w:t xml:space="preserve">papildinājuma </w:t>
      </w:r>
      <w:r w:rsidRPr="009179E5">
        <w:t xml:space="preserve">aktivitātes, kuras nodrošina energoefektivitāti paaugstinošu pasākumu īstenošanu. </w:t>
      </w:r>
      <w:r w:rsidR="00823A3C" w:rsidRPr="009179E5">
        <w:t xml:space="preserve">No </w:t>
      </w:r>
      <w:r w:rsidR="00B471D9" w:rsidRPr="009179E5">
        <w:t>2008.-2009.gad</w:t>
      </w:r>
      <w:r w:rsidR="00823A3C" w:rsidRPr="009179E5">
        <w:t>am</w:t>
      </w:r>
      <w:r w:rsidR="00B471D9" w:rsidRPr="009179E5">
        <w:t xml:space="preserve"> ti</w:t>
      </w:r>
      <w:r w:rsidR="00085567" w:rsidRPr="009179E5">
        <w:t>e</w:t>
      </w:r>
      <w:r w:rsidR="00B471D9" w:rsidRPr="009179E5">
        <w:t>k ieviest</w:t>
      </w:r>
      <w:r w:rsidR="00085567" w:rsidRPr="009179E5">
        <w:t>i</w:t>
      </w:r>
      <w:r w:rsidRPr="009179E5">
        <w:t xml:space="preserve"> projekt</w:t>
      </w:r>
      <w:r w:rsidR="00085567" w:rsidRPr="009179E5">
        <w:t>i</w:t>
      </w:r>
      <w:r w:rsidRPr="009179E5">
        <w:t xml:space="preserve"> atbalsta programm</w:t>
      </w:r>
      <w:r w:rsidR="00085567" w:rsidRPr="009179E5">
        <w:t>a</w:t>
      </w:r>
      <w:r w:rsidRPr="009179E5">
        <w:t xml:space="preserve">s </w:t>
      </w:r>
      <w:r w:rsidR="00085567" w:rsidRPr="009179E5">
        <w:t>„</w:t>
      </w:r>
      <w:r w:rsidR="00085567" w:rsidRPr="009179E5">
        <w:rPr>
          <w:b/>
        </w:rPr>
        <w:t>Sociālo dzīvojamo māju siltumnoturības uzlabošanas pasākumi</w:t>
      </w:r>
      <w:r w:rsidR="00085567" w:rsidRPr="009179E5">
        <w:t xml:space="preserve">” </w:t>
      </w:r>
      <w:r w:rsidRPr="009179E5">
        <w:t xml:space="preserve">ietvaros, kuras mērķis bija palielināt pašvaldības sociālā dzīvojamā fonda energoefektivitāti, vienlaikus ceļot tā kvalitāti un ilgtspēju un nodrošinot sociālās atstumtības riskam pakļautās iedzīvotāju grupas ar adekvātu mājokli. Atbalsta intensitāte </w:t>
      </w:r>
      <w:r w:rsidR="00823A3C" w:rsidRPr="009179E5">
        <w:t>–</w:t>
      </w:r>
      <w:r w:rsidRPr="009179E5">
        <w:t xml:space="preserve"> līdz</w:t>
      </w:r>
      <w:r w:rsidR="00823A3C" w:rsidRPr="009179E5">
        <w:t xml:space="preserve"> </w:t>
      </w:r>
      <w:r w:rsidRPr="009179E5">
        <w:t xml:space="preserve">75%. Maksimālais atbalsta apjoms vienam projektam </w:t>
      </w:r>
      <w:r w:rsidR="00887A3E" w:rsidRPr="009179E5">
        <w:t>–</w:t>
      </w:r>
      <w:r w:rsidRPr="009179E5">
        <w:t xml:space="preserve"> 140</w:t>
      </w:r>
      <w:r w:rsidR="00887A3E" w:rsidRPr="009179E5">
        <w:t xml:space="preserve"> </w:t>
      </w:r>
      <w:r w:rsidR="002E01F3" w:rsidRPr="009179E5">
        <w:t>tūkst.</w:t>
      </w:r>
      <w:r w:rsidRPr="009179E5">
        <w:t xml:space="preserve"> LVL</w:t>
      </w:r>
      <w:r w:rsidR="0068266C" w:rsidRPr="009179E5">
        <w:t>.</w:t>
      </w:r>
      <w:r w:rsidR="008055E9" w:rsidRPr="009179E5">
        <w:t xml:space="preserve"> Kopējais 3.4.4.2.aktivitātē pieejamais ERAF finansējums ir 6,92 milj.LVL.</w:t>
      </w:r>
      <w:r w:rsidR="0002586C" w:rsidRPr="009179E5">
        <w:t xml:space="preserve"> Lielākā daļa projektu tiek ieviesta šobrīd. </w:t>
      </w:r>
    </w:p>
    <w:p w:rsidR="00834221" w:rsidRPr="009179E5" w:rsidRDefault="00834221" w:rsidP="0001273E">
      <w:pPr>
        <w:pStyle w:val="BodyTEXT"/>
      </w:pPr>
      <w:r w:rsidRPr="009179E5">
        <w:t xml:space="preserve">Aktivitātes mērķa grupa </w:t>
      </w:r>
      <w:r w:rsidR="00BC144C" w:rsidRPr="009179E5">
        <w:t>ir</w:t>
      </w:r>
      <w:r w:rsidRPr="009179E5">
        <w:t xml:space="preserve"> sociālo dzīvojamo māju dzīvokļu īrnieki. Atbalstāmās darbības:</w:t>
      </w:r>
      <w:r w:rsidR="00B471D9" w:rsidRPr="009179E5">
        <w:t xml:space="preserve"> </w:t>
      </w:r>
      <w:r w:rsidRPr="009179E5">
        <w:t>ēkas energoresursu patēriņa samazināšanai</w:t>
      </w:r>
      <w:r w:rsidR="00B471D9" w:rsidRPr="009179E5">
        <w:t xml:space="preserve">, </w:t>
      </w:r>
      <w:r w:rsidRPr="009179E5">
        <w:t xml:space="preserve">ēkas renovācijai vai rekonstrukcijai, ja tiek nodrošināta vismaz divu prioritāšu </w:t>
      </w:r>
      <w:r w:rsidRPr="009179E5">
        <w:lastRenderedPageBreak/>
        <w:t>pasākumu īstenošana, kas norādītas ēkas energoaudita atskaitē</w:t>
      </w:r>
      <w:r w:rsidR="00BC144C" w:rsidRPr="009179E5">
        <w:t>, kā arī projekta dokumentācijas sagatavošanai un projekta uzraudzībai</w:t>
      </w:r>
      <w:r w:rsidRPr="009179E5">
        <w:t>.</w:t>
      </w:r>
    </w:p>
    <w:p w:rsidR="00834221" w:rsidRPr="009179E5" w:rsidRDefault="00834221" w:rsidP="0001273E">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Finansējuma saņēmēji </w:t>
      </w:r>
      <w:r w:rsidR="00D10E61" w:rsidRPr="009179E5">
        <w:rPr>
          <w:rFonts w:ascii="Times New Roman" w:hAnsi="Times New Roman"/>
          <w:sz w:val="28"/>
          <w:szCs w:val="28"/>
          <w:lang w:val="lv-LV"/>
        </w:rPr>
        <w:t>ir</w:t>
      </w:r>
      <w:r w:rsidRPr="009179E5">
        <w:rPr>
          <w:rFonts w:ascii="Times New Roman" w:hAnsi="Times New Roman"/>
          <w:sz w:val="28"/>
          <w:szCs w:val="28"/>
          <w:lang w:val="lv-LV"/>
        </w:rPr>
        <w:t xml:space="preserve"> pašvaldības, kurās ir sociālās dzīvojamās mājas, kurām līdz 2007. gada 1. jūlijam ar pašvaldības lēmumu bija noteikts sociālās dzīvojamās mājas statuss.</w:t>
      </w:r>
    </w:p>
    <w:p w:rsidR="00834221" w:rsidRPr="009179E5" w:rsidRDefault="00834221" w:rsidP="0001273E">
      <w:pPr>
        <w:pStyle w:val="BodyTEXT"/>
      </w:pPr>
      <w:r w:rsidRPr="009179E5">
        <w:t xml:space="preserve">Vislielākais efekts no energoefektivitātes paaugstināšanas projektu īstenošanas sagaidāms </w:t>
      </w:r>
      <w:r w:rsidR="009A6778" w:rsidRPr="009179E5">
        <w:t>mājsaimniecību</w:t>
      </w:r>
      <w:r w:rsidRPr="009179E5">
        <w:t xml:space="preserve"> sektorā. </w:t>
      </w:r>
      <w:r w:rsidR="00785CD3" w:rsidRPr="009179E5">
        <w:t>D</w:t>
      </w:r>
      <w:r w:rsidRPr="009179E5">
        <w:t>arbības programmas ”Infrastruktūra un pakalpojumi" atbalsta programma</w:t>
      </w:r>
      <w:r w:rsidR="00281016" w:rsidRPr="009179E5">
        <w:t xml:space="preserve">s aktivitātes </w:t>
      </w:r>
      <w:r w:rsidRPr="009179E5">
        <w:t>„</w:t>
      </w:r>
      <w:r w:rsidRPr="009179E5">
        <w:rPr>
          <w:b/>
        </w:rPr>
        <w:t>Daudzdzīvokļu māju siltumnoturības uz labošanas pasākumi</w:t>
      </w:r>
      <w:r w:rsidRPr="009179E5">
        <w:t xml:space="preserve">” mērķis ir </w:t>
      </w:r>
      <w:r w:rsidR="00281016" w:rsidRPr="009179E5">
        <w:t>mājokļu energoefektivitātes paaugstināšana daudzdzīvokļu dzīvojamās mājās, lai nodrošinātu dzīvojamā fonda ilgtspēju un energoresursu efektīvu izmantošanu</w:t>
      </w:r>
      <w:r w:rsidRPr="009179E5">
        <w:t>.</w:t>
      </w:r>
      <w:r w:rsidR="00192771" w:rsidRPr="009179E5">
        <w:t xml:space="preserve"> </w:t>
      </w:r>
    </w:p>
    <w:p w:rsidR="00B471D9" w:rsidRPr="009179E5" w:rsidRDefault="00834221" w:rsidP="0001273E">
      <w:pPr>
        <w:pStyle w:val="BodyTEXT"/>
      </w:pPr>
      <w:r w:rsidRPr="009179E5">
        <w:t xml:space="preserve">Kopējais </w:t>
      </w:r>
      <w:r w:rsidR="00631381" w:rsidRPr="009179E5">
        <w:t>3.4.4.1.aktivitātē</w:t>
      </w:r>
      <w:r w:rsidRPr="009179E5">
        <w:t xml:space="preserve"> pieejamais </w:t>
      </w:r>
      <w:r w:rsidR="00631381" w:rsidRPr="009179E5">
        <w:t xml:space="preserve">ERAF </w:t>
      </w:r>
      <w:r w:rsidRPr="009179E5">
        <w:t>finansējums daudzdzīvokļu dzīvojamo māju siltumnoturības uzlabošanai ir 44,3</w:t>
      </w:r>
      <w:r w:rsidR="00091873" w:rsidRPr="009179E5">
        <w:t>4</w:t>
      </w:r>
      <w:r w:rsidRPr="009179E5">
        <w:t xml:space="preserve"> milj. LVL.</w:t>
      </w:r>
      <w:r w:rsidR="00631381" w:rsidRPr="009179E5">
        <w:t xml:space="preserve"> Projektu iesniegumu pieņemšanas uzsākta 2009.gada 14.aprīlī un turpināsies līdz būs pieejams finansējums.</w:t>
      </w:r>
      <w:r w:rsidRPr="009179E5">
        <w:t xml:space="preserve"> </w:t>
      </w:r>
    </w:p>
    <w:p w:rsidR="00B471D9" w:rsidRPr="009179E5" w:rsidRDefault="00834221" w:rsidP="0001273E">
      <w:pPr>
        <w:pStyle w:val="BodyTEXT"/>
      </w:pPr>
      <w:r w:rsidRPr="009179E5">
        <w:t xml:space="preserve">Kopumā kopš </w:t>
      </w:r>
      <w:r w:rsidR="00C73666" w:rsidRPr="009179E5">
        <w:t xml:space="preserve">3.4.4.1.aktivitātes </w:t>
      </w:r>
      <w:r w:rsidRPr="009179E5">
        <w:t>uzsākšanas visvairāk projektu iesniegumi ir saņemti no Valmieras</w:t>
      </w:r>
      <w:r w:rsidR="00B471D9" w:rsidRPr="009179E5">
        <w:t>, Liepājas</w:t>
      </w:r>
      <w:r w:rsidRPr="009179E5">
        <w:t>, Rīgas, Ventspils</w:t>
      </w:r>
      <w:r w:rsidR="00B471D9" w:rsidRPr="009179E5">
        <w:t xml:space="preserve"> pilsētām</w:t>
      </w:r>
      <w:r w:rsidRPr="009179E5">
        <w:t xml:space="preserve"> un Limbažu novada. </w:t>
      </w:r>
    </w:p>
    <w:p w:rsidR="00834221" w:rsidRPr="009179E5" w:rsidRDefault="00834221" w:rsidP="0001273E">
      <w:pPr>
        <w:pStyle w:val="BodyTEXT"/>
      </w:pPr>
      <w:r w:rsidRPr="009179E5">
        <w:t xml:space="preserve">Projektu iesniegumus </w:t>
      </w:r>
      <w:r w:rsidR="006117B1" w:rsidRPr="009179E5">
        <w:t>ERAF līdz</w:t>
      </w:r>
      <w:r w:rsidRPr="009179E5">
        <w:t>finansējuma saņemšanai</w:t>
      </w:r>
      <w:r w:rsidR="00192771" w:rsidRPr="009179E5">
        <w:t xml:space="preserve"> 2009.-201</w:t>
      </w:r>
      <w:r w:rsidR="006117B1" w:rsidRPr="009179E5">
        <w:t>1</w:t>
      </w:r>
      <w:r w:rsidR="00192771" w:rsidRPr="009179E5">
        <w:t>.gad</w:t>
      </w:r>
      <w:r w:rsidR="006117B1" w:rsidRPr="009179E5">
        <w:t>a aprīļa beigām</w:t>
      </w:r>
      <w:r w:rsidR="00192771" w:rsidRPr="009179E5">
        <w:t xml:space="preserve"> varēja</w:t>
      </w:r>
      <w:r w:rsidRPr="009179E5">
        <w:t xml:space="preserve"> iesniegt par daudzdzīvokļu mājām, kas nodotas ekspluatācijā no 1944. līdz 1993. gadam (ieskaitot). </w:t>
      </w:r>
      <w:r w:rsidR="00B6322F" w:rsidRPr="009179E5">
        <w:t xml:space="preserve"> Sākot ar 2011.gada 27.aprīli projektu var iesniegt par mājām, kuru būvniecības uzsākta pirms 1993.gada (ieskaitot), un tā ir nodota ekspluatācijā līdz 2002.gadam</w:t>
      </w:r>
      <w:r w:rsidR="00AF4726" w:rsidRPr="009179E5">
        <w:t xml:space="preserve"> (ieskaitot)</w:t>
      </w:r>
      <w:r w:rsidR="00B6322F" w:rsidRPr="009179E5">
        <w:t xml:space="preserve">. </w:t>
      </w:r>
      <w:r w:rsidRPr="009179E5">
        <w:t xml:space="preserve">Daudzdzīvokļu dzīvojamajā mājā esošā neapdzīvojamo telpu platība </w:t>
      </w:r>
      <w:r w:rsidR="00192771" w:rsidRPr="009179E5">
        <w:t xml:space="preserve">nedrīkst </w:t>
      </w:r>
      <w:r w:rsidRPr="009179E5">
        <w:t>pārsnie</w:t>
      </w:r>
      <w:r w:rsidR="00192771" w:rsidRPr="009179E5">
        <w:t>gt</w:t>
      </w:r>
      <w:r w:rsidRPr="009179E5">
        <w:t xml:space="preserve"> 25% no dzīvojamās mājas kopējās platības. Šai mājai ir jābūt sadalītai dzīvokļu īpašumos, un vienam īpašniekam nevar piederēt vairāk kā 20% no kopējā dzīvokļu īpašumu skaita. Savukārt</w:t>
      </w:r>
      <w:r w:rsidR="009A6778" w:rsidRPr="009179E5">
        <w:t>,</w:t>
      </w:r>
      <w:r w:rsidRPr="009179E5">
        <w:t xml:space="preserve"> pēdējais nosacījums neattiecas un valsts un pašvaldības īpašumā esošajiem dzīvokļiem.</w:t>
      </w:r>
    </w:p>
    <w:p w:rsidR="00834221" w:rsidRPr="009179E5" w:rsidRDefault="00525CB1" w:rsidP="00574AC8">
      <w:pPr>
        <w:pStyle w:val="BodyTEXT"/>
      </w:pPr>
      <w:r w:rsidRPr="009179E5">
        <w:t xml:space="preserve">Līdzfinansējums tiek piešķirts būvdarbu veikšanai daudzdzīvokļu dzīvojamās mājas dzīvokļu īpašnieku kopīpašumā esošajās daļās, nodrošinot tehniskajā projektā vai vienkāršotās renovācijas dokumentācijā paredzēto ēkas strukturālo daļu atjaunošanu un ēkas energoaudita pārskatā minēto energoefektivitātes uzlabošanas pasākumu darbu izpildi — ēku ārējo norobežojošo konstrukciju būvelementu siltināšanai un nomaiņai, tai skaitā atsevišķu dzīvokļu īpašumu robežās esošo ārsienu logu atjaunošanai vai nomaiņai, pagraba un augšējā stāva pārsegumu siltināšanai, siltumapgādes un karstā ūdens sadales sistēmas renovācijai vai rekonstrukcijai, ventilācijas sistēmas izveidei, renovācijai vai rekonstrukcijai, kāpņu telpas remontam, ja tiek veikti energoefektivitātes darbi kāpņu telpā, ar dzīvojamās mājas ekspluatāciju saistītu funkcionāli nedalāmu elementu atjaunošanai, kas paredzēta tehniskajā projektā vai vienkāršotās renovācijas dokumentācijā, ja tā nodrošina energoefektivitātes pasākumu ilgtspēju vai pēc pasākuma īstenošanas tiek iegūts siltumenerģijas ietaupījums, </w:t>
      </w:r>
      <w:r w:rsidRPr="009179E5">
        <w:lastRenderedPageBreak/>
        <w:t>kā arī energoaudita, tehniskās apsekošanas un būvprojekta sagatavošanai, būvuzraudzības un autoruzraudzības veikšanai.</w:t>
      </w:r>
    </w:p>
    <w:p w:rsidR="00834221" w:rsidRPr="009179E5" w:rsidRDefault="00834221" w:rsidP="00574AC8">
      <w:pPr>
        <w:pStyle w:val="BodyTEXT"/>
      </w:pPr>
      <w:r w:rsidRPr="009179E5">
        <w:t>Pēc renovācijas siltumenerģijas ietaupījumam ēkā jābūt vismaz 20% gadā no siltumenerģijas patēriņa pirms projekta īstenošanas.</w:t>
      </w:r>
    </w:p>
    <w:p w:rsidR="00834221" w:rsidRPr="009179E5" w:rsidRDefault="00834221" w:rsidP="00574AC8">
      <w:pPr>
        <w:pStyle w:val="BodyTEXT"/>
      </w:pPr>
      <w:r w:rsidRPr="009179E5">
        <w:t xml:space="preserve">Dzīvokļu īpašnieki no kopējām attiecināmajām izmaksām var atgūt 50%, bet, ja 10% no dzīvokļu īpašniekiem ir </w:t>
      </w:r>
      <w:r w:rsidR="009A6778" w:rsidRPr="009179E5">
        <w:t xml:space="preserve">piešķirts </w:t>
      </w:r>
      <w:r w:rsidRPr="009179E5">
        <w:t xml:space="preserve">maznodrošinātas vai trūcīgas personas statuss, tad </w:t>
      </w:r>
      <w:r w:rsidR="00887A3E" w:rsidRPr="009179E5">
        <w:t>–</w:t>
      </w:r>
      <w:r w:rsidRPr="009179E5">
        <w:t xml:space="preserve"> 60%. Vienas mājas siltināšanai maksimāli pieļaujamais atbalsta apjoms</w:t>
      </w:r>
      <w:r w:rsidR="0086770B" w:rsidRPr="009179E5">
        <w:t>, ko finansē ERAF,</w:t>
      </w:r>
      <w:r w:rsidRPr="009179E5">
        <w:t xml:space="preserve"> nedrīkst pārsniegt 35 LVL uz vienu dzīvojamās māja</w:t>
      </w:r>
      <w:r w:rsidR="0086770B" w:rsidRPr="009179E5">
        <w:t>s kopējās platības kvadrātmetru</w:t>
      </w:r>
      <w:r w:rsidRPr="009179E5">
        <w:t>.</w:t>
      </w:r>
    </w:p>
    <w:p w:rsidR="00192771" w:rsidRPr="009179E5" w:rsidRDefault="00192771" w:rsidP="00574AC8">
      <w:pPr>
        <w:pStyle w:val="BodyTEXT"/>
      </w:pPr>
      <w:r w:rsidRPr="009179E5">
        <w:t xml:space="preserve">Detalizēts aktivitātes apraksts dots </w:t>
      </w:r>
      <w:r w:rsidR="00856916" w:rsidRPr="009179E5">
        <w:t>mājsaimniecību sektora pasākumu kopsavilkuma tabulā.</w:t>
      </w:r>
    </w:p>
    <w:p w:rsidR="00192771" w:rsidRPr="009179E5" w:rsidRDefault="00192771" w:rsidP="00574AC8">
      <w:pPr>
        <w:pStyle w:val="BodyTEXT"/>
      </w:pPr>
      <w:r w:rsidRPr="009179E5">
        <w:rPr>
          <w:b/>
        </w:rPr>
        <w:t>Klimata</w:t>
      </w:r>
      <w:r w:rsidRPr="009179E5">
        <w:t xml:space="preserve"> </w:t>
      </w:r>
      <w:r w:rsidRPr="009179E5">
        <w:rPr>
          <w:b/>
        </w:rPr>
        <w:t>pārmaiņu</w:t>
      </w:r>
      <w:r w:rsidRPr="009179E5">
        <w:t xml:space="preserve"> </w:t>
      </w:r>
      <w:r w:rsidRPr="009179E5">
        <w:rPr>
          <w:b/>
        </w:rPr>
        <w:t>finan</w:t>
      </w:r>
      <w:r w:rsidR="000D3446" w:rsidRPr="009179E5">
        <w:rPr>
          <w:b/>
        </w:rPr>
        <w:t>š</w:t>
      </w:r>
      <w:r w:rsidRPr="009179E5">
        <w:rPr>
          <w:b/>
        </w:rPr>
        <w:t>u</w:t>
      </w:r>
      <w:r w:rsidRPr="009179E5">
        <w:t xml:space="preserve"> </w:t>
      </w:r>
      <w:r w:rsidRPr="009179E5">
        <w:rPr>
          <w:b/>
        </w:rPr>
        <w:t>instruments</w:t>
      </w:r>
      <w:r w:rsidR="004B7071" w:rsidRPr="009179E5">
        <w:t xml:space="preserve"> </w:t>
      </w:r>
      <w:r w:rsidR="004B7071" w:rsidRPr="009179E5">
        <w:rPr>
          <w:b/>
        </w:rPr>
        <w:t>(KPFI)</w:t>
      </w:r>
    </w:p>
    <w:p w:rsidR="00834221" w:rsidRPr="009179E5" w:rsidRDefault="00834221" w:rsidP="00574AC8">
      <w:pPr>
        <w:pStyle w:val="BodyTEXT"/>
      </w:pPr>
      <w:r w:rsidRPr="009179E5">
        <w:t>Klimata pārmaiņu finanšu instruments (KPFI) ir Latvijas Republikas valsts budžeta programma. KPFI mērķis ir veicināt globālo klimata pārmaiņu novēršanu, pielāgošanos klimata pārmaiņu radītajām sekām un sekmēt siltumnīcefekta gāzu (SEG) emisijas samazināšanu (piemēram, īstenojot pasākumus ēku energoefektivitātes uzlabošanai gan sabiedriskajā, gan privātajā sektorā, tehnoloģiju, kurās izmanto atjaunojamos energoresursus, attīstīšanu un ieviešanu, kā arī īstenojot integrētus risinājumus SEG emisijas samazināšanai).</w:t>
      </w:r>
    </w:p>
    <w:p w:rsidR="00834221" w:rsidRPr="009179E5" w:rsidRDefault="00834221" w:rsidP="00574AC8">
      <w:pPr>
        <w:pStyle w:val="BodyTEXT"/>
      </w:pPr>
      <w:r w:rsidRPr="009179E5">
        <w:t>KPFI finansē no valstij piederošo noteiktā daudzuma vienību (</w:t>
      </w:r>
      <w:r w:rsidR="00192771" w:rsidRPr="009179E5">
        <w:t>turpmāk tekstā -</w:t>
      </w:r>
      <w:r w:rsidRPr="009179E5">
        <w:t>NDV) pārdošanas, ko veic starptautiskās emisiju tirdzniecības ietvaros atbilstoši Kioto protokola nosacījumiem.</w:t>
      </w:r>
    </w:p>
    <w:p w:rsidR="00834221" w:rsidRPr="009179E5" w:rsidRDefault="00834221" w:rsidP="00574AC8">
      <w:pPr>
        <w:pStyle w:val="BodyTEXT"/>
      </w:pPr>
      <w:r w:rsidRPr="009179E5">
        <w:t>KPFI darbību reglamentē Latvijas noslēgto starptautisko līgumu prasības par NDV pārdošanu, kā arī apstiprinātie tiesību akti, t.sk., likums „Par Latvijas Republikas dalību Kioto protokola elastīgajos mehānismos” (spēkā kopš 2007.</w:t>
      </w:r>
      <w:r w:rsidR="00C77AE6" w:rsidRPr="009179E5">
        <w:t>gada 13.decembra</w:t>
      </w:r>
      <w:r w:rsidRPr="009179E5">
        <w:t>), Ministru kabineta 2009.</w:t>
      </w:r>
      <w:r w:rsidR="00C77AE6" w:rsidRPr="009179E5">
        <w:t>gada 28.aprīļa</w:t>
      </w:r>
      <w:r w:rsidRPr="009179E5">
        <w:t xml:space="preserve"> noteikumi Nr.312 „Klimata pārmaiņu finanšu instrumenta konsultatīvās padomes nolikums”, Ministru kabineta 2009.</w:t>
      </w:r>
      <w:r w:rsidR="00C77AE6" w:rsidRPr="009179E5">
        <w:t>gada 25.jūnija</w:t>
      </w:r>
      <w:r w:rsidRPr="009179E5">
        <w:t xml:space="preserve"> noteikumi Nr.644 ”Klimata pārmaiņu finanšu instrumenta finansēto projektu īstenošanas, pārskatu iesniegšanas un pārbaudes kārtība”.</w:t>
      </w:r>
    </w:p>
    <w:p w:rsidR="00834221" w:rsidRPr="009179E5" w:rsidRDefault="00834221" w:rsidP="00574AC8">
      <w:pPr>
        <w:pStyle w:val="BodyTEXT"/>
      </w:pPr>
      <w:r w:rsidRPr="009179E5">
        <w:t>KPFI programmas ietvaros ir sagatavoti un izsludināti nozaru konkursi, kuru mērķis ir gan SEG emisiju samazināšana, gan energoefektivitātes pasākumu īstenošana.</w:t>
      </w:r>
    </w:p>
    <w:p w:rsidR="007D34DF" w:rsidRPr="009179E5" w:rsidRDefault="00192771" w:rsidP="00574AC8">
      <w:pPr>
        <w:pStyle w:val="BodyTEXT"/>
      </w:pPr>
      <w:r w:rsidRPr="009179E5">
        <w:t>Detalizēts</w:t>
      </w:r>
      <w:r w:rsidR="007D34DF" w:rsidRPr="009179E5">
        <w:t xml:space="preserve"> apraksts</w:t>
      </w:r>
      <w:r w:rsidRPr="009179E5">
        <w:t xml:space="preserve"> </w:t>
      </w:r>
      <w:r w:rsidR="007D34DF" w:rsidRPr="009179E5">
        <w:t>par KPFI atbalstītajām aktivitātēm dots</w:t>
      </w:r>
      <w:r w:rsidRPr="009179E5">
        <w:t xml:space="preserve"> </w:t>
      </w:r>
      <w:r w:rsidR="00D17E02" w:rsidRPr="009179E5">
        <w:t>attiecīgā sektora (sabiedriskais, mājsaimniecības u.c.) pasākumu kopsavilkuma tabulā.</w:t>
      </w:r>
    </w:p>
    <w:p w:rsidR="007D34DF" w:rsidRPr="009179E5" w:rsidRDefault="00C13D77"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1.EERP</w:t>
      </w:r>
      <w:r w:rsidR="007D34DF" w:rsidRPr="009179E5">
        <w:rPr>
          <w:rFonts w:ascii="Times New Roman" w:hAnsi="Times New Roman"/>
          <w:sz w:val="28"/>
          <w:szCs w:val="28"/>
          <w:lang w:val="lv-LV"/>
        </w:rPr>
        <w:t xml:space="preserve"> pakalpojumu sektorā kā energoefektivitātes paaugstināšanas pasākumi tika paredzētas informatīvās kampaņas par energoefektīva apgaismojuma un datoru izmantošanu komersantu birojos, kā arī par elektroierīču energoefektivitātes marķējumos atspoguļoto informāciju. </w:t>
      </w:r>
      <w:r w:rsidRPr="009179E5">
        <w:rPr>
          <w:rFonts w:ascii="Times New Roman" w:hAnsi="Times New Roman"/>
          <w:sz w:val="28"/>
          <w:szCs w:val="28"/>
          <w:lang w:val="lv-LV"/>
        </w:rPr>
        <w:t>1.EERP</w:t>
      </w:r>
      <w:r w:rsidR="009A6778" w:rsidRPr="009179E5">
        <w:rPr>
          <w:rFonts w:ascii="Times New Roman" w:hAnsi="Times New Roman"/>
          <w:sz w:val="28"/>
          <w:szCs w:val="28"/>
          <w:lang w:val="lv-LV"/>
        </w:rPr>
        <w:t xml:space="preserve"> īstenošanas</w:t>
      </w:r>
      <w:r w:rsidR="007D34DF" w:rsidRPr="009179E5">
        <w:rPr>
          <w:rFonts w:ascii="Times New Roman" w:hAnsi="Times New Roman"/>
          <w:sz w:val="28"/>
          <w:szCs w:val="28"/>
          <w:lang w:val="lv-LV"/>
        </w:rPr>
        <w:t xml:space="preserve"> laikā šādas atsevišķas informatīvās kampaņas netika organizētas, bet </w:t>
      </w:r>
      <w:r w:rsidR="007D34DF" w:rsidRPr="009179E5">
        <w:rPr>
          <w:rFonts w:ascii="Times New Roman" w:hAnsi="Times New Roman"/>
          <w:sz w:val="28"/>
          <w:szCs w:val="28"/>
          <w:lang w:val="lv-LV"/>
        </w:rPr>
        <w:lastRenderedPageBreak/>
        <w:t xml:space="preserve">informāciju par elektroenerģijas efektīvu izmantošanu interesenti var pastāvīgi saņemt AS </w:t>
      </w:r>
      <w:r w:rsidR="00632FAB" w:rsidRPr="009179E5">
        <w:rPr>
          <w:rFonts w:ascii="Times New Roman" w:hAnsi="Times New Roman"/>
          <w:sz w:val="28"/>
          <w:szCs w:val="28"/>
          <w:lang w:val="lv-LV"/>
        </w:rPr>
        <w:t>„</w:t>
      </w:r>
      <w:r w:rsidR="007D34DF" w:rsidRPr="009179E5">
        <w:rPr>
          <w:rFonts w:ascii="Times New Roman" w:hAnsi="Times New Roman"/>
          <w:sz w:val="28"/>
          <w:szCs w:val="28"/>
          <w:lang w:val="lv-LV"/>
        </w:rPr>
        <w:t>Latvenergo</w:t>
      </w:r>
      <w:r w:rsidR="00632FAB" w:rsidRPr="009179E5">
        <w:rPr>
          <w:rFonts w:ascii="Times New Roman" w:hAnsi="Times New Roman"/>
          <w:sz w:val="28"/>
          <w:szCs w:val="28"/>
          <w:lang w:val="lv-LV"/>
        </w:rPr>
        <w:t>”</w:t>
      </w:r>
      <w:r w:rsidR="007D34DF" w:rsidRPr="009179E5">
        <w:rPr>
          <w:rFonts w:ascii="Times New Roman" w:hAnsi="Times New Roman"/>
          <w:sz w:val="28"/>
          <w:szCs w:val="28"/>
          <w:lang w:val="lv-LV"/>
        </w:rPr>
        <w:t xml:space="preserve"> Energoefektivitātes centrā, kā arī mājas lapā </w:t>
      </w:r>
      <w:hyperlink r:id="rId12" w:history="1">
        <w:r w:rsidR="007D34DF" w:rsidRPr="009179E5">
          <w:rPr>
            <w:rStyle w:val="Hyperlink"/>
            <w:rFonts w:ascii="Times New Roman" w:hAnsi="Times New Roman"/>
            <w:sz w:val="28"/>
            <w:szCs w:val="28"/>
            <w:lang w:val="lv-LV"/>
          </w:rPr>
          <w:t>www.latvenergo.lv</w:t>
        </w:r>
      </w:hyperlink>
      <w:r w:rsidR="007D34DF" w:rsidRPr="009179E5">
        <w:rPr>
          <w:rFonts w:ascii="Times New Roman" w:hAnsi="Times New Roman"/>
          <w:sz w:val="28"/>
          <w:szCs w:val="28"/>
          <w:lang w:val="lv-LV"/>
        </w:rPr>
        <w:t xml:space="preserve">. </w:t>
      </w:r>
      <w:r w:rsidR="00091873" w:rsidRPr="009179E5">
        <w:rPr>
          <w:rFonts w:ascii="Times New Roman" w:hAnsi="Times New Roman"/>
          <w:sz w:val="28"/>
          <w:szCs w:val="28"/>
          <w:lang w:val="lv-LV"/>
        </w:rPr>
        <w:t>AS „Latvenergo”</w:t>
      </w:r>
      <w:r w:rsidR="00382482">
        <w:rPr>
          <w:rFonts w:ascii="Times New Roman" w:hAnsi="Times New Roman"/>
          <w:sz w:val="28"/>
          <w:szCs w:val="28"/>
          <w:lang w:val="lv-LV"/>
        </w:rPr>
        <w:t xml:space="preserve"> </w:t>
      </w:r>
      <w:r w:rsidR="00091873" w:rsidRPr="009179E5">
        <w:rPr>
          <w:rFonts w:ascii="Times New Roman" w:hAnsi="Times New Roman"/>
          <w:sz w:val="28"/>
          <w:szCs w:val="28"/>
          <w:lang w:val="lv-LV"/>
        </w:rPr>
        <w:t xml:space="preserve">Energoefektivitātes centrā iespējams iegūt informāciju par elektroierīču energoefektivitātes marķējumā atspoguļoto informāciju, kā arī apgaismojuma efektivitātes </w:t>
      </w:r>
      <w:r w:rsidR="009179E5" w:rsidRPr="009179E5">
        <w:rPr>
          <w:rFonts w:ascii="Times New Roman" w:hAnsi="Times New Roman"/>
          <w:sz w:val="28"/>
          <w:szCs w:val="28"/>
          <w:lang w:val="lv-LV"/>
        </w:rPr>
        <w:t>uzlabošanu</w:t>
      </w:r>
      <w:r w:rsidR="00091873" w:rsidRPr="009179E5">
        <w:rPr>
          <w:rFonts w:ascii="Times New Roman" w:hAnsi="Times New Roman"/>
          <w:sz w:val="28"/>
          <w:szCs w:val="28"/>
          <w:lang w:val="lv-LV"/>
        </w:rPr>
        <w:t xml:space="preserve"> gan rūpniecībā, gan birojos. </w:t>
      </w:r>
      <w:r w:rsidR="00160584" w:rsidRPr="009179E5">
        <w:rPr>
          <w:rFonts w:ascii="Times New Roman" w:hAnsi="Times New Roman"/>
          <w:sz w:val="28"/>
          <w:szCs w:val="28"/>
          <w:lang w:val="lv-LV"/>
        </w:rPr>
        <w:t xml:space="preserve">1.EERP paredzētās informatīvās kampaņas pakalpojumu sektorā netika realizētas. Enerģijas ietaupījuma aprēķināšanai pakalpojumu sektorā, kā viens no indikatoriem, ir izvēlēts elektroenerģijas patēriņš elektroierīcēm pakalpojumu sektorā uz vienu pilnas slodzes strādājošo. </w:t>
      </w:r>
    </w:p>
    <w:p w:rsidR="00091873" w:rsidRPr="009179E5" w:rsidRDefault="00BD404B"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Ekonomiskā krīze</w:t>
      </w:r>
      <w:r w:rsidR="00E63C16" w:rsidRPr="009179E5">
        <w:rPr>
          <w:rFonts w:ascii="Times New Roman" w:hAnsi="Times New Roman"/>
          <w:sz w:val="28"/>
          <w:szCs w:val="28"/>
          <w:lang w:val="lv-LV"/>
        </w:rPr>
        <w:t xml:space="preserve"> </w:t>
      </w:r>
      <w:r w:rsidRPr="009179E5">
        <w:rPr>
          <w:rFonts w:ascii="Times New Roman" w:hAnsi="Times New Roman"/>
          <w:sz w:val="28"/>
          <w:szCs w:val="28"/>
          <w:lang w:val="lv-LV"/>
        </w:rPr>
        <w:t>ir pārsvarā negatīvi iespaidojusi enerģijas efektivitātes rādītājus rūpniecības nozarēs, sevišķi kokapstrādes nozarē.</w:t>
      </w:r>
      <w:r w:rsidR="00091873" w:rsidRPr="009179E5">
        <w:rPr>
          <w:rFonts w:ascii="Times New Roman" w:hAnsi="Times New Roman"/>
          <w:sz w:val="28"/>
          <w:szCs w:val="28"/>
          <w:lang w:val="lv-LV"/>
        </w:rPr>
        <w:t xml:space="preserve"> </w:t>
      </w:r>
    </w:p>
    <w:p w:rsidR="00BD404B" w:rsidRPr="009179E5" w:rsidRDefault="00BD404B"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Kopējo enerģijas ietaupījumu rūpniecībā aprēķina</w:t>
      </w:r>
      <w:r w:rsidR="00426B6A" w:rsidRPr="009179E5">
        <w:rPr>
          <w:rFonts w:ascii="Times New Roman" w:hAnsi="Times New Roman"/>
          <w:sz w:val="28"/>
          <w:szCs w:val="28"/>
          <w:lang w:val="lv-LV"/>
        </w:rPr>
        <w:t>,</w:t>
      </w:r>
      <w:r w:rsidRPr="009179E5">
        <w:rPr>
          <w:rFonts w:ascii="Times New Roman" w:hAnsi="Times New Roman"/>
          <w:sz w:val="28"/>
          <w:szCs w:val="28"/>
          <w:lang w:val="lv-LV"/>
        </w:rPr>
        <w:t xml:space="preserve"> summējot enerģijas ietaupījumu atsevišķās rūpniecības nozarēs. Par pamatu enerģijas ietaupījumu aprēķināšanai rūpniecībā ir ņemts enerģijas patēriņš uz vienu rūpniecības produkcijas apjoma indeksa vienību.</w:t>
      </w:r>
      <w:r w:rsidR="00091873" w:rsidRPr="009179E5">
        <w:rPr>
          <w:rFonts w:ascii="Times New Roman" w:hAnsi="Times New Roman"/>
          <w:sz w:val="28"/>
          <w:szCs w:val="28"/>
          <w:lang w:val="lv-LV"/>
        </w:rPr>
        <w:t xml:space="preserve"> Līdz ar iespējām pretendēt uz finansējumu no KPFI, pieaugusi uzņēmumu interese par energoauditiem rūpniecībā.</w:t>
      </w:r>
      <w:r w:rsidR="00CD31F8" w:rsidRPr="009179E5">
        <w:rPr>
          <w:rFonts w:ascii="Times New Roman" w:hAnsi="Times New Roman"/>
          <w:sz w:val="28"/>
          <w:szCs w:val="28"/>
          <w:lang w:val="lv-LV"/>
        </w:rPr>
        <w:t xml:space="preserve">  Lai sakārtotu šo energoauditu jomu, sagatavošanā ir Ministru kabineta noteikumu projekts</w:t>
      </w:r>
      <w:r w:rsidR="008910E8" w:rsidRPr="009179E5">
        <w:rPr>
          <w:rFonts w:ascii="Times New Roman" w:hAnsi="Times New Roman"/>
          <w:sz w:val="28"/>
          <w:szCs w:val="28"/>
          <w:lang w:val="lv-LV"/>
        </w:rPr>
        <w:t>.</w:t>
      </w:r>
      <w:r w:rsidR="00CD31F8" w:rsidRPr="009179E5">
        <w:rPr>
          <w:rFonts w:ascii="Times New Roman" w:hAnsi="Times New Roman"/>
          <w:sz w:val="28"/>
          <w:szCs w:val="28"/>
          <w:lang w:val="lv-LV"/>
        </w:rPr>
        <w:t xml:space="preserve"> 1.EERP paredzētā rūpniecībā izmantojamo tehnoloģisko procesu energoefektivitātes uzlabošana ir tirgus radīts pasākums, lai nodrošinātu uzņēmuma konkurētspējas priekšrocības. </w:t>
      </w:r>
      <w:r w:rsidR="004C3E39" w:rsidRPr="009179E5">
        <w:rPr>
          <w:rFonts w:ascii="Times New Roman" w:hAnsi="Times New Roman"/>
          <w:sz w:val="28"/>
          <w:szCs w:val="28"/>
          <w:lang w:val="lv-LV"/>
        </w:rPr>
        <w:t>Enerģijas ietaupījumi lauksaimniecībā tika novērtēti kopā ar rūpniecības sektoru.</w:t>
      </w:r>
      <w:r w:rsidR="00091873" w:rsidRPr="009179E5">
        <w:rPr>
          <w:rFonts w:ascii="Times New Roman" w:hAnsi="Times New Roman"/>
          <w:sz w:val="28"/>
          <w:szCs w:val="28"/>
          <w:lang w:val="lv-LV"/>
        </w:rPr>
        <w:t xml:space="preserve"> </w:t>
      </w:r>
    </w:p>
    <w:p w:rsidR="00E75551" w:rsidRPr="009179E5" w:rsidRDefault="00BD404B" w:rsidP="00E75551">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Tā kā Latvijas Republikā nav autobūves nozares un iespaidot automašīnu tehnoloģisko attīstību ir mazas iespējas, tad galvenie pasākumi enerģijas efektīvākai izmantošanai tika vērsti uz transporta līdzekļu tehniskā stāvokļa </w:t>
      </w:r>
      <w:r w:rsidR="00B11630" w:rsidRPr="009179E5">
        <w:rPr>
          <w:rFonts w:ascii="Times New Roman" w:hAnsi="Times New Roman"/>
          <w:sz w:val="28"/>
          <w:szCs w:val="28"/>
          <w:lang w:val="lv-LV"/>
        </w:rPr>
        <w:t xml:space="preserve">uzlabošanu, </w:t>
      </w:r>
      <w:r w:rsidRPr="009179E5">
        <w:rPr>
          <w:rFonts w:ascii="Times New Roman" w:hAnsi="Times New Roman"/>
          <w:sz w:val="28"/>
          <w:szCs w:val="28"/>
          <w:lang w:val="lv-LV"/>
        </w:rPr>
        <w:t>transporta sistēmas plānošanas uzlabošanu un infrastruktūru efektīvāku izmantošanu, kā arī informācijas izplatīšanu satiksmes dalībniekiem par en</w:t>
      </w:r>
      <w:r w:rsidR="00B11630" w:rsidRPr="009179E5">
        <w:rPr>
          <w:rFonts w:ascii="Times New Roman" w:hAnsi="Times New Roman"/>
          <w:sz w:val="28"/>
          <w:szCs w:val="28"/>
          <w:lang w:val="lv-LV"/>
        </w:rPr>
        <w:t>erģijas efektīvāku izmantošanu. Būtiskākā nozīme enerģijas taupīšanā transporta sektorā ir transporta darbības optimizācijai un izmantoto tehnoloģiju uzlabošanai</w:t>
      </w:r>
      <w:r w:rsidR="00426B6A" w:rsidRPr="009179E5">
        <w:rPr>
          <w:rFonts w:ascii="Times New Roman" w:hAnsi="Times New Roman"/>
          <w:sz w:val="28"/>
          <w:szCs w:val="28"/>
          <w:lang w:val="lv-LV"/>
        </w:rPr>
        <w:t>.</w:t>
      </w:r>
    </w:p>
    <w:p w:rsidR="00487A66" w:rsidRPr="009179E5" w:rsidRDefault="00962C63" w:rsidP="004C3E39">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1</w:t>
      </w:r>
      <w:r w:rsidR="00E75551" w:rsidRPr="009179E5">
        <w:rPr>
          <w:rFonts w:ascii="Times New Roman" w:hAnsi="Times New Roman"/>
          <w:sz w:val="28"/>
          <w:szCs w:val="28"/>
          <w:lang w:val="lv-LV"/>
        </w:rPr>
        <w:t>.EERP realizēto pasākumu rezultāti netiek novērtēti</w:t>
      </w:r>
      <w:r w:rsidR="004C3E39" w:rsidRPr="009179E5">
        <w:rPr>
          <w:rFonts w:ascii="Times New Roman" w:hAnsi="Times New Roman"/>
          <w:sz w:val="28"/>
          <w:szCs w:val="28"/>
          <w:lang w:val="lv-LV"/>
        </w:rPr>
        <w:t xml:space="preserve"> izmantojot</w:t>
      </w:r>
      <w:r w:rsidR="00E75551" w:rsidRPr="009179E5">
        <w:rPr>
          <w:rFonts w:ascii="Times New Roman" w:hAnsi="Times New Roman"/>
          <w:sz w:val="28"/>
          <w:szCs w:val="28"/>
          <w:lang w:val="lv-LV"/>
        </w:rPr>
        <w:t xml:space="preserve"> MK noteikumos Nr.923 paredzēt</w:t>
      </w:r>
      <w:r w:rsidR="004C3E39" w:rsidRPr="009179E5">
        <w:rPr>
          <w:rFonts w:ascii="Times New Roman" w:hAnsi="Times New Roman"/>
          <w:sz w:val="28"/>
          <w:szCs w:val="28"/>
          <w:lang w:val="lv-LV"/>
        </w:rPr>
        <w:t>ā</w:t>
      </w:r>
      <w:r w:rsidR="00E75551" w:rsidRPr="009179E5">
        <w:rPr>
          <w:rFonts w:ascii="Times New Roman" w:hAnsi="Times New Roman"/>
          <w:sz w:val="28"/>
          <w:szCs w:val="28"/>
          <w:lang w:val="lv-LV"/>
        </w:rPr>
        <w:t xml:space="preserve"> monitoringa </w:t>
      </w:r>
      <w:r w:rsidR="004C3E39" w:rsidRPr="009179E5">
        <w:rPr>
          <w:rFonts w:ascii="Times New Roman" w:hAnsi="Times New Roman"/>
          <w:sz w:val="28"/>
          <w:szCs w:val="28"/>
          <w:lang w:val="lv-LV"/>
        </w:rPr>
        <w:t>datus</w:t>
      </w:r>
      <w:r w:rsidR="00E75551" w:rsidRPr="009179E5">
        <w:rPr>
          <w:rFonts w:ascii="Times New Roman" w:hAnsi="Times New Roman"/>
          <w:sz w:val="28"/>
          <w:szCs w:val="28"/>
          <w:lang w:val="lv-LV"/>
        </w:rPr>
        <w:t xml:space="preserve">, jo ieviestās energoefektivitātes paaugstināšanas programmas apstiprinātas pirms šo Ministru kabineta noteikumu </w:t>
      </w:r>
      <w:r w:rsidR="004C3E39" w:rsidRPr="009179E5">
        <w:rPr>
          <w:rFonts w:ascii="Times New Roman" w:hAnsi="Times New Roman"/>
          <w:sz w:val="28"/>
          <w:szCs w:val="28"/>
          <w:lang w:val="lv-LV"/>
        </w:rPr>
        <w:t xml:space="preserve">stāšanās </w:t>
      </w:r>
      <w:r w:rsidR="009179E5" w:rsidRPr="009179E5">
        <w:rPr>
          <w:rFonts w:ascii="Times New Roman" w:hAnsi="Times New Roman"/>
          <w:sz w:val="28"/>
          <w:szCs w:val="28"/>
          <w:lang w:val="lv-LV"/>
        </w:rPr>
        <w:t>spēkā. Tāpēc</w:t>
      </w:r>
      <w:r w:rsidR="00E75551" w:rsidRPr="009179E5">
        <w:rPr>
          <w:rFonts w:ascii="Times New Roman" w:hAnsi="Times New Roman"/>
          <w:sz w:val="28"/>
          <w:szCs w:val="28"/>
          <w:lang w:val="lv-LV"/>
        </w:rPr>
        <w:t xml:space="preserve"> e</w:t>
      </w:r>
      <w:r w:rsidRPr="009179E5">
        <w:rPr>
          <w:rFonts w:ascii="Times New Roman" w:hAnsi="Times New Roman"/>
          <w:sz w:val="28"/>
          <w:szCs w:val="28"/>
          <w:lang w:val="lv-LV"/>
        </w:rPr>
        <w:t>nerģijas ietaupījumi ats</w:t>
      </w:r>
      <w:r w:rsidR="00E75551" w:rsidRPr="009179E5">
        <w:rPr>
          <w:rFonts w:ascii="Times New Roman" w:hAnsi="Times New Roman"/>
          <w:sz w:val="28"/>
          <w:szCs w:val="28"/>
          <w:lang w:val="lv-LV"/>
        </w:rPr>
        <w:t xml:space="preserve">evišķiem galapatēriņa sektoriem </w:t>
      </w:r>
      <w:r w:rsidRPr="009179E5">
        <w:rPr>
          <w:rFonts w:ascii="Times New Roman" w:hAnsi="Times New Roman"/>
          <w:sz w:val="28"/>
          <w:szCs w:val="28"/>
          <w:lang w:val="lv-LV"/>
        </w:rPr>
        <w:t>1.EERP ir aprēķināti, izmantojot tikai lejupvērsto enerģijas ietaupījumu aprēķināšanas metodiku</w:t>
      </w:r>
      <w:r w:rsidR="004C3E39" w:rsidRPr="009179E5">
        <w:rPr>
          <w:rFonts w:ascii="Times New Roman" w:hAnsi="Times New Roman"/>
          <w:sz w:val="28"/>
          <w:szCs w:val="28"/>
          <w:lang w:val="lv-LV"/>
        </w:rPr>
        <w:t>, kuras pamatā ir enerģijas ietaupījumu aprēķināšana</w:t>
      </w:r>
      <w:r w:rsidR="00487A66" w:rsidRPr="009179E5">
        <w:rPr>
          <w:rFonts w:ascii="Times New Roman" w:hAnsi="Times New Roman"/>
          <w:sz w:val="28"/>
          <w:szCs w:val="28"/>
          <w:lang w:val="lv-LV"/>
        </w:rPr>
        <w:t xml:space="preserve"> izmantojot indikatorus.</w:t>
      </w:r>
    </w:p>
    <w:p w:rsidR="00B16EC2" w:rsidRPr="009179E5" w:rsidRDefault="001D5133" w:rsidP="00487A66">
      <w:pPr>
        <w:spacing w:before="120" w:after="120" w:line="240" w:lineRule="auto"/>
        <w:jc w:val="center"/>
        <w:rPr>
          <w:rFonts w:ascii="Times New Roman" w:hAnsi="Times New Roman"/>
          <w:sz w:val="28"/>
          <w:szCs w:val="28"/>
          <w:lang w:val="lv-LV"/>
        </w:rPr>
      </w:pPr>
      <w:r w:rsidRPr="009179E5">
        <w:rPr>
          <w:rFonts w:ascii="Times New Roman Bold" w:hAnsi="Times New Roman Bold"/>
          <w:b/>
          <w:caps/>
          <w:lang w:val="lv-LV"/>
        </w:rPr>
        <w:br w:type="page"/>
      </w:r>
      <w:r w:rsidR="0031199B" w:rsidRPr="009179E5">
        <w:rPr>
          <w:rFonts w:ascii="Times New Roman Bold" w:hAnsi="Times New Roman Bold"/>
          <w:b/>
          <w:caps/>
          <w:sz w:val="28"/>
          <w:lang w:val="lv-LV"/>
        </w:rPr>
        <w:lastRenderedPageBreak/>
        <w:t>2</w:t>
      </w:r>
      <w:r w:rsidR="00487A66" w:rsidRPr="009179E5">
        <w:rPr>
          <w:rFonts w:ascii="Times New Roman Bold" w:hAnsi="Times New Roman Bold"/>
          <w:b/>
          <w:caps/>
          <w:sz w:val="28"/>
          <w:lang w:val="lv-LV"/>
        </w:rPr>
        <w:t>.</w:t>
      </w:r>
      <w:r w:rsidR="0031199B" w:rsidRPr="009179E5">
        <w:rPr>
          <w:rFonts w:ascii="Times New Roman Bold" w:hAnsi="Times New Roman Bold"/>
          <w:b/>
          <w:caps/>
          <w:sz w:val="28"/>
          <w:lang w:val="lv-LV"/>
        </w:rPr>
        <w:t xml:space="preserve"> </w:t>
      </w:r>
      <w:r w:rsidR="00B11630" w:rsidRPr="009179E5">
        <w:rPr>
          <w:rFonts w:ascii="Times New Roman Bold" w:hAnsi="Times New Roman Bold"/>
          <w:b/>
          <w:caps/>
          <w:sz w:val="28"/>
          <w:lang w:val="lv-LV"/>
        </w:rPr>
        <w:t>Primārās enerģijas ietaupījums</w:t>
      </w:r>
    </w:p>
    <w:p w:rsidR="00B11630" w:rsidRPr="009179E5" w:rsidRDefault="00B11630"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Atbilstoši Enerģijas galapatēriņa efektivitātes likuma 17.panta prasībām, </w:t>
      </w:r>
      <w:r w:rsidR="00C13D77" w:rsidRPr="009179E5">
        <w:rPr>
          <w:rFonts w:ascii="Times New Roman" w:hAnsi="Times New Roman"/>
          <w:sz w:val="28"/>
          <w:szCs w:val="28"/>
          <w:lang w:val="lv-LV"/>
        </w:rPr>
        <w:t>2.EERP</w:t>
      </w:r>
      <w:r w:rsidRPr="009179E5">
        <w:rPr>
          <w:rFonts w:ascii="Times New Roman" w:hAnsi="Times New Roman"/>
          <w:sz w:val="28"/>
          <w:szCs w:val="28"/>
          <w:lang w:val="lv-LV"/>
        </w:rPr>
        <w:t xml:space="preserve"> ir jāizstrādā tikai enerģijas galapatēriņa sektoriem</w:t>
      </w:r>
      <w:r w:rsidR="0002339B" w:rsidRPr="009179E5">
        <w:rPr>
          <w:rFonts w:ascii="Times New Roman" w:hAnsi="Times New Roman"/>
          <w:sz w:val="28"/>
          <w:szCs w:val="28"/>
          <w:lang w:val="lv-LV"/>
        </w:rPr>
        <w:t>, b</w:t>
      </w:r>
      <w:r w:rsidRPr="009179E5">
        <w:rPr>
          <w:rFonts w:ascii="Times New Roman" w:hAnsi="Times New Roman"/>
          <w:sz w:val="28"/>
          <w:szCs w:val="28"/>
          <w:lang w:val="lv-LV"/>
        </w:rPr>
        <w:t>et</w:t>
      </w:r>
      <w:r w:rsidR="00FA5366" w:rsidRPr="009179E5">
        <w:rPr>
          <w:rFonts w:ascii="Times New Roman" w:hAnsi="Times New Roman"/>
          <w:sz w:val="28"/>
          <w:szCs w:val="28"/>
          <w:lang w:val="lv-LV"/>
        </w:rPr>
        <w:t>,</w:t>
      </w:r>
      <w:r w:rsidRPr="009179E5">
        <w:rPr>
          <w:rFonts w:ascii="Times New Roman" w:hAnsi="Times New Roman"/>
          <w:sz w:val="28"/>
          <w:szCs w:val="28"/>
          <w:lang w:val="lv-LV"/>
        </w:rPr>
        <w:t xml:space="preserve"> nosakot enerģijas ietaupījuma mērķus 2020.gadam, </w:t>
      </w:r>
      <w:r w:rsidR="00C13D77" w:rsidRPr="009179E5">
        <w:rPr>
          <w:rFonts w:ascii="Times New Roman" w:hAnsi="Times New Roman"/>
          <w:sz w:val="28"/>
          <w:szCs w:val="28"/>
          <w:lang w:val="lv-LV"/>
        </w:rPr>
        <w:t>2.EERP</w:t>
      </w:r>
      <w:r w:rsidRPr="009179E5">
        <w:rPr>
          <w:rFonts w:ascii="Times New Roman" w:hAnsi="Times New Roman"/>
          <w:sz w:val="28"/>
          <w:szCs w:val="28"/>
          <w:lang w:val="lv-LV"/>
        </w:rPr>
        <w:t xml:space="preserve"> tiek ņemts vērā EK vadlīniju ieteikums novērtēt iespējamos enerģijas ietaupījums pārveidošanas sektorā. Enerģijas ietaupījuma mērķis 2020.gadam t</w:t>
      </w:r>
      <w:r w:rsidR="009A6778" w:rsidRPr="009179E5">
        <w:rPr>
          <w:rFonts w:ascii="Times New Roman" w:hAnsi="Times New Roman"/>
          <w:sz w:val="28"/>
          <w:szCs w:val="28"/>
          <w:lang w:val="lv-LV"/>
        </w:rPr>
        <w:t>iek noteikts gan enerģijas gala</w:t>
      </w:r>
      <w:r w:rsidRPr="009179E5">
        <w:rPr>
          <w:rFonts w:ascii="Times New Roman" w:hAnsi="Times New Roman"/>
          <w:sz w:val="28"/>
          <w:szCs w:val="28"/>
          <w:lang w:val="lv-LV"/>
        </w:rPr>
        <w:t>patēriņa sektoriem, gan primārajiem energoresursiem.</w:t>
      </w:r>
    </w:p>
    <w:p w:rsidR="00DB1A11" w:rsidRPr="009179E5" w:rsidRDefault="00664126" w:rsidP="001009B1">
      <w:pPr>
        <w:spacing w:before="120" w:after="120" w:line="240" w:lineRule="auto"/>
        <w:rPr>
          <w:lang w:val="lv-LV"/>
        </w:rPr>
      </w:pPr>
      <w:r w:rsidRPr="009179E5">
        <w:rPr>
          <w:noProof/>
          <w:lang w:val="lv-LV" w:eastAsia="lv-LV"/>
        </w:rPr>
        <w:drawing>
          <wp:inline distT="0" distB="0" distL="0" distR="0">
            <wp:extent cx="5483987" cy="3388949"/>
            <wp:effectExtent l="12192" t="6396" r="6096"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25A0" w:rsidRDefault="009A6778" w:rsidP="00574AC8">
      <w:pPr>
        <w:pStyle w:val="Caption"/>
        <w:spacing w:before="120" w:after="120" w:line="240" w:lineRule="auto"/>
        <w:rPr>
          <w:rFonts w:ascii="Times New Roman" w:hAnsi="Times New Roman"/>
          <w:sz w:val="24"/>
          <w:szCs w:val="24"/>
          <w:lang w:val="lv-LV"/>
        </w:rPr>
      </w:pPr>
      <w:r w:rsidRPr="009179E5">
        <w:rPr>
          <w:rFonts w:ascii="Times New Roman" w:hAnsi="Times New Roman"/>
          <w:sz w:val="24"/>
          <w:szCs w:val="24"/>
          <w:lang w:val="lv-LV"/>
        </w:rPr>
        <w:t>5.attēls</w:t>
      </w:r>
      <w:r w:rsidR="00B825A0" w:rsidRPr="009179E5">
        <w:rPr>
          <w:rFonts w:ascii="Times New Roman" w:hAnsi="Times New Roman"/>
          <w:sz w:val="24"/>
          <w:szCs w:val="24"/>
          <w:lang w:val="lv-LV"/>
        </w:rPr>
        <w:t>.</w:t>
      </w:r>
      <w:r w:rsidR="005672EE" w:rsidRPr="009179E5">
        <w:rPr>
          <w:rFonts w:ascii="Times New Roman" w:hAnsi="Times New Roman"/>
          <w:sz w:val="24"/>
          <w:szCs w:val="24"/>
          <w:lang w:val="lv-LV"/>
        </w:rPr>
        <w:t xml:space="preserve"> </w:t>
      </w:r>
      <w:r w:rsidR="00B825A0" w:rsidRPr="009179E5">
        <w:rPr>
          <w:rFonts w:ascii="Times New Roman" w:hAnsi="Times New Roman"/>
          <w:sz w:val="24"/>
          <w:szCs w:val="24"/>
          <w:lang w:val="lv-LV"/>
        </w:rPr>
        <w:t>Primārā</w:t>
      </w:r>
      <w:r w:rsidR="00904404" w:rsidRPr="009179E5">
        <w:rPr>
          <w:rFonts w:ascii="Times New Roman" w:hAnsi="Times New Roman"/>
          <w:sz w:val="24"/>
          <w:szCs w:val="24"/>
          <w:lang w:val="lv-LV"/>
        </w:rPr>
        <w:t>s</w:t>
      </w:r>
      <w:r w:rsidR="00B825A0" w:rsidRPr="009179E5">
        <w:rPr>
          <w:rFonts w:ascii="Times New Roman" w:hAnsi="Times New Roman"/>
          <w:sz w:val="24"/>
          <w:szCs w:val="24"/>
          <w:lang w:val="lv-LV"/>
        </w:rPr>
        <w:t xml:space="preserve"> enerģijas patēriņa dinamika, GWh</w:t>
      </w:r>
    </w:p>
    <w:p w:rsidR="00781143" w:rsidRPr="003B66D9" w:rsidRDefault="00781143" w:rsidP="00781143">
      <w:pPr>
        <w:spacing w:before="120" w:after="120" w:line="240" w:lineRule="auto"/>
        <w:jc w:val="both"/>
        <w:rPr>
          <w:rFonts w:ascii="Times New Roman" w:hAnsi="Times New Roman"/>
          <w:sz w:val="28"/>
          <w:szCs w:val="28"/>
          <w:lang w:val="lv-LV"/>
        </w:rPr>
      </w:pPr>
      <w:r w:rsidRPr="003B66D9">
        <w:rPr>
          <w:rFonts w:ascii="Times New Roman" w:hAnsi="Times New Roman"/>
          <w:sz w:val="28"/>
          <w:szCs w:val="28"/>
          <w:lang w:val="lv-LV"/>
        </w:rPr>
        <w:t xml:space="preserve">Latvijas primārās enerģijas patēriņš 2010.gadā bija 55497 GWh (199,8 PJ), t.sk., enerģijas galapatēriņš – 49327 GWh (177,6 PJ), neenerģētiskās vajadzības – 848 GWh (3,1 PJ) un enerģijas pārveidošanas sektors (t.sk. zudumi un enerģētikas sektora pašpatēriņš) – 5322 GWh (19,2 PJ). Bruto iekšzemes enerģijas patēriņš – 52591 GWh (189,3 PJ). </w:t>
      </w:r>
    </w:p>
    <w:p w:rsidR="00781143" w:rsidRPr="003B66D9" w:rsidRDefault="00781143" w:rsidP="00781143">
      <w:pPr>
        <w:spacing w:before="120" w:after="120" w:line="240" w:lineRule="auto"/>
        <w:jc w:val="both"/>
        <w:rPr>
          <w:rFonts w:ascii="Times New Roman" w:hAnsi="Times New Roman"/>
          <w:sz w:val="28"/>
          <w:szCs w:val="28"/>
          <w:lang w:val="lv-LV"/>
        </w:rPr>
      </w:pPr>
      <w:r w:rsidRPr="003B66D9">
        <w:rPr>
          <w:rFonts w:ascii="Times New Roman" w:hAnsi="Times New Roman"/>
          <w:sz w:val="28"/>
          <w:szCs w:val="28"/>
          <w:lang w:val="lv-LV"/>
        </w:rPr>
        <w:t xml:space="preserve">Enerģijas pārveidošanas sektors Latvijā dod tikai apmēram 9% no primārās enerģijas patēriņa, bet Eiropas Savienībā – 30% (pēc „Non-paper: Technical background on the energy efficiency target in Europe 2020”). </w:t>
      </w:r>
    </w:p>
    <w:p w:rsidR="00781143" w:rsidRPr="009179E5" w:rsidRDefault="00781143" w:rsidP="00781143">
      <w:pPr>
        <w:spacing w:before="120" w:after="120" w:line="240" w:lineRule="auto"/>
        <w:jc w:val="both"/>
        <w:rPr>
          <w:rFonts w:ascii="Times New Roman" w:hAnsi="Times New Roman"/>
          <w:sz w:val="28"/>
          <w:szCs w:val="28"/>
          <w:lang w:val="lv-LV"/>
        </w:rPr>
      </w:pPr>
      <w:r w:rsidRPr="003B66D9">
        <w:rPr>
          <w:rFonts w:ascii="Times New Roman" w:hAnsi="Times New Roman"/>
          <w:sz w:val="28"/>
          <w:szCs w:val="28"/>
          <w:lang w:val="lv-LV"/>
        </w:rPr>
        <w:t xml:space="preserve">Latvijas gadījumā energoresursu primārais patēriņš ir 111% no enerģijas galapatēriņa. Enerģijas pārveidošanas sektorā 2020.gadā </w:t>
      </w:r>
      <w:r w:rsidR="00DD0CDA" w:rsidRPr="003B66D9">
        <w:rPr>
          <w:rFonts w:ascii="Times New Roman" w:hAnsi="Times New Roman"/>
          <w:sz w:val="28"/>
          <w:szCs w:val="28"/>
          <w:lang w:val="lv-LV"/>
        </w:rPr>
        <w:t xml:space="preserve">nav sagaidāms </w:t>
      </w:r>
      <w:r w:rsidR="00140669" w:rsidRPr="003B66D9">
        <w:rPr>
          <w:rFonts w:ascii="Times New Roman" w:hAnsi="Times New Roman"/>
          <w:sz w:val="28"/>
          <w:szCs w:val="28"/>
          <w:lang w:val="lv-LV"/>
        </w:rPr>
        <w:t xml:space="preserve">enerģijas </w:t>
      </w:r>
      <w:r w:rsidR="00DD0CDA" w:rsidRPr="003B66D9">
        <w:rPr>
          <w:rFonts w:ascii="Times New Roman" w:hAnsi="Times New Roman"/>
          <w:sz w:val="28"/>
          <w:szCs w:val="28"/>
          <w:lang w:val="lv-LV"/>
        </w:rPr>
        <w:t>ietaupījums,</w:t>
      </w:r>
      <w:r w:rsidRPr="003B66D9">
        <w:rPr>
          <w:rFonts w:ascii="Times New Roman" w:hAnsi="Times New Roman"/>
          <w:sz w:val="28"/>
          <w:szCs w:val="28"/>
          <w:lang w:val="lv-LV"/>
        </w:rPr>
        <w:t xml:space="preserve"> jo</w:t>
      </w:r>
      <w:r w:rsidR="00DD0CDA" w:rsidRPr="003B66D9">
        <w:rPr>
          <w:rFonts w:ascii="Times New Roman" w:hAnsi="Times New Roman"/>
          <w:sz w:val="28"/>
          <w:szCs w:val="28"/>
          <w:lang w:val="lv-LV"/>
        </w:rPr>
        <w:t xml:space="preserve"> to nosaka</w:t>
      </w:r>
      <w:r w:rsidRPr="003B66D9">
        <w:rPr>
          <w:rFonts w:ascii="Times New Roman" w:hAnsi="Times New Roman"/>
          <w:sz w:val="28"/>
          <w:szCs w:val="28"/>
          <w:lang w:val="lv-LV"/>
        </w:rPr>
        <w:t xml:space="preserve"> pārveidošanas sektora pašreiz augstā efektivitāte, kā arī importētās elektroenerģijas daļa. 2010.gadā koģenerācijas staciju un katlumāju efektivitāte bija 82%. Ja efektivitātes novērtējumā ņem vērā arī elektroenerģijas importu (elektroenerģijas importa efektivitāte ir 100%), tad efektivitāte sasniedz jau 85%.</w:t>
      </w:r>
      <w:r w:rsidRPr="009179E5">
        <w:rPr>
          <w:rFonts w:ascii="Times New Roman" w:hAnsi="Times New Roman"/>
          <w:sz w:val="28"/>
          <w:szCs w:val="28"/>
          <w:lang w:val="lv-LV"/>
        </w:rPr>
        <w:t xml:space="preserve"> </w:t>
      </w:r>
    </w:p>
    <w:p w:rsidR="00781143" w:rsidRPr="00781143" w:rsidRDefault="00781143" w:rsidP="00781143">
      <w:pPr>
        <w:rPr>
          <w:lang w:val="lv-LV"/>
        </w:rPr>
      </w:pPr>
    </w:p>
    <w:p w:rsidR="00FA3DA5" w:rsidRPr="009179E5" w:rsidRDefault="00EE5494"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lastRenderedPageBreak/>
        <w:t xml:space="preserve">Latvijas enerģētikas politika atbilstoši spēkā esošajiem enerģētikas politikas plānošanas dokumentiem paredz atjaunojamo un vietējo energoresursu izmantošanas veicināšanu, kas nozīmē pārveidošanas sektora efektivitātes samazināšanos, jo tiks izmantota ne tikai vēja enerģija un hidroenerģija (efektivitātes līmenis ir 100%), bet enerģija tiks iegūta arī no mazāk efektīvām vietējo fosilo un atjaunojamo energoresursu izmantojošām elektrostacijām. Līdz ar to paredzams, ka pārveidošanas sektorā līdz 2020.gadam </w:t>
      </w:r>
      <w:r w:rsidR="00140669">
        <w:rPr>
          <w:rFonts w:ascii="Times New Roman" w:hAnsi="Times New Roman"/>
          <w:sz w:val="28"/>
          <w:szCs w:val="28"/>
          <w:lang w:val="lv-LV"/>
        </w:rPr>
        <w:t>nav</w:t>
      </w:r>
      <w:r w:rsidRPr="009179E5">
        <w:rPr>
          <w:rFonts w:ascii="Times New Roman" w:hAnsi="Times New Roman"/>
          <w:sz w:val="28"/>
          <w:szCs w:val="28"/>
          <w:lang w:val="lv-LV"/>
        </w:rPr>
        <w:t xml:space="preserve"> sagaidām</w:t>
      </w:r>
      <w:r w:rsidR="00140669">
        <w:rPr>
          <w:rFonts w:ascii="Times New Roman" w:hAnsi="Times New Roman"/>
          <w:sz w:val="28"/>
          <w:szCs w:val="28"/>
          <w:lang w:val="lv-LV"/>
        </w:rPr>
        <w:t>a kopējā energoefektivitātes paaugstināšanās</w:t>
      </w:r>
      <w:r w:rsidRPr="009179E5">
        <w:rPr>
          <w:rFonts w:ascii="Times New Roman" w:hAnsi="Times New Roman"/>
          <w:sz w:val="28"/>
          <w:szCs w:val="28"/>
          <w:lang w:val="lv-LV"/>
        </w:rPr>
        <w:t>.</w:t>
      </w:r>
      <w:r w:rsidR="00BF23DB" w:rsidRPr="009179E5">
        <w:rPr>
          <w:rFonts w:ascii="Times New Roman" w:hAnsi="Times New Roman"/>
          <w:sz w:val="28"/>
          <w:szCs w:val="28"/>
          <w:lang w:val="lv-LV"/>
        </w:rPr>
        <w:t xml:space="preserve"> Šī plāna pārskatīšana</w:t>
      </w:r>
      <w:r w:rsidR="003E570E">
        <w:rPr>
          <w:rFonts w:ascii="Times New Roman" w:hAnsi="Times New Roman"/>
          <w:sz w:val="28"/>
          <w:szCs w:val="28"/>
          <w:lang w:val="lv-LV"/>
        </w:rPr>
        <w:t xml:space="preserve"> </w:t>
      </w:r>
      <w:r w:rsidR="00BF23DB" w:rsidRPr="009179E5">
        <w:rPr>
          <w:rFonts w:ascii="Times New Roman" w:hAnsi="Times New Roman"/>
          <w:sz w:val="28"/>
          <w:szCs w:val="28"/>
          <w:lang w:val="lv-LV"/>
        </w:rPr>
        <w:t xml:space="preserve">varētu </w:t>
      </w:r>
      <w:r w:rsidR="003E570E">
        <w:rPr>
          <w:rFonts w:ascii="Times New Roman" w:hAnsi="Times New Roman"/>
          <w:sz w:val="28"/>
          <w:szCs w:val="28"/>
          <w:lang w:val="lv-LV"/>
        </w:rPr>
        <w:t xml:space="preserve">būt </w:t>
      </w:r>
      <w:r w:rsidR="00BF23DB" w:rsidRPr="009179E5">
        <w:rPr>
          <w:rFonts w:ascii="Times New Roman" w:hAnsi="Times New Roman"/>
          <w:sz w:val="28"/>
          <w:szCs w:val="28"/>
          <w:lang w:val="lv-LV"/>
        </w:rPr>
        <w:t>aktu</w:t>
      </w:r>
      <w:r w:rsidR="003E570E">
        <w:rPr>
          <w:rFonts w:ascii="Times New Roman" w:hAnsi="Times New Roman"/>
          <w:sz w:val="28"/>
          <w:szCs w:val="28"/>
          <w:lang w:val="lv-LV"/>
        </w:rPr>
        <w:t>āla</w:t>
      </w:r>
      <w:r w:rsidR="00BF23DB" w:rsidRPr="009179E5">
        <w:rPr>
          <w:rFonts w:ascii="Times New Roman" w:hAnsi="Times New Roman"/>
          <w:sz w:val="28"/>
          <w:szCs w:val="28"/>
          <w:lang w:val="lv-LV"/>
        </w:rPr>
        <w:t xml:space="preserve"> pēc</w:t>
      </w:r>
      <w:r w:rsidR="003E570E">
        <w:rPr>
          <w:rFonts w:ascii="Times New Roman" w:hAnsi="Times New Roman"/>
          <w:sz w:val="28"/>
          <w:szCs w:val="28"/>
          <w:lang w:val="lv-LV"/>
        </w:rPr>
        <w:t xml:space="preserve"> Latvijas enerģētikas stratēģijas</w:t>
      </w:r>
      <w:r w:rsidR="00BF23DB" w:rsidRPr="009179E5">
        <w:rPr>
          <w:rFonts w:ascii="Times New Roman" w:hAnsi="Times New Roman"/>
          <w:sz w:val="28"/>
          <w:szCs w:val="28"/>
          <w:lang w:val="lv-LV"/>
        </w:rPr>
        <w:t xml:space="preserve"> 2030.gadam i</w:t>
      </w:r>
      <w:r w:rsidR="003E570E">
        <w:rPr>
          <w:rFonts w:ascii="Times New Roman" w:hAnsi="Times New Roman"/>
          <w:sz w:val="28"/>
          <w:szCs w:val="28"/>
          <w:lang w:val="lv-LV"/>
        </w:rPr>
        <w:t>zstrādes.</w:t>
      </w:r>
      <w:r w:rsidR="00DB1A11" w:rsidRPr="009179E5">
        <w:rPr>
          <w:rFonts w:ascii="Times New Roman" w:hAnsi="Times New Roman"/>
          <w:sz w:val="28"/>
          <w:szCs w:val="28"/>
          <w:lang w:val="lv-LV"/>
        </w:rPr>
        <w:t xml:space="preserve"> </w:t>
      </w:r>
    </w:p>
    <w:p w:rsidR="00DB1A11" w:rsidRPr="009179E5" w:rsidRDefault="00D24E6F" w:rsidP="001009B1">
      <w:pPr>
        <w:spacing w:before="120" w:after="120" w:line="240" w:lineRule="auto"/>
        <w:rPr>
          <w:noProof/>
          <w:sz w:val="20"/>
          <w:szCs w:val="20"/>
          <w:lang w:val="lv-LV" w:eastAsia="lv-LV"/>
        </w:rPr>
      </w:pPr>
      <w:r w:rsidRPr="00D24E6F">
        <w:rPr>
          <w:noProof/>
          <w:szCs w:val="20"/>
          <w:lang w:val="lv-LV" w:eastAsia="lv-LV"/>
        </w:rPr>
        <w:drawing>
          <wp:inline distT="0" distB="0" distL="0" distR="0">
            <wp:extent cx="4342941" cy="2696400"/>
            <wp:effectExtent l="19050" t="0" r="459"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 cstate="print"/>
                    <a:srcRect/>
                    <a:stretch>
                      <a:fillRect/>
                    </a:stretch>
                  </pic:blipFill>
                  <pic:spPr bwMode="auto">
                    <a:xfrm>
                      <a:off x="0" y="0"/>
                      <a:ext cx="4342941" cy="2696400"/>
                    </a:xfrm>
                    <a:prstGeom prst="rect">
                      <a:avLst/>
                    </a:prstGeom>
                    <a:noFill/>
                    <a:ln w="9525">
                      <a:noFill/>
                      <a:miter lim="800000"/>
                      <a:headEnd/>
                      <a:tailEnd/>
                    </a:ln>
                  </pic:spPr>
                </pic:pic>
              </a:graphicData>
            </a:graphic>
          </wp:inline>
        </w:drawing>
      </w:r>
    </w:p>
    <w:p w:rsidR="00DB1A11" w:rsidRPr="009179E5" w:rsidRDefault="00B825A0" w:rsidP="00574AC8">
      <w:pPr>
        <w:spacing w:before="120" w:after="120" w:line="240" w:lineRule="auto"/>
        <w:jc w:val="both"/>
        <w:rPr>
          <w:rFonts w:ascii="Times New Roman" w:hAnsi="Times New Roman"/>
          <w:b/>
          <w:noProof/>
          <w:sz w:val="24"/>
          <w:szCs w:val="24"/>
          <w:lang w:val="lv-LV" w:eastAsia="lv-LV"/>
        </w:rPr>
      </w:pPr>
      <w:r w:rsidRPr="009179E5">
        <w:rPr>
          <w:rFonts w:ascii="Times New Roman" w:hAnsi="Times New Roman"/>
          <w:b/>
          <w:noProof/>
          <w:sz w:val="24"/>
          <w:szCs w:val="24"/>
          <w:lang w:val="lv-LV" w:eastAsia="lv-LV"/>
        </w:rPr>
        <w:t>6.</w:t>
      </w:r>
      <w:r w:rsidR="00382431" w:rsidRPr="009179E5">
        <w:rPr>
          <w:rFonts w:ascii="Times New Roman" w:hAnsi="Times New Roman"/>
          <w:b/>
          <w:noProof/>
          <w:sz w:val="24"/>
          <w:szCs w:val="24"/>
          <w:lang w:val="lv-LV" w:eastAsia="lv-LV"/>
        </w:rPr>
        <w:t>attēls</w:t>
      </w:r>
      <w:r w:rsidR="00DB1A11" w:rsidRPr="009179E5">
        <w:rPr>
          <w:rFonts w:ascii="Times New Roman" w:hAnsi="Times New Roman"/>
          <w:b/>
          <w:noProof/>
          <w:sz w:val="24"/>
          <w:szCs w:val="24"/>
          <w:lang w:val="lv-LV" w:eastAsia="lv-LV"/>
        </w:rPr>
        <w:t>. Pārv</w:t>
      </w:r>
      <w:r w:rsidR="00781143">
        <w:rPr>
          <w:rFonts w:ascii="Times New Roman" w:hAnsi="Times New Roman"/>
          <w:b/>
          <w:noProof/>
          <w:sz w:val="24"/>
          <w:szCs w:val="24"/>
          <w:lang w:val="lv-LV" w:eastAsia="lv-LV"/>
        </w:rPr>
        <w:t>eidošanas sektora struktūra 2009</w:t>
      </w:r>
      <w:r w:rsidR="00DB1A11" w:rsidRPr="009179E5">
        <w:rPr>
          <w:rFonts w:ascii="Times New Roman" w:hAnsi="Times New Roman"/>
          <w:b/>
          <w:noProof/>
          <w:sz w:val="24"/>
          <w:szCs w:val="24"/>
          <w:lang w:val="lv-LV" w:eastAsia="lv-LV"/>
        </w:rPr>
        <w:t>.gadā</w:t>
      </w:r>
      <w:r w:rsidR="00BF45E3" w:rsidRPr="009179E5">
        <w:rPr>
          <w:rFonts w:ascii="Times New Roman" w:hAnsi="Times New Roman"/>
          <w:b/>
          <w:noProof/>
          <w:sz w:val="24"/>
          <w:szCs w:val="24"/>
          <w:lang w:val="lv-LV" w:eastAsia="lv-LV"/>
        </w:rPr>
        <w:t xml:space="preserve"> (Avots: CSP)</w:t>
      </w:r>
    </w:p>
    <w:p w:rsidR="00DB1A11" w:rsidRPr="009179E5" w:rsidRDefault="00D24E6F" w:rsidP="001009B1">
      <w:pPr>
        <w:spacing w:before="120" w:after="120" w:line="240" w:lineRule="auto"/>
        <w:rPr>
          <w:b/>
          <w:noProof/>
          <w:sz w:val="20"/>
          <w:szCs w:val="20"/>
          <w:lang w:val="lv-LV" w:eastAsia="lv-LV"/>
        </w:rPr>
      </w:pPr>
      <w:r w:rsidRPr="00D24E6F">
        <w:rPr>
          <w:noProof/>
          <w:szCs w:val="20"/>
          <w:lang w:val="lv-LV" w:eastAsia="lv-LV"/>
        </w:rPr>
        <w:drawing>
          <wp:inline distT="0" distB="0" distL="0" distR="0">
            <wp:extent cx="4342941" cy="2696400"/>
            <wp:effectExtent l="19050" t="0" r="459"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 cstate="print"/>
                    <a:srcRect/>
                    <a:stretch>
                      <a:fillRect/>
                    </a:stretch>
                  </pic:blipFill>
                  <pic:spPr bwMode="auto">
                    <a:xfrm>
                      <a:off x="0" y="0"/>
                      <a:ext cx="4342941" cy="2696400"/>
                    </a:xfrm>
                    <a:prstGeom prst="rect">
                      <a:avLst/>
                    </a:prstGeom>
                    <a:noFill/>
                    <a:ln w="9525">
                      <a:noFill/>
                      <a:miter lim="800000"/>
                      <a:headEnd/>
                      <a:tailEnd/>
                    </a:ln>
                  </pic:spPr>
                </pic:pic>
              </a:graphicData>
            </a:graphic>
          </wp:inline>
        </w:drawing>
      </w:r>
    </w:p>
    <w:p w:rsidR="00DB1A11" w:rsidRPr="009179E5" w:rsidRDefault="00B825A0" w:rsidP="00574AC8">
      <w:pPr>
        <w:spacing w:before="120" w:after="120" w:line="240" w:lineRule="auto"/>
        <w:jc w:val="both"/>
        <w:rPr>
          <w:rFonts w:ascii="Times New Roman" w:hAnsi="Times New Roman"/>
          <w:b/>
          <w:sz w:val="24"/>
          <w:szCs w:val="24"/>
          <w:lang w:val="lv-LV"/>
        </w:rPr>
      </w:pPr>
      <w:r w:rsidRPr="009179E5">
        <w:rPr>
          <w:rFonts w:ascii="Times New Roman" w:hAnsi="Times New Roman"/>
          <w:b/>
          <w:noProof/>
          <w:sz w:val="24"/>
          <w:szCs w:val="24"/>
          <w:lang w:val="lv-LV" w:eastAsia="lv-LV"/>
        </w:rPr>
        <w:t>7.</w:t>
      </w:r>
      <w:r w:rsidR="00382431" w:rsidRPr="009179E5">
        <w:rPr>
          <w:rFonts w:ascii="Times New Roman" w:hAnsi="Times New Roman"/>
          <w:b/>
          <w:noProof/>
          <w:sz w:val="24"/>
          <w:szCs w:val="24"/>
          <w:lang w:val="lv-LV" w:eastAsia="lv-LV"/>
        </w:rPr>
        <w:t>attēls</w:t>
      </w:r>
      <w:r w:rsidR="00DB1A11" w:rsidRPr="009179E5">
        <w:rPr>
          <w:rFonts w:ascii="Times New Roman" w:hAnsi="Times New Roman"/>
          <w:b/>
          <w:noProof/>
          <w:sz w:val="24"/>
          <w:szCs w:val="24"/>
          <w:lang w:val="lv-LV" w:eastAsia="lv-LV"/>
        </w:rPr>
        <w:t xml:space="preserve">. Pārveidošanas </w:t>
      </w:r>
      <w:r w:rsidR="0079475E" w:rsidRPr="009179E5">
        <w:rPr>
          <w:rFonts w:ascii="Times New Roman" w:hAnsi="Times New Roman"/>
          <w:b/>
          <w:noProof/>
          <w:sz w:val="24"/>
          <w:szCs w:val="24"/>
          <w:lang w:val="lv-LV" w:eastAsia="lv-LV"/>
        </w:rPr>
        <w:t>s</w:t>
      </w:r>
      <w:r w:rsidR="00781143">
        <w:rPr>
          <w:rFonts w:ascii="Times New Roman" w:hAnsi="Times New Roman"/>
          <w:b/>
          <w:noProof/>
          <w:sz w:val="24"/>
          <w:szCs w:val="24"/>
          <w:lang w:val="lv-LV" w:eastAsia="lv-LV"/>
        </w:rPr>
        <w:t>ektora struktūra 2010</w:t>
      </w:r>
      <w:r w:rsidR="00DB1A11" w:rsidRPr="009179E5">
        <w:rPr>
          <w:rFonts w:ascii="Times New Roman" w:hAnsi="Times New Roman"/>
          <w:b/>
          <w:noProof/>
          <w:sz w:val="24"/>
          <w:szCs w:val="24"/>
          <w:lang w:val="lv-LV" w:eastAsia="lv-LV"/>
        </w:rPr>
        <w:t>.gadā</w:t>
      </w:r>
      <w:r w:rsidR="00BF45E3" w:rsidRPr="009179E5">
        <w:rPr>
          <w:rFonts w:ascii="Times New Roman" w:hAnsi="Times New Roman"/>
          <w:b/>
          <w:noProof/>
          <w:sz w:val="24"/>
          <w:szCs w:val="24"/>
          <w:lang w:val="lv-LV" w:eastAsia="lv-LV"/>
        </w:rPr>
        <w:t xml:space="preserve"> (Avots: CSP)</w:t>
      </w:r>
    </w:p>
    <w:p w:rsidR="00781143" w:rsidRPr="009179E5" w:rsidRDefault="00773EBA" w:rsidP="00781143">
      <w:pPr>
        <w:pStyle w:val="BodyText0"/>
        <w:spacing w:after="0"/>
        <w:jc w:val="both"/>
        <w:rPr>
          <w:sz w:val="28"/>
          <w:szCs w:val="28"/>
        </w:rPr>
      </w:pPr>
      <w:r w:rsidRPr="009179E5">
        <w:rPr>
          <w:sz w:val="28"/>
          <w:szCs w:val="28"/>
        </w:rPr>
        <w:t xml:space="preserve">Latvijas primāro resursu patēriņu nodrošina vietējie un atjaunojamie energoresursi – kurināmā koksne, kokogles, kūdra, salmi, hidroresursi, vējš, biogāze, biodegvielas, atkritumi un importētie energoresursi – naftas produkti, dabasgāze, akmeņogles, elektroenerģija u.c.. Šobrīd Latvijas primāro resursu </w:t>
      </w:r>
      <w:r w:rsidRPr="009179E5">
        <w:rPr>
          <w:sz w:val="28"/>
          <w:szCs w:val="28"/>
        </w:rPr>
        <w:lastRenderedPageBreak/>
        <w:t xml:space="preserve">piegādē dominē trīs energoresursu veidi, kas aizņem apmēram vienādas daļas – naftas produkti (galvenokārt benzīns un dīzeļdegviela), dabasgāze un koksne. Latvija, tāpat kā daudzas citas ES valstis, ir atkarīga no primāro resursu importa. </w:t>
      </w:r>
      <w:r w:rsidR="00781143" w:rsidRPr="003B66D9">
        <w:rPr>
          <w:sz w:val="28"/>
          <w:szCs w:val="28"/>
        </w:rPr>
        <w:t>Tomēr Latvijai šī atkarība pēdējos 20 gados ir samazinājusies no 86% 1990.gadā līdz 70% 2010.gadā, galvenokārt, palielinoties koksnes resursu izmantošanai.</w:t>
      </w:r>
    </w:p>
    <w:p w:rsidR="00773EBA" w:rsidRPr="009179E5" w:rsidRDefault="00773EBA" w:rsidP="00773EBA">
      <w:pPr>
        <w:pStyle w:val="BodyText0"/>
        <w:spacing w:after="0"/>
        <w:jc w:val="both"/>
        <w:rPr>
          <w:sz w:val="28"/>
          <w:szCs w:val="28"/>
        </w:rPr>
      </w:pPr>
    </w:p>
    <w:p w:rsidR="00773EBA" w:rsidRPr="009179E5" w:rsidRDefault="00773EBA" w:rsidP="00773EBA">
      <w:pPr>
        <w:pStyle w:val="ListBullet"/>
        <w:rPr>
          <w:u w:color="FFCC66"/>
        </w:rPr>
      </w:pPr>
      <w:r w:rsidRPr="009179E5">
        <w:rPr>
          <w:u w:color="FFCC66"/>
        </w:rPr>
        <w:t>Attiecībā uz primārās enerģijas ietaupījumu Pamatnostādnes paredz, ka:</w:t>
      </w:r>
    </w:p>
    <w:p w:rsidR="00773EBA" w:rsidRPr="009179E5" w:rsidRDefault="00773EBA" w:rsidP="006C20CE">
      <w:pPr>
        <w:pStyle w:val="ListBullet"/>
        <w:numPr>
          <w:ilvl w:val="0"/>
          <w:numId w:val="13"/>
        </w:numPr>
        <w:rPr>
          <w:rStyle w:val="Strong"/>
          <w:b w:val="0"/>
          <w:bCs w:val="0"/>
          <w:sz w:val="24"/>
          <w:szCs w:val="24"/>
          <w:u w:val="none"/>
        </w:rPr>
      </w:pPr>
      <w:r w:rsidRPr="009179E5">
        <w:rPr>
          <w:rStyle w:val="Strong"/>
          <w:b w:val="0"/>
          <w:bCs w:val="0"/>
        </w:rPr>
        <w:t>siltumenerģijas ražošanas iekārtām vidējo efektivitātes līmeni valstī laika posmā līdz 2016. gadam jāpaaugstina no 68% līdz 80%-90% (2020.gadā plānots līdz 84%-90%);</w:t>
      </w:r>
    </w:p>
    <w:p w:rsidR="00773EBA" w:rsidRPr="009179E5" w:rsidRDefault="00773EBA" w:rsidP="006C20CE">
      <w:pPr>
        <w:pStyle w:val="ListBullet"/>
        <w:numPr>
          <w:ilvl w:val="0"/>
          <w:numId w:val="13"/>
        </w:numPr>
        <w:rPr>
          <w:rStyle w:val="Strong"/>
          <w:b w:val="0"/>
          <w:bCs w:val="0"/>
          <w:sz w:val="24"/>
          <w:szCs w:val="24"/>
          <w:u w:val="none"/>
        </w:rPr>
      </w:pPr>
      <w:r w:rsidRPr="009179E5">
        <w:rPr>
          <w:rStyle w:val="Strong"/>
          <w:b w:val="0"/>
          <w:bCs w:val="0"/>
        </w:rPr>
        <w:t>vidējo siltumenerģijas zudumu līmeni siltumenerģijas pārvades un sadales tīklos jāsamazina no 17% uz 14% (2020.gadā plānots līdz 12%).</w:t>
      </w:r>
    </w:p>
    <w:p w:rsidR="0078130B" w:rsidRPr="009179E5" w:rsidRDefault="00C56089" w:rsidP="00574AC8">
      <w:pPr>
        <w:pStyle w:val="BodyText0"/>
        <w:spacing w:before="120"/>
        <w:jc w:val="both"/>
        <w:rPr>
          <w:bCs/>
          <w:sz w:val="28"/>
          <w:szCs w:val="28"/>
        </w:rPr>
      </w:pPr>
      <w:r w:rsidRPr="00C56089">
        <w:rPr>
          <w:bCs/>
          <w:noProof/>
          <w:sz w:val="28"/>
          <w:szCs w:val="28"/>
          <w:lang w:eastAsia="lv-LV"/>
        </w:rPr>
        <w:drawing>
          <wp:inline distT="0" distB="0" distL="0" distR="0">
            <wp:extent cx="5328000" cy="3117850"/>
            <wp:effectExtent l="19050" t="0" r="25050" b="635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8130B" w:rsidRPr="009179E5" w:rsidRDefault="009608FE" w:rsidP="00574AC8">
      <w:pPr>
        <w:pStyle w:val="BodyText0"/>
        <w:spacing w:before="120"/>
        <w:jc w:val="both"/>
        <w:rPr>
          <w:b/>
          <w:bCs/>
        </w:rPr>
      </w:pPr>
      <w:r w:rsidRPr="009179E5">
        <w:rPr>
          <w:b/>
          <w:bCs/>
        </w:rPr>
        <w:t>8.attēls. Enerģija</w:t>
      </w:r>
      <w:r w:rsidR="005E7BC4">
        <w:rPr>
          <w:b/>
          <w:bCs/>
        </w:rPr>
        <w:t>s intensitāte no 2004. līdz 2010</w:t>
      </w:r>
      <w:r w:rsidRPr="009179E5">
        <w:rPr>
          <w:b/>
          <w:bCs/>
        </w:rPr>
        <w:t>.gadam (Avots: CSP)</w:t>
      </w:r>
    </w:p>
    <w:p w:rsidR="0078130B" w:rsidRDefault="008C3D56" w:rsidP="00574AC8">
      <w:pPr>
        <w:spacing w:before="120" w:after="120" w:line="240" w:lineRule="auto"/>
        <w:jc w:val="both"/>
        <w:rPr>
          <w:rStyle w:val="Strong"/>
          <w:rFonts w:ascii="Times New Roman" w:hAnsi="Times New Roman"/>
          <w:b w:val="0"/>
          <w:bCs w:val="0"/>
          <w:sz w:val="28"/>
          <w:szCs w:val="28"/>
          <w:lang w:val="lv-LV"/>
        </w:rPr>
      </w:pPr>
      <w:r w:rsidRPr="009179E5">
        <w:rPr>
          <w:rStyle w:val="Strong"/>
          <w:rFonts w:ascii="Times New Roman" w:hAnsi="Times New Roman"/>
          <w:b w:val="0"/>
          <w:bCs w:val="0"/>
          <w:sz w:val="28"/>
          <w:szCs w:val="28"/>
          <w:lang w:val="lv-LV"/>
        </w:rPr>
        <w:t>Ekonomiskās krīzes ie</w:t>
      </w:r>
      <w:r w:rsidR="00382431" w:rsidRPr="009179E5">
        <w:rPr>
          <w:rStyle w:val="Strong"/>
          <w:rFonts w:ascii="Times New Roman" w:hAnsi="Times New Roman"/>
          <w:b w:val="0"/>
          <w:bCs w:val="0"/>
          <w:sz w:val="28"/>
          <w:szCs w:val="28"/>
          <w:lang w:val="lv-LV"/>
        </w:rPr>
        <w:t>tekmē</w:t>
      </w:r>
      <w:r w:rsidRPr="009179E5">
        <w:rPr>
          <w:rStyle w:val="Strong"/>
          <w:rFonts w:ascii="Times New Roman" w:hAnsi="Times New Roman"/>
          <w:b w:val="0"/>
          <w:bCs w:val="0"/>
          <w:sz w:val="28"/>
          <w:szCs w:val="28"/>
          <w:lang w:val="lv-LV"/>
        </w:rPr>
        <w:t xml:space="preserve"> enerģijas intensitāte kā parādīts </w:t>
      </w:r>
      <w:r w:rsidR="00333E47" w:rsidRPr="009179E5">
        <w:rPr>
          <w:rStyle w:val="Strong"/>
          <w:rFonts w:ascii="Times New Roman" w:hAnsi="Times New Roman"/>
          <w:b w:val="0"/>
          <w:bCs w:val="0"/>
          <w:sz w:val="28"/>
          <w:szCs w:val="28"/>
          <w:lang w:val="lv-LV"/>
        </w:rPr>
        <w:t>8.</w:t>
      </w:r>
      <w:r w:rsidR="00E81099" w:rsidRPr="009179E5">
        <w:rPr>
          <w:rStyle w:val="Strong"/>
          <w:rFonts w:ascii="Times New Roman" w:hAnsi="Times New Roman"/>
          <w:b w:val="0"/>
          <w:bCs w:val="0"/>
          <w:sz w:val="28"/>
          <w:szCs w:val="28"/>
          <w:lang w:val="lv-LV"/>
        </w:rPr>
        <w:t>attēlā</w:t>
      </w:r>
      <w:r w:rsidRPr="009179E5">
        <w:rPr>
          <w:rStyle w:val="Strong"/>
          <w:rFonts w:ascii="Times New Roman" w:hAnsi="Times New Roman"/>
          <w:b w:val="0"/>
          <w:bCs w:val="0"/>
          <w:sz w:val="28"/>
          <w:szCs w:val="28"/>
          <w:lang w:val="lv-LV"/>
        </w:rPr>
        <w:t xml:space="preserve"> </w:t>
      </w:r>
      <w:r w:rsidR="0078130B" w:rsidRPr="009179E5">
        <w:rPr>
          <w:rStyle w:val="Strong"/>
          <w:rFonts w:ascii="Times New Roman" w:hAnsi="Times New Roman"/>
          <w:b w:val="0"/>
          <w:bCs w:val="0"/>
          <w:sz w:val="28"/>
          <w:szCs w:val="28"/>
          <w:lang w:val="lv-LV"/>
        </w:rPr>
        <w:t>p</w:t>
      </w:r>
      <w:r w:rsidR="00333E47" w:rsidRPr="009179E5">
        <w:rPr>
          <w:rStyle w:val="Strong"/>
          <w:rFonts w:ascii="Times New Roman" w:hAnsi="Times New Roman"/>
          <w:b w:val="0"/>
          <w:bCs w:val="0"/>
          <w:sz w:val="28"/>
          <w:szCs w:val="28"/>
          <w:lang w:val="lv-LV"/>
        </w:rPr>
        <w:t>ēc pakāpeniskas samazināšanās</w:t>
      </w:r>
      <w:r w:rsidRPr="009179E5">
        <w:rPr>
          <w:rStyle w:val="Strong"/>
          <w:rFonts w:ascii="Times New Roman" w:hAnsi="Times New Roman"/>
          <w:b w:val="0"/>
          <w:bCs w:val="0"/>
          <w:sz w:val="28"/>
          <w:szCs w:val="28"/>
          <w:lang w:val="lv-LV"/>
        </w:rPr>
        <w:t xml:space="preserve"> </w:t>
      </w:r>
      <w:r w:rsidR="0078130B" w:rsidRPr="009179E5">
        <w:rPr>
          <w:rStyle w:val="Strong"/>
          <w:rFonts w:ascii="Times New Roman" w:hAnsi="Times New Roman"/>
          <w:b w:val="0"/>
          <w:bCs w:val="0"/>
          <w:sz w:val="28"/>
          <w:szCs w:val="28"/>
          <w:lang w:val="lv-LV"/>
        </w:rPr>
        <w:t xml:space="preserve">laikā no 2004. līdz 2007.gadam, </w:t>
      </w:r>
      <w:r w:rsidR="00333E47" w:rsidRPr="009179E5">
        <w:rPr>
          <w:rStyle w:val="Strong"/>
          <w:rFonts w:ascii="Times New Roman" w:hAnsi="Times New Roman"/>
          <w:b w:val="0"/>
          <w:bCs w:val="0"/>
          <w:sz w:val="28"/>
          <w:szCs w:val="28"/>
          <w:lang w:val="lv-LV"/>
        </w:rPr>
        <w:t xml:space="preserve">no </w:t>
      </w:r>
      <w:r w:rsidR="0078130B" w:rsidRPr="009179E5">
        <w:rPr>
          <w:rStyle w:val="Strong"/>
          <w:rFonts w:ascii="Times New Roman" w:hAnsi="Times New Roman"/>
          <w:b w:val="0"/>
          <w:bCs w:val="0"/>
          <w:sz w:val="28"/>
          <w:szCs w:val="28"/>
          <w:lang w:val="lv-LV"/>
        </w:rPr>
        <w:t>2008.gad</w:t>
      </w:r>
      <w:r w:rsidR="00333E47" w:rsidRPr="009179E5">
        <w:rPr>
          <w:rStyle w:val="Strong"/>
          <w:rFonts w:ascii="Times New Roman" w:hAnsi="Times New Roman"/>
          <w:b w:val="0"/>
          <w:bCs w:val="0"/>
          <w:sz w:val="28"/>
          <w:szCs w:val="28"/>
          <w:lang w:val="lv-LV"/>
        </w:rPr>
        <w:t>a</w:t>
      </w:r>
      <w:r w:rsidR="0078130B" w:rsidRPr="009179E5">
        <w:rPr>
          <w:rStyle w:val="Strong"/>
          <w:rFonts w:ascii="Times New Roman" w:hAnsi="Times New Roman"/>
          <w:b w:val="0"/>
          <w:bCs w:val="0"/>
          <w:sz w:val="28"/>
          <w:szCs w:val="28"/>
          <w:lang w:val="lv-LV"/>
        </w:rPr>
        <w:t xml:space="preserve"> sāk pieaugt. </w:t>
      </w:r>
    </w:p>
    <w:p w:rsidR="00B23BF1" w:rsidRDefault="00B23BF1" w:rsidP="00574AC8">
      <w:pPr>
        <w:spacing w:before="120" w:after="120" w:line="240" w:lineRule="auto"/>
        <w:jc w:val="both"/>
        <w:rPr>
          <w:rStyle w:val="Strong"/>
          <w:rFonts w:ascii="Times New Roman" w:hAnsi="Times New Roman"/>
          <w:b w:val="0"/>
          <w:bCs w:val="0"/>
          <w:sz w:val="28"/>
          <w:szCs w:val="28"/>
          <w:lang w:val="lv-LV"/>
        </w:rPr>
      </w:pPr>
    </w:p>
    <w:p w:rsidR="004F7F14" w:rsidRPr="009179E5" w:rsidRDefault="004F7F14" w:rsidP="00574AC8">
      <w:pPr>
        <w:pStyle w:val="BodyText0"/>
        <w:spacing w:before="120"/>
        <w:jc w:val="both"/>
        <w:rPr>
          <w:sz w:val="28"/>
          <w:szCs w:val="28"/>
        </w:rPr>
      </w:pPr>
    </w:p>
    <w:p w:rsidR="00DB1A11" w:rsidRPr="009179E5" w:rsidRDefault="00C8073B" w:rsidP="00487A66">
      <w:pPr>
        <w:pStyle w:val="Heading4"/>
        <w:numPr>
          <w:ilvl w:val="0"/>
          <w:numId w:val="0"/>
        </w:numPr>
        <w:spacing w:line="240" w:lineRule="auto"/>
        <w:jc w:val="center"/>
        <w:rPr>
          <w:rFonts w:ascii="Times New Roman Bold" w:hAnsi="Times New Roman Bold"/>
          <w:b/>
          <w:i w:val="0"/>
          <w:caps/>
          <w:color w:val="auto"/>
          <w:sz w:val="28"/>
          <w:u w:val="none"/>
          <w:lang w:val="lv-LV"/>
        </w:rPr>
      </w:pPr>
      <w:bookmarkStart w:id="7" w:name="_Toc300320557"/>
      <w:r w:rsidRPr="009179E5">
        <w:rPr>
          <w:rFonts w:ascii="Times New Roman Bold" w:hAnsi="Times New Roman Bold"/>
          <w:b/>
          <w:i w:val="0"/>
          <w:caps/>
          <w:color w:val="auto"/>
          <w:sz w:val="28"/>
          <w:u w:val="none"/>
          <w:lang w:val="lv-LV"/>
        </w:rPr>
        <w:lastRenderedPageBreak/>
        <w:t>2.1</w:t>
      </w:r>
      <w:r w:rsidR="00487A66" w:rsidRPr="009179E5">
        <w:rPr>
          <w:rFonts w:ascii="Times New Roman Bold" w:hAnsi="Times New Roman Bold"/>
          <w:b/>
          <w:i w:val="0"/>
          <w:caps/>
          <w:color w:val="auto"/>
          <w:sz w:val="28"/>
          <w:u w:val="none"/>
          <w:lang w:val="lv-LV"/>
        </w:rPr>
        <w:t>.</w:t>
      </w:r>
      <w:r w:rsidR="0048042E" w:rsidRPr="009179E5">
        <w:rPr>
          <w:rFonts w:ascii="Times New Roman Bold" w:hAnsi="Times New Roman Bold"/>
          <w:b/>
          <w:i w:val="0"/>
          <w:caps/>
          <w:color w:val="auto"/>
          <w:sz w:val="28"/>
          <w:u w:val="none"/>
          <w:lang w:val="lv-LV"/>
        </w:rPr>
        <w:t xml:space="preserve"> </w:t>
      </w:r>
      <w:r w:rsidR="00DB1A11" w:rsidRPr="009179E5">
        <w:rPr>
          <w:rFonts w:ascii="Times New Roman Bold" w:hAnsi="Times New Roman Bold"/>
          <w:b/>
          <w:i w:val="0"/>
          <w:caps/>
          <w:color w:val="auto"/>
          <w:sz w:val="28"/>
          <w:u w:val="none"/>
          <w:lang w:val="lv-LV"/>
        </w:rPr>
        <w:t>Pasākumi primārās enerģijas ietaupījumu sasniegšanai (vispārīgs apraksts)</w:t>
      </w:r>
      <w:bookmarkEnd w:id="7"/>
    </w:p>
    <w:p w:rsidR="00DB1A11" w:rsidRPr="009179E5" w:rsidRDefault="00333E47" w:rsidP="0001273E">
      <w:pPr>
        <w:pStyle w:val="BodyText0"/>
        <w:spacing w:before="120"/>
        <w:jc w:val="both"/>
        <w:rPr>
          <w:sz w:val="28"/>
          <w:szCs w:val="28"/>
          <w:u w:color="FFCC66"/>
        </w:rPr>
      </w:pPr>
      <w:r w:rsidRPr="009179E5">
        <w:rPr>
          <w:sz w:val="28"/>
          <w:szCs w:val="28"/>
          <w:u w:color="FFCC66"/>
        </w:rPr>
        <w:t xml:space="preserve">Lai </w:t>
      </w:r>
      <w:r w:rsidR="00382431" w:rsidRPr="009179E5">
        <w:rPr>
          <w:sz w:val="28"/>
          <w:szCs w:val="28"/>
          <w:u w:color="FFCC66"/>
        </w:rPr>
        <w:t>īstenotu</w:t>
      </w:r>
      <w:r w:rsidRPr="009179E5">
        <w:rPr>
          <w:sz w:val="28"/>
          <w:szCs w:val="28"/>
          <w:u w:color="FFCC66"/>
        </w:rPr>
        <w:t xml:space="preserve"> energoefektivitātes paaugstināšanas pasākumus,</w:t>
      </w:r>
      <w:r w:rsidR="00DB1A11" w:rsidRPr="009179E5">
        <w:rPr>
          <w:sz w:val="28"/>
          <w:szCs w:val="28"/>
          <w:u w:color="FFCC66"/>
        </w:rPr>
        <w:t xml:space="preserve"> pašlaik tiek </w:t>
      </w:r>
      <w:r w:rsidR="00D009C9" w:rsidRPr="009179E5">
        <w:rPr>
          <w:sz w:val="28"/>
          <w:szCs w:val="28"/>
          <w:u w:color="FFCC66"/>
        </w:rPr>
        <w:t>īstenotas</w:t>
      </w:r>
      <w:r w:rsidR="00DB1A11" w:rsidRPr="009179E5">
        <w:rPr>
          <w:sz w:val="28"/>
          <w:szCs w:val="28"/>
          <w:u w:color="FFCC66"/>
        </w:rPr>
        <w:t xml:space="preserve"> siltumapgādes sistēmu modernizācijas programmas ar Eiropas Savienības struktūrfondu un Kohēzijas fondu atbalstu, kā arī Klimata pārmaiņu finanšu instrumenta finanšu līdzekļu piesaistīšanu. Plānots šo programmu finanšu</w:t>
      </w:r>
      <w:r w:rsidRPr="009179E5">
        <w:rPr>
          <w:sz w:val="28"/>
          <w:szCs w:val="28"/>
          <w:u w:color="FFCC66"/>
        </w:rPr>
        <w:t xml:space="preserve"> līdzekļus izmantot arī turpmāk, vismaz līdz 2013.gadam.</w:t>
      </w:r>
    </w:p>
    <w:p w:rsidR="00DB1A11" w:rsidRPr="009179E5" w:rsidRDefault="00DB1A11" w:rsidP="0001273E">
      <w:pPr>
        <w:pStyle w:val="Default"/>
        <w:spacing w:before="120" w:after="120"/>
        <w:jc w:val="both"/>
        <w:rPr>
          <w:sz w:val="28"/>
          <w:szCs w:val="28"/>
        </w:rPr>
      </w:pPr>
      <w:r w:rsidRPr="009179E5">
        <w:rPr>
          <w:sz w:val="28"/>
          <w:szCs w:val="28"/>
          <w:u w:color="FFCC66"/>
        </w:rPr>
        <w:t xml:space="preserve">Darbības programma „Infrastruktūra un pakalpojumi” nodrošina </w:t>
      </w:r>
      <w:r w:rsidRPr="009179E5">
        <w:rPr>
          <w:sz w:val="28"/>
          <w:szCs w:val="28"/>
        </w:rPr>
        <w:t xml:space="preserve">papildinošo atbalstu transporta, vides un energoefektivitātes jomās, atbalstot reģionālās nozīmes transporta tīklu attīstību, mazāka mēroga vides projektu īstenošanu, kā arī mājokļa energoefektivitāti. </w:t>
      </w:r>
    </w:p>
    <w:p w:rsidR="00382431" w:rsidRPr="009179E5" w:rsidRDefault="00DB1A11" w:rsidP="0001273E">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Energoefektivitātes paaugstināšanas tempus centralizētajā siltumapgādē </w:t>
      </w:r>
      <w:r w:rsidR="003A0D7C" w:rsidRPr="009179E5">
        <w:rPr>
          <w:rFonts w:ascii="Times New Roman" w:hAnsi="Times New Roman"/>
          <w:sz w:val="28"/>
          <w:szCs w:val="28"/>
          <w:lang w:val="lv-LV"/>
        </w:rPr>
        <w:t>kavē</w:t>
      </w:r>
      <w:r w:rsidRPr="009179E5">
        <w:rPr>
          <w:rFonts w:ascii="Times New Roman" w:hAnsi="Times New Roman"/>
          <w:sz w:val="28"/>
          <w:szCs w:val="28"/>
          <w:lang w:val="lv-LV"/>
        </w:rPr>
        <w:t xml:space="preserve"> nepieciešam</w:t>
      </w:r>
      <w:r w:rsidR="003A0D7C" w:rsidRPr="009179E5">
        <w:rPr>
          <w:rFonts w:ascii="Times New Roman" w:hAnsi="Times New Roman"/>
          <w:sz w:val="28"/>
          <w:szCs w:val="28"/>
          <w:lang w:val="lv-LV"/>
        </w:rPr>
        <w:t>ais</w:t>
      </w:r>
      <w:r w:rsidRPr="009179E5">
        <w:rPr>
          <w:rFonts w:ascii="Times New Roman" w:hAnsi="Times New Roman"/>
          <w:sz w:val="28"/>
          <w:szCs w:val="28"/>
          <w:lang w:val="lv-LV"/>
        </w:rPr>
        <w:t xml:space="preserve"> </w:t>
      </w:r>
      <w:r w:rsidR="003A0D7C" w:rsidRPr="009179E5">
        <w:rPr>
          <w:rFonts w:ascii="Times New Roman" w:hAnsi="Times New Roman"/>
          <w:sz w:val="28"/>
          <w:szCs w:val="28"/>
          <w:lang w:val="lv-LV"/>
        </w:rPr>
        <w:t xml:space="preserve">lielu </w:t>
      </w:r>
      <w:r w:rsidRPr="009179E5">
        <w:rPr>
          <w:rFonts w:ascii="Times New Roman" w:hAnsi="Times New Roman"/>
          <w:sz w:val="28"/>
          <w:szCs w:val="28"/>
          <w:lang w:val="lv-LV"/>
        </w:rPr>
        <w:t>investīciju</w:t>
      </w:r>
      <w:r w:rsidR="003A0D7C" w:rsidRPr="009179E5">
        <w:rPr>
          <w:rFonts w:ascii="Times New Roman" w:hAnsi="Times New Roman"/>
          <w:sz w:val="28"/>
          <w:szCs w:val="28"/>
          <w:lang w:val="lv-LV"/>
        </w:rPr>
        <w:t xml:space="preserve"> </w:t>
      </w:r>
      <w:r w:rsidRPr="009179E5">
        <w:rPr>
          <w:rFonts w:ascii="Times New Roman" w:hAnsi="Times New Roman"/>
          <w:sz w:val="28"/>
          <w:szCs w:val="28"/>
          <w:lang w:val="lv-LV"/>
        </w:rPr>
        <w:t xml:space="preserve">apjoms, pašvaldību ierobežotās spējas ņemt kredītu, kā arī lēnais kapitāla apgrozījuma ātrums. Šo iemeslu dēļ </w:t>
      </w:r>
      <w:r w:rsidR="009179E5" w:rsidRPr="009179E5">
        <w:rPr>
          <w:rFonts w:ascii="Times New Roman" w:hAnsi="Times New Roman"/>
          <w:sz w:val="28"/>
          <w:szCs w:val="28"/>
          <w:lang w:val="lv-LV"/>
        </w:rPr>
        <w:t>vēl aizvien</w:t>
      </w:r>
      <w:r w:rsidRPr="009179E5">
        <w:rPr>
          <w:rFonts w:ascii="Times New Roman" w:hAnsi="Times New Roman"/>
          <w:sz w:val="28"/>
          <w:szCs w:val="28"/>
          <w:lang w:val="lv-LV"/>
        </w:rPr>
        <w:t xml:space="preserve"> </w:t>
      </w:r>
      <w:r w:rsidR="00C36139" w:rsidRPr="009179E5">
        <w:rPr>
          <w:rFonts w:ascii="Times New Roman" w:hAnsi="Times New Roman"/>
          <w:sz w:val="28"/>
          <w:szCs w:val="28"/>
          <w:lang w:val="lv-LV"/>
        </w:rPr>
        <w:t xml:space="preserve">pašvaldībās </w:t>
      </w:r>
      <w:r w:rsidRPr="009179E5">
        <w:rPr>
          <w:rFonts w:ascii="Times New Roman" w:hAnsi="Times New Roman"/>
          <w:sz w:val="28"/>
          <w:szCs w:val="28"/>
          <w:lang w:val="lv-LV"/>
        </w:rPr>
        <w:t>tiek darbinātas neefektīvas iekārtas, kas rada paaugstinātu kurināmā pārtēriņu un nespēj nodrošināt siltuma apgādi nepieciešamā kvalitātē. Veicot kompleksu sistēmas atjaunošanu, iespējams optimizēt enerģijas ražošanas procesu un samazināt siltumenerģijas zudumus pārvades sistēmās.</w:t>
      </w:r>
    </w:p>
    <w:p w:rsidR="007A2876" w:rsidRPr="009179E5" w:rsidRDefault="005D5C68" w:rsidP="0001273E">
      <w:pPr>
        <w:spacing w:line="240" w:lineRule="auto"/>
        <w:jc w:val="both"/>
        <w:rPr>
          <w:rFonts w:ascii="Times New Roman" w:hAnsi="Times New Roman"/>
          <w:color w:val="000000"/>
          <w:sz w:val="28"/>
          <w:szCs w:val="28"/>
          <w:lang w:val="lv-LV" w:eastAsia="lv-LV"/>
        </w:rPr>
      </w:pPr>
      <w:r w:rsidRPr="009179E5">
        <w:rPr>
          <w:rFonts w:ascii="Times New Roman" w:eastAsia="Calibri" w:hAnsi="Times New Roman"/>
          <w:color w:val="000000"/>
          <w:sz w:val="28"/>
          <w:szCs w:val="28"/>
          <w:lang w:val="lv-LV" w:eastAsia="lv-LV"/>
        </w:rPr>
        <w:t xml:space="preserve">Energoefektivitātes paaugstināšanas pasākumi elektroenerģijas un dabas gāzes pārvadē un sadalē 2.EERP netiek iekļauti, bet dots tikai vispārējs ieskats. </w:t>
      </w:r>
      <w:r w:rsidR="009B650A" w:rsidRPr="009179E5">
        <w:rPr>
          <w:rFonts w:ascii="Times New Roman" w:hAnsi="Times New Roman"/>
          <w:color w:val="000000"/>
          <w:sz w:val="28"/>
          <w:szCs w:val="28"/>
          <w:lang w:val="lv-LV" w:eastAsia="lv-LV"/>
        </w:rPr>
        <w:t xml:space="preserve">Energoefektivitātes paaugstināšanas pasākumi elektroenerģijas pārvadē un sadalē ir noteikti koncerna „Latvenergo” meitassabiedrību </w:t>
      </w:r>
      <w:r w:rsidR="009B650A" w:rsidRPr="009179E5">
        <w:rPr>
          <w:rFonts w:ascii="Times New Roman" w:hAnsi="Times New Roman"/>
          <w:sz w:val="28"/>
          <w:szCs w:val="28"/>
          <w:lang w:val="lv-LV"/>
        </w:rPr>
        <w:t xml:space="preserve">AS ”Augstsprieguma tīkls” un AS ”Sadales tīkls” attīstības plānos, bet dabas gāzes </w:t>
      </w:r>
      <w:r w:rsidR="009B650A" w:rsidRPr="009179E5">
        <w:rPr>
          <w:rFonts w:ascii="Times New Roman" w:hAnsi="Times New Roman"/>
          <w:color w:val="000000"/>
          <w:sz w:val="28"/>
          <w:szCs w:val="28"/>
          <w:lang w:val="lv-LV" w:eastAsia="lv-LV"/>
        </w:rPr>
        <w:t>pārvades un sadales tīklos AS „Latvijas gāze” attīstības plānos.</w:t>
      </w:r>
    </w:p>
    <w:p w:rsidR="0001273E" w:rsidRPr="009179E5" w:rsidRDefault="0001273E" w:rsidP="0001273E">
      <w:pPr>
        <w:spacing w:line="240" w:lineRule="auto"/>
        <w:jc w:val="both"/>
        <w:rPr>
          <w:rFonts w:ascii="Times New Roman" w:hAnsi="Times New Roman"/>
          <w:color w:val="000000"/>
          <w:sz w:val="28"/>
          <w:szCs w:val="28"/>
          <w:lang w:val="lv-LV" w:eastAsia="lv-LV"/>
        </w:rPr>
      </w:pPr>
    </w:p>
    <w:p w:rsidR="00C8073B" w:rsidRDefault="00C8073B" w:rsidP="00C8073B">
      <w:pPr>
        <w:pStyle w:val="Heading4"/>
        <w:numPr>
          <w:ilvl w:val="0"/>
          <w:numId w:val="0"/>
        </w:numPr>
        <w:spacing w:line="240" w:lineRule="auto"/>
        <w:jc w:val="center"/>
        <w:rPr>
          <w:rFonts w:ascii="Times New Roman Bold" w:hAnsi="Times New Roman Bold"/>
          <w:b/>
          <w:i w:val="0"/>
          <w:caps/>
          <w:color w:val="auto"/>
          <w:sz w:val="28"/>
          <w:u w:val="none"/>
          <w:lang w:val="lv-LV"/>
        </w:rPr>
      </w:pPr>
      <w:bookmarkStart w:id="8" w:name="_Toc300320558"/>
      <w:r w:rsidRPr="009179E5">
        <w:rPr>
          <w:rFonts w:ascii="Times New Roman Bold" w:hAnsi="Times New Roman Bold"/>
          <w:b/>
          <w:i w:val="0"/>
          <w:caps/>
          <w:color w:val="auto"/>
          <w:sz w:val="28"/>
          <w:u w:val="none"/>
          <w:lang w:val="lv-LV"/>
        </w:rPr>
        <w:t>2.</w:t>
      </w:r>
      <w:r w:rsidR="0095197D" w:rsidRPr="009179E5">
        <w:rPr>
          <w:rFonts w:ascii="Times New Roman Bold" w:hAnsi="Times New Roman Bold"/>
          <w:b/>
          <w:i w:val="0"/>
          <w:caps/>
          <w:color w:val="auto"/>
          <w:sz w:val="28"/>
          <w:u w:val="none"/>
          <w:lang w:val="lv-LV"/>
        </w:rPr>
        <w:t>2</w:t>
      </w:r>
      <w:r w:rsidRPr="009179E5">
        <w:rPr>
          <w:rFonts w:ascii="Times New Roman Bold" w:hAnsi="Times New Roman Bold"/>
          <w:b/>
          <w:i w:val="0"/>
          <w:caps/>
          <w:color w:val="auto"/>
          <w:sz w:val="28"/>
          <w:u w:val="none"/>
          <w:lang w:val="lv-LV"/>
        </w:rPr>
        <w:t>.</w:t>
      </w:r>
      <w:r w:rsidR="0095197D" w:rsidRPr="009179E5">
        <w:rPr>
          <w:rFonts w:ascii="Times New Roman Bold" w:hAnsi="Times New Roman Bold"/>
          <w:b/>
          <w:i w:val="0"/>
          <w:caps/>
          <w:color w:val="auto"/>
          <w:sz w:val="28"/>
          <w:u w:val="none"/>
          <w:lang w:val="lv-LV"/>
        </w:rPr>
        <w:t xml:space="preserve"> </w:t>
      </w:r>
      <w:r w:rsidRPr="009179E5">
        <w:rPr>
          <w:rFonts w:ascii="Times New Roman Bold" w:hAnsi="Times New Roman Bold"/>
          <w:b/>
          <w:i w:val="0"/>
          <w:caps/>
          <w:color w:val="auto"/>
          <w:sz w:val="28"/>
          <w:u w:val="none"/>
          <w:lang w:val="lv-LV"/>
        </w:rPr>
        <w:t>ENERGOEFEKTIVITĀTES PASĀKUMI CENTRALIZĒTAJĀ SILTUMAPGĀDĒ</w:t>
      </w:r>
      <w:bookmarkEnd w:id="8"/>
    </w:p>
    <w:p w:rsidR="00F15FFB" w:rsidRPr="003B66D9" w:rsidRDefault="00F15FFB" w:rsidP="00F15FFB">
      <w:pPr>
        <w:autoSpaceDE w:val="0"/>
        <w:autoSpaceDN w:val="0"/>
        <w:adjustRightInd w:val="0"/>
        <w:spacing w:before="120" w:after="120" w:line="240" w:lineRule="auto"/>
        <w:jc w:val="both"/>
        <w:rPr>
          <w:rFonts w:ascii="Times New Roman" w:eastAsia="Calibri" w:hAnsi="Times New Roman"/>
          <w:color w:val="000000"/>
          <w:sz w:val="28"/>
          <w:szCs w:val="28"/>
          <w:lang w:val="lv-LV" w:eastAsia="lv-LV"/>
        </w:rPr>
      </w:pPr>
      <w:r w:rsidRPr="003B66D9">
        <w:rPr>
          <w:rFonts w:ascii="Times New Roman" w:eastAsia="Calibri" w:hAnsi="Times New Roman"/>
          <w:color w:val="000000"/>
          <w:sz w:val="28"/>
          <w:szCs w:val="28"/>
          <w:lang w:val="lv-LV" w:eastAsia="lv-LV"/>
        </w:rPr>
        <w:t xml:space="preserve">Latvijas klimatiskajos apstākļos siltumapgāde ir vitāli nozīmīga enerģētikas nozares sastāvdaļa. Aptuveni 22% no lietotājiem nepieciešamās siltumenerģijas tiek saražots centralizētās siltumapgādes sistēmās, savukārt 78% siltumenerģijas tiek saražots decentralizētās (lokālā un individuālā) siltumapgādes sistēmās (2009.gads, Eurostat). 2010.gadā aptuveni 71% no centralizētās siltumenerģijas galapatēriņa patērēja mājsaimniecības. </w:t>
      </w:r>
    </w:p>
    <w:p w:rsidR="00F15FFB" w:rsidRPr="003B66D9" w:rsidRDefault="00F15FFB" w:rsidP="00F15FFB">
      <w:pPr>
        <w:pStyle w:val="BodyText0"/>
        <w:spacing w:before="120"/>
        <w:jc w:val="both"/>
        <w:rPr>
          <w:sz w:val="28"/>
          <w:szCs w:val="28"/>
        </w:rPr>
      </w:pPr>
      <w:r w:rsidRPr="003B66D9">
        <w:rPr>
          <w:sz w:val="28"/>
          <w:szCs w:val="28"/>
        </w:rPr>
        <w:t xml:space="preserve">Latvijā patērētāju siltumapgāde tiek nodrošināta, izmantojot centralizētās siltumapgādes sistēmas, kā arī lokālo (rūpniecība, lauksaimniecība un pakalpojumu sektors) un individuālo (mājsaimniecības) siltumapgādi. Lokālajā un individuālajā siltumapgādē tiek uzskaitīti izmantotie primārie energoresursi. </w:t>
      </w:r>
    </w:p>
    <w:p w:rsidR="00F15FFB" w:rsidRPr="003B66D9" w:rsidRDefault="00F15FFB" w:rsidP="00F15FFB">
      <w:pPr>
        <w:pStyle w:val="BodyText0"/>
        <w:spacing w:before="120"/>
        <w:jc w:val="both"/>
        <w:rPr>
          <w:sz w:val="28"/>
          <w:szCs w:val="28"/>
        </w:rPr>
      </w:pPr>
      <w:r w:rsidRPr="003B66D9">
        <w:rPr>
          <w:sz w:val="28"/>
          <w:szCs w:val="28"/>
        </w:rPr>
        <w:lastRenderedPageBreak/>
        <w:t>Siltumenerģijas patēriņam centralizētās siltumapgādes sistēmās ir tendence samazināties energoefektivitātes pasākumu realizācijas ietekmē, kā arī notiekot atsevišķu objektu atslēgšanai no centralizētās siltumapgādes sistēmas</w:t>
      </w:r>
      <w:r w:rsidRPr="003B66D9">
        <w:rPr>
          <w:b/>
          <w:sz w:val="28"/>
          <w:szCs w:val="28"/>
        </w:rPr>
        <w:t>.</w:t>
      </w:r>
    </w:p>
    <w:p w:rsidR="00F15FFB" w:rsidRPr="003B66D9" w:rsidRDefault="00F15FFB" w:rsidP="00F15FFB">
      <w:pPr>
        <w:autoSpaceDE w:val="0"/>
        <w:autoSpaceDN w:val="0"/>
        <w:adjustRightInd w:val="0"/>
        <w:spacing w:before="120" w:after="120" w:line="240" w:lineRule="auto"/>
        <w:jc w:val="both"/>
        <w:rPr>
          <w:rFonts w:ascii="Times New Roman" w:eastAsia="Calibri" w:hAnsi="Times New Roman"/>
          <w:color w:val="000000"/>
          <w:sz w:val="28"/>
          <w:szCs w:val="28"/>
          <w:lang w:val="lv-LV" w:eastAsia="lv-LV"/>
        </w:rPr>
      </w:pPr>
      <w:r w:rsidRPr="003B66D9">
        <w:rPr>
          <w:rFonts w:ascii="Times New Roman" w:hAnsi="Times New Roman"/>
          <w:sz w:val="28"/>
          <w:szCs w:val="28"/>
          <w:lang w:val="lv-LV"/>
        </w:rPr>
        <w:t>Centralizētās siltumapgādes sistēmās Latvijā 2010. gadā tika saražoti 7962 GWh (28,7 PJ) siltumenerģijas un 53% no šī apjoma tika saražoti Rīgā.</w:t>
      </w:r>
      <w:r w:rsidRPr="003B66D9">
        <w:rPr>
          <w:rFonts w:ascii="Times New Roman" w:eastAsia="Calibri" w:hAnsi="Times New Roman"/>
          <w:color w:val="000000"/>
          <w:sz w:val="28"/>
          <w:szCs w:val="28"/>
          <w:lang w:val="lv-LV" w:eastAsia="lv-LV"/>
        </w:rPr>
        <w:t xml:space="preserve"> </w:t>
      </w:r>
    </w:p>
    <w:p w:rsidR="00F15FFB" w:rsidRPr="003B66D9" w:rsidRDefault="00F15FFB" w:rsidP="00F21DB1">
      <w:pPr>
        <w:spacing w:line="240" w:lineRule="auto"/>
        <w:jc w:val="both"/>
        <w:rPr>
          <w:rFonts w:ascii="Times New Roman" w:eastAsia="Calibri" w:hAnsi="Times New Roman"/>
          <w:sz w:val="28"/>
          <w:szCs w:val="28"/>
          <w:lang w:val="lv-LV"/>
        </w:rPr>
      </w:pPr>
      <w:r w:rsidRPr="003B66D9">
        <w:rPr>
          <w:rFonts w:ascii="Times New Roman" w:eastAsia="Calibri" w:hAnsi="Times New Roman"/>
          <w:sz w:val="28"/>
          <w:szCs w:val="28"/>
          <w:lang w:val="lv-LV"/>
        </w:rPr>
        <w:t>Lielākais siltumapgādes uzņēmums Latvijā ir AS „Rīgas Siltums”. Uzņēmuma ekspluatācijā esošo siltumtīklu kopgarums pieaudzis no 651,58 km 2005.gadā līdz 676,24 km 2010.gadā. Pēdējos piecos gados tika panākts modernu, rūpnieciski izolētu bezkanāla cauruļvadu būtisks īpatsvara pieaugums. Bezkanāla siltumtīklu garums 2009./2010. finanšu gadā bija 191,30 km, kas ir 28,3% no kopējā AS AS „Rīgas Siltums” piederošo siltumtīklu garuma. Bez tam siltumtīklu efektivitātes paaugstināšanai tika nomainīta siltumizolācija virszemes un ēku pagrabos izvietotiem siltumtīkliem, kā arī 157 siltumkamerās tika veikti kompensatoru, noslēgarmatūru un cauruļvadu siltumizolācijas darbi. Pēdējos gados veiktie energoefektivitātes pasākumi ļāvuši siltumenerģijas zudumus tīklos Rīgā samazināt līdz 13%.</w:t>
      </w:r>
    </w:p>
    <w:p w:rsidR="00F15FFB" w:rsidRPr="003B66D9" w:rsidRDefault="00F15FFB" w:rsidP="00F21DB1">
      <w:pPr>
        <w:spacing w:line="240" w:lineRule="auto"/>
        <w:jc w:val="both"/>
        <w:rPr>
          <w:rFonts w:ascii="Times New Roman" w:eastAsia="Calibri" w:hAnsi="Times New Roman"/>
          <w:sz w:val="28"/>
          <w:szCs w:val="28"/>
          <w:lang w:val="lv-LV"/>
        </w:rPr>
      </w:pPr>
      <w:r w:rsidRPr="003B66D9">
        <w:rPr>
          <w:rFonts w:ascii="Times New Roman" w:hAnsi="Times New Roman"/>
          <w:sz w:val="28"/>
          <w:szCs w:val="28"/>
        </w:rPr>
        <w:t>Līdz ar jauno koģenerācijas bloku ekspluatācijas uzsākšanu Rīgas centralizētās siltumapgādes sistēmā, vairāk kā 90% no patērētās siltumenerģijas pilsētā tiek saražota augsti efektīvas koģenerācijas procesā. Pārējo nepieciešamo siltumenerģijas apjomu saražo lokālie un individuālie ražotāji.</w:t>
      </w:r>
    </w:p>
    <w:p w:rsidR="00F15FFB" w:rsidRPr="003B66D9" w:rsidRDefault="00F15FFB" w:rsidP="00F15FFB">
      <w:pPr>
        <w:pStyle w:val="BodyText0"/>
        <w:spacing w:before="120"/>
        <w:jc w:val="both"/>
        <w:rPr>
          <w:sz w:val="28"/>
          <w:szCs w:val="28"/>
        </w:rPr>
      </w:pPr>
      <w:r w:rsidRPr="003B66D9">
        <w:rPr>
          <w:sz w:val="28"/>
          <w:szCs w:val="28"/>
        </w:rPr>
        <w:t>Centralizētās siltumapgādes patērētājus 2010. gadā raksturo šādi dati:</w:t>
      </w:r>
    </w:p>
    <w:p w:rsidR="00F15FFB" w:rsidRPr="003B66D9" w:rsidRDefault="00F15FFB" w:rsidP="00F15FFB">
      <w:pPr>
        <w:pStyle w:val="ListBullet"/>
        <w:numPr>
          <w:ilvl w:val="0"/>
          <w:numId w:val="15"/>
        </w:numPr>
        <w:spacing w:before="120" w:after="120"/>
      </w:pPr>
      <w:r w:rsidRPr="003B66D9">
        <w:t>Mājsaimniecības 4732 GWh  (17,0 PJ);</w:t>
      </w:r>
    </w:p>
    <w:p w:rsidR="00F15FFB" w:rsidRPr="003B66D9" w:rsidRDefault="00F15FFB" w:rsidP="00F15FFB">
      <w:pPr>
        <w:pStyle w:val="ListBullet"/>
        <w:numPr>
          <w:ilvl w:val="0"/>
          <w:numId w:val="15"/>
        </w:numPr>
        <w:spacing w:before="120" w:after="120"/>
      </w:pPr>
      <w:r w:rsidRPr="003B66D9">
        <w:t>Rūpniecība un būvniecība 108 GWh (0,4 PJ);</w:t>
      </w:r>
    </w:p>
    <w:p w:rsidR="00F15FFB" w:rsidRPr="003B66D9" w:rsidRDefault="00F15FFB" w:rsidP="00F15FFB">
      <w:pPr>
        <w:pStyle w:val="ListBullet"/>
        <w:numPr>
          <w:ilvl w:val="0"/>
          <w:numId w:val="15"/>
        </w:numPr>
        <w:spacing w:before="120" w:after="120"/>
      </w:pPr>
      <w:r w:rsidRPr="003B66D9">
        <w:t>Pārējie patērētāji 1896 GWh (6,8 PJ).</w:t>
      </w:r>
    </w:p>
    <w:p w:rsidR="00F15FFB" w:rsidRPr="003B66D9" w:rsidRDefault="00F15FFB" w:rsidP="00F15FFB">
      <w:pPr>
        <w:spacing w:before="120" w:after="120" w:line="240" w:lineRule="auto"/>
        <w:jc w:val="both"/>
        <w:rPr>
          <w:rFonts w:ascii="Times New Roman" w:hAnsi="Times New Roman"/>
          <w:sz w:val="28"/>
          <w:szCs w:val="28"/>
          <w:lang w:val="lv-LV"/>
        </w:rPr>
      </w:pPr>
      <w:r w:rsidRPr="003B66D9">
        <w:rPr>
          <w:rFonts w:ascii="Times New Roman" w:hAnsi="Times New Roman"/>
          <w:sz w:val="28"/>
          <w:szCs w:val="28"/>
          <w:lang w:val="lv-LV"/>
        </w:rPr>
        <w:t>Koģenerācijas stacijās 2010.gadā tika saražoti 4673 GWh (16,82 PJ) jeb 58,7%, bet katlumājās 3289 GWh (11,84 PJ) jeb 41,3% centralizētās siltumenerģijas.</w:t>
      </w:r>
    </w:p>
    <w:p w:rsidR="00F15FFB" w:rsidRPr="009179E5" w:rsidRDefault="00E70641" w:rsidP="00F15FFB">
      <w:pPr>
        <w:spacing w:before="120" w:after="120" w:line="240" w:lineRule="auto"/>
        <w:rPr>
          <w:noProof/>
          <w:sz w:val="20"/>
          <w:szCs w:val="20"/>
          <w:lang w:val="lv-LV" w:eastAsia="lv-LV"/>
        </w:rPr>
      </w:pPr>
      <w:r w:rsidRPr="00E70641">
        <w:rPr>
          <w:noProof/>
          <w:sz w:val="20"/>
          <w:szCs w:val="20"/>
          <w:lang w:val="lv-LV" w:eastAsia="lv-LV"/>
        </w:rPr>
        <w:lastRenderedPageBreak/>
        <w:drawing>
          <wp:inline distT="0" distB="0" distL="0" distR="0">
            <wp:extent cx="5490830" cy="3074400"/>
            <wp:effectExtent l="19050" t="0" r="14620" b="0"/>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15FFB" w:rsidRPr="009179E5" w:rsidRDefault="00F15FFB" w:rsidP="00F15FFB">
      <w:pPr>
        <w:spacing w:before="120" w:after="120" w:line="240" w:lineRule="auto"/>
        <w:jc w:val="both"/>
        <w:rPr>
          <w:rFonts w:ascii="Times New Roman" w:hAnsi="Times New Roman"/>
          <w:b/>
          <w:noProof/>
          <w:sz w:val="24"/>
          <w:szCs w:val="24"/>
          <w:lang w:val="lv-LV" w:eastAsia="lv-LV"/>
        </w:rPr>
      </w:pPr>
      <w:r w:rsidRPr="009179E5">
        <w:rPr>
          <w:rFonts w:ascii="Times New Roman" w:hAnsi="Times New Roman"/>
          <w:b/>
          <w:noProof/>
          <w:sz w:val="24"/>
          <w:szCs w:val="24"/>
          <w:lang w:val="lv-LV" w:eastAsia="lv-LV"/>
        </w:rPr>
        <w:t>9.attēls. Vidējo siltumenerģijas zudumu līmeņa izmaiņas siltumenerģijas pārvades un sadales tīklos un siltumenerģijas ražošanas iekārtu vidējais efektivitātes līmenis no 2004. līdz 2009.gadam (Avots: CSP)</w:t>
      </w:r>
    </w:p>
    <w:p w:rsidR="00F15FFB" w:rsidRPr="009179E5" w:rsidRDefault="00F15FFB" w:rsidP="00F15FFB">
      <w:pPr>
        <w:pStyle w:val="BodyText0"/>
        <w:spacing w:before="120"/>
        <w:jc w:val="both"/>
        <w:rPr>
          <w:sz w:val="28"/>
          <w:szCs w:val="28"/>
        </w:rPr>
      </w:pPr>
      <w:r w:rsidRPr="009179E5">
        <w:rPr>
          <w:sz w:val="28"/>
          <w:szCs w:val="28"/>
        </w:rPr>
        <w:t>Vidējie siltuma zudumi siltumenerģijas pārvades un sadales tīklos pakāpeniski samazinājušies un turpat jau sasnieguši plānoto līmeni. Tomēr jāatzīmē, ka galvenokārt šo samazinājumu dod siltumtīklu atjaunošana valsts lielākajās pilsētās, sevišķi Rīgā, bet ir pašvaldības, kurās siltuma zudumi sasniedz 30 un vairāk %.</w:t>
      </w:r>
    </w:p>
    <w:p w:rsidR="00F15FFB" w:rsidRPr="009179E5" w:rsidRDefault="00F15FFB" w:rsidP="00F15FFB">
      <w:pPr>
        <w:pStyle w:val="BodyText0"/>
        <w:spacing w:before="120"/>
        <w:jc w:val="both"/>
        <w:rPr>
          <w:sz w:val="28"/>
          <w:szCs w:val="28"/>
        </w:rPr>
      </w:pPr>
      <w:r w:rsidRPr="009179E5">
        <w:rPr>
          <w:sz w:val="28"/>
          <w:szCs w:val="28"/>
        </w:rPr>
        <w:t>Siltumenerģijas ražošanas iekārtu vidējais efektivitātes līmenis atbilst Pamatnostādnēs plānotajam.</w:t>
      </w:r>
    </w:p>
    <w:p w:rsidR="00F15FFB" w:rsidRPr="00F15FFB" w:rsidRDefault="00F15FFB" w:rsidP="00F15FFB">
      <w:pPr>
        <w:pStyle w:val="BodyText0"/>
        <w:spacing w:before="120"/>
        <w:jc w:val="both"/>
        <w:rPr>
          <w:sz w:val="28"/>
          <w:szCs w:val="28"/>
        </w:rPr>
      </w:pPr>
      <w:r w:rsidRPr="009179E5">
        <w:rPr>
          <w:sz w:val="28"/>
          <w:szCs w:val="28"/>
        </w:rPr>
        <w:t xml:space="preserve"> </w:t>
      </w:r>
    </w:p>
    <w:p w:rsidR="00DB1A11" w:rsidRPr="009179E5" w:rsidRDefault="00DB1A11" w:rsidP="00574AC8">
      <w:pPr>
        <w:spacing w:before="120" w:after="120" w:line="240" w:lineRule="auto"/>
        <w:jc w:val="both"/>
        <w:rPr>
          <w:rFonts w:ascii="Times New Roman" w:hAnsi="Times New Roman"/>
          <w:b/>
          <w:bCs/>
          <w:sz w:val="28"/>
          <w:szCs w:val="28"/>
          <w:lang w:val="lv-LV"/>
        </w:rPr>
      </w:pPr>
      <w:r w:rsidRPr="009179E5">
        <w:rPr>
          <w:rFonts w:ascii="Times New Roman" w:hAnsi="Times New Roman"/>
          <w:b/>
          <w:bCs/>
          <w:sz w:val="28"/>
          <w:szCs w:val="28"/>
          <w:lang w:val="lv-LV"/>
        </w:rPr>
        <w:t xml:space="preserve">Eiropas Savienības Kohēzijas fonda finansētā aktivitāte "Pasākumi centralizētās siltumapgādes sistēmu efektivitātes paaugstināšanai" </w:t>
      </w:r>
    </w:p>
    <w:p w:rsidR="00F475C3" w:rsidRPr="009179E5" w:rsidRDefault="00AF54EE" w:rsidP="00F475C3">
      <w:pPr>
        <w:spacing w:after="0" w:line="240" w:lineRule="auto"/>
        <w:jc w:val="both"/>
        <w:rPr>
          <w:rFonts w:ascii="Times New Roman" w:hAnsi="Times New Roman"/>
          <w:bCs/>
          <w:sz w:val="28"/>
          <w:szCs w:val="28"/>
          <w:lang w:val="lv-LV"/>
        </w:rPr>
      </w:pPr>
      <w:r w:rsidRPr="009179E5">
        <w:rPr>
          <w:rFonts w:ascii="Times New Roman" w:hAnsi="Times New Roman"/>
          <w:bCs/>
          <w:sz w:val="28"/>
          <w:szCs w:val="28"/>
          <w:lang w:val="lv-LV"/>
        </w:rPr>
        <w:t>Darbības programmas „Infrastruktūra un pakalpojumi” papildinājuma 3.5.2.1.aktivitātes „Pasākumi centralizētās siltumapgādes sistēmu efektivitātes paaugstināšanai” mērķis ir būtiski paaugstināt siltumenerģijas ražošanas efektivitāti, samazināt siltumenerģijas zudumus pārvades un sadales sistēmās un sekmēt fosilo kurināmo veidu aizvietošanu ar atjaunojamajiem vai cita veida kurināmajiem. Lai nodrošinātu aktivitātes ieviešanu, 2009.gada 17.februārī stājās spēkā Ministru kabineta noteikumi Nr.162 „Noteikumi par darbības programmas „Infrastruktūra un pakalpojumi” papildinājuma 3.5.2.1. aktivitātes „Pasākumi centralizētās siltumapgādes sistēmu efektivitātes paaugstināšanai” projektu iesniegumu atlases pirmo kārtu” un 2010.gada 31.augustā stājās spēkā Ministru kabineta noteikumi Nr.824 „Noteikumi par darbības programmas „Infrastruktūra un pakalpojumi” papildinājuma 3.5.2.1.aktivitātes „Pasākumi centralizētās siltumapgādes sistēmu efektivitātes paaugstināšanai” projektu iesniegumu atlases otro kārtu un turpmākajām kārtām”.</w:t>
      </w:r>
      <w:r w:rsidR="00F475C3" w:rsidRPr="009179E5">
        <w:rPr>
          <w:rFonts w:ascii="Times New Roman" w:hAnsi="Times New Roman"/>
          <w:bCs/>
          <w:sz w:val="28"/>
          <w:szCs w:val="28"/>
          <w:lang w:val="lv-LV"/>
        </w:rPr>
        <w:t xml:space="preserve"> 3.5.2.1. aktivitātes </w:t>
      </w:r>
      <w:r w:rsidR="00F475C3" w:rsidRPr="009179E5">
        <w:rPr>
          <w:rFonts w:ascii="Times New Roman" w:hAnsi="Times New Roman"/>
          <w:bCs/>
          <w:sz w:val="28"/>
          <w:szCs w:val="28"/>
          <w:lang w:val="lv-LV"/>
        </w:rPr>
        <w:lastRenderedPageBreak/>
        <w:t>„Pasākumi centralizētās siltumapgādes sistēmu efektivitātes paaugstināšanai” izpilde uz 2011.gada 1.aprīli parāda, ka pieejamais publiskais finansējums ir 42,32 milj. LVL, iesniegto projektu skaits ir 65, noslēgto līgumu skaits ir 10, pabeigto projektu skaits ir 2.</w:t>
      </w:r>
    </w:p>
    <w:p w:rsidR="00C901F1" w:rsidRPr="009179E5" w:rsidRDefault="00C901F1" w:rsidP="00C901F1">
      <w:pPr>
        <w:pStyle w:val="Default"/>
        <w:spacing w:before="120" w:after="120"/>
        <w:jc w:val="both"/>
        <w:rPr>
          <w:rFonts w:eastAsia="Times New Roman"/>
          <w:color w:val="auto"/>
          <w:sz w:val="28"/>
          <w:szCs w:val="28"/>
          <w:lang w:eastAsia="de-DE"/>
        </w:rPr>
      </w:pPr>
      <w:r w:rsidRPr="009179E5">
        <w:rPr>
          <w:sz w:val="28"/>
          <w:szCs w:val="28"/>
          <w:lang w:eastAsia="de-DE"/>
        </w:rPr>
        <w:t>Aktivitātes</w:t>
      </w:r>
      <w:r w:rsidRPr="009179E5">
        <w:rPr>
          <w:rFonts w:eastAsia="Times New Roman"/>
          <w:color w:val="auto"/>
          <w:sz w:val="28"/>
          <w:szCs w:val="28"/>
          <w:lang w:eastAsia="de-DE"/>
        </w:rPr>
        <w:t xml:space="preserve"> ietvaros veic:</w:t>
      </w:r>
    </w:p>
    <w:p w:rsidR="00C901F1" w:rsidRPr="009179E5" w:rsidRDefault="00C901F1" w:rsidP="00C901F1">
      <w:pPr>
        <w:pStyle w:val="Default"/>
        <w:spacing w:before="120" w:after="120"/>
        <w:jc w:val="both"/>
        <w:rPr>
          <w:rFonts w:eastAsia="Times New Roman"/>
          <w:color w:val="auto"/>
          <w:sz w:val="28"/>
          <w:szCs w:val="28"/>
          <w:lang w:eastAsia="de-DE"/>
        </w:rPr>
      </w:pPr>
      <w:r w:rsidRPr="009179E5">
        <w:rPr>
          <w:rFonts w:eastAsia="Times New Roman"/>
          <w:color w:val="auto"/>
          <w:sz w:val="28"/>
          <w:szCs w:val="28"/>
          <w:lang w:eastAsia="de-DE"/>
        </w:rPr>
        <w:t>- siltumavotu rekonstrukciju un būvniecību ar mērķi paaugstināt to efektivitāti vai mazināt ietekmi uz vidi, vai aizvietot fosilo kurināmo ar atjaunojamo kurināmo;</w:t>
      </w:r>
    </w:p>
    <w:p w:rsidR="00C901F1" w:rsidRPr="009179E5" w:rsidRDefault="00C901F1" w:rsidP="00C901F1">
      <w:pPr>
        <w:spacing w:before="120" w:after="120" w:line="240" w:lineRule="auto"/>
        <w:jc w:val="both"/>
        <w:rPr>
          <w:rFonts w:ascii="Times New Roman" w:hAnsi="Times New Roman"/>
          <w:bCs/>
          <w:sz w:val="28"/>
          <w:szCs w:val="28"/>
          <w:lang w:val="lv-LV"/>
        </w:rPr>
      </w:pPr>
      <w:r w:rsidRPr="009179E5">
        <w:rPr>
          <w:rFonts w:ascii="Times New Roman" w:hAnsi="Times New Roman"/>
          <w:sz w:val="28"/>
          <w:szCs w:val="28"/>
          <w:lang w:val="lv-LV" w:eastAsia="de-DE"/>
        </w:rPr>
        <w:t>- pārvades un sadales sistēmu rekonstrukciju un būvniecību ar mērķi samazināt siltumenerģijas vai siltumnesēja zudumus.</w:t>
      </w:r>
    </w:p>
    <w:p w:rsidR="00DB7061" w:rsidRDefault="009A698E" w:rsidP="00C901F1">
      <w:pPr>
        <w:spacing w:before="120" w:after="120" w:line="240" w:lineRule="auto"/>
        <w:jc w:val="both"/>
        <w:rPr>
          <w:rFonts w:ascii="Times New Roman" w:hAnsi="Times New Roman"/>
          <w:sz w:val="28"/>
          <w:szCs w:val="28"/>
          <w:lang w:val="lv-LV" w:eastAsia="de-DE"/>
        </w:rPr>
      </w:pPr>
      <w:r>
        <w:rPr>
          <w:rFonts w:ascii="Times New Roman" w:hAnsi="Times New Roman"/>
          <w:bCs/>
          <w:sz w:val="28"/>
          <w:szCs w:val="28"/>
          <w:lang w:val="lv-LV"/>
        </w:rPr>
        <w:t>Ar Ministru kabineta 2011.gada 30.jūnija rīkojumu Nr.273 „Grozījums darbības programmas „Infrastruktūra un pakalpojumi „ papildinājumā” t</w:t>
      </w:r>
      <w:r w:rsidR="00C901F1" w:rsidRPr="009179E5">
        <w:rPr>
          <w:rFonts w:ascii="Times New Roman" w:hAnsi="Times New Roman"/>
          <w:bCs/>
          <w:sz w:val="28"/>
          <w:szCs w:val="28"/>
          <w:lang w:val="lv-LV"/>
        </w:rPr>
        <w:t>urpmāk d</w:t>
      </w:r>
      <w:r w:rsidR="00C901F1" w:rsidRPr="009179E5">
        <w:rPr>
          <w:rFonts w:ascii="Times New Roman" w:hAnsi="Times New Roman"/>
          <w:sz w:val="28"/>
          <w:szCs w:val="28"/>
          <w:lang w:val="lv-LV" w:eastAsia="de-DE"/>
        </w:rPr>
        <w:t>arbības programmas „Infrastruktūra un pakalpojumi” papildinājuma 3.5.2.1.aktivitātē „Pasākumi centralizētās siltumapgādes sistēmu efektivitā</w:t>
      </w:r>
      <w:r>
        <w:rPr>
          <w:rFonts w:ascii="Times New Roman" w:hAnsi="Times New Roman"/>
          <w:sz w:val="28"/>
          <w:szCs w:val="28"/>
          <w:lang w:val="lv-LV" w:eastAsia="de-DE"/>
        </w:rPr>
        <w:t xml:space="preserve">tes paaugstināšanai” ir </w:t>
      </w:r>
      <w:r w:rsidR="00C901F1" w:rsidRPr="009179E5">
        <w:rPr>
          <w:rFonts w:ascii="Times New Roman" w:hAnsi="Times New Roman"/>
          <w:sz w:val="28"/>
          <w:szCs w:val="28"/>
          <w:lang w:val="lv-LV" w:eastAsia="de-DE"/>
        </w:rPr>
        <w:t>izveidot</w:t>
      </w:r>
      <w:r>
        <w:rPr>
          <w:rFonts w:ascii="Times New Roman" w:hAnsi="Times New Roman"/>
          <w:sz w:val="28"/>
          <w:szCs w:val="28"/>
          <w:lang w:val="lv-LV" w:eastAsia="de-DE"/>
        </w:rPr>
        <w:t>as</w:t>
      </w:r>
      <w:r w:rsidR="00DB7061">
        <w:rPr>
          <w:rFonts w:ascii="Times New Roman" w:hAnsi="Times New Roman"/>
          <w:sz w:val="28"/>
          <w:szCs w:val="28"/>
          <w:lang w:val="lv-LV" w:eastAsia="de-DE"/>
        </w:rPr>
        <w:t xml:space="preserve"> divas apakšaktivitātes: 3.5.2.1.1.apakšaktivitāte „Pasākumi centralizētās siltumapgādes sistēmu efektivitātes paaugstināšanā” ar mērķi būtiski paaugstināt siltumenerģijas ražošanas efektivitāti, samazināt siltumenerģijas zudumus pārvades un sadales sistēmās un sekmēt fosilo kurināmo veidu aizveidošanu ar atjaunojamajiem kurināmajiem un 3.5.2.1.2. apakšaktivitāte „Pasākumi uzņēmumu siltumapgādes sistēmu efektivitātes paaugstināšanā, kuras mērķis ir būtiski paaugstināt siltumenerģijas ražošanas efektivitāti, veicinot tādas siltumenerģijas izmantošanu industriālajā ražošanā, kas ražota izmantojot atjaunojamos energoresursus.</w:t>
      </w:r>
    </w:p>
    <w:p w:rsidR="00C901F1" w:rsidRPr="009179E5" w:rsidRDefault="00C901F1" w:rsidP="00C901F1">
      <w:pPr>
        <w:spacing w:before="120" w:after="120" w:line="240" w:lineRule="auto"/>
        <w:jc w:val="both"/>
        <w:rPr>
          <w:rFonts w:ascii="Times New Roman" w:hAnsi="Times New Roman"/>
          <w:b/>
          <w:bCs/>
          <w:sz w:val="28"/>
          <w:szCs w:val="28"/>
          <w:lang w:val="lv-LV"/>
        </w:rPr>
      </w:pPr>
      <w:r w:rsidRPr="009179E5">
        <w:rPr>
          <w:rFonts w:ascii="Times New Roman" w:hAnsi="Times New Roman"/>
          <w:b/>
          <w:bCs/>
          <w:sz w:val="28"/>
          <w:szCs w:val="28"/>
          <w:lang w:val="lv-LV"/>
        </w:rPr>
        <w:t xml:space="preserve">Eiropas Savienības Kohēzijas fonda finansētā aktivitāte „Atjaunojamo energoresursu izmantojošu koģenerācijas elektrostaciju attīstība” </w:t>
      </w:r>
    </w:p>
    <w:p w:rsidR="00DB1A11" w:rsidRPr="009179E5" w:rsidRDefault="00C901F1" w:rsidP="00C901F1">
      <w:pPr>
        <w:pStyle w:val="Default"/>
        <w:spacing w:before="120" w:after="120"/>
        <w:jc w:val="both"/>
        <w:rPr>
          <w:bCs/>
          <w:sz w:val="28"/>
          <w:szCs w:val="28"/>
        </w:rPr>
      </w:pPr>
      <w:r w:rsidRPr="009179E5">
        <w:rPr>
          <w:bCs/>
          <w:sz w:val="28"/>
          <w:szCs w:val="28"/>
        </w:rPr>
        <w:t>Lai nodrošinātu darbības programmas „Infrastruktūra un pakalpojumi” papildinājuma 3.5.2.2.aktivitātes „Atjaunojamo energoresursu izmantojošu koģenerācijas elektrostaciju attīstība” ieviešanu, 2009.gada 17.februārī stājās spēkā Ministru kabineta noteikumi Nr.165 „Noteikumi par darbības programmas „Infrastruktūra un pakalpojumi” papildinājuma 3.5.2.2. aktivitāti „Atjaunojamo energoresursu izmantojošu koģenerācijas elektrostaciju attīstība””</w:t>
      </w:r>
      <w:r w:rsidR="00E94A0C" w:rsidRPr="009179E5">
        <w:rPr>
          <w:bCs/>
          <w:sz w:val="28"/>
          <w:szCs w:val="28"/>
        </w:rPr>
        <w:t xml:space="preserve"> 3.5.2.2. aktivitātes "Atjaunojamo energoresursu izmantojošu koģenerācijas elektrostaciju attīstība" izpi</w:t>
      </w:r>
      <w:r w:rsidR="00467032">
        <w:rPr>
          <w:bCs/>
          <w:sz w:val="28"/>
          <w:szCs w:val="28"/>
        </w:rPr>
        <w:t>lde uz 2011.gada 1.aprīli parāda</w:t>
      </w:r>
      <w:r w:rsidR="00E94A0C" w:rsidRPr="009179E5">
        <w:rPr>
          <w:bCs/>
          <w:sz w:val="28"/>
          <w:szCs w:val="28"/>
        </w:rPr>
        <w:t xml:space="preserve">, ka pieejamais publiskais finansējums ir 34,37 milj. LVL, Iesniegto projektu skaits ir 65, noslēgto līgumu skaits ir 10, pagaidām pabeigts vēl nav neviens projekts.    </w:t>
      </w:r>
    </w:p>
    <w:p w:rsidR="00CF772C" w:rsidRPr="009179E5" w:rsidRDefault="00CF772C" w:rsidP="00CF772C">
      <w:pPr>
        <w:spacing w:before="120" w:after="120" w:line="240" w:lineRule="auto"/>
        <w:jc w:val="both"/>
        <w:rPr>
          <w:rFonts w:ascii="Times New Roman" w:hAnsi="Times New Roman"/>
          <w:sz w:val="28"/>
          <w:szCs w:val="28"/>
          <w:lang w:val="lv-LV" w:eastAsia="de-DE"/>
        </w:rPr>
      </w:pPr>
      <w:r w:rsidRPr="009179E5">
        <w:rPr>
          <w:rFonts w:ascii="Times New Roman" w:hAnsi="Times New Roman"/>
          <w:bCs/>
          <w:sz w:val="28"/>
          <w:szCs w:val="28"/>
          <w:lang w:val="lv-LV"/>
        </w:rPr>
        <w:t>Aktivitātes mērķis ir b</w:t>
      </w:r>
      <w:r w:rsidRPr="009179E5">
        <w:rPr>
          <w:rFonts w:ascii="Times New Roman" w:hAnsi="Times New Roman"/>
          <w:sz w:val="28"/>
          <w:szCs w:val="28"/>
          <w:lang w:val="lv-LV" w:eastAsia="de-DE"/>
        </w:rPr>
        <w:t>ūtiski paaugstināt elektroenerģijas un siltumenerģijas ražošanas apjomus no atjaunojamajiem energoresursiem, tādējādi mazinot Latvijas atkarību no primāro enerģijas resursu importa.</w:t>
      </w:r>
    </w:p>
    <w:p w:rsidR="00DB1A11" w:rsidRPr="00845083" w:rsidRDefault="00CF772C" w:rsidP="00CF772C">
      <w:pPr>
        <w:spacing w:before="120" w:after="120" w:line="240" w:lineRule="auto"/>
        <w:jc w:val="both"/>
        <w:rPr>
          <w:rFonts w:ascii="Times New Roman" w:hAnsi="Times New Roman"/>
          <w:bCs/>
          <w:sz w:val="28"/>
          <w:szCs w:val="28"/>
          <w:u w:val="single"/>
          <w:lang w:val="lv-LV"/>
        </w:rPr>
      </w:pPr>
      <w:r w:rsidRPr="009179E5">
        <w:rPr>
          <w:rFonts w:ascii="Times New Roman" w:hAnsi="Times New Roman"/>
          <w:sz w:val="28"/>
          <w:szCs w:val="28"/>
          <w:lang w:val="lv-LV"/>
        </w:rPr>
        <w:t xml:space="preserve">Aktivitātes ietvaros atbalsts paredzēts atjaunojamos energoresursus izmantojošu </w:t>
      </w:r>
      <w:r w:rsidRPr="00845083">
        <w:rPr>
          <w:rFonts w:ascii="Times New Roman" w:hAnsi="Times New Roman"/>
          <w:sz w:val="28"/>
          <w:szCs w:val="28"/>
          <w:u w:val="single"/>
          <w:lang w:val="lv-LV"/>
        </w:rPr>
        <w:t>koģenerācijas staciju būvniecībai.</w:t>
      </w:r>
    </w:p>
    <w:p w:rsidR="00DB1A11" w:rsidRPr="009179E5" w:rsidRDefault="00140669" w:rsidP="00574AC8">
      <w:pPr>
        <w:spacing w:before="120" w:after="120" w:line="240" w:lineRule="auto"/>
        <w:jc w:val="both"/>
        <w:rPr>
          <w:rFonts w:ascii="Times New Roman" w:hAnsi="Times New Roman"/>
          <w:b/>
          <w:sz w:val="28"/>
          <w:szCs w:val="28"/>
          <w:lang w:val="lv-LV"/>
        </w:rPr>
      </w:pPr>
      <w:r>
        <w:rPr>
          <w:rFonts w:ascii="Times New Roman" w:hAnsi="Times New Roman"/>
          <w:b/>
          <w:sz w:val="28"/>
          <w:szCs w:val="28"/>
          <w:lang w:val="lv-LV"/>
        </w:rPr>
        <w:lastRenderedPageBreak/>
        <w:t>Lielas jaudas</w:t>
      </w:r>
      <w:r w:rsidR="00DB1A11" w:rsidRPr="009179E5">
        <w:rPr>
          <w:rFonts w:ascii="Times New Roman" w:hAnsi="Times New Roman"/>
          <w:b/>
          <w:sz w:val="28"/>
          <w:szCs w:val="28"/>
          <w:lang w:val="lv-LV"/>
        </w:rPr>
        <w:t xml:space="preserve"> siltumsūkņu uzstādīšana Rīgas pilsētas siltumapgādes uzlabošanai</w:t>
      </w:r>
    </w:p>
    <w:p w:rsidR="00845083" w:rsidRDefault="00505CB4" w:rsidP="00845083">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Rīgas dome 2010.gada 6.jūlijā ar Domes lēmumu Nr.1644 ir apstiprinājusi „Rīgas pilsētas Ilgtspējīgas enerģētikas rīcības plānu 2010.- 2020.gadam”. </w:t>
      </w:r>
      <w:r w:rsidR="0051736A" w:rsidRPr="009179E5">
        <w:rPr>
          <w:rFonts w:ascii="Times New Roman" w:hAnsi="Times New Roman"/>
          <w:sz w:val="28"/>
          <w:szCs w:val="28"/>
          <w:lang w:val="lv-LV"/>
        </w:rPr>
        <w:t>Š</w:t>
      </w:r>
      <w:r w:rsidRPr="009179E5">
        <w:rPr>
          <w:rFonts w:ascii="Times New Roman" w:hAnsi="Times New Roman"/>
          <w:sz w:val="28"/>
          <w:szCs w:val="28"/>
          <w:lang w:val="lv-LV"/>
        </w:rPr>
        <w:t>ajā plānā paredzēti arī pasākumi Rīgas pilsētas siltumapgādes sistēmas efektivitātes paaugstināšanai.</w:t>
      </w:r>
      <w:r w:rsidR="0051736A" w:rsidRPr="009179E5">
        <w:rPr>
          <w:rFonts w:ascii="Times New Roman" w:hAnsi="Times New Roman"/>
          <w:sz w:val="28"/>
          <w:szCs w:val="28"/>
          <w:lang w:val="lv-LV"/>
        </w:rPr>
        <w:t xml:space="preserve"> </w:t>
      </w:r>
      <w:r w:rsidRPr="009179E5">
        <w:rPr>
          <w:rFonts w:ascii="Times New Roman" w:hAnsi="Times New Roman"/>
          <w:sz w:val="28"/>
          <w:szCs w:val="28"/>
          <w:lang w:val="lv-LV"/>
        </w:rPr>
        <w:t>AS „Rīgas siltums” koģenerācijas stacijās paredzēts uzstādīt jaudīgus siltumsūkņus dzesēšanas ūdens temperatūras pazemināšanai, kā arī sadarbībā ar AS „Rīgas ūdens” siltumsūkni notekūdeņu attīrīšanas iekārtās. Šie siltumsūkņi paaugstinās kopējo siltuma izstrādes jaudu centralizētajā siltumapgādē.</w:t>
      </w:r>
      <w:bookmarkStart w:id="9" w:name="_Toc270003301"/>
    </w:p>
    <w:p w:rsidR="0040328C" w:rsidRPr="003B66D9" w:rsidRDefault="0040328C" w:rsidP="0040328C">
      <w:pPr>
        <w:pStyle w:val="Heading4"/>
        <w:numPr>
          <w:ilvl w:val="0"/>
          <w:numId w:val="0"/>
        </w:numPr>
        <w:spacing w:line="240" w:lineRule="auto"/>
        <w:jc w:val="center"/>
        <w:rPr>
          <w:rFonts w:ascii="Times New Roman Bold" w:hAnsi="Times New Roman Bold"/>
          <w:b/>
          <w:i w:val="0"/>
          <w:caps/>
          <w:color w:val="auto"/>
          <w:sz w:val="28"/>
          <w:u w:val="none"/>
          <w:lang w:val="lv-LV"/>
        </w:rPr>
      </w:pPr>
      <w:bookmarkStart w:id="10" w:name="_Toc300320559"/>
      <w:r w:rsidRPr="003B66D9">
        <w:rPr>
          <w:rFonts w:ascii="Times New Roman Bold" w:hAnsi="Times New Roman Bold"/>
          <w:b/>
          <w:i w:val="0"/>
          <w:caps/>
          <w:color w:val="auto"/>
          <w:sz w:val="28"/>
          <w:u w:val="none"/>
          <w:lang w:val="lv-LV"/>
        </w:rPr>
        <w:t>2.3. ENERGOEFEKTIVITĀTES PAAUGSTINĀŠANAS PASĀKUMI ELEKTROENERĢIJAS RAŽOŠANĀ</w:t>
      </w:r>
      <w:bookmarkEnd w:id="10"/>
    </w:p>
    <w:p w:rsidR="0040328C" w:rsidRPr="003B66D9" w:rsidRDefault="0040328C" w:rsidP="0040328C">
      <w:pPr>
        <w:pStyle w:val="Heading4"/>
        <w:numPr>
          <w:ilvl w:val="0"/>
          <w:numId w:val="0"/>
        </w:numPr>
        <w:spacing w:line="240" w:lineRule="auto"/>
        <w:jc w:val="center"/>
        <w:rPr>
          <w:rFonts w:ascii="Times New Roman" w:hAnsi="Times New Roman"/>
          <w:b/>
          <w:sz w:val="28"/>
          <w:lang w:val="lv-LV"/>
        </w:rPr>
      </w:pPr>
      <w:bookmarkStart w:id="11" w:name="_Toc300320560"/>
      <w:r w:rsidRPr="003B66D9">
        <w:rPr>
          <w:rFonts w:ascii="Times New Roman Bold" w:hAnsi="Times New Roman Bold"/>
          <w:b/>
          <w:i w:val="0"/>
          <w:caps/>
          <w:color w:val="auto"/>
          <w:sz w:val="28"/>
          <w:u w:val="none"/>
          <w:lang w:val="lv-LV"/>
        </w:rPr>
        <w:t>2.3.1. PASĀKUMI DAUGAVAS HIDROELEKTROSTACIJĀS</w:t>
      </w:r>
      <w:bookmarkEnd w:id="11"/>
    </w:p>
    <w:bookmarkEnd w:id="9"/>
    <w:p w:rsidR="00DE0D97" w:rsidRPr="003B66D9" w:rsidRDefault="0040328C" w:rsidP="00876AB9">
      <w:pPr>
        <w:spacing w:before="240" w:after="60" w:line="240" w:lineRule="auto"/>
        <w:rPr>
          <w:rFonts w:ascii="Times New Roman" w:hAnsi="Times New Roman"/>
          <w:b/>
          <w:sz w:val="28"/>
          <w:szCs w:val="28"/>
        </w:rPr>
      </w:pPr>
      <w:r w:rsidRPr="003B66D9">
        <w:rPr>
          <w:rFonts w:ascii="Times New Roman" w:hAnsi="Times New Roman"/>
          <w:b/>
          <w:sz w:val="28"/>
          <w:szCs w:val="28"/>
        </w:rPr>
        <w:t>Līdz 2011.gadam veiktā</w:t>
      </w:r>
      <w:r w:rsidR="00DE0D97" w:rsidRPr="003B66D9">
        <w:rPr>
          <w:rFonts w:ascii="Times New Roman" w:hAnsi="Times New Roman"/>
          <w:b/>
          <w:sz w:val="28"/>
          <w:szCs w:val="28"/>
        </w:rPr>
        <w:t>s rekonstrukcijas</w:t>
      </w:r>
    </w:p>
    <w:p w:rsidR="00DE0D97" w:rsidRPr="003B66D9" w:rsidRDefault="00DE0D97" w:rsidP="00DE0D97">
      <w:pPr>
        <w:pStyle w:val="BodyText0"/>
        <w:jc w:val="both"/>
        <w:rPr>
          <w:sz w:val="28"/>
          <w:szCs w:val="28"/>
        </w:rPr>
      </w:pPr>
      <w:r w:rsidRPr="003B66D9">
        <w:rPr>
          <w:sz w:val="28"/>
          <w:szCs w:val="28"/>
        </w:rPr>
        <w:t xml:space="preserve">Pļaviņu HES ir lielākā Daugavas hidroelektrostacija. Spēkstacija ar 10 hidroagregātiem, kuru kopējā jauda sastāda 825 MW, tika nodota ekspluatācijā 1966.gadā. To projektēja institūts “Hidroprojekts” no Maskavas. Periodā no 1991. līdz 1996. gadam Pļaviņu HES tika rekonstruēti turbīnas, ģeneratori un automātiskās vadības sistēma hidroagregātiem Nr. 4, 6, 9 un 10, laikā no 1999. līdz 2001. gadam – hidroagregātiem Nr. 2 un 8, bet laikā no 2006. līdz 2010. gadam – hidroagregātiem Nr. 4, 5 un 7. Rekonstrukcijas rezultātā stacijas jauda tika palielināta līdz 883 MW, bet elektroenerģijas izstrāde ir pieaugusi orientējoši par </w:t>
      </w:r>
      <w:r w:rsidRPr="003B66D9">
        <w:rPr>
          <w:b/>
          <w:sz w:val="28"/>
          <w:szCs w:val="28"/>
        </w:rPr>
        <w:t>70 GWh</w:t>
      </w:r>
      <w:r w:rsidRPr="003B66D9">
        <w:rPr>
          <w:sz w:val="28"/>
          <w:szCs w:val="28"/>
        </w:rPr>
        <w:t>.</w:t>
      </w:r>
    </w:p>
    <w:p w:rsidR="00DE0D97" w:rsidRPr="003B66D9" w:rsidRDefault="00DE0D97" w:rsidP="00DE0D97">
      <w:pPr>
        <w:pStyle w:val="BodyText0"/>
        <w:jc w:val="both"/>
        <w:rPr>
          <w:sz w:val="28"/>
          <w:szCs w:val="28"/>
        </w:rPr>
      </w:pPr>
      <w:r w:rsidRPr="003B66D9">
        <w:rPr>
          <w:sz w:val="28"/>
          <w:szCs w:val="28"/>
        </w:rPr>
        <w:t xml:space="preserve">Ķeguma HES-1 atrodas Daugavas labajā krastā Ķeguma pilsētā. Tās būvniecība uzsākta 1936.gadā, un stacija tika nodota ekspluatācijā 1939.gadā. Kopš papildus hidroagregāta uzstādīšanas 1954.gadā Ķeguma HES-1 darbojas 4 agregāti ar kopējo jaudu 72 MW. Tā kā šī visvecākā spēkstacija atrodas ekspluatācijā jau vairāk nekā 60 gadus, tās pamatiekārta un palīgiekārtas bija novecojušas, un 1998.gadā tika uzsākta Ķeguma HES-1 rekonstrukcija, kas tika pabeigta 2001.gadā. Rekonstrukcijas rezultātā stacijas jauda tika palielināta līdz 74 MW, bet elektroenerģijas izstrāde ir pieaugusi orientējoši par </w:t>
      </w:r>
      <w:r w:rsidRPr="003B66D9">
        <w:rPr>
          <w:b/>
          <w:sz w:val="28"/>
          <w:szCs w:val="28"/>
        </w:rPr>
        <w:t>5 GWh</w:t>
      </w:r>
      <w:r w:rsidRPr="003B66D9">
        <w:rPr>
          <w:sz w:val="28"/>
          <w:szCs w:val="28"/>
        </w:rPr>
        <w:t>.</w:t>
      </w:r>
    </w:p>
    <w:p w:rsidR="00DE0D97" w:rsidRPr="003B66D9" w:rsidRDefault="00DE0D97" w:rsidP="00DE0D97">
      <w:pPr>
        <w:pStyle w:val="BodyText0"/>
        <w:jc w:val="both"/>
        <w:rPr>
          <w:sz w:val="28"/>
          <w:szCs w:val="28"/>
        </w:rPr>
      </w:pPr>
      <w:r w:rsidRPr="003B66D9">
        <w:rPr>
          <w:sz w:val="28"/>
          <w:szCs w:val="28"/>
        </w:rPr>
        <w:t>Otra Ķeguma spēkstacija – Ķeguma HES-2 atrodas Daugavas kreisajā krastā. Tā tika nodota ekspluatācijā 1979.gadā, un tajā darbojas trīs hidroagregāti, katrs ar jaudu 64 MW (kopējā jauda 192 MW). Rīgas HES tika nodota ekspluatācijā 1976.gadā, un tā bija Daugavas HES kaskādes izbūves pēdējais posms. Spēkstacijā darbojas 6 hidroagregāti ar kopējo jaudu 402 MW.</w:t>
      </w:r>
    </w:p>
    <w:p w:rsidR="00DE0D97" w:rsidRPr="003B66D9" w:rsidRDefault="00DE0D97" w:rsidP="00DE0D97">
      <w:pPr>
        <w:pStyle w:val="BodyText0"/>
        <w:jc w:val="both"/>
        <w:rPr>
          <w:sz w:val="28"/>
          <w:szCs w:val="28"/>
        </w:rPr>
      </w:pPr>
      <w:r w:rsidRPr="003B66D9">
        <w:rPr>
          <w:sz w:val="28"/>
          <w:szCs w:val="28"/>
        </w:rPr>
        <w:t>PHES un ĶHES-1 rekonstrukcijas rezultātā elektroenerģijas izstrāde pieauga orientējoši par 75 GWh, no 2650 GWh līdz 2725 GWh.</w:t>
      </w:r>
    </w:p>
    <w:p w:rsidR="00DE0D97" w:rsidRPr="003B66D9" w:rsidRDefault="0040328C" w:rsidP="00876AB9">
      <w:pPr>
        <w:spacing w:before="240" w:after="60" w:line="240" w:lineRule="auto"/>
        <w:rPr>
          <w:rFonts w:ascii="Times New Roman" w:hAnsi="Times New Roman"/>
          <w:b/>
          <w:sz w:val="28"/>
        </w:rPr>
      </w:pPr>
      <w:r w:rsidRPr="003B66D9">
        <w:rPr>
          <w:rFonts w:ascii="Times New Roman" w:hAnsi="Times New Roman"/>
          <w:b/>
          <w:sz w:val="28"/>
        </w:rPr>
        <w:lastRenderedPageBreak/>
        <w:t>Plānotā</w:t>
      </w:r>
      <w:r w:rsidR="00DE0D97" w:rsidRPr="003B66D9">
        <w:rPr>
          <w:rFonts w:ascii="Times New Roman" w:hAnsi="Times New Roman"/>
          <w:b/>
          <w:sz w:val="28"/>
        </w:rPr>
        <w:t>s rekonstrukcijas</w:t>
      </w:r>
    </w:p>
    <w:p w:rsidR="00DE0D97" w:rsidRPr="003B66D9" w:rsidRDefault="00DE0D97" w:rsidP="00DE0D97">
      <w:pPr>
        <w:pStyle w:val="BodyText0"/>
        <w:jc w:val="both"/>
        <w:rPr>
          <w:sz w:val="28"/>
          <w:szCs w:val="28"/>
        </w:rPr>
      </w:pPr>
      <w:r w:rsidRPr="003B66D9">
        <w:rPr>
          <w:b/>
          <w:sz w:val="28"/>
          <w:szCs w:val="28"/>
        </w:rPr>
        <w:t>Pļaviņu hidroelektrostacijā</w:t>
      </w:r>
      <w:r w:rsidRPr="003B66D9">
        <w:rPr>
          <w:sz w:val="28"/>
          <w:szCs w:val="28"/>
        </w:rPr>
        <w:t xml:space="preserve"> ir paredzēts veikt hidroagregātu Nr. 1. un 3. rekonstrukciju ar darba ratu un elektrisko ģeneratoru nomaiņu. Pēc rekonstrukcijas, jaunus agregātus ekspluatācijā ir paredzēts ieviest attiecīgi 2017. un 2016.g. Rekonstrukcijas rezultātā katra hidroagregāta jauda palielināsies no 82,5 MW līdz 90 MW, bet lietderības koeficients par </w:t>
      </w:r>
      <w:r w:rsidRPr="003B66D9">
        <w:rPr>
          <w:sz w:val="28"/>
          <w:szCs w:val="28"/>
        </w:rPr>
        <w:br/>
        <w:t xml:space="preserve">5-9%. Elektroenerģijas izstrāde pieaugs par </w:t>
      </w:r>
      <w:r w:rsidRPr="003B66D9">
        <w:rPr>
          <w:b/>
          <w:sz w:val="28"/>
          <w:szCs w:val="28"/>
        </w:rPr>
        <w:t>18 GWh</w:t>
      </w:r>
      <w:r w:rsidRPr="003B66D9">
        <w:rPr>
          <w:sz w:val="28"/>
          <w:szCs w:val="28"/>
        </w:rPr>
        <w:t>.</w:t>
      </w:r>
    </w:p>
    <w:p w:rsidR="00DE0D97" w:rsidRPr="003B66D9" w:rsidRDefault="00DE0D97" w:rsidP="00DE0D97">
      <w:pPr>
        <w:pStyle w:val="BodyText0"/>
        <w:jc w:val="both"/>
        <w:rPr>
          <w:sz w:val="28"/>
          <w:szCs w:val="28"/>
        </w:rPr>
      </w:pPr>
      <w:r w:rsidRPr="003B66D9">
        <w:rPr>
          <w:b/>
          <w:sz w:val="28"/>
          <w:szCs w:val="28"/>
        </w:rPr>
        <w:t>Ķeguma hidroelektrostacijā (KHES-2)</w:t>
      </w:r>
      <w:r w:rsidRPr="003B66D9">
        <w:rPr>
          <w:sz w:val="28"/>
          <w:szCs w:val="28"/>
        </w:rPr>
        <w:t xml:space="preserve"> ir paredzēts veikt hidroagregātu Nr. 5., 6. un 7. rekonstrukciju ar darba ratu un elektrisko ģeneratoru nomaiņu, kā arī vadības sistēmas modernizāciju. Ir paredzēts atjaunoto agregātu ekspluatāciju uzsākt attiecīgi 2017., 2016. un 2015.gados. Rekonstrukcijas rezultātā katra hidroagregāta jauda palielināsies no esošajiem 64 MW līdz 69 MW, bet lietderības koeficients par 5-6%. Elektroenerģijas izstrāde pieaugs par </w:t>
      </w:r>
      <w:r w:rsidRPr="003B66D9">
        <w:rPr>
          <w:b/>
          <w:sz w:val="28"/>
          <w:szCs w:val="28"/>
        </w:rPr>
        <w:t>22 GWh</w:t>
      </w:r>
      <w:r w:rsidRPr="003B66D9">
        <w:rPr>
          <w:sz w:val="28"/>
          <w:szCs w:val="28"/>
        </w:rPr>
        <w:t>.</w:t>
      </w:r>
    </w:p>
    <w:p w:rsidR="00DE0D97" w:rsidRPr="003B66D9" w:rsidRDefault="00DE0D97" w:rsidP="00DE0D97">
      <w:pPr>
        <w:pStyle w:val="BodyText0"/>
        <w:jc w:val="both"/>
        <w:rPr>
          <w:sz w:val="28"/>
          <w:szCs w:val="28"/>
        </w:rPr>
      </w:pPr>
      <w:r w:rsidRPr="003B66D9">
        <w:rPr>
          <w:b/>
          <w:sz w:val="28"/>
          <w:szCs w:val="28"/>
        </w:rPr>
        <w:t>Rīgas hidroelektrostacijā</w:t>
      </w:r>
      <w:r w:rsidRPr="003B66D9">
        <w:rPr>
          <w:sz w:val="28"/>
          <w:szCs w:val="28"/>
        </w:rPr>
        <w:t xml:space="preserve"> ir paredzēts veikt visu sešu hidroagregātu rekonstrukciju ar darba ratu un elektrisko ģeneratoru nomaiņu, kā arī vadības sistēmas modernizāciju. Pēc rekonstrukcijas, jaunus agregātus ir paredzēts ieviest ekspluatācijā periodā no 2015.g. līdz 2022.g. Rekonstrukcijas rezultātā katra hidroagregāta jauda palielināsies no 67 MW līdz 69 MW, bet lietderības koeficients par 3,5-5%. Elektroenerģijas izstrāde pieaugs par </w:t>
      </w:r>
      <w:r w:rsidRPr="003B66D9">
        <w:rPr>
          <w:b/>
          <w:sz w:val="28"/>
          <w:szCs w:val="28"/>
        </w:rPr>
        <w:t>25 GWh</w:t>
      </w:r>
      <w:r w:rsidRPr="003B66D9">
        <w:rPr>
          <w:sz w:val="28"/>
          <w:szCs w:val="28"/>
        </w:rPr>
        <w:t>.</w:t>
      </w:r>
    </w:p>
    <w:p w:rsidR="00DE0D97" w:rsidRPr="003B66D9" w:rsidRDefault="00DE0D97" w:rsidP="00DE0D97">
      <w:pPr>
        <w:pStyle w:val="BodyText0"/>
        <w:jc w:val="both"/>
        <w:rPr>
          <w:sz w:val="28"/>
          <w:szCs w:val="28"/>
        </w:rPr>
      </w:pPr>
      <w:r w:rsidRPr="003B66D9">
        <w:rPr>
          <w:sz w:val="28"/>
          <w:szCs w:val="28"/>
        </w:rPr>
        <w:t xml:space="preserve">Kopējās projekta ieguldījumu izmaksas ir vērtējamas ap 106 milj. Ls. Projekta ieguvumi ir šādi: 1) elektroenerģijas izstrādes pieaugums uz lietderības koeficienta palielinājuma rēķinu, 2) rezerves jaudas nodrošināšana, 3) atjaunošanas remontu izmaksu samazinājums. </w:t>
      </w:r>
    </w:p>
    <w:p w:rsidR="00DE0D97" w:rsidRPr="003B66D9" w:rsidRDefault="00DE0D97" w:rsidP="00DE0D97">
      <w:pPr>
        <w:pStyle w:val="BodyText0"/>
        <w:jc w:val="both"/>
        <w:rPr>
          <w:sz w:val="28"/>
          <w:szCs w:val="28"/>
        </w:rPr>
      </w:pPr>
      <w:r w:rsidRPr="003B66D9">
        <w:rPr>
          <w:sz w:val="28"/>
          <w:szCs w:val="28"/>
        </w:rPr>
        <w:t xml:space="preserve">Rekonstrukcijas rezultātā tiktu nodrošināta tālāka efektīga HES darbība ilgtermiņā, Daugavas HES elektriskā jauda varētu pieaugt par 42 MW, bet vidējā ikgadējā elektroenerģijas izstrāde par </w:t>
      </w:r>
      <w:r w:rsidRPr="003B66D9">
        <w:rPr>
          <w:b/>
          <w:sz w:val="28"/>
          <w:szCs w:val="28"/>
        </w:rPr>
        <w:t>65 GWh</w:t>
      </w:r>
      <w:r w:rsidRPr="003B66D9">
        <w:rPr>
          <w:sz w:val="28"/>
          <w:szCs w:val="28"/>
        </w:rPr>
        <w:t>, respektīvi no 2725 GWh līdz 2790 GWh.</w:t>
      </w:r>
    </w:p>
    <w:p w:rsidR="004820C6" w:rsidRPr="003B66D9" w:rsidRDefault="004820C6" w:rsidP="00DE0D97">
      <w:pPr>
        <w:pStyle w:val="BodyText0"/>
        <w:jc w:val="both"/>
        <w:rPr>
          <w:sz w:val="28"/>
          <w:szCs w:val="28"/>
        </w:rPr>
      </w:pPr>
    </w:p>
    <w:p w:rsidR="0040328C" w:rsidRPr="003B66D9" w:rsidRDefault="0040328C" w:rsidP="0040328C">
      <w:pPr>
        <w:pStyle w:val="Heading4"/>
        <w:numPr>
          <w:ilvl w:val="0"/>
          <w:numId w:val="0"/>
        </w:numPr>
        <w:spacing w:line="240" w:lineRule="auto"/>
        <w:jc w:val="center"/>
        <w:rPr>
          <w:rFonts w:ascii="Times New Roman Bold" w:hAnsi="Times New Roman Bold"/>
          <w:b/>
          <w:i w:val="0"/>
          <w:caps/>
          <w:color w:val="auto"/>
          <w:sz w:val="28"/>
          <w:u w:val="none"/>
          <w:lang w:val="lv-LV"/>
        </w:rPr>
      </w:pPr>
      <w:bookmarkStart w:id="12" w:name="_Toc300320561"/>
      <w:r w:rsidRPr="003B66D9">
        <w:rPr>
          <w:rFonts w:ascii="Times New Roman Bold" w:hAnsi="Times New Roman Bold"/>
          <w:b/>
          <w:i w:val="0"/>
          <w:caps/>
          <w:color w:val="auto"/>
          <w:sz w:val="28"/>
          <w:u w:val="none"/>
          <w:lang w:val="lv-LV"/>
        </w:rPr>
        <w:t>2.3.2. RĪGAS TEC-1 REKONSTRUKCIJA</w:t>
      </w:r>
      <w:bookmarkEnd w:id="12"/>
    </w:p>
    <w:p w:rsidR="00DE0D97" w:rsidRPr="003B66D9" w:rsidRDefault="00DE0D97" w:rsidP="00DE0D97">
      <w:pPr>
        <w:pStyle w:val="BodyText0"/>
        <w:jc w:val="both"/>
        <w:rPr>
          <w:sz w:val="28"/>
          <w:szCs w:val="28"/>
        </w:rPr>
      </w:pPr>
      <w:r w:rsidRPr="003B66D9">
        <w:rPr>
          <w:sz w:val="28"/>
          <w:szCs w:val="28"/>
        </w:rPr>
        <w:t xml:space="preserve">Pabeigta Rīgas TEC-1 rekonstrukcija (energobloka un divu ūdensildāmo katlu uzstādīšana - 2005. gada novembrī, trešā 116 MWth ūdens sildāmā katla uzstādīšana - 2010.g. jūnijā), kurā ir ieguldīti 114 milj. EUR. Rekonstrukcijas gaitā vecas fiziski un morāli nolietotas iekārtas tika aizvietotas ar jaunām augsti efektīvam un videi draudzīgām iekārtam. </w:t>
      </w:r>
    </w:p>
    <w:p w:rsidR="00DE0D97" w:rsidRPr="003B66D9" w:rsidRDefault="00DE0D97" w:rsidP="00DE0D97">
      <w:pPr>
        <w:pStyle w:val="BodyText0"/>
        <w:jc w:val="both"/>
        <w:rPr>
          <w:sz w:val="28"/>
          <w:szCs w:val="28"/>
        </w:rPr>
      </w:pPr>
      <w:r w:rsidRPr="003B66D9">
        <w:rPr>
          <w:sz w:val="28"/>
          <w:szCs w:val="28"/>
        </w:rPr>
        <w:t>Rīgas TEC-1 pamatiekārtu sastāvā pašlaik ir gāzes-tvaika (kombinētā cikla - CC) dubultbloks ar uzstādīto siltuma jaudu 145 MW</w:t>
      </w:r>
      <w:r w:rsidRPr="003B66D9">
        <w:rPr>
          <w:sz w:val="28"/>
          <w:szCs w:val="28"/>
          <w:vertAlign w:val="subscript"/>
        </w:rPr>
        <w:t>th</w:t>
      </w:r>
      <w:r w:rsidRPr="003B66D9">
        <w:rPr>
          <w:sz w:val="28"/>
          <w:szCs w:val="28"/>
        </w:rPr>
        <w:t xml:space="preserve"> un elektrisko jaudu 144 MW</w:t>
      </w:r>
      <w:r w:rsidRPr="003B66D9">
        <w:rPr>
          <w:sz w:val="28"/>
          <w:szCs w:val="28"/>
          <w:vertAlign w:val="subscript"/>
        </w:rPr>
        <w:t>el</w:t>
      </w:r>
      <w:r w:rsidRPr="003B66D9">
        <w:rPr>
          <w:sz w:val="28"/>
          <w:szCs w:val="28"/>
        </w:rPr>
        <w:t>, kā arī trīs ūdenssildāmie katli ar kopējo siltuma jaudu 348 MW</w:t>
      </w:r>
      <w:r w:rsidRPr="003B66D9">
        <w:rPr>
          <w:sz w:val="28"/>
          <w:szCs w:val="28"/>
          <w:vertAlign w:val="subscript"/>
        </w:rPr>
        <w:t>th</w:t>
      </w:r>
      <w:r w:rsidRPr="003B66D9">
        <w:rPr>
          <w:sz w:val="28"/>
          <w:szCs w:val="28"/>
        </w:rPr>
        <w:t>. Jaunais energobloks pamatā strādā koģenerācijas režīmā ar maksimālu efektivitāti siltumslodžu segšanā.</w:t>
      </w:r>
    </w:p>
    <w:p w:rsidR="00DE0D97" w:rsidRPr="003B66D9" w:rsidRDefault="00DE0D97" w:rsidP="00DE0D97">
      <w:pPr>
        <w:pStyle w:val="BodyText0"/>
        <w:jc w:val="both"/>
        <w:rPr>
          <w:sz w:val="28"/>
          <w:szCs w:val="28"/>
        </w:rPr>
      </w:pPr>
      <w:r w:rsidRPr="003B66D9">
        <w:rPr>
          <w:sz w:val="28"/>
          <w:szCs w:val="28"/>
        </w:rPr>
        <w:lastRenderedPageBreak/>
        <w:t>Rekonstrukcijas rezultātā tika radīta iespēja koģenerācijas režīmā izstrādāt ap 3-4 reizes lielāku elektroenerģijas apjomu, ievērojami (no 74% līdz 87,7%) paaugstināts kurināmā izmantošanas koeficients. Tika pārtraukta videi mazāk draudzīga kurināmā (mazuta un kūdras) izmantošana, pārejot uz dabasgāzi. Ūdens sildīšanas katliem kā avārijas kurināmais paredzēta dīzeļdegviela. Rezultātā izdevās būtiski samazināt kaitīgo vielu emisijas: tika pilnība pārtrauktas SO</w:t>
      </w:r>
      <w:r w:rsidRPr="003B66D9">
        <w:rPr>
          <w:sz w:val="28"/>
          <w:szCs w:val="28"/>
          <w:vertAlign w:val="subscript"/>
        </w:rPr>
        <w:t>2</w:t>
      </w:r>
      <w:r w:rsidRPr="003B66D9">
        <w:rPr>
          <w:sz w:val="28"/>
          <w:szCs w:val="28"/>
        </w:rPr>
        <w:t>, V</w:t>
      </w:r>
      <w:r w:rsidRPr="003B66D9">
        <w:rPr>
          <w:sz w:val="28"/>
          <w:szCs w:val="28"/>
          <w:vertAlign w:val="subscript"/>
        </w:rPr>
        <w:t>2</w:t>
      </w:r>
      <w:r w:rsidRPr="003B66D9">
        <w:rPr>
          <w:sz w:val="28"/>
          <w:szCs w:val="28"/>
        </w:rPr>
        <w:t>O</w:t>
      </w:r>
      <w:r w:rsidRPr="003B66D9">
        <w:rPr>
          <w:sz w:val="28"/>
          <w:szCs w:val="28"/>
          <w:vertAlign w:val="subscript"/>
        </w:rPr>
        <w:t>5</w:t>
      </w:r>
      <w:r w:rsidRPr="003B66D9">
        <w:rPr>
          <w:sz w:val="28"/>
          <w:szCs w:val="28"/>
        </w:rPr>
        <w:t xml:space="preserve"> un cieto daļu emisijas, bet NO</w:t>
      </w:r>
      <w:r w:rsidRPr="003B66D9">
        <w:rPr>
          <w:sz w:val="28"/>
          <w:szCs w:val="28"/>
          <w:vertAlign w:val="subscript"/>
        </w:rPr>
        <w:t>x</w:t>
      </w:r>
      <w:r w:rsidRPr="003B66D9">
        <w:rPr>
          <w:sz w:val="28"/>
          <w:szCs w:val="28"/>
        </w:rPr>
        <w:t xml:space="preserve"> emisijas ir daudz zemākas, salīdzinot ar apstiprinātiem normatīviem.  </w:t>
      </w:r>
    </w:p>
    <w:p w:rsidR="00DE0D97" w:rsidRPr="003B66D9" w:rsidRDefault="00DE0D97" w:rsidP="00DE0D97">
      <w:pPr>
        <w:pStyle w:val="BodyText0"/>
        <w:jc w:val="both"/>
        <w:rPr>
          <w:sz w:val="28"/>
          <w:szCs w:val="28"/>
        </w:rPr>
      </w:pPr>
      <w:r w:rsidRPr="003B66D9">
        <w:rPr>
          <w:sz w:val="28"/>
          <w:szCs w:val="28"/>
        </w:rPr>
        <w:t>Pēc rekonstrukcijas Rīgas TEC-1, izmantojot jaunās efektīgās CC tehnoloģijas, ir būtiski izmainīta elektriskās un siltuma jaudu attiecība koģenerācijā, kas ļauj daudz optimālāk izmantot saražoto siltumu elektroenerģijas izstrādei. Šīs optimizācijas rezultātā izstrādātas (neto) elektroenerģijas daudzums pieaudzis gandrīz  4 reizes, vidēji no 180 GWh līdz 700 GWh gadā.</w:t>
      </w:r>
    </w:p>
    <w:p w:rsidR="00DE0D97" w:rsidRPr="003B66D9" w:rsidRDefault="00DE0D97" w:rsidP="00DE0D97">
      <w:pPr>
        <w:pStyle w:val="BodyText0"/>
        <w:jc w:val="both"/>
        <w:rPr>
          <w:sz w:val="28"/>
          <w:szCs w:val="28"/>
        </w:rPr>
      </w:pPr>
      <w:r w:rsidRPr="003B66D9">
        <w:rPr>
          <w:sz w:val="28"/>
          <w:szCs w:val="28"/>
        </w:rPr>
        <w:t>Rīgas TEC-1 ir pirmā kombinētā cikla elektrostacija Baltijas valstīs.</w:t>
      </w:r>
    </w:p>
    <w:p w:rsidR="00F21DB1" w:rsidRPr="003B66D9" w:rsidRDefault="00F21DB1" w:rsidP="00DE0D97">
      <w:pPr>
        <w:pStyle w:val="BodyText0"/>
        <w:jc w:val="both"/>
        <w:rPr>
          <w:sz w:val="28"/>
          <w:szCs w:val="28"/>
        </w:rPr>
      </w:pPr>
    </w:p>
    <w:p w:rsidR="0040328C" w:rsidRPr="003B66D9" w:rsidRDefault="0040328C" w:rsidP="0040328C">
      <w:pPr>
        <w:pStyle w:val="Heading4"/>
        <w:numPr>
          <w:ilvl w:val="0"/>
          <w:numId w:val="0"/>
        </w:numPr>
        <w:spacing w:line="240" w:lineRule="auto"/>
        <w:jc w:val="center"/>
        <w:rPr>
          <w:rFonts w:ascii="Times New Roman" w:hAnsi="Times New Roman"/>
          <w:b/>
          <w:sz w:val="28"/>
          <w:lang w:val="lv-LV"/>
        </w:rPr>
      </w:pPr>
      <w:bookmarkStart w:id="13" w:name="_Toc300320562"/>
      <w:r w:rsidRPr="003B66D9">
        <w:rPr>
          <w:rFonts w:ascii="Times New Roman Bold" w:hAnsi="Times New Roman Bold"/>
          <w:b/>
          <w:i w:val="0"/>
          <w:caps/>
          <w:color w:val="auto"/>
          <w:sz w:val="28"/>
          <w:u w:val="none"/>
          <w:lang w:val="lv-LV"/>
        </w:rPr>
        <w:t>2.3.3. RĪGAS TEC-2 REKONSTRUKCIJA</w:t>
      </w:r>
      <w:bookmarkEnd w:id="13"/>
    </w:p>
    <w:p w:rsidR="00DE0D97" w:rsidRPr="003B66D9" w:rsidRDefault="0040328C" w:rsidP="00876AB9">
      <w:pPr>
        <w:spacing w:before="240" w:after="60" w:line="240" w:lineRule="auto"/>
        <w:rPr>
          <w:rFonts w:ascii="Times New Roman" w:hAnsi="Times New Roman"/>
          <w:b/>
          <w:sz w:val="28"/>
        </w:rPr>
      </w:pPr>
      <w:r w:rsidRPr="003B66D9">
        <w:rPr>
          <w:rFonts w:ascii="Times New Roman" w:hAnsi="Times New Roman"/>
          <w:b/>
          <w:sz w:val="28"/>
        </w:rPr>
        <w:t xml:space="preserve">Rīgas TEC-2 rekonstrukcijas </w:t>
      </w:r>
      <w:r w:rsidR="00DE0D97" w:rsidRPr="003B66D9">
        <w:rPr>
          <w:rFonts w:ascii="Times New Roman" w:hAnsi="Times New Roman"/>
          <w:b/>
          <w:sz w:val="28"/>
        </w:rPr>
        <w:t>1. kārta</w:t>
      </w:r>
    </w:p>
    <w:p w:rsidR="00DE0D97" w:rsidRPr="003B66D9" w:rsidRDefault="00DE0D97" w:rsidP="00DE0D97">
      <w:pPr>
        <w:pStyle w:val="BodyText0"/>
        <w:jc w:val="both"/>
        <w:rPr>
          <w:sz w:val="28"/>
          <w:szCs w:val="28"/>
        </w:rPr>
      </w:pPr>
      <w:r w:rsidRPr="003B66D9">
        <w:rPr>
          <w:sz w:val="28"/>
          <w:szCs w:val="28"/>
        </w:rPr>
        <w:t>2008.gadā noslēdzās Rīgas TEC-2 rekonstrukcijas 1. kārta, kuras rezultātā ir uzbūvēts vislielākais kombinētā cikla (CC) energobloks Baltijā. Elektrostacijā tika uzstādīta viena no lielākajām firmas General Electric gāzes turbīnām 9FB. Energobloka uzstādītā elektriskā jauda koģenerācijas režīmā ir 403 MW, bet tā siltuma jauda - 274 MW. Strādājot kondensācijas režīmā, elektriskā jauda - līdz 430 MW. Šajā projektā Latvenergo ieguldījis gandrīz 180 milj. EUR. Šis bija ļoti veiksmīgs un savlaicīgs ieguldījums, jo periodā no 2006. līdz 2008.gadam līdzīgu elektrostaciju celtniecības izmaksas ir pieaugušas gandrīz divreiz.</w:t>
      </w:r>
    </w:p>
    <w:p w:rsidR="00DE0D97" w:rsidRPr="003B66D9" w:rsidRDefault="00DE0D97" w:rsidP="00DE0D97">
      <w:pPr>
        <w:pStyle w:val="BodyText0"/>
        <w:jc w:val="both"/>
        <w:rPr>
          <w:sz w:val="28"/>
          <w:szCs w:val="28"/>
        </w:rPr>
      </w:pPr>
      <w:r w:rsidRPr="003B66D9">
        <w:rPr>
          <w:sz w:val="28"/>
          <w:szCs w:val="28"/>
        </w:rPr>
        <w:t>Līdz ar jaunā CC 400 MW energobloka darbības uzsākšanu ir ievērojami paaugstinājusies TEC-2 energoefektivitāte, samazinot Latvijas energoatkarību. Pēc pirmā aizvietojošā energobloka izbūves, elektroenerģijas izstrāde (neto) koģenerācijas režīmā pieaugusi no vidēji 700 GWh/gadā līdz apmēram 1700 GWh/gadā, kas Latvijai nodrošina papildus apmēram 1000 GWh elektroenerģijas gadā.</w:t>
      </w:r>
    </w:p>
    <w:p w:rsidR="00DE0D97" w:rsidRPr="003B66D9" w:rsidRDefault="00DE0D97" w:rsidP="00DE0D97">
      <w:pPr>
        <w:pStyle w:val="BodyText0"/>
        <w:jc w:val="both"/>
        <w:rPr>
          <w:sz w:val="28"/>
          <w:szCs w:val="28"/>
        </w:rPr>
      </w:pPr>
      <w:r w:rsidRPr="003B66D9">
        <w:rPr>
          <w:sz w:val="28"/>
          <w:szCs w:val="28"/>
        </w:rPr>
        <w:t>Vienlaicīgi ar jauna energobloka izbūvi tika apturēta daļa no vecām mazāk efektīgam iekārtām. Rekonstrukcijas rezultātā Rīgas TEC-2 uzstādītā elektriskā jauda ir pieaugusi no 330 līdz 662 MW. Līdzīgi, kā TEC-1, ievērojami palielinājās attiecība starp elektrisko un siltuma jaudu koģenerācijā, respektīvi, no 0,5 līdz 0,98 (kopā ar vēl atlikušo veco koģenerācijas daļu), tādējādi nodrošinot efektīgāku siltuma slodzes izmantošanu. Uzlabojās arī kurināmā izmantošanas koeficients no 80% līdz 84%, nodrošinot gan kurināmā ekonomiju, gan mazākas emisijas.</w:t>
      </w:r>
    </w:p>
    <w:p w:rsidR="00DE0D97" w:rsidRPr="003B66D9" w:rsidRDefault="00DE0D97" w:rsidP="00DE0D97">
      <w:pPr>
        <w:pStyle w:val="BodyText0"/>
        <w:jc w:val="both"/>
        <w:rPr>
          <w:sz w:val="28"/>
          <w:szCs w:val="28"/>
        </w:rPr>
      </w:pPr>
      <w:r w:rsidRPr="003B66D9">
        <w:rPr>
          <w:sz w:val="28"/>
          <w:szCs w:val="28"/>
        </w:rPr>
        <w:lastRenderedPageBreak/>
        <w:t xml:space="preserve">Jaunais energobloks ir spējīgs strādāt arī kondensācijas režīmā ar ļoti augstu lietderības koeficientu, līdz 57-58%. </w:t>
      </w:r>
    </w:p>
    <w:p w:rsidR="00DE0D97" w:rsidRPr="003B66D9" w:rsidRDefault="00DE0D97" w:rsidP="00876AB9">
      <w:pPr>
        <w:spacing w:before="240" w:after="60" w:line="240" w:lineRule="auto"/>
        <w:rPr>
          <w:rFonts w:ascii="Times New Roman" w:hAnsi="Times New Roman"/>
          <w:b/>
          <w:sz w:val="28"/>
          <w:szCs w:val="28"/>
        </w:rPr>
      </w:pPr>
      <w:r w:rsidRPr="003B66D9">
        <w:rPr>
          <w:rFonts w:ascii="Times New Roman" w:hAnsi="Times New Roman"/>
          <w:b/>
          <w:sz w:val="28"/>
          <w:szCs w:val="28"/>
        </w:rPr>
        <w:t>Rīgas TEC-2 rekonstrukcijas 2. kārta</w:t>
      </w:r>
    </w:p>
    <w:p w:rsidR="00DE0D97" w:rsidRPr="003B66D9" w:rsidRDefault="00DE0D97" w:rsidP="00DE0D97">
      <w:pPr>
        <w:pStyle w:val="BodyText0"/>
        <w:jc w:val="both"/>
        <w:rPr>
          <w:sz w:val="28"/>
          <w:szCs w:val="28"/>
        </w:rPr>
      </w:pPr>
      <w:r w:rsidRPr="003B66D9">
        <w:rPr>
          <w:sz w:val="28"/>
          <w:szCs w:val="28"/>
        </w:rPr>
        <w:t>Šobrīd turpinās Rīgas TEC-2 rekonstrukcijas 2. kārta, kuru ir paredzēts pabeigt līdz 2013.gada jūlijam. Noslēdzoties Rīgas TEC-2 rekonstrukcijas 2. kārtai, ir paredzēts darbināt divus jaunus CC energoblokus un ūdenssildāmos katlus, apturēt visus vecos energoblokus. Tādējādi pēc rekonstrukcijas Rīgas TEC-2 energobloku kopējā elektriskā jauda koģenerācijas režīmā būs ap 806 MW, bet kondensācijas režīmā – 860 MW. Rīgas TEC-2 siltuma jauda būs 1124 MW, tajā skaitā 544 MW - energobloku jauda un 580 MW - piecu ūdenssildāmo katlu jauda.</w:t>
      </w:r>
    </w:p>
    <w:p w:rsidR="00DE0D97" w:rsidRPr="003B66D9" w:rsidRDefault="00DE0D97" w:rsidP="00DE0D97">
      <w:pPr>
        <w:pStyle w:val="BodyText0"/>
        <w:jc w:val="both"/>
        <w:rPr>
          <w:sz w:val="28"/>
          <w:szCs w:val="28"/>
        </w:rPr>
      </w:pPr>
      <w:r w:rsidRPr="003B66D9">
        <w:rPr>
          <w:sz w:val="28"/>
          <w:szCs w:val="28"/>
        </w:rPr>
        <w:t xml:space="preserve">Šīs rekonstrukcijas rezultātā vēl vairāk uzlabosies attiecība starp elektrisko un siltuma jaudu, respektīvi no 0,98 līdz 1,50, kā arī pieaugs kurināmā izmantošanas koeficients no 84% līdz 89%.  </w:t>
      </w:r>
    </w:p>
    <w:p w:rsidR="00DE0D97" w:rsidRPr="003B66D9" w:rsidRDefault="00DE0D97" w:rsidP="00DE0D97">
      <w:pPr>
        <w:pStyle w:val="BodyText0"/>
        <w:jc w:val="both"/>
        <w:rPr>
          <w:sz w:val="28"/>
          <w:szCs w:val="28"/>
        </w:rPr>
      </w:pPr>
      <w:r w:rsidRPr="003B66D9">
        <w:rPr>
          <w:sz w:val="28"/>
          <w:szCs w:val="28"/>
        </w:rPr>
        <w:t>Elektroenerģijas izstrāde koģenerācijas režīmā pieaugs no 1700 līdz 2300 GWh. Jaunus energoblokus daļēji darbinot kondensācijas režīmā ir iespējams saražot līdz 5000-5500 GWh elektroenerģijas.</w:t>
      </w:r>
    </w:p>
    <w:p w:rsidR="004820C6" w:rsidRPr="003B66D9" w:rsidRDefault="004820C6" w:rsidP="00DE0D97">
      <w:pPr>
        <w:pStyle w:val="BodyText0"/>
        <w:jc w:val="both"/>
        <w:rPr>
          <w:sz w:val="28"/>
          <w:szCs w:val="28"/>
        </w:rPr>
      </w:pPr>
    </w:p>
    <w:p w:rsidR="0040328C" w:rsidRPr="003B66D9" w:rsidRDefault="0040328C" w:rsidP="0040328C">
      <w:pPr>
        <w:pStyle w:val="Heading4"/>
        <w:numPr>
          <w:ilvl w:val="0"/>
          <w:numId w:val="0"/>
        </w:numPr>
        <w:spacing w:line="240" w:lineRule="auto"/>
        <w:jc w:val="center"/>
        <w:rPr>
          <w:rFonts w:ascii="Times New Roman" w:hAnsi="Times New Roman"/>
          <w:b/>
          <w:sz w:val="28"/>
          <w:lang w:val="lv-LV"/>
        </w:rPr>
      </w:pPr>
      <w:bookmarkStart w:id="14" w:name="_Toc300320563"/>
      <w:r w:rsidRPr="003B66D9">
        <w:rPr>
          <w:rFonts w:ascii="Times New Roman Bold" w:hAnsi="Times New Roman Bold"/>
          <w:b/>
          <w:i w:val="0"/>
          <w:caps/>
          <w:color w:val="auto"/>
          <w:sz w:val="28"/>
          <w:u w:val="none"/>
          <w:lang w:val="lv-LV"/>
        </w:rPr>
        <w:t>2.3.4. RĪGAS TERMOELEKTROSTACIJU pRIMĀRO eNERGORESURSU EKONOMIJAS NOVĒRTĒJUMS</w:t>
      </w:r>
      <w:bookmarkEnd w:id="14"/>
    </w:p>
    <w:p w:rsidR="00DE0D97" w:rsidRPr="003B66D9" w:rsidRDefault="00DE0D97" w:rsidP="0040328C">
      <w:pPr>
        <w:pStyle w:val="BodyText0"/>
        <w:jc w:val="both"/>
        <w:rPr>
          <w:sz w:val="28"/>
          <w:szCs w:val="28"/>
        </w:rPr>
      </w:pPr>
      <w:r w:rsidRPr="003B66D9">
        <w:rPr>
          <w:sz w:val="28"/>
          <w:szCs w:val="28"/>
        </w:rPr>
        <w:t>Vērtējot Rīgas termoelektrostaciju darbību atbilstoši Eiropas Savienības direktīvai 2004/88/EC par tādas koģenerācijas veicināšanu, kas balstīta uz lietderīgā siltuma pieprasījumu iekšējā tirgū, var secināt, ka primāro energoresursu ekonomija (PES) pirms Rīgas TEC-1 rekonstrukcijas bija mazāk par etalonu 10%, bet pēc rekonstrukcijas tas sasniedza 26%-27%. Arī pēc pirmā kombinētā cikla (CC) energobloka izbūves, ziemas mēnešos, strādājot koģenerācijas režīmā, primāro energoresursu ekonomija Rīgas TEC-2 būs 23,4%, tajā skaitā 10,7% esošās iekārtās un 27,0% jaunajā energoblokā. Pabeidzot TEC-2 rekonstrukciju, aizvietojot esošos vecos, mazefektīvos energoblokus ar jauno CC jaudām, energoresursu ekonomija pieaugs. Vasarā elektrostacija strādās kondensācijas režīmā.</w:t>
      </w:r>
    </w:p>
    <w:p w:rsidR="004820C6" w:rsidRPr="003B66D9" w:rsidRDefault="004820C6" w:rsidP="0040328C">
      <w:pPr>
        <w:pStyle w:val="BodyText0"/>
        <w:jc w:val="both"/>
        <w:rPr>
          <w:sz w:val="28"/>
          <w:szCs w:val="28"/>
        </w:rPr>
      </w:pPr>
    </w:p>
    <w:p w:rsidR="0040328C" w:rsidRPr="003B66D9" w:rsidRDefault="0040328C" w:rsidP="0040328C">
      <w:pPr>
        <w:pStyle w:val="Heading4"/>
        <w:numPr>
          <w:ilvl w:val="0"/>
          <w:numId w:val="0"/>
        </w:numPr>
        <w:spacing w:line="240" w:lineRule="auto"/>
        <w:jc w:val="center"/>
        <w:rPr>
          <w:rFonts w:ascii="Times New Roman" w:hAnsi="Times New Roman"/>
          <w:b/>
          <w:sz w:val="28"/>
          <w:lang w:val="lv-LV"/>
        </w:rPr>
      </w:pPr>
      <w:bookmarkStart w:id="15" w:name="_Toc300320564"/>
      <w:r w:rsidRPr="003B66D9">
        <w:rPr>
          <w:rFonts w:ascii="Times New Roman Bold" w:hAnsi="Times New Roman Bold"/>
          <w:b/>
          <w:i w:val="0"/>
          <w:caps/>
          <w:color w:val="auto"/>
          <w:sz w:val="28"/>
          <w:u w:val="none"/>
          <w:lang w:val="lv-LV"/>
        </w:rPr>
        <w:t>2.3.5. atbalsts koģenerācijas attīstībai</w:t>
      </w:r>
      <w:bookmarkEnd w:id="15"/>
    </w:p>
    <w:p w:rsidR="00DE0D97" w:rsidRPr="00DE0D97" w:rsidRDefault="00DE0D97" w:rsidP="0040328C">
      <w:pPr>
        <w:spacing w:line="240" w:lineRule="auto"/>
        <w:jc w:val="both"/>
        <w:rPr>
          <w:rFonts w:ascii="Times New Roman" w:hAnsi="Times New Roman"/>
          <w:sz w:val="28"/>
          <w:szCs w:val="28"/>
        </w:rPr>
      </w:pPr>
      <w:r w:rsidRPr="003B66D9">
        <w:rPr>
          <w:rFonts w:ascii="Times New Roman" w:hAnsi="Times New Roman"/>
          <w:sz w:val="28"/>
          <w:szCs w:val="28"/>
          <w:lang w:val="lv-LV"/>
        </w:rPr>
        <w:t xml:space="preserve">Latvijā 2010.gadā koģenerācijas procesā saražotās elektroenerģijas īpatsvars bija 46 % no valstī ģenerētās elektroenerģijas. Koģenerācija ir efektīva no primārās enerģijas izmantošanas viedokļa, bet saražotās siltumenerģijas lietderīgu izmantošanu ierobežo apkures sezonalitāte, kā arī piemērotas </w:t>
      </w:r>
      <w:r w:rsidRPr="003B66D9">
        <w:rPr>
          <w:rFonts w:ascii="Times New Roman" w:hAnsi="Times New Roman"/>
          <w:sz w:val="28"/>
          <w:szCs w:val="28"/>
          <w:lang w:val="lv-LV"/>
        </w:rPr>
        <w:lastRenderedPageBreak/>
        <w:t xml:space="preserve">rūpnieciskās siltumslodzes trūkums. 2009.gada 10.marta Ministru kabineta noteikumos Nr. 221 „Noteikumi par elektroenerģijas ražošanu un cenu noteikšanu, ražojot elektroenerģiju koģenerācijā”  </w:t>
      </w:r>
      <w:r w:rsidRPr="003B66D9">
        <w:rPr>
          <w:rFonts w:ascii="Times New Roman" w:hAnsi="Times New Roman"/>
          <w:sz w:val="28"/>
          <w:szCs w:val="28"/>
        </w:rPr>
        <w:t>ir iekļautas tiesību normas, kas saskaņā ar Elektroenerģijas tirgus likuma 28.1 pantu paredz tiesību iegūšanu saņemt garantētu maksu par koģenerācijas elektrostacijā uzstādīto elektrisko jaudu. Bez tam noteikumos ir iekļauta norma, kas paredz, ka koģenerācijas elektrostacijas var izvēlēteis vai pārdot saražoto elektroenerģiju obligāti iepērkamā elektroenerģijas apjoma veidā vai garantētās jaudas maksājuma veidā.</w:t>
      </w:r>
      <w:r w:rsidRPr="003B66D9">
        <w:rPr>
          <w:sz w:val="28"/>
          <w:szCs w:val="28"/>
        </w:rPr>
        <w:t xml:space="preserve"> </w:t>
      </w:r>
      <w:r w:rsidRPr="003B66D9">
        <w:rPr>
          <w:rFonts w:ascii="Times New Roman" w:hAnsi="Times New Roman"/>
          <w:sz w:val="28"/>
          <w:szCs w:val="28"/>
        </w:rPr>
        <w:t>2010. gada 1.novembrī stājās spēkā grozījumi augstākminētajos Ministru kabineta noteikumos Nr.221, turpmāk neparedzot iespēju pretendēt uz kvalificēšanos elektroenerģijas pārdošanai obligātā iepirkuma ietvaros vai garantētas maksas saņemšanai par uzstādīto elektrisko jaudu koģenerācijas elektrostacijām, kas enerģijas ražošanai izmanto fosilos energoresursus vai kūdru.</w:t>
      </w:r>
    </w:p>
    <w:p w:rsidR="00DE0D97" w:rsidRPr="00DE0D97" w:rsidRDefault="00DE0D97" w:rsidP="00DE0D97">
      <w:pPr>
        <w:pStyle w:val="BodyText0"/>
        <w:ind w:firstLine="284"/>
        <w:jc w:val="both"/>
        <w:rPr>
          <w:sz w:val="28"/>
          <w:szCs w:val="28"/>
        </w:rPr>
      </w:pPr>
    </w:p>
    <w:p w:rsidR="00DB1A11" w:rsidRPr="009179E5" w:rsidRDefault="0040328C" w:rsidP="00C8073B">
      <w:pPr>
        <w:pStyle w:val="Heading4"/>
        <w:numPr>
          <w:ilvl w:val="0"/>
          <w:numId w:val="0"/>
        </w:numPr>
        <w:spacing w:line="240" w:lineRule="auto"/>
        <w:jc w:val="center"/>
        <w:rPr>
          <w:rFonts w:ascii="Times New Roman Bold" w:hAnsi="Times New Roman Bold"/>
          <w:b/>
          <w:i w:val="0"/>
          <w:caps/>
          <w:color w:val="auto"/>
          <w:sz w:val="28"/>
          <w:u w:val="none"/>
          <w:lang w:val="lv-LV" w:eastAsia="de-DE"/>
        </w:rPr>
      </w:pPr>
      <w:bookmarkStart w:id="16" w:name="_Toc300320565"/>
      <w:r>
        <w:rPr>
          <w:rFonts w:ascii="Times New Roman Bold" w:hAnsi="Times New Roman Bold"/>
          <w:b/>
          <w:i w:val="0"/>
          <w:caps/>
          <w:color w:val="auto"/>
          <w:sz w:val="28"/>
          <w:u w:val="none"/>
          <w:lang w:val="lv-LV" w:eastAsia="de-DE"/>
        </w:rPr>
        <w:t>2.4</w:t>
      </w:r>
      <w:r w:rsidR="0095197D" w:rsidRPr="009179E5">
        <w:rPr>
          <w:rFonts w:ascii="Times New Roman Bold" w:hAnsi="Times New Roman Bold"/>
          <w:b/>
          <w:i w:val="0"/>
          <w:caps/>
          <w:color w:val="auto"/>
          <w:sz w:val="28"/>
          <w:u w:val="none"/>
          <w:lang w:val="lv-LV" w:eastAsia="de-DE"/>
        </w:rPr>
        <w:t>.</w:t>
      </w:r>
      <w:r w:rsidR="0051736A" w:rsidRPr="009179E5">
        <w:rPr>
          <w:rFonts w:ascii="Times New Roman Bold" w:hAnsi="Times New Roman Bold"/>
          <w:b/>
          <w:i w:val="0"/>
          <w:caps/>
          <w:color w:val="auto"/>
          <w:sz w:val="28"/>
          <w:u w:val="none"/>
          <w:lang w:val="lv-LV" w:eastAsia="de-DE"/>
        </w:rPr>
        <w:t xml:space="preserve"> </w:t>
      </w:r>
      <w:r w:rsidR="00556008" w:rsidRPr="009179E5">
        <w:rPr>
          <w:rFonts w:ascii="Times New Roman Bold" w:hAnsi="Times New Roman Bold"/>
          <w:b/>
          <w:i w:val="0"/>
          <w:caps/>
          <w:color w:val="auto"/>
          <w:sz w:val="28"/>
          <w:u w:val="none"/>
          <w:lang w:val="lv-LV" w:eastAsia="de-DE"/>
        </w:rPr>
        <w:t>Energoefektivitātes paaugstināšanas pasākumi elektroenerģijas pārvadē un sadalē</w:t>
      </w:r>
      <w:bookmarkEnd w:id="16"/>
    </w:p>
    <w:p w:rsidR="002021CC" w:rsidRPr="009179E5" w:rsidRDefault="002021CC" w:rsidP="009721A2">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AS </w:t>
      </w:r>
      <w:r w:rsidRPr="009179E5">
        <w:rPr>
          <w:rFonts w:ascii="Times New Roman" w:hAnsi="Times New Roman"/>
          <w:b/>
          <w:sz w:val="28"/>
          <w:szCs w:val="28"/>
          <w:lang w:val="lv-LV"/>
        </w:rPr>
        <w:t>“Augstsprieguma tīkls”</w:t>
      </w:r>
      <w:r w:rsidRPr="009179E5">
        <w:rPr>
          <w:rFonts w:ascii="Times New Roman" w:hAnsi="Times New Roman"/>
          <w:sz w:val="28"/>
          <w:szCs w:val="28"/>
          <w:lang w:val="lv-LV"/>
        </w:rPr>
        <w:t xml:space="preserve"> ir Latvijas neatkarīgais pārvades sistēmas operators, kurš darbojas saskaņā ar LR tiesību aktiem, normatīviem un licences prasībām, kas definē elektroenerģijas pārvades sistēmas operatora funkcijas, pienākumus, tiesības un atbildību. </w:t>
      </w:r>
    </w:p>
    <w:p w:rsidR="002021CC" w:rsidRPr="009179E5" w:rsidRDefault="002021CC" w:rsidP="009721A2">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AS “Augstsprieguma tīkls” nodrošina elektroenerģijas pārvades drošumu, stabilitāti un kvalitāti atbilstoši pamatotām, tehniski ekonomiskajām prasībām. Šobrīd zudumi AS „Augstsprieguma tīkls” elektroenerģijas pārvades sistēmā ir 3,8% no kopējā pārvadītā elektroenerģijas daudzuma. Savā 10 gadu attīstībās plānā AS „Augstsprieguma tīkls” ir paredzējis zudumus elektroenerģijas pārvades</w:t>
      </w:r>
      <w:r w:rsidR="00F04810" w:rsidRPr="009179E5">
        <w:rPr>
          <w:rFonts w:ascii="Times New Roman" w:hAnsi="Times New Roman"/>
          <w:sz w:val="28"/>
          <w:szCs w:val="28"/>
          <w:lang w:val="lv-LV"/>
        </w:rPr>
        <w:t xml:space="preserve"> sistēmā noturēt esošajā līmenī.</w:t>
      </w:r>
    </w:p>
    <w:p w:rsidR="00F04810" w:rsidRPr="009179E5" w:rsidRDefault="00F04810" w:rsidP="00F04810">
      <w:pPr>
        <w:autoSpaceDE w:val="0"/>
        <w:autoSpaceDN w:val="0"/>
        <w:adjustRightInd w:val="0"/>
        <w:spacing w:after="0" w:line="240" w:lineRule="auto"/>
        <w:jc w:val="both"/>
        <w:rPr>
          <w:rFonts w:ascii="Times New Roman" w:hAnsi="Times New Roman"/>
          <w:sz w:val="28"/>
          <w:szCs w:val="28"/>
          <w:lang w:val="lv-LV" w:eastAsia="lv-LV"/>
        </w:rPr>
      </w:pPr>
      <w:r w:rsidRPr="009179E5">
        <w:rPr>
          <w:rFonts w:ascii="Times New Roman" w:hAnsi="Times New Roman"/>
          <w:sz w:val="28"/>
          <w:szCs w:val="28"/>
          <w:lang w:val="lv-LV" w:eastAsia="lv-LV"/>
        </w:rPr>
        <w:t>Elektroenerģijas pārvades zudumi ir fizikas likumu diktēts, nevēlams un neizbēgams energosistēmas tehniskās darbības blakusprodukts, kuru tiešā mērā ietekmē energosistēmas līnijās un transformatoros plūstošā strāva.</w:t>
      </w:r>
    </w:p>
    <w:p w:rsidR="00F04810" w:rsidRPr="009179E5" w:rsidRDefault="00F04810" w:rsidP="00F04810">
      <w:pPr>
        <w:autoSpaceDE w:val="0"/>
        <w:autoSpaceDN w:val="0"/>
        <w:adjustRightInd w:val="0"/>
        <w:spacing w:after="0" w:line="240" w:lineRule="auto"/>
        <w:jc w:val="both"/>
        <w:rPr>
          <w:rFonts w:ascii="Times New Roman" w:hAnsi="Times New Roman"/>
          <w:sz w:val="28"/>
          <w:szCs w:val="28"/>
          <w:lang w:val="lv-LV" w:eastAsia="lv-LV"/>
        </w:rPr>
      </w:pPr>
      <w:r w:rsidRPr="009179E5">
        <w:rPr>
          <w:rFonts w:ascii="Times New Roman" w:hAnsi="Times New Roman"/>
          <w:sz w:val="28"/>
          <w:szCs w:val="28"/>
          <w:lang w:val="lv-LV" w:eastAsia="lv-LV"/>
        </w:rPr>
        <w:t>Energosistēmā pārvadāmā jauda un strāva ir tiešā mērā atkarīgas no tādiem energosistēmas darba režīmu parametriem kā:</w:t>
      </w:r>
    </w:p>
    <w:p w:rsidR="00F04810" w:rsidRPr="009179E5" w:rsidRDefault="00F04810" w:rsidP="00F04810">
      <w:pPr>
        <w:autoSpaceDE w:val="0"/>
        <w:autoSpaceDN w:val="0"/>
        <w:adjustRightInd w:val="0"/>
        <w:spacing w:after="0" w:line="240" w:lineRule="auto"/>
        <w:jc w:val="both"/>
        <w:rPr>
          <w:rFonts w:ascii="Times New Roman" w:hAnsi="Times New Roman"/>
          <w:sz w:val="28"/>
          <w:szCs w:val="28"/>
          <w:lang w:val="lv-LV" w:eastAsia="lv-LV"/>
        </w:rPr>
      </w:pPr>
      <w:r w:rsidRPr="009179E5">
        <w:rPr>
          <w:rFonts w:ascii="Times New Roman" w:hAnsi="Times New Roman"/>
          <w:sz w:val="28"/>
          <w:szCs w:val="28"/>
          <w:lang w:val="lv-LV" w:eastAsia="lv-LV"/>
        </w:rPr>
        <w:t>- Summārais energosistēmas un kaimiņu energosistēmu patēriņš,</w:t>
      </w:r>
    </w:p>
    <w:p w:rsidR="00F04810" w:rsidRPr="009179E5" w:rsidRDefault="00F04810" w:rsidP="00F04810">
      <w:pPr>
        <w:autoSpaceDE w:val="0"/>
        <w:autoSpaceDN w:val="0"/>
        <w:adjustRightInd w:val="0"/>
        <w:spacing w:after="0" w:line="240" w:lineRule="auto"/>
        <w:jc w:val="both"/>
        <w:rPr>
          <w:rFonts w:ascii="Times New Roman" w:hAnsi="Times New Roman"/>
          <w:sz w:val="28"/>
          <w:szCs w:val="28"/>
          <w:lang w:val="lv-LV" w:eastAsia="lv-LV"/>
        </w:rPr>
      </w:pPr>
      <w:r w:rsidRPr="009179E5">
        <w:rPr>
          <w:rFonts w:ascii="Times New Roman" w:hAnsi="Times New Roman"/>
          <w:sz w:val="28"/>
          <w:szCs w:val="28"/>
          <w:lang w:val="lv-LV" w:eastAsia="lv-LV"/>
        </w:rPr>
        <w:t>- Energosistēmas elektrostaciju slodze un slodzes sadalījums starp elektrostacijām,</w:t>
      </w:r>
    </w:p>
    <w:p w:rsidR="00F04810" w:rsidRPr="009179E5" w:rsidRDefault="00F04810" w:rsidP="00F04810">
      <w:pPr>
        <w:autoSpaceDE w:val="0"/>
        <w:autoSpaceDN w:val="0"/>
        <w:adjustRightInd w:val="0"/>
        <w:spacing w:after="0" w:line="240" w:lineRule="auto"/>
        <w:jc w:val="both"/>
        <w:rPr>
          <w:rFonts w:ascii="Times New Roman" w:hAnsi="Times New Roman"/>
          <w:sz w:val="28"/>
          <w:szCs w:val="28"/>
          <w:lang w:val="lv-LV" w:eastAsia="lv-LV"/>
        </w:rPr>
      </w:pPr>
      <w:r w:rsidRPr="009179E5">
        <w:rPr>
          <w:rFonts w:ascii="Times New Roman" w:hAnsi="Times New Roman"/>
          <w:sz w:val="28"/>
          <w:szCs w:val="28"/>
          <w:lang w:val="lv-LV" w:eastAsia="lv-LV"/>
        </w:rPr>
        <w:t>- Energosistēmas tīkla iekārtas sastāvs un tā tehniskie parametri (Līniju, TR remonti, ārkārtas atslēgumi).</w:t>
      </w:r>
    </w:p>
    <w:p w:rsidR="00F04810" w:rsidRPr="009179E5" w:rsidRDefault="00F04810" w:rsidP="00F04810">
      <w:pPr>
        <w:autoSpaceDE w:val="0"/>
        <w:autoSpaceDN w:val="0"/>
        <w:adjustRightInd w:val="0"/>
        <w:spacing w:after="0" w:line="240" w:lineRule="auto"/>
        <w:jc w:val="both"/>
        <w:rPr>
          <w:rFonts w:ascii="Times New Roman" w:hAnsi="Times New Roman"/>
          <w:sz w:val="28"/>
          <w:szCs w:val="28"/>
          <w:lang w:val="lv-LV" w:eastAsia="lv-LV"/>
        </w:rPr>
      </w:pPr>
      <w:r w:rsidRPr="009179E5">
        <w:rPr>
          <w:rFonts w:ascii="Times New Roman" w:hAnsi="Times New Roman"/>
          <w:sz w:val="28"/>
          <w:szCs w:val="28"/>
          <w:lang w:val="lv-LV" w:eastAsia="lv-LV"/>
        </w:rPr>
        <w:t xml:space="preserve">Katrs no uzskaitītajiem mainīgajiem parametriem ietekmē kopējos energosistēmas </w:t>
      </w:r>
      <w:r w:rsidR="009179E5" w:rsidRPr="009179E5">
        <w:rPr>
          <w:rFonts w:ascii="Times New Roman" w:hAnsi="Times New Roman"/>
          <w:sz w:val="28"/>
          <w:szCs w:val="28"/>
          <w:lang w:val="lv-LV" w:eastAsia="lv-LV"/>
        </w:rPr>
        <w:t>zudumus. Jaudas</w:t>
      </w:r>
      <w:r w:rsidRPr="009179E5">
        <w:rPr>
          <w:rFonts w:ascii="Times New Roman" w:hAnsi="Times New Roman"/>
          <w:sz w:val="28"/>
          <w:szCs w:val="28"/>
          <w:lang w:val="lv-LV" w:eastAsia="lv-LV"/>
        </w:rPr>
        <w:t xml:space="preserve"> zudumi un to optimizācija/samazinājums kā viens (bet ne noteicošais) no izvēles kritērijiem tiek ņemts vērā, projektējot </w:t>
      </w:r>
      <w:r w:rsidRPr="009179E5">
        <w:rPr>
          <w:rFonts w:ascii="Times New Roman" w:hAnsi="Times New Roman"/>
          <w:sz w:val="28"/>
          <w:szCs w:val="28"/>
          <w:lang w:val="lv-LV" w:eastAsia="lv-LV"/>
        </w:rPr>
        <w:lastRenderedPageBreak/>
        <w:t xml:space="preserve">jaunus elektropārvades tīkla elementus, izvēloties labāko, no vairākiem līniju trašu un līniju </w:t>
      </w:r>
      <w:r w:rsidR="009179E5" w:rsidRPr="009179E5">
        <w:rPr>
          <w:rFonts w:ascii="Times New Roman" w:hAnsi="Times New Roman"/>
          <w:sz w:val="28"/>
          <w:szCs w:val="28"/>
          <w:lang w:val="lv-LV" w:eastAsia="lv-LV"/>
        </w:rPr>
        <w:t>konstrukciju</w:t>
      </w:r>
      <w:r w:rsidRPr="009179E5">
        <w:rPr>
          <w:rFonts w:ascii="Times New Roman" w:hAnsi="Times New Roman"/>
          <w:sz w:val="28"/>
          <w:szCs w:val="28"/>
          <w:lang w:val="lv-LV" w:eastAsia="lv-LV"/>
        </w:rPr>
        <w:t xml:space="preserve"> variantiem</w:t>
      </w:r>
    </w:p>
    <w:p w:rsidR="002021CC" w:rsidRDefault="002021CC" w:rsidP="009721A2">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Latvenergo koncernu veido komercsabiedrību kopums, kurā izšķirošā ietekme ir koncerna mātessabiedrībai – Latvijas lielākajam elektroenerģijas ražotājam AS “Latvenergo”. Koncernā ietilpst arī piecas AS “Latvenergo” meitassabiedrības – AS “Latvijas elektriskie tīkli”, AS “Sadales tīkls”, “Latvenergo Kaubandus” OÜ (Igaunija), “Latvenergo Prekyba” UAB (Lietuva) un SIA “Liepājas enerģija”. </w:t>
      </w:r>
    </w:p>
    <w:p w:rsidR="00DE0D97" w:rsidRPr="003B66D9" w:rsidRDefault="00DE0D97" w:rsidP="0040328C">
      <w:pPr>
        <w:spacing w:before="120" w:after="120" w:line="240" w:lineRule="auto"/>
        <w:jc w:val="both"/>
        <w:rPr>
          <w:rFonts w:ascii="Times New Roman" w:hAnsi="Times New Roman"/>
          <w:sz w:val="28"/>
          <w:szCs w:val="28"/>
        </w:rPr>
      </w:pPr>
      <w:r w:rsidRPr="003B66D9">
        <w:rPr>
          <w:rFonts w:ascii="Times New Roman" w:hAnsi="Times New Roman"/>
          <w:sz w:val="28"/>
          <w:szCs w:val="28"/>
        </w:rPr>
        <w:t xml:space="preserve">AS „Latvijas elektriskie tīkli” apkalpo Latvijas teritorija esošās 330 kV un 110 kV elektropārvades līnijas, nodrošina 330 kV un 110 kV apakšstaciju un sadales punktu uzstādīto iekārtu ekspluatāciju, apkopes un remontus. Pēc AS „Sadales tīkls”, AS "Augstsprieguma tīkls" pasūtījumiem un saskaņā ar AS "Augstsprieguma tīkls" prasībām veiks pārvades tīkla rekonstrukcijas un jaunbūves. </w:t>
      </w:r>
    </w:p>
    <w:p w:rsidR="00DE0D97" w:rsidRPr="003B66D9" w:rsidRDefault="00DE0D97" w:rsidP="0040328C">
      <w:pPr>
        <w:spacing w:before="120" w:after="120" w:line="240" w:lineRule="auto"/>
        <w:jc w:val="both"/>
        <w:rPr>
          <w:rFonts w:ascii="Times New Roman" w:hAnsi="Times New Roman"/>
          <w:sz w:val="28"/>
          <w:szCs w:val="28"/>
        </w:rPr>
      </w:pPr>
      <w:r w:rsidRPr="003B66D9">
        <w:rPr>
          <w:rFonts w:ascii="Times New Roman" w:hAnsi="Times New Roman"/>
          <w:sz w:val="28"/>
          <w:szCs w:val="28"/>
        </w:rPr>
        <w:t xml:space="preserve">Veicot rekonstrukcijas un jaunbūves darbus, AS „Latvijas elektriskie tīkli” realizē optimālus tehniskus risinājumus, pielieto vismodernākas iekārtas un materiālus, lai rekonstrukcijas un būvniecības rezultātā paaugstinātu pārvades tīkla efektivitāti, samazinātu ekspluatācijas izdevumus. Kā piemērus energoefektivitātes paaugstināšanas pasakumiem var minēt 110/20 (10) kV transformatoru pielietošanu ar mazākiem elektroenerģijas zudumiem. </w:t>
      </w:r>
    </w:p>
    <w:p w:rsidR="00DE0D97" w:rsidRPr="003B66D9" w:rsidRDefault="00DE0D97" w:rsidP="0040328C">
      <w:pPr>
        <w:spacing w:before="120" w:after="120" w:line="240" w:lineRule="auto"/>
        <w:jc w:val="both"/>
        <w:rPr>
          <w:rFonts w:ascii="Times New Roman" w:hAnsi="Times New Roman"/>
          <w:sz w:val="28"/>
          <w:szCs w:val="28"/>
        </w:rPr>
      </w:pPr>
      <w:r w:rsidRPr="003B66D9">
        <w:rPr>
          <w:rFonts w:ascii="Times New Roman" w:hAnsi="Times New Roman"/>
          <w:sz w:val="28"/>
          <w:szCs w:val="28"/>
        </w:rPr>
        <w:t>Rekonstruējot apakšstacijas, kas ir vecākas par 35-40 gadiem, tiek pielietoti 330 kV un 110 kV elegāzes slēdži, citas elegāzes iekārtas, kā arī pielietoti releju aizsardzības un automātikas jaunu kompleksi. Tā rezultātā krietni samazinājas apkalpošanas darbu apjoms un apkalpošanas brigādēm ir daudz retāk jābrauc uz apakšstacijām, kas netiešā veidā paaugstina energoefektivitāti.</w:t>
      </w:r>
    </w:p>
    <w:p w:rsidR="00DE0D97" w:rsidRPr="003B66D9" w:rsidRDefault="00DE0D97" w:rsidP="0040328C">
      <w:pPr>
        <w:spacing w:before="120" w:after="120" w:line="240" w:lineRule="auto"/>
        <w:jc w:val="both"/>
        <w:rPr>
          <w:rFonts w:ascii="Times New Roman" w:hAnsi="Times New Roman"/>
          <w:sz w:val="28"/>
          <w:szCs w:val="28"/>
        </w:rPr>
      </w:pPr>
      <w:r w:rsidRPr="003B66D9">
        <w:rPr>
          <w:rFonts w:ascii="Times New Roman" w:hAnsi="Times New Roman"/>
          <w:sz w:val="28"/>
          <w:szCs w:val="28"/>
        </w:rPr>
        <w:t>AS „Latvijas elektriskie tīkli”, plānojot investīcijas līdz 2013. gadam, katrā gadā paredz rekonstruēt divas vai trīs 110 kV apakšstacijas to iekārtu novecojuma apturēšanai un darba efektivitātes paaugstināšanai.</w:t>
      </w:r>
    </w:p>
    <w:p w:rsidR="00DE0D97" w:rsidRPr="003B66D9" w:rsidRDefault="00DE0D97" w:rsidP="0040328C">
      <w:pPr>
        <w:autoSpaceDE w:val="0"/>
        <w:autoSpaceDN w:val="0"/>
        <w:adjustRightInd w:val="0"/>
        <w:spacing w:before="120" w:after="120" w:line="240" w:lineRule="auto"/>
        <w:jc w:val="both"/>
        <w:rPr>
          <w:rFonts w:ascii="Times New Roman" w:hAnsi="Times New Roman"/>
          <w:sz w:val="28"/>
          <w:szCs w:val="28"/>
        </w:rPr>
      </w:pPr>
      <w:r w:rsidRPr="003B66D9">
        <w:rPr>
          <w:rFonts w:ascii="Times New Roman" w:hAnsi="Times New Roman"/>
          <w:sz w:val="28"/>
          <w:szCs w:val="28"/>
        </w:rPr>
        <w:t>Ar elektroenerģijas sadali Latvijas teritorijā nodarbojas AS “Sadales tīkls”, izņemot lokālas nozīmes sadales sistēmas operatoru licenču teritorijas. Uzņēmuma mērķis ir nodrošināt kvalitatīvu vidējā un zemsprieguma elektrotīkla uzturēšanu, tā regulāru atjaunošanu un plānveida attīstību. Sadales sistēmas pakalpojumu tarifi tiek regulēti un tos apstiprina Sabiedrisko pakalpojumu regulēšanas komisija. Elektroenerģijas sadales pakalpojumu sniegšanai tiek izmantotas zemsprieguma (0,4 kV) un vidsprieguma (6 – 20 kV) iekārtas, 24,4 tūkst. transformatoru apakšstacijas un 235 sadales punkti. 2009. gada beigās visu spriegumu elektrolīniju kopgarums bija 91 466 kilometri, no tiem:</w:t>
      </w:r>
    </w:p>
    <w:p w:rsidR="00DE0D97" w:rsidRPr="003B66D9" w:rsidRDefault="00DE0D97" w:rsidP="0040328C">
      <w:pPr>
        <w:autoSpaceDE w:val="0"/>
        <w:autoSpaceDN w:val="0"/>
        <w:adjustRightInd w:val="0"/>
        <w:spacing w:before="120" w:after="120" w:line="240" w:lineRule="auto"/>
        <w:jc w:val="both"/>
        <w:rPr>
          <w:rFonts w:ascii="Times New Roman" w:hAnsi="Times New Roman"/>
          <w:sz w:val="28"/>
          <w:szCs w:val="28"/>
        </w:rPr>
      </w:pPr>
      <w:r w:rsidRPr="003B66D9">
        <w:rPr>
          <w:rFonts w:ascii="Times New Roman" w:hAnsi="Times New Roman"/>
          <w:sz w:val="28"/>
          <w:szCs w:val="28"/>
        </w:rPr>
        <w:t xml:space="preserve">• </w:t>
      </w:r>
      <w:r w:rsidRPr="003B66D9">
        <w:rPr>
          <w:rFonts w:ascii="Times New Roman" w:hAnsi="Times New Roman"/>
          <w:sz w:val="28"/>
          <w:szCs w:val="28"/>
        </w:rPr>
        <w:tab/>
        <w:t>vidsprieguma gaisvadu līnijas – 29 319 km, t.sk. līnijas ar izolētiem vadiem 1 263 km;</w:t>
      </w:r>
    </w:p>
    <w:p w:rsidR="00DE0D97" w:rsidRPr="003B66D9" w:rsidRDefault="00DE0D97" w:rsidP="0040328C">
      <w:pPr>
        <w:autoSpaceDE w:val="0"/>
        <w:autoSpaceDN w:val="0"/>
        <w:adjustRightInd w:val="0"/>
        <w:spacing w:before="120" w:after="120" w:line="240" w:lineRule="auto"/>
        <w:jc w:val="both"/>
        <w:rPr>
          <w:rFonts w:ascii="Times New Roman" w:hAnsi="Times New Roman"/>
          <w:sz w:val="28"/>
          <w:szCs w:val="28"/>
        </w:rPr>
      </w:pPr>
      <w:r w:rsidRPr="003B66D9">
        <w:rPr>
          <w:rFonts w:ascii="Times New Roman" w:hAnsi="Times New Roman"/>
          <w:sz w:val="28"/>
          <w:szCs w:val="28"/>
        </w:rPr>
        <w:lastRenderedPageBreak/>
        <w:t xml:space="preserve">• </w:t>
      </w:r>
      <w:r w:rsidRPr="003B66D9">
        <w:rPr>
          <w:rFonts w:ascii="Times New Roman" w:hAnsi="Times New Roman"/>
          <w:sz w:val="28"/>
          <w:szCs w:val="28"/>
        </w:rPr>
        <w:tab/>
        <w:t>vidsprieguma kabeļu līnijas – 5 405 km;</w:t>
      </w:r>
    </w:p>
    <w:p w:rsidR="00DE0D97" w:rsidRPr="003B66D9" w:rsidRDefault="00DE0D97" w:rsidP="0040328C">
      <w:pPr>
        <w:autoSpaceDE w:val="0"/>
        <w:autoSpaceDN w:val="0"/>
        <w:adjustRightInd w:val="0"/>
        <w:spacing w:before="120" w:after="120" w:line="240" w:lineRule="auto"/>
        <w:jc w:val="both"/>
        <w:rPr>
          <w:rFonts w:ascii="Times New Roman" w:hAnsi="Times New Roman"/>
          <w:sz w:val="28"/>
          <w:szCs w:val="28"/>
        </w:rPr>
      </w:pPr>
      <w:r w:rsidRPr="003B66D9">
        <w:rPr>
          <w:rFonts w:ascii="Times New Roman" w:hAnsi="Times New Roman"/>
          <w:sz w:val="28"/>
          <w:szCs w:val="28"/>
        </w:rPr>
        <w:t xml:space="preserve">• </w:t>
      </w:r>
      <w:r w:rsidRPr="003B66D9">
        <w:rPr>
          <w:rFonts w:ascii="Times New Roman" w:hAnsi="Times New Roman"/>
          <w:sz w:val="28"/>
          <w:szCs w:val="28"/>
        </w:rPr>
        <w:tab/>
        <w:t>zemsprieguma gaisvadu līnijas – 39 558 km, t.sk. piekarkabeļu līnijas 7995 km;</w:t>
      </w:r>
    </w:p>
    <w:p w:rsidR="00DE0D97" w:rsidRPr="003B66D9" w:rsidRDefault="00DE0D97" w:rsidP="0040328C">
      <w:pPr>
        <w:autoSpaceDE w:val="0"/>
        <w:autoSpaceDN w:val="0"/>
        <w:adjustRightInd w:val="0"/>
        <w:spacing w:before="120" w:after="120" w:line="240" w:lineRule="auto"/>
        <w:jc w:val="both"/>
        <w:rPr>
          <w:rFonts w:ascii="Times New Roman" w:hAnsi="Times New Roman"/>
          <w:sz w:val="28"/>
          <w:szCs w:val="28"/>
        </w:rPr>
      </w:pPr>
      <w:r w:rsidRPr="003B66D9">
        <w:rPr>
          <w:rFonts w:ascii="Times New Roman" w:hAnsi="Times New Roman"/>
          <w:sz w:val="28"/>
          <w:szCs w:val="28"/>
        </w:rPr>
        <w:t xml:space="preserve">• </w:t>
      </w:r>
      <w:r w:rsidRPr="003B66D9">
        <w:rPr>
          <w:rFonts w:ascii="Times New Roman" w:hAnsi="Times New Roman"/>
          <w:sz w:val="28"/>
          <w:szCs w:val="28"/>
        </w:rPr>
        <w:tab/>
        <w:t>zemsprieguma kabeļu līnijas – 17 184 km.</w:t>
      </w:r>
    </w:p>
    <w:p w:rsidR="00DE0D97" w:rsidRPr="003B66D9" w:rsidRDefault="00DE0D97" w:rsidP="0040328C">
      <w:pPr>
        <w:autoSpaceDE w:val="0"/>
        <w:autoSpaceDN w:val="0"/>
        <w:adjustRightInd w:val="0"/>
        <w:spacing w:before="120" w:after="120" w:line="240" w:lineRule="auto"/>
        <w:jc w:val="both"/>
        <w:rPr>
          <w:rFonts w:ascii="Times New Roman" w:hAnsi="Times New Roman"/>
          <w:sz w:val="28"/>
          <w:szCs w:val="28"/>
        </w:rPr>
      </w:pPr>
      <w:r w:rsidRPr="003B66D9">
        <w:rPr>
          <w:rFonts w:ascii="Times New Roman" w:hAnsi="Times New Roman"/>
          <w:sz w:val="28"/>
          <w:szCs w:val="28"/>
        </w:rPr>
        <w:t>Elektroenerģijas sadales tīkls nodrošina elektroenerģijas plūsmu no elektroenerģijas pārvades tīkla un no mazajiem elektroenerģijas ražotājiem līdz elektroenerģijas patērētājiem, kas ir pieslēgti pie zemsprieguma un vidsprieguma tīkliem.</w:t>
      </w:r>
    </w:p>
    <w:p w:rsidR="00DE0D97" w:rsidRPr="003B66D9" w:rsidRDefault="00DE0D97" w:rsidP="0040328C">
      <w:pPr>
        <w:autoSpaceDE w:val="0"/>
        <w:autoSpaceDN w:val="0"/>
        <w:adjustRightInd w:val="0"/>
        <w:spacing w:before="120" w:after="120" w:line="240" w:lineRule="auto"/>
        <w:jc w:val="both"/>
        <w:rPr>
          <w:rFonts w:ascii="Times New Roman" w:hAnsi="Times New Roman"/>
          <w:sz w:val="28"/>
          <w:szCs w:val="28"/>
        </w:rPr>
      </w:pPr>
      <w:r w:rsidRPr="003B66D9">
        <w:rPr>
          <w:rFonts w:ascii="Times New Roman" w:hAnsi="Times New Roman"/>
          <w:sz w:val="28"/>
          <w:szCs w:val="28"/>
        </w:rPr>
        <w:t xml:space="preserve">Šobrīd elektroenerģijas zudumu līmenis AS „Sadales tīkls” elektroenerģijas sadales sistēmā ir samazināts līdz 7% no pārvadītā elektroenerģijas daudzuma. Tas kopš 90-to gadu beigām ir pazemināts vairāk kā divas reizes. Lielāko zudumu daļu, apmēram 6% no pārvadītā elektroenerģijas daudzuma, veido tehniskie elektroenerģijas zudumi elektrolīnijās un transformatoros, t.sk. apmēram 3% zemsprieguma tīklos. Atlikušo zudumu daļu veido elektroenerģijas komercuzskaišu un norēķinu rezultējošā kļūda, neapmaksātais elektroenerģijas patēriņš, kā arī elektroenerģijas nelikumīga lietošana. </w:t>
      </w:r>
    </w:p>
    <w:p w:rsidR="00DE0D97" w:rsidRPr="00DE0D97" w:rsidRDefault="00DE0D97" w:rsidP="0040328C">
      <w:pPr>
        <w:autoSpaceDE w:val="0"/>
        <w:autoSpaceDN w:val="0"/>
        <w:adjustRightInd w:val="0"/>
        <w:spacing w:before="120" w:after="120" w:line="240" w:lineRule="auto"/>
        <w:jc w:val="both"/>
        <w:rPr>
          <w:rFonts w:ascii="Times New Roman" w:hAnsi="Times New Roman"/>
          <w:sz w:val="28"/>
          <w:szCs w:val="28"/>
        </w:rPr>
      </w:pPr>
      <w:r w:rsidRPr="003B66D9">
        <w:rPr>
          <w:rFonts w:ascii="Times New Roman" w:hAnsi="Times New Roman"/>
          <w:sz w:val="28"/>
          <w:szCs w:val="28"/>
        </w:rPr>
        <w:t>Sasniegto zudumu līmeni var nodrošināt mērķtiecīgais darbs elektroenerģijas skaitītāju parka modernizācijā, investīcijas elektrotīkla attīstībā, t.sk. elektroenerģijas uzskaites sakārtošanā, jaunu transformatoru punktu izbūvē, kā arī regulāra patērētās elektroenerģijas apmaksas kontrole. Turpmāk vēl pastāv nelielas iespējas samazināt komerczudumus, bet tehnisko zudumu līmeni noteiks elektroiekārtās pielietoto vadītāju pretestību noslodzes raksturs. To var ietekmēt ilgtermiņā ar patērētāju slodžu vadības pasākumiem, veicinot daļu elektrības patēriņu pārcelt no lielākas uz mazākas sistēmas noslodzes laiku. Tehniskos zudumus var ierobežot, ātri konstatējot bojājumus un novēršot strāvas noplūdes.</w:t>
      </w:r>
    </w:p>
    <w:p w:rsidR="009B650A" w:rsidRPr="009179E5" w:rsidRDefault="009B650A" w:rsidP="00F21DB1">
      <w:pPr>
        <w:autoSpaceDE w:val="0"/>
        <w:autoSpaceDN w:val="0"/>
        <w:adjustRightInd w:val="0"/>
        <w:spacing w:before="120" w:after="120" w:line="240" w:lineRule="auto"/>
        <w:jc w:val="both"/>
        <w:rPr>
          <w:rFonts w:ascii="Times New Roman" w:hAnsi="Times New Roman"/>
          <w:sz w:val="28"/>
          <w:szCs w:val="28"/>
          <w:lang w:val="lv-LV" w:eastAsia="lv-LV"/>
        </w:rPr>
      </w:pPr>
      <w:r w:rsidRPr="009179E5">
        <w:rPr>
          <w:rFonts w:ascii="Times New Roman" w:hAnsi="Times New Roman"/>
          <w:sz w:val="28"/>
          <w:szCs w:val="28"/>
          <w:lang w:val="lv-LV" w:eastAsia="lv-LV"/>
        </w:rPr>
        <w:t>Laika posmā no 2011.gada līdz 2020.gadam AS „Sadales tīkls” plāno realizēt pasākumus sprieguma novirzes samazināšanai un elektrolīniju un transformatoru apakšstaciju rekonstrukcijai, 110 kV transformatoru nomaiņai, dispečervadības pilnveidošanai un elektronisko daudzfunkciju skaitītāju uzstādīšanai, ieguldot šajos pasākumos līdz pat 527 milj.LVL.</w:t>
      </w:r>
    </w:p>
    <w:p w:rsidR="002021CC" w:rsidRDefault="009B650A" w:rsidP="00F21DB1">
      <w:pPr>
        <w:autoSpaceDE w:val="0"/>
        <w:autoSpaceDN w:val="0"/>
        <w:adjustRightInd w:val="0"/>
        <w:spacing w:before="120" w:after="120" w:line="240" w:lineRule="auto"/>
        <w:jc w:val="both"/>
        <w:rPr>
          <w:rFonts w:ascii="Times New Roman" w:hAnsi="Times New Roman"/>
          <w:sz w:val="28"/>
          <w:szCs w:val="28"/>
          <w:lang w:val="lv-LV" w:eastAsia="lv-LV"/>
        </w:rPr>
      </w:pPr>
      <w:r w:rsidRPr="009179E5">
        <w:rPr>
          <w:rFonts w:ascii="Times New Roman" w:hAnsi="Times New Roman"/>
          <w:sz w:val="28"/>
          <w:szCs w:val="28"/>
          <w:lang w:val="lv-LV" w:eastAsia="lv-LV"/>
        </w:rPr>
        <w:t xml:space="preserve">Bez tam laika posmā no 2011.gada līdz 2015.gadam plānots atjaunot 689 km sadales elektrotīklu par 24,5 </w:t>
      </w:r>
      <w:r w:rsidR="009179E5" w:rsidRPr="009179E5">
        <w:rPr>
          <w:rFonts w:ascii="Times New Roman" w:hAnsi="Times New Roman"/>
          <w:sz w:val="28"/>
          <w:szCs w:val="28"/>
          <w:lang w:val="lv-LV" w:eastAsia="lv-LV"/>
        </w:rPr>
        <w:t>milj.</w:t>
      </w:r>
      <w:r w:rsidRPr="009179E5">
        <w:rPr>
          <w:rFonts w:ascii="Times New Roman" w:hAnsi="Times New Roman"/>
          <w:sz w:val="28"/>
          <w:szCs w:val="28"/>
          <w:lang w:val="lv-LV" w:eastAsia="lv-LV"/>
        </w:rPr>
        <w:t xml:space="preserve"> LVL. Visi šie plānotie pasākumi ļaus samazināt elektroenerģijas tehniskos zudumus. </w:t>
      </w:r>
    </w:p>
    <w:p w:rsidR="0033763D" w:rsidRPr="0033763D" w:rsidRDefault="0033763D" w:rsidP="0040328C">
      <w:pPr>
        <w:shd w:val="clear" w:color="auto" w:fill="FFFFFF"/>
        <w:spacing w:line="240" w:lineRule="auto"/>
        <w:jc w:val="both"/>
        <w:rPr>
          <w:rFonts w:ascii="Times New Roman" w:hAnsi="Times New Roman"/>
          <w:sz w:val="28"/>
          <w:szCs w:val="28"/>
          <w:lang w:val="lv-LV"/>
        </w:rPr>
      </w:pPr>
      <w:r w:rsidRPr="003B66D9">
        <w:rPr>
          <w:rFonts w:ascii="Times New Roman" w:hAnsi="Times New Roman"/>
          <w:sz w:val="28"/>
          <w:szCs w:val="28"/>
          <w:lang w:val="lv-LV"/>
        </w:rPr>
        <w:t xml:space="preserve">Atbilstoši Sabiedrisko pakalpojumu regulēšanas komisijas padomes 2007.gada 12.decembra lēmumam Nr. 592 „Diferencētie elektroenerģijas tirdzniecības tarifi” 14.punktam, elektroenerģijas tirgotājs piedāvā saistītajiem lietotājiem diferencētos tarifus atkarībā no diennakts laika. AS Latvenergo šādus diferencētos tarifus ir noteikusi un tie atbilst tarifu veidam T3. Tomēr pašreiz diferencētos tarifus izmanto tikai ap 2000 klientu. Šādu zemu elektroenerģijas </w:t>
      </w:r>
      <w:r w:rsidRPr="003B66D9">
        <w:rPr>
          <w:rFonts w:ascii="Times New Roman" w:hAnsi="Times New Roman"/>
          <w:sz w:val="28"/>
          <w:szCs w:val="28"/>
          <w:lang w:val="lv-LV"/>
        </w:rPr>
        <w:lastRenderedPageBreak/>
        <w:t>patērētāju interesi par tarifu T3 nosaka tas, ka izmaksu starpība starp tarifiem T1unT3 ir minimāla un tā neveicina patērētāju pāreju uz diferencētu tarifu. Mazo izmaksu starpību nosaka tas, ka nakts stundās un brīvdienās nav pieejama lēta elektroenerģija, kuru savulaik nodrošināja Ignalīnas AES.</w:t>
      </w:r>
    </w:p>
    <w:p w:rsidR="0033763D" w:rsidRPr="0040328C" w:rsidRDefault="0033763D" w:rsidP="007A26BB">
      <w:pPr>
        <w:autoSpaceDE w:val="0"/>
        <w:autoSpaceDN w:val="0"/>
        <w:adjustRightInd w:val="0"/>
        <w:spacing w:before="120" w:after="120" w:line="240" w:lineRule="auto"/>
        <w:jc w:val="both"/>
        <w:rPr>
          <w:rFonts w:ascii="Times New Roman" w:hAnsi="Times New Roman"/>
          <w:sz w:val="24"/>
          <w:szCs w:val="28"/>
          <w:lang w:val="lv-LV" w:eastAsia="lv-LV"/>
        </w:rPr>
      </w:pPr>
    </w:p>
    <w:p w:rsidR="002021CC" w:rsidRPr="009179E5" w:rsidRDefault="002021CC" w:rsidP="002021CC">
      <w:pPr>
        <w:pStyle w:val="Default"/>
        <w:spacing w:before="120" w:after="120"/>
        <w:jc w:val="both"/>
        <w:rPr>
          <w:sz w:val="28"/>
          <w:szCs w:val="28"/>
        </w:rPr>
      </w:pPr>
      <w:r w:rsidRPr="009179E5">
        <w:rPr>
          <w:b/>
          <w:sz w:val="28"/>
          <w:szCs w:val="28"/>
          <w:u w:val="single"/>
        </w:rPr>
        <w:t>AS “Latvenergo” ir izstrādājis viedo tīklu koncepciju</w:t>
      </w:r>
      <w:r w:rsidRPr="009179E5">
        <w:rPr>
          <w:sz w:val="28"/>
          <w:szCs w:val="28"/>
        </w:rPr>
        <w:t xml:space="preserve"> (apstiprināta 2011.gada 1.martā ar Latvenergo valdes lēmumu). Viedo tīklu koncepcijas izstrādāšana ir viena no sadales tīkla attīstības sadaļām.</w:t>
      </w:r>
      <w:r w:rsidRPr="009179E5">
        <w:rPr>
          <w:sz w:val="23"/>
          <w:szCs w:val="23"/>
        </w:rPr>
        <w:t xml:space="preserve"> </w:t>
      </w:r>
      <w:r w:rsidRPr="009179E5">
        <w:rPr>
          <w:sz w:val="28"/>
          <w:szCs w:val="28"/>
        </w:rPr>
        <w:t>Galvenais virzītājspēks viedo tīklu attīstībai ir zaļās iniciatīvas, atjaunojamo energoresursu attīstība un energoefektivitāte – pieņēmums, ka labāk informēts patērētājs lietos mazāk enerģijas. Tādējādi viedo tīklu un viedo skaitītāju ieviešana tiek uzskatīta par nozīmīgu instrumentu Eiropas izvirzīto 20/20/20 mērķu sasniegšanā attiecībā uz enerģijas patēriņa samazināšanu. Turklāt viedie skaitītāji ir būtisks nosacījums atjaunojamo energoresursu un izkliedēto elektroenerģijas avotu ieslēgšanai tīklā.</w:t>
      </w:r>
    </w:p>
    <w:p w:rsidR="002021CC" w:rsidRPr="009179E5" w:rsidRDefault="002021CC" w:rsidP="002021CC">
      <w:pPr>
        <w:pStyle w:val="Default"/>
        <w:spacing w:before="120" w:after="120"/>
        <w:jc w:val="both"/>
        <w:rPr>
          <w:sz w:val="28"/>
          <w:szCs w:val="28"/>
        </w:rPr>
      </w:pPr>
      <w:r w:rsidRPr="009179E5">
        <w:rPr>
          <w:b/>
          <w:bCs/>
          <w:sz w:val="28"/>
          <w:szCs w:val="28"/>
        </w:rPr>
        <w:t>Viedo tīklu koncepcijas mērķi ir:</w:t>
      </w:r>
    </w:p>
    <w:p w:rsidR="002021CC" w:rsidRPr="009179E5" w:rsidRDefault="002021CC" w:rsidP="002021CC">
      <w:pPr>
        <w:pStyle w:val="Default"/>
        <w:numPr>
          <w:ilvl w:val="1"/>
          <w:numId w:val="38"/>
        </w:numPr>
        <w:spacing w:before="120" w:after="120"/>
        <w:ind w:left="709"/>
        <w:jc w:val="both"/>
        <w:rPr>
          <w:sz w:val="28"/>
          <w:szCs w:val="28"/>
        </w:rPr>
      </w:pPr>
      <w:r w:rsidRPr="009179E5">
        <w:rPr>
          <w:sz w:val="28"/>
          <w:szCs w:val="28"/>
        </w:rPr>
        <w:t xml:space="preserve">radīt vienotu sapratni par viedo tīklu jēdzienu Latvenergo koncernā; </w:t>
      </w:r>
    </w:p>
    <w:p w:rsidR="002021CC" w:rsidRPr="009179E5" w:rsidRDefault="002021CC" w:rsidP="002021CC">
      <w:pPr>
        <w:pStyle w:val="Default"/>
        <w:numPr>
          <w:ilvl w:val="1"/>
          <w:numId w:val="38"/>
        </w:numPr>
        <w:spacing w:before="120" w:after="120"/>
        <w:ind w:left="709"/>
        <w:jc w:val="both"/>
        <w:rPr>
          <w:sz w:val="28"/>
          <w:szCs w:val="28"/>
        </w:rPr>
      </w:pPr>
      <w:r w:rsidRPr="009179E5">
        <w:rPr>
          <w:sz w:val="28"/>
          <w:szCs w:val="28"/>
        </w:rPr>
        <w:t xml:space="preserve">radīt bāzi diskusijai par viedo tīklu ieviešanas nepieciešamību un tehniskajām iespējām un nosacījumiem; </w:t>
      </w:r>
    </w:p>
    <w:p w:rsidR="002021CC" w:rsidRPr="009179E5" w:rsidRDefault="002021CC" w:rsidP="002021CC">
      <w:pPr>
        <w:pStyle w:val="Default"/>
        <w:numPr>
          <w:ilvl w:val="1"/>
          <w:numId w:val="38"/>
        </w:numPr>
        <w:spacing w:before="120" w:after="120"/>
        <w:ind w:left="709"/>
        <w:jc w:val="both"/>
        <w:rPr>
          <w:sz w:val="28"/>
          <w:szCs w:val="28"/>
        </w:rPr>
      </w:pPr>
      <w:r w:rsidRPr="009179E5">
        <w:rPr>
          <w:sz w:val="28"/>
          <w:szCs w:val="28"/>
        </w:rPr>
        <w:t xml:space="preserve">radīt bāzi diskusijai par viedās uzskaites nodrošināšanas variantiem Latvenergo koncernā. </w:t>
      </w:r>
    </w:p>
    <w:p w:rsidR="002021CC" w:rsidRPr="009179E5" w:rsidRDefault="002021CC" w:rsidP="002021CC">
      <w:pPr>
        <w:autoSpaceDE w:val="0"/>
        <w:autoSpaceDN w:val="0"/>
        <w:adjustRightInd w:val="0"/>
        <w:spacing w:before="120" w:after="120" w:line="240" w:lineRule="auto"/>
        <w:jc w:val="both"/>
        <w:rPr>
          <w:rFonts w:ascii="Times New Roman" w:eastAsia="Calibri" w:hAnsi="Times New Roman"/>
          <w:color w:val="000000"/>
          <w:sz w:val="28"/>
          <w:szCs w:val="28"/>
          <w:lang w:val="lv-LV" w:eastAsia="lv-LV"/>
        </w:rPr>
      </w:pPr>
      <w:r w:rsidRPr="009179E5">
        <w:rPr>
          <w:rFonts w:ascii="Times New Roman" w:eastAsia="Calibri" w:hAnsi="Times New Roman"/>
          <w:color w:val="000000"/>
          <w:sz w:val="28"/>
          <w:szCs w:val="28"/>
          <w:lang w:val="lv-LV" w:eastAsia="lv-LV"/>
        </w:rPr>
        <w:t xml:space="preserve">Potenciālie ieguvumi, kas saistās ar viedo tīklu ieviešanu, ir šādi: </w:t>
      </w:r>
    </w:p>
    <w:p w:rsidR="002021CC" w:rsidRPr="009179E5" w:rsidRDefault="002021CC" w:rsidP="002021CC">
      <w:pPr>
        <w:autoSpaceDE w:val="0"/>
        <w:autoSpaceDN w:val="0"/>
        <w:adjustRightInd w:val="0"/>
        <w:spacing w:before="120" w:after="120" w:line="240" w:lineRule="auto"/>
        <w:jc w:val="both"/>
        <w:rPr>
          <w:rFonts w:ascii="Times New Roman" w:eastAsia="Calibri" w:hAnsi="Times New Roman"/>
          <w:color w:val="000000"/>
          <w:sz w:val="28"/>
          <w:szCs w:val="28"/>
          <w:lang w:val="lv-LV" w:eastAsia="lv-LV"/>
        </w:rPr>
      </w:pPr>
      <w:r w:rsidRPr="009179E5">
        <w:rPr>
          <w:rFonts w:ascii="Times New Roman" w:eastAsia="Calibri" w:hAnsi="Times New Roman"/>
          <w:color w:val="000000"/>
          <w:sz w:val="28"/>
          <w:szCs w:val="28"/>
          <w:lang w:val="lv-LV" w:eastAsia="lv-LV"/>
        </w:rPr>
        <w:t>1. Latvijai un sabiedrībai kopumā (</w:t>
      </w:r>
      <w:r w:rsidRPr="009179E5">
        <w:rPr>
          <w:rFonts w:ascii="Times New Roman" w:eastAsia="Calibri" w:hAnsi="Times New Roman"/>
          <w:i/>
          <w:iCs/>
          <w:color w:val="000000"/>
          <w:sz w:val="28"/>
          <w:szCs w:val="28"/>
          <w:lang w:val="lv-LV" w:eastAsia="lv-LV"/>
        </w:rPr>
        <w:t>vispārīgi</w:t>
      </w:r>
      <w:r w:rsidRPr="009179E5">
        <w:rPr>
          <w:rFonts w:ascii="Times New Roman" w:eastAsia="Calibri" w:hAnsi="Times New Roman"/>
          <w:color w:val="000000"/>
          <w:sz w:val="28"/>
          <w:szCs w:val="28"/>
          <w:lang w:val="lv-LV" w:eastAsia="lv-LV"/>
        </w:rPr>
        <w:t xml:space="preserve">): </w:t>
      </w:r>
    </w:p>
    <w:p w:rsidR="002021CC" w:rsidRPr="009179E5" w:rsidRDefault="002021CC" w:rsidP="002021CC">
      <w:pPr>
        <w:pStyle w:val="ListParagraph"/>
        <w:numPr>
          <w:ilvl w:val="1"/>
          <w:numId w:val="39"/>
        </w:numPr>
        <w:autoSpaceDE w:val="0"/>
        <w:autoSpaceDN w:val="0"/>
        <w:adjustRightInd w:val="0"/>
        <w:spacing w:before="120" w:after="120" w:line="240" w:lineRule="auto"/>
        <w:ind w:left="709"/>
        <w:jc w:val="both"/>
        <w:rPr>
          <w:rFonts w:ascii="Times New Roman" w:eastAsia="Calibri" w:hAnsi="Times New Roman"/>
          <w:color w:val="000000"/>
          <w:sz w:val="28"/>
          <w:szCs w:val="28"/>
          <w:lang w:val="lv-LV" w:eastAsia="lv-LV"/>
        </w:rPr>
      </w:pPr>
      <w:r w:rsidRPr="009179E5">
        <w:rPr>
          <w:rFonts w:ascii="Times New Roman" w:eastAsia="Calibri" w:hAnsi="Times New Roman"/>
          <w:color w:val="000000"/>
          <w:sz w:val="28"/>
          <w:szCs w:val="28"/>
          <w:lang w:val="lv-LV" w:eastAsia="lv-LV"/>
        </w:rPr>
        <w:t>enerģijas ražošanas un patēriņa efektivitātes pieauguma rezultātā CO</w:t>
      </w:r>
      <w:r w:rsidRPr="009179E5">
        <w:rPr>
          <w:rFonts w:ascii="Times New Roman" w:eastAsia="Calibri" w:hAnsi="Times New Roman"/>
          <w:color w:val="000000"/>
          <w:sz w:val="28"/>
          <w:szCs w:val="28"/>
          <w:vertAlign w:val="subscript"/>
          <w:lang w:val="lv-LV" w:eastAsia="lv-LV"/>
        </w:rPr>
        <w:t>2</w:t>
      </w:r>
      <w:r w:rsidRPr="009179E5">
        <w:rPr>
          <w:rFonts w:ascii="Times New Roman" w:eastAsia="Calibri" w:hAnsi="Times New Roman"/>
          <w:color w:val="000000"/>
          <w:sz w:val="28"/>
          <w:szCs w:val="28"/>
          <w:lang w:val="lv-LV" w:eastAsia="lv-LV"/>
        </w:rPr>
        <w:t xml:space="preserve"> emisijas samazināšanās Latvijā, it sevišķi pilsētās; </w:t>
      </w:r>
    </w:p>
    <w:p w:rsidR="002021CC" w:rsidRPr="009179E5" w:rsidRDefault="002021CC" w:rsidP="002021CC">
      <w:pPr>
        <w:pStyle w:val="ListParagraph"/>
        <w:numPr>
          <w:ilvl w:val="1"/>
          <w:numId w:val="39"/>
        </w:numPr>
        <w:autoSpaceDE w:val="0"/>
        <w:autoSpaceDN w:val="0"/>
        <w:adjustRightInd w:val="0"/>
        <w:spacing w:before="120" w:after="120" w:line="240" w:lineRule="auto"/>
        <w:ind w:left="709"/>
        <w:jc w:val="both"/>
        <w:rPr>
          <w:rFonts w:ascii="Times New Roman" w:eastAsia="Calibri" w:hAnsi="Times New Roman"/>
          <w:color w:val="000000"/>
          <w:sz w:val="28"/>
          <w:szCs w:val="28"/>
          <w:lang w:val="lv-LV" w:eastAsia="lv-LV"/>
        </w:rPr>
      </w:pPr>
      <w:r w:rsidRPr="009179E5">
        <w:rPr>
          <w:rFonts w:ascii="Times New Roman" w:eastAsia="Calibri" w:hAnsi="Times New Roman"/>
          <w:color w:val="000000"/>
          <w:sz w:val="28"/>
          <w:szCs w:val="28"/>
          <w:lang w:val="lv-LV" w:eastAsia="lv-LV"/>
        </w:rPr>
        <w:t xml:space="preserve">maksimālās pīķa slodzes samazināšanās, elektroenerģijas ražošanā, pārvades un sadales tīklos - samazinās investīcijas, zudumi; </w:t>
      </w:r>
    </w:p>
    <w:p w:rsidR="002021CC" w:rsidRPr="009179E5" w:rsidRDefault="002021CC" w:rsidP="002021CC">
      <w:pPr>
        <w:pStyle w:val="ListParagraph"/>
        <w:numPr>
          <w:ilvl w:val="1"/>
          <w:numId w:val="39"/>
        </w:numPr>
        <w:autoSpaceDE w:val="0"/>
        <w:autoSpaceDN w:val="0"/>
        <w:adjustRightInd w:val="0"/>
        <w:spacing w:before="120" w:after="120" w:line="240" w:lineRule="auto"/>
        <w:ind w:left="709"/>
        <w:jc w:val="both"/>
        <w:rPr>
          <w:rFonts w:ascii="Times New Roman" w:eastAsia="Calibri" w:hAnsi="Times New Roman"/>
          <w:color w:val="000000"/>
          <w:sz w:val="28"/>
          <w:szCs w:val="28"/>
          <w:lang w:val="lv-LV" w:eastAsia="lv-LV"/>
        </w:rPr>
      </w:pPr>
      <w:r w:rsidRPr="009179E5">
        <w:rPr>
          <w:rFonts w:ascii="Times New Roman" w:eastAsia="Calibri" w:hAnsi="Times New Roman"/>
          <w:color w:val="000000"/>
          <w:sz w:val="28"/>
          <w:szCs w:val="28"/>
          <w:lang w:val="lv-LV" w:eastAsia="lv-LV"/>
        </w:rPr>
        <w:t xml:space="preserve">Latvijas atjaunojamo energoresursu plašāka izmantošana; </w:t>
      </w:r>
    </w:p>
    <w:p w:rsidR="002021CC" w:rsidRPr="009179E5" w:rsidRDefault="002021CC" w:rsidP="002021CC">
      <w:pPr>
        <w:pStyle w:val="ListParagraph"/>
        <w:numPr>
          <w:ilvl w:val="1"/>
          <w:numId w:val="39"/>
        </w:numPr>
        <w:autoSpaceDE w:val="0"/>
        <w:autoSpaceDN w:val="0"/>
        <w:adjustRightInd w:val="0"/>
        <w:spacing w:before="120" w:after="120" w:line="240" w:lineRule="auto"/>
        <w:ind w:left="709"/>
        <w:jc w:val="both"/>
        <w:rPr>
          <w:rFonts w:ascii="Times New Roman" w:eastAsia="Calibri" w:hAnsi="Times New Roman"/>
          <w:color w:val="000000"/>
          <w:sz w:val="28"/>
          <w:szCs w:val="28"/>
          <w:lang w:val="lv-LV" w:eastAsia="lv-LV"/>
        </w:rPr>
      </w:pPr>
      <w:r w:rsidRPr="009179E5">
        <w:rPr>
          <w:rFonts w:ascii="Times New Roman" w:eastAsia="Calibri" w:hAnsi="Times New Roman"/>
          <w:color w:val="000000"/>
          <w:sz w:val="28"/>
          <w:szCs w:val="28"/>
          <w:lang w:val="lv-LV" w:eastAsia="lv-LV"/>
        </w:rPr>
        <w:t xml:space="preserve">autotransporta energoapgādes alternatīvas, tīrāks gaiss, it sevišķi pilsētās; </w:t>
      </w:r>
    </w:p>
    <w:p w:rsidR="002021CC" w:rsidRPr="009179E5" w:rsidRDefault="002021CC" w:rsidP="002021CC">
      <w:pPr>
        <w:pStyle w:val="ListParagraph"/>
        <w:numPr>
          <w:ilvl w:val="1"/>
          <w:numId w:val="39"/>
        </w:numPr>
        <w:autoSpaceDE w:val="0"/>
        <w:autoSpaceDN w:val="0"/>
        <w:adjustRightInd w:val="0"/>
        <w:spacing w:before="120" w:after="120" w:line="240" w:lineRule="auto"/>
        <w:ind w:left="709"/>
        <w:jc w:val="both"/>
        <w:rPr>
          <w:rFonts w:ascii="Times New Roman" w:eastAsia="Calibri" w:hAnsi="Times New Roman"/>
          <w:color w:val="000000"/>
          <w:sz w:val="28"/>
          <w:szCs w:val="28"/>
          <w:lang w:val="lv-LV" w:eastAsia="lv-LV"/>
        </w:rPr>
      </w:pPr>
      <w:r w:rsidRPr="009179E5">
        <w:rPr>
          <w:rFonts w:ascii="Times New Roman" w:eastAsia="Calibri" w:hAnsi="Times New Roman"/>
          <w:color w:val="000000"/>
          <w:sz w:val="28"/>
          <w:szCs w:val="28"/>
          <w:lang w:val="lv-LV" w:eastAsia="lv-LV"/>
        </w:rPr>
        <w:t xml:space="preserve">elektroenerģijas arvien plašāka izmantošana transporta līdzekļos; </w:t>
      </w:r>
    </w:p>
    <w:p w:rsidR="002021CC" w:rsidRPr="009179E5" w:rsidRDefault="002021CC" w:rsidP="002021CC">
      <w:pPr>
        <w:pStyle w:val="ListParagraph"/>
        <w:numPr>
          <w:ilvl w:val="1"/>
          <w:numId w:val="39"/>
        </w:numPr>
        <w:autoSpaceDE w:val="0"/>
        <w:autoSpaceDN w:val="0"/>
        <w:adjustRightInd w:val="0"/>
        <w:spacing w:before="120" w:after="120" w:line="240" w:lineRule="auto"/>
        <w:ind w:left="709"/>
        <w:jc w:val="both"/>
        <w:rPr>
          <w:rFonts w:ascii="Times New Roman" w:eastAsia="Calibri" w:hAnsi="Times New Roman"/>
          <w:color w:val="000000"/>
          <w:sz w:val="28"/>
          <w:szCs w:val="28"/>
          <w:lang w:val="lv-LV" w:eastAsia="lv-LV"/>
        </w:rPr>
      </w:pPr>
      <w:r w:rsidRPr="009179E5">
        <w:rPr>
          <w:rFonts w:ascii="Times New Roman" w:eastAsia="Calibri" w:hAnsi="Times New Roman"/>
          <w:color w:val="000000"/>
          <w:sz w:val="28"/>
          <w:szCs w:val="28"/>
          <w:lang w:val="lv-LV" w:eastAsia="lv-LV"/>
        </w:rPr>
        <w:t xml:space="preserve">dažādu enerģētikas papildus biznesu attīstība (enerģijas un elektroietaišu tirdzniecība, konsultācijas); </w:t>
      </w:r>
    </w:p>
    <w:p w:rsidR="002021CC" w:rsidRPr="009179E5" w:rsidRDefault="002021CC" w:rsidP="002021CC">
      <w:pPr>
        <w:pStyle w:val="ListParagraph"/>
        <w:numPr>
          <w:ilvl w:val="1"/>
          <w:numId w:val="39"/>
        </w:numPr>
        <w:autoSpaceDE w:val="0"/>
        <w:autoSpaceDN w:val="0"/>
        <w:adjustRightInd w:val="0"/>
        <w:spacing w:before="120" w:after="120" w:line="240" w:lineRule="auto"/>
        <w:ind w:left="709"/>
        <w:jc w:val="both"/>
        <w:rPr>
          <w:rFonts w:ascii="Times New Roman" w:eastAsia="Calibri" w:hAnsi="Times New Roman"/>
          <w:color w:val="000000"/>
          <w:sz w:val="28"/>
          <w:szCs w:val="28"/>
          <w:lang w:val="lv-LV" w:eastAsia="lv-LV"/>
        </w:rPr>
      </w:pPr>
      <w:r w:rsidRPr="009179E5">
        <w:rPr>
          <w:rFonts w:ascii="Times New Roman" w:eastAsia="Calibri" w:hAnsi="Times New Roman"/>
          <w:color w:val="000000"/>
          <w:sz w:val="28"/>
          <w:szCs w:val="28"/>
          <w:lang w:val="lv-LV" w:eastAsia="lv-LV"/>
        </w:rPr>
        <w:t xml:space="preserve">alternatīvās elektroenerģijas tirgus attīstība, un sekojoša reģionālā attīstība – tiek radītas jaunas darbavietas, attīstās lauksaimniecība, mežsaimniecība, apstrādes rūpniecība un ar atjaunojamo energoresursu tehnoloģijām saistītā pētniecība. </w:t>
      </w:r>
    </w:p>
    <w:p w:rsidR="002021CC" w:rsidRPr="009179E5" w:rsidRDefault="002021CC" w:rsidP="002021CC">
      <w:pPr>
        <w:autoSpaceDE w:val="0"/>
        <w:autoSpaceDN w:val="0"/>
        <w:adjustRightInd w:val="0"/>
        <w:spacing w:before="120" w:after="120" w:line="240" w:lineRule="auto"/>
        <w:jc w:val="both"/>
        <w:rPr>
          <w:rFonts w:ascii="Times New Roman" w:eastAsia="Calibri" w:hAnsi="Times New Roman"/>
          <w:color w:val="000000"/>
          <w:sz w:val="28"/>
          <w:szCs w:val="28"/>
          <w:lang w:val="lv-LV" w:eastAsia="lv-LV"/>
        </w:rPr>
      </w:pPr>
      <w:r w:rsidRPr="009179E5">
        <w:rPr>
          <w:rFonts w:ascii="Times New Roman" w:eastAsia="Calibri" w:hAnsi="Times New Roman"/>
          <w:color w:val="000000"/>
          <w:sz w:val="28"/>
          <w:szCs w:val="28"/>
          <w:lang w:val="lv-LV" w:eastAsia="lv-LV"/>
        </w:rPr>
        <w:t xml:space="preserve">2. Elektroenerģijas lietotājiem: </w:t>
      </w:r>
    </w:p>
    <w:p w:rsidR="002021CC" w:rsidRPr="009179E5" w:rsidRDefault="002021CC" w:rsidP="002021CC">
      <w:pPr>
        <w:pStyle w:val="ListParagraph"/>
        <w:numPr>
          <w:ilvl w:val="1"/>
          <w:numId w:val="40"/>
        </w:numPr>
        <w:autoSpaceDE w:val="0"/>
        <w:autoSpaceDN w:val="0"/>
        <w:adjustRightInd w:val="0"/>
        <w:spacing w:before="120" w:after="120" w:line="240" w:lineRule="auto"/>
        <w:ind w:left="709"/>
        <w:jc w:val="both"/>
        <w:rPr>
          <w:rFonts w:ascii="Times New Roman" w:eastAsia="Calibri" w:hAnsi="Times New Roman"/>
          <w:color w:val="000000"/>
          <w:sz w:val="28"/>
          <w:szCs w:val="28"/>
          <w:lang w:val="lv-LV" w:eastAsia="lv-LV"/>
        </w:rPr>
      </w:pPr>
      <w:r w:rsidRPr="009179E5">
        <w:rPr>
          <w:rFonts w:ascii="Times New Roman" w:eastAsia="Calibri" w:hAnsi="Times New Roman"/>
          <w:color w:val="000000"/>
          <w:sz w:val="28"/>
          <w:szCs w:val="28"/>
          <w:lang w:val="lv-LV" w:eastAsia="lv-LV"/>
        </w:rPr>
        <w:lastRenderedPageBreak/>
        <w:t xml:space="preserve">uzlabojas elektroenerģijas piegādes kvalitāte un klientu apkalpošanas līmenis, dinamisku tarifu pielietošanas iespējas, slodzes ierobežošana, klientu elektroiekārtu vadība, informācija par plānotiem atslēgumiem tīklā; </w:t>
      </w:r>
    </w:p>
    <w:p w:rsidR="002021CC" w:rsidRPr="009179E5" w:rsidRDefault="002021CC" w:rsidP="002021CC">
      <w:pPr>
        <w:pStyle w:val="ListParagraph"/>
        <w:numPr>
          <w:ilvl w:val="1"/>
          <w:numId w:val="40"/>
        </w:numPr>
        <w:autoSpaceDE w:val="0"/>
        <w:autoSpaceDN w:val="0"/>
        <w:adjustRightInd w:val="0"/>
        <w:spacing w:before="120" w:after="120" w:line="240" w:lineRule="auto"/>
        <w:ind w:left="709"/>
        <w:jc w:val="both"/>
        <w:rPr>
          <w:rFonts w:ascii="Times New Roman" w:eastAsia="Calibri" w:hAnsi="Times New Roman"/>
          <w:color w:val="000000"/>
          <w:sz w:val="28"/>
          <w:szCs w:val="28"/>
          <w:lang w:val="lv-LV" w:eastAsia="lv-LV"/>
        </w:rPr>
      </w:pPr>
      <w:r w:rsidRPr="009179E5">
        <w:rPr>
          <w:rFonts w:ascii="Times New Roman" w:eastAsia="Calibri" w:hAnsi="Times New Roman"/>
          <w:color w:val="000000"/>
          <w:sz w:val="28"/>
          <w:szCs w:val="28"/>
          <w:lang w:val="lv-LV" w:eastAsia="lv-LV"/>
        </w:rPr>
        <w:t xml:space="preserve">interaktīva klienta sadarbība ar sadales operatoru un elektroenerģijas tirgotāju; </w:t>
      </w:r>
    </w:p>
    <w:p w:rsidR="002021CC" w:rsidRPr="009179E5" w:rsidRDefault="002021CC" w:rsidP="002021CC">
      <w:pPr>
        <w:pStyle w:val="ListParagraph"/>
        <w:numPr>
          <w:ilvl w:val="1"/>
          <w:numId w:val="40"/>
        </w:numPr>
        <w:autoSpaceDE w:val="0"/>
        <w:autoSpaceDN w:val="0"/>
        <w:adjustRightInd w:val="0"/>
        <w:spacing w:before="120" w:after="120" w:line="240" w:lineRule="auto"/>
        <w:ind w:left="709"/>
        <w:jc w:val="both"/>
        <w:rPr>
          <w:rFonts w:ascii="Times New Roman" w:eastAsia="Calibri" w:hAnsi="Times New Roman"/>
          <w:color w:val="000000"/>
          <w:sz w:val="28"/>
          <w:szCs w:val="28"/>
          <w:lang w:val="lv-LV" w:eastAsia="lv-LV"/>
        </w:rPr>
      </w:pPr>
      <w:r w:rsidRPr="009179E5">
        <w:rPr>
          <w:rFonts w:ascii="Times New Roman" w:eastAsia="Calibri" w:hAnsi="Times New Roman"/>
          <w:color w:val="000000"/>
          <w:sz w:val="28"/>
          <w:szCs w:val="28"/>
          <w:lang w:val="lv-LV" w:eastAsia="lv-LV"/>
        </w:rPr>
        <w:t xml:space="preserve">palielinās patērētāju iespējas izvēlēties dažādus elektroenerģijas piegādātājus, kā arī informētība par elektroenerģijas patēriņa daudzumu un laiku; </w:t>
      </w:r>
    </w:p>
    <w:p w:rsidR="002021CC" w:rsidRPr="009179E5" w:rsidRDefault="002021CC" w:rsidP="002021CC">
      <w:pPr>
        <w:pStyle w:val="ListParagraph"/>
        <w:numPr>
          <w:ilvl w:val="1"/>
          <w:numId w:val="40"/>
        </w:numPr>
        <w:autoSpaceDE w:val="0"/>
        <w:autoSpaceDN w:val="0"/>
        <w:adjustRightInd w:val="0"/>
        <w:spacing w:before="120" w:after="120" w:line="240" w:lineRule="auto"/>
        <w:ind w:left="709"/>
        <w:jc w:val="both"/>
        <w:rPr>
          <w:rFonts w:ascii="Times New Roman" w:eastAsia="Calibri" w:hAnsi="Times New Roman"/>
          <w:color w:val="000000"/>
          <w:sz w:val="28"/>
          <w:szCs w:val="28"/>
          <w:lang w:val="lv-LV" w:eastAsia="lv-LV"/>
        </w:rPr>
      </w:pPr>
      <w:r w:rsidRPr="009179E5">
        <w:rPr>
          <w:rFonts w:ascii="Times New Roman" w:eastAsia="Calibri" w:hAnsi="Times New Roman"/>
          <w:color w:val="000000"/>
          <w:sz w:val="28"/>
          <w:szCs w:val="28"/>
          <w:lang w:val="lv-LV" w:eastAsia="lv-LV"/>
        </w:rPr>
        <w:t xml:space="preserve">ir labāka izpratne par elektroenerģijas izlietojumu, un rodas iespēja regulēt savu patēriņu un samazināt savus rēķinus par energoresursiem; </w:t>
      </w:r>
    </w:p>
    <w:p w:rsidR="002021CC" w:rsidRPr="009179E5" w:rsidRDefault="002021CC" w:rsidP="002021CC">
      <w:pPr>
        <w:pStyle w:val="ListParagraph"/>
        <w:numPr>
          <w:ilvl w:val="1"/>
          <w:numId w:val="40"/>
        </w:numPr>
        <w:autoSpaceDE w:val="0"/>
        <w:autoSpaceDN w:val="0"/>
        <w:adjustRightInd w:val="0"/>
        <w:spacing w:before="120" w:after="120" w:line="240" w:lineRule="auto"/>
        <w:ind w:left="709"/>
        <w:jc w:val="both"/>
        <w:rPr>
          <w:rFonts w:ascii="Times New Roman" w:eastAsia="Calibri" w:hAnsi="Times New Roman"/>
          <w:color w:val="000000"/>
          <w:sz w:val="28"/>
          <w:szCs w:val="28"/>
          <w:lang w:val="lv-LV" w:eastAsia="lv-LV"/>
        </w:rPr>
      </w:pPr>
      <w:r w:rsidRPr="009179E5">
        <w:rPr>
          <w:rFonts w:ascii="Times New Roman" w:eastAsia="Calibri" w:hAnsi="Times New Roman"/>
          <w:color w:val="000000"/>
          <w:sz w:val="28"/>
          <w:szCs w:val="28"/>
          <w:lang w:val="lv-LV" w:eastAsia="lv-LV"/>
        </w:rPr>
        <w:t xml:space="preserve">rodas iespēja lieko elektroenerģiju uzkrāt un pārdot, kā arī operatīvi pasūtīt nepieciešamo jaudu. </w:t>
      </w:r>
    </w:p>
    <w:p w:rsidR="00556008" w:rsidRPr="009179E5" w:rsidRDefault="002021CC" w:rsidP="002021CC">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Koncepcijas ieviešanas investīciju apjoms, atmaksāšanās nosacījumi, kā arī LR normatīvajos aktos iestrādājamais atbalsts investīcijām viedās uzskaites ieviešanā tiks konkretizēts, veicot ES direktīvā </w:t>
      </w:r>
      <w:r w:rsidRPr="009179E5">
        <w:rPr>
          <w:rFonts w:ascii="Times New Roman" w:hAnsi="Times New Roman"/>
          <w:bCs/>
          <w:color w:val="000000"/>
          <w:sz w:val="28"/>
          <w:szCs w:val="28"/>
          <w:lang w:val="lv-LV" w:eastAsia="lv-LV"/>
        </w:rPr>
        <w:t>2009/72/EK (2009.gada 13.jūlijs) par kopīgiem noteikumiem attiecībā uz elektroenerģijas iekšējo tirgu un par Direktīvas 2003/54/EK atcelšanu,</w:t>
      </w:r>
      <w:r w:rsidRPr="009179E5">
        <w:rPr>
          <w:rFonts w:ascii="Times New Roman" w:hAnsi="Times New Roman"/>
          <w:sz w:val="28"/>
          <w:szCs w:val="28"/>
          <w:lang w:val="lv-LV"/>
        </w:rPr>
        <w:t xml:space="preserve"> noteikto ekonomisko novērtējumu, kas jāveic līdz 2012. gada 3.septembrim.</w:t>
      </w:r>
    </w:p>
    <w:p w:rsidR="004F7F14" w:rsidRPr="009179E5" w:rsidRDefault="004F7F14" w:rsidP="002021CC">
      <w:pPr>
        <w:spacing w:before="120" w:after="120" w:line="240" w:lineRule="auto"/>
        <w:jc w:val="both"/>
        <w:rPr>
          <w:rFonts w:ascii="Times New Roman" w:hAnsi="Times New Roman"/>
          <w:sz w:val="28"/>
          <w:szCs w:val="28"/>
          <w:lang w:val="lv-LV"/>
        </w:rPr>
      </w:pPr>
    </w:p>
    <w:p w:rsidR="00556008" w:rsidRPr="009179E5" w:rsidRDefault="0040328C" w:rsidP="0001273E">
      <w:pPr>
        <w:pStyle w:val="Heading4"/>
        <w:numPr>
          <w:ilvl w:val="0"/>
          <w:numId w:val="0"/>
        </w:numPr>
        <w:spacing w:line="240" w:lineRule="auto"/>
        <w:jc w:val="center"/>
        <w:rPr>
          <w:rFonts w:ascii="Times New Roman" w:hAnsi="Times New Roman"/>
          <w:b/>
          <w:i w:val="0"/>
          <w:caps/>
          <w:color w:val="auto"/>
          <w:sz w:val="28"/>
          <w:u w:val="none"/>
          <w:lang w:val="lv-LV" w:eastAsia="de-DE"/>
        </w:rPr>
      </w:pPr>
      <w:bookmarkStart w:id="17" w:name="_Toc300320566"/>
      <w:r>
        <w:rPr>
          <w:rFonts w:ascii="Times New Roman" w:hAnsi="Times New Roman"/>
          <w:b/>
          <w:i w:val="0"/>
          <w:caps/>
          <w:color w:val="auto"/>
          <w:sz w:val="28"/>
          <w:u w:val="none"/>
          <w:lang w:val="lv-LV" w:eastAsia="de-DE"/>
        </w:rPr>
        <w:t>2.5</w:t>
      </w:r>
      <w:r w:rsidR="00C8073B" w:rsidRPr="009179E5">
        <w:rPr>
          <w:rFonts w:ascii="Times New Roman" w:hAnsi="Times New Roman"/>
          <w:b/>
          <w:i w:val="0"/>
          <w:caps/>
          <w:color w:val="auto"/>
          <w:sz w:val="28"/>
          <w:u w:val="none"/>
          <w:lang w:val="lv-LV" w:eastAsia="de-DE"/>
        </w:rPr>
        <w:t>.</w:t>
      </w:r>
      <w:r w:rsidR="00EC06FA" w:rsidRPr="009179E5">
        <w:rPr>
          <w:rFonts w:ascii="Times New Roman" w:hAnsi="Times New Roman"/>
          <w:b/>
          <w:i w:val="0"/>
          <w:caps/>
          <w:color w:val="auto"/>
          <w:sz w:val="28"/>
          <w:u w:val="none"/>
          <w:lang w:val="lv-LV" w:eastAsia="de-DE"/>
        </w:rPr>
        <w:t xml:space="preserve"> </w:t>
      </w:r>
      <w:r w:rsidR="00556008" w:rsidRPr="009179E5">
        <w:rPr>
          <w:rFonts w:ascii="Times New Roman" w:hAnsi="Times New Roman"/>
          <w:b/>
          <w:i w:val="0"/>
          <w:caps/>
          <w:color w:val="auto"/>
          <w:sz w:val="28"/>
          <w:u w:val="none"/>
          <w:lang w:val="lv-LV" w:eastAsia="de-DE"/>
        </w:rPr>
        <w:t>Energoefektivitātes paaugstināšanas pasākumi dabas gāzes pārvadē un sadalē</w:t>
      </w:r>
      <w:bookmarkEnd w:id="17"/>
    </w:p>
    <w:p w:rsidR="00DB1A11" w:rsidRPr="009179E5" w:rsidRDefault="00DB1A11" w:rsidP="00574AC8">
      <w:pPr>
        <w:spacing w:before="120" w:after="120" w:line="240" w:lineRule="auto"/>
        <w:jc w:val="both"/>
        <w:rPr>
          <w:rFonts w:ascii="Times New Roman" w:hAnsi="Times New Roman"/>
          <w:sz w:val="28"/>
          <w:szCs w:val="28"/>
          <w:lang w:val="lv-LV" w:eastAsia="lv-LV"/>
        </w:rPr>
      </w:pPr>
      <w:r w:rsidRPr="009179E5">
        <w:rPr>
          <w:rFonts w:ascii="Times New Roman" w:hAnsi="Times New Roman"/>
          <w:sz w:val="28"/>
          <w:szCs w:val="28"/>
          <w:lang w:val="lv-LV" w:eastAsia="lv-LV"/>
        </w:rPr>
        <w:t xml:space="preserve">Patlaban </w:t>
      </w:r>
      <w:r w:rsidRPr="009179E5">
        <w:rPr>
          <w:rFonts w:ascii="Times New Roman" w:hAnsi="Times New Roman"/>
          <w:b/>
          <w:sz w:val="28"/>
          <w:szCs w:val="28"/>
          <w:lang w:val="lv-LV" w:eastAsia="lv-LV"/>
        </w:rPr>
        <w:t>AS “Latvijas Gāze”</w:t>
      </w:r>
      <w:r w:rsidRPr="009179E5">
        <w:rPr>
          <w:rFonts w:ascii="Times New Roman" w:hAnsi="Times New Roman"/>
          <w:sz w:val="28"/>
          <w:szCs w:val="28"/>
          <w:lang w:val="lv-LV" w:eastAsia="lv-LV"/>
        </w:rPr>
        <w:t xml:space="preserve"> ir vienīgais uzņēmums dabasgāzes tirgū</w:t>
      </w:r>
      <w:r w:rsidR="00F4233F" w:rsidRPr="009179E5">
        <w:rPr>
          <w:rFonts w:ascii="Times New Roman" w:hAnsi="Times New Roman"/>
          <w:sz w:val="28"/>
          <w:szCs w:val="28"/>
          <w:lang w:val="lv-LV" w:eastAsia="lv-LV"/>
        </w:rPr>
        <w:t xml:space="preserve"> Latvijā</w:t>
      </w:r>
      <w:r w:rsidRPr="009179E5">
        <w:rPr>
          <w:rFonts w:ascii="Times New Roman" w:hAnsi="Times New Roman"/>
          <w:sz w:val="28"/>
          <w:szCs w:val="28"/>
          <w:lang w:val="lv-LV" w:eastAsia="lv-LV"/>
        </w:rPr>
        <w:t>. Uz akciju pirkšanas</w:t>
      </w:r>
      <w:r w:rsidR="00F4233F" w:rsidRPr="009179E5">
        <w:rPr>
          <w:rFonts w:ascii="Times New Roman" w:hAnsi="Times New Roman"/>
          <w:sz w:val="28"/>
          <w:szCs w:val="28"/>
          <w:lang w:val="lv-LV" w:eastAsia="lv-LV"/>
        </w:rPr>
        <w:t xml:space="preserve"> – </w:t>
      </w:r>
      <w:r w:rsidRPr="009179E5">
        <w:rPr>
          <w:rFonts w:ascii="Times New Roman" w:hAnsi="Times New Roman"/>
          <w:sz w:val="28"/>
          <w:szCs w:val="28"/>
          <w:lang w:val="lv-LV" w:eastAsia="lv-LV"/>
        </w:rPr>
        <w:t>pārdošanas</w:t>
      </w:r>
      <w:r w:rsidR="00F4233F" w:rsidRPr="009179E5">
        <w:rPr>
          <w:rFonts w:ascii="Times New Roman" w:hAnsi="Times New Roman"/>
          <w:sz w:val="28"/>
          <w:szCs w:val="28"/>
          <w:lang w:val="lv-LV" w:eastAsia="lv-LV"/>
        </w:rPr>
        <w:t xml:space="preserve"> </w:t>
      </w:r>
      <w:r w:rsidRPr="009179E5">
        <w:rPr>
          <w:rFonts w:ascii="Times New Roman" w:hAnsi="Times New Roman"/>
          <w:sz w:val="28"/>
          <w:szCs w:val="28"/>
          <w:lang w:val="lv-LV" w:eastAsia="lv-LV"/>
        </w:rPr>
        <w:t>līguma pamata AS “Latvijas Gāze” Latvijā ir ekskluzīvas gāzes pārvades, uzglabāšanas un izplatīšanas tiesības līdz 2017.gadam un dabasgāzes pārdošanas licence, kā arī neierobežotas un ekskluzīvas tiesības izmantot Inčukalna pazemes gāzes krātuvi divdesmit gadus. AS “Latvijas Gāze” pārvada, izplata, uzglabā un pārdod dabasgāzi saskaņā ar Sabiedrisko pakalpojumu regulēšanas komisijas izdotajām licencēm.</w:t>
      </w:r>
    </w:p>
    <w:p w:rsidR="00DB1A11" w:rsidRPr="009179E5" w:rsidRDefault="00DB1A11" w:rsidP="00574AC8">
      <w:pPr>
        <w:pStyle w:val="NormalWeb"/>
        <w:spacing w:before="120" w:beforeAutospacing="0" w:after="120" w:afterAutospacing="0"/>
        <w:ind w:right="11"/>
        <w:jc w:val="both"/>
        <w:rPr>
          <w:sz w:val="28"/>
          <w:szCs w:val="28"/>
        </w:rPr>
      </w:pPr>
      <w:r w:rsidRPr="009179E5">
        <w:rPr>
          <w:sz w:val="28"/>
          <w:szCs w:val="28"/>
        </w:rPr>
        <w:t>AS “Latvijas Gāze” prognozē, ka pēc gāzes patēriņa krituma 2009.gadā, ko Latvijā izraisīja ekonomiskās attīstības problēmas, tuvākajos 5 gados tas nedaudz pieaugs. Dabasgāzes patēriņa prognoze var mainīties atkarībā no dabasgāzes pieprasījuma un it sevišķi tās izmantošanas pakāpes elektroenerģijas ražošanā. Dabasgāzes patēriņa tendences ietekmē vispārējā tautsaimniecības attīstība, ēku siltumizolācija, modernu un ekonomisku gāzes sadedzināšanas iekārtu izmantošana, kā arī alternatīvu kurināmā veidu īpatsvara izmaiņas.</w:t>
      </w:r>
    </w:p>
    <w:p w:rsidR="00DB1A11" w:rsidRPr="009179E5" w:rsidRDefault="00DB1A11" w:rsidP="00574AC8">
      <w:pPr>
        <w:spacing w:before="120" w:after="120" w:line="240" w:lineRule="auto"/>
        <w:jc w:val="both"/>
        <w:rPr>
          <w:rFonts w:ascii="Times New Roman" w:hAnsi="Times New Roman"/>
          <w:sz w:val="28"/>
          <w:szCs w:val="28"/>
          <w:lang w:val="lv-LV" w:eastAsia="lv-LV"/>
        </w:rPr>
      </w:pPr>
      <w:r w:rsidRPr="009179E5">
        <w:rPr>
          <w:rFonts w:ascii="Times New Roman" w:hAnsi="Times New Roman"/>
          <w:bCs/>
          <w:sz w:val="28"/>
          <w:szCs w:val="28"/>
          <w:lang w:val="lv-LV" w:eastAsia="lv-LV"/>
        </w:rPr>
        <w:t>AS “Latvijas Gāze” investīciju politikas pamatprincipi ir šādi:</w:t>
      </w:r>
    </w:p>
    <w:p w:rsidR="00DB1A11" w:rsidRPr="009179E5" w:rsidRDefault="00DB1A11" w:rsidP="00AF5E8A">
      <w:pPr>
        <w:numPr>
          <w:ilvl w:val="0"/>
          <w:numId w:val="6"/>
        </w:numPr>
        <w:spacing w:before="60" w:after="60" w:line="240" w:lineRule="auto"/>
        <w:ind w:left="0" w:firstLine="0"/>
        <w:jc w:val="both"/>
        <w:rPr>
          <w:rFonts w:ascii="Times New Roman" w:hAnsi="Times New Roman"/>
          <w:sz w:val="28"/>
          <w:szCs w:val="28"/>
          <w:lang w:val="lv-LV" w:eastAsia="lv-LV"/>
        </w:rPr>
      </w:pPr>
      <w:r w:rsidRPr="009179E5">
        <w:rPr>
          <w:rFonts w:ascii="Times New Roman" w:hAnsi="Times New Roman"/>
          <w:sz w:val="28"/>
          <w:szCs w:val="28"/>
          <w:lang w:val="lv-LV" w:eastAsia="lv-LV"/>
        </w:rPr>
        <w:t xml:space="preserve">investīcijas infrastruktūras modernizācijā saistībā ar gāzapgādes stabilitāti un drošību; </w:t>
      </w:r>
    </w:p>
    <w:p w:rsidR="00DB1A11" w:rsidRPr="009179E5" w:rsidRDefault="00DB1A11" w:rsidP="00AF5E8A">
      <w:pPr>
        <w:numPr>
          <w:ilvl w:val="0"/>
          <w:numId w:val="6"/>
        </w:numPr>
        <w:spacing w:before="60" w:after="60" w:line="240" w:lineRule="auto"/>
        <w:ind w:left="0" w:firstLine="0"/>
        <w:jc w:val="both"/>
        <w:rPr>
          <w:rFonts w:ascii="Times New Roman" w:hAnsi="Times New Roman"/>
          <w:sz w:val="28"/>
          <w:szCs w:val="28"/>
          <w:lang w:val="lv-LV" w:eastAsia="lv-LV"/>
        </w:rPr>
      </w:pPr>
      <w:r w:rsidRPr="009179E5">
        <w:rPr>
          <w:rFonts w:ascii="Times New Roman" w:hAnsi="Times New Roman"/>
          <w:sz w:val="28"/>
          <w:szCs w:val="28"/>
          <w:lang w:val="lv-LV" w:eastAsia="lv-LV"/>
        </w:rPr>
        <w:lastRenderedPageBreak/>
        <w:t xml:space="preserve">investīcijas infrastruktūras un pakalpojumu kvalitātes attīstībā;  </w:t>
      </w:r>
    </w:p>
    <w:p w:rsidR="00DB1A11" w:rsidRPr="009179E5" w:rsidRDefault="00DB1A11" w:rsidP="00AF5E8A">
      <w:pPr>
        <w:numPr>
          <w:ilvl w:val="0"/>
          <w:numId w:val="6"/>
        </w:numPr>
        <w:spacing w:before="60" w:after="60" w:line="240" w:lineRule="auto"/>
        <w:ind w:left="0" w:firstLine="0"/>
        <w:jc w:val="both"/>
        <w:rPr>
          <w:rFonts w:ascii="Times New Roman" w:hAnsi="Times New Roman"/>
          <w:sz w:val="28"/>
          <w:szCs w:val="28"/>
          <w:lang w:val="lv-LV" w:eastAsia="lv-LV"/>
        </w:rPr>
      </w:pPr>
      <w:r w:rsidRPr="009179E5">
        <w:rPr>
          <w:rFonts w:ascii="Times New Roman" w:hAnsi="Times New Roman"/>
          <w:sz w:val="28"/>
          <w:szCs w:val="28"/>
          <w:lang w:val="lv-LV" w:eastAsia="lv-LV"/>
        </w:rPr>
        <w:t>peļņa, kas pieļauj investīcijas, un dividenžu izmaksa atbilstoši starptautiskā dabasgāzes sektora praksei.</w:t>
      </w:r>
    </w:p>
    <w:p w:rsidR="00DB1A11" w:rsidRPr="009179E5" w:rsidRDefault="002A621E" w:rsidP="00AF5E8A">
      <w:pPr>
        <w:spacing w:before="60" w:after="60" w:line="240" w:lineRule="auto"/>
        <w:jc w:val="both"/>
        <w:rPr>
          <w:rFonts w:ascii="Times New Roman" w:hAnsi="Times New Roman"/>
          <w:bCs/>
          <w:sz w:val="28"/>
          <w:szCs w:val="28"/>
          <w:lang w:val="lv-LV"/>
        </w:rPr>
      </w:pPr>
      <w:r w:rsidRPr="009179E5">
        <w:rPr>
          <w:rFonts w:ascii="Times New Roman" w:hAnsi="Times New Roman"/>
          <w:bCs/>
          <w:sz w:val="28"/>
          <w:szCs w:val="28"/>
          <w:lang w:val="lv-LV"/>
        </w:rPr>
        <w:t xml:space="preserve">AS “Latvijas Gāze” laika posmam no </w:t>
      </w:r>
      <w:r w:rsidR="00DB1A11" w:rsidRPr="009179E5">
        <w:rPr>
          <w:rFonts w:ascii="Times New Roman" w:hAnsi="Times New Roman"/>
          <w:bCs/>
          <w:sz w:val="28"/>
          <w:szCs w:val="28"/>
          <w:lang w:val="lv-LV"/>
        </w:rPr>
        <w:t>2011.-2015.gadam ir sagatavojusi jaunu investīciju programmu.</w:t>
      </w:r>
    </w:p>
    <w:p w:rsidR="009B650A" w:rsidRPr="009179E5" w:rsidRDefault="009B650A" w:rsidP="0001273E">
      <w:pPr>
        <w:spacing w:line="240" w:lineRule="auto"/>
        <w:ind w:firstLine="720"/>
        <w:jc w:val="both"/>
        <w:rPr>
          <w:rFonts w:ascii="Times New Roman" w:hAnsi="Times New Roman"/>
          <w:sz w:val="28"/>
          <w:szCs w:val="28"/>
          <w:lang w:val="lv-LV"/>
        </w:rPr>
      </w:pPr>
      <w:r w:rsidRPr="009179E5">
        <w:rPr>
          <w:rFonts w:ascii="Times New Roman" w:hAnsi="Times New Roman"/>
          <w:sz w:val="28"/>
          <w:szCs w:val="28"/>
          <w:lang w:val="lv-LV"/>
        </w:rPr>
        <w:t>Tā kā daudzi maģistrālie gāzesvadi Latvijā ir vecāki par 30 vai pat 40 gadiem, liela uzmanība tiek pievērsta šo gāzesvadu pārbaudei un atklāto defektu novēršanai. Visu maģistrālo gāzesvadu apsekošana un remonts tiks pabeigts līdz 2013. gada beigām.</w:t>
      </w:r>
    </w:p>
    <w:p w:rsidR="00DB1A11" w:rsidRDefault="00DB1A11" w:rsidP="00F05BF3">
      <w:pPr>
        <w:spacing w:before="120" w:after="120" w:line="240" w:lineRule="auto"/>
        <w:ind w:firstLine="720"/>
        <w:jc w:val="both"/>
        <w:rPr>
          <w:rFonts w:ascii="Times New Roman" w:hAnsi="Times New Roman"/>
          <w:bCs/>
          <w:sz w:val="28"/>
          <w:szCs w:val="28"/>
          <w:lang w:val="lv-LV"/>
        </w:rPr>
      </w:pPr>
      <w:r w:rsidRPr="009179E5">
        <w:rPr>
          <w:rFonts w:ascii="Times New Roman" w:hAnsi="Times New Roman"/>
          <w:bCs/>
          <w:sz w:val="28"/>
          <w:szCs w:val="28"/>
          <w:lang w:val="lv-LV"/>
        </w:rPr>
        <w:t>2009. gadā, lai nodrošinātu nepārtrauktu dabasgāzes piegādi klientiem un drošu gāz</w:t>
      </w:r>
      <w:r w:rsidR="00A34EE8" w:rsidRPr="009179E5">
        <w:rPr>
          <w:rFonts w:ascii="Times New Roman" w:hAnsi="Times New Roman"/>
          <w:bCs/>
          <w:sz w:val="28"/>
          <w:szCs w:val="28"/>
          <w:lang w:val="lv-LV"/>
        </w:rPr>
        <w:t xml:space="preserve">es </w:t>
      </w:r>
      <w:r w:rsidRPr="009179E5">
        <w:rPr>
          <w:rFonts w:ascii="Times New Roman" w:hAnsi="Times New Roman"/>
          <w:bCs/>
          <w:sz w:val="28"/>
          <w:szCs w:val="28"/>
          <w:lang w:val="lv-LV"/>
        </w:rPr>
        <w:t xml:space="preserve">apgādes sistēmas darbību, uzņēmums izstrādāja AS “Latvijas Gāze” Pasākumu plānu gāzapgādes sistēmas drošības uzlabošanai </w:t>
      </w:r>
      <w:r w:rsidR="002A621E" w:rsidRPr="009179E5">
        <w:rPr>
          <w:rFonts w:ascii="Times New Roman" w:hAnsi="Times New Roman"/>
          <w:bCs/>
          <w:sz w:val="28"/>
          <w:szCs w:val="28"/>
          <w:lang w:val="lv-LV"/>
        </w:rPr>
        <w:t xml:space="preserve">no </w:t>
      </w:r>
      <w:r w:rsidRPr="009179E5">
        <w:rPr>
          <w:rFonts w:ascii="Times New Roman" w:hAnsi="Times New Roman"/>
          <w:bCs/>
          <w:sz w:val="28"/>
          <w:szCs w:val="28"/>
          <w:lang w:val="lv-LV"/>
        </w:rPr>
        <w:t>2010-2015.</w:t>
      </w:r>
      <w:r w:rsidR="002A621E" w:rsidRPr="009179E5">
        <w:rPr>
          <w:rFonts w:ascii="Times New Roman" w:hAnsi="Times New Roman"/>
          <w:bCs/>
          <w:sz w:val="28"/>
          <w:szCs w:val="28"/>
          <w:lang w:val="lv-LV"/>
        </w:rPr>
        <w:t>gadam.</w:t>
      </w:r>
      <w:r w:rsidRPr="009179E5">
        <w:rPr>
          <w:rFonts w:ascii="Times New Roman" w:hAnsi="Times New Roman"/>
          <w:bCs/>
          <w:sz w:val="28"/>
          <w:szCs w:val="28"/>
          <w:lang w:val="lv-LV"/>
        </w:rPr>
        <w:t xml:space="preserve"> Plāns tika sagatavots, balstoties uz atzinumu par iekārtu tehnisko stāvokli un to modernizācijas iespējām. Pasākumu plāns paredz investīcijas drošības uzlabošanā kopumā 50,6 miljonu LVL apmērā, tajā skaitā maģistrālo gāzesvadu sistēmā 700 tūkst. LVL, bet sadales gāzes vadu sistēmā 640 tūkst.</w:t>
      </w:r>
      <w:r w:rsidR="004F7F14" w:rsidRPr="009179E5">
        <w:rPr>
          <w:rFonts w:ascii="Times New Roman" w:hAnsi="Times New Roman"/>
          <w:bCs/>
          <w:sz w:val="28"/>
          <w:szCs w:val="28"/>
          <w:lang w:val="lv-LV"/>
        </w:rPr>
        <w:t> </w:t>
      </w:r>
      <w:r w:rsidRPr="009179E5">
        <w:rPr>
          <w:rFonts w:ascii="Times New Roman" w:hAnsi="Times New Roman"/>
          <w:bCs/>
          <w:sz w:val="28"/>
          <w:szCs w:val="28"/>
          <w:lang w:val="lv-LV"/>
        </w:rPr>
        <w:t xml:space="preserve">LVL. </w:t>
      </w:r>
    </w:p>
    <w:p w:rsidR="006A34CA" w:rsidRDefault="006A34CA" w:rsidP="00F05BF3">
      <w:pPr>
        <w:spacing w:before="120" w:after="120" w:line="240" w:lineRule="auto"/>
        <w:ind w:firstLine="720"/>
        <w:jc w:val="both"/>
        <w:rPr>
          <w:rFonts w:ascii="Times New Roman" w:hAnsi="Times New Roman"/>
          <w:bCs/>
          <w:sz w:val="28"/>
          <w:szCs w:val="28"/>
          <w:lang w:val="lv-LV"/>
        </w:rPr>
      </w:pPr>
      <w:r w:rsidRPr="003B66D9">
        <w:rPr>
          <w:rFonts w:ascii="Times New Roman" w:hAnsi="Times New Roman"/>
          <w:bCs/>
          <w:sz w:val="28"/>
          <w:szCs w:val="28"/>
          <w:lang w:val="lv-LV"/>
        </w:rPr>
        <w:t>AS „Latvijas Gāze” struktūrā ietilpst Inčukalna pazemes gāzes krātuve</w:t>
      </w:r>
      <w:r w:rsidR="00684B7E" w:rsidRPr="003B66D9">
        <w:rPr>
          <w:rFonts w:ascii="Times New Roman" w:hAnsi="Times New Roman"/>
          <w:bCs/>
          <w:sz w:val="28"/>
          <w:szCs w:val="28"/>
          <w:lang w:val="lv-LV"/>
        </w:rPr>
        <w:t xml:space="preserve"> (turpmāk – krātuve)</w:t>
      </w:r>
      <w:r w:rsidRPr="003B66D9">
        <w:rPr>
          <w:rFonts w:ascii="Times New Roman" w:hAnsi="Times New Roman"/>
          <w:bCs/>
          <w:sz w:val="28"/>
          <w:szCs w:val="28"/>
          <w:lang w:val="lv-LV"/>
        </w:rPr>
        <w:t>, kas ir vienīgā funkcionējošā gāzes krātuve Baltijas valstīs. Krātuve nodrošina reģionālās gāzapgādes stabilitāti.Gāzes krātuves efektīvas darbības nodrošināšanai 2010.gadā tika uzsākta piecpadsmit urbumu modernizācija, atbilstoši Eiropas labākajai praksei.Projekts tiek īstenots ar Eiropas Komisijas piešķirto līdzfinansējumu.Urbumu modernizācijas darbu izmaksas ir 7 milj.LVL, bet visa projekta kopējās izmaksas ir tuvu pie 10 milj. LVL. Projektu pilnībā plānots pabeigt 2011.gadā.</w:t>
      </w:r>
      <w:r w:rsidR="00684B7E" w:rsidRPr="003B66D9">
        <w:rPr>
          <w:rFonts w:ascii="Times New Roman" w:hAnsi="Times New Roman"/>
          <w:bCs/>
          <w:sz w:val="28"/>
          <w:szCs w:val="28"/>
          <w:lang w:val="lv-LV"/>
        </w:rPr>
        <w:t xml:space="preserve"> Bez tam 2010.gadā krātuvē uzsākts remonts otrajā kompresoru cehā. Agregāta kapitālā remonta rezultātā samazināsioes riski, kas saistīti ar iespējamiem bojājumiem un krātuves dīkstāvi remintu laikā. Kompresora kapitālo remontu plānots pabeigt 2011.gadā un projekta kopējās izmaksas ir aptuveni 1,3 milj. LVL.</w:t>
      </w:r>
      <w:r w:rsidR="00474A5E" w:rsidRPr="003B66D9">
        <w:rPr>
          <w:rFonts w:ascii="Times New Roman" w:hAnsi="Times New Roman"/>
          <w:bCs/>
          <w:sz w:val="28"/>
          <w:szCs w:val="28"/>
          <w:lang w:val="lv-LV"/>
        </w:rPr>
        <w:t xml:space="preserve"> 2010.gada 10.novembrī neatkarīga sertificēšanas institūcija Bureau Veritas Latvia AS „Latvijas Gāze”izsniedza atjaunoto apliecinājumu par dabasgāzes uzglabāšanas sistēmas darbības atbilstību standartā noteiktajām prasībām, tajā skaitā arī energoresursu efektīvai izmantošanai. Apliecinājumā uzņēmuma 2004.gadā saņemtā ISO 14001:2004 sertifikāta derīguma termiņš ir pagarināts līdz 2013.gada 22.decembrim.</w:t>
      </w:r>
      <w:r w:rsidR="00474A5E">
        <w:rPr>
          <w:rFonts w:ascii="Times New Roman" w:hAnsi="Times New Roman"/>
          <w:bCs/>
          <w:sz w:val="28"/>
          <w:szCs w:val="28"/>
          <w:lang w:val="lv-LV"/>
        </w:rPr>
        <w:t xml:space="preserve"> </w:t>
      </w:r>
    </w:p>
    <w:p w:rsidR="004F7F14" w:rsidRPr="009179E5" w:rsidRDefault="004F7F14" w:rsidP="0001273E">
      <w:pPr>
        <w:spacing w:line="240" w:lineRule="auto"/>
        <w:ind w:firstLine="720"/>
        <w:jc w:val="both"/>
        <w:rPr>
          <w:rFonts w:ascii="Times New Roman" w:hAnsi="Times New Roman"/>
          <w:sz w:val="28"/>
          <w:szCs w:val="28"/>
          <w:lang w:val="lv-LV"/>
        </w:rPr>
      </w:pPr>
    </w:p>
    <w:p w:rsidR="00B16EC2" w:rsidRDefault="00CB3535" w:rsidP="0001273E">
      <w:pPr>
        <w:pStyle w:val="Heading4"/>
        <w:numPr>
          <w:ilvl w:val="0"/>
          <w:numId w:val="44"/>
        </w:numPr>
        <w:spacing w:line="240" w:lineRule="auto"/>
        <w:ind w:left="0" w:firstLine="0"/>
        <w:jc w:val="center"/>
        <w:rPr>
          <w:rFonts w:ascii="Times New Roman Bold" w:hAnsi="Times New Roman Bold"/>
          <w:b/>
          <w:i w:val="0"/>
          <w:caps/>
          <w:color w:val="auto"/>
          <w:sz w:val="28"/>
          <w:u w:val="none"/>
          <w:lang w:val="lv-LV"/>
        </w:rPr>
      </w:pPr>
      <w:bookmarkStart w:id="18" w:name="_Toc274298529"/>
      <w:bookmarkStart w:id="19" w:name="_Toc274304015"/>
      <w:bookmarkStart w:id="20" w:name="_Ref275777301"/>
      <w:bookmarkStart w:id="21" w:name="_Toc300320567"/>
      <w:r w:rsidRPr="009179E5">
        <w:rPr>
          <w:rFonts w:ascii="Times New Roman Bold" w:hAnsi="Times New Roman Bold"/>
          <w:b/>
          <w:i w:val="0"/>
          <w:caps/>
          <w:color w:val="auto"/>
          <w:sz w:val="28"/>
          <w:u w:val="none"/>
          <w:lang w:val="lv-LV"/>
        </w:rPr>
        <w:lastRenderedPageBreak/>
        <w:t xml:space="preserve">SASNIEGTAIS </w:t>
      </w:r>
      <w:r w:rsidR="00796B93" w:rsidRPr="009179E5">
        <w:rPr>
          <w:rFonts w:ascii="Times New Roman Bold" w:hAnsi="Times New Roman Bold"/>
          <w:b/>
          <w:i w:val="0"/>
          <w:caps/>
          <w:color w:val="auto"/>
          <w:sz w:val="28"/>
          <w:u w:val="none"/>
          <w:lang w:val="lv-LV"/>
        </w:rPr>
        <w:t>enerģijas ietaupījums enerģijas galapatēriņa sektoros</w:t>
      </w:r>
      <w:bookmarkEnd w:id="18"/>
      <w:bookmarkEnd w:id="19"/>
      <w:bookmarkEnd w:id="20"/>
      <w:bookmarkEnd w:id="21"/>
    </w:p>
    <w:p w:rsidR="00495566" w:rsidRPr="003B66D9" w:rsidRDefault="00495566" w:rsidP="00495566">
      <w:pPr>
        <w:pStyle w:val="BodyTEXT"/>
      </w:pPr>
      <w:r w:rsidRPr="003B66D9">
        <w:t xml:space="preserve">1.EERP paredzēja ieviest energoefektivitātes pasākumus piecos enerģijas galapatēriņa sektoros: mājsaimniecības, transports, rūpniecība, pakalpojumi un lauksaimniecība, kā arī horizontālie starpsektoru pasākumi. Kopumā plānā tika iekļauti 20 pasākumi. Plāna realizācijas laikā  tika īstenoti 11 pasākumi un daļēji īstenoti -9 pasākumi. No pilnībā īstenotajiem pasākumiem jāatzīmē pasākumi mājokļu sektorā. Plāna darbības laikā uzsākts darbības programmas ”Infrastruktūra un pakalpojumi"  aktivitātes 3.4.4.1. „Daudzdzīvokļu māju siltumnoturības uz labošanas pasākumi” realizācija, kuras mērķis ir mājokļu energoefektivitātes paaugstināšana daudzdzīvokļu dzīvojamās mājās, lai nodrošinātu dzīvojamā fonda ilgtspēju un energoresursu efektīvu izmantošanu. Kopējais 3.4.4.1.aktivitātē pieejamais ERAF finansējums daudzdzīvokļu dzīvojamo māju siltumnoturības uzlabošanai ir 44,34 milj. LVL. Projektu iesniegumu pieņemšanas uzsākta 2009.gada 14.aprīlī un turpināsies līdz būs pieejams finansējums. </w:t>
      </w:r>
    </w:p>
    <w:p w:rsidR="00495566" w:rsidRPr="003B66D9" w:rsidRDefault="00495566" w:rsidP="00495566">
      <w:pPr>
        <w:pStyle w:val="BodyTEXT"/>
      </w:pPr>
      <w:r w:rsidRPr="003B66D9">
        <w:t xml:space="preserve">No 2008.-2009.gadam tika ieviesti projekti atbalsta programmas „Sociālo dzīvojamo māju siltumnoturības uzlabošanas pasākumi” ietvaros, kuras mērķis bija palielināt pašvaldības sociālā dzīvojamā fonda energoefektivitāti, vienlaikus ceļot tā kvalitāti un ilgtspēju un nodrošinot sociālās atstumtības riskam pakļautās iedzīvotāju grupas ar adekvātu mājokli. Atbalsta intensitāte – līdz 75%. Maksimālais atbalsta apjoms vienam projektam – 140 tūkst. LVL. Kopējais 3.4.4.2.aktivitātē pieejamais ERAF finansējums ir 6,92 milj.LVL un tās otrās kārtas konkurss notika 2010.gadā. Otrās kārtas projektu īstenošana turpināsies 2011.-2013.gadā. </w:t>
      </w:r>
    </w:p>
    <w:p w:rsidR="00495566" w:rsidRPr="003B66D9" w:rsidRDefault="00495566" w:rsidP="00495566">
      <w:pPr>
        <w:pStyle w:val="BodyTEXT"/>
      </w:pPr>
      <w:r w:rsidRPr="003B66D9">
        <w:t>Aktivitātes mērķa grupa ir sociālo dzīvojamo māju dzīvokļu īrnieki. Atbalstāmās darbības: ēkas energoresursu patēriņa samazināšanai, ēkas renovācijai vai rekonstrukcijai, ja tiek nodrošināta vismaz divu prioritāšu pasākumu īstenošana, kas norādītas ēkas energoaudita atskaitē, kā arī projekta dokumentācijas sagatavošanai un projekta uzraudzībai.</w:t>
      </w:r>
    </w:p>
    <w:p w:rsidR="00495566" w:rsidRPr="003B66D9" w:rsidRDefault="00495566" w:rsidP="00495566">
      <w:pPr>
        <w:spacing w:before="120" w:after="120"/>
        <w:jc w:val="both"/>
        <w:rPr>
          <w:rFonts w:ascii="Times New Roman" w:hAnsi="Times New Roman"/>
          <w:sz w:val="28"/>
          <w:szCs w:val="28"/>
        </w:rPr>
      </w:pPr>
      <w:r w:rsidRPr="003B66D9">
        <w:rPr>
          <w:rFonts w:ascii="Times New Roman" w:hAnsi="Times New Roman"/>
          <w:sz w:val="28"/>
          <w:szCs w:val="28"/>
        </w:rPr>
        <w:t>Finansējuma saņēmēji ir pašvaldības, kurās ir sociālās dzīvojamās mājas, kurām līdz 2007. gada 1. jūlijam ar pašvaldības lēmumu bija noteikts sociālās dzīvojamās mājas statuss.</w:t>
      </w:r>
    </w:p>
    <w:p w:rsidR="00495566" w:rsidRPr="003B66D9" w:rsidRDefault="00495566" w:rsidP="00495566">
      <w:pPr>
        <w:spacing w:before="120" w:after="120"/>
        <w:jc w:val="both"/>
        <w:rPr>
          <w:rFonts w:ascii="Times New Roman" w:hAnsi="Times New Roman"/>
          <w:sz w:val="28"/>
          <w:szCs w:val="28"/>
          <w:lang w:val="lv-LV"/>
        </w:rPr>
      </w:pPr>
      <w:r w:rsidRPr="003B66D9">
        <w:rPr>
          <w:rFonts w:ascii="Times New Roman" w:hAnsi="Times New Roman"/>
          <w:sz w:val="28"/>
          <w:szCs w:val="28"/>
        </w:rPr>
        <w:t xml:space="preserve">1.EERP darbības laikā tika pieņemts </w:t>
      </w:r>
      <w:r w:rsidRPr="003B66D9">
        <w:rPr>
          <w:rFonts w:ascii="Times New Roman" w:hAnsi="Times New Roman"/>
          <w:sz w:val="28"/>
          <w:szCs w:val="28"/>
          <w:lang w:val="lv-LV"/>
        </w:rPr>
        <w:t>Ēku energoefektivitātes likums (2008.gada 13.marts) un tam atbilstošie Ministru kabineta noteikumi: Nr.26  „Noteikumi par energoauditoriem”, Nr.39  „Ēkas energoefektivitātes aprēķina metode”, Nr.504 „Noteikumi par ēku energosertifikāciju” un Nr.1214 „</w:t>
      </w:r>
      <w:r w:rsidRPr="003B66D9">
        <w:rPr>
          <w:rFonts w:ascii="Times New Roman" w:hAnsi="Times New Roman"/>
          <w:bCs/>
          <w:sz w:val="28"/>
          <w:szCs w:val="28"/>
          <w:lang w:val="lv-LV"/>
        </w:rPr>
        <w:t>Noteikumi par energoefektivitātes prasībām licencēta energoapgādes komersanta valdījumā esošām centralizētām siltumapgādes sistēmām un to atbilstības pārbaudes kārtību”</w:t>
      </w:r>
      <w:r w:rsidRPr="003B66D9">
        <w:rPr>
          <w:rFonts w:ascii="Times New Roman" w:hAnsi="Times New Roman"/>
          <w:sz w:val="28"/>
          <w:szCs w:val="28"/>
          <w:lang w:val="lv-LV"/>
        </w:rPr>
        <w:t>.</w:t>
      </w:r>
    </w:p>
    <w:p w:rsidR="00495566" w:rsidRPr="003B66D9" w:rsidRDefault="00495566" w:rsidP="00495566">
      <w:pPr>
        <w:spacing w:before="120" w:after="120"/>
        <w:jc w:val="both"/>
        <w:rPr>
          <w:rFonts w:ascii="Times New Roman" w:hAnsi="Times New Roman"/>
          <w:sz w:val="28"/>
          <w:szCs w:val="28"/>
          <w:lang w:val="lv-LV"/>
        </w:rPr>
      </w:pPr>
      <w:r w:rsidRPr="003B66D9">
        <w:rPr>
          <w:rFonts w:ascii="Times New Roman" w:hAnsi="Times New Roman"/>
          <w:sz w:val="28"/>
          <w:szCs w:val="28"/>
          <w:lang w:val="lv-LV"/>
        </w:rPr>
        <w:lastRenderedPageBreak/>
        <w:t>Pozitīvus  stimulus efektivitātes veicināšanai dod  Elektroenerģijas nodokļa likuma (pieņemts 2006.gada 19.decembrī) pārejas noteikumos paredzēto enerģijas nodokļa likmju paaugstināšana un likumā „Par akcīzes nodokli” (pieņemts 2003.gada 30.oktobrī, aktuālā redakcija no 2011.gada 1.jūlija) 14.pantā paredzētā akcīzes nodokļa likmju paaugstināšana naftas produktiem.</w:t>
      </w:r>
    </w:p>
    <w:p w:rsidR="00495566" w:rsidRPr="00495566" w:rsidRDefault="00495566" w:rsidP="00495566">
      <w:pPr>
        <w:spacing w:before="120" w:after="120"/>
        <w:jc w:val="both"/>
        <w:rPr>
          <w:rFonts w:ascii="Times New Roman" w:hAnsi="Times New Roman"/>
          <w:sz w:val="28"/>
          <w:szCs w:val="28"/>
        </w:rPr>
      </w:pPr>
      <w:r w:rsidRPr="003B66D9">
        <w:rPr>
          <w:rFonts w:ascii="Times New Roman" w:hAnsi="Times New Roman"/>
          <w:sz w:val="28"/>
          <w:szCs w:val="28"/>
        </w:rPr>
        <w:t xml:space="preserve">1.EERP pakalpojumu un rūpniecības sektoros kā energoefektivitātes paaugstināšanas pasākumi galvenokārt tika paredzētas informatīvās kampaņas par dažādām preču kategorijām un iekārtām.1.EERP īstenošanas laikā šādas atsevišķas informatīvās kampaņas netika organizētas, bet informāciju par elektroenerģijas efektīvu izmantošanu interesenti var pastāvīgi saņemt AS „Latvenergo” Energoefektivitātes centrā, kā arī mājas lapā </w:t>
      </w:r>
      <w:hyperlink r:id="rId18" w:history="1">
        <w:r w:rsidRPr="003B66D9">
          <w:rPr>
            <w:rStyle w:val="Hyperlink"/>
            <w:rFonts w:ascii="Times New Roman" w:hAnsi="Times New Roman"/>
            <w:sz w:val="28"/>
            <w:szCs w:val="28"/>
          </w:rPr>
          <w:t>www.latvenergo.lv</w:t>
        </w:r>
      </w:hyperlink>
      <w:r w:rsidRPr="003B66D9">
        <w:rPr>
          <w:rFonts w:ascii="Times New Roman" w:hAnsi="Times New Roman"/>
          <w:sz w:val="28"/>
          <w:szCs w:val="28"/>
        </w:rPr>
        <w:t>. Enerģijas ietaupījuma aprēķināšanai pakalpojumu sektorā, kā viens no indikatoriem, ir izvēlēts elektroenerģijas patēriņš elektroierīcēm pakalpojumu sektorā uz vienu pilnas slodzes strādājošo.</w:t>
      </w:r>
    </w:p>
    <w:p w:rsidR="001960CF" w:rsidRPr="00495566" w:rsidRDefault="00C354E3" w:rsidP="00495566">
      <w:pPr>
        <w:pStyle w:val="Caption"/>
        <w:keepNext/>
        <w:spacing w:before="120" w:after="120" w:line="240" w:lineRule="auto"/>
        <w:jc w:val="both"/>
        <w:rPr>
          <w:rFonts w:ascii="Times New Roman" w:hAnsi="Times New Roman"/>
          <w:b w:val="0"/>
          <w:bCs w:val="0"/>
          <w:sz w:val="28"/>
          <w:szCs w:val="28"/>
          <w:lang w:val="lv-LV" w:eastAsia="de-DE"/>
        </w:rPr>
      </w:pPr>
      <w:bookmarkStart w:id="22" w:name="_Ref273710141"/>
      <w:r w:rsidRPr="00495566">
        <w:rPr>
          <w:rFonts w:ascii="Times New Roman" w:hAnsi="Times New Roman"/>
          <w:b w:val="0"/>
          <w:bCs w:val="0"/>
          <w:sz w:val="28"/>
          <w:szCs w:val="28"/>
          <w:lang w:val="lv-LV" w:eastAsia="de-DE"/>
        </w:rPr>
        <w:t xml:space="preserve">Apkopotie enerģijas ietaupījumu rezultāti parāda (skatīt </w:t>
      </w:r>
      <w:r w:rsidR="00AF0F2B" w:rsidRPr="00495566">
        <w:rPr>
          <w:rFonts w:ascii="Times New Roman" w:hAnsi="Times New Roman"/>
          <w:b w:val="0"/>
          <w:bCs w:val="0"/>
          <w:sz w:val="28"/>
          <w:szCs w:val="28"/>
          <w:lang w:val="lv-LV" w:eastAsia="de-DE"/>
        </w:rPr>
        <w:t>3.tabul</w:t>
      </w:r>
      <w:r w:rsidRPr="00495566">
        <w:rPr>
          <w:rFonts w:ascii="Times New Roman" w:hAnsi="Times New Roman"/>
          <w:b w:val="0"/>
          <w:bCs w:val="0"/>
          <w:sz w:val="28"/>
          <w:szCs w:val="28"/>
          <w:lang w:val="lv-LV" w:eastAsia="de-DE"/>
        </w:rPr>
        <w:t>u)</w:t>
      </w:r>
      <w:r w:rsidR="00AF0F2B" w:rsidRPr="00495566">
        <w:rPr>
          <w:rFonts w:ascii="Times New Roman" w:hAnsi="Times New Roman"/>
          <w:b w:val="0"/>
          <w:bCs w:val="0"/>
          <w:sz w:val="28"/>
          <w:szCs w:val="28"/>
          <w:lang w:val="lv-LV" w:eastAsia="de-DE"/>
        </w:rPr>
        <w:t>, ka Latvijā 2010.gadā ir gandrīz sasniegts 2016.gadam izvirzītais enerģijas ietaupījuma mērķis. Visi enerģijas ietaupījumi tika aprēķināti izmantojot lejupvērsto aprēķina metodi jeb enerģijas patēriņa indikatorus.</w:t>
      </w:r>
    </w:p>
    <w:p w:rsidR="0025575F" w:rsidRPr="009179E5" w:rsidRDefault="00320690" w:rsidP="00AF0F2B">
      <w:pPr>
        <w:pStyle w:val="Caption"/>
        <w:keepNext/>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t>3</w:t>
      </w:r>
      <w:r w:rsidR="0025575F" w:rsidRPr="009179E5">
        <w:rPr>
          <w:rFonts w:ascii="Times New Roman" w:hAnsi="Times New Roman"/>
          <w:sz w:val="24"/>
          <w:szCs w:val="24"/>
          <w:lang w:val="lv-LV"/>
        </w:rPr>
        <w:t>.tabula</w:t>
      </w:r>
    </w:p>
    <w:bookmarkEnd w:id="22"/>
    <w:p w:rsidR="00B16EC2" w:rsidRPr="009179E5" w:rsidRDefault="0025575F" w:rsidP="00AF0F2B">
      <w:pPr>
        <w:pStyle w:val="Caption"/>
        <w:keepNext/>
        <w:spacing w:after="0" w:line="240" w:lineRule="auto"/>
        <w:jc w:val="center"/>
        <w:rPr>
          <w:rFonts w:ascii="Times New Roman" w:hAnsi="Times New Roman"/>
          <w:sz w:val="24"/>
          <w:szCs w:val="24"/>
          <w:lang w:val="lv-LV"/>
        </w:rPr>
      </w:pPr>
      <w:r w:rsidRPr="009179E5">
        <w:rPr>
          <w:rFonts w:ascii="Times New Roman" w:hAnsi="Times New Roman"/>
          <w:sz w:val="24"/>
          <w:szCs w:val="24"/>
          <w:lang w:val="lv-LV"/>
        </w:rPr>
        <w:t xml:space="preserve">Energoefektivitātes paaugstināšanas pasākumu rezultātā iegūto enerģijas gala patēriņa ietaupījumu kopsavilkuma tabula </w:t>
      </w:r>
    </w:p>
    <w:tbl>
      <w:tblPr>
        <w:tblW w:w="8991"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1541"/>
        <w:gridCol w:w="1953"/>
        <w:gridCol w:w="1362"/>
        <w:gridCol w:w="2294"/>
      </w:tblGrid>
      <w:tr w:rsidR="00B16EC2" w:rsidRPr="009179E5" w:rsidTr="0001273E">
        <w:trPr>
          <w:jc w:val="center"/>
        </w:trPr>
        <w:tc>
          <w:tcPr>
            <w:tcW w:w="1841" w:type="dxa"/>
          </w:tcPr>
          <w:p w:rsidR="00B16EC2" w:rsidRPr="009179E5" w:rsidRDefault="00B16EC2" w:rsidP="00921E55">
            <w:pPr>
              <w:spacing w:after="0" w:line="240" w:lineRule="auto"/>
              <w:jc w:val="both"/>
              <w:rPr>
                <w:rFonts w:ascii="Times New Roman" w:hAnsi="Times New Roman"/>
                <w:i/>
                <w:sz w:val="18"/>
                <w:szCs w:val="18"/>
                <w:lang w:val="lv-LV"/>
              </w:rPr>
            </w:pPr>
          </w:p>
        </w:tc>
        <w:tc>
          <w:tcPr>
            <w:tcW w:w="3494" w:type="dxa"/>
            <w:gridSpan w:val="2"/>
          </w:tcPr>
          <w:p w:rsidR="00B16EC2" w:rsidRPr="009179E5" w:rsidRDefault="00E5280C" w:rsidP="00921E55">
            <w:pPr>
              <w:spacing w:after="0" w:line="240" w:lineRule="auto"/>
              <w:jc w:val="both"/>
              <w:rPr>
                <w:rFonts w:ascii="Times New Roman" w:hAnsi="Times New Roman"/>
                <w:b/>
                <w:i/>
                <w:sz w:val="18"/>
                <w:szCs w:val="18"/>
                <w:lang w:val="lv-LV"/>
              </w:rPr>
            </w:pPr>
            <w:r w:rsidRPr="009179E5">
              <w:rPr>
                <w:rFonts w:ascii="Times New Roman" w:hAnsi="Times New Roman"/>
                <w:b/>
                <w:i/>
                <w:sz w:val="18"/>
                <w:szCs w:val="18"/>
                <w:lang w:val="lv-LV"/>
              </w:rPr>
              <w:t>Enerģijas gala patēriņa ietaupījuma mērķis</w:t>
            </w:r>
          </w:p>
        </w:tc>
        <w:tc>
          <w:tcPr>
            <w:tcW w:w="3656" w:type="dxa"/>
            <w:gridSpan w:val="2"/>
          </w:tcPr>
          <w:p w:rsidR="00B16EC2" w:rsidRPr="009179E5" w:rsidRDefault="00E5280C" w:rsidP="00921E55">
            <w:pPr>
              <w:spacing w:after="0" w:line="240" w:lineRule="auto"/>
              <w:jc w:val="both"/>
              <w:rPr>
                <w:rFonts w:ascii="Times New Roman" w:hAnsi="Times New Roman"/>
                <w:b/>
                <w:i/>
                <w:sz w:val="18"/>
                <w:szCs w:val="18"/>
                <w:lang w:val="lv-LV"/>
              </w:rPr>
            </w:pPr>
            <w:r w:rsidRPr="009179E5">
              <w:rPr>
                <w:rFonts w:ascii="Times New Roman" w:hAnsi="Times New Roman"/>
                <w:b/>
                <w:i/>
                <w:sz w:val="18"/>
                <w:szCs w:val="18"/>
                <w:lang w:val="lv-LV"/>
              </w:rPr>
              <w:t>Sasniegtais vai plānotais enerģijas ietaupījums gala patēriņā</w:t>
            </w:r>
          </w:p>
        </w:tc>
      </w:tr>
      <w:tr w:rsidR="00B16EC2" w:rsidRPr="009179E5" w:rsidTr="0001273E">
        <w:trPr>
          <w:jc w:val="center"/>
        </w:trPr>
        <w:tc>
          <w:tcPr>
            <w:tcW w:w="1841" w:type="dxa"/>
          </w:tcPr>
          <w:p w:rsidR="00B16EC2" w:rsidRPr="009179E5" w:rsidRDefault="00B16EC2" w:rsidP="00921E55">
            <w:pPr>
              <w:spacing w:after="0" w:line="240" w:lineRule="auto"/>
              <w:jc w:val="both"/>
              <w:rPr>
                <w:rFonts w:ascii="Times New Roman" w:hAnsi="Times New Roman"/>
                <w:i/>
                <w:sz w:val="18"/>
                <w:szCs w:val="18"/>
                <w:lang w:val="lv-LV"/>
              </w:rPr>
            </w:pPr>
          </w:p>
        </w:tc>
        <w:tc>
          <w:tcPr>
            <w:tcW w:w="1541" w:type="dxa"/>
          </w:tcPr>
          <w:p w:rsidR="00B16EC2" w:rsidRPr="009179E5" w:rsidRDefault="0025575F" w:rsidP="00921E55">
            <w:pPr>
              <w:spacing w:after="0" w:line="240" w:lineRule="auto"/>
              <w:jc w:val="both"/>
              <w:rPr>
                <w:rFonts w:ascii="Times New Roman" w:hAnsi="Times New Roman"/>
                <w:i/>
                <w:sz w:val="18"/>
                <w:szCs w:val="18"/>
                <w:lang w:val="lv-LV"/>
              </w:rPr>
            </w:pPr>
            <w:r w:rsidRPr="009179E5">
              <w:rPr>
                <w:rFonts w:ascii="Times New Roman" w:hAnsi="Times New Roman"/>
                <w:i/>
                <w:sz w:val="18"/>
                <w:szCs w:val="18"/>
                <w:lang w:val="lv-LV"/>
              </w:rPr>
              <w:t>Enerģijas gala patēriņa ietaupījuma mērķis GWh</w:t>
            </w:r>
            <w:r w:rsidR="00320690" w:rsidRPr="009179E5">
              <w:rPr>
                <w:rFonts w:ascii="Times New Roman" w:hAnsi="Times New Roman"/>
                <w:i/>
                <w:sz w:val="18"/>
                <w:szCs w:val="18"/>
                <w:lang w:val="lv-LV"/>
              </w:rPr>
              <w:t xml:space="preserve"> (PJ)</w:t>
            </w:r>
          </w:p>
        </w:tc>
        <w:tc>
          <w:tcPr>
            <w:tcW w:w="1953" w:type="dxa"/>
          </w:tcPr>
          <w:p w:rsidR="00B16EC2" w:rsidRPr="009179E5" w:rsidRDefault="0025575F" w:rsidP="00921E55">
            <w:pPr>
              <w:spacing w:after="0" w:line="240" w:lineRule="auto"/>
              <w:jc w:val="both"/>
              <w:rPr>
                <w:rFonts w:ascii="Times New Roman" w:hAnsi="Times New Roman"/>
                <w:i/>
                <w:sz w:val="18"/>
                <w:szCs w:val="18"/>
                <w:lang w:val="lv-LV"/>
              </w:rPr>
            </w:pPr>
            <w:r w:rsidRPr="009179E5">
              <w:rPr>
                <w:rFonts w:ascii="Times New Roman" w:hAnsi="Times New Roman"/>
                <w:i/>
                <w:sz w:val="18"/>
                <w:szCs w:val="18"/>
                <w:lang w:val="lv-LV"/>
              </w:rPr>
              <w:t>Procentuāli</w:t>
            </w:r>
            <w:r w:rsidR="00B16EC2" w:rsidRPr="009179E5">
              <w:rPr>
                <w:rFonts w:ascii="Times New Roman" w:hAnsi="Times New Roman"/>
                <w:i/>
                <w:sz w:val="18"/>
                <w:szCs w:val="18"/>
                <w:lang w:val="lv-LV"/>
              </w:rPr>
              <w:t xml:space="preserve"> (%)</w:t>
            </w:r>
            <w:r w:rsidRPr="009179E5">
              <w:rPr>
                <w:rFonts w:ascii="Times New Roman" w:hAnsi="Times New Roman"/>
                <w:i/>
                <w:sz w:val="18"/>
                <w:szCs w:val="18"/>
                <w:lang w:val="lv-LV"/>
              </w:rPr>
              <w:t xml:space="preserve"> </w:t>
            </w:r>
            <w:r w:rsidR="00B16EC2" w:rsidRPr="009179E5">
              <w:rPr>
                <w:rFonts w:ascii="Times New Roman" w:hAnsi="Times New Roman"/>
                <w:i/>
                <w:sz w:val="18"/>
                <w:szCs w:val="18"/>
                <w:lang w:val="lv-LV"/>
              </w:rPr>
              <w:t>(</w:t>
            </w:r>
            <w:r w:rsidRPr="009179E5">
              <w:rPr>
                <w:rFonts w:ascii="Times New Roman" w:hAnsi="Times New Roman"/>
                <w:i/>
                <w:sz w:val="18"/>
                <w:szCs w:val="18"/>
                <w:lang w:val="lv-LV"/>
              </w:rPr>
              <w:t>salīdzinājumā pret Energopakalpojumu direktīvā iekļauto atsauces gada patēriņu (references gadu)</w:t>
            </w:r>
            <w:r w:rsidR="00B16EC2" w:rsidRPr="009179E5">
              <w:rPr>
                <w:rFonts w:ascii="Times New Roman" w:hAnsi="Times New Roman"/>
                <w:i/>
                <w:sz w:val="18"/>
                <w:szCs w:val="18"/>
                <w:lang w:val="lv-LV"/>
              </w:rPr>
              <w:t>)</w:t>
            </w:r>
          </w:p>
        </w:tc>
        <w:tc>
          <w:tcPr>
            <w:tcW w:w="1362" w:type="dxa"/>
          </w:tcPr>
          <w:p w:rsidR="00B16EC2" w:rsidRPr="009179E5" w:rsidRDefault="003235C5" w:rsidP="00921E55">
            <w:pPr>
              <w:spacing w:after="0" w:line="240" w:lineRule="auto"/>
              <w:jc w:val="both"/>
              <w:rPr>
                <w:rFonts w:ascii="Times New Roman" w:hAnsi="Times New Roman"/>
                <w:i/>
                <w:sz w:val="18"/>
                <w:szCs w:val="18"/>
                <w:lang w:val="lv-LV"/>
              </w:rPr>
            </w:pPr>
            <w:r w:rsidRPr="009179E5">
              <w:rPr>
                <w:rFonts w:ascii="Times New Roman" w:hAnsi="Times New Roman"/>
                <w:i/>
                <w:sz w:val="18"/>
                <w:szCs w:val="18"/>
                <w:lang w:val="lv-LV"/>
              </w:rPr>
              <w:t>GWh</w:t>
            </w:r>
            <w:r w:rsidR="00320690" w:rsidRPr="009179E5">
              <w:rPr>
                <w:rFonts w:ascii="Times New Roman" w:hAnsi="Times New Roman"/>
                <w:i/>
                <w:sz w:val="18"/>
                <w:szCs w:val="18"/>
                <w:lang w:val="lv-LV"/>
              </w:rPr>
              <w:t xml:space="preserve"> (PJ)</w:t>
            </w:r>
          </w:p>
        </w:tc>
        <w:tc>
          <w:tcPr>
            <w:tcW w:w="2294" w:type="dxa"/>
          </w:tcPr>
          <w:p w:rsidR="00B16EC2" w:rsidRPr="009179E5" w:rsidRDefault="003235C5" w:rsidP="00921E55">
            <w:pPr>
              <w:spacing w:after="0" w:line="240" w:lineRule="auto"/>
              <w:jc w:val="both"/>
              <w:rPr>
                <w:rFonts w:ascii="Times New Roman" w:hAnsi="Times New Roman"/>
                <w:i/>
                <w:sz w:val="18"/>
                <w:szCs w:val="18"/>
                <w:lang w:val="lv-LV"/>
              </w:rPr>
            </w:pPr>
            <w:r w:rsidRPr="009179E5">
              <w:rPr>
                <w:rFonts w:ascii="Times New Roman" w:hAnsi="Times New Roman"/>
                <w:i/>
                <w:sz w:val="18"/>
                <w:szCs w:val="18"/>
                <w:lang w:val="lv-LV"/>
              </w:rPr>
              <w:t>Procentuāli (%) (salīdzinājumā pret Energopakalpojumu direktīvā iekļauto atsauces gada patēriņu (references gadu))</w:t>
            </w:r>
          </w:p>
        </w:tc>
      </w:tr>
      <w:tr w:rsidR="00B16EC2" w:rsidRPr="009179E5" w:rsidTr="0001273E">
        <w:trPr>
          <w:jc w:val="center"/>
        </w:trPr>
        <w:tc>
          <w:tcPr>
            <w:tcW w:w="1841" w:type="dxa"/>
          </w:tcPr>
          <w:p w:rsidR="007D6494" w:rsidRPr="009179E5" w:rsidRDefault="00B16EC2" w:rsidP="00921E55">
            <w:pPr>
              <w:spacing w:after="0" w:line="240" w:lineRule="auto"/>
              <w:jc w:val="both"/>
              <w:rPr>
                <w:rFonts w:ascii="Times New Roman" w:hAnsi="Times New Roman"/>
                <w:sz w:val="24"/>
                <w:szCs w:val="24"/>
                <w:lang w:val="lv-LV"/>
              </w:rPr>
            </w:pPr>
            <w:r w:rsidRPr="009179E5">
              <w:rPr>
                <w:rFonts w:ascii="Times New Roman" w:hAnsi="Times New Roman"/>
                <w:b/>
                <w:sz w:val="24"/>
                <w:szCs w:val="24"/>
                <w:lang w:val="lv-LV"/>
              </w:rPr>
              <w:t>2010</w:t>
            </w:r>
            <w:r w:rsidR="007C67A3" w:rsidRPr="009179E5">
              <w:rPr>
                <w:rFonts w:ascii="Times New Roman" w:hAnsi="Times New Roman"/>
                <w:sz w:val="24"/>
                <w:szCs w:val="24"/>
                <w:lang w:val="lv-LV"/>
              </w:rPr>
              <w:t xml:space="preserve"> </w:t>
            </w:r>
          </w:p>
          <w:p w:rsidR="00B16EC2" w:rsidRPr="009179E5" w:rsidRDefault="00B16EC2" w:rsidP="00921E55">
            <w:pPr>
              <w:spacing w:after="0" w:line="240" w:lineRule="auto"/>
              <w:jc w:val="both"/>
              <w:rPr>
                <w:rFonts w:ascii="Times New Roman" w:hAnsi="Times New Roman"/>
                <w:sz w:val="18"/>
                <w:szCs w:val="18"/>
                <w:lang w:val="lv-LV"/>
              </w:rPr>
            </w:pPr>
            <w:r w:rsidRPr="009179E5">
              <w:rPr>
                <w:rFonts w:ascii="Times New Roman" w:hAnsi="Times New Roman"/>
                <w:sz w:val="18"/>
                <w:szCs w:val="18"/>
                <w:lang w:val="lv-LV"/>
              </w:rPr>
              <w:t>(</w:t>
            </w:r>
            <w:r w:rsidR="006156E7" w:rsidRPr="009179E5">
              <w:rPr>
                <w:rFonts w:ascii="Times New Roman" w:hAnsi="Times New Roman"/>
                <w:sz w:val="18"/>
                <w:szCs w:val="18"/>
                <w:lang w:val="lv-LV"/>
              </w:rPr>
              <w:t xml:space="preserve">starpposma mērķis </w:t>
            </w:r>
            <w:r w:rsidRPr="009179E5">
              <w:rPr>
                <w:rFonts w:ascii="Times New Roman" w:hAnsi="Times New Roman"/>
                <w:sz w:val="18"/>
                <w:szCs w:val="18"/>
                <w:lang w:val="lv-LV"/>
              </w:rPr>
              <w:t>)</w:t>
            </w:r>
          </w:p>
        </w:tc>
        <w:tc>
          <w:tcPr>
            <w:tcW w:w="1541" w:type="dxa"/>
          </w:tcPr>
          <w:p w:rsidR="00B16EC2" w:rsidRPr="009179E5" w:rsidRDefault="00320690" w:rsidP="00921E55">
            <w:pPr>
              <w:spacing w:after="0" w:line="240" w:lineRule="auto"/>
              <w:jc w:val="both"/>
              <w:rPr>
                <w:rFonts w:ascii="Times New Roman" w:hAnsi="Times New Roman"/>
                <w:i/>
                <w:sz w:val="18"/>
                <w:szCs w:val="18"/>
                <w:lang w:val="lv-LV"/>
              </w:rPr>
            </w:pPr>
            <w:r w:rsidRPr="009179E5">
              <w:rPr>
                <w:rFonts w:ascii="Times New Roman" w:hAnsi="Times New Roman"/>
                <w:i/>
                <w:sz w:val="18"/>
                <w:szCs w:val="18"/>
                <w:lang w:val="lv-LV"/>
              </w:rPr>
              <w:t>67 (0,24)</w:t>
            </w:r>
          </w:p>
        </w:tc>
        <w:tc>
          <w:tcPr>
            <w:tcW w:w="1953" w:type="dxa"/>
          </w:tcPr>
          <w:p w:rsidR="00B16EC2" w:rsidRPr="009179E5" w:rsidRDefault="00320690" w:rsidP="00921E55">
            <w:pPr>
              <w:spacing w:after="0" w:line="240" w:lineRule="auto"/>
              <w:jc w:val="both"/>
              <w:rPr>
                <w:rFonts w:ascii="Times New Roman" w:hAnsi="Times New Roman"/>
                <w:i/>
                <w:sz w:val="18"/>
                <w:szCs w:val="18"/>
                <w:lang w:val="lv-LV"/>
              </w:rPr>
            </w:pPr>
            <w:r w:rsidRPr="009179E5">
              <w:rPr>
                <w:rFonts w:ascii="Times New Roman" w:hAnsi="Times New Roman"/>
                <w:i/>
                <w:sz w:val="18"/>
                <w:szCs w:val="18"/>
                <w:lang w:val="lv-LV"/>
              </w:rPr>
              <w:t>1,9</w:t>
            </w:r>
          </w:p>
        </w:tc>
        <w:tc>
          <w:tcPr>
            <w:tcW w:w="1362" w:type="dxa"/>
          </w:tcPr>
          <w:p w:rsidR="00B16EC2" w:rsidRPr="009179E5" w:rsidRDefault="0028357F" w:rsidP="00921E55">
            <w:pPr>
              <w:spacing w:after="0" w:line="240" w:lineRule="auto"/>
              <w:jc w:val="both"/>
              <w:rPr>
                <w:rFonts w:ascii="Times New Roman" w:hAnsi="Times New Roman"/>
                <w:i/>
                <w:sz w:val="18"/>
                <w:szCs w:val="18"/>
                <w:lang w:val="lv-LV"/>
              </w:rPr>
            </w:pPr>
            <w:r w:rsidRPr="009179E5">
              <w:rPr>
                <w:rFonts w:ascii="Times New Roman" w:hAnsi="Times New Roman"/>
                <w:i/>
                <w:sz w:val="18"/>
                <w:szCs w:val="18"/>
                <w:lang w:val="lv-LV"/>
              </w:rPr>
              <w:t>3418 (12,30</w:t>
            </w:r>
            <w:r w:rsidR="00320690" w:rsidRPr="009179E5">
              <w:rPr>
                <w:rFonts w:ascii="Times New Roman" w:hAnsi="Times New Roman"/>
                <w:i/>
                <w:sz w:val="18"/>
                <w:szCs w:val="18"/>
                <w:lang w:val="lv-LV"/>
              </w:rPr>
              <w:t>)</w:t>
            </w:r>
          </w:p>
        </w:tc>
        <w:tc>
          <w:tcPr>
            <w:tcW w:w="2294" w:type="dxa"/>
          </w:tcPr>
          <w:p w:rsidR="00B16EC2" w:rsidRPr="009179E5" w:rsidRDefault="00320690" w:rsidP="00921E55">
            <w:pPr>
              <w:spacing w:after="0" w:line="240" w:lineRule="auto"/>
              <w:jc w:val="both"/>
              <w:rPr>
                <w:rFonts w:ascii="Times New Roman" w:hAnsi="Times New Roman"/>
                <w:i/>
                <w:sz w:val="18"/>
                <w:szCs w:val="18"/>
                <w:lang w:val="lv-LV"/>
              </w:rPr>
            </w:pPr>
            <w:r w:rsidRPr="009179E5">
              <w:rPr>
                <w:rFonts w:ascii="Times New Roman" w:hAnsi="Times New Roman"/>
                <w:i/>
                <w:sz w:val="18"/>
                <w:szCs w:val="18"/>
                <w:lang w:val="lv-LV"/>
              </w:rPr>
              <w:t>98,</w:t>
            </w:r>
            <w:r w:rsidR="0028357F" w:rsidRPr="009179E5">
              <w:rPr>
                <w:rFonts w:ascii="Times New Roman" w:hAnsi="Times New Roman"/>
                <w:i/>
                <w:sz w:val="18"/>
                <w:szCs w:val="18"/>
                <w:lang w:val="lv-LV"/>
              </w:rPr>
              <w:t>0</w:t>
            </w:r>
          </w:p>
        </w:tc>
      </w:tr>
      <w:tr w:rsidR="00B16EC2" w:rsidRPr="009179E5" w:rsidTr="0001273E">
        <w:trPr>
          <w:jc w:val="center"/>
        </w:trPr>
        <w:tc>
          <w:tcPr>
            <w:tcW w:w="1841" w:type="dxa"/>
          </w:tcPr>
          <w:p w:rsidR="007D6494" w:rsidRPr="009179E5" w:rsidRDefault="00B16EC2" w:rsidP="00921E55">
            <w:pPr>
              <w:spacing w:after="0" w:line="240" w:lineRule="auto"/>
              <w:jc w:val="both"/>
              <w:rPr>
                <w:rFonts w:ascii="Times New Roman" w:hAnsi="Times New Roman"/>
                <w:sz w:val="24"/>
                <w:szCs w:val="24"/>
                <w:lang w:val="lv-LV"/>
              </w:rPr>
            </w:pPr>
            <w:r w:rsidRPr="009179E5">
              <w:rPr>
                <w:rFonts w:ascii="Times New Roman" w:hAnsi="Times New Roman"/>
                <w:b/>
                <w:sz w:val="24"/>
                <w:szCs w:val="24"/>
                <w:lang w:val="lv-LV"/>
              </w:rPr>
              <w:t>2016</w:t>
            </w:r>
            <w:r w:rsidRPr="009179E5">
              <w:rPr>
                <w:rFonts w:ascii="Times New Roman" w:hAnsi="Times New Roman"/>
                <w:sz w:val="24"/>
                <w:szCs w:val="24"/>
                <w:lang w:val="lv-LV"/>
              </w:rPr>
              <w:t xml:space="preserve"> </w:t>
            </w:r>
          </w:p>
          <w:p w:rsidR="00B16EC2" w:rsidRPr="009179E5" w:rsidRDefault="00B16EC2" w:rsidP="00921E55">
            <w:pPr>
              <w:spacing w:after="0" w:line="240" w:lineRule="auto"/>
              <w:jc w:val="both"/>
              <w:rPr>
                <w:rFonts w:ascii="Times New Roman" w:hAnsi="Times New Roman"/>
                <w:sz w:val="18"/>
                <w:szCs w:val="18"/>
                <w:lang w:val="lv-LV"/>
              </w:rPr>
            </w:pPr>
            <w:r w:rsidRPr="009179E5">
              <w:rPr>
                <w:rFonts w:ascii="Times New Roman" w:hAnsi="Times New Roman"/>
                <w:sz w:val="18"/>
                <w:szCs w:val="18"/>
                <w:lang w:val="lv-LV"/>
              </w:rPr>
              <w:t>(</w:t>
            </w:r>
            <w:r w:rsidR="006156E7" w:rsidRPr="009179E5">
              <w:rPr>
                <w:rFonts w:ascii="Times New Roman" w:hAnsi="Times New Roman"/>
                <w:sz w:val="18"/>
                <w:szCs w:val="18"/>
                <w:lang w:val="lv-LV"/>
              </w:rPr>
              <w:t>kopējais periods</w:t>
            </w:r>
            <w:r w:rsidRPr="009179E5">
              <w:rPr>
                <w:rFonts w:ascii="Times New Roman" w:hAnsi="Times New Roman"/>
                <w:sz w:val="18"/>
                <w:szCs w:val="18"/>
                <w:lang w:val="lv-LV"/>
              </w:rPr>
              <w:t>)</w:t>
            </w:r>
          </w:p>
        </w:tc>
        <w:tc>
          <w:tcPr>
            <w:tcW w:w="1541" w:type="dxa"/>
          </w:tcPr>
          <w:p w:rsidR="00B16EC2" w:rsidRPr="009179E5" w:rsidRDefault="0028357F" w:rsidP="00921E55">
            <w:pPr>
              <w:spacing w:after="0" w:line="240" w:lineRule="auto"/>
              <w:jc w:val="both"/>
              <w:rPr>
                <w:rFonts w:ascii="Times New Roman" w:hAnsi="Times New Roman"/>
                <w:i/>
                <w:sz w:val="18"/>
                <w:szCs w:val="18"/>
                <w:lang w:val="lv-LV"/>
              </w:rPr>
            </w:pPr>
            <w:r w:rsidRPr="009179E5">
              <w:rPr>
                <w:rFonts w:ascii="Times New Roman" w:hAnsi="Times New Roman"/>
                <w:i/>
                <w:sz w:val="18"/>
                <w:szCs w:val="18"/>
                <w:lang w:val="lv-LV"/>
              </w:rPr>
              <w:t>348</w:t>
            </w:r>
            <w:r w:rsidR="001337EA" w:rsidRPr="009179E5">
              <w:rPr>
                <w:rFonts w:ascii="Times New Roman" w:hAnsi="Times New Roman"/>
                <w:i/>
                <w:sz w:val="18"/>
                <w:szCs w:val="18"/>
                <w:lang w:val="lv-LV"/>
              </w:rPr>
              <w:t>3</w:t>
            </w:r>
            <w:r w:rsidR="00320690" w:rsidRPr="009179E5">
              <w:rPr>
                <w:rFonts w:ascii="Times New Roman" w:hAnsi="Times New Roman"/>
                <w:i/>
                <w:sz w:val="18"/>
                <w:szCs w:val="18"/>
                <w:lang w:val="lv-LV"/>
              </w:rPr>
              <w:t xml:space="preserve"> (12,55)</w:t>
            </w:r>
          </w:p>
        </w:tc>
        <w:tc>
          <w:tcPr>
            <w:tcW w:w="1953" w:type="dxa"/>
          </w:tcPr>
          <w:p w:rsidR="00B16EC2" w:rsidRPr="009179E5" w:rsidRDefault="00320690" w:rsidP="00921E55">
            <w:pPr>
              <w:spacing w:after="0" w:line="240" w:lineRule="auto"/>
              <w:jc w:val="both"/>
              <w:rPr>
                <w:rFonts w:ascii="Times New Roman" w:hAnsi="Times New Roman"/>
                <w:i/>
                <w:sz w:val="18"/>
                <w:szCs w:val="18"/>
                <w:lang w:val="lv-LV"/>
              </w:rPr>
            </w:pPr>
            <w:r w:rsidRPr="009179E5">
              <w:rPr>
                <w:rFonts w:ascii="Times New Roman" w:hAnsi="Times New Roman"/>
                <w:i/>
                <w:sz w:val="18"/>
                <w:szCs w:val="18"/>
                <w:lang w:val="lv-LV"/>
              </w:rPr>
              <w:t>100</w:t>
            </w:r>
          </w:p>
        </w:tc>
        <w:tc>
          <w:tcPr>
            <w:tcW w:w="1362" w:type="dxa"/>
          </w:tcPr>
          <w:p w:rsidR="00B16EC2" w:rsidRPr="009179E5" w:rsidRDefault="00320690" w:rsidP="00921E55">
            <w:pPr>
              <w:spacing w:after="0" w:line="240" w:lineRule="auto"/>
              <w:jc w:val="both"/>
              <w:rPr>
                <w:rFonts w:ascii="Times New Roman" w:hAnsi="Times New Roman"/>
                <w:i/>
                <w:sz w:val="18"/>
                <w:szCs w:val="18"/>
                <w:lang w:val="lv-LV"/>
              </w:rPr>
            </w:pPr>
            <w:r w:rsidRPr="009179E5">
              <w:rPr>
                <w:rFonts w:ascii="Times New Roman" w:hAnsi="Times New Roman"/>
                <w:i/>
                <w:sz w:val="18"/>
                <w:szCs w:val="18"/>
                <w:lang w:val="lv-LV"/>
              </w:rPr>
              <w:t>348</w:t>
            </w:r>
            <w:r w:rsidR="007508F8" w:rsidRPr="009179E5">
              <w:rPr>
                <w:rFonts w:ascii="Times New Roman" w:hAnsi="Times New Roman"/>
                <w:i/>
                <w:sz w:val="18"/>
                <w:szCs w:val="18"/>
                <w:lang w:val="lv-LV"/>
              </w:rPr>
              <w:t>3</w:t>
            </w:r>
          </w:p>
        </w:tc>
        <w:tc>
          <w:tcPr>
            <w:tcW w:w="2294" w:type="dxa"/>
          </w:tcPr>
          <w:p w:rsidR="00B16EC2" w:rsidRPr="009179E5" w:rsidRDefault="00B16EC2" w:rsidP="00921E55">
            <w:pPr>
              <w:spacing w:after="0" w:line="240" w:lineRule="auto"/>
              <w:jc w:val="both"/>
              <w:rPr>
                <w:rFonts w:ascii="Times New Roman" w:hAnsi="Times New Roman"/>
                <w:i/>
                <w:sz w:val="18"/>
                <w:szCs w:val="18"/>
                <w:lang w:val="lv-LV"/>
              </w:rPr>
            </w:pPr>
          </w:p>
        </w:tc>
      </w:tr>
    </w:tbl>
    <w:p w:rsidR="004F7F14" w:rsidRPr="001960CF" w:rsidRDefault="004F7F14" w:rsidP="00F05BF3">
      <w:pPr>
        <w:pStyle w:val="Heading4"/>
        <w:numPr>
          <w:ilvl w:val="0"/>
          <w:numId w:val="0"/>
        </w:numPr>
        <w:spacing w:before="120" w:line="240" w:lineRule="auto"/>
        <w:jc w:val="center"/>
        <w:rPr>
          <w:rFonts w:ascii="Times New Roman Bold" w:hAnsi="Times New Roman Bold"/>
          <w:b/>
          <w:i w:val="0"/>
          <w:caps/>
          <w:color w:val="auto"/>
          <w:sz w:val="16"/>
          <w:u w:val="none"/>
          <w:lang w:val="lv-LV"/>
        </w:rPr>
      </w:pPr>
    </w:p>
    <w:p w:rsidR="00B16EC2" w:rsidRPr="009179E5" w:rsidRDefault="00AD7D23" w:rsidP="0001273E">
      <w:pPr>
        <w:pStyle w:val="Heading4"/>
        <w:numPr>
          <w:ilvl w:val="0"/>
          <w:numId w:val="0"/>
        </w:numPr>
        <w:spacing w:line="240" w:lineRule="auto"/>
        <w:jc w:val="center"/>
        <w:rPr>
          <w:rFonts w:ascii="Times New Roman Bold" w:hAnsi="Times New Roman Bold"/>
          <w:b/>
          <w:i w:val="0"/>
          <w:caps/>
          <w:color w:val="auto"/>
          <w:sz w:val="28"/>
          <w:u w:val="none"/>
          <w:lang w:val="lv-LV"/>
        </w:rPr>
      </w:pPr>
      <w:bookmarkStart w:id="23" w:name="_Toc300320568"/>
      <w:r w:rsidRPr="009179E5">
        <w:rPr>
          <w:rFonts w:ascii="Times New Roman Bold" w:hAnsi="Times New Roman Bold"/>
          <w:b/>
          <w:i w:val="0"/>
          <w:caps/>
          <w:color w:val="auto"/>
          <w:sz w:val="28"/>
          <w:u w:val="none"/>
          <w:lang w:val="lv-LV"/>
        </w:rPr>
        <w:t>3.1</w:t>
      </w:r>
      <w:r w:rsidR="000E17C9" w:rsidRPr="009179E5">
        <w:rPr>
          <w:rFonts w:ascii="Times New Roman Bold" w:hAnsi="Times New Roman Bold"/>
          <w:b/>
          <w:i w:val="0"/>
          <w:caps/>
          <w:color w:val="auto"/>
          <w:sz w:val="28"/>
          <w:u w:val="none"/>
          <w:lang w:val="lv-LV"/>
        </w:rPr>
        <w:t>.</w:t>
      </w:r>
      <w:r w:rsidRPr="009179E5">
        <w:rPr>
          <w:rFonts w:ascii="Times New Roman Bold" w:hAnsi="Times New Roman Bold"/>
          <w:b/>
          <w:i w:val="0"/>
          <w:caps/>
          <w:color w:val="auto"/>
          <w:sz w:val="28"/>
          <w:u w:val="none"/>
          <w:lang w:val="lv-LV"/>
        </w:rPr>
        <w:t xml:space="preserve"> </w:t>
      </w:r>
      <w:r w:rsidR="00293DCE" w:rsidRPr="009179E5">
        <w:rPr>
          <w:rFonts w:ascii="Times New Roman Bold" w:hAnsi="Times New Roman Bold"/>
          <w:b/>
          <w:i w:val="0"/>
          <w:caps/>
          <w:color w:val="auto"/>
          <w:sz w:val="28"/>
          <w:u w:val="none"/>
          <w:lang w:val="lv-LV"/>
        </w:rPr>
        <w:t xml:space="preserve">sasniegtā </w:t>
      </w:r>
      <w:r w:rsidR="00DC672F" w:rsidRPr="009179E5">
        <w:rPr>
          <w:rFonts w:ascii="Times New Roman Bold" w:hAnsi="Times New Roman Bold"/>
          <w:b/>
          <w:i w:val="0"/>
          <w:caps/>
          <w:color w:val="auto"/>
          <w:sz w:val="28"/>
          <w:u w:val="none"/>
          <w:lang w:val="lv-LV"/>
        </w:rPr>
        <w:t>Enerģijas ietaupījuma aprēķins</w:t>
      </w:r>
      <w:bookmarkEnd w:id="23"/>
    </w:p>
    <w:p w:rsidR="00495566" w:rsidRDefault="00495566" w:rsidP="00574AC8">
      <w:pPr>
        <w:spacing w:before="120" w:after="120" w:line="240" w:lineRule="auto"/>
        <w:jc w:val="both"/>
        <w:rPr>
          <w:rFonts w:ascii="Times New Roman" w:hAnsi="Times New Roman"/>
          <w:b/>
          <w:sz w:val="28"/>
          <w:szCs w:val="28"/>
          <w:lang w:val="lv-LV"/>
        </w:rPr>
      </w:pPr>
    </w:p>
    <w:p w:rsidR="00495566" w:rsidRDefault="00495566" w:rsidP="00574AC8">
      <w:pPr>
        <w:spacing w:before="120" w:after="120" w:line="240" w:lineRule="auto"/>
        <w:jc w:val="both"/>
        <w:rPr>
          <w:rFonts w:ascii="Times New Roman" w:hAnsi="Times New Roman"/>
          <w:b/>
          <w:sz w:val="28"/>
          <w:szCs w:val="28"/>
          <w:lang w:val="lv-LV"/>
        </w:rPr>
      </w:pPr>
    </w:p>
    <w:p w:rsidR="00DC672F" w:rsidRPr="009179E5" w:rsidRDefault="00DC672F" w:rsidP="00574AC8">
      <w:pPr>
        <w:spacing w:before="120" w:after="120" w:line="240" w:lineRule="auto"/>
        <w:jc w:val="both"/>
        <w:rPr>
          <w:rFonts w:ascii="Times New Roman" w:hAnsi="Times New Roman"/>
          <w:b/>
          <w:sz w:val="28"/>
          <w:szCs w:val="28"/>
          <w:lang w:val="lv-LV"/>
        </w:rPr>
      </w:pPr>
      <w:r w:rsidRPr="009179E5">
        <w:rPr>
          <w:rFonts w:ascii="Times New Roman" w:hAnsi="Times New Roman"/>
          <w:b/>
          <w:sz w:val="28"/>
          <w:szCs w:val="28"/>
          <w:lang w:val="lv-LV"/>
        </w:rPr>
        <w:t>Izmantotās metodikas apraksts</w:t>
      </w:r>
    </w:p>
    <w:p w:rsidR="00DC672F" w:rsidRPr="009179E5" w:rsidRDefault="00DC672F"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eastAsia="de-DE"/>
        </w:rPr>
        <w:t>Enerģijas ietaupījuma aprēķināšanai valstī tika izmantota lejupvērstā (top-down) metode. Metodes pamatā ir EK ieteiktā metodoloģija, kas balstās uz gala enerģija</w:t>
      </w:r>
      <w:r w:rsidR="009003BA" w:rsidRPr="009179E5">
        <w:rPr>
          <w:rFonts w:ascii="Times New Roman" w:hAnsi="Times New Roman"/>
          <w:sz w:val="28"/>
          <w:szCs w:val="28"/>
          <w:lang w:val="lv-LV" w:eastAsia="de-DE"/>
        </w:rPr>
        <w:t>s</w:t>
      </w:r>
      <w:r w:rsidRPr="009179E5">
        <w:rPr>
          <w:rFonts w:ascii="Times New Roman" w:hAnsi="Times New Roman"/>
          <w:sz w:val="28"/>
          <w:szCs w:val="28"/>
          <w:lang w:val="lv-LV" w:eastAsia="de-DE"/>
        </w:rPr>
        <w:t xml:space="preserve"> sektoros </w:t>
      </w:r>
      <w:r w:rsidRPr="009179E5">
        <w:rPr>
          <w:rFonts w:ascii="Times New Roman" w:hAnsi="Times New Roman"/>
          <w:sz w:val="28"/>
          <w:szCs w:val="28"/>
          <w:lang w:val="lv-LV"/>
        </w:rPr>
        <w:t xml:space="preserve">izvēlēto enerģijas efektivitātes indikatoru izmaiņu analīzi </w:t>
      </w:r>
      <w:r w:rsidRPr="009179E5">
        <w:rPr>
          <w:rFonts w:ascii="Times New Roman" w:hAnsi="Times New Roman"/>
          <w:sz w:val="28"/>
          <w:szCs w:val="28"/>
          <w:lang w:val="lv-LV"/>
        </w:rPr>
        <w:lastRenderedPageBreak/>
        <w:t>laika periodā starp izvēlēto bāzes gadu un ziņošanas gadu. Par bāzes gadu enerģijas ietaupījuma aprēķināšanai tika izvēlēts 2007</w:t>
      </w:r>
      <w:r w:rsidR="00132179" w:rsidRPr="009179E5">
        <w:rPr>
          <w:rFonts w:ascii="Times New Roman" w:hAnsi="Times New Roman"/>
          <w:sz w:val="28"/>
          <w:szCs w:val="28"/>
          <w:lang w:val="lv-LV"/>
        </w:rPr>
        <w:t>.</w:t>
      </w:r>
      <w:r w:rsidRPr="009179E5">
        <w:rPr>
          <w:rFonts w:ascii="Times New Roman" w:hAnsi="Times New Roman"/>
          <w:sz w:val="28"/>
          <w:szCs w:val="28"/>
          <w:lang w:val="lv-LV"/>
        </w:rPr>
        <w:t>gads. Enerģijas ietaupījums ir aprēķināts uz 2009.gadu. Par galveno iemeslu tam ir fakts, ka nav pieejami apstiprināti statistikas dati par 2010.gadu, un pie esošajām ekonomikas attīstības svārstībām Latvijā ir grūti ekstrapolēt ar pieņemamu ticamību enerģijas patēriņa datus par 2010.gadu, kas būtu izmantojami enerģijas ietaupījuma aprēķināšanai.</w:t>
      </w:r>
    </w:p>
    <w:p w:rsidR="00DC672F" w:rsidRPr="009179E5" w:rsidRDefault="00DC672F" w:rsidP="00574AC8">
      <w:pPr>
        <w:spacing w:before="120" w:after="120" w:line="240" w:lineRule="auto"/>
        <w:jc w:val="both"/>
        <w:rPr>
          <w:rFonts w:ascii="Times New Roman" w:hAnsi="Times New Roman"/>
          <w:sz w:val="24"/>
          <w:szCs w:val="24"/>
          <w:lang w:val="lv-LV"/>
        </w:rPr>
      </w:pPr>
      <w:r w:rsidRPr="009179E5">
        <w:rPr>
          <w:rFonts w:ascii="Times New Roman" w:hAnsi="Times New Roman"/>
          <w:sz w:val="28"/>
          <w:szCs w:val="28"/>
          <w:lang w:val="lv-LV"/>
        </w:rPr>
        <w:t xml:space="preserve">Atkarībā no pieejamo statistikas datu detalizācijas līmeņa, enerģijas </w:t>
      </w:r>
      <w:r w:rsidR="00B16CE8" w:rsidRPr="009179E5">
        <w:rPr>
          <w:rFonts w:ascii="Times New Roman" w:hAnsi="Times New Roman"/>
          <w:sz w:val="28"/>
          <w:szCs w:val="28"/>
          <w:lang w:val="lv-LV"/>
        </w:rPr>
        <w:t>gala</w:t>
      </w:r>
      <w:r w:rsidRPr="009179E5">
        <w:rPr>
          <w:rFonts w:ascii="Times New Roman" w:hAnsi="Times New Roman"/>
          <w:sz w:val="28"/>
          <w:szCs w:val="28"/>
          <w:lang w:val="lv-LV"/>
        </w:rPr>
        <w:t>patēriņa sektoros enerģijas ietaupījuma aprēķināšanai tika izmantoti minimālo indikatoru vai iet</w:t>
      </w:r>
      <w:r w:rsidR="00B16CE8" w:rsidRPr="009179E5">
        <w:rPr>
          <w:rFonts w:ascii="Times New Roman" w:hAnsi="Times New Roman"/>
          <w:sz w:val="28"/>
          <w:szCs w:val="28"/>
          <w:lang w:val="lv-LV"/>
        </w:rPr>
        <w:t xml:space="preserve">eicamo indikatoru kopa. </w:t>
      </w:r>
      <w:r w:rsidR="00814C36" w:rsidRPr="009179E5">
        <w:rPr>
          <w:rFonts w:ascii="Times New Roman" w:hAnsi="Times New Roman"/>
          <w:sz w:val="28"/>
          <w:szCs w:val="28"/>
          <w:lang w:val="lv-LV"/>
        </w:rPr>
        <w:t xml:space="preserve">Informācija par izmantotiem enerģijas efektivitātes indikatoriem </w:t>
      </w:r>
      <w:r w:rsidR="00A14BE1" w:rsidRPr="009179E5">
        <w:rPr>
          <w:rFonts w:ascii="Times New Roman" w:hAnsi="Times New Roman"/>
          <w:sz w:val="28"/>
          <w:szCs w:val="28"/>
          <w:lang w:val="lv-LV"/>
        </w:rPr>
        <w:t xml:space="preserve">ir apkopota </w:t>
      </w:r>
      <w:r w:rsidR="00B16CE8" w:rsidRPr="009179E5">
        <w:rPr>
          <w:rFonts w:ascii="Times New Roman" w:hAnsi="Times New Roman"/>
          <w:sz w:val="28"/>
          <w:szCs w:val="28"/>
          <w:lang w:val="lv-LV"/>
        </w:rPr>
        <w:t>4.</w:t>
      </w:r>
      <w:r w:rsidRPr="009179E5">
        <w:rPr>
          <w:rFonts w:ascii="Times New Roman" w:hAnsi="Times New Roman"/>
          <w:sz w:val="28"/>
          <w:szCs w:val="28"/>
          <w:lang w:val="lv-LV"/>
        </w:rPr>
        <w:t>tabulā.</w:t>
      </w:r>
      <w:r w:rsidRPr="009179E5">
        <w:rPr>
          <w:rFonts w:ascii="Times New Roman" w:hAnsi="Times New Roman"/>
          <w:sz w:val="24"/>
          <w:szCs w:val="24"/>
          <w:lang w:val="lv-LV"/>
        </w:rPr>
        <w:t xml:space="preserve"> </w:t>
      </w:r>
    </w:p>
    <w:p w:rsidR="00495566" w:rsidRDefault="00495566" w:rsidP="00FC7786">
      <w:pPr>
        <w:spacing w:after="0" w:line="240" w:lineRule="auto"/>
        <w:jc w:val="right"/>
        <w:rPr>
          <w:rFonts w:ascii="Times New Roman" w:hAnsi="Times New Roman"/>
          <w:b/>
          <w:sz w:val="24"/>
          <w:szCs w:val="24"/>
          <w:lang w:val="lv-LV"/>
        </w:rPr>
      </w:pPr>
    </w:p>
    <w:p w:rsidR="00495566" w:rsidRDefault="00495566" w:rsidP="00FC7786">
      <w:pPr>
        <w:spacing w:after="0" w:line="240" w:lineRule="auto"/>
        <w:jc w:val="right"/>
        <w:rPr>
          <w:rFonts w:ascii="Times New Roman" w:hAnsi="Times New Roman"/>
          <w:b/>
          <w:sz w:val="24"/>
          <w:szCs w:val="24"/>
          <w:lang w:val="lv-LV"/>
        </w:rPr>
      </w:pPr>
    </w:p>
    <w:p w:rsidR="00495566" w:rsidRDefault="00495566" w:rsidP="00FC7786">
      <w:pPr>
        <w:spacing w:after="0" w:line="240" w:lineRule="auto"/>
        <w:jc w:val="right"/>
        <w:rPr>
          <w:rFonts w:ascii="Times New Roman" w:hAnsi="Times New Roman"/>
          <w:b/>
          <w:sz w:val="24"/>
          <w:szCs w:val="24"/>
          <w:lang w:val="lv-LV"/>
        </w:rPr>
      </w:pPr>
    </w:p>
    <w:p w:rsidR="00DC672F" w:rsidRPr="009179E5" w:rsidRDefault="00495566" w:rsidP="00FC7786">
      <w:pPr>
        <w:spacing w:after="0" w:line="240" w:lineRule="auto"/>
        <w:jc w:val="right"/>
        <w:rPr>
          <w:rFonts w:ascii="Times New Roman" w:hAnsi="Times New Roman"/>
          <w:b/>
          <w:sz w:val="24"/>
          <w:szCs w:val="24"/>
          <w:lang w:val="lv-LV"/>
        </w:rPr>
      </w:pPr>
      <w:r>
        <w:rPr>
          <w:rFonts w:ascii="Times New Roman" w:hAnsi="Times New Roman"/>
          <w:b/>
          <w:sz w:val="24"/>
          <w:szCs w:val="24"/>
          <w:lang w:val="lv-LV"/>
        </w:rPr>
        <w:t>4</w:t>
      </w:r>
      <w:r w:rsidR="00DC672F" w:rsidRPr="009179E5">
        <w:rPr>
          <w:rFonts w:ascii="Times New Roman" w:hAnsi="Times New Roman"/>
          <w:b/>
          <w:sz w:val="24"/>
          <w:szCs w:val="24"/>
          <w:lang w:val="lv-LV"/>
        </w:rPr>
        <w:t>.tabula</w:t>
      </w:r>
    </w:p>
    <w:p w:rsidR="00B57F1F" w:rsidRPr="009179E5" w:rsidRDefault="00B57F1F" w:rsidP="00FC7786">
      <w:pPr>
        <w:spacing w:after="0" w:line="240" w:lineRule="auto"/>
        <w:jc w:val="center"/>
        <w:rPr>
          <w:rFonts w:ascii="Times New Roman" w:hAnsi="Times New Roman"/>
          <w:b/>
          <w:sz w:val="24"/>
          <w:szCs w:val="24"/>
          <w:lang w:val="lv-LV"/>
        </w:rPr>
      </w:pPr>
      <w:r w:rsidRPr="009179E5">
        <w:rPr>
          <w:rFonts w:ascii="Times New Roman" w:hAnsi="Times New Roman"/>
          <w:b/>
          <w:sz w:val="24"/>
          <w:szCs w:val="24"/>
          <w:lang w:val="lv-LV"/>
        </w:rPr>
        <w:t>Izmantotie enerģijas efektivitātes indikatori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3378"/>
        <w:gridCol w:w="3629"/>
      </w:tblGrid>
      <w:tr w:rsidR="00DC672F" w:rsidRPr="009179E5" w:rsidTr="009003BA">
        <w:tc>
          <w:tcPr>
            <w:tcW w:w="2130" w:type="dxa"/>
          </w:tcPr>
          <w:p w:rsidR="00DC672F" w:rsidRPr="009179E5" w:rsidRDefault="00DC672F" w:rsidP="00921E55">
            <w:pPr>
              <w:spacing w:after="0" w:line="240" w:lineRule="auto"/>
              <w:jc w:val="both"/>
              <w:rPr>
                <w:rFonts w:ascii="Times New Roman" w:hAnsi="Times New Roman"/>
                <w:b/>
                <w:sz w:val="24"/>
                <w:szCs w:val="24"/>
                <w:lang w:val="lv-LV"/>
              </w:rPr>
            </w:pPr>
            <w:r w:rsidRPr="009179E5">
              <w:rPr>
                <w:rFonts w:ascii="Times New Roman" w:hAnsi="Times New Roman"/>
                <w:b/>
                <w:sz w:val="24"/>
                <w:szCs w:val="24"/>
                <w:lang w:val="lv-LV"/>
              </w:rPr>
              <w:t>Sektors</w:t>
            </w:r>
          </w:p>
        </w:tc>
        <w:tc>
          <w:tcPr>
            <w:tcW w:w="3378" w:type="dxa"/>
          </w:tcPr>
          <w:p w:rsidR="00DC672F" w:rsidRPr="009179E5" w:rsidRDefault="00DC672F" w:rsidP="00921E55">
            <w:pPr>
              <w:spacing w:after="0" w:line="240" w:lineRule="auto"/>
              <w:rPr>
                <w:rFonts w:ascii="Times New Roman" w:hAnsi="Times New Roman"/>
                <w:b/>
                <w:sz w:val="24"/>
                <w:szCs w:val="24"/>
                <w:lang w:val="lv-LV"/>
              </w:rPr>
            </w:pPr>
            <w:r w:rsidRPr="009179E5">
              <w:rPr>
                <w:rFonts w:ascii="Times New Roman" w:hAnsi="Times New Roman"/>
                <w:b/>
                <w:sz w:val="24"/>
                <w:szCs w:val="24"/>
                <w:lang w:val="lv-LV"/>
              </w:rPr>
              <w:t>Izmantotie enerģijas efektivitātes indikatori</w:t>
            </w:r>
          </w:p>
        </w:tc>
        <w:tc>
          <w:tcPr>
            <w:tcW w:w="3629" w:type="dxa"/>
          </w:tcPr>
          <w:p w:rsidR="00DC672F" w:rsidRPr="009179E5" w:rsidRDefault="00DC672F" w:rsidP="00921E55">
            <w:pPr>
              <w:spacing w:after="0" w:line="240" w:lineRule="auto"/>
              <w:jc w:val="both"/>
              <w:rPr>
                <w:rFonts w:ascii="Times New Roman" w:hAnsi="Times New Roman"/>
                <w:b/>
                <w:sz w:val="24"/>
                <w:szCs w:val="24"/>
                <w:lang w:val="lv-LV"/>
              </w:rPr>
            </w:pPr>
            <w:r w:rsidRPr="009179E5">
              <w:rPr>
                <w:rFonts w:ascii="Times New Roman" w:hAnsi="Times New Roman"/>
                <w:b/>
                <w:sz w:val="24"/>
                <w:szCs w:val="24"/>
                <w:lang w:val="lv-LV"/>
              </w:rPr>
              <w:t>Piezīmes</w:t>
            </w:r>
          </w:p>
        </w:tc>
      </w:tr>
      <w:tr w:rsidR="00DC672F" w:rsidRPr="009179E5" w:rsidTr="009003BA">
        <w:tc>
          <w:tcPr>
            <w:tcW w:w="2130" w:type="dxa"/>
          </w:tcPr>
          <w:p w:rsidR="00DC672F" w:rsidRPr="009179E5" w:rsidRDefault="00DC672F" w:rsidP="00921E55">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Mājsaimniecības</w:t>
            </w:r>
          </w:p>
        </w:tc>
        <w:tc>
          <w:tcPr>
            <w:tcW w:w="3378" w:type="dxa"/>
          </w:tcPr>
          <w:p w:rsidR="00DC672F" w:rsidRPr="009179E5" w:rsidRDefault="009003BA" w:rsidP="00CE7E6E">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E</w:t>
            </w:r>
            <w:r w:rsidR="00DC672F" w:rsidRPr="009179E5">
              <w:rPr>
                <w:rFonts w:ascii="Times New Roman" w:hAnsi="Times New Roman"/>
                <w:sz w:val="24"/>
                <w:szCs w:val="24"/>
                <w:lang w:val="lv-LV"/>
              </w:rPr>
              <w:t>nerģijas patēriņš apkurei (k</w:t>
            </w:r>
            <w:r w:rsidR="00CE7E6E" w:rsidRPr="009179E5">
              <w:rPr>
                <w:rFonts w:ascii="Times New Roman" w:hAnsi="Times New Roman"/>
                <w:sz w:val="24"/>
                <w:szCs w:val="24"/>
                <w:lang w:val="lv-LV"/>
              </w:rPr>
              <w:t>g</w:t>
            </w:r>
            <w:r w:rsidR="00DC672F" w:rsidRPr="009179E5">
              <w:rPr>
                <w:rFonts w:ascii="Times New Roman" w:hAnsi="Times New Roman"/>
                <w:sz w:val="24"/>
                <w:szCs w:val="24"/>
                <w:lang w:val="lv-LV"/>
              </w:rPr>
              <w:t>oe/m</w:t>
            </w:r>
            <w:r w:rsidR="00DC672F" w:rsidRPr="009179E5">
              <w:rPr>
                <w:rFonts w:ascii="Times New Roman" w:hAnsi="Times New Roman"/>
                <w:sz w:val="24"/>
                <w:szCs w:val="24"/>
                <w:vertAlign w:val="superscript"/>
                <w:lang w:val="lv-LV"/>
              </w:rPr>
              <w:t>2</w:t>
            </w:r>
            <w:r w:rsidR="00DC672F" w:rsidRPr="009179E5">
              <w:rPr>
                <w:rFonts w:ascii="Times New Roman" w:hAnsi="Times New Roman"/>
                <w:sz w:val="24"/>
                <w:szCs w:val="24"/>
                <w:lang w:val="lv-LV"/>
              </w:rPr>
              <w:t xml:space="preserve">), siltā ūdens sagatavošanai (toe/cilv.) un elektroenerģija patēriņš ierīcēm un apgaismojumam </w:t>
            </w:r>
            <w:r w:rsidRPr="009179E5">
              <w:rPr>
                <w:rFonts w:ascii="Times New Roman" w:hAnsi="Times New Roman"/>
                <w:sz w:val="24"/>
                <w:szCs w:val="24"/>
                <w:lang w:val="lv-LV"/>
              </w:rPr>
              <w:t>(kWh/mājs.)</w:t>
            </w:r>
            <w:r w:rsidR="00DC672F" w:rsidRPr="009179E5">
              <w:rPr>
                <w:rFonts w:ascii="Times New Roman" w:hAnsi="Times New Roman"/>
                <w:sz w:val="24"/>
                <w:szCs w:val="24"/>
                <w:lang w:val="lv-LV"/>
              </w:rPr>
              <w:t xml:space="preserve"> </w:t>
            </w:r>
          </w:p>
        </w:tc>
        <w:tc>
          <w:tcPr>
            <w:tcW w:w="3629" w:type="dxa"/>
          </w:tcPr>
          <w:p w:rsidR="00DC672F" w:rsidRPr="009179E5" w:rsidRDefault="00DC672F" w:rsidP="00921E55">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Elektroenerģijas patēriņš ierīcēm un apgaismojumam neiekļauj patēriņu apkurei un siltā ūdens sagatavošanai.</w:t>
            </w:r>
          </w:p>
          <w:p w:rsidR="00DC672F" w:rsidRPr="009179E5" w:rsidRDefault="00DC672F" w:rsidP="00921E55">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Enerģijas patēriņš apkurei tiek koriģēts ar klimata korekcijas koeficientu</w:t>
            </w:r>
          </w:p>
        </w:tc>
      </w:tr>
      <w:tr w:rsidR="00DC672F" w:rsidRPr="009179E5" w:rsidTr="009003BA">
        <w:tc>
          <w:tcPr>
            <w:tcW w:w="2130" w:type="dxa"/>
          </w:tcPr>
          <w:p w:rsidR="00DC672F" w:rsidRPr="009179E5" w:rsidRDefault="00DC672F" w:rsidP="00921E55">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Transports</w:t>
            </w:r>
          </w:p>
        </w:tc>
        <w:tc>
          <w:tcPr>
            <w:tcW w:w="3378" w:type="dxa"/>
          </w:tcPr>
          <w:p w:rsidR="00DC672F" w:rsidRPr="009179E5" w:rsidRDefault="00DC672F" w:rsidP="00921E55">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Enerģijas patēriņš autotransportā (toe/aut.</w:t>
            </w:r>
            <w:r w:rsidRPr="009179E5">
              <w:rPr>
                <w:rFonts w:ascii="Times New Roman" w:hAnsi="Times New Roman"/>
                <w:sz w:val="24"/>
                <w:szCs w:val="24"/>
                <w:vertAlign w:val="superscript"/>
                <w:lang w:val="lv-LV"/>
              </w:rPr>
              <w:t>ekv.</w:t>
            </w:r>
            <w:r w:rsidRPr="009179E5">
              <w:rPr>
                <w:rFonts w:ascii="Times New Roman" w:hAnsi="Times New Roman"/>
                <w:sz w:val="24"/>
                <w:szCs w:val="24"/>
                <w:lang w:val="lv-LV"/>
              </w:rPr>
              <w:t>), enerģijas patēriņš dzelzceļa transportā (kgoe/tkm)</w:t>
            </w:r>
          </w:p>
        </w:tc>
        <w:tc>
          <w:tcPr>
            <w:tcW w:w="3629" w:type="dxa"/>
          </w:tcPr>
          <w:p w:rsidR="00DC672F" w:rsidRPr="009179E5" w:rsidRDefault="00DC672F" w:rsidP="00921E55">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Automašīnu kopējā skaita aprēķināšanai tiek izmantota EK piedāvātā automašīnu ekvivalentu sistēma</w:t>
            </w:r>
          </w:p>
        </w:tc>
      </w:tr>
      <w:tr w:rsidR="00DC672F" w:rsidRPr="009179E5" w:rsidTr="009003BA">
        <w:tc>
          <w:tcPr>
            <w:tcW w:w="2130" w:type="dxa"/>
          </w:tcPr>
          <w:p w:rsidR="00DC672F" w:rsidRPr="009179E5" w:rsidRDefault="00DC672F" w:rsidP="00921E55">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Pakalpojumi</w:t>
            </w:r>
          </w:p>
        </w:tc>
        <w:tc>
          <w:tcPr>
            <w:tcW w:w="3378" w:type="dxa"/>
          </w:tcPr>
          <w:p w:rsidR="00DC672F" w:rsidRPr="009179E5" w:rsidRDefault="00DC672F" w:rsidP="00387104">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Ne-elektroenerģijas patēriņš (toe/darb</w:t>
            </w:r>
            <w:r w:rsidR="00387104" w:rsidRPr="009179E5">
              <w:rPr>
                <w:rFonts w:ascii="Times New Roman" w:hAnsi="Times New Roman"/>
                <w:sz w:val="24"/>
                <w:szCs w:val="24"/>
                <w:lang w:val="lv-LV"/>
              </w:rPr>
              <w:t>inieks</w:t>
            </w:r>
            <w:r w:rsidRPr="009179E5">
              <w:rPr>
                <w:rFonts w:ascii="Times New Roman" w:hAnsi="Times New Roman"/>
                <w:sz w:val="24"/>
                <w:szCs w:val="24"/>
                <w:lang w:val="lv-LV"/>
              </w:rPr>
              <w:t>) un elektr</w:t>
            </w:r>
            <w:r w:rsidR="009003BA" w:rsidRPr="009179E5">
              <w:rPr>
                <w:rFonts w:ascii="Times New Roman" w:hAnsi="Times New Roman"/>
                <w:sz w:val="24"/>
                <w:szCs w:val="24"/>
                <w:lang w:val="lv-LV"/>
              </w:rPr>
              <w:t>oenerģijas patēriņš (kWh/darb</w:t>
            </w:r>
            <w:r w:rsidR="00387104" w:rsidRPr="009179E5">
              <w:rPr>
                <w:rFonts w:ascii="Times New Roman" w:hAnsi="Times New Roman"/>
                <w:sz w:val="24"/>
                <w:szCs w:val="24"/>
                <w:lang w:val="lv-LV"/>
              </w:rPr>
              <w:t>inieks</w:t>
            </w:r>
            <w:r w:rsidR="009003BA" w:rsidRPr="009179E5">
              <w:rPr>
                <w:rFonts w:ascii="Times New Roman" w:hAnsi="Times New Roman"/>
                <w:sz w:val="24"/>
                <w:szCs w:val="24"/>
                <w:lang w:val="lv-LV"/>
              </w:rPr>
              <w:t>)</w:t>
            </w:r>
          </w:p>
        </w:tc>
        <w:tc>
          <w:tcPr>
            <w:tcW w:w="3629" w:type="dxa"/>
          </w:tcPr>
          <w:p w:rsidR="00DC672F" w:rsidRPr="009179E5" w:rsidRDefault="00DC672F" w:rsidP="00921E55">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Enerģijas patēriņš apkurei tiek koriģēts ar klimata korekcijas koeficientu</w:t>
            </w:r>
          </w:p>
        </w:tc>
      </w:tr>
      <w:tr w:rsidR="00DC672F" w:rsidRPr="009179E5" w:rsidTr="009003BA">
        <w:tc>
          <w:tcPr>
            <w:tcW w:w="2130" w:type="dxa"/>
          </w:tcPr>
          <w:p w:rsidR="00DC672F" w:rsidRPr="009179E5" w:rsidRDefault="00DC672F" w:rsidP="00921E55">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Rūpniecība</w:t>
            </w:r>
          </w:p>
        </w:tc>
        <w:tc>
          <w:tcPr>
            <w:tcW w:w="3378" w:type="dxa"/>
          </w:tcPr>
          <w:p w:rsidR="00DC672F" w:rsidRPr="009179E5" w:rsidRDefault="009003BA" w:rsidP="00921E55">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E</w:t>
            </w:r>
            <w:r w:rsidR="00DC672F" w:rsidRPr="009179E5">
              <w:rPr>
                <w:rFonts w:ascii="Times New Roman" w:hAnsi="Times New Roman"/>
                <w:sz w:val="24"/>
                <w:szCs w:val="24"/>
                <w:lang w:val="lv-LV"/>
              </w:rPr>
              <w:t>nerģijas patēriņš pa rūpniecības nozarēm uz vienu rūpniecības produkcijas apjo</w:t>
            </w:r>
            <w:r w:rsidRPr="009179E5">
              <w:rPr>
                <w:rFonts w:ascii="Times New Roman" w:hAnsi="Times New Roman"/>
                <w:sz w:val="24"/>
                <w:szCs w:val="24"/>
                <w:lang w:val="lv-LV"/>
              </w:rPr>
              <w:t>ma indeksa vienību (toe/indeks</w:t>
            </w:r>
            <w:r w:rsidR="0040496A" w:rsidRPr="009179E5">
              <w:rPr>
                <w:rFonts w:ascii="Times New Roman" w:hAnsi="Times New Roman"/>
                <w:sz w:val="24"/>
                <w:szCs w:val="24"/>
                <w:lang w:val="lv-LV"/>
              </w:rPr>
              <w:t>s</w:t>
            </w:r>
            <w:r w:rsidRPr="009179E5">
              <w:rPr>
                <w:rFonts w:ascii="Times New Roman" w:hAnsi="Times New Roman"/>
                <w:sz w:val="24"/>
                <w:szCs w:val="24"/>
                <w:lang w:val="lv-LV"/>
              </w:rPr>
              <w:t>)</w:t>
            </w:r>
          </w:p>
        </w:tc>
        <w:tc>
          <w:tcPr>
            <w:tcW w:w="3629" w:type="dxa"/>
          </w:tcPr>
          <w:p w:rsidR="00DC672F" w:rsidRPr="009179E5" w:rsidRDefault="009003BA" w:rsidP="00921E55">
            <w:pPr>
              <w:spacing w:after="0" w:line="240" w:lineRule="auto"/>
              <w:jc w:val="both"/>
              <w:rPr>
                <w:rFonts w:ascii="Times New Roman" w:hAnsi="Times New Roman"/>
                <w:sz w:val="24"/>
                <w:szCs w:val="24"/>
                <w:lang w:val="lv-LV"/>
              </w:rPr>
            </w:pPr>
            <w:r w:rsidRPr="009179E5">
              <w:rPr>
                <w:rStyle w:val="Emphasis"/>
                <w:rFonts w:ascii="Times New Roman" w:eastAsia="Calibri" w:hAnsi="Times New Roman"/>
                <w:i w:val="0"/>
                <w:sz w:val="24"/>
                <w:szCs w:val="24"/>
                <w:lang w:val="lv-LV"/>
              </w:rPr>
              <w:t>E</w:t>
            </w:r>
            <w:r w:rsidR="00DC672F" w:rsidRPr="009179E5">
              <w:rPr>
                <w:rStyle w:val="Emphasis"/>
                <w:rFonts w:ascii="Times New Roman" w:eastAsia="Calibri" w:hAnsi="Times New Roman"/>
                <w:i w:val="0"/>
                <w:sz w:val="24"/>
                <w:szCs w:val="24"/>
                <w:lang w:val="lv-LV"/>
              </w:rPr>
              <w:t xml:space="preserve">nerģijas patēriņa daļa rūpniecības nozarē 2007.gadā tiek koriģēta atbilstoši </w:t>
            </w:r>
            <w:r w:rsidR="00DC672F" w:rsidRPr="009179E5">
              <w:rPr>
                <w:rFonts w:ascii="Times New Roman" w:hAnsi="Times New Roman"/>
                <w:sz w:val="24"/>
                <w:szCs w:val="24"/>
                <w:lang w:val="lv-LV"/>
              </w:rPr>
              <w:t>Direktīvas 2006/32/EK nosacījumiem</w:t>
            </w:r>
          </w:p>
        </w:tc>
      </w:tr>
    </w:tbl>
    <w:p w:rsidR="001E4968" w:rsidRPr="009179E5" w:rsidRDefault="001E4968" w:rsidP="001E496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Galvenais datu avots enerģijas ietaupījuma aprēķināšanai bija Centrālās statistikas pārvaldes dati par enerģijas galapatēriņu uzskaitītajos sektoros, rūpniecības nozares raksturojošiem rādītājiem, mājsaimniecību un iedzīvotāju skaitu. Papildus tam tika izmantoti dati no Emisiju tirdzniecības reģistra un ODYSSEE Latvijas datu bāzes. </w:t>
      </w:r>
    </w:p>
    <w:p w:rsidR="00DC672F" w:rsidRPr="009179E5" w:rsidRDefault="001E4968" w:rsidP="001E4968">
      <w:pPr>
        <w:spacing w:before="120" w:after="120" w:line="240" w:lineRule="auto"/>
        <w:jc w:val="both"/>
        <w:rPr>
          <w:rStyle w:val="Emphasis"/>
          <w:rFonts w:ascii="Times New Roman" w:eastAsia="Calibri" w:hAnsi="Times New Roman"/>
          <w:i w:val="0"/>
          <w:sz w:val="28"/>
          <w:szCs w:val="28"/>
          <w:lang w:val="lv-LV"/>
        </w:rPr>
      </w:pPr>
      <w:r w:rsidRPr="009179E5">
        <w:rPr>
          <w:rStyle w:val="Emphasis"/>
          <w:rFonts w:ascii="Times New Roman" w:eastAsia="Calibri" w:hAnsi="Times New Roman"/>
          <w:i w:val="0"/>
          <w:sz w:val="28"/>
          <w:szCs w:val="28"/>
          <w:lang w:val="lv-LV"/>
        </w:rPr>
        <w:t>Kopējais aprēķinātais g</w:t>
      </w:r>
      <w:r w:rsidRPr="009179E5">
        <w:rPr>
          <w:rFonts w:ascii="Times New Roman" w:hAnsi="Times New Roman"/>
          <w:iCs/>
          <w:sz w:val="28"/>
          <w:szCs w:val="28"/>
          <w:lang w:val="lv-LV"/>
        </w:rPr>
        <w:t>ala enerģijas ietaupījums</w:t>
      </w:r>
      <w:r w:rsidRPr="009179E5">
        <w:rPr>
          <w:rFonts w:ascii="Times New Roman" w:hAnsi="Times New Roman"/>
          <w:sz w:val="28"/>
          <w:szCs w:val="28"/>
          <w:lang w:val="lv-LV"/>
        </w:rPr>
        <w:t xml:space="preserve"> valstī atskaites periodam (2008.–2009.gads) noteikts, summējot enerģijas ietaupījumu </w:t>
      </w:r>
      <w:r w:rsidRPr="009179E5">
        <w:rPr>
          <w:rStyle w:val="Emphasis"/>
          <w:rFonts w:ascii="Times New Roman" w:eastAsia="Calibri" w:hAnsi="Times New Roman"/>
          <w:i w:val="0"/>
          <w:sz w:val="28"/>
          <w:szCs w:val="28"/>
          <w:lang w:val="lv-LV"/>
        </w:rPr>
        <w:t>mājsaimniecību, rūpniecības, transporta un pakalpojumu sektoros.</w:t>
      </w:r>
    </w:p>
    <w:p w:rsidR="004F7F14" w:rsidRPr="009179E5" w:rsidRDefault="004F7F14" w:rsidP="001E4968">
      <w:pPr>
        <w:spacing w:before="120" w:after="120" w:line="240" w:lineRule="auto"/>
        <w:jc w:val="both"/>
        <w:rPr>
          <w:rStyle w:val="Emphasis"/>
          <w:rFonts w:ascii="Times New Roman" w:eastAsia="Calibri" w:hAnsi="Times New Roman"/>
          <w:i w:val="0"/>
          <w:sz w:val="24"/>
          <w:szCs w:val="24"/>
          <w:lang w:val="lv-LV"/>
        </w:rPr>
      </w:pPr>
    </w:p>
    <w:p w:rsidR="00DC672F" w:rsidRPr="009179E5" w:rsidRDefault="002360EF" w:rsidP="0001273E">
      <w:pPr>
        <w:pStyle w:val="Heading4"/>
        <w:numPr>
          <w:ilvl w:val="0"/>
          <w:numId w:val="0"/>
        </w:numPr>
        <w:spacing w:line="240" w:lineRule="auto"/>
        <w:jc w:val="center"/>
        <w:rPr>
          <w:rFonts w:ascii="Times New Roman" w:hAnsi="Times New Roman"/>
          <w:b/>
          <w:sz w:val="24"/>
          <w:szCs w:val="24"/>
          <w:lang w:val="lv-LV"/>
        </w:rPr>
      </w:pPr>
      <w:bookmarkStart w:id="24" w:name="_Toc300320569"/>
      <w:r w:rsidRPr="009179E5">
        <w:rPr>
          <w:rFonts w:ascii="Times New Roman Bold" w:hAnsi="Times New Roman Bold"/>
          <w:b/>
          <w:i w:val="0"/>
          <w:caps/>
          <w:color w:val="auto"/>
          <w:sz w:val="28"/>
          <w:u w:val="none"/>
          <w:lang w:val="lv-LV"/>
        </w:rPr>
        <w:t>3.2</w:t>
      </w:r>
      <w:r w:rsidR="000E17C9" w:rsidRPr="009179E5">
        <w:rPr>
          <w:rFonts w:ascii="Times New Roman Bold" w:hAnsi="Times New Roman Bold"/>
          <w:b/>
          <w:i w:val="0"/>
          <w:caps/>
          <w:color w:val="auto"/>
          <w:sz w:val="28"/>
          <w:u w:val="none"/>
          <w:lang w:val="lv-LV"/>
        </w:rPr>
        <w:t>.</w:t>
      </w:r>
      <w:r w:rsidRPr="009179E5">
        <w:rPr>
          <w:rFonts w:ascii="Times New Roman Bold" w:hAnsi="Times New Roman Bold"/>
          <w:b/>
          <w:i w:val="0"/>
          <w:caps/>
          <w:color w:val="auto"/>
          <w:sz w:val="28"/>
          <w:u w:val="none"/>
          <w:lang w:val="lv-LV"/>
        </w:rPr>
        <w:t xml:space="preserve"> </w:t>
      </w:r>
      <w:r w:rsidR="00665D6A" w:rsidRPr="009179E5">
        <w:rPr>
          <w:rFonts w:ascii="Times New Roman Bold" w:hAnsi="Times New Roman Bold"/>
          <w:b/>
          <w:i w:val="0"/>
          <w:caps/>
          <w:color w:val="auto"/>
          <w:sz w:val="28"/>
          <w:u w:val="none"/>
          <w:lang w:val="lv-LV"/>
        </w:rPr>
        <w:t xml:space="preserve">Sasniegtā </w:t>
      </w:r>
      <w:r w:rsidR="00293DCE" w:rsidRPr="009179E5">
        <w:rPr>
          <w:rFonts w:ascii="Times New Roman Bold" w:hAnsi="Times New Roman Bold"/>
          <w:b/>
          <w:i w:val="0"/>
          <w:caps/>
          <w:color w:val="auto"/>
          <w:sz w:val="28"/>
          <w:u w:val="none"/>
          <w:lang w:val="lv-LV"/>
        </w:rPr>
        <w:t xml:space="preserve">enerģijas </w:t>
      </w:r>
      <w:r w:rsidR="00DC672F" w:rsidRPr="009179E5">
        <w:rPr>
          <w:rFonts w:ascii="Times New Roman Bold" w:hAnsi="Times New Roman Bold"/>
          <w:b/>
          <w:i w:val="0"/>
          <w:caps/>
          <w:color w:val="auto"/>
          <w:sz w:val="28"/>
          <w:u w:val="none"/>
          <w:lang w:val="lv-LV"/>
        </w:rPr>
        <w:t>Ietaupījuma apraksts</w:t>
      </w:r>
      <w:bookmarkEnd w:id="24"/>
    </w:p>
    <w:p w:rsidR="00DC672F" w:rsidRPr="009179E5" w:rsidRDefault="00AA3160" w:rsidP="0001273E">
      <w:pPr>
        <w:pStyle w:val="Heading4"/>
        <w:numPr>
          <w:ilvl w:val="0"/>
          <w:numId w:val="0"/>
        </w:numPr>
        <w:spacing w:line="240" w:lineRule="auto"/>
        <w:jc w:val="center"/>
        <w:rPr>
          <w:rFonts w:ascii="Times New Roman" w:hAnsi="Times New Roman"/>
          <w:b/>
          <w:sz w:val="28"/>
          <w:lang w:val="lv-LV"/>
        </w:rPr>
      </w:pPr>
      <w:bookmarkStart w:id="25" w:name="_Toc300320570"/>
      <w:r w:rsidRPr="009179E5">
        <w:rPr>
          <w:rFonts w:ascii="Times New Roman Bold" w:hAnsi="Times New Roman Bold"/>
          <w:b/>
          <w:i w:val="0"/>
          <w:caps/>
          <w:color w:val="auto"/>
          <w:sz w:val="28"/>
          <w:u w:val="none"/>
          <w:lang w:val="lv-LV"/>
        </w:rPr>
        <w:t>3.2.1</w:t>
      </w:r>
      <w:r w:rsidR="000E17C9" w:rsidRPr="009179E5">
        <w:rPr>
          <w:rFonts w:ascii="Times New Roman Bold" w:hAnsi="Times New Roman Bold"/>
          <w:b/>
          <w:i w:val="0"/>
          <w:caps/>
          <w:color w:val="auto"/>
          <w:sz w:val="28"/>
          <w:u w:val="none"/>
          <w:lang w:val="lv-LV"/>
        </w:rPr>
        <w:t>.</w:t>
      </w:r>
      <w:r w:rsidRPr="009179E5">
        <w:rPr>
          <w:rFonts w:ascii="Times New Roman Bold" w:hAnsi="Times New Roman Bold"/>
          <w:b/>
          <w:i w:val="0"/>
          <w:caps/>
          <w:color w:val="auto"/>
          <w:sz w:val="28"/>
          <w:u w:val="none"/>
          <w:lang w:val="lv-LV"/>
        </w:rPr>
        <w:t xml:space="preserve"> </w:t>
      </w:r>
      <w:r w:rsidR="00DC672F" w:rsidRPr="009179E5">
        <w:rPr>
          <w:rFonts w:ascii="Times New Roman Bold" w:hAnsi="Times New Roman Bold"/>
          <w:b/>
          <w:i w:val="0"/>
          <w:caps/>
          <w:color w:val="auto"/>
          <w:sz w:val="28"/>
          <w:u w:val="none"/>
          <w:lang w:val="lv-LV"/>
        </w:rPr>
        <w:t>Mājsaimniecības</w:t>
      </w:r>
      <w:bookmarkEnd w:id="25"/>
    </w:p>
    <w:p w:rsidR="000B5BB0" w:rsidRPr="009179E5" w:rsidRDefault="000B5BB0" w:rsidP="001009B1">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Par pamatu enerģijas ietaupījuma aprēķināšanai tiek izmantotas sekojošu enerģijas efektivitātes indikatoru izmaiņas:</w:t>
      </w:r>
    </w:p>
    <w:p w:rsidR="000B5BB0" w:rsidRPr="009179E5" w:rsidRDefault="000B5BB0" w:rsidP="001009B1">
      <w:pPr>
        <w:numPr>
          <w:ilvl w:val="0"/>
          <w:numId w:val="8"/>
        </w:numPr>
        <w:tabs>
          <w:tab w:val="clear" w:pos="720"/>
          <w:tab w:val="num" w:pos="426"/>
        </w:tabs>
        <w:spacing w:before="120" w:after="120" w:line="240" w:lineRule="auto"/>
        <w:ind w:left="709" w:hanging="283"/>
        <w:jc w:val="both"/>
        <w:rPr>
          <w:rFonts w:ascii="Times New Roman" w:hAnsi="Times New Roman"/>
          <w:sz w:val="28"/>
          <w:szCs w:val="28"/>
          <w:lang w:val="lv-LV"/>
        </w:rPr>
      </w:pPr>
      <w:r w:rsidRPr="009179E5">
        <w:rPr>
          <w:rFonts w:ascii="Times New Roman" w:hAnsi="Times New Roman"/>
          <w:sz w:val="28"/>
          <w:szCs w:val="28"/>
          <w:lang w:val="lv-LV"/>
        </w:rPr>
        <w:t>enerģijas patēriņš apkurei, kas koriģēts ar klimata korekcijas koeficientu, mājsaimniecībās uz vienu m</w:t>
      </w:r>
      <w:r w:rsidRPr="009179E5">
        <w:rPr>
          <w:rFonts w:ascii="Times New Roman" w:hAnsi="Times New Roman"/>
          <w:sz w:val="28"/>
          <w:szCs w:val="28"/>
          <w:vertAlign w:val="superscript"/>
          <w:lang w:val="lv-LV"/>
        </w:rPr>
        <w:t xml:space="preserve">2 </w:t>
      </w:r>
      <w:r w:rsidRPr="009179E5">
        <w:rPr>
          <w:rFonts w:ascii="Times New Roman" w:hAnsi="Times New Roman"/>
          <w:sz w:val="28"/>
          <w:szCs w:val="28"/>
          <w:lang w:val="lv-LV"/>
        </w:rPr>
        <w:t>;</w:t>
      </w:r>
    </w:p>
    <w:p w:rsidR="000B5BB0" w:rsidRPr="009179E5" w:rsidRDefault="000B5BB0" w:rsidP="001009B1">
      <w:pPr>
        <w:numPr>
          <w:ilvl w:val="0"/>
          <w:numId w:val="8"/>
        </w:numPr>
        <w:tabs>
          <w:tab w:val="clear" w:pos="720"/>
          <w:tab w:val="num" w:pos="709"/>
        </w:tabs>
        <w:spacing w:before="120" w:after="120" w:line="240" w:lineRule="auto"/>
        <w:ind w:left="709" w:hanging="294"/>
        <w:jc w:val="both"/>
        <w:rPr>
          <w:rFonts w:ascii="Times New Roman" w:hAnsi="Times New Roman"/>
          <w:sz w:val="28"/>
          <w:szCs w:val="28"/>
          <w:lang w:val="lv-LV"/>
        </w:rPr>
      </w:pPr>
      <w:r w:rsidRPr="009179E5">
        <w:rPr>
          <w:rFonts w:ascii="Times New Roman" w:hAnsi="Times New Roman"/>
          <w:sz w:val="28"/>
          <w:szCs w:val="28"/>
          <w:lang w:val="lv-LV"/>
        </w:rPr>
        <w:t>enerģijas patēriņš siltā ūdens sagatavošanai uz vienu iedzīvotāju;</w:t>
      </w:r>
    </w:p>
    <w:p w:rsidR="000B5BB0" w:rsidRPr="009179E5" w:rsidRDefault="000B5BB0" w:rsidP="001009B1">
      <w:pPr>
        <w:numPr>
          <w:ilvl w:val="0"/>
          <w:numId w:val="8"/>
        </w:numPr>
        <w:tabs>
          <w:tab w:val="clear" w:pos="720"/>
          <w:tab w:val="num" w:pos="709"/>
        </w:tabs>
        <w:spacing w:before="120" w:after="120" w:line="240" w:lineRule="auto"/>
        <w:ind w:left="709" w:hanging="294"/>
        <w:jc w:val="both"/>
        <w:rPr>
          <w:rFonts w:ascii="Times New Roman" w:hAnsi="Times New Roman"/>
          <w:sz w:val="28"/>
          <w:szCs w:val="28"/>
          <w:lang w:val="lv-LV"/>
        </w:rPr>
      </w:pPr>
      <w:r w:rsidRPr="009179E5">
        <w:rPr>
          <w:rFonts w:ascii="Times New Roman" w:hAnsi="Times New Roman"/>
          <w:sz w:val="28"/>
          <w:szCs w:val="28"/>
          <w:lang w:val="lv-LV"/>
        </w:rPr>
        <w:t>elektroenerģijas patēriņš elektroierīcēm mājsaimniecībās uz vienu mājokli.</w:t>
      </w:r>
    </w:p>
    <w:p w:rsidR="000B5BB0" w:rsidRPr="009179E5" w:rsidRDefault="000B5BB0" w:rsidP="001009B1">
      <w:pPr>
        <w:spacing w:before="120" w:after="120" w:line="240" w:lineRule="auto"/>
        <w:jc w:val="both"/>
        <w:rPr>
          <w:rFonts w:ascii="Times New Roman" w:hAnsi="Times New Roman"/>
          <w:sz w:val="28"/>
          <w:szCs w:val="28"/>
          <w:lang w:val="lv-LV"/>
        </w:rPr>
      </w:pPr>
      <w:r w:rsidRPr="009179E5">
        <w:rPr>
          <w:rFonts w:ascii="Times New Roman" w:hAnsi="Times New Roman"/>
          <w:b/>
          <w:sz w:val="28"/>
          <w:szCs w:val="28"/>
          <w:lang w:val="lv-LV"/>
        </w:rPr>
        <w:t>Enerģijas ietaupījumu apkurei</w:t>
      </w:r>
      <w:r w:rsidRPr="009179E5">
        <w:rPr>
          <w:rFonts w:ascii="Times New Roman" w:hAnsi="Times New Roman"/>
          <w:sz w:val="28"/>
          <w:szCs w:val="28"/>
          <w:lang w:val="lv-LV"/>
        </w:rPr>
        <w:t xml:space="preserve"> mājsaimniecībās aprēķina pēc sekojošas formulas:</w:t>
      </w:r>
    </w:p>
    <w:p w:rsidR="000B5BB0" w:rsidRPr="009179E5" w:rsidRDefault="000B5BB0" w:rsidP="001009B1">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E</w:t>
      </w:r>
      <w:r w:rsidRPr="009179E5">
        <w:rPr>
          <w:rFonts w:ascii="Times New Roman" w:hAnsi="Times New Roman"/>
          <w:sz w:val="28"/>
          <w:szCs w:val="28"/>
          <w:vertAlign w:val="superscript"/>
          <w:lang w:val="lv-LV"/>
        </w:rPr>
        <w:t>Maj.</w:t>
      </w:r>
      <w:r w:rsidRPr="009179E5">
        <w:rPr>
          <w:rFonts w:ascii="Times New Roman" w:hAnsi="Times New Roman"/>
          <w:sz w:val="28"/>
          <w:szCs w:val="28"/>
          <w:vertAlign w:val="subscript"/>
          <w:lang w:val="lv-LV"/>
        </w:rPr>
        <w:t xml:space="preserve">iet.apk </w:t>
      </w:r>
      <w:r w:rsidRPr="009179E5">
        <w:rPr>
          <w:rFonts w:ascii="Times New Roman" w:hAnsi="Times New Roman"/>
          <w:sz w:val="28"/>
          <w:szCs w:val="28"/>
          <w:lang w:val="lv-LV"/>
        </w:rPr>
        <w:t xml:space="preserve">= </w:t>
      </w:r>
      <w:r w:rsidRPr="009179E5">
        <w:rPr>
          <w:rFonts w:ascii="Times New Roman" w:hAnsi="Times New Roman"/>
          <w:position w:val="-32"/>
          <w:sz w:val="28"/>
          <w:szCs w:val="28"/>
          <w:lang w:val="lv-LV"/>
        </w:rPr>
        <w:object w:dxaOrig="51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37.5pt" o:ole="">
            <v:imagedata r:id="rId19" o:title=""/>
          </v:shape>
          <o:OLEObject Type="Embed" ProgID="Equation.3" ShapeID="_x0000_i1025" DrawAspect="Content" ObjectID="_1375274246" r:id="rId20"/>
        </w:object>
      </w:r>
      <w:r w:rsidRPr="009179E5">
        <w:rPr>
          <w:rFonts w:ascii="Times New Roman" w:hAnsi="Times New Roman"/>
          <w:sz w:val="28"/>
          <w:szCs w:val="28"/>
          <w:lang w:val="lv-LV"/>
        </w:rPr>
        <w:t>,</w:t>
      </w:r>
      <w:r w:rsidRPr="009179E5">
        <w:rPr>
          <w:rFonts w:ascii="Times New Roman" w:hAnsi="Times New Roman"/>
          <w:sz w:val="28"/>
          <w:szCs w:val="28"/>
          <w:lang w:val="lv-LV"/>
        </w:rPr>
        <w:tab/>
        <w:t>kur</w:t>
      </w:r>
    </w:p>
    <w:p w:rsidR="000B5BB0" w:rsidRPr="009179E5" w:rsidRDefault="000B5BB0" w:rsidP="001009B1">
      <w:pPr>
        <w:spacing w:before="120" w:after="120" w:line="240" w:lineRule="auto"/>
        <w:ind w:left="60"/>
        <w:jc w:val="both"/>
        <w:rPr>
          <w:rFonts w:ascii="Times New Roman" w:hAnsi="Times New Roman"/>
          <w:sz w:val="28"/>
          <w:szCs w:val="28"/>
          <w:lang w:val="lv-LV"/>
        </w:rPr>
      </w:pPr>
      <w:r w:rsidRPr="009179E5">
        <w:rPr>
          <w:rFonts w:ascii="Times New Roman" w:hAnsi="Times New Roman"/>
          <w:sz w:val="28"/>
          <w:szCs w:val="28"/>
          <w:lang w:val="lv-LV"/>
        </w:rPr>
        <w:t>E</w:t>
      </w:r>
      <w:r w:rsidRPr="009179E5">
        <w:rPr>
          <w:rFonts w:ascii="Times New Roman" w:hAnsi="Times New Roman"/>
          <w:sz w:val="28"/>
          <w:szCs w:val="28"/>
          <w:vertAlign w:val="subscript"/>
          <w:lang w:val="lv-LV"/>
        </w:rPr>
        <w:t>2007</w:t>
      </w:r>
      <w:r w:rsidRPr="009179E5">
        <w:rPr>
          <w:rFonts w:ascii="Times New Roman" w:hAnsi="Times New Roman"/>
          <w:sz w:val="28"/>
          <w:szCs w:val="28"/>
          <w:vertAlign w:val="superscript"/>
          <w:lang w:val="lv-LV"/>
        </w:rPr>
        <w:t>Maj.apk.</w:t>
      </w:r>
      <w:r w:rsidRPr="009179E5">
        <w:rPr>
          <w:rFonts w:ascii="Times New Roman" w:hAnsi="Times New Roman"/>
          <w:sz w:val="28"/>
          <w:szCs w:val="28"/>
          <w:lang w:val="lv-LV"/>
        </w:rPr>
        <w:t xml:space="preserve"> ; E</w:t>
      </w:r>
      <w:r w:rsidRPr="009179E5">
        <w:rPr>
          <w:rFonts w:ascii="Times New Roman" w:hAnsi="Times New Roman"/>
          <w:sz w:val="28"/>
          <w:szCs w:val="28"/>
          <w:vertAlign w:val="subscript"/>
          <w:lang w:val="lv-LV"/>
        </w:rPr>
        <w:t>t</w:t>
      </w:r>
      <w:r w:rsidRPr="009179E5">
        <w:rPr>
          <w:rFonts w:ascii="Times New Roman" w:hAnsi="Times New Roman"/>
          <w:sz w:val="28"/>
          <w:szCs w:val="28"/>
          <w:vertAlign w:val="superscript"/>
          <w:lang w:val="lv-LV"/>
        </w:rPr>
        <w:t>Maj.apk.</w:t>
      </w:r>
      <w:r w:rsidRPr="009179E5">
        <w:rPr>
          <w:rFonts w:ascii="Times New Roman" w:hAnsi="Times New Roman"/>
          <w:sz w:val="28"/>
          <w:szCs w:val="28"/>
          <w:lang w:val="lv-LV"/>
        </w:rPr>
        <w:t xml:space="preserve"> – enerģijas patēriņš apkurei 2007.gadā un ziņošanas gadā;</w:t>
      </w:r>
    </w:p>
    <w:p w:rsidR="000B5BB0" w:rsidRPr="009179E5" w:rsidRDefault="000B5BB0" w:rsidP="001009B1">
      <w:pPr>
        <w:spacing w:before="120" w:after="120" w:line="240" w:lineRule="auto"/>
        <w:ind w:left="60"/>
        <w:jc w:val="both"/>
        <w:rPr>
          <w:rFonts w:ascii="Times New Roman" w:hAnsi="Times New Roman"/>
          <w:sz w:val="28"/>
          <w:szCs w:val="28"/>
          <w:lang w:val="lv-LV"/>
        </w:rPr>
      </w:pPr>
      <w:r w:rsidRPr="009179E5">
        <w:rPr>
          <w:rFonts w:ascii="Times New Roman" w:hAnsi="Times New Roman"/>
          <w:sz w:val="28"/>
          <w:szCs w:val="28"/>
          <w:lang w:val="lv-LV"/>
        </w:rPr>
        <w:t>P</w:t>
      </w:r>
      <w:r w:rsidRPr="009179E5">
        <w:rPr>
          <w:rFonts w:ascii="Times New Roman" w:hAnsi="Times New Roman"/>
          <w:sz w:val="28"/>
          <w:szCs w:val="28"/>
          <w:vertAlign w:val="subscript"/>
          <w:lang w:val="lv-LV"/>
        </w:rPr>
        <w:t>2007</w:t>
      </w:r>
      <w:r w:rsidRPr="009179E5">
        <w:rPr>
          <w:rFonts w:ascii="Times New Roman" w:hAnsi="Times New Roman"/>
          <w:sz w:val="28"/>
          <w:szCs w:val="28"/>
          <w:lang w:val="lv-LV"/>
        </w:rPr>
        <w:t>; P</w:t>
      </w:r>
      <w:r w:rsidRPr="009179E5">
        <w:rPr>
          <w:rFonts w:ascii="Times New Roman" w:hAnsi="Times New Roman"/>
          <w:sz w:val="28"/>
          <w:szCs w:val="28"/>
          <w:vertAlign w:val="subscript"/>
          <w:lang w:val="lv-LV"/>
        </w:rPr>
        <w:t>t</w:t>
      </w:r>
      <w:r w:rsidRPr="009179E5">
        <w:rPr>
          <w:rFonts w:ascii="Times New Roman" w:hAnsi="Times New Roman"/>
          <w:sz w:val="28"/>
          <w:szCs w:val="28"/>
          <w:lang w:val="lv-LV"/>
        </w:rPr>
        <w:t xml:space="preserve"> – apdzīvoto mājokļu kopējā platība 2007.gadā un ziņošanas gadā;</w:t>
      </w:r>
    </w:p>
    <w:p w:rsidR="000B5BB0" w:rsidRPr="009179E5" w:rsidRDefault="000B5BB0" w:rsidP="001009B1">
      <w:pPr>
        <w:spacing w:before="120" w:after="120" w:line="240" w:lineRule="auto"/>
        <w:ind w:left="60"/>
        <w:jc w:val="both"/>
        <w:rPr>
          <w:rFonts w:ascii="Times New Roman" w:hAnsi="Times New Roman"/>
          <w:sz w:val="28"/>
          <w:szCs w:val="28"/>
          <w:lang w:val="lv-LV"/>
        </w:rPr>
      </w:pPr>
      <w:r w:rsidRPr="009179E5">
        <w:rPr>
          <w:rFonts w:ascii="Times New Roman" w:hAnsi="Times New Roman"/>
          <w:sz w:val="28"/>
          <w:szCs w:val="28"/>
          <w:lang w:val="lv-LV"/>
        </w:rPr>
        <w:t>GDD</w:t>
      </w:r>
      <w:r w:rsidRPr="009179E5">
        <w:rPr>
          <w:rFonts w:ascii="Times New Roman" w:hAnsi="Times New Roman"/>
          <w:sz w:val="28"/>
          <w:szCs w:val="28"/>
          <w:vertAlign w:val="superscript"/>
          <w:lang w:val="lv-LV"/>
        </w:rPr>
        <w:t>apk.</w:t>
      </w:r>
      <w:r w:rsidRPr="009179E5">
        <w:rPr>
          <w:rFonts w:ascii="Times New Roman" w:hAnsi="Times New Roman"/>
          <w:sz w:val="28"/>
          <w:szCs w:val="28"/>
          <w:lang w:val="lv-LV"/>
        </w:rPr>
        <w:t xml:space="preserve"> – vidējais daudzgadīgais apkures grādu dienu skaits;</w:t>
      </w:r>
    </w:p>
    <w:p w:rsidR="000B5BB0" w:rsidRPr="009179E5" w:rsidRDefault="000B5BB0" w:rsidP="001009B1">
      <w:pPr>
        <w:spacing w:before="120" w:after="120" w:line="240" w:lineRule="auto"/>
        <w:ind w:left="60"/>
        <w:jc w:val="both"/>
        <w:rPr>
          <w:rFonts w:ascii="Times New Roman" w:hAnsi="Times New Roman"/>
          <w:sz w:val="28"/>
          <w:szCs w:val="28"/>
          <w:lang w:val="lv-LV"/>
        </w:rPr>
      </w:pPr>
      <w:r w:rsidRPr="009179E5">
        <w:rPr>
          <w:rFonts w:ascii="Times New Roman" w:hAnsi="Times New Roman"/>
          <w:sz w:val="28"/>
          <w:szCs w:val="28"/>
          <w:lang w:val="lv-LV"/>
        </w:rPr>
        <w:t>FGD</w:t>
      </w:r>
      <w:r w:rsidRPr="009179E5">
        <w:rPr>
          <w:rFonts w:ascii="Times New Roman" w:hAnsi="Times New Roman"/>
          <w:sz w:val="28"/>
          <w:szCs w:val="28"/>
          <w:vertAlign w:val="subscript"/>
          <w:lang w:val="lv-LV"/>
        </w:rPr>
        <w:t>2007</w:t>
      </w:r>
      <w:r w:rsidRPr="009179E5">
        <w:rPr>
          <w:rFonts w:ascii="Times New Roman" w:hAnsi="Times New Roman"/>
          <w:sz w:val="28"/>
          <w:szCs w:val="28"/>
          <w:vertAlign w:val="superscript"/>
          <w:lang w:val="lv-LV"/>
        </w:rPr>
        <w:t>apk.</w:t>
      </w:r>
      <w:r w:rsidRPr="009179E5">
        <w:rPr>
          <w:rFonts w:ascii="Times New Roman" w:hAnsi="Times New Roman"/>
          <w:sz w:val="28"/>
          <w:szCs w:val="28"/>
          <w:lang w:val="lv-LV"/>
        </w:rPr>
        <w:t>; FGD</w:t>
      </w:r>
      <w:r w:rsidRPr="009179E5">
        <w:rPr>
          <w:rFonts w:ascii="Times New Roman" w:hAnsi="Times New Roman"/>
          <w:sz w:val="28"/>
          <w:szCs w:val="28"/>
          <w:vertAlign w:val="subscript"/>
          <w:lang w:val="lv-LV"/>
        </w:rPr>
        <w:t>t</w:t>
      </w:r>
      <w:r w:rsidRPr="009179E5">
        <w:rPr>
          <w:rFonts w:ascii="Times New Roman" w:hAnsi="Times New Roman"/>
          <w:sz w:val="28"/>
          <w:szCs w:val="28"/>
          <w:vertAlign w:val="superscript"/>
          <w:lang w:val="lv-LV"/>
        </w:rPr>
        <w:t>apk.</w:t>
      </w:r>
      <w:r w:rsidRPr="009179E5">
        <w:rPr>
          <w:rFonts w:ascii="Times New Roman" w:hAnsi="Times New Roman"/>
          <w:sz w:val="28"/>
          <w:szCs w:val="28"/>
          <w:lang w:val="lv-LV"/>
        </w:rPr>
        <w:t xml:space="preserve"> – faktiskais apkures grādu dienu skaits 2007. gadā un ziņošanas gadā.</w:t>
      </w:r>
    </w:p>
    <w:p w:rsidR="000B5BB0" w:rsidRPr="009179E5" w:rsidRDefault="000B5BB0" w:rsidP="001009B1">
      <w:pPr>
        <w:spacing w:before="120" w:after="120" w:line="240" w:lineRule="auto"/>
        <w:jc w:val="both"/>
        <w:rPr>
          <w:rFonts w:ascii="Times New Roman" w:hAnsi="Times New Roman"/>
          <w:sz w:val="28"/>
          <w:szCs w:val="28"/>
          <w:lang w:val="lv-LV"/>
        </w:rPr>
      </w:pPr>
      <w:r w:rsidRPr="009179E5">
        <w:rPr>
          <w:rFonts w:ascii="Times New Roman" w:hAnsi="Times New Roman"/>
          <w:b/>
          <w:sz w:val="28"/>
          <w:szCs w:val="28"/>
          <w:lang w:val="lv-LV"/>
        </w:rPr>
        <w:t>Enerģijas ietaupījumu siltā ūdens gatavošanai</w:t>
      </w:r>
      <w:r w:rsidRPr="009179E5">
        <w:rPr>
          <w:rFonts w:ascii="Times New Roman" w:hAnsi="Times New Roman"/>
          <w:sz w:val="28"/>
          <w:szCs w:val="28"/>
          <w:lang w:val="lv-LV"/>
        </w:rPr>
        <w:t xml:space="preserve"> mājsaimniecībās aprēķina pēc sekojošas formulas:</w:t>
      </w:r>
    </w:p>
    <w:p w:rsidR="000B5BB0" w:rsidRPr="009179E5" w:rsidRDefault="000B5BB0" w:rsidP="001009B1">
      <w:pPr>
        <w:spacing w:before="120" w:after="120" w:line="240" w:lineRule="auto"/>
        <w:jc w:val="both"/>
        <w:rPr>
          <w:rStyle w:val="Emphasis"/>
          <w:rFonts w:ascii="Times New Roman" w:eastAsia="Calibri" w:hAnsi="Times New Roman"/>
          <w:i w:val="0"/>
          <w:iCs w:val="0"/>
          <w:sz w:val="28"/>
          <w:szCs w:val="28"/>
          <w:lang w:val="lv-LV"/>
        </w:rPr>
      </w:pPr>
      <w:r w:rsidRPr="009179E5">
        <w:rPr>
          <w:rFonts w:ascii="Times New Roman" w:hAnsi="Times New Roman"/>
          <w:sz w:val="28"/>
          <w:szCs w:val="28"/>
          <w:lang w:val="lv-LV"/>
        </w:rPr>
        <w:t>E</w:t>
      </w:r>
      <w:r w:rsidRPr="009179E5">
        <w:rPr>
          <w:rFonts w:ascii="Times New Roman" w:hAnsi="Times New Roman"/>
          <w:sz w:val="28"/>
          <w:szCs w:val="28"/>
          <w:vertAlign w:val="superscript"/>
          <w:lang w:val="lv-LV"/>
        </w:rPr>
        <w:t>maj.</w:t>
      </w:r>
      <w:r w:rsidRPr="009179E5">
        <w:rPr>
          <w:rFonts w:ascii="Times New Roman" w:hAnsi="Times New Roman"/>
          <w:sz w:val="28"/>
          <w:szCs w:val="28"/>
          <w:vertAlign w:val="subscript"/>
          <w:lang w:val="lv-LV"/>
        </w:rPr>
        <w:t xml:space="preserve">iet.silt.ūd  </w:t>
      </w:r>
      <w:r w:rsidRPr="009179E5">
        <w:rPr>
          <w:rFonts w:ascii="Times New Roman" w:hAnsi="Times New Roman"/>
          <w:sz w:val="28"/>
          <w:szCs w:val="28"/>
          <w:lang w:val="lv-LV"/>
        </w:rPr>
        <w:t>=</w:t>
      </w:r>
      <w:r w:rsidRPr="009179E5">
        <w:rPr>
          <w:rFonts w:ascii="Times New Roman" w:hAnsi="Times New Roman"/>
          <w:sz w:val="28"/>
          <w:szCs w:val="28"/>
          <w:vertAlign w:val="subscript"/>
          <w:lang w:val="lv-LV"/>
        </w:rPr>
        <w:t xml:space="preserve"> </w:t>
      </w:r>
      <w:r w:rsidRPr="009179E5">
        <w:rPr>
          <w:rFonts w:ascii="Times New Roman" w:hAnsi="Times New Roman"/>
          <w:position w:val="-30"/>
          <w:sz w:val="28"/>
          <w:szCs w:val="28"/>
          <w:lang w:val="lv-LV"/>
        </w:rPr>
        <w:object w:dxaOrig="2860" w:dyaOrig="760">
          <v:shape id="_x0000_i1026" type="#_x0000_t75" style="width:143.25pt;height:37.5pt" o:ole="">
            <v:imagedata r:id="rId21" o:title=""/>
          </v:shape>
          <o:OLEObject Type="Embed" ProgID="Equation.3" ShapeID="_x0000_i1026" DrawAspect="Content" ObjectID="_1375274247" r:id="rId22"/>
        </w:object>
      </w:r>
      <w:r w:rsidRPr="009179E5">
        <w:rPr>
          <w:rStyle w:val="Emphasis"/>
          <w:rFonts w:ascii="Times New Roman" w:eastAsia="Calibri" w:hAnsi="Times New Roman"/>
          <w:i w:val="0"/>
          <w:sz w:val="28"/>
          <w:szCs w:val="28"/>
          <w:lang w:val="lv-LV"/>
        </w:rPr>
        <w:t>, kur</w:t>
      </w:r>
    </w:p>
    <w:p w:rsidR="000B5BB0" w:rsidRPr="009179E5" w:rsidRDefault="000B5BB0" w:rsidP="001009B1">
      <w:pPr>
        <w:spacing w:before="120" w:after="120" w:line="240" w:lineRule="auto"/>
        <w:ind w:left="60"/>
        <w:jc w:val="both"/>
        <w:rPr>
          <w:rStyle w:val="Emphasis"/>
          <w:rFonts w:ascii="Times New Roman" w:eastAsia="Calibri" w:hAnsi="Times New Roman"/>
          <w:i w:val="0"/>
          <w:sz w:val="28"/>
          <w:szCs w:val="28"/>
          <w:lang w:val="lv-LV"/>
        </w:rPr>
      </w:pPr>
      <w:r w:rsidRPr="009179E5">
        <w:rPr>
          <w:rStyle w:val="Emphasis"/>
          <w:rFonts w:ascii="Times New Roman" w:eastAsia="Calibri" w:hAnsi="Times New Roman"/>
          <w:i w:val="0"/>
          <w:sz w:val="28"/>
          <w:szCs w:val="28"/>
          <w:lang w:val="lv-LV"/>
        </w:rPr>
        <w:t>E</w:t>
      </w:r>
      <w:r w:rsidRPr="009179E5">
        <w:rPr>
          <w:rStyle w:val="Emphasis"/>
          <w:rFonts w:ascii="Times New Roman" w:eastAsia="Calibri" w:hAnsi="Times New Roman"/>
          <w:i w:val="0"/>
          <w:sz w:val="28"/>
          <w:szCs w:val="28"/>
          <w:vertAlign w:val="subscript"/>
          <w:lang w:val="lv-LV"/>
        </w:rPr>
        <w:t>2007</w:t>
      </w:r>
      <w:r w:rsidRPr="009179E5">
        <w:rPr>
          <w:rStyle w:val="Emphasis"/>
          <w:rFonts w:ascii="Times New Roman" w:eastAsia="Calibri" w:hAnsi="Times New Roman"/>
          <w:i w:val="0"/>
          <w:sz w:val="28"/>
          <w:szCs w:val="28"/>
          <w:vertAlign w:val="superscript"/>
          <w:lang w:val="lv-LV"/>
        </w:rPr>
        <w:t>maj.silt.ūd.</w:t>
      </w:r>
      <w:r w:rsidRPr="009179E5">
        <w:rPr>
          <w:rStyle w:val="Emphasis"/>
          <w:rFonts w:ascii="Times New Roman" w:eastAsia="Calibri" w:hAnsi="Times New Roman"/>
          <w:i w:val="0"/>
          <w:sz w:val="28"/>
          <w:szCs w:val="28"/>
          <w:lang w:val="lv-LV"/>
        </w:rPr>
        <w:t>; E</w:t>
      </w:r>
      <w:r w:rsidRPr="009179E5">
        <w:rPr>
          <w:rStyle w:val="Emphasis"/>
          <w:rFonts w:ascii="Times New Roman" w:eastAsia="Calibri" w:hAnsi="Times New Roman"/>
          <w:i w:val="0"/>
          <w:sz w:val="28"/>
          <w:szCs w:val="28"/>
          <w:vertAlign w:val="subscript"/>
          <w:lang w:val="lv-LV"/>
        </w:rPr>
        <w:t>t</w:t>
      </w:r>
      <w:r w:rsidRPr="009179E5">
        <w:rPr>
          <w:rStyle w:val="Emphasis"/>
          <w:rFonts w:ascii="Times New Roman" w:eastAsia="Calibri" w:hAnsi="Times New Roman"/>
          <w:i w:val="0"/>
          <w:sz w:val="28"/>
          <w:szCs w:val="28"/>
          <w:vertAlign w:val="superscript"/>
          <w:lang w:val="lv-LV"/>
        </w:rPr>
        <w:t>m,aj.silt.ūd.</w:t>
      </w:r>
      <w:r w:rsidRPr="009179E5">
        <w:rPr>
          <w:rStyle w:val="Emphasis"/>
          <w:rFonts w:ascii="Times New Roman" w:eastAsia="Calibri" w:hAnsi="Times New Roman"/>
          <w:i w:val="0"/>
          <w:sz w:val="28"/>
          <w:szCs w:val="28"/>
          <w:lang w:val="lv-LV"/>
        </w:rPr>
        <w:t xml:space="preserve">  – enerģijas patēriņš siltā ūdens gatavošanai mājsaimniecībās 2007.gadā un ziņošanas gadā;</w:t>
      </w:r>
    </w:p>
    <w:p w:rsidR="000B5BB0" w:rsidRPr="009179E5" w:rsidRDefault="000B5BB0" w:rsidP="001009B1">
      <w:pPr>
        <w:spacing w:before="120" w:after="120" w:line="240" w:lineRule="auto"/>
        <w:ind w:left="60"/>
        <w:jc w:val="both"/>
        <w:rPr>
          <w:rStyle w:val="Emphasis"/>
          <w:rFonts w:ascii="Times New Roman" w:eastAsia="Calibri" w:hAnsi="Times New Roman"/>
          <w:i w:val="0"/>
          <w:sz w:val="28"/>
          <w:szCs w:val="28"/>
          <w:lang w:val="lv-LV"/>
        </w:rPr>
      </w:pPr>
      <w:r w:rsidRPr="009179E5">
        <w:rPr>
          <w:rStyle w:val="Emphasis"/>
          <w:rFonts w:ascii="Times New Roman" w:eastAsia="Calibri" w:hAnsi="Times New Roman"/>
          <w:i w:val="0"/>
          <w:sz w:val="28"/>
          <w:szCs w:val="28"/>
          <w:lang w:val="lv-LV"/>
        </w:rPr>
        <w:t>I</w:t>
      </w:r>
      <w:r w:rsidRPr="009179E5">
        <w:rPr>
          <w:rStyle w:val="Emphasis"/>
          <w:rFonts w:ascii="Times New Roman" w:eastAsia="Calibri" w:hAnsi="Times New Roman"/>
          <w:i w:val="0"/>
          <w:sz w:val="28"/>
          <w:szCs w:val="28"/>
          <w:vertAlign w:val="subscript"/>
          <w:lang w:val="lv-LV"/>
        </w:rPr>
        <w:t>2007</w:t>
      </w:r>
      <w:r w:rsidRPr="009179E5">
        <w:rPr>
          <w:rStyle w:val="Emphasis"/>
          <w:rFonts w:ascii="Times New Roman" w:eastAsia="Calibri" w:hAnsi="Times New Roman"/>
          <w:i w:val="0"/>
          <w:sz w:val="28"/>
          <w:szCs w:val="28"/>
          <w:lang w:val="lv-LV"/>
        </w:rPr>
        <w:t>; I</w:t>
      </w:r>
      <w:r w:rsidRPr="009179E5">
        <w:rPr>
          <w:rStyle w:val="Emphasis"/>
          <w:rFonts w:ascii="Times New Roman" w:eastAsia="Calibri" w:hAnsi="Times New Roman"/>
          <w:i w:val="0"/>
          <w:sz w:val="28"/>
          <w:szCs w:val="28"/>
          <w:vertAlign w:val="subscript"/>
          <w:lang w:val="lv-LV"/>
        </w:rPr>
        <w:t>t</w:t>
      </w:r>
      <w:r w:rsidRPr="009179E5">
        <w:rPr>
          <w:rStyle w:val="Emphasis"/>
          <w:rFonts w:ascii="Times New Roman" w:eastAsia="Calibri" w:hAnsi="Times New Roman"/>
          <w:i w:val="0"/>
          <w:sz w:val="28"/>
          <w:szCs w:val="28"/>
          <w:lang w:val="lv-LV"/>
        </w:rPr>
        <w:t xml:space="preserve"> – iedzīvotāju skaits valstī 2007. gadā un ziņošanas gadā.</w:t>
      </w:r>
    </w:p>
    <w:p w:rsidR="000B5BB0" w:rsidRPr="009179E5" w:rsidRDefault="000B5BB0" w:rsidP="001009B1">
      <w:pPr>
        <w:spacing w:before="120" w:after="120" w:line="240" w:lineRule="auto"/>
        <w:jc w:val="both"/>
        <w:rPr>
          <w:rFonts w:ascii="Times New Roman" w:hAnsi="Times New Roman"/>
          <w:sz w:val="28"/>
          <w:szCs w:val="28"/>
          <w:lang w:val="lv-LV"/>
        </w:rPr>
      </w:pPr>
      <w:r w:rsidRPr="009179E5">
        <w:rPr>
          <w:rFonts w:ascii="Times New Roman" w:hAnsi="Times New Roman"/>
          <w:b/>
          <w:sz w:val="28"/>
          <w:szCs w:val="28"/>
          <w:lang w:val="lv-LV"/>
        </w:rPr>
        <w:t>Enerģijas ietaupījumu elektroenerģijas patēriņam</w:t>
      </w:r>
      <w:r w:rsidRPr="009179E5">
        <w:rPr>
          <w:rFonts w:ascii="Times New Roman" w:hAnsi="Times New Roman"/>
          <w:sz w:val="28"/>
          <w:szCs w:val="28"/>
          <w:lang w:val="lv-LV"/>
        </w:rPr>
        <w:t xml:space="preserve"> mājsaimniecībās aprēķina pēc sekojošas formulas:</w:t>
      </w:r>
    </w:p>
    <w:p w:rsidR="000B5BB0" w:rsidRPr="009179E5" w:rsidRDefault="000B5BB0" w:rsidP="001009B1">
      <w:pPr>
        <w:spacing w:before="120" w:after="120" w:line="240" w:lineRule="auto"/>
        <w:jc w:val="both"/>
        <w:rPr>
          <w:rStyle w:val="Emphasis"/>
          <w:rFonts w:ascii="Times New Roman" w:eastAsia="Calibri" w:hAnsi="Times New Roman"/>
          <w:i w:val="0"/>
          <w:iCs w:val="0"/>
          <w:sz w:val="28"/>
          <w:szCs w:val="28"/>
          <w:lang w:val="lv-LV"/>
        </w:rPr>
      </w:pPr>
      <w:r w:rsidRPr="009179E5">
        <w:rPr>
          <w:rFonts w:ascii="Times New Roman" w:hAnsi="Times New Roman"/>
          <w:sz w:val="28"/>
          <w:szCs w:val="28"/>
          <w:lang w:val="lv-LV"/>
        </w:rPr>
        <w:t>E</w:t>
      </w:r>
      <w:r w:rsidRPr="009179E5">
        <w:rPr>
          <w:rFonts w:ascii="Times New Roman" w:hAnsi="Times New Roman"/>
          <w:sz w:val="28"/>
          <w:szCs w:val="28"/>
          <w:vertAlign w:val="superscript"/>
          <w:lang w:val="lv-LV"/>
        </w:rPr>
        <w:t>maj.</w:t>
      </w:r>
      <w:r w:rsidRPr="009179E5">
        <w:rPr>
          <w:rFonts w:ascii="Times New Roman" w:hAnsi="Times New Roman"/>
          <w:sz w:val="28"/>
          <w:szCs w:val="28"/>
          <w:vertAlign w:val="subscript"/>
          <w:lang w:val="lv-LV"/>
        </w:rPr>
        <w:t xml:space="preserve">iet. elektr.  </w:t>
      </w:r>
      <w:r w:rsidRPr="009179E5">
        <w:rPr>
          <w:rFonts w:ascii="Times New Roman" w:hAnsi="Times New Roman"/>
          <w:sz w:val="28"/>
          <w:szCs w:val="28"/>
          <w:lang w:val="lv-LV"/>
        </w:rPr>
        <w:t>=</w:t>
      </w:r>
      <w:r w:rsidRPr="009179E5">
        <w:rPr>
          <w:rFonts w:ascii="Times New Roman" w:hAnsi="Times New Roman"/>
          <w:sz w:val="28"/>
          <w:szCs w:val="28"/>
          <w:vertAlign w:val="subscript"/>
          <w:lang w:val="lv-LV"/>
        </w:rPr>
        <w:t xml:space="preserve"> </w:t>
      </w:r>
      <w:r w:rsidRPr="009179E5">
        <w:rPr>
          <w:rFonts w:ascii="Times New Roman" w:hAnsi="Times New Roman"/>
          <w:position w:val="-30"/>
          <w:sz w:val="28"/>
          <w:szCs w:val="28"/>
          <w:lang w:val="lv-LV"/>
        </w:rPr>
        <w:object w:dxaOrig="2700" w:dyaOrig="760">
          <v:shape id="_x0000_i1027" type="#_x0000_t75" style="width:135.75pt;height:37.5pt" o:ole="">
            <v:imagedata r:id="rId23" o:title=""/>
          </v:shape>
          <o:OLEObject Type="Embed" ProgID="Equation.3" ShapeID="_x0000_i1027" DrawAspect="Content" ObjectID="_1375274248" r:id="rId24"/>
        </w:object>
      </w:r>
      <w:r w:rsidRPr="009179E5">
        <w:rPr>
          <w:rStyle w:val="Emphasis"/>
          <w:rFonts w:ascii="Times New Roman" w:eastAsia="Calibri" w:hAnsi="Times New Roman"/>
          <w:i w:val="0"/>
          <w:sz w:val="28"/>
          <w:szCs w:val="28"/>
          <w:lang w:val="lv-LV"/>
        </w:rPr>
        <w:t>, kur</w:t>
      </w:r>
    </w:p>
    <w:p w:rsidR="000B5BB0" w:rsidRPr="009179E5" w:rsidRDefault="000B5BB0" w:rsidP="001009B1">
      <w:pPr>
        <w:spacing w:before="120" w:after="120" w:line="240" w:lineRule="auto"/>
        <w:ind w:left="60"/>
        <w:jc w:val="both"/>
        <w:rPr>
          <w:rStyle w:val="Emphasis"/>
          <w:rFonts w:ascii="Times New Roman" w:eastAsia="Calibri" w:hAnsi="Times New Roman"/>
          <w:i w:val="0"/>
          <w:sz w:val="28"/>
          <w:szCs w:val="28"/>
          <w:lang w:val="lv-LV"/>
        </w:rPr>
      </w:pPr>
      <w:r w:rsidRPr="009179E5">
        <w:rPr>
          <w:rStyle w:val="Emphasis"/>
          <w:rFonts w:ascii="Times New Roman" w:eastAsia="Calibri" w:hAnsi="Times New Roman"/>
          <w:i w:val="0"/>
          <w:sz w:val="28"/>
          <w:szCs w:val="28"/>
          <w:lang w:val="lv-LV"/>
        </w:rPr>
        <w:t>E</w:t>
      </w:r>
      <w:r w:rsidRPr="009179E5">
        <w:rPr>
          <w:rStyle w:val="Emphasis"/>
          <w:rFonts w:ascii="Times New Roman" w:eastAsia="Calibri" w:hAnsi="Times New Roman"/>
          <w:i w:val="0"/>
          <w:sz w:val="28"/>
          <w:szCs w:val="28"/>
          <w:vertAlign w:val="subscript"/>
          <w:lang w:val="lv-LV"/>
        </w:rPr>
        <w:t>2007</w:t>
      </w:r>
      <w:r w:rsidRPr="009179E5">
        <w:rPr>
          <w:rStyle w:val="Emphasis"/>
          <w:rFonts w:ascii="Times New Roman" w:eastAsia="Calibri" w:hAnsi="Times New Roman"/>
          <w:i w:val="0"/>
          <w:sz w:val="28"/>
          <w:szCs w:val="28"/>
          <w:vertAlign w:val="superscript"/>
          <w:lang w:val="lv-LV"/>
        </w:rPr>
        <w:t>maj.el.</w:t>
      </w:r>
      <w:r w:rsidRPr="009179E5">
        <w:rPr>
          <w:rStyle w:val="Emphasis"/>
          <w:rFonts w:ascii="Times New Roman" w:eastAsia="Calibri" w:hAnsi="Times New Roman"/>
          <w:i w:val="0"/>
          <w:sz w:val="28"/>
          <w:szCs w:val="28"/>
          <w:lang w:val="lv-LV"/>
        </w:rPr>
        <w:t>; E</w:t>
      </w:r>
      <w:r w:rsidRPr="009179E5">
        <w:rPr>
          <w:rStyle w:val="Emphasis"/>
          <w:rFonts w:ascii="Times New Roman" w:eastAsia="Calibri" w:hAnsi="Times New Roman"/>
          <w:i w:val="0"/>
          <w:sz w:val="28"/>
          <w:szCs w:val="28"/>
          <w:vertAlign w:val="subscript"/>
          <w:lang w:val="lv-LV"/>
        </w:rPr>
        <w:t>t</w:t>
      </w:r>
      <w:r w:rsidRPr="009179E5">
        <w:rPr>
          <w:rStyle w:val="Emphasis"/>
          <w:rFonts w:ascii="Times New Roman" w:eastAsia="Calibri" w:hAnsi="Times New Roman"/>
          <w:i w:val="0"/>
          <w:sz w:val="28"/>
          <w:szCs w:val="28"/>
          <w:vertAlign w:val="superscript"/>
          <w:lang w:val="lv-LV"/>
        </w:rPr>
        <w:t xml:space="preserve">maj.el. </w:t>
      </w:r>
      <w:r w:rsidRPr="009179E5">
        <w:rPr>
          <w:rStyle w:val="Emphasis"/>
          <w:rFonts w:ascii="Times New Roman" w:eastAsia="Calibri" w:hAnsi="Times New Roman"/>
          <w:i w:val="0"/>
          <w:sz w:val="28"/>
          <w:szCs w:val="28"/>
          <w:lang w:val="lv-LV"/>
        </w:rPr>
        <w:t>– elektroenerģijas patēriņš elektroiekārtām un apgaismojumam mājsaimniecībās 2007.gadā un ziņošanas gadā;</w:t>
      </w:r>
    </w:p>
    <w:p w:rsidR="00DC672F" w:rsidRPr="009179E5" w:rsidRDefault="000B5BB0" w:rsidP="001009B1">
      <w:pPr>
        <w:spacing w:before="120" w:after="120" w:line="240" w:lineRule="auto"/>
        <w:ind w:left="60"/>
        <w:jc w:val="both"/>
        <w:rPr>
          <w:rStyle w:val="Emphasis"/>
          <w:rFonts w:ascii="Times New Roman" w:eastAsia="Calibri" w:hAnsi="Times New Roman"/>
          <w:i w:val="0"/>
          <w:sz w:val="28"/>
          <w:szCs w:val="28"/>
          <w:lang w:val="lv-LV"/>
        </w:rPr>
      </w:pPr>
      <w:r w:rsidRPr="009179E5">
        <w:rPr>
          <w:rStyle w:val="Emphasis"/>
          <w:rFonts w:ascii="Times New Roman" w:eastAsia="Calibri" w:hAnsi="Times New Roman"/>
          <w:i w:val="0"/>
          <w:sz w:val="28"/>
          <w:szCs w:val="28"/>
          <w:lang w:val="lv-LV"/>
        </w:rPr>
        <w:t>M</w:t>
      </w:r>
      <w:r w:rsidRPr="009179E5">
        <w:rPr>
          <w:rStyle w:val="Emphasis"/>
          <w:rFonts w:ascii="Times New Roman" w:eastAsia="Calibri" w:hAnsi="Times New Roman"/>
          <w:i w:val="0"/>
          <w:sz w:val="28"/>
          <w:szCs w:val="28"/>
          <w:vertAlign w:val="subscript"/>
          <w:lang w:val="lv-LV"/>
        </w:rPr>
        <w:t>2007</w:t>
      </w:r>
      <w:r w:rsidRPr="009179E5">
        <w:rPr>
          <w:rStyle w:val="Emphasis"/>
          <w:rFonts w:ascii="Times New Roman" w:eastAsia="Calibri" w:hAnsi="Times New Roman"/>
          <w:i w:val="0"/>
          <w:sz w:val="28"/>
          <w:szCs w:val="28"/>
          <w:lang w:val="lv-LV"/>
        </w:rPr>
        <w:t>; M</w:t>
      </w:r>
      <w:r w:rsidRPr="009179E5">
        <w:rPr>
          <w:rStyle w:val="Emphasis"/>
          <w:rFonts w:ascii="Times New Roman" w:eastAsia="Calibri" w:hAnsi="Times New Roman"/>
          <w:i w:val="0"/>
          <w:sz w:val="28"/>
          <w:szCs w:val="28"/>
          <w:vertAlign w:val="subscript"/>
          <w:lang w:val="lv-LV"/>
        </w:rPr>
        <w:t>t</w:t>
      </w:r>
      <w:r w:rsidRPr="009179E5">
        <w:rPr>
          <w:rStyle w:val="Emphasis"/>
          <w:rFonts w:ascii="Times New Roman" w:eastAsia="Calibri" w:hAnsi="Times New Roman"/>
          <w:i w:val="0"/>
          <w:sz w:val="28"/>
          <w:szCs w:val="28"/>
          <w:lang w:val="lv-LV"/>
        </w:rPr>
        <w:t xml:space="preserve"> – mājsaimniecību skaits 2007.gadā un ziņošanas gadā.</w:t>
      </w:r>
    </w:p>
    <w:p w:rsidR="00DC672F" w:rsidRPr="009179E5" w:rsidRDefault="00DC672F" w:rsidP="001009B1">
      <w:pPr>
        <w:spacing w:before="120" w:after="120" w:line="240" w:lineRule="auto"/>
        <w:jc w:val="both"/>
        <w:rPr>
          <w:rFonts w:ascii="Times New Roman" w:hAnsi="Times New Roman"/>
          <w:sz w:val="24"/>
          <w:szCs w:val="24"/>
          <w:lang w:val="lv-LV"/>
        </w:rPr>
      </w:pPr>
      <w:r w:rsidRPr="009179E5">
        <w:rPr>
          <w:rFonts w:ascii="Times New Roman" w:hAnsi="Times New Roman"/>
          <w:sz w:val="28"/>
          <w:szCs w:val="28"/>
          <w:lang w:val="lv-LV"/>
        </w:rPr>
        <w:lastRenderedPageBreak/>
        <w:t xml:space="preserve">Pamatojoties uz izvēlētiem enerģijas efektivitātes indikatoriem mājsaimniecībās un izmantojot aprēķina formulas, tika aprēķināts </w:t>
      </w:r>
      <w:r w:rsidRPr="009179E5">
        <w:rPr>
          <w:rFonts w:ascii="Times New Roman" w:hAnsi="Times New Roman"/>
          <w:b/>
          <w:sz w:val="28"/>
          <w:szCs w:val="28"/>
          <w:lang w:val="lv-LV"/>
        </w:rPr>
        <w:t>enerģijas ietaupījums</w:t>
      </w:r>
      <w:r w:rsidRPr="009179E5">
        <w:rPr>
          <w:rFonts w:ascii="Times New Roman" w:hAnsi="Times New Roman"/>
          <w:sz w:val="28"/>
          <w:szCs w:val="28"/>
          <w:lang w:val="lv-LV"/>
        </w:rPr>
        <w:t xml:space="preserve"> mājsaimniecībās 2009.gadā, un tas ir </w:t>
      </w:r>
      <w:r w:rsidRPr="009179E5">
        <w:rPr>
          <w:rFonts w:ascii="Times New Roman" w:hAnsi="Times New Roman"/>
          <w:b/>
          <w:sz w:val="28"/>
          <w:szCs w:val="28"/>
          <w:lang w:val="lv-LV"/>
        </w:rPr>
        <w:t>673 GWh</w:t>
      </w:r>
      <w:r w:rsidRPr="009179E5">
        <w:rPr>
          <w:rFonts w:ascii="Times New Roman" w:hAnsi="Times New Roman"/>
          <w:sz w:val="28"/>
          <w:szCs w:val="28"/>
          <w:lang w:val="lv-LV"/>
        </w:rPr>
        <w:t>. Enerģijas ietaupījumu mājsaimniecībās dod veiktie enerģijas efektivitātes uzlabošanas un taupīšanas pasākumi apkurei, turpretim siltā ūdens sagatavošanā un elektroierīču izmantošanā nav novērojams enerģijas ietaupījums šajā laika periodā.</w:t>
      </w:r>
    </w:p>
    <w:p w:rsidR="00DC672F" w:rsidRPr="009179E5" w:rsidRDefault="00C832BC" w:rsidP="00574AC8">
      <w:pPr>
        <w:spacing w:before="120" w:after="120" w:line="240" w:lineRule="auto"/>
        <w:rPr>
          <w:rFonts w:ascii="Times New Roman" w:hAnsi="Times New Roman"/>
          <w:sz w:val="24"/>
          <w:szCs w:val="24"/>
          <w:lang w:val="lv-LV"/>
        </w:rPr>
      </w:pPr>
      <w:r w:rsidRPr="009179E5">
        <w:rPr>
          <w:noProof/>
          <w:szCs w:val="24"/>
          <w:lang w:val="lv-LV" w:eastAsia="lv-LV"/>
        </w:rPr>
        <w:drawing>
          <wp:inline distT="0" distB="0" distL="0" distR="0">
            <wp:extent cx="5486400" cy="2809592"/>
            <wp:effectExtent l="0" t="0" r="0" b="0"/>
            <wp:docPr id="3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srcRect/>
                    <a:stretch>
                      <a:fillRect/>
                    </a:stretch>
                  </pic:blipFill>
                  <pic:spPr bwMode="auto">
                    <a:xfrm>
                      <a:off x="0" y="0"/>
                      <a:ext cx="5486370" cy="2809576"/>
                    </a:xfrm>
                    <a:prstGeom prst="rect">
                      <a:avLst/>
                    </a:prstGeom>
                    <a:noFill/>
                    <a:ln w="9525">
                      <a:noFill/>
                      <a:miter lim="800000"/>
                      <a:headEnd/>
                      <a:tailEnd/>
                    </a:ln>
                  </pic:spPr>
                </pic:pic>
              </a:graphicData>
            </a:graphic>
          </wp:inline>
        </w:drawing>
      </w:r>
    </w:p>
    <w:p w:rsidR="00DC672F" w:rsidRPr="009179E5" w:rsidRDefault="00C302B6" w:rsidP="00574AC8">
      <w:pPr>
        <w:spacing w:before="120" w:after="120" w:line="240" w:lineRule="auto"/>
        <w:rPr>
          <w:rFonts w:ascii="Times New Roman" w:hAnsi="Times New Roman"/>
          <w:b/>
          <w:sz w:val="24"/>
          <w:szCs w:val="24"/>
          <w:lang w:val="lv-LV"/>
        </w:rPr>
      </w:pPr>
      <w:r w:rsidRPr="009179E5">
        <w:rPr>
          <w:rFonts w:ascii="Times New Roman" w:hAnsi="Times New Roman"/>
          <w:b/>
          <w:sz w:val="24"/>
          <w:szCs w:val="24"/>
          <w:lang w:val="lv-LV"/>
        </w:rPr>
        <w:t>10. attēls</w:t>
      </w:r>
      <w:r w:rsidR="003925DF" w:rsidRPr="009179E5">
        <w:rPr>
          <w:rFonts w:ascii="Times New Roman" w:hAnsi="Times New Roman"/>
          <w:b/>
          <w:sz w:val="24"/>
          <w:szCs w:val="24"/>
          <w:lang w:val="lv-LV"/>
        </w:rPr>
        <w:t>.</w:t>
      </w:r>
      <w:r w:rsidR="00DC672F" w:rsidRPr="009179E5">
        <w:rPr>
          <w:rFonts w:ascii="Times New Roman" w:hAnsi="Times New Roman"/>
          <w:b/>
          <w:sz w:val="24"/>
          <w:szCs w:val="24"/>
          <w:lang w:val="lv-LV"/>
        </w:rPr>
        <w:t xml:space="preserve"> Enerģijas ietaup</w:t>
      </w:r>
      <w:r w:rsidR="001D3DE0" w:rsidRPr="009179E5">
        <w:rPr>
          <w:rFonts w:ascii="Times New Roman" w:hAnsi="Times New Roman"/>
          <w:b/>
          <w:sz w:val="24"/>
          <w:szCs w:val="24"/>
          <w:lang w:val="lv-LV"/>
        </w:rPr>
        <w:t>ījums mājsaimniecībās 2009.gadā, GWh</w:t>
      </w:r>
    </w:p>
    <w:p w:rsidR="00DC672F" w:rsidRPr="009179E5" w:rsidRDefault="00DC672F"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Jāatzīmē, ka var sagaidīt, ka pāreja elektroenerģijas patēriņa analīzei uz ieteicamiem detalizētākiem efektivitātes indikatoriem, uzrādīs enerģijas ietaupījumu arī šajā enerģijas patēriņa veidā.  </w:t>
      </w:r>
    </w:p>
    <w:p w:rsidR="004F7F14" w:rsidRPr="009179E5" w:rsidRDefault="004F7F14" w:rsidP="00574AC8">
      <w:pPr>
        <w:spacing w:before="120" w:after="120" w:line="240" w:lineRule="auto"/>
        <w:jc w:val="both"/>
        <w:rPr>
          <w:rFonts w:ascii="Times New Roman" w:hAnsi="Times New Roman"/>
          <w:sz w:val="28"/>
          <w:szCs w:val="28"/>
          <w:lang w:val="lv-LV"/>
        </w:rPr>
      </w:pPr>
    </w:p>
    <w:p w:rsidR="00DC672F" w:rsidRPr="009179E5" w:rsidRDefault="00AA3160" w:rsidP="0001273E">
      <w:pPr>
        <w:pStyle w:val="Heading4"/>
        <w:numPr>
          <w:ilvl w:val="0"/>
          <w:numId w:val="0"/>
        </w:numPr>
        <w:spacing w:line="240" w:lineRule="auto"/>
        <w:jc w:val="center"/>
        <w:rPr>
          <w:rFonts w:ascii="Times New Roman" w:hAnsi="Times New Roman"/>
          <w:b/>
          <w:sz w:val="24"/>
          <w:szCs w:val="24"/>
          <w:lang w:val="lv-LV"/>
        </w:rPr>
      </w:pPr>
      <w:bookmarkStart w:id="26" w:name="_Toc300320571"/>
      <w:r w:rsidRPr="009179E5">
        <w:rPr>
          <w:rFonts w:ascii="Times New Roman Bold" w:hAnsi="Times New Roman Bold"/>
          <w:b/>
          <w:i w:val="0"/>
          <w:caps/>
          <w:color w:val="auto"/>
          <w:sz w:val="28"/>
          <w:u w:val="none"/>
          <w:lang w:val="lv-LV"/>
        </w:rPr>
        <w:t>3.2.2</w:t>
      </w:r>
      <w:r w:rsidR="000E17C9" w:rsidRPr="009179E5">
        <w:rPr>
          <w:rFonts w:ascii="Times New Roman Bold" w:hAnsi="Times New Roman Bold"/>
          <w:b/>
          <w:i w:val="0"/>
          <w:caps/>
          <w:color w:val="auto"/>
          <w:sz w:val="28"/>
          <w:u w:val="none"/>
          <w:lang w:val="lv-LV"/>
        </w:rPr>
        <w:t>.</w:t>
      </w:r>
      <w:r w:rsidRPr="009179E5">
        <w:rPr>
          <w:rFonts w:ascii="Times New Roman Bold" w:hAnsi="Times New Roman Bold"/>
          <w:b/>
          <w:i w:val="0"/>
          <w:caps/>
          <w:color w:val="auto"/>
          <w:sz w:val="28"/>
          <w:u w:val="none"/>
          <w:lang w:val="lv-LV"/>
        </w:rPr>
        <w:t xml:space="preserve"> </w:t>
      </w:r>
      <w:r w:rsidR="00DC672F" w:rsidRPr="009179E5">
        <w:rPr>
          <w:rFonts w:ascii="Times New Roman Bold" w:hAnsi="Times New Roman Bold"/>
          <w:b/>
          <w:i w:val="0"/>
          <w:caps/>
          <w:color w:val="auto"/>
          <w:sz w:val="28"/>
          <w:u w:val="none"/>
          <w:lang w:val="lv-LV"/>
        </w:rPr>
        <w:t>Pakalpojumi</w:t>
      </w:r>
      <w:bookmarkEnd w:id="26"/>
    </w:p>
    <w:p w:rsidR="00152347" w:rsidRPr="009179E5" w:rsidRDefault="00152347" w:rsidP="001009B1">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Par pamatu enerģijas ietaupījuma aprēķināšanai tiek izmantotas sekojošu enerģijas efektivitātes indikatoru izmaiņas:</w:t>
      </w:r>
    </w:p>
    <w:p w:rsidR="00152347" w:rsidRPr="009179E5" w:rsidRDefault="00152347" w:rsidP="001009B1">
      <w:pPr>
        <w:numPr>
          <w:ilvl w:val="0"/>
          <w:numId w:val="8"/>
        </w:numPr>
        <w:tabs>
          <w:tab w:val="clear" w:pos="720"/>
          <w:tab w:val="num" w:pos="426"/>
        </w:tabs>
        <w:spacing w:before="120" w:after="120" w:line="240" w:lineRule="auto"/>
        <w:ind w:left="709" w:hanging="283"/>
        <w:jc w:val="both"/>
        <w:rPr>
          <w:rFonts w:ascii="Times New Roman" w:hAnsi="Times New Roman"/>
          <w:sz w:val="28"/>
          <w:szCs w:val="28"/>
          <w:lang w:val="lv-LV"/>
        </w:rPr>
      </w:pPr>
      <w:r w:rsidRPr="009179E5">
        <w:rPr>
          <w:rFonts w:ascii="Times New Roman" w:hAnsi="Times New Roman"/>
          <w:sz w:val="28"/>
          <w:szCs w:val="28"/>
          <w:lang w:val="lv-LV"/>
        </w:rPr>
        <w:t xml:space="preserve">enerģijas patēriņš apkurei, kas koriģēts ar klimata korekcijas </w:t>
      </w:r>
      <w:r w:rsidRPr="009179E5">
        <w:rPr>
          <w:rFonts w:ascii="Times New Roman" w:hAnsi="Times New Roman"/>
          <w:iCs/>
          <w:sz w:val="28"/>
          <w:szCs w:val="28"/>
          <w:lang w:val="lv-LV"/>
        </w:rPr>
        <w:t>koeficientu faktoru</w:t>
      </w:r>
      <w:r w:rsidRPr="009179E5">
        <w:rPr>
          <w:rFonts w:ascii="Times New Roman" w:hAnsi="Times New Roman"/>
          <w:sz w:val="28"/>
          <w:szCs w:val="28"/>
          <w:lang w:val="lv-LV"/>
        </w:rPr>
        <w:t>, pakalpojumu sektorā uz vienu pilnas slodzes strādājošo;</w:t>
      </w:r>
    </w:p>
    <w:p w:rsidR="00152347" w:rsidRPr="009179E5" w:rsidRDefault="00152347" w:rsidP="001009B1">
      <w:pPr>
        <w:numPr>
          <w:ilvl w:val="0"/>
          <w:numId w:val="8"/>
        </w:numPr>
        <w:tabs>
          <w:tab w:val="clear" w:pos="720"/>
          <w:tab w:val="num" w:pos="426"/>
        </w:tabs>
        <w:spacing w:before="120" w:after="120" w:line="240" w:lineRule="auto"/>
        <w:ind w:left="709" w:hanging="283"/>
        <w:jc w:val="both"/>
        <w:rPr>
          <w:rFonts w:ascii="Times New Roman" w:hAnsi="Times New Roman"/>
          <w:sz w:val="28"/>
          <w:szCs w:val="28"/>
          <w:lang w:val="lv-LV"/>
        </w:rPr>
      </w:pPr>
      <w:r w:rsidRPr="009179E5">
        <w:rPr>
          <w:rFonts w:ascii="Times New Roman" w:hAnsi="Times New Roman"/>
          <w:sz w:val="28"/>
          <w:szCs w:val="28"/>
          <w:lang w:val="lv-LV"/>
        </w:rPr>
        <w:t>elektroenerģijas patēriņš elektroierīcēm pakalpojumu sektorā uz vienu pilnas slodzes strādājošo.</w:t>
      </w:r>
      <w:r w:rsidRPr="009179E5">
        <w:rPr>
          <w:rFonts w:ascii="Times New Roman" w:hAnsi="Times New Roman"/>
          <w:sz w:val="28"/>
          <w:szCs w:val="28"/>
          <w:vertAlign w:val="superscript"/>
          <w:lang w:val="lv-LV"/>
        </w:rPr>
        <w:t xml:space="preserve"> </w:t>
      </w:r>
      <w:r w:rsidRPr="009179E5">
        <w:rPr>
          <w:rFonts w:ascii="Times New Roman" w:hAnsi="Times New Roman"/>
          <w:sz w:val="28"/>
          <w:szCs w:val="28"/>
          <w:lang w:val="lv-LV"/>
        </w:rPr>
        <w:t xml:space="preserve"> </w:t>
      </w:r>
    </w:p>
    <w:p w:rsidR="00152347" w:rsidRPr="009179E5" w:rsidRDefault="00152347" w:rsidP="001009B1">
      <w:pPr>
        <w:spacing w:before="120" w:after="120" w:line="240" w:lineRule="auto"/>
        <w:jc w:val="both"/>
        <w:rPr>
          <w:rStyle w:val="Emphasis"/>
          <w:rFonts w:ascii="Times New Roman" w:eastAsia="Calibri" w:hAnsi="Times New Roman"/>
          <w:i w:val="0"/>
          <w:sz w:val="28"/>
          <w:szCs w:val="28"/>
          <w:lang w:val="lv-LV"/>
        </w:rPr>
      </w:pPr>
      <w:r w:rsidRPr="009179E5">
        <w:rPr>
          <w:rStyle w:val="Emphasis"/>
          <w:rFonts w:ascii="Times New Roman" w:eastAsia="Calibri" w:hAnsi="Times New Roman"/>
          <w:b/>
          <w:i w:val="0"/>
          <w:sz w:val="28"/>
          <w:szCs w:val="28"/>
          <w:lang w:val="lv-LV"/>
        </w:rPr>
        <w:t>Ne-elektroenerģijas ietaupījumu pakalpojumu sektorā</w:t>
      </w:r>
      <w:r w:rsidRPr="009179E5">
        <w:rPr>
          <w:rStyle w:val="Emphasis"/>
          <w:rFonts w:ascii="Times New Roman" w:eastAsia="Calibri" w:hAnsi="Times New Roman"/>
          <w:i w:val="0"/>
          <w:sz w:val="28"/>
          <w:szCs w:val="28"/>
          <w:lang w:val="lv-LV"/>
        </w:rPr>
        <w:t xml:space="preserve"> aprēķina pēc sekojošas formulas:</w:t>
      </w:r>
    </w:p>
    <w:p w:rsidR="00152347" w:rsidRPr="009179E5" w:rsidRDefault="00152347" w:rsidP="001009B1">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E </w:t>
      </w:r>
      <w:r w:rsidRPr="009179E5">
        <w:rPr>
          <w:rFonts w:ascii="Times New Roman" w:hAnsi="Times New Roman"/>
          <w:sz w:val="28"/>
          <w:szCs w:val="28"/>
          <w:vertAlign w:val="superscript"/>
          <w:lang w:val="lv-LV"/>
        </w:rPr>
        <w:t>pak.</w:t>
      </w:r>
      <w:r w:rsidRPr="009179E5">
        <w:rPr>
          <w:rFonts w:ascii="Times New Roman" w:hAnsi="Times New Roman"/>
          <w:sz w:val="28"/>
          <w:szCs w:val="28"/>
          <w:vertAlign w:val="subscript"/>
          <w:lang w:val="lv-LV"/>
        </w:rPr>
        <w:t>iet.ne-elektr.</w:t>
      </w:r>
      <w:r w:rsidRPr="009179E5">
        <w:rPr>
          <w:rFonts w:ascii="Times New Roman" w:hAnsi="Times New Roman"/>
          <w:sz w:val="28"/>
          <w:szCs w:val="28"/>
          <w:lang w:val="lv-LV"/>
        </w:rPr>
        <w:t>=</w:t>
      </w:r>
      <w:r w:rsidRPr="009179E5">
        <w:rPr>
          <w:rFonts w:ascii="Times New Roman" w:hAnsi="Times New Roman"/>
          <w:position w:val="-32"/>
          <w:sz w:val="28"/>
          <w:szCs w:val="28"/>
          <w:lang w:val="lv-LV"/>
        </w:rPr>
        <w:object w:dxaOrig="6399" w:dyaOrig="760">
          <v:shape id="_x0000_i1028" type="#_x0000_t75" style="width:320.25pt;height:37.5pt" o:ole="">
            <v:imagedata r:id="rId26" o:title=""/>
          </v:shape>
          <o:OLEObject Type="Embed" ProgID="Equation.3" ShapeID="_x0000_i1028" DrawAspect="Content" ObjectID="_1375274249" r:id="rId27"/>
        </w:object>
      </w:r>
      <w:r w:rsidRPr="009179E5">
        <w:rPr>
          <w:rFonts w:ascii="Times New Roman" w:hAnsi="Times New Roman"/>
          <w:sz w:val="28"/>
          <w:szCs w:val="28"/>
          <w:lang w:val="lv-LV"/>
        </w:rPr>
        <w:t>, kur</w:t>
      </w:r>
    </w:p>
    <w:p w:rsidR="00152347" w:rsidRPr="009179E5" w:rsidRDefault="00152347" w:rsidP="001009B1">
      <w:pPr>
        <w:spacing w:before="120" w:after="120" w:line="240" w:lineRule="auto"/>
        <w:ind w:left="60"/>
        <w:jc w:val="both"/>
        <w:rPr>
          <w:rFonts w:ascii="Times New Roman" w:hAnsi="Times New Roman"/>
          <w:sz w:val="28"/>
          <w:szCs w:val="28"/>
          <w:lang w:val="lv-LV"/>
        </w:rPr>
      </w:pPr>
      <w:r w:rsidRPr="009179E5">
        <w:rPr>
          <w:rFonts w:ascii="Times New Roman" w:hAnsi="Times New Roman"/>
          <w:sz w:val="28"/>
          <w:szCs w:val="28"/>
          <w:lang w:val="lv-LV"/>
        </w:rPr>
        <w:t>E</w:t>
      </w:r>
      <w:r w:rsidRPr="009179E5">
        <w:rPr>
          <w:rFonts w:ascii="Times New Roman" w:hAnsi="Times New Roman"/>
          <w:sz w:val="28"/>
          <w:szCs w:val="28"/>
          <w:vertAlign w:val="subscript"/>
          <w:lang w:val="lv-LV"/>
        </w:rPr>
        <w:t>2007</w:t>
      </w:r>
      <w:r w:rsidRPr="009179E5">
        <w:rPr>
          <w:rFonts w:ascii="Times New Roman" w:hAnsi="Times New Roman"/>
          <w:sz w:val="28"/>
          <w:szCs w:val="28"/>
          <w:vertAlign w:val="superscript"/>
          <w:lang w:val="lv-LV"/>
        </w:rPr>
        <w:t>pak.NE-EL.</w:t>
      </w:r>
      <w:r w:rsidRPr="009179E5">
        <w:rPr>
          <w:rFonts w:ascii="Times New Roman" w:hAnsi="Times New Roman"/>
          <w:sz w:val="28"/>
          <w:szCs w:val="28"/>
          <w:lang w:val="lv-LV"/>
        </w:rPr>
        <w:t>; E</w:t>
      </w:r>
      <w:r w:rsidRPr="009179E5">
        <w:rPr>
          <w:rFonts w:ascii="Times New Roman" w:hAnsi="Times New Roman"/>
          <w:sz w:val="28"/>
          <w:szCs w:val="28"/>
          <w:vertAlign w:val="subscript"/>
          <w:lang w:val="lv-LV"/>
        </w:rPr>
        <w:t>t</w:t>
      </w:r>
      <w:r w:rsidRPr="009179E5">
        <w:rPr>
          <w:rFonts w:ascii="Times New Roman" w:hAnsi="Times New Roman"/>
          <w:sz w:val="28"/>
          <w:szCs w:val="28"/>
          <w:vertAlign w:val="superscript"/>
          <w:lang w:val="lv-LV"/>
        </w:rPr>
        <w:t>pak.NE-EL.</w:t>
      </w:r>
      <w:r w:rsidRPr="009179E5">
        <w:rPr>
          <w:rFonts w:ascii="Times New Roman" w:hAnsi="Times New Roman"/>
          <w:sz w:val="28"/>
          <w:szCs w:val="28"/>
          <w:lang w:val="lv-LV"/>
        </w:rPr>
        <w:t xml:space="preserve"> – ne-elektroenerģijas patēriņš pakalpojumu sektorā 2007.gadā un ziņošanas gadā;</w:t>
      </w:r>
    </w:p>
    <w:p w:rsidR="00152347" w:rsidRPr="009179E5" w:rsidRDefault="00152347" w:rsidP="001009B1">
      <w:pPr>
        <w:spacing w:before="120" w:after="120" w:line="240" w:lineRule="auto"/>
        <w:ind w:left="60"/>
        <w:jc w:val="both"/>
        <w:rPr>
          <w:rFonts w:ascii="Times New Roman" w:hAnsi="Times New Roman"/>
          <w:sz w:val="28"/>
          <w:szCs w:val="28"/>
          <w:lang w:val="lv-LV"/>
        </w:rPr>
      </w:pPr>
      <w:r w:rsidRPr="009179E5">
        <w:rPr>
          <w:rFonts w:ascii="Times New Roman" w:hAnsi="Times New Roman"/>
          <w:sz w:val="28"/>
          <w:szCs w:val="28"/>
          <w:lang w:val="lv-LV"/>
        </w:rPr>
        <w:lastRenderedPageBreak/>
        <w:t>darb.</w:t>
      </w:r>
      <w:r w:rsidRPr="009179E5">
        <w:rPr>
          <w:rFonts w:ascii="Times New Roman" w:hAnsi="Times New Roman"/>
          <w:sz w:val="28"/>
          <w:szCs w:val="28"/>
          <w:vertAlign w:val="superscript"/>
          <w:lang w:val="lv-LV"/>
        </w:rPr>
        <w:t>pak.</w:t>
      </w:r>
      <w:r w:rsidRPr="009179E5">
        <w:rPr>
          <w:rFonts w:ascii="Times New Roman" w:hAnsi="Times New Roman"/>
          <w:sz w:val="28"/>
          <w:szCs w:val="28"/>
          <w:vertAlign w:val="subscript"/>
          <w:lang w:val="lv-LV"/>
        </w:rPr>
        <w:t>2007</w:t>
      </w:r>
      <w:r w:rsidRPr="009179E5">
        <w:rPr>
          <w:rFonts w:ascii="Times New Roman" w:hAnsi="Times New Roman"/>
          <w:sz w:val="28"/>
          <w:szCs w:val="28"/>
          <w:lang w:val="lv-LV"/>
        </w:rPr>
        <w:t>; darb.</w:t>
      </w:r>
      <w:r w:rsidRPr="009179E5">
        <w:rPr>
          <w:rFonts w:ascii="Times New Roman" w:hAnsi="Times New Roman"/>
          <w:sz w:val="28"/>
          <w:szCs w:val="28"/>
          <w:vertAlign w:val="superscript"/>
          <w:lang w:val="lv-LV"/>
        </w:rPr>
        <w:t>pak.</w:t>
      </w:r>
      <w:r w:rsidRPr="009179E5">
        <w:rPr>
          <w:rFonts w:ascii="Times New Roman" w:hAnsi="Times New Roman"/>
          <w:sz w:val="28"/>
          <w:szCs w:val="28"/>
          <w:vertAlign w:val="subscript"/>
          <w:lang w:val="lv-LV"/>
        </w:rPr>
        <w:t xml:space="preserve">t </w:t>
      </w:r>
      <w:r w:rsidRPr="009179E5">
        <w:rPr>
          <w:rFonts w:ascii="Times New Roman" w:hAnsi="Times New Roman"/>
          <w:sz w:val="28"/>
          <w:szCs w:val="28"/>
          <w:lang w:val="lv-LV"/>
        </w:rPr>
        <w:t>– pakalpojumu sektorā pilnas slodzes ekvivalenta strādājošo skaits 2007.gadā un ziņošanas gadā;</w:t>
      </w:r>
    </w:p>
    <w:p w:rsidR="00152347" w:rsidRPr="009179E5" w:rsidRDefault="00152347" w:rsidP="001009B1">
      <w:pPr>
        <w:spacing w:before="120" w:after="120" w:line="240" w:lineRule="auto"/>
        <w:ind w:left="60"/>
        <w:jc w:val="both"/>
        <w:rPr>
          <w:rFonts w:ascii="Times New Roman" w:hAnsi="Times New Roman"/>
          <w:sz w:val="28"/>
          <w:szCs w:val="28"/>
          <w:lang w:val="lv-LV"/>
        </w:rPr>
      </w:pPr>
      <w:r w:rsidRPr="009179E5">
        <w:rPr>
          <w:rFonts w:ascii="Times New Roman" w:hAnsi="Times New Roman"/>
          <w:sz w:val="28"/>
          <w:szCs w:val="28"/>
          <w:lang w:val="lv-LV"/>
        </w:rPr>
        <w:t>GDD</w:t>
      </w:r>
      <w:r w:rsidRPr="009179E5">
        <w:rPr>
          <w:rFonts w:ascii="Times New Roman" w:hAnsi="Times New Roman"/>
          <w:sz w:val="28"/>
          <w:szCs w:val="28"/>
          <w:vertAlign w:val="superscript"/>
          <w:lang w:val="lv-LV"/>
        </w:rPr>
        <w:t>apkure</w:t>
      </w:r>
      <w:r w:rsidRPr="009179E5">
        <w:rPr>
          <w:rFonts w:ascii="Times New Roman" w:hAnsi="Times New Roman"/>
          <w:sz w:val="28"/>
          <w:szCs w:val="28"/>
          <w:lang w:val="lv-LV"/>
        </w:rPr>
        <w:t xml:space="preserve"> – vidējais daudzgadīgais apkures grādu dienu skaits;</w:t>
      </w:r>
    </w:p>
    <w:p w:rsidR="00152347" w:rsidRPr="009179E5" w:rsidRDefault="00152347" w:rsidP="001009B1">
      <w:pPr>
        <w:spacing w:before="120" w:after="120" w:line="240" w:lineRule="auto"/>
        <w:ind w:left="60"/>
        <w:jc w:val="both"/>
        <w:rPr>
          <w:rFonts w:ascii="Times New Roman" w:hAnsi="Times New Roman"/>
          <w:sz w:val="28"/>
          <w:szCs w:val="28"/>
          <w:lang w:val="lv-LV"/>
        </w:rPr>
      </w:pPr>
      <w:r w:rsidRPr="009179E5">
        <w:rPr>
          <w:rFonts w:ascii="Times New Roman" w:hAnsi="Times New Roman"/>
          <w:sz w:val="28"/>
          <w:szCs w:val="28"/>
          <w:lang w:val="lv-LV"/>
        </w:rPr>
        <w:t>FGD</w:t>
      </w:r>
      <w:r w:rsidRPr="009179E5">
        <w:rPr>
          <w:rFonts w:ascii="Times New Roman" w:hAnsi="Times New Roman"/>
          <w:sz w:val="28"/>
          <w:szCs w:val="28"/>
          <w:vertAlign w:val="subscript"/>
          <w:lang w:val="lv-LV"/>
        </w:rPr>
        <w:t>2007</w:t>
      </w:r>
      <w:r w:rsidRPr="009179E5">
        <w:rPr>
          <w:rFonts w:ascii="Times New Roman" w:hAnsi="Times New Roman"/>
          <w:sz w:val="28"/>
          <w:szCs w:val="28"/>
          <w:vertAlign w:val="superscript"/>
          <w:lang w:val="lv-LV"/>
        </w:rPr>
        <w:t>apkure</w:t>
      </w:r>
      <w:r w:rsidRPr="009179E5">
        <w:rPr>
          <w:rFonts w:ascii="Times New Roman" w:hAnsi="Times New Roman"/>
          <w:sz w:val="28"/>
          <w:szCs w:val="28"/>
          <w:lang w:val="lv-LV"/>
        </w:rPr>
        <w:t>; FGD</w:t>
      </w:r>
      <w:r w:rsidRPr="009179E5">
        <w:rPr>
          <w:rFonts w:ascii="Times New Roman" w:hAnsi="Times New Roman"/>
          <w:sz w:val="28"/>
          <w:szCs w:val="28"/>
          <w:vertAlign w:val="subscript"/>
          <w:lang w:val="lv-LV"/>
        </w:rPr>
        <w:t>t</w:t>
      </w:r>
      <w:r w:rsidRPr="009179E5">
        <w:rPr>
          <w:rFonts w:ascii="Times New Roman" w:hAnsi="Times New Roman"/>
          <w:sz w:val="28"/>
          <w:szCs w:val="28"/>
          <w:vertAlign w:val="superscript"/>
          <w:lang w:val="lv-LV"/>
        </w:rPr>
        <w:t>apkure</w:t>
      </w:r>
      <w:r w:rsidRPr="009179E5">
        <w:rPr>
          <w:rFonts w:ascii="Times New Roman" w:hAnsi="Times New Roman"/>
          <w:sz w:val="28"/>
          <w:szCs w:val="28"/>
          <w:lang w:val="lv-LV"/>
        </w:rPr>
        <w:t xml:space="preserve"> – faktiskais apkures grādu dienu skaits 2007. gadā un ziņošanas gadā.</w:t>
      </w:r>
    </w:p>
    <w:p w:rsidR="00152347" w:rsidRPr="009179E5" w:rsidRDefault="00152347" w:rsidP="001009B1">
      <w:pPr>
        <w:spacing w:before="120" w:after="120" w:line="240" w:lineRule="auto"/>
        <w:ind w:left="60"/>
        <w:jc w:val="both"/>
        <w:rPr>
          <w:rFonts w:ascii="Times New Roman" w:hAnsi="Times New Roman"/>
          <w:sz w:val="28"/>
          <w:szCs w:val="28"/>
          <w:lang w:val="lv-LV"/>
        </w:rPr>
      </w:pPr>
      <w:r w:rsidRPr="009179E5">
        <w:rPr>
          <w:rFonts w:ascii="Times New Roman" w:hAnsi="Times New Roman"/>
          <w:b/>
          <w:sz w:val="28"/>
          <w:szCs w:val="28"/>
          <w:lang w:val="lv-LV"/>
        </w:rPr>
        <w:t>Elektroenerģijas ietaupījuma</w:t>
      </w:r>
      <w:r w:rsidRPr="009179E5">
        <w:rPr>
          <w:rFonts w:ascii="Times New Roman" w:hAnsi="Times New Roman"/>
          <w:sz w:val="28"/>
          <w:szCs w:val="28"/>
          <w:lang w:val="lv-LV"/>
        </w:rPr>
        <w:t xml:space="preserve"> pakalpojumu sektorā aprēķina pēc sekojošas formulas:</w:t>
      </w:r>
    </w:p>
    <w:p w:rsidR="00152347" w:rsidRPr="009179E5" w:rsidRDefault="00152347" w:rsidP="001009B1">
      <w:pPr>
        <w:spacing w:before="120" w:after="120" w:line="240" w:lineRule="auto"/>
        <w:ind w:left="60"/>
        <w:jc w:val="both"/>
        <w:rPr>
          <w:rFonts w:ascii="Times New Roman" w:hAnsi="Times New Roman"/>
          <w:sz w:val="28"/>
          <w:szCs w:val="28"/>
          <w:lang w:val="lv-LV"/>
        </w:rPr>
      </w:pPr>
      <w:r w:rsidRPr="009179E5">
        <w:rPr>
          <w:rFonts w:ascii="Times New Roman" w:hAnsi="Times New Roman"/>
          <w:sz w:val="28"/>
          <w:szCs w:val="28"/>
          <w:lang w:val="lv-LV"/>
        </w:rPr>
        <w:t>E</w:t>
      </w:r>
      <w:r w:rsidRPr="009179E5">
        <w:rPr>
          <w:rFonts w:ascii="Times New Roman" w:hAnsi="Times New Roman"/>
          <w:sz w:val="28"/>
          <w:szCs w:val="28"/>
          <w:vertAlign w:val="superscript"/>
          <w:lang w:val="lv-LV"/>
        </w:rPr>
        <w:t>pak.</w:t>
      </w:r>
      <w:r w:rsidRPr="009179E5">
        <w:rPr>
          <w:rFonts w:ascii="Times New Roman" w:hAnsi="Times New Roman"/>
          <w:sz w:val="28"/>
          <w:szCs w:val="28"/>
          <w:vertAlign w:val="subscript"/>
          <w:lang w:val="lv-LV"/>
        </w:rPr>
        <w:t xml:space="preserve">iet.elektr.  </w:t>
      </w:r>
      <w:r w:rsidRPr="009179E5">
        <w:rPr>
          <w:rFonts w:ascii="Times New Roman" w:hAnsi="Times New Roman"/>
          <w:sz w:val="28"/>
          <w:szCs w:val="28"/>
          <w:lang w:val="lv-LV"/>
        </w:rPr>
        <w:t xml:space="preserve">= </w:t>
      </w:r>
      <w:r w:rsidRPr="009179E5">
        <w:rPr>
          <w:rFonts w:ascii="Times New Roman" w:hAnsi="Times New Roman"/>
          <w:position w:val="-32"/>
          <w:sz w:val="28"/>
          <w:szCs w:val="28"/>
          <w:lang w:val="lv-LV"/>
        </w:rPr>
        <w:object w:dxaOrig="3379" w:dyaOrig="760">
          <v:shape id="_x0000_i1029" type="#_x0000_t75" style="width:168.75pt;height:37.5pt" o:ole="">
            <v:imagedata r:id="rId28" o:title=""/>
          </v:shape>
          <o:OLEObject Type="Embed" ProgID="Equation.3" ShapeID="_x0000_i1029" DrawAspect="Content" ObjectID="_1375274250" r:id="rId29"/>
        </w:object>
      </w:r>
      <w:r w:rsidRPr="009179E5">
        <w:rPr>
          <w:rFonts w:ascii="Times New Roman" w:hAnsi="Times New Roman"/>
          <w:sz w:val="28"/>
          <w:szCs w:val="28"/>
          <w:lang w:val="lv-LV"/>
        </w:rPr>
        <w:t>, kur</w:t>
      </w:r>
    </w:p>
    <w:p w:rsidR="00152347" w:rsidRPr="009179E5" w:rsidRDefault="00152347" w:rsidP="001009B1">
      <w:pPr>
        <w:spacing w:before="120" w:after="120" w:line="240" w:lineRule="auto"/>
        <w:ind w:left="60"/>
        <w:jc w:val="both"/>
        <w:rPr>
          <w:rFonts w:ascii="Times New Roman" w:hAnsi="Times New Roman"/>
          <w:sz w:val="28"/>
          <w:szCs w:val="28"/>
          <w:lang w:val="lv-LV"/>
        </w:rPr>
      </w:pPr>
      <w:r w:rsidRPr="009179E5">
        <w:rPr>
          <w:rFonts w:ascii="Times New Roman" w:hAnsi="Times New Roman"/>
          <w:sz w:val="28"/>
          <w:szCs w:val="28"/>
          <w:lang w:val="lv-LV"/>
        </w:rPr>
        <w:t>E</w:t>
      </w:r>
      <w:r w:rsidRPr="009179E5">
        <w:rPr>
          <w:rFonts w:ascii="Times New Roman" w:hAnsi="Times New Roman"/>
          <w:sz w:val="28"/>
          <w:szCs w:val="28"/>
          <w:vertAlign w:val="subscript"/>
          <w:lang w:val="lv-LV"/>
        </w:rPr>
        <w:t>2007</w:t>
      </w:r>
      <w:r w:rsidRPr="009179E5">
        <w:rPr>
          <w:rFonts w:ascii="Times New Roman" w:hAnsi="Times New Roman"/>
          <w:sz w:val="28"/>
          <w:szCs w:val="28"/>
          <w:vertAlign w:val="superscript"/>
          <w:lang w:val="lv-LV"/>
        </w:rPr>
        <w:t>pak.EL</w:t>
      </w:r>
      <w:r w:rsidRPr="009179E5">
        <w:rPr>
          <w:rFonts w:ascii="Times New Roman" w:hAnsi="Times New Roman"/>
          <w:sz w:val="28"/>
          <w:szCs w:val="28"/>
          <w:lang w:val="lv-LV"/>
        </w:rPr>
        <w:t>; E</w:t>
      </w:r>
      <w:r w:rsidRPr="009179E5">
        <w:rPr>
          <w:rFonts w:ascii="Times New Roman" w:hAnsi="Times New Roman"/>
          <w:sz w:val="28"/>
          <w:szCs w:val="28"/>
          <w:vertAlign w:val="subscript"/>
          <w:lang w:val="lv-LV"/>
        </w:rPr>
        <w:t>t</w:t>
      </w:r>
      <w:r w:rsidRPr="009179E5">
        <w:rPr>
          <w:rFonts w:ascii="Times New Roman" w:hAnsi="Times New Roman"/>
          <w:sz w:val="28"/>
          <w:szCs w:val="28"/>
          <w:vertAlign w:val="superscript"/>
          <w:lang w:val="lv-LV"/>
        </w:rPr>
        <w:t>pak.EL</w:t>
      </w:r>
      <w:r w:rsidRPr="009179E5">
        <w:rPr>
          <w:rFonts w:ascii="Times New Roman" w:hAnsi="Times New Roman"/>
          <w:sz w:val="28"/>
          <w:szCs w:val="28"/>
          <w:lang w:val="lv-LV"/>
        </w:rPr>
        <w:t xml:space="preserve"> – elektroenerģijas patēriņš pakalpojumu sektorā 2007.gadā un ziņošanas gadā;</w:t>
      </w:r>
    </w:p>
    <w:p w:rsidR="00152347" w:rsidRPr="009179E5" w:rsidRDefault="00152347" w:rsidP="001009B1">
      <w:pPr>
        <w:spacing w:before="120" w:after="120" w:line="240" w:lineRule="auto"/>
        <w:ind w:left="60"/>
        <w:jc w:val="both"/>
        <w:rPr>
          <w:rFonts w:ascii="Times New Roman" w:hAnsi="Times New Roman"/>
          <w:sz w:val="28"/>
          <w:szCs w:val="28"/>
          <w:lang w:val="lv-LV"/>
        </w:rPr>
      </w:pPr>
      <w:r w:rsidRPr="009179E5">
        <w:rPr>
          <w:rFonts w:ascii="Times New Roman" w:hAnsi="Times New Roman"/>
          <w:sz w:val="28"/>
          <w:szCs w:val="28"/>
          <w:lang w:val="lv-LV"/>
        </w:rPr>
        <w:t>darb</w:t>
      </w:r>
      <w:r w:rsidRPr="009179E5">
        <w:rPr>
          <w:rFonts w:ascii="Times New Roman" w:hAnsi="Times New Roman"/>
          <w:sz w:val="28"/>
          <w:szCs w:val="28"/>
          <w:vertAlign w:val="subscript"/>
          <w:lang w:val="lv-LV"/>
        </w:rPr>
        <w:t>2007</w:t>
      </w:r>
      <w:r w:rsidRPr="009179E5">
        <w:rPr>
          <w:rFonts w:ascii="Times New Roman" w:hAnsi="Times New Roman"/>
          <w:sz w:val="28"/>
          <w:szCs w:val="28"/>
          <w:vertAlign w:val="superscript"/>
          <w:lang w:val="lv-LV"/>
        </w:rPr>
        <w:t>pak.</w:t>
      </w:r>
      <w:r w:rsidRPr="009179E5">
        <w:rPr>
          <w:rFonts w:ascii="Times New Roman" w:hAnsi="Times New Roman"/>
          <w:sz w:val="28"/>
          <w:szCs w:val="28"/>
          <w:lang w:val="lv-LV"/>
        </w:rPr>
        <w:t>; darb</w:t>
      </w:r>
      <w:r w:rsidRPr="009179E5">
        <w:rPr>
          <w:rFonts w:ascii="Times New Roman" w:hAnsi="Times New Roman"/>
          <w:sz w:val="28"/>
          <w:szCs w:val="28"/>
          <w:vertAlign w:val="subscript"/>
          <w:lang w:val="lv-LV"/>
        </w:rPr>
        <w:t>t</w:t>
      </w:r>
      <w:r w:rsidRPr="009179E5">
        <w:rPr>
          <w:rFonts w:ascii="Times New Roman" w:hAnsi="Times New Roman"/>
          <w:sz w:val="28"/>
          <w:szCs w:val="28"/>
          <w:vertAlign w:val="superscript"/>
          <w:lang w:val="lv-LV"/>
        </w:rPr>
        <w:t xml:space="preserve">pak. </w:t>
      </w:r>
      <w:r w:rsidRPr="009179E5">
        <w:rPr>
          <w:rFonts w:ascii="Times New Roman" w:hAnsi="Times New Roman"/>
          <w:sz w:val="28"/>
          <w:szCs w:val="28"/>
          <w:lang w:val="lv-LV"/>
        </w:rPr>
        <w:t>– pakalpojumu sektorā pilnas slodzes ekvivalenta strādājošo skaits 2007.gadā un ziņošanas gadā.</w:t>
      </w:r>
    </w:p>
    <w:p w:rsidR="00152347" w:rsidRPr="009179E5" w:rsidRDefault="00664126" w:rsidP="001009B1">
      <w:pPr>
        <w:rPr>
          <w:rFonts w:ascii="Times New Roman" w:hAnsi="Times New Roman"/>
          <w:sz w:val="24"/>
          <w:szCs w:val="24"/>
          <w:lang w:val="lv-LV"/>
        </w:rPr>
      </w:pPr>
      <w:r w:rsidRPr="009179E5">
        <w:rPr>
          <w:rFonts w:ascii="Times New Roman" w:hAnsi="Times New Roman"/>
          <w:noProof/>
          <w:sz w:val="24"/>
          <w:szCs w:val="24"/>
          <w:lang w:val="lv-LV" w:eastAsia="lv-LV"/>
        </w:rPr>
        <w:drawing>
          <wp:inline distT="0" distB="0" distL="0" distR="0">
            <wp:extent cx="5271770" cy="27349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5271770" cy="2734945"/>
                    </a:xfrm>
                    <a:prstGeom prst="rect">
                      <a:avLst/>
                    </a:prstGeom>
                    <a:noFill/>
                    <a:ln w="9525">
                      <a:noFill/>
                      <a:miter lim="800000"/>
                      <a:headEnd/>
                      <a:tailEnd/>
                    </a:ln>
                  </pic:spPr>
                </pic:pic>
              </a:graphicData>
            </a:graphic>
          </wp:inline>
        </w:drawing>
      </w:r>
    </w:p>
    <w:p w:rsidR="00152347" w:rsidRPr="009179E5" w:rsidRDefault="00152347" w:rsidP="00152347">
      <w:pPr>
        <w:rPr>
          <w:rFonts w:ascii="Times New Roman" w:hAnsi="Times New Roman"/>
          <w:b/>
          <w:sz w:val="24"/>
          <w:szCs w:val="24"/>
          <w:lang w:val="lv-LV"/>
        </w:rPr>
      </w:pPr>
      <w:r w:rsidRPr="009179E5">
        <w:rPr>
          <w:rFonts w:ascii="Times New Roman" w:hAnsi="Times New Roman"/>
          <w:b/>
          <w:sz w:val="24"/>
          <w:szCs w:val="24"/>
          <w:lang w:val="lv-LV"/>
        </w:rPr>
        <w:t>11.attēls. Enerģijas ietaupījums pakalpojumu sektorā 2009.gadā</w:t>
      </w:r>
      <w:r w:rsidR="001D3DE0" w:rsidRPr="009179E5">
        <w:rPr>
          <w:rFonts w:ascii="Times New Roman" w:hAnsi="Times New Roman"/>
          <w:b/>
          <w:sz w:val="24"/>
          <w:szCs w:val="24"/>
          <w:lang w:val="lv-LV"/>
        </w:rPr>
        <w:t>, GWh</w:t>
      </w:r>
    </w:p>
    <w:p w:rsidR="00DC672F" w:rsidRPr="009179E5" w:rsidRDefault="00152347" w:rsidP="00152347">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Pamatojoties uz izvēlētiem enerģijas efektivitātes indikatoriem pakalpojumu sektorā un izmantojot aprēķina formulas, tika aprēķināts enerģijas ietaupījums pakalpojumu sektorā 2009.gadā, kas atbilst </w:t>
      </w:r>
      <w:r w:rsidRPr="009179E5">
        <w:rPr>
          <w:rFonts w:ascii="Times New Roman" w:hAnsi="Times New Roman"/>
          <w:b/>
          <w:sz w:val="28"/>
          <w:szCs w:val="28"/>
          <w:lang w:val="lv-LV"/>
        </w:rPr>
        <w:t>970 GWh</w:t>
      </w:r>
      <w:r w:rsidRPr="009179E5">
        <w:rPr>
          <w:rFonts w:ascii="Times New Roman" w:hAnsi="Times New Roman"/>
          <w:sz w:val="28"/>
          <w:szCs w:val="28"/>
          <w:lang w:val="lv-LV"/>
        </w:rPr>
        <w:t>. Pakalpojumu sektorā enerģijas galapatēriņš laikā no 2007. līdz 2009.gadam samazinājies par 16%, attiecīgi no 7961 GWh (28,66 PJ) uz 6686 GWh (24,07 PJ). Šis straujais enerģijas patēriņa samazinājums būtiski ietekmēja izmantotā energoefektivitātes indikatora (enerģijas patēriņš uz vienu pilnas slodzes strādājošo sektorā) vērtību, kas galarezultātā dod lielu enerģijas ietaupījumu pakalpojumu sektorā ziņošanas gadā. Jāatzīmē, ka enerģijas ietaupījumu pakalpojumu sektorā galvenokārt sastāda ietaupījums apkurei, kuru veicināja veiktie enerģijas efektivitātes uzlabošanas pasākumi izglītības, veselības un pašvaldību ēku renovācijas gaitā.</w:t>
      </w:r>
    </w:p>
    <w:p w:rsidR="00DC672F" w:rsidRPr="009179E5" w:rsidRDefault="00BD162A" w:rsidP="0001273E">
      <w:pPr>
        <w:pStyle w:val="Heading4"/>
        <w:numPr>
          <w:ilvl w:val="0"/>
          <w:numId w:val="0"/>
        </w:numPr>
        <w:spacing w:line="240" w:lineRule="auto"/>
        <w:jc w:val="center"/>
        <w:rPr>
          <w:rFonts w:ascii="Times New Roman Bold" w:hAnsi="Times New Roman Bold"/>
          <w:b/>
          <w:i w:val="0"/>
          <w:caps/>
          <w:color w:val="auto"/>
          <w:sz w:val="28"/>
          <w:u w:val="none"/>
          <w:lang w:val="lv-LV"/>
        </w:rPr>
      </w:pPr>
      <w:bookmarkStart w:id="27" w:name="_Toc300320572"/>
      <w:r w:rsidRPr="009179E5">
        <w:rPr>
          <w:rFonts w:ascii="Times New Roman Bold" w:hAnsi="Times New Roman Bold"/>
          <w:b/>
          <w:i w:val="0"/>
          <w:caps/>
          <w:color w:val="auto"/>
          <w:sz w:val="28"/>
          <w:u w:val="none"/>
          <w:lang w:val="lv-LV"/>
        </w:rPr>
        <w:lastRenderedPageBreak/>
        <w:t>3.2.3</w:t>
      </w:r>
      <w:r w:rsidR="000E17C9" w:rsidRPr="009179E5">
        <w:rPr>
          <w:rFonts w:ascii="Times New Roman Bold" w:hAnsi="Times New Roman Bold"/>
          <w:b/>
          <w:i w:val="0"/>
          <w:caps/>
          <w:color w:val="auto"/>
          <w:sz w:val="28"/>
          <w:u w:val="none"/>
          <w:lang w:val="lv-LV"/>
        </w:rPr>
        <w:t>.</w:t>
      </w:r>
      <w:r w:rsidRPr="009179E5">
        <w:rPr>
          <w:rFonts w:ascii="Times New Roman Bold" w:hAnsi="Times New Roman Bold"/>
          <w:b/>
          <w:i w:val="0"/>
          <w:caps/>
          <w:color w:val="auto"/>
          <w:sz w:val="28"/>
          <w:u w:val="none"/>
          <w:lang w:val="lv-LV"/>
        </w:rPr>
        <w:t xml:space="preserve"> </w:t>
      </w:r>
      <w:r w:rsidR="00DC672F" w:rsidRPr="009179E5">
        <w:rPr>
          <w:rFonts w:ascii="Times New Roman Bold" w:hAnsi="Times New Roman Bold"/>
          <w:b/>
          <w:i w:val="0"/>
          <w:caps/>
          <w:color w:val="auto"/>
          <w:sz w:val="28"/>
          <w:u w:val="none"/>
          <w:lang w:val="lv-LV"/>
        </w:rPr>
        <w:t>Transports</w:t>
      </w:r>
      <w:bookmarkEnd w:id="27"/>
    </w:p>
    <w:p w:rsidR="009C73B3" w:rsidRPr="009179E5" w:rsidRDefault="009C73B3" w:rsidP="009C73B3">
      <w:pPr>
        <w:jc w:val="both"/>
        <w:rPr>
          <w:rFonts w:ascii="Times New Roman" w:hAnsi="Times New Roman"/>
          <w:sz w:val="28"/>
          <w:szCs w:val="28"/>
          <w:lang w:val="lv-LV"/>
        </w:rPr>
      </w:pPr>
      <w:r w:rsidRPr="009179E5">
        <w:rPr>
          <w:rFonts w:ascii="Times New Roman" w:hAnsi="Times New Roman"/>
          <w:sz w:val="28"/>
          <w:szCs w:val="28"/>
          <w:lang w:val="lv-LV"/>
        </w:rPr>
        <w:t>Lai aprēķinātu enerģijas ietaupījumu transporta sektorā tika izmantoti sekojoši enerģijas efektivitāti raksturojoši indikatori:</w:t>
      </w:r>
    </w:p>
    <w:p w:rsidR="009C73B3" w:rsidRPr="009179E5" w:rsidRDefault="009C73B3" w:rsidP="009C73B3">
      <w:pPr>
        <w:numPr>
          <w:ilvl w:val="0"/>
          <w:numId w:val="9"/>
        </w:numPr>
        <w:tabs>
          <w:tab w:val="clear" w:pos="720"/>
          <w:tab w:val="num" w:pos="426"/>
        </w:tabs>
        <w:spacing w:after="0" w:line="240" w:lineRule="auto"/>
        <w:ind w:left="709" w:hanging="283"/>
        <w:jc w:val="both"/>
        <w:rPr>
          <w:rFonts w:ascii="Times New Roman" w:hAnsi="Times New Roman"/>
          <w:sz w:val="28"/>
          <w:szCs w:val="28"/>
          <w:lang w:val="lv-LV"/>
        </w:rPr>
      </w:pPr>
      <w:r w:rsidRPr="009179E5">
        <w:rPr>
          <w:rFonts w:ascii="Times New Roman" w:hAnsi="Times New Roman"/>
          <w:sz w:val="28"/>
          <w:szCs w:val="28"/>
          <w:lang w:val="lv-LV"/>
        </w:rPr>
        <w:t>enerģijas patēriņš autotransportā uz vienu nosacīto autotransporta ekvivalenta vienību (toe/aut.</w:t>
      </w:r>
      <w:r w:rsidRPr="009179E5">
        <w:rPr>
          <w:rFonts w:ascii="Times New Roman" w:hAnsi="Times New Roman"/>
          <w:sz w:val="28"/>
          <w:szCs w:val="28"/>
          <w:vertAlign w:val="superscript"/>
          <w:lang w:val="lv-LV"/>
        </w:rPr>
        <w:t>ekv.</w:t>
      </w:r>
      <w:r w:rsidRPr="009179E5">
        <w:rPr>
          <w:rFonts w:ascii="Times New Roman" w:hAnsi="Times New Roman"/>
          <w:sz w:val="28"/>
          <w:szCs w:val="28"/>
          <w:lang w:val="lv-LV"/>
        </w:rPr>
        <w:t>);</w:t>
      </w:r>
    </w:p>
    <w:p w:rsidR="009C73B3" w:rsidRPr="009179E5" w:rsidRDefault="009C73B3" w:rsidP="009C73B3">
      <w:pPr>
        <w:numPr>
          <w:ilvl w:val="0"/>
          <w:numId w:val="9"/>
        </w:numPr>
        <w:tabs>
          <w:tab w:val="clear" w:pos="720"/>
          <w:tab w:val="num" w:pos="426"/>
        </w:tabs>
        <w:ind w:left="709" w:hanging="283"/>
        <w:jc w:val="both"/>
        <w:rPr>
          <w:rFonts w:ascii="Times New Roman" w:hAnsi="Times New Roman"/>
          <w:sz w:val="28"/>
          <w:szCs w:val="28"/>
          <w:lang w:val="lv-LV"/>
        </w:rPr>
      </w:pPr>
      <w:r w:rsidRPr="009179E5">
        <w:rPr>
          <w:rFonts w:ascii="Times New Roman" w:hAnsi="Times New Roman"/>
          <w:sz w:val="28"/>
          <w:szCs w:val="28"/>
          <w:lang w:val="lv-LV"/>
        </w:rPr>
        <w:t>enerģijas patēriņš dzelzceļa transportā uz vienu pārvadāto tonnkilometru (kgoe/tkm).</w:t>
      </w:r>
    </w:p>
    <w:p w:rsidR="009C73B3" w:rsidRPr="009179E5" w:rsidRDefault="009C73B3" w:rsidP="009C73B3">
      <w:pPr>
        <w:jc w:val="both"/>
        <w:rPr>
          <w:rFonts w:ascii="Times New Roman" w:hAnsi="Times New Roman"/>
          <w:sz w:val="28"/>
          <w:szCs w:val="28"/>
          <w:lang w:val="lv-LV"/>
        </w:rPr>
      </w:pPr>
      <w:r w:rsidRPr="009179E5">
        <w:rPr>
          <w:rFonts w:ascii="Times New Roman" w:hAnsi="Times New Roman"/>
          <w:b/>
          <w:sz w:val="28"/>
          <w:szCs w:val="28"/>
          <w:lang w:val="lv-LV"/>
        </w:rPr>
        <w:t>Enerģijas ietaupījumu autotransportā</w:t>
      </w:r>
      <w:r w:rsidRPr="009179E5">
        <w:rPr>
          <w:rFonts w:ascii="Times New Roman" w:hAnsi="Times New Roman"/>
          <w:sz w:val="28"/>
          <w:szCs w:val="28"/>
          <w:lang w:val="lv-LV"/>
        </w:rPr>
        <w:t xml:space="preserve"> aprēķina, izmantojot sekojošu formulu:</w:t>
      </w:r>
    </w:p>
    <w:p w:rsidR="009C73B3" w:rsidRPr="009179E5" w:rsidRDefault="009C73B3" w:rsidP="009C73B3">
      <w:pPr>
        <w:rPr>
          <w:rFonts w:ascii="Times New Roman" w:hAnsi="Times New Roman"/>
          <w:sz w:val="28"/>
          <w:szCs w:val="28"/>
          <w:lang w:val="lv-LV"/>
        </w:rPr>
      </w:pPr>
      <w:r w:rsidRPr="009179E5">
        <w:rPr>
          <w:rFonts w:ascii="Times New Roman" w:hAnsi="Times New Roman"/>
          <w:sz w:val="28"/>
          <w:szCs w:val="28"/>
          <w:lang w:val="lv-LV"/>
        </w:rPr>
        <w:t>E</w:t>
      </w:r>
      <w:r w:rsidRPr="009179E5">
        <w:rPr>
          <w:rFonts w:ascii="Times New Roman" w:hAnsi="Times New Roman"/>
          <w:sz w:val="28"/>
          <w:szCs w:val="28"/>
          <w:vertAlign w:val="superscript"/>
          <w:lang w:val="lv-LV"/>
        </w:rPr>
        <w:t>aut</w:t>
      </w:r>
      <w:r w:rsidRPr="009179E5">
        <w:rPr>
          <w:rFonts w:ascii="Times New Roman" w:hAnsi="Times New Roman"/>
          <w:sz w:val="28"/>
          <w:szCs w:val="28"/>
          <w:vertAlign w:val="subscript"/>
          <w:lang w:val="lv-LV"/>
        </w:rPr>
        <w:t xml:space="preserve">iet. = </w:t>
      </w:r>
      <w:r w:rsidRPr="009179E5">
        <w:rPr>
          <w:rFonts w:ascii="Times New Roman" w:hAnsi="Times New Roman"/>
          <w:position w:val="-32"/>
          <w:sz w:val="28"/>
          <w:szCs w:val="28"/>
          <w:lang w:val="lv-LV"/>
        </w:rPr>
        <w:object w:dxaOrig="2659" w:dyaOrig="760">
          <v:shape id="_x0000_i1030" type="#_x0000_t75" style="width:132pt;height:37.5pt" o:ole="">
            <v:imagedata r:id="rId31" o:title=""/>
          </v:shape>
          <o:OLEObject Type="Embed" ProgID="Equation.3" ShapeID="_x0000_i1030" DrawAspect="Content" ObjectID="_1375274251" r:id="rId32"/>
        </w:object>
      </w:r>
      <w:r w:rsidRPr="009179E5">
        <w:rPr>
          <w:rFonts w:ascii="Times New Roman" w:hAnsi="Times New Roman"/>
          <w:sz w:val="28"/>
          <w:szCs w:val="28"/>
          <w:lang w:val="lv-LV"/>
        </w:rPr>
        <w:t>,</w:t>
      </w:r>
      <w:r w:rsidRPr="009179E5">
        <w:rPr>
          <w:rFonts w:ascii="Times New Roman" w:hAnsi="Times New Roman"/>
          <w:sz w:val="28"/>
          <w:szCs w:val="28"/>
          <w:lang w:val="lv-LV"/>
        </w:rPr>
        <w:tab/>
        <w:t>kur</w:t>
      </w:r>
    </w:p>
    <w:p w:rsidR="009C73B3" w:rsidRPr="009179E5" w:rsidRDefault="009C73B3" w:rsidP="009C73B3">
      <w:pPr>
        <w:ind w:left="60"/>
        <w:jc w:val="both"/>
        <w:rPr>
          <w:rFonts w:ascii="Times New Roman" w:hAnsi="Times New Roman"/>
          <w:sz w:val="28"/>
          <w:szCs w:val="28"/>
          <w:lang w:val="lv-LV"/>
        </w:rPr>
      </w:pPr>
      <w:r w:rsidRPr="009179E5">
        <w:rPr>
          <w:rFonts w:ascii="Times New Roman" w:hAnsi="Times New Roman"/>
          <w:sz w:val="28"/>
          <w:szCs w:val="28"/>
          <w:lang w:val="lv-LV"/>
        </w:rPr>
        <w:t>E</w:t>
      </w:r>
      <w:r w:rsidRPr="009179E5">
        <w:rPr>
          <w:rFonts w:ascii="Times New Roman" w:hAnsi="Times New Roman"/>
          <w:sz w:val="28"/>
          <w:szCs w:val="28"/>
          <w:vertAlign w:val="subscript"/>
          <w:lang w:val="lv-LV"/>
        </w:rPr>
        <w:t>2007</w:t>
      </w:r>
      <w:r w:rsidRPr="009179E5">
        <w:rPr>
          <w:rFonts w:ascii="Times New Roman" w:hAnsi="Times New Roman"/>
          <w:sz w:val="28"/>
          <w:szCs w:val="28"/>
          <w:vertAlign w:val="superscript"/>
          <w:lang w:val="lv-LV"/>
        </w:rPr>
        <w:t>AUT.</w:t>
      </w:r>
      <w:r w:rsidRPr="009179E5">
        <w:rPr>
          <w:rFonts w:ascii="Times New Roman" w:hAnsi="Times New Roman"/>
          <w:sz w:val="28"/>
          <w:szCs w:val="28"/>
          <w:lang w:val="lv-LV"/>
        </w:rPr>
        <w:t>; E</w:t>
      </w:r>
      <w:r w:rsidRPr="009179E5">
        <w:rPr>
          <w:rFonts w:ascii="Times New Roman" w:hAnsi="Times New Roman"/>
          <w:sz w:val="28"/>
          <w:szCs w:val="28"/>
          <w:vertAlign w:val="subscript"/>
          <w:lang w:val="lv-LV"/>
        </w:rPr>
        <w:t>t</w:t>
      </w:r>
      <w:r w:rsidRPr="009179E5">
        <w:rPr>
          <w:rFonts w:ascii="Times New Roman" w:hAnsi="Times New Roman"/>
          <w:sz w:val="28"/>
          <w:szCs w:val="28"/>
          <w:vertAlign w:val="superscript"/>
          <w:lang w:val="lv-LV"/>
        </w:rPr>
        <w:t>AUT.</w:t>
      </w:r>
      <w:r w:rsidRPr="009179E5">
        <w:rPr>
          <w:rFonts w:ascii="Times New Roman" w:hAnsi="Times New Roman"/>
          <w:sz w:val="28"/>
          <w:szCs w:val="28"/>
          <w:lang w:val="lv-LV"/>
        </w:rPr>
        <w:t xml:space="preserve"> – enerģijas patēriņš autotransportā 2007.gadā un ziņošanas gadā;</w:t>
      </w:r>
    </w:p>
    <w:p w:rsidR="009C73B3" w:rsidRPr="009179E5" w:rsidRDefault="009C73B3" w:rsidP="001009B1">
      <w:pPr>
        <w:spacing w:line="240" w:lineRule="auto"/>
        <w:jc w:val="both"/>
        <w:rPr>
          <w:rFonts w:ascii="Times New Roman" w:hAnsi="Times New Roman"/>
          <w:sz w:val="28"/>
          <w:szCs w:val="28"/>
          <w:lang w:val="lv-LV"/>
        </w:rPr>
      </w:pPr>
      <w:r w:rsidRPr="009179E5">
        <w:rPr>
          <w:rFonts w:ascii="Times New Roman" w:hAnsi="Times New Roman"/>
          <w:sz w:val="28"/>
          <w:szCs w:val="28"/>
          <w:lang w:val="lv-LV"/>
        </w:rPr>
        <w:t>Sk</w:t>
      </w:r>
      <w:r w:rsidRPr="009179E5">
        <w:rPr>
          <w:rFonts w:ascii="Times New Roman" w:hAnsi="Times New Roman"/>
          <w:sz w:val="28"/>
          <w:szCs w:val="28"/>
          <w:vertAlign w:val="subscript"/>
          <w:lang w:val="lv-LV"/>
        </w:rPr>
        <w:t>2007</w:t>
      </w:r>
      <w:r w:rsidRPr="009179E5">
        <w:rPr>
          <w:rFonts w:ascii="Times New Roman" w:hAnsi="Times New Roman"/>
          <w:sz w:val="28"/>
          <w:szCs w:val="28"/>
          <w:vertAlign w:val="superscript"/>
          <w:lang w:val="lv-LV"/>
        </w:rPr>
        <w:t>AUT.</w:t>
      </w:r>
      <w:r w:rsidRPr="009179E5">
        <w:rPr>
          <w:rFonts w:ascii="Times New Roman" w:hAnsi="Times New Roman"/>
          <w:sz w:val="28"/>
          <w:szCs w:val="28"/>
          <w:lang w:val="lv-LV"/>
        </w:rPr>
        <w:t>; Sk</w:t>
      </w:r>
      <w:r w:rsidRPr="009179E5">
        <w:rPr>
          <w:rFonts w:ascii="Times New Roman" w:hAnsi="Times New Roman"/>
          <w:sz w:val="28"/>
          <w:szCs w:val="28"/>
          <w:vertAlign w:val="subscript"/>
          <w:lang w:val="lv-LV"/>
        </w:rPr>
        <w:t>t</w:t>
      </w:r>
      <w:r w:rsidRPr="009179E5">
        <w:rPr>
          <w:rFonts w:ascii="Times New Roman" w:hAnsi="Times New Roman"/>
          <w:sz w:val="28"/>
          <w:szCs w:val="28"/>
          <w:vertAlign w:val="superscript"/>
          <w:lang w:val="lv-LV"/>
        </w:rPr>
        <w:t xml:space="preserve">AUT.  </w:t>
      </w:r>
      <w:r w:rsidRPr="009179E5">
        <w:rPr>
          <w:rFonts w:ascii="Times New Roman" w:hAnsi="Times New Roman"/>
          <w:sz w:val="28"/>
          <w:szCs w:val="28"/>
          <w:lang w:val="lv-LV"/>
        </w:rPr>
        <w:t>– autotransporta skaits automašīnu ekvivalentos 2007.gadā un ziņošanas gadā. 1 kravas vai vieglā kravas automašīna = 4 automašīnu ekvivalenti, 1 autobuss = 15 automašīnu ekvivalenti, 1 motocikls = 0,15 automašīnu ekvivalents.</w:t>
      </w:r>
    </w:p>
    <w:p w:rsidR="009C73B3" w:rsidRPr="009179E5" w:rsidRDefault="009C73B3" w:rsidP="009C73B3">
      <w:pPr>
        <w:jc w:val="both"/>
        <w:rPr>
          <w:rFonts w:ascii="Times New Roman" w:hAnsi="Times New Roman"/>
          <w:sz w:val="28"/>
          <w:szCs w:val="28"/>
          <w:lang w:val="lv-LV"/>
        </w:rPr>
      </w:pPr>
      <w:r w:rsidRPr="009179E5">
        <w:rPr>
          <w:rFonts w:ascii="Times New Roman" w:hAnsi="Times New Roman"/>
          <w:b/>
          <w:sz w:val="28"/>
          <w:szCs w:val="28"/>
          <w:lang w:val="lv-LV"/>
        </w:rPr>
        <w:t>Enerģijas ietaupījumu dzelzceļa transportā</w:t>
      </w:r>
      <w:r w:rsidRPr="009179E5">
        <w:rPr>
          <w:rFonts w:ascii="Times New Roman" w:hAnsi="Times New Roman"/>
          <w:sz w:val="28"/>
          <w:szCs w:val="28"/>
          <w:lang w:val="lv-LV"/>
        </w:rPr>
        <w:t xml:space="preserve"> aprēķina, izmantojot sekojošu formulu:</w:t>
      </w:r>
    </w:p>
    <w:p w:rsidR="009C73B3" w:rsidRPr="009179E5" w:rsidRDefault="009C73B3" w:rsidP="009C73B3">
      <w:pPr>
        <w:rPr>
          <w:rFonts w:ascii="Times New Roman" w:hAnsi="Times New Roman"/>
          <w:sz w:val="28"/>
          <w:szCs w:val="28"/>
          <w:lang w:val="lv-LV"/>
        </w:rPr>
      </w:pPr>
      <w:r w:rsidRPr="009179E5">
        <w:rPr>
          <w:rFonts w:ascii="Times New Roman" w:hAnsi="Times New Roman"/>
          <w:sz w:val="28"/>
          <w:szCs w:val="28"/>
          <w:lang w:val="lv-LV"/>
        </w:rPr>
        <w:t>E</w:t>
      </w:r>
      <w:r w:rsidRPr="009179E5">
        <w:rPr>
          <w:rFonts w:ascii="Times New Roman" w:hAnsi="Times New Roman"/>
          <w:sz w:val="28"/>
          <w:szCs w:val="28"/>
          <w:vertAlign w:val="superscript"/>
          <w:lang w:val="lv-LV"/>
        </w:rPr>
        <w:t>dz.</w:t>
      </w:r>
      <w:r w:rsidRPr="009179E5">
        <w:rPr>
          <w:rFonts w:ascii="Times New Roman" w:hAnsi="Times New Roman"/>
          <w:sz w:val="28"/>
          <w:szCs w:val="28"/>
          <w:vertAlign w:val="subscript"/>
          <w:lang w:val="lv-LV"/>
        </w:rPr>
        <w:t xml:space="preserve">iet. </w:t>
      </w:r>
      <w:r w:rsidRPr="009179E5">
        <w:rPr>
          <w:rFonts w:ascii="Times New Roman" w:hAnsi="Times New Roman"/>
          <w:sz w:val="28"/>
          <w:szCs w:val="28"/>
          <w:lang w:val="lv-LV"/>
        </w:rPr>
        <w:t>=</w:t>
      </w:r>
      <w:r w:rsidRPr="009179E5">
        <w:rPr>
          <w:rFonts w:ascii="Times New Roman" w:hAnsi="Times New Roman"/>
          <w:position w:val="-32"/>
          <w:sz w:val="28"/>
          <w:szCs w:val="28"/>
          <w:lang w:val="lv-LV"/>
        </w:rPr>
        <w:object w:dxaOrig="2580" w:dyaOrig="760">
          <v:shape id="_x0000_i1031" type="#_x0000_t75" style="width:129pt;height:37.5pt" o:ole="">
            <v:imagedata r:id="rId33" o:title=""/>
          </v:shape>
          <o:OLEObject Type="Embed" ProgID="Equation.3" ShapeID="_x0000_i1031" DrawAspect="Content" ObjectID="_1375274252" r:id="rId34"/>
        </w:object>
      </w:r>
      <w:r w:rsidRPr="009179E5">
        <w:rPr>
          <w:rFonts w:ascii="Times New Roman" w:hAnsi="Times New Roman"/>
          <w:sz w:val="28"/>
          <w:szCs w:val="28"/>
          <w:lang w:val="lv-LV"/>
        </w:rPr>
        <w:t>,</w:t>
      </w:r>
      <w:r w:rsidRPr="009179E5">
        <w:rPr>
          <w:rFonts w:ascii="Times New Roman" w:hAnsi="Times New Roman"/>
          <w:sz w:val="28"/>
          <w:szCs w:val="28"/>
          <w:lang w:val="lv-LV"/>
        </w:rPr>
        <w:tab/>
        <w:t>kur</w:t>
      </w:r>
    </w:p>
    <w:p w:rsidR="009C73B3" w:rsidRPr="009179E5" w:rsidRDefault="009C73B3" w:rsidP="009C73B3">
      <w:pPr>
        <w:jc w:val="both"/>
        <w:rPr>
          <w:rFonts w:ascii="Times New Roman" w:hAnsi="Times New Roman"/>
          <w:sz w:val="28"/>
          <w:szCs w:val="28"/>
          <w:lang w:val="lv-LV"/>
        </w:rPr>
      </w:pPr>
      <w:r w:rsidRPr="009179E5">
        <w:rPr>
          <w:rFonts w:ascii="Times New Roman" w:hAnsi="Times New Roman"/>
          <w:sz w:val="28"/>
          <w:szCs w:val="28"/>
          <w:lang w:val="lv-LV"/>
        </w:rPr>
        <w:t>E</w:t>
      </w:r>
      <w:r w:rsidRPr="009179E5">
        <w:rPr>
          <w:rFonts w:ascii="Times New Roman" w:hAnsi="Times New Roman"/>
          <w:sz w:val="28"/>
          <w:szCs w:val="28"/>
          <w:vertAlign w:val="subscript"/>
          <w:lang w:val="lv-LV"/>
        </w:rPr>
        <w:t>2007</w:t>
      </w:r>
      <w:r w:rsidRPr="009179E5">
        <w:rPr>
          <w:rFonts w:ascii="Times New Roman" w:hAnsi="Times New Roman"/>
          <w:sz w:val="28"/>
          <w:szCs w:val="28"/>
          <w:vertAlign w:val="superscript"/>
          <w:lang w:val="lv-LV"/>
        </w:rPr>
        <w:t>Dz.</w:t>
      </w:r>
      <w:r w:rsidRPr="009179E5">
        <w:rPr>
          <w:rFonts w:ascii="Times New Roman" w:hAnsi="Times New Roman"/>
          <w:sz w:val="28"/>
          <w:szCs w:val="28"/>
          <w:lang w:val="lv-LV"/>
        </w:rPr>
        <w:t>; E</w:t>
      </w:r>
      <w:r w:rsidRPr="009179E5">
        <w:rPr>
          <w:rFonts w:ascii="Times New Roman" w:hAnsi="Times New Roman"/>
          <w:sz w:val="28"/>
          <w:szCs w:val="28"/>
          <w:vertAlign w:val="subscript"/>
          <w:lang w:val="lv-LV"/>
        </w:rPr>
        <w:t>t</w:t>
      </w:r>
      <w:r w:rsidRPr="009179E5">
        <w:rPr>
          <w:rFonts w:ascii="Times New Roman" w:hAnsi="Times New Roman"/>
          <w:sz w:val="28"/>
          <w:szCs w:val="28"/>
          <w:vertAlign w:val="superscript"/>
          <w:lang w:val="lv-LV"/>
        </w:rPr>
        <w:t>Dz.</w:t>
      </w:r>
      <w:r w:rsidRPr="009179E5">
        <w:rPr>
          <w:rFonts w:ascii="Times New Roman" w:hAnsi="Times New Roman"/>
          <w:sz w:val="28"/>
          <w:szCs w:val="28"/>
          <w:lang w:val="lv-LV"/>
        </w:rPr>
        <w:t xml:space="preserve"> – enerģijas patēriņš dzelzceļa transportā 2007.gadā un ziņošanas gadā;</w:t>
      </w:r>
    </w:p>
    <w:p w:rsidR="009C73B3" w:rsidRPr="009179E5" w:rsidRDefault="009C73B3" w:rsidP="009C73B3">
      <w:pPr>
        <w:jc w:val="both"/>
        <w:rPr>
          <w:rFonts w:ascii="Times New Roman" w:hAnsi="Times New Roman"/>
          <w:sz w:val="28"/>
          <w:szCs w:val="28"/>
          <w:lang w:val="lv-LV"/>
        </w:rPr>
      </w:pPr>
      <w:r w:rsidRPr="009179E5">
        <w:rPr>
          <w:rFonts w:ascii="Times New Roman" w:hAnsi="Times New Roman"/>
          <w:sz w:val="28"/>
          <w:szCs w:val="28"/>
          <w:lang w:val="lv-LV"/>
        </w:rPr>
        <w:t>Kr</w:t>
      </w:r>
      <w:r w:rsidRPr="009179E5">
        <w:rPr>
          <w:rFonts w:ascii="Times New Roman" w:hAnsi="Times New Roman"/>
          <w:sz w:val="28"/>
          <w:szCs w:val="28"/>
          <w:vertAlign w:val="subscript"/>
          <w:lang w:val="lv-LV"/>
        </w:rPr>
        <w:t>2007</w:t>
      </w:r>
      <w:r w:rsidRPr="009179E5">
        <w:rPr>
          <w:rFonts w:ascii="Times New Roman" w:hAnsi="Times New Roman"/>
          <w:sz w:val="28"/>
          <w:szCs w:val="28"/>
          <w:vertAlign w:val="superscript"/>
          <w:lang w:val="lv-LV"/>
        </w:rPr>
        <w:t>Dz.</w:t>
      </w:r>
      <w:r w:rsidRPr="009179E5">
        <w:rPr>
          <w:rFonts w:ascii="Times New Roman" w:hAnsi="Times New Roman"/>
          <w:sz w:val="28"/>
          <w:szCs w:val="28"/>
          <w:lang w:val="lv-LV"/>
        </w:rPr>
        <w:t>; Kr</w:t>
      </w:r>
      <w:r w:rsidRPr="009179E5">
        <w:rPr>
          <w:rFonts w:ascii="Times New Roman" w:hAnsi="Times New Roman"/>
          <w:sz w:val="28"/>
          <w:szCs w:val="28"/>
          <w:vertAlign w:val="subscript"/>
          <w:lang w:val="lv-LV"/>
        </w:rPr>
        <w:t>t</w:t>
      </w:r>
      <w:r w:rsidRPr="009179E5">
        <w:rPr>
          <w:rFonts w:ascii="Times New Roman" w:hAnsi="Times New Roman"/>
          <w:sz w:val="28"/>
          <w:szCs w:val="28"/>
          <w:vertAlign w:val="superscript"/>
          <w:lang w:val="lv-LV"/>
        </w:rPr>
        <w:t>Dz.</w:t>
      </w:r>
      <w:r w:rsidRPr="009179E5">
        <w:rPr>
          <w:rFonts w:ascii="Times New Roman" w:hAnsi="Times New Roman"/>
          <w:sz w:val="28"/>
          <w:szCs w:val="28"/>
          <w:lang w:val="lv-LV"/>
        </w:rPr>
        <w:t xml:space="preserve"> – kravas pārvadājumu apjoms (tkm) 2007.gadā un ziņošanas gadā. </w:t>
      </w:r>
    </w:p>
    <w:p w:rsidR="009C73B3" w:rsidRPr="009179E5" w:rsidRDefault="00664126" w:rsidP="009C73B3">
      <w:pPr>
        <w:rPr>
          <w:rFonts w:ascii="Times New Roman" w:hAnsi="Times New Roman"/>
          <w:sz w:val="28"/>
          <w:szCs w:val="28"/>
          <w:lang w:val="lv-LV"/>
        </w:rPr>
      </w:pPr>
      <w:r w:rsidRPr="009179E5">
        <w:rPr>
          <w:rFonts w:ascii="Times New Roman" w:hAnsi="Times New Roman"/>
          <w:noProof/>
          <w:sz w:val="28"/>
          <w:szCs w:val="28"/>
          <w:lang w:val="lv-LV" w:eastAsia="lv-LV"/>
        </w:rPr>
        <w:lastRenderedPageBreak/>
        <w:drawing>
          <wp:inline distT="0" distB="0" distL="0" distR="0">
            <wp:extent cx="5271770" cy="27349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srcRect/>
                    <a:stretch>
                      <a:fillRect/>
                    </a:stretch>
                  </pic:blipFill>
                  <pic:spPr bwMode="auto">
                    <a:xfrm>
                      <a:off x="0" y="0"/>
                      <a:ext cx="5271770" cy="2734945"/>
                    </a:xfrm>
                    <a:prstGeom prst="rect">
                      <a:avLst/>
                    </a:prstGeom>
                    <a:noFill/>
                    <a:ln w="9525">
                      <a:noFill/>
                      <a:miter lim="800000"/>
                      <a:headEnd/>
                      <a:tailEnd/>
                    </a:ln>
                  </pic:spPr>
                </pic:pic>
              </a:graphicData>
            </a:graphic>
          </wp:inline>
        </w:drawing>
      </w:r>
    </w:p>
    <w:p w:rsidR="009C73B3" w:rsidRPr="009179E5" w:rsidRDefault="009C73B3" w:rsidP="009C73B3">
      <w:pPr>
        <w:rPr>
          <w:rFonts w:ascii="Times New Roman" w:hAnsi="Times New Roman"/>
          <w:b/>
          <w:sz w:val="24"/>
          <w:szCs w:val="24"/>
          <w:lang w:val="lv-LV"/>
        </w:rPr>
      </w:pPr>
      <w:r w:rsidRPr="009179E5">
        <w:rPr>
          <w:rFonts w:ascii="Times New Roman" w:hAnsi="Times New Roman"/>
          <w:b/>
          <w:sz w:val="24"/>
          <w:szCs w:val="24"/>
          <w:lang w:val="lv-LV"/>
        </w:rPr>
        <w:t>12.attēls. Enerģijas ietaupījums transporta sektorā 2009.gadā</w:t>
      </w:r>
      <w:r w:rsidR="001D3DE0" w:rsidRPr="009179E5">
        <w:rPr>
          <w:rFonts w:ascii="Times New Roman" w:hAnsi="Times New Roman"/>
          <w:b/>
          <w:sz w:val="24"/>
          <w:szCs w:val="24"/>
          <w:lang w:val="lv-LV"/>
        </w:rPr>
        <w:t>, GWh</w:t>
      </w:r>
    </w:p>
    <w:p w:rsidR="009C73B3" w:rsidRPr="009179E5" w:rsidRDefault="009C73B3" w:rsidP="001009B1">
      <w:pPr>
        <w:spacing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Izmantojot izvēlētos enerģijas efektivitātes indikatorus transporta sektorā un pielietojot aprēķina formulas, tika aprēķināts enerģijas ietaupījums transporta sektorā 2009.gadā, kas atbilst </w:t>
      </w:r>
      <w:r w:rsidRPr="009179E5">
        <w:rPr>
          <w:rFonts w:ascii="Times New Roman" w:hAnsi="Times New Roman"/>
          <w:b/>
          <w:sz w:val="28"/>
          <w:szCs w:val="28"/>
          <w:lang w:val="lv-LV"/>
        </w:rPr>
        <w:t>2680 GWh</w:t>
      </w:r>
      <w:r w:rsidRPr="009179E5">
        <w:rPr>
          <w:rFonts w:ascii="Times New Roman" w:hAnsi="Times New Roman"/>
          <w:sz w:val="28"/>
          <w:szCs w:val="28"/>
          <w:lang w:val="lv-LV"/>
        </w:rPr>
        <w:t>.</w:t>
      </w:r>
    </w:p>
    <w:p w:rsidR="009C73B3" w:rsidRPr="009179E5" w:rsidRDefault="009C73B3" w:rsidP="001009B1">
      <w:pPr>
        <w:spacing w:line="240" w:lineRule="auto"/>
        <w:jc w:val="both"/>
        <w:rPr>
          <w:rFonts w:ascii="Times New Roman" w:hAnsi="Times New Roman"/>
          <w:sz w:val="28"/>
          <w:szCs w:val="28"/>
          <w:lang w:val="lv-LV"/>
        </w:rPr>
      </w:pPr>
      <w:r w:rsidRPr="009179E5">
        <w:rPr>
          <w:rFonts w:ascii="Times New Roman" w:hAnsi="Times New Roman"/>
          <w:sz w:val="28"/>
          <w:szCs w:val="28"/>
          <w:lang w:val="lv-LV"/>
        </w:rPr>
        <w:t>CSP dati parāda, ka triju gadu laikā no 2007.gada līdz 2009.gadam enerģijas galapatēriņš transporta sektorā ir strauji samazinājies no 15508 GWh (55,83 PJ) līdz 11900 GWh (42,84 PJ) attiecīgi un noslīdējis uz 2004.gada līmeni. Visstraujāk patēriņš ir samazinājies tieši autotransportā, ko ietekmēja ekonomiskā krīze un degvielas cenu pieaugums. Degvielas patēriņa straujais samazinājums bija viens no galvenajiem faktoriem, kas sekmēja enerģijas ietaupījumu šajā sektorā, to novērtējot ar lejupvērsto metodi.</w:t>
      </w:r>
      <w:r w:rsidRPr="009179E5">
        <w:rPr>
          <w:rFonts w:ascii="Arial" w:hAnsi="Arial" w:cs="Arial"/>
          <w:sz w:val="24"/>
          <w:szCs w:val="24"/>
          <w:lang w:val="lv-LV"/>
        </w:rPr>
        <w:t xml:space="preserve"> </w:t>
      </w:r>
      <w:r w:rsidRPr="009179E5">
        <w:rPr>
          <w:rFonts w:ascii="Times New Roman" w:hAnsi="Times New Roman"/>
          <w:sz w:val="28"/>
          <w:szCs w:val="28"/>
          <w:lang w:val="lv-LV"/>
        </w:rPr>
        <w:t>Izmantojot ODYSSEE datu bāzi</w:t>
      </w:r>
      <w:r w:rsidR="00DB6BF2">
        <w:rPr>
          <w:rFonts w:ascii="Times New Roman" w:hAnsi="Times New Roman"/>
          <w:sz w:val="28"/>
          <w:szCs w:val="28"/>
          <w:lang w:val="lv-LV"/>
        </w:rPr>
        <w:t xml:space="preserve"> (Eiropas valstu energoefektivitātes datu bāze: www.odyssee-indicators.org)</w:t>
      </w:r>
      <w:r w:rsidRPr="009179E5">
        <w:rPr>
          <w:rFonts w:ascii="Times New Roman" w:hAnsi="Times New Roman"/>
          <w:sz w:val="28"/>
          <w:szCs w:val="28"/>
          <w:lang w:val="lv-LV"/>
        </w:rPr>
        <w:t xml:space="preserve"> un ODEX indikatoru metodoloģiju, tika veikta detalizētāka autotransporta enerģijas patēriņa izmaiņu ietekmējošo faktoru izpēte. Tā parādīja, ka kravas transporta darbības optimizācija un izmantoto tehnoloģiju uzlabošana ir galvenais iemesls enerģijas ietaupījumam autotransporta sektorā.</w:t>
      </w:r>
    </w:p>
    <w:p w:rsidR="00DC672F" w:rsidRPr="009179E5" w:rsidRDefault="009C73B3" w:rsidP="009C73B3">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Izstrādājot PERP par pamatu tika ņemts enerģijas ietaupījums 2000.-2005.gadā un prognozētie ekonomiskā izaugsmes rādītāji, kā arī plānotie energoefektivitātes paaugstināšanas pasākumi transportā.</w:t>
      </w:r>
    </w:p>
    <w:p w:rsidR="001009B1" w:rsidRPr="009179E5" w:rsidRDefault="001009B1" w:rsidP="001009B1">
      <w:pPr>
        <w:spacing w:before="120" w:after="120" w:line="240" w:lineRule="auto"/>
        <w:jc w:val="both"/>
        <w:rPr>
          <w:rFonts w:ascii="Times New Roman" w:hAnsi="Times New Roman"/>
          <w:sz w:val="28"/>
          <w:szCs w:val="24"/>
          <w:lang w:val="lv-LV"/>
        </w:rPr>
      </w:pPr>
    </w:p>
    <w:p w:rsidR="00DC672F" w:rsidRPr="009179E5" w:rsidRDefault="0029014A" w:rsidP="0001273E">
      <w:pPr>
        <w:pStyle w:val="Heading4"/>
        <w:numPr>
          <w:ilvl w:val="0"/>
          <w:numId w:val="0"/>
        </w:numPr>
        <w:spacing w:line="240" w:lineRule="auto"/>
        <w:ind w:hanging="13"/>
        <w:jc w:val="center"/>
        <w:rPr>
          <w:rFonts w:ascii="Times New Roman Bold" w:hAnsi="Times New Roman Bold"/>
          <w:b/>
          <w:i w:val="0"/>
          <w:caps/>
          <w:color w:val="auto"/>
          <w:sz w:val="28"/>
          <w:u w:val="none"/>
          <w:lang w:val="lv-LV"/>
        </w:rPr>
      </w:pPr>
      <w:bookmarkStart w:id="28" w:name="_Toc300320573"/>
      <w:r w:rsidRPr="009179E5">
        <w:rPr>
          <w:rFonts w:ascii="Times New Roman Bold" w:hAnsi="Times New Roman Bold"/>
          <w:b/>
          <w:i w:val="0"/>
          <w:caps/>
          <w:color w:val="auto"/>
          <w:sz w:val="28"/>
          <w:u w:val="none"/>
          <w:lang w:val="lv-LV"/>
        </w:rPr>
        <w:t>3.2.4</w:t>
      </w:r>
      <w:r w:rsidR="000E17C9" w:rsidRPr="009179E5">
        <w:rPr>
          <w:rFonts w:ascii="Times New Roman Bold" w:hAnsi="Times New Roman Bold"/>
          <w:b/>
          <w:i w:val="0"/>
          <w:caps/>
          <w:color w:val="auto"/>
          <w:sz w:val="28"/>
          <w:u w:val="none"/>
          <w:lang w:val="lv-LV"/>
        </w:rPr>
        <w:t>.</w:t>
      </w:r>
      <w:r w:rsidRPr="009179E5">
        <w:rPr>
          <w:rFonts w:ascii="Times New Roman Bold" w:hAnsi="Times New Roman Bold"/>
          <w:b/>
          <w:i w:val="0"/>
          <w:caps/>
          <w:color w:val="auto"/>
          <w:sz w:val="28"/>
          <w:u w:val="none"/>
          <w:lang w:val="lv-LV"/>
        </w:rPr>
        <w:t xml:space="preserve"> </w:t>
      </w:r>
      <w:r w:rsidR="00DC672F" w:rsidRPr="009179E5">
        <w:rPr>
          <w:rFonts w:ascii="Times New Roman Bold" w:hAnsi="Times New Roman Bold"/>
          <w:b/>
          <w:i w:val="0"/>
          <w:caps/>
          <w:color w:val="auto"/>
          <w:sz w:val="28"/>
          <w:u w:val="none"/>
          <w:lang w:val="lv-LV"/>
        </w:rPr>
        <w:t>Rūpniecība</w:t>
      </w:r>
      <w:bookmarkEnd w:id="28"/>
    </w:p>
    <w:p w:rsidR="004B72AB" w:rsidRPr="009179E5" w:rsidRDefault="004B72AB" w:rsidP="004B72AB">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Par pamatu enerģijas ietaupījuma aprēķināšanai rūpniecības nozarēs tiek izmantotas sekojoša enerģijas efektivitātes indikatora izmaiņas:</w:t>
      </w:r>
    </w:p>
    <w:p w:rsidR="004B72AB" w:rsidRPr="009179E5" w:rsidRDefault="004B72AB" w:rsidP="004B72AB">
      <w:pPr>
        <w:numPr>
          <w:ilvl w:val="0"/>
          <w:numId w:val="8"/>
        </w:numPr>
        <w:tabs>
          <w:tab w:val="clear" w:pos="720"/>
          <w:tab w:val="num" w:pos="426"/>
        </w:tabs>
        <w:spacing w:before="120" w:after="120" w:line="240" w:lineRule="auto"/>
        <w:ind w:left="709" w:hanging="283"/>
        <w:jc w:val="both"/>
        <w:rPr>
          <w:rFonts w:ascii="Times New Roman" w:hAnsi="Times New Roman"/>
          <w:sz w:val="28"/>
          <w:szCs w:val="28"/>
          <w:lang w:val="lv-LV"/>
        </w:rPr>
      </w:pPr>
      <w:r w:rsidRPr="009179E5">
        <w:rPr>
          <w:rFonts w:ascii="Times New Roman" w:hAnsi="Times New Roman"/>
          <w:sz w:val="28"/>
          <w:szCs w:val="28"/>
          <w:lang w:val="lv-LV"/>
        </w:rPr>
        <w:lastRenderedPageBreak/>
        <w:t>enerģijas patēriņš gadā uz vienu rūpniecības produkcijas apjoma indeksa vienību (toe/indekss).</w:t>
      </w:r>
    </w:p>
    <w:p w:rsidR="004B72AB" w:rsidRPr="009179E5" w:rsidRDefault="004B72AB" w:rsidP="004B72AB">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Kopējo enerģijas ietaupījumu rūpniecībā aprēķina, summējot enerģijas ietaupījumu atsevišķās rūpniecības nozarēs. Nosakot enerģijas patēriņu atsevišķās nozarēs, tas tiek koriģēts, ņemot vērā nozares uzņēmumu darbību ES Emisiju tirdzniecības sistēmā.</w:t>
      </w:r>
    </w:p>
    <w:p w:rsidR="004B72AB" w:rsidRPr="009179E5" w:rsidRDefault="004B72AB" w:rsidP="004B72AB">
      <w:pPr>
        <w:spacing w:before="120" w:after="120" w:line="240" w:lineRule="auto"/>
        <w:jc w:val="both"/>
        <w:rPr>
          <w:rFonts w:ascii="Times New Roman" w:hAnsi="Times New Roman"/>
          <w:sz w:val="28"/>
          <w:szCs w:val="28"/>
          <w:lang w:val="lv-LV"/>
        </w:rPr>
      </w:pPr>
      <w:r w:rsidRPr="009179E5">
        <w:rPr>
          <w:rFonts w:ascii="Times New Roman" w:hAnsi="Times New Roman"/>
          <w:b/>
          <w:sz w:val="28"/>
          <w:szCs w:val="28"/>
          <w:lang w:val="lv-LV"/>
        </w:rPr>
        <w:t>Enerģijas ietaupījumu rūpniecības</w:t>
      </w:r>
      <w:r w:rsidRPr="009179E5">
        <w:rPr>
          <w:rFonts w:ascii="Times New Roman" w:hAnsi="Times New Roman"/>
          <w:sz w:val="28"/>
          <w:szCs w:val="28"/>
          <w:lang w:val="lv-LV"/>
        </w:rPr>
        <w:t xml:space="preserve"> sektora atsevišķā nozarē aprēķina sekojoši:</w:t>
      </w:r>
    </w:p>
    <w:p w:rsidR="004B72AB" w:rsidRPr="009179E5" w:rsidRDefault="004B72AB" w:rsidP="004B72AB">
      <w:pPr>
        <w:spacing w:before="120" w:after="120" w:line="240" w:lineRule="auto"/>
        <w:jc w:val="both"/>
        <w:rPr>
          <w:rStyle w:val="Emphasis"/>
          <w:rFonts w:ascii="Times New Roman" w:eastAsia="Calibri" w:hAnsi="Times New Roman"/>
          <w:i w:val="0"/>
          <w:iCs w:val="0"/>
          <w:sz w:val="28"/>
          <w:szCs w:val="28"/>
          <w:lang w:val="lv-LV"/>
        </w:rPr>
      </w:pPr>
      <w:r w:rsidRPr="009179E5">
        <w:rPr>
          <w:rFonts w:ascii="Times New Roman" w:hAnsi="Times New Roman"/>
          <w:i/>
          <w:iCs/>
          <w:sz w:val="28"/>
          <w:szCs w:val="28"/>
          <w:lang w:val="lv-LV"/>
        </w:rPr>
        <w:t xml:space="preserve">E </w:t>
      </w:r>
      <w:r w:rsidRPr="009179E5">
        <w:rPr>
          <w:rFonts w:ascii="Times New Roman" w:hAnsi="Times New Roman"/>
          <w:i/>
          <w:iCs/>
          <w:sz w:val="28"/>
          <w:szCs w:val="28"/>
          <w:vertAlign w:val="superscript"/>
          <w:lang w:val="lv-LV"/>
        </w:rPr>
        <w:t>R.k.</w:t>
      </w:r>
      <w:r w:rsidRPr="009179E5">
        <w:rPr>
          <w:rFonts w:ascii="Times New Roman" w:hAnsi="Times New Roman"/>
          <w:i/>
          <w:iCs/>
          <w:sz w:val="28"/>
          <w:szCs w:val="28"/>
          <w:vertAlign w:val="subscript"/>
          <w:lang w:val="lv-LV"/>
        </w:rPr>
        <w:t>iet.</w:t>
      </w:r>
      <w:r w:rsidRPr="009179E5">
        <w:rPr>
          <w:rFonts w:ascii="Times New Roman" w:hAnsi="Times New Roman"/>
          <w:i/>
          <w:iCs/>
          <w:sz w:val="28"/>
          <w:szCs w:val="28"/>
          <w:lang w:val="lv-LV"/>
        </w:rPr>
        <w:t xml:space="preserve"> = </w:t>
      </w:r>
      <w:r w:rsidRPr="009179E5">
        <w:rPr>
          <w:rFonts w:ascii="Times New Roman" w:hAnsi="Times New Roman"/>
          <w:position w:val="-34"/>
          <w:sz w:val="28"/>
          <w:szCs w:val="28"/>
          <w:lang w:val="lv-LV"/>
        </w:rPr>
        <w:object w:dxaOrig="3540" w:dyaOrig="800">
          <v:shape id="_x0000_i1032" type="#_x0000_t75" style="width:177pt;height:40.5pt" o:ole="">
            <v:imagedata r:id="rId36" o:title=""/>
          </v:shape>
          <o:OLEObject Type="Embed" ProgID="Equation.3" ShapeID="_x0000_i1032" DrawAspect="Content" ObjectID="_1375274253" r:id="rId37"/>
        </w:object>
      </w:r>
      <w:r w:rsidRPr="009179E5">
        <w:rPr>
          <w:rFonts w:ascii="Times New Roman" w:hAnsi="Times New Roman"/>
          <w:i/>
          <w:iCs/>
          <w:sz w:val="28"/>
          <w:szCs w:val="28"/>
          <w:lang w:val="lv-LV"/>
        </w:rPr>
        <w:t xml:space="preserve">, </w:t>
      </w:r>
      <w:r w:rsidRPr="009179E5">
        <w:rPr>
          <w:rStyle w:val="Emphasis"/>
          <w:rFonts w:ascii="Times New Roman" w:eastAsia="Calibri" w:hAnsi="Times New Roman"/>
          <w:i w:val="0"/>
          <w:sz w:val="28"/>
          <w:szCs w:val="28"/>
          <w:lang w:val="lv-LV"/>
        </w:rPr>
        <w:t>kur</w:t>
      </w:r>
    </w:p>
    <w:p w:rsidR="004B72AB" w:rsidRPr="009179E5" w:rsidRDefault="004B72AB" w:rsidP="004B72AB">
      <w:pPr>
        <w:spacing w:before="120" w:after="120" w:line="240" w:lineRule="auto"/>
        <w:jc w:val="both"/>
        <w:rPr>
          <w:rStyle w:val="Emphasis"/>
          <w:rFonts w:ascii="Times New Roman" w:eastAsia="Calibri" w:hAnsi="Times New Roman"/>
          <w:i w:val="0"/>
          <w:sz w:val="28"/>
          <w:szCs w:val="28"/>
          <w:lang w:val="lv-LV"/>
        </w:rPr>
      </w:pPr>
      <w:r w:rsidRPr="009179E5">
        <w:rPr>
          <w:rStyle w:val="Emphasis"/>
          <w:rFonts w:ascii="Times New Roman" w:eastAsia="Calibri" w:hAnsi="Times New Roman"/>
          <w:i w:val="0"/>
          <w:sz w:val="28"/>
          <w:szCs w:val="28"/>
          <w:lang w:val="lv-LV"/>
        </w:rPr>
        <w:t>E</w:t>
      </w:r>
      <w:r w:rsidRPr="009179E5">
        <w:rPr>
          <w:rStyle w:val="Emphasis"/>
          <w:rFonts w:ascii="Times New Roman" w:eastAsia="Calibri" w:hAnsi="Times New Roman"/>
          <w:i w:val="0"/>
          <w:sz w:val="28"/>
          <w:szCs w:val="28"/>
          <w:vertAlign w:val="subscript"/>
          <w:lang w:val="lv-LV"/>
        </w:rPr>
        <w:t>2007</w:t>
      </w:r>
      <w:r w:rsidRPr="009179E5">
        <w:rPr>
          <w:rStyle w:val="Emphasis"/>
          <w:rFonts w:ascii="Times New Roman" w:eastAsia="Calibri" w:hAnsi="Times New Roman"/>
          <w:i w:val="0"/>
          <w:sz w:val="28"/>
          <w:szCs w:val="28"/>
          <w:vertAlign w:val="superscript"/>
          <w:lang w:val="lv-LV"/>
        </w:rPr>
        <w:t>Rk</w:t>
      </w:r>
      <w:r w:rsidRPr="009179E5">
        <w:rPr>
          <w:rStyle w:val="Emphasis"/>
          <w:rFonts w:ascii="Times New Roman" w:eastAsia="Calibri" w:hAnsi="Times New Roman"/>
          <w:i w:val="0"/>
          <w:sz w:val="28"/>
          <w:szCs w:val="28"/>
          <w:lang w:val="lv-LV"/>
        </w:rPr>
        <w:t>; E</w:t>
      </w:r>
      <w:r w:rsidRPr="009179E5">
        <w:rPr>
          <w:rStyle w:val="Emphasis"/>
          <w:rFonts w:ascii="Times New Roman" w:eastAsia="Calibri" w:hAnsi="Times New Roman"/>
          <w:i w:val="0"/>
          <w:sz w:val="28"/>
          <w:szCs w:val="28"/>
          <w:vertAlign w:val="subscript"/>
          <w:lang w:val="lv-LV"/>
        </w:rPr>
        <w:t>t</w:t>
      </w:r>
      <w:r w:rsidRPr="009179E5">
        <w:rPr>
          <w:rStyle w:val="Emphasis"/>
          <w:rFonts w:ascii="Times New Roman" w:eastAsia="Calibri" w:hAnsi="Times New Roman"/>
          <w:i w:val="0"/>
          <w:sz w:val="28"/>
          <w:szCs w:val="28"/>
          <w:vertAlign w:val="superscript"/>
          <w:lang w:val="lv-LV"/>
        </w:rPr>
        <w:t>Rk</w:t>
      </w:r>
      <w:r w:rsidRPr="009179E5">
        <w:rPr>
          <w:rStyle w:val="Emphasis"/>
          <w:rFonts w:ascii="Times New Roman" w:eastAsia="Calibri" w:hAnsi="Times New Roman"/>
          <w:i w:val="0"/>
          <w:sz w:val="28"/>
          <w:szCs w:val="28"/>
          <w:lang w:val="lv-LV"/>
        </w:rPr>
        <w:t xml:space="preserve"> – enerģijas patēriņš k-tajā rūpniecības nozarē 2007.gadā un ziņošanas gadā;</w:t>
      </w:r>
    </w:p>
    <w:p w:rsidR="004B72AB" w:rsidRPr="009179E5" w:rsidRDefault="004B72AB" w:rsidP="004B72AB">
      <w:pPr>
        <w:spacing w:before="120" w:after="120" w:line="240" w:lineRule="auto"/>
        <w:jc w:val="both"/>
        <w:rPr>
          <w:rStyle w:val="Emphasis"/>
          <w:rFonts w:ascii="Times New Roman" w:eastAsia="Calibri" w:hAnsi="Times New Roman"/>
          <w:i w:val="0"/>
          <w:sz w:val="28"/>
          <w:szCs w:val="28"/>
          <w:lang w:val="lv-LV"/>
        </w:rPr>
      </w:pPr>
      <w:r w:rsidRPr="009179E5">
        <w:rPr>
          <w:rStyle w:val="Emphasis"/>
          <w:rFonts w:ascii="Times New Roman" w:eastAsia="Calibri" w:hAnsi="Times New Roman"/>
          <w:i w:val="0"/>
          <w:sz w:val="28"/>
          <w:szCs w:val="28"/>
          <w:lang w:val="lv-LV"/>
        </w:rPr>
        <w:t>In</w:t>
      </w:r>
      <w:r w:rsidRPr="009179E5">
        <w:rPr>
          <w:rStyle w:val="Emphasis"/>
          <w:rFonts w:ascii="Times New Roman" w:eastAsia="Calibri" w:hAnsi="Times New Roman"/>
          <w:i w:val="0"/>
          <w:sz w:val="28"/>
          <w:szCs w:val="28"/>
          <w:vertAlign w:val="subscript"/>
          <w:lang w:val="lv-LV"/>
        </w:rPr>
        <w:t>2007</w:t>
      </w:r>
      <w:r w:rsidRPr="009179E5">
        <w:rPr>
          <w:rStyle w:val="Emphasis"/>
          <w:rFonts w:ascii="Times New Roman" w:eastAsia="Calibri" w:hAnsi="Times New Roman"/>
          <w:i w:val="0"/>
          <w:sz w:val="28"/>
          <w:szCs w:val="28"/>
          <w:vertAlign w:val="superscript"/>
          <w:lang w:val="lv-LV"/>
        </w:rPr>
        <w:t>Raž.k</w:t>
      </w:r>
      <w:r w:rsidRPr="009179E5">
        <w:rPr>
          <w:rStyle w:val="Emphasis"/>
          <w:rFonts w:ascii="Times New Roman" w:eastAsia="Calibri" w:hAnsi="Times New Roman"/>
          <w:i w:val="0"/>
          <w:sz w:val="28"/>
          <w:szCs w:val="28"/>
          <w:lang w:val="lv-LV"/>
        </w:rPr>
        <w:t>; In</w:t>
      </w:r>
      <w:r w:rsidRPr="009179E5">
        <w:rPr>
          <w:rStyle w:val="Emphasis"/>
          <w:rFonts w:ascii="Times New Roman" w:eastAsia="Calibri" w:hAnsi="Times New Roman"/>
          <w:i w:val="0"/>
          <w:sz w:val="28"/>
          <w:szCs w:val="28"/>
          <w:vertAlign w:val="subscript"/>
          <w:lang w:val="lv-LV"/>
        </w:rPr>
        <w:t>t</w:t>
      </w:r>
      <w:r w:rsidRPr="009179E5">
        <w:rPr>
          <w:rStyle w:val="Emphasis"/>
          <w:rFonts w:ascii="Times New Roman" w:eastAsia="Calibri" w:hAnsi="Times New Roman"/>
          <w:i w:val="0"/>
          <w:sz w:val="28"/>
          <w:szCs w:val="28"/>
          <w:vertAlign w:val="superscript"/>
          <w:lang w:val="lv-LV"/>
        </w:rPr>
        <w:t>Raž.k</w:t>
      </w:r>
      <w:r w:rsidRPr="009179E5">
        <w:rPr>
          <w:rStyle w:val="Emphasis"/>
          <w:rFonts w:ascii="Times New Roman" w:eastAsia="Calibri" w:hAnsi="Times New Roman"/>
          <w:i w:val="0"/>
          <w:sz w:val="28"/>
          <w:szCs w:val="28"/>
          <w:lang w:val="lv-LV"/>
        </w:rPr>
        <w:t xml:space="preserve"> – </w:t>
      </w:r>
      <w:r w:rsidRPr="009179E5">
        <w:rPr>
          <w:rFonts w:ascii="Times New Roman" w:hAnsi="Times New Roman"/>
          <w:sz w:val="28"/>
          <w:szCs w:val="28"/>
          <w:lang w:val="lv-LV"/>
        </w:rPr>
        <w:t>rūpniecības produkcijas apjoma indekss</w:t>
      </w:r>
      <w:r w:rsidRPr="009179E5">
        <w:rPr>
          <w:rStyle w:val="Emphasis"/>
          <w:rFonts w:ascii="Times New Roman" w:eastAsia="Calibri" w:hAnsi="Times New Roman"/>
          <w:i w:val="0"/>
          <w:sz w:val="28"/>
          <w:szCs w:val="28"/>
          <w:lang w:val="lv-LV"/>
        </w:rPr>
        <w:t xml:space="preserve"> k-tajā rūpniecības nozarē 2007.gadā un ziņošanas gadā;</w:t>
      </w:r>
    </w:p>
    <w:p w:rsidR="004B72AB" w:rsidRPr="009179E5" w:rsidRDefault="004B72AB" w:rsidP="001009B1">
      <w:pPr>
        <w:spacing w:before="120" w:after="120" w:line="240" w:lineRule="auto"/>
        <w:jc w:val="both"/>
        <w:rPr>
          <w:rFonts w:ascii="Times New Roman" w:hAnsi="Times New Roman"/>
          <w:sz w:val="28"/>
          <w:szCs w:val="28"/>
          <w:lang w:val="lv-LV"/>
        </w:rPr>
      </w:pPr>
      <w:r w:rsidRPr="009179E5">
        <w:rPr>
          <w:rStyle w:val="Emphasis"/>
          <w:rFonts w:ascii="Times New Roman" w:eastAsia="Calibri" w:hAnsi="Times New Roman"/>
          <w:i w:val="0"/>
          <w:sz w:val="28"/>
          <w:szCs w:val="28"/>
          <w:lang w:val="lv-LV"/>
        </w:rPr>
        <w:t>K</w:t>
      </w:r>
      <w:r w:rsidRPr="009179E5">
        <w:rPr>
          <w:rStyle w:val="Emphasis"/>
          <w:rFonts w:ascii="Times New Roman" w:eastAsia="Calibri" w:hAnsi="Times New Roman"/>
          <w:i w:val="0"/>
          <w:sz w:val="28"/>
          <w:szCs w:val="28"/>
          <w:vertAlign w:val="superscript"/>
          <w:lang w:val="lv-LV"/>
        </w:rPr>
        <w:t>k</w:t>
      </w:r>
      <w:r w:rsidRPr="009179E5">
        <w:rPr>
          <w:rStyle w:val="Emphasis"/>
          <w:rFonts w:ascii="Times New Roman" w:eastAsia="Calibri" w:hAnsi="Times New Roman"/>
          <w:i w:val="0"/>
          <w:sz w:val="28"/>
          <w:szCs w:val="28"/>
          <w:vertAlign w:val="subscript"/>
          <w:lang w:val="lv-LV"/>
        </w:rPr>
        <w:t>2007</w:t>
      </w:r>
      <w:r w:rsidRPr="009179E5">
        <w:rPr>
          <w:rStyle w:val="Emphasis"/>
          <w:rFonts w:ascii="Times New Roman" w:eastAsia="Calibri" w:hAnsi="Times New Roman"/>
          <w:i w:val="0"/>
          <w:sz w:val="28"/>
          <w:szCs w:val="28"/>
          <w:lang w:val="lv-LV"/>
        </w:rPr>
        <w:t xml:space="preserve"> – enerģijas patēriņa daļa k-tajā rūpniecības nozarē 2007.gadā, kas atbilst </w:t>
      </w:r>
      <w:r w:rsidRPr="009179E5">
        <w:rPr>
          <w:rFonts w:ascii="Times New Roman" w:hAnsi="Times New Roman"/>
          <w:sz w:val="28"/>
          <w:szCs w:val="28"/>
          <w:lang w:val="lv-LV"/>
        </w:rPr>
        <w:t>Direktīvas 2006/32/EK nosacījumiem.</w:t>
      </w:r>
    </w:p>
    <w:p w:rsidR="004C5A76" w:rsidRPr="009179E5" w:rsidRDefault="004C5A76" w:rsidP="004B72AB">
      <w:pPr>
        <w:spacing w:before="120" w:after="120" w:line="240" w:lineRule="auto"/>
        <w:rPr>
          <w:rFonts w:ascii="Times New Roman" w:hAnsi="Times New Roman"/>
          <w:b/>
          <w:sz w:val="28"/>
          <w:szCs w:val="28"/>
          <w:lang w:val="lv-LV"/>
        </w:rPr>
      </w:pPr>
      <w:r w:rsidRPr="009179E5">
        <w:rPr>
          <w:noProof/>
          <w:szCs w:val="28"/>
          <w:lang w:val="lv-LV" w:eastAsia="lv-LV"/>
        </w:rPr>
        <w:drawing>
          <wp:inline distT="0" distB="0" distL="0" distR="0">
            <wp:extent cx="5273675" cy="2732405"/>
            <wp:effectExtent l="0" t="0" r="0" b="0"/>
            <wp:docPr id="3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srcRect/>
                    <a:stretch>
                      <a:fillRect/>
                    </a:stretch>
                  </pic:blipFill>
                  <pic:spPr bwMode="auto">
                    <a:xfrm>
                      <a:off x="0" y="0"/>
                      <a:ext cx="5273675" cy="2732405"/>
                    </a:xfrm>
                    <a:prstGeom prst="rect">
                      <a:avLst/>
                    </a:prstGeom>
                    <a:noFill/>
                    <a:ln w="9525">
                      <a:noFill/>
                      <a:miter lim="800000"/>
                      <a:headEnd/>
                      <a:tailEnd/>
                    </a:ln>
                  </pic:spPr>
                </pic:pic>
              </a:graphicData>
            </a:graphic>
          </wp:inline>
        </w:drawing>
      </w:r>
    </w:p>
    <w:p w:rsidR="004B72AB" w:rsidRPr="009179E5" w:rsidRDefault="004B72AB" w:rsidP="004B72AB">
      <w:pPr>
        <w:spacing w:before="120" w:after="120" w:line="240" w:lineRule="auto"/>
        <w:jc w:val="both"/>
        <w:rPr>
          <w:rFonts w:ascii="Times New Roman" w:hAnsi="Times New Roman"/>
          <w:b/>
          <w:sz w:val="24"/>
          <w:szCs w:val="24"/>
          <w:lang w:val="lv-LV"/>
        </w:rPr>
      </w:pPr>
      <w:r w:rsidRPr="009179E5">
        <w:rPr>
          <w:rFonts w:ascii="Times New Roman" w:hAnsi="Times New Roman"/>
          <w:b/>
          <w:sz w:val="24"/>
          <w:szCs w:val="24"/>
          <w:lang w:val="lv-LV"/>
        </w:rPr>
        <w:t>13.attēls. Rūpniecības nozares enerģijas efektivitāti raksturojošā indikatora izmaiņas 2007.-2009.gadā</w:t>
      </w:r>
    </w:p>
    <w:p w:rsidR="004B72AB" w:rsidRPr="009179E5" w:rsidRDefault="004B72AB" w:rsidP="004B72AB">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Kā redzams no 13.attēla, ekonomiskā krīze, kas skāra Latviju, ir pārsvarā negatīvi iespaidojusi enerģijas efektivitātes rādītājus rūpniecības nozarēs. Visvairāk indikators ir pasliktinājies kokapstrādes nozarei. Daudzās nozarēs indikators ir palicis nemainīgs vai uzlabojies, piemēram, pārtikas nozarē, mašīnu iekārtu ražošanas nozarē, metālu ražošanā un vieglā rūpniecībā. </w:t>
      </w:r>
    </w:p>
    <w:p w:rsidR="004B72AB" w:rsidRPr="009179E5" w:rsidRDefault="004B72AB" w:rsidP="004B72AB">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Ņemot vērā kokapstrādes rūpniecības lielo īpatsvaru kopējā rūpniecības enerģijas patēriņā, enerģijas ietaupījums rūpniecībā, summējot nozaru ietaupījumus parādās ar negatīvu zīmi </w:t>
      </w:r>
      <w:r w:rsidRPr="009179E5">
        <w:rPr>
          <w:rFonts w:ascii="Times New Roman" w:hAnsi="Times New Roman"/>
          <w:b/>
          <w:sz w:val="28"/>
          <w:szCs w:val="28"/>
          <w:lang w:val="lv-LV"/>
        </w:rPr>
        <w:t>-889 GWh</w:t>
      </w:r>
      <w:r w:rsidRPr="009179E5">
        <w:rPr>
          <w:rFonts w:ascii="Times New Roman" w:hAnsi="Times New Roman"/>
          <w:sz w:val="28"/>
          <w:szCs w:val="28"/>
          <w:lang w:val="lv-LV"/>
        </w:rPr>
        <w:t xml:space="preserve">.  </w:t>
      </w:r>
    </w:p>
    <w:p w:rsidR="004B72AB" w:rsidRPr="009179E5" w:rsidRDefault="004C5A76" w:rsidP="004B72AB">
      <w:pPr>
        <w:spacing w:before="120" w:after="120" w:line="240" w:lineRule="auto"/>
        <w:rPr>
          <w:rFonts w:ascii="Times New Roman" w:hAnsi="Times New Roman"/>
          <w:sz w:val="28"/>
          <w:szCs w:val="28"/>
          <w:lang w:val="lv-LV"/>
        </w:rPr>
      </w:pPr>
      <w:r w:rsidRPr="009179E5">
        <w:rPr>
          <w:rFonts w:ascii="Times New Roman" w:hAnsi="Times New Roman"/>
          <w:noProof/>
          <w:sz w:val="28"/>
          <w:szCs w:val="28"/>
          <w:lang w:val="lv-LV" w:eastAsia="lv-LV"/>
        </w:rPr>
        <w:lastRenderedPageBreak/>
        <w:drawing>
          <wp:inline distT="0" distB="0" distL="0" distR="0">
            <wp:extent cx="5273675" cy="3348990"/>
            <wp:effectExtent l="0" t="0" r="0" b="0"/>
            <wp:docPr id="3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srcRect/>
                    <a:stretch>
                      <a:fillRect/>
                    </a:stretch>
                  </pic:blipFill>
                  <pic:spPr bwMode="auto">
                    <a:xfrm>
                      <a:off x="0" y="0"/>
                      <a:ext cx="5273675" cy="3348990"/>
                    </a:xfrm>
                    <a:prstGeom prst="rect">
                      <a:avLst/>
                    </a:prstGeom>
                    <a:noFill/>
                    <a:ln w="9525">
                      <a:noFill/>
                      <a:miter lim="800000"/>
                      <a:headEnd/>
                      <a:tailEnd/>
                    </a:ln>
                  </pic:spPr>
                </pic:pic>
              </a:graphicData>
            </a:graphic>
          </wp:inline>
        </w:drawing>
      </w:r>
    </w:p>
    <w:p w:rsidR="004B72AB" w:rsidRPr="009179E5" w:rsidRDefault="004B72AB" w:rsidP="001009B1">
      <w:pPr>
        <w:spacing w:before="120" w:after="0" w:line="240" w:lineRule="auto"/>
        <w:rPr>
          <w:rFonts w:ascii="Times New Roman" w:hAnsi="Times New Roman"/>
          <w:b/>
          <w:sz w:val="24"/>
          <w:szCs w:val="24"/>
          <w:lang w:val="lv-LV"/>
        </w:rPr>
      </w:pPr>
      <w:r w:rsidRPr="009179E5">
        <w:rPr>
          <w:rFonts w:ascii="Times New Roman" w:hAnsi="Times New Roman"/>
          <w:b/>
          <w:sz w:val="24"/>
          <w:szCs w:val="24"/>
          <w:lang w:val="lv-LV"/>
        </w:rPr>
        <w:t>14.attēls. Enerģijas ietaupījums rūpniecībā 2009.gadā</w:t>
      </w:r>
      <w:r w:rsidR="001D3DE0" w:rsidRPr="009179E5">
        <w:rPr>
          <w:rFonts w:ascii="Times New Roman" w:hAnsi="Times New Roman"/>
          <w:b/>
          <w:sz w:val="24"/>
          <w:szCs w:val="24"/>
          <w:lang w:val="lv-LV"/>
        </w:rPr>
        <w:t>, GWh</w:t>
      </w:r>
    </w:p>
    <w:p w:rsidR="001009B1" w:rsidRPr="009179E5" w:rsidRDefault="001009B1" w:rsidP="001009B1">
      <w:pPr>
        <w:spacing w:before="120" w:after="120" w:line="240" w:lineRule="auto"/>
        <w:rPr>
          <w:rFonts w:ascii="Times New Roman" w:hAnsi="Times New Roman"/>
          <w:b/>
          <w:sz w:val="28"/>
          <w:szCs w:val="24"/>
          <w:lang w:val="lv-LV"/>
        </w:rPr>
      </w:pPr>
    </w:p>
    <w:p w:rsidR="00DC672F" w:rsidRPr="009179E5" w:rsidRDefault="00665D6A" w:rsidP="001009B1">
      <w:pPr>
        <w:pStyle w:val="Heading4"/>
        <w:numPr>
          <w:ilvl w:val="0"/>
          <w:numId w:val="0"/>
        </w:numPr>
        <w:spacing w:line="240" w:lineRule="auto"/>
        <w:jc w:val="center"/>
        <w:rPr>
          <w:rFonts w:ascii="Times New Roman" w:hAnsi="Times New Roman"/>
          <w:sz w:val="24"/>
          <w:szCs w:val="24"/>
          <w:lang w:val="lv-LV"/>
        </w:rPr>
      </w:pPr>
      <w:bookmarkStart w:id="29" w:name="_Toc300320574"/>
      <w:r w:rsidRPr="009179E5">
        <w:rPr>
          <w:rFonts w:ascii="Times New Roman Bold" w:hAnsi="Times New Roman Bold"/>
          <w:b/>
          <w:i w:val="0"/>
          <w:caps/>
          <w:color w:val="auto"/>
          <w:sz w:val="28"/>
          <w:u w:val="none"/>
          <w:lang w:val="lv-LV"/>
        </w:rPr>
        <w:t>3.3</w:t>
      </w:r>
      <w:r w:rsidR="00F05BF3" w:rsidRPr="009179E5">
        <w:rPr>
          <w:rFonts w:ascii="Times New Roman Bold" w:hAnsi="Times New Roman Bold"/>
          <w:b/>
          <w:i w:val="0"/>
          <w:caps/>
          <w:color w:val="auto"/>
          <w:sz w:val="28"/>
          <w:u w:val="none"/>
          <w:lang w:val="lv-LV"/>
        </w:rPr>
        <w:t>.</w:t>
      </w:r>
      <w:r w:rsidRPr="009179E5">
        <w:rPr>
          <w:rFonts w:ascii="Times New Roman Bold" w:hAnsi="Times New Roman Bold"/>
          <w:b/>
          <w:i w:val="0"/>
          <w:caps/>
          <w:color w:val="auto"/>
          <w:sz w:val="28"/>
          <w:u w:val="none"/>
          <w:lang w:val="lv-LV"/>
        </w:rPr>
        <w:t xml:space="preserve"> </w:t>
      </w:r>
      <w:r w:rsidR="00D926E4" w:rsidRPr="009179E5">
        <w:rPr>
          <w:rFonts w:ascii="Times New Roman Bold" w:hAnsi="Times New Roman Bold"/>
          <w:b/>
          <w:i w:val="0"/>
          <w:caps/>
          <w:color w:val="auto"/>
          <w:sz w:val="28"/>
          <w:u w:val="none"/>
          <w:lang w:val="lv-LV"/>
        </w:rPr>
        <w:t>sasniegto un plānoto enerģijas ietaupījumu kopsavilkuma tabulas</w:t>
      </w:r>
      <w:bookmarkEnd w:id="29"/>
    </w:p>
    <w:p w:rsidR="00E4538F" w:rsidRPr="009179E5" w:rsidRDefault="00E4538F" w:rsidP="00E4538F">
      <w:pPr>
        <w:shd w:val="clear" w:color="auto" w:fill="FFFFFF"/>
        <w:spacing w:before="120" w:after="120" w:line="240" w:lineRule="auto"/>
        <w:jc w:val="both"/>
        <w:rPr>
          <w:rFonts w:ascii="Times New Roman" w:hAnsi="Times New Roman"/>
          <w:sz w:val="24"/>
          <w:szCs w:val="24"/>
          <w:lang w:val="lv-LV"/>
        </w:rPr>
      </w:pPr>
      <w:r w:rsidRPr="009179E5">
        <w:rPr>
          <w:rFonts w:ascii="Times New Roman" w:hAnsi="Times New Roman"/>
          <w:sz w:val="28"/>
          <w:szCs w:val="28"/>
          <w:lang w:val="lv-LV"/>
        </w:rPr>
        <w:t>Sasniegtie enerģijas galapatēriņa ietaupījumi apkopoti 5.tabulā. Aprēķini rāda, ka saskaņā ar Eiropas Parlamenta un Padomes 2006.gada 5.aprīļa Direktīvas 2006/32/EK par enerģijas galapatēriņa efektivitāti un energoefektivitātes pakalpojumiem</w:t>
      </w:r>
      <w:r w:rsidRPr="009179E5" w:rsidDel="00BE578E">
        <w:rPr>
          <w:rFonts w:ascii="Times New Roman" w:hAnsi="Times New Roman"/>
          <w:sz w:val="28"/>
          <w:szCs w:val="28"/>
          <w:lang w:val="lv-LV"/>
        </w:rPr>
        <w:t xml:space="preserve"> </w:t>
      </w:r>
      <w:r w:rsidRPr="009179E5">
        <w:rPr>
          <w:rFonts w:ascii="Times New Roman" w:hAnsi="Times New Roman"/>
          <w:sz w:val="28"/>
          <w:szCs w:val="28"/>
          <w:lang w:val="lv-LV"/>
        </w:rPr>
        <w:t xml:space="preserve">I pielikumu, kurā bija jāizmanto dati par gala enerģijas patēriņu piecu gadu posmu no 2000.gada līdz 2004.gadam, aprēķinātais valsts indikatīvais enerģijas ietaupījumu mērķis nav bijis pietiekami </w:t>
      </w:r>
      <w:r w:rsidR="001914CA" w:rsidRPr="009179E5">
        <w:rPr>
          <w:rFonts w:ascii="Times New Roman" w:hAnsi="Times New Roman"/>
          <w:sz w:val="28"/>
          <w:szCs w:val="28"/>
          <w:lang w:val="lv-LV"/>
        </w:rPr>
        <w:t xml:space="preserve">ambiciozs </w:t>
      </w:r>
      <w:r w:rsidRPr="009179E5">
        <w:rPr>
          <w:rFonts w:ascii="Times New Roman" w:hAnsi="Times New Roman"/>
          <w:sz w:val="28"/>
          <w:szCs w:val="28"/>
          <w:lang w:val="lv-LV"/>
        </w:rPr>
        <w:t>un tā sasniegšanu būtiski ietekmējusi ekonomiskā krīze.</w:t>
      </w:r>
    </w:p>
    <w:p w:rsidR="00DC672F" w:rsidRPr="009179E5" w:rsidRDefault="003925DF" w:rsidP="0002392C">
      <w:pPr>
        <w:pStyle w:val="Caption"/>
        <w:keepNext/>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t>5</w:t>
      </w:r>
      <w:r w:rsidR="00DC672F" w:rsidRPr="009179E5">
        <w:rPr>
          <w:rFonts w:ascii="Times New Roman" w:hAnsi="Times New Roman"/>
          <w:sz w:val="24"/>
          <w:szCs w:val="24"/>
          <w:lang w:val="lv-LV"/>
        </w:rPr>
        <w:t xml:space="preserve">.tabula </w:t>
      </w:r>
    </w:p>
    <w:p w:rsidR="00DC672F" w:rsidRPr="009179E5" w:rsidRDefault="00EC4A61" w:rsidP="0002392C">
      <w:pPr>
        <w:pStyle w:val="Caption"/>
        <w:keepNext/>
        <w:spacing w:after="0" w:line="240" w:lineRule="auto"/>
        <w:jc w:val="center"/>
        <w:rPr>
          <w:rFonts w:ascii="Times New Roman" w:hAnsi="Times New Roman"/>
          <w:sz w:val="24"/>
          <w:szCs w:val="24"/>
          <w:lang w:val="lv-LV"/>
        </w:rPr>
      </w:pPr>
      <w:r w:rsidRPr="009179E5">
        <w:rPr>
          <w:rFonts w:ascii="Times New Roman" w:hAnsi="Times New Roman"/>
          <w:sz w:val="24"/>
          <w:szCs w:val="24"/>
          <w:lang w:val="lv-LV"/>
        </w:rPr>
        <w:t>Pirmā energoefektivitātes rīcības plāna e</w:t>
      </w:r>
      <w:r w:rsidR="00DC672F" w:rsidRPr="009179E5">
        <w:rPr>
          <w:rFonts w:ascii="Times New Roman" w:hAnsi="Times New Roman"/>
          <w:sz w:val="24"/>
          <w:szCs w:val="24"/>
          <w:lang w:val="lv-LV"/>
        </w:rPr>
        <w:t>nerģijas ietaupījumu gala patēriņā kopsavilkuma tabula</w:t>
      </w:r>
      <w:r w:rsidR="001F6FB9" w:rsidRPr="009179E5">
        <w:rPr>
          <w:rFonts w:ascii="Times New Roman" w:hAnsi="Times New Roman"/>
          <w:sz w:val="24"/>
          <w:szCs w:val="24"/>
          <w:lang w:val="lv-LV"/>
        </w:rPr>
        <w:t xml:space="preserve"> 2010.</w:t>
      </w:r>
      <w:r w:rsidR="0002392C" w:rsidRPr="009179E5">
        <w:rPr>
          <w:rFonts w:ascii="Times New Roman" w:hAnsi="Times New Roman"/>
          <w:sz w:val="24"/>
          <w:szCs w:val="24"/>
          <w:lang w:val="lv-LV"/>
        </w:rPr>
        <w:t>,</w:t>
      </w:r>
      <w:r w:rsidR="001F6FB9" w:rsidRPr="009179E5">
        <w:rPr>
          <w:rFonts w:ascii="Times New Roman" w:hAnsi="Times New Roman"/>
          <w:sz w:val="24"/>
          <w:szCs w:val="24"/>
          <w:lang w:val="lv-LV"/>
        </w:rPr>
        <w:t xml:space="preserve"> 2016.</w:t>
      </w:r>
      <w:r w:rsidR="0002392C" w:rsidRPr="009179E5">
        <w:rPr>
          <w:rFonts w:ascii="Times New Roman" w:hAnsi="Times New Roman"/>
          <w:sz w:val="24"/>
          <w:szCs w:val="24"/>
          <w:lang w:val="lv-LV"/>
        </w:rPr>
        <w:t xml:space="preserve"> un 2020.</w:t>
      </w:r>
      <w:r w:rsidR="001F6FB9" w:rsidRPr="009179E5">
        <w:rPr>
          <w:rFonts w:ascii="Times New Roman" w:hAnsi="Times New Roman"/>
          <w:sz w:val="24"/>
          <w:szCs w:val="24"/>
          <w:lang w:val="lv-LV"/>
        </w:rPr>
        <w:t>gadā</w:t>
      </w:r>
    </w:p>
    <w:tbl>
      <w:tblPr>
        <w:tblW w:w="8829" w:type="dxa"/>
        <w:jc w:val="center"/>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47"/>
        <w:gridCol w:w="1403"/>
        <w:gridCol w:w="1437"/>
        <w:gridCol w:w="1471"/>
        <w:gridCol w:w="1471"/>
      </w:tblGrid>
      <w:tr w:rsidR="0002392C" w:rsidRPr="009179E5" w:rsidTr="00530997">
        <w:trPr>
          <w:jc w:val="center"/>
        </w:trPr>
        <w:tc>
          <w:tcPr>
            <w:tcW w:w="3047" w:type="dxa"/>
          </w:tcPr>
          <w:p w:rsidR="0002392C" w:rsidRPr="009179E5" w:rsidRDefault="0002392C" w:rsidP="00530997">
            <w:pPr>
              <w:pStyle w:val="Tabletext"/>
              <w:keepNext/>
              <w:keepLines/>
              <w:spacing w:before="0" w:after="0" w:line="240" w:lineRule="auto"/>
              <w:rPr>
                <w:rFonts w:ascii="Times New Roman" w:hAnsi="Times New Roman"/>
                <w:b/>
                <w:sz w:val="24"/>
                <w:szCs w:val="24"/>
                <w:lang w:val="lv-LV"/>
              </w:rPr>
            </w:pPr>
            <w:r w:rsidRPr="009179E5">
              <w:rPr>
                <w:rFonts w:ascii="Times New Roman" w:hAnsi="Times New Roman"/>
                <w:b/>
                <w:sz w:val="24"/>
                <w:szCs w:val="24"/>
                <w:lang w:val="lv-LV"/>
              </w:rPr>
              <w:t>Sektors</w:t>
            </w:r>
          </w:p>
        </w:tc>
        <w:tc>
          <w:tcPr>
            <w:tcW w:w="1403" w:type="dxa"/>
          </w:tcPr>
          <w:p w:rsidR="0002392C" w:rsidRPr="009179E5" w:rsidRDefault="0002392C" w:rsidP="00530997">
            <w:pPr>
              <w:pStyle w:val="Tabletext"/>
              <w:keepNext/>
              <w:keepLines/>
              <w:spacing w:before="0" w:after="0" w:line="240" w:lineRule="auto"/>
              <w:jc w:val="left"/>
              <w:rPr>
                <w:rFonts w:ascii="Times New Roman" w:hAnsi="Times New Roman"/>
                <w:b/>
                <w:sz w:val="24"/>
                <w:szCs w:val="24"/>
                <w:lang w:val="lv-LV"/>
              </w:rPr>
            </w:pPr>
            <w:r w:rsidRPr="009179E5">
              <w:rPr>
                <w:rFonts w:ascii="Times New Roman" w:hAnsi="Times New Roman"/>
                <w:b/>
                <w:sz w:val="24"/>
                <w:szCs w:val="24"/>
                <w:lang w:val="lv-LV"/>
              </w:rPr>
              <w:t xml:space="preserve">Aprēķina metodika </w:t>
            </w:r>
          </w:p>
        </w:tc>
        <w:tc>
          <w:tcPr>
            <w:tcW w:w="1437" w:type="dxa"/>
          </w:tcPr>
          <w:p w:rsidR="0002392C" w:rsidRPr="009179E5" w:rsidRDefault="0002392C" w:rsidP="00530997">
            <w:pPr>
              <w:pStyle w:val="Tabletext"/>
              <w:keepNext/>
              <w:keepLines/>
              <w:spacing w:before="0" w:after="0" w:line="240" w:lineRule="auto"/>
              <w:jc w:val="left"/>
              <w:rPr>
                <w:rFonts w:ascii="Times New Roman" w:hAnsi="Times New Roman"/>
                <w:b/>
                <w:sz w:val="24"/>
                <w:szCs w:val="24"/>
                <w:lang w:val="lv-LV"/>
              </w:rPr>
            </w:pPr>
            <w:r w:rsidRPr="009179E5">
              <w:rPr>
                <w:rFonts w:ascii="Times New Roman" w:hAnsi="Times New Roman"/>
                <w:b/>
                <w:sz w:val="24"/>
                <w:szCs w:val="24"/>
                <w:lang w:val="lv-LV"/>
              </w:rPr>
              <w:t>Sasniegtie enerģijas ietaupījumi 2010 (GWh)</w:t>
            </w:r>
            <w:r w:rsidR="00530997" w:rsidRPr="009179E5">
              <w:rPr>
                <w:rFonts w:ascii="Times New Roman" w:hAnsi="Times New Roman"/>
                <w:b/>
                <w:sz w:val="24"/>
                <w:szCs w:val="24"/>
                <w:lang w:val="lv-LV"/>
              </w:rPr>
              <w:t>*</w:t>
            </w:r>
          </w:p>
        </w:tc>
        <w:tc>
          <w:tcPr>
            <w:tcW w:w="1471" w:type="dxa"/>
          </w:tcPr>
          <w:p w:rsidR="0002392C" w:rsidRPr="009179E5" w:rsidRDefault="0002392C" w:rsidP="00530997">
            <w:pPr>
              <w:pStyle w:val="Tabletext"/>
              <w:keepNext/>
              <w:keepLines/>
              <w:spacing w:before="0" w:after="0" w:line="240" w:lineRule="auto"/>
              <w:jc w:val="left"/>
              <w:rPr>
                <w:rFonts w:ascii="Times New Roman" w:hAnsi="Times New Roman"/>
                <w:b/>
                <w:sz w:val="24"/>
                <w:szCs w:val="24"/>
                <w:lang w:val="lv-LV"/>
              </w:rPr>
            </w:pPr>
            <w:r w:rsidRPr="009179E5">
              <w:rPr>
                <w:rFonts w:ascii="Times New Roman" w:hAnsi="Times New Roman"/>
                <w:b/>
                <w:sz w:val="24"/>
                <w:szCs w:val="24"/>
                <w:lang w:val="lv-LV"/>
              </w:rPr>
              <w:t>Plānotie enerģijas ietaupījumi 2016 (GWh)</w:t>
            </w:r>
            <w:r w:rsidR="00530997" w:rsidRPr="009179E5">
              <w:rPr>
                <w:rFonts w:ascii="Times New Roman" w:hAnsi="Times New Roman"/>
                <w:b/>
                <w:sz w:val="24"/>
                <w:szCs w:val="24"/>
                <w:lang w:val="lv-LV"/>
              </w:rPr>
              <w:t>**</w:t>
            </w:r>
          </w:p>
        </w:tc>
        <w:tc>
          <w:tcPr>
            <w:tcW w:w="1471" w:type="dxa"/>
          </w:tcPr>
          <w:p w:rsidR="0002392C" w:rsidRPr="009179E5" w:rsidRDefault="0002392C" w:rsidP="00530997">
            <w:pPr>
              <w:pStyle w:val="Tabletext"/>
              <w:keepNext/>
              <w:keepLines/>
              <w:spacing w:before="0" w:after="0" w:line="240" w:lineRule="auto"/>
              <w:jc w:val="left"/>
              <w:rPr>
                <w:rFonts w:ascii="Times New Roman" w:hAnsi="Times New Roman"/>
                <w:b/>
                <w:sz w:val="24"/>
                <w:szCs w:val="24"/>
                <w:lang w:val="lv-LV"/>
              </w:rPr>
            </w:pPr>
            <w:r w:rsidRPr="009179E5">
              <w:rPr>
                <w:rFonts w:ascii="Times New Roman" w:hAnsi="Times New Roman"/>
                <w:b/>
                <w:sz w:val="24"/>
                <w:szCs w:val="24"/>
                <w:lang w:val="lv-LV"/>
              </w:rPr>
              <w:t xml:space="preserve">Plānotie kopējie enerģijas ietaupījumi 2020 </w:t>
            </w:r>
            <w:r w:rsidR="00530997" w:rsidRPr="009179E5">
              <w:rPr>
                <w:rFonts w:ascii="Times New Roman" w:hAnsi="Times New Roman"/>
                <w:b/>
                <w:sz w:val="24"/>
                <w:szCs w:val="24"/>
                <w:lang w:val="lv-LV"/>
              </w:rPr>
              <w:t>(</w:t>
            </w:r>
            <w:r w:rsidRPr="009179E5">
              <w:rPr>
                <w:rFonts w:ascii="Times New Roman" w:hAnsi="Times New Roman"/>
                <w:b/>
                <w:sz w:val="24"/>
                <w:szCs w:val="24"/>
                <w:lang w:val="lv-LV"/>
              </w:rPr>
              <w:t>GWh</w:t>
            </w:r>
            <w:r w:rsidR="00530997" w:rsidRPr="009179E5">
              <w:rPr>
                <w:rFonts w:ascii="Times New Roman" w:hAnsi="Times New Roman"/>
                <w:b/>
                <w:sz w:val="24"/>
                <w:szCs w:val="24"/>
                <w:lang w:val="lv-LV"/>
              </w:rPr>
              <w:t>)***</w:t>
            </w:r>
          </w:p>
        </w:tc>
      </w:tr>
      <w:tr w:rsidR="0002392C" w:rsidRPr="009179E5" w:rsidTr="00530997">
        <w:trPr>
          <w:jc w:val="center"/>
        </w:trPr>
        <w:tc>
          <w:tcPr>
            <w:tcW w:w="3047" w:type="dxa"/>
          </w:tcPr>
          <w:p w:rsidR="0002392C" w:rsidRPr="009179E5" w:rsidRDefault="0002392C" w:rsidP="00530997">
            <w:pPr>
              <w:shd w:val="clear" w:color="auto" w:fill="FFFFFF"/>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Mājsaimniecības</w:t>
            </w:r>
          </w:p>
        </w:tc>
        <w:tc>
          <w:tcPr>
            <w:tcW w:w="1403" w:type="dxa"/>
          </w:tcPr>
          <w:p w:rsidR="0002392C" w:rsidRPr="009179E5" w:rsidRDefault="0002392C" w:rsidP="00530997">
            <w:pPr>
              <w:pStyle w:val="Tabletext"/>
              <w:keepNext/>
              <w:keepLines/>
              <w:spacing w:before="0" w:after="0" w:line="240" w:lineRule="auto"/>
              <w:rPr>
                <w:rFonts w:ascii="Times New Roman" w:hAnsi="Times New Roman"/>
                <w:sz w:val="24"/>
                <w:szCs w:val="24"/>
                <w:lang w:val="lv-LV"/>
              </w:rPr>
            </w:pPr>
            <w:r w:rsidRPr="009179E5">
              <w:rPr>
                <w:rFonts w:ascii="Times New Roman" w:hAnsi="Times New Roman"/>
                <w:sz w:val="24"/>
                <w:szCs w:val="24"/>
                <w:lang w:val="lv-LV"/>
              </w:rPr>
              <w:t>lejupvērstā</w:t>
            </w:r>
          </w:p>
        </w:tc>
        <w:tc>
          <w:tcPr>
            <w:tcW w:w="1437" w:type="dxa"/>
          </w:tcPr>
          <w:p w:rsidR="0002392C" w:rsidRPr="009179E5" w:rsidRDefault="0002392C" w:rsidP="00530997">
            <w:pPr>
              <w:pStyle w:val="Tabletext"/>
              <w:keepNext/>
              <w:keepLines/>
              <w:spacing w:before="0" w:after="0" w:line="240" w:lineRule="auto"/>
              <w:jc w:val="left"/>
              <w:rPr>
                <w:rFonts w:ascii="Times New Roman" w:hAnsi="Times New Roman"/>
                <w:sz w:val="24"/>
                <w:szCs w:val="24"/>
                <w:lang w:val="lv-LV"/>
              </w:rPr>
            </w:pPr>
            <w:r w:rsidRPr="009179E5">
              <w:rPr>
                <w:rFonts w:ascii="Times New Roman" w:hAnsi="Times New Roman"/>
                <w:sz w:val="24"/>
                <w:szCs w:val="24"/>
                <w:lang w:val="lv-LV"/>
              </w:rPr>
              <w:t>673</w:t>
            </w:r>
          </w:p>
        </w:tc>
        <w:tc>
          <w:tcPr>
            <w:tcW w:w="1471" w:type="dxa"/>
          </w:tcPr>
          <w:p w:rsidR="0002392C" w:rsidRPr="009179E5" w:rsidRDefault="0002392C" w:rsidP="00530997">
            <w:pPr>
              <w:pStyle w:val="Tabletext"/>
              <w:keepNext/>
              <w:keepLines/>
              <w:spacing w:before="0" w:after="0" w:line="240" w:lineRule="auto"/>
              <w:jc w:val="left"/>
              <w:rPr>
                <w:rFonts w:ascii="Times New Roman" w:hAnsi="Times New Roman"/>
                <w:sz w:val="24"/>
                <w:szCs w:val="24"/>
                <w:lang w:val="lv-LV"/>
              </w:rPr>
            </w:pPr>
            <w:r w:rsidRPr="009179E5">
              <w:rPr>
                <w:rFonts w:ascii="Times New Roman" w:hAnsi="Times New Roman"/>
                <w:sz w:val="24"/>
                <w:szCs w:val="24"/>
                <w:lang w:val="lv-LV"/>
              </w:rPr>
              <w:t>2701</w:t>
            </w:r>
          </w:p>
        </w:tc>
        <w:tc>
          <w:tcPr>
            <w:tcW w:w="1471" w:type="dxa"/>
          </w:tcPr>
          <w:p w:rsidR="0002392C" w:rsidRPr="009179E5" w:rsidRDefault="0002392C" w:rsidP="00530997">
            <w:pPr>
              <w:pStyle w:val="Tabletext"/>
              <w:keepNext/>
              <w:keepLines/>
              <w:spacing w:before="0" w:after="0" w:line="240" w:lineRule="auto"/>
              <w:jc w:val="left"/>
              <w:rPr>
                <w:rFonts w:ascii="Times New Roman" w:hAnsi="Times New Roman"/>
                <w:sz w:val="24"/>
                <w:szCs w:val="24"/>
                <w:lang w:val="lv-LV"/>
              </w:rPr>
            </w:pPr>
            <w:r w:rsidRPr="009179E5">
              <w:rPr>
                <w:rFonts w:ascii="Times New Roman" w:hAnsi="Times New Roman"/>
                <w:sz w:val="24"/>
                <w:szCs w:val="24"/>
                <w:lang w:val="lv-LV"/>
              </w:rPr>
              <w:t>2900</w:t>
            </w:r>
          </w:p>
        </w:tc>
      </w:tr>
      <w:tr w:rsidR="0002392C" w:rsidRPr="009179E5" w:rsidTr="00530997">
        <w:trPr>
          <w:jc w:val="center"/>
        </w:trPr>
        <w:tc>
          <w:tcPr>
            <w:tcW w:w="3047" w:type="dxa"/>
          </w:tcPr>
          <w:p w:rsidR="0002392C" w:rsidRPr="009179E5" w:rsidRDefault="0002392C" w:rsidP="00530997">
            <w:pPr>
              <w:shd w:val="clear" w:color="auto" w:fill="FFFFFF"/>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Pakalpojumi</w:t>
            </w:r>
          </w:p>
        </w:tc>
        <w:tc>
          <w:tcPr>
            <w:tcW w:w="1403" w:type="dxa"/>
          </w:tcPr>
          <w:p w:rsidR="0002392C" w:rsidRPr="009179E5" w:rsidRDefault="0002392C" w:rsidP="00530997">
            <w:pPr>
              <w:pStyle w:val="Tabletext"/>
              <w:keepNext/>
              <w:keepLines/>
              <w:spacing w:before="0" w:after="0" w:line="240" w:lineRule="auto"/>
              <w:rPr>
                <w:rFonts w:ascii="Times New Roman" w:hAnsi="Times New Roman"/>
                <w:sz w:val="24"/>
                <w:szCs w:val="24"/>
                <w:lang w:val="lv-LV"/>
              </w:rPr>
            </w:pPr>
            <w:r w:rsidRPr="009179E5">
              <w:rPr>
                <w:rFonts w:ascii="Times New Roman" w:hAnsi="Times New Roman"/>
                <w:sz w:val="24"/>
                <w:szCs w:val="24"/>
                <w:lang w:val="lv-LV"/>
              </w:rPr>
              <w:t>lejupvērstā</w:t>
            </w:r>
          </w:p>
        </w:tc>
        <w:tc>
          <w:tcPr>
            <w:tcW w:w="1437" w:type="dxa"/>
          </w:tcPr>
          <w:p w:rsidR="0002392C" w:rsidRPr="009179E5" w:rsidRDefault="0002392C" w:rsidP="00530997">
            <w:pPr>
              <w:pStyle w:val="Tabletext"/>
              <w:keepNext/>
              <w:keepLines/>
              <w:spacing w:before="0" w:after="0" w:line="240" w:lineRule="auto"/>
              <w:jc w:val="left"/>
              <w:rPr>
                <w:rFonts w:ascii="Times New Roman" w:hAnsi="Times New Roman"/>
                <w:sz w:val="24"/>
                <w:szCs w:val="24"/>
                <w:lang w:val="lv-LV"/>
              </w:rPr>
            </w:pPr>
            <w:r w:rsidRPr="009179E5">
              <w:rPr>
                <w:rFonts w:ascii="Times New Roman" w:hAnsi="Times New Roman"/>
                <w:sz w:val="24"/>
                <w:szCs w:val="24"/>
                <w:lang w:val="lv-LV"/>
              </w:rPr>
              <w:t>970</w:t>
            </w:r>
          </w:p>
        </w:tc>
        <w:tc>
          <w:tcPr>
            <w:tcW w:w="1471" w:type="dxa"/>
          </w:tcPr>
          <w:p w:rsidR="0002392C" w:rsidRPr="009179E5" w:rsidRDefault="0002392C" w:rsidP="00530997">
            <w:pPr>
              <w:pStyle w:val="Tabletext"/>
              <w:keepNext/>
              <w:keepLines/>
              <w:spacing w:before="0" w:after="0" w:line="240" w:lineRule="auto"/>
              <w:jc w:val="left"/>
              <w:rPr>
                <w:rFonts w:ascii="Times New Roman" w:hAnsi="Times New Roman"/>
                <w:sz w:val="24"/>
                <w:szCs w:val="24"/>
                <w:lang w:val="lv-LV"/>
              </w:rPr>
            </w:pPr>
            <w:r w:rsidRPr="009179E5">
              <w:rPr>
                <w:rFonts w:ascii="Times New Roman" w:hAnsi="Times New Roman"/>
                <w:sz w:val="24"/>
                <w:szCs w:val="24"/>
                <w:lang w:val="lv-LV"/>
              </w:rPr>
              <w:t>408</w:t>
            </w:r>
          </w:p>
        </w:tc>
        <w:tc>
          <w:tcPr>
            <w:tcW w:w="1471" w:type="dxa"/>
          </w:tcPr>
          <w:p w:rsidR="0002392C" w:rsidRPr="009179E5" w:rsidRDefault="0002392C" w:rsidP="00530997">
            <w:pPr>
              <w:pStyle w:val="Tabletext"/>
              <w:keepNext/>
              <w:keepLines/>
              <w:spacing w:before="0" w:after="0" w:line="240" w:lineRule="auto"/>
              <w:jc w:val="left"/>
              <w:rPr>
                <w:rFonts w:ascii="Times New Roman" w:hAnsi="Times New Roman"/>
                <w:sz w:val="24"/>
                <w:szCs w:val="24"/>
                <w:lang w:val="lv-LV"/>
              </w:rPr>
            </w:pPr>
            <w:r w:rsidRPr="009179E5">
              <w:rPr>
                <w:rFonts w:ascii="Times New Roman" w:hAnsi="Times New Roman"/>
                <w:sz w:val="24"/>
                <w:szCs w:val="24"/>
                <w:lang w:val="lv-LV"/>
              </w:rPr>
              <w:t>657</w:t>
            </w:r>
          </w:p>
        </w:tc>
      </w:tr>
      <w:tr w:rsidR="0002392C" w:rsidRPr="009179E5" w:rsidTr="00530997">
        <w:trPr>
          <w:jc w:val="center"/>
        </w:trPr>
        <w:tc>
          <w:tcPr>
            <w:tcW w:w="3047" w:type="dxa"/>
          </w:tcPr>
          <w:p w:rsidR="0002392C" w:rsidRPr="009179E5" w:rsidRDefault="0002392C" w:rsidP="00530997">
            <w:pPr>
              <w:shd w:val="clear" w:color="auto" w:fill="FFFFFF"/>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Rūpniecība</w:t>
            </w:r>
            <w:r w:rsidR="00530997" w:rsidRPr="009179E5">
              <w:rPr>
                <w:rFonts w:ascii="Times New Roman" w:hAnsi="Times New Roman"/>
                <w:sz w:val="24"/>
                <w:szCs w:val="24"/>
                <w:lang w:val="lv-LV"/>
              </w:rPr>
              <w:t xml:space="preserve"> un</w:t>
            </w:r>
          </w:p>
          <w:p w:rsidR="0002392C" w:rsidRPr="009179E5" w:rsidRDefault="0002392C" w:rsidP="00530997">
            <w:pPr>
              <w:shd w:val="clear" w:color="auto" w:fill="FFFFFF"/>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lauksaimniecība</w:t>
            </w:r>
          </w:p>
        </w:tc>
        <w:tc>
          <w:tcPr>
            <w:tcW w:w="1403" w:type="dxa"/>
          </w:tcPr>
          <w:p w:rsidR="0002392C" w:rsidRPr="009179E5" w:rsidRDefault="0002392C" w:rsidP="00530997">
            <w:pPr>
              <w:pStyle w:val="Tabletext"/>
              <w:keepNext/>
              <w:keepLines/>
              <w:spacing w:before="0" w:after="0" w:line="240" w:lineRule="auto"/>
              <w:rPr>
                <w:rFonts w:ascii="Times New Roman" w:hAnsi="Times New Roman"/>
                <w:sz w:val="24"/>
                <w:szCs w:val="24"/>
                <w:lang w:val="lv-LV"/>
              </w:rPr>
            </w:pPr>
            <w:r w:rsidRPr="009179E5">
              <w:rPr>
                <w:rFonts w:ascii="Times New Roman" w:hAnsi="Times New Roman"/>
                <w:sz w:val="24"/>
                <w:szCs w:val="24"/>
                <w:lang w:val="lv-LV"/>
              </w:rPr>
              <w:t>lejupvērstā</w:t>
            </w:r>
          </w:p>
        </w:tc>
        <w:tc>
          <w:tcPr>
            <w:tcW w:w="1437" w:type="dxa"/>
          </w:tcPr>
          <w:p w:rsidR="0002392C" w:rsidRPr="009179E5" w:rsidRDefault="0002392C" w:rsidP="00530997">
            <w:pPr>
              <w:pStyle w:val="Tabletext"/>
              <w:keepNext/>
              <w:keepLines/>
              <w:spacing w:before="0" w:after="0" w:line="240" w:lineRule="auto"/>
              <w:jc w:val="left"/>
              <w:rPr>
                <w:rFonts w:ascii="Times New Roman" w:hAnsi="Times New Roman"/>
                <w:sz w:val="24"/>
                <w:szCs w:val="24"/>
                <w:lang w:val="lv-LV"/>
              </w:rPr>
            </w:pPr>
            <w:r w:rsidRPr="009179E5">
              <w:rPr>
                <w:rFonts w:ascii="Times New Roman" w:hAnsi="Times New Roman"/>
                <w:sz w:val="24"/>
                <w:szCs w:val="24"/>
                <w:lang w:val="lv-LV"/>
              </w:rPr>
              <w:t>-905</w:t>
            </w:r>
          </w:p>
        </w:tc>
        <w:tc>
          <w:tcPr>
            <w:tcW w:w="1471" w:type="dxa"/>
          </w:tcPr>
          <w:p w:rsidR="0002392C" w:rsidRPr="009179E5" w:rsidRDefault="0002392C" w:rsidP="00530997">
            <w:pPr>
              <w:pStyle w:val="Tabletext"/>
              <w:keepNext/>
              <w:keepLines/>
              <w:spacing w:before="0" w:after="0" w:line="240" w:lineRule="auto"/>
              <w:jc w:val="left"/>
              <w:rPr>
                <w:rFonts w:ascii="Times New Roman" w:hAnsi="Times New Roman"/>
                <w:sz w:val="24"/>
                <w:szCs w:val="24"/>
                <w:lang w:val="lv-LV"/>
              </w:rPr>
            </w:pPr>
            <w:r w:rsidRPr="009179E5">
              <w:rPr>
                <w:rFonts w:ascii="Times New Roman" w:hAnsi="Times New Roman"/>
                <w:sz w:val="24"/>
                <w:szCs w:val="24"/>
                <w:lang w:val="lv-LV"/>
              </w:rPr>
              <w:t>170</w:t>
            </w:r>
          </w:p>
        </w:tc>
        <w:tc>
          <w:tcPr>
            <w:tcW w:w="1471" w:type="dxa"/>
          </w:tcPr>
          <w:p w:rsidR="0002392C" w:rsidRPr="009179E5" w:rsidRDefault="0002392C" w:rsidP="00530997">
            <w:pPr>
              <w:pStyle w:val="Tabletext"/>
              <w:keepNext/>
              <w:keepLines/>
              <w:spacing w:before="0" w:after="0" w:line="240" w:lineRule="auto"/>
              <w:jc w:val="left"/>
              <w:rPr>
                <w:rFonts w:ascii="Times New Roman" w:hAnsi="Times New Roman"/>
                <w:sz w:val="24"/>
                <w:szCs w:val="24"/>
                <w:lang w:val="lv-LV"/>
              </w:rPr>
            </w:pPr>
            <w:r w:rsidRPr="009179E5">
              <w:rPr>
                <w:rFonts w:ascii="Times New Roman" w:hAnsi="Times New Roman"/>
                <w:sz w:val="24"/>
                <w:szCs w:val="24"/>
                <w:lang w:val="lv-LV"/>
              </w:rPr>
              <w:t>337</w:t>
            </w:r>
          </w:p>
        </w:tc>
      </w:tr>
      <w:tr w:rsidR="0002392C" w:rsidRPr="009179E5" w:rsidTr="00530997">
        <w:trPr>
          <w:jc w:val="center"/>
        </w:trPr>
        <w:tc>
          <w:tcPr>
            <w:tcW w:w="3047" w:type="dxa"/>
          </w:tcPr>
          <w:p w:rsidR="0002392C" w:rsidRPr="009179E5" w:rsidRDefault="0002392C" w:rsidP="00530997">
            <w:pPr>
              <w:shd w:val="clear" w:color="auto" w:fill="FFFFFF"/>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Transports</w:t>
            </w:r>
          </w:p>
        </w:tc>
        <w:tc>
          <w:tcPr>
            <w:tcW w:w="1403" w:type="dxa"/>
          </w:tcPr>
          <w:p w:rsidR="0002392C" w:rsidRPr="009179E5" w:rsidRDefault="0002392C" w:rsidP="00530997">
            <w:pPr>
              <w:pStyle w:val="Tabletext"/>
              <w:keepNext/>
              <w:keepLines/>
              <w:spacing w:before="0" w:after="0" w:line="240" w:lineRule="auto"/>
              <w:rPr>
                <w:rFonts w:ascii="Times New Roman" w:hAnsi="Times New Roman"/>
                <w:sz w:val="24"/>
                <w:szCs w:val="24"/>
                <w:lang w:val="lv-LV"/>
              </w:rPr>
            </w:pPr>
            <w:r w:rsidRPr="009179E5">
              <w:rPr>
                <w:rFonts w:ascii="Times New Roman" w:hAnsi="Times New Roman"/>
                <w:sz w:val="24"/>
                <w:szCs w:val="24"/>
                <w:lang w:val="lv-LV"/>
              </w:rPr>
              <w:t>lejupvērstā</w:t>
            </w:r>
          </w:p>
        </w:tc>
        <w:tc>
          <w:tcPr>
            <w:tcW w:w="1437" w:type="dxa"/>
          </w:tcPr>
          <w:p w:rsidR="0002392C" w:rsidRPr="009179E5" w:rsidRDefault="0002392C" w:rsidP="00530997">
            <w:pPr>
              <w:pStyle w:val="Tabletext"/>
              <w:keepNext/>
              <w:keepLines/>
              <w:spacing w:before="0" w:after="0" w:line="240" w:lineRule="auto"/>
              <w:jc w:val="left"/>
              <w:rPr>
                <w:rFonts w:ascii="Times New Roman" w:hAnsi="Times New Roman"/>
                <w:sz w:val="24"/>
                <w:szCs w:val="24"/>
                <w:lang w:val="lv-LV"/>
              </w:rPr>
            </w:pPr>
            <w:r w:rsidRPr="009179E5">
              <w:rPr>
                <w:rFonts w:ascii="Times New Roman" w:hAnsi="Times New Roman"/>
                <w:sz w:val="24"/>
                <w:szCs w:val="24"/>
                <w:lang w:val="lv-LV"/>
              </w:rPr>
              <w:t>2680</w:t>
            </w:r>
          </w:p>
        </w:tc>
        <w:tc>
          <w:tcPr>
            <w:tcW w:w="1471" w:type="dxa"/>
          </w:tcPr>
          <w:p w:rsidR="0002392C" w:rsidRPr="009179E5" w:rsidRDefault="0002392C" w:rsidP="00530997">
            <w:pPr>
              <w:pStyle w:val="Tabletext"/>
              <w:keepNext/>
              <w:keepLines/>
              <w:spacing w:before="0" w:after="0" w:line="240" w:lineRule="auto"/>
              <w:jc w:val="left"/>
              <w:rPr>
                <w:rFonts w:ascii="Times New Roman" w:hAnsi="Times New Roman"/>
                <w:sz w:val="24"/>
                <w:szCs w:val="24"/>
                <w:lang w:val="lv-LV"/>
              </w:rPr>
            </w:pPr>
            <w:r w:rsidRPr="009179E5">
              <w:rPr>
                <w:rFonts w:ascii="Times New Roman" w:hAnsi="Times New Roman"/>
                <w:sz w:val="24"/>
                <w:szCs w:val="24"/>
                <w:lang w:val="lv-LV"/>
              </w:rPr>
              <w:t>204</w:t>
            </w:r>
          </w:p>
        </w:tc>
        <w:tc>
          <w:tcPr>
            <w:tcW w:w="1471" w:type="dxa"/>
          </w:tcPr>
          <w:p w:rsidR="0002392C" w:rsidRPr="009179E5" w:rsidRDefault="0002392C" w:rsidP="00530997">
            <w:pPr>
              <w:pStyle w:val="Tabletext"/>
              <w:keepNext/>
              <w:keepLines/>
              <w:spacing w:before="0" w:after="0" w:line="240" w:lineRule="auto"/>
              <w:jc w:val="left"/>
              <w:rPr>
                <w:rFonts w:ascii="Times New Roman" w:hAnsi="Times New Roman"/>
                <w:sz w:val="24"/>
                <w:szCs w:val="24"/>
                <w:lang w:val="lv-LV"/>
              </w:rPr>
            </w:pPr>
            <w:r w:rsidRPr="009179E5">
              <w:rPr>
                <w:rFonts w:ascii="Times New Roman" w:hAnsi="Times New Roman"/>
                <w:sz w:val="24"/>
                <w:szCs w:val="24"/>
                <w:lang w:val="lv-LV"/>
              </w:rPr>
              <w:t>2884</w:t>
            </w:r>
          </w:p>
        </w:tc>
      </w:tr>
      <w:tr w:rsidR="0002392C" w:rsidRPr="009179E5" w:rsidTr="00530997">
        <w:trPr>
          <w:jc w:val="center"/>
        </w:trPr>
        <w:tc>
          <w:tcPr>
            <w:tcW w:w="3047" w:type="dxa"/>
          </w:tcPr>
          <w:p w:rsidR="0002392C" w:rsidRPr="009179E5" w:rsidRDefault="0002392C" w:rsidP="00530997">
            <w:pPr>
              <w:shd w:val="clear" w:color="auto" w:fill="FFFFFF"/>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Pārveidošanas sektors</w:t>
            </w:r>
          </w:p>
        </w:tc>
        <w:tc>
          <w:tcPr>
            <w:tcW w:w="1403" w:type="dxa"/>
          </w:tcPr>
          <w:p w:rsidR="0002392C" w:rsidRPr="009179E5" w:rsidRDefault="0002392C" w:rsidP="00530997">
            <w:pPr>
              <w:pStyle w:val="Tabletext"/>
              <w:keepNext/>
              <w:keepLines/>
              <w:spacing w:before="0" w:after="0" w:line="240" w:lineRule="auto"/>
              <w:rPr>
                <w:rFonts w:ascii="Times New Roman" w:hAnsi="Times New Roman"/>
                <w:sz w:val="24"/>
                <w:szCs w:val="24"/>
                <w:lang w:val="lv-LV"/>
              </w:rPr>
            </w:pPr>
          </w:p>
        </w:tc>
        <w:tc>
          <w:tcPr>
            <w:tcW w:w="1437" w:type="dxa"/>
          </w:tcPr>
          <w:p w:rsidR="0002392C" w:rsidRPr="009179E5" w:rsidRDefault="0002392C" w:rsidP="00530997">
            <w:pPr>
              <w:pStyle w:val="Tabletext"/>
              <w:keepNext/>
              <w:keepLines/>
              <w:spacing w:before="0" w:after="0" w:line="240" w:lineRule="auto"/>
              <w:jc w:val="left"/>
              <w:rPr>
                <w:rFonts w:ascii="Times New Roman" w:hAnsi="Times New Roman"/>
                <w:sz w:val="24"/>
                <w:szCs w:val="24"/>
                <w:lang w:val="lv-LV"/>
              </w:rPr>
            </w:pPr>
          </w:p>
        </w:tc>
        <w:tc>
          <w:tcPr>
            <w:tcW w:w="1471" w:type="dxa"/>
          </w:tcPr>
          <w:p w:rsidR="0002392C" w:rsidRPr="009179E5" w:rsidRDefault="0002392C" w:rsidP="00530997">
            <w:pPr>
              <w:pStyle w:val="Tabletext"/>
              <w:keepNext/>
              <w:keepLines/>
              <w:spacing w:before="0" w:after="0" w:line="240" w:lineRule="auto"/>
              <w:jc w:val="left"/>
              <w:rPr>
                <w:rFonts w:ascii="Times New Roman" w:hAnsi="Times New Roman"/>
                <w:sz w:val="24"/>
                <w:szCs w:val="24"/>
                <w:lang w:val="lv-LV"/>
              </w:rPr>
            </w:pPr>
          </w:p>
        </w:tc>
        <w:tc>
          <w:tcPr>
            <w:tcW w:w="1471" w:type="dxa"/>
          </w:tcPr>
          <w:p w:rsidR="0002392C" w:rsidRPr="009179E5" w:rsidRDefault="0002392C" w:rsidP="00530997">
            <w:pPr>
              <w:pStyle w:val="Tabletext"/>
              <w:keepNext/>
              <w:keepLines/>
              <w:spacing w:before="0" w:after="0" w:line="240" w:lineRule="auto"/>
              <w:jc w:val="left"/>
              <w:rPr>
                <w:rFonts w:ascii="Times New Roman" w:hAnsi="Times New Roman"/>
                <w:sz w:val="24"/>
                <w:szCs w:val="24"/>
                <w:lang w:val="lv-LV"/>
              </w:rPr>
            </w:pPr>
            <w:r w:rsidRPr="009179E5">
              <w:rPr>
                <w:rFonts w:ascii="Times New Roman" w:hAnsi="Times New Roman"/>
                <w:sz w:val="24"/>
                <w:szCs w:val="24"/>
                <w:lang w:val="lv-LV"/>
              </w:rPr>
              <w:t>1001</w:t>
            </w:r>
          </w:p>
        </w:tc>
      </w:tr>
      <w:tr w:rsidR="0002392C" w:rsidRPr="009179E5" w:rsidTr="00530997">
        <w:trPr>
          <w:jc w:val="center"/>
        </w:trPr>
        <w:tc>
          <w:tcPr>
            <w:tcW w:w="3047" w:type="dxa"/>
            <w:tcBorders>
              <w:top w:val="double" w:sz="4" w:space="0" w:color="auto"/>
              <w:left w:val="single" w:sz="4" w:space="0" w:color="auto"/>
              <w:bottom w:val="single" w:sz="4" w:space="0" w:color="auto"/>
              <w:right w:val="single" w:sz="4" w:space="0" w:color="auto"/>
            </w:tcBorders>
          </w:tcPr>
          <w:p w:rsidR="0002392C" w:rsidRPr="009179E5" w:rsidRDefault="0002392C" w:rsidP="00530997">
            <w:pPr>
              <w:shd w:val="clear" w:color="auto" w:fill="FFFFFF"/>
              <w:spacing w:after="0" w:line="240" w:lineRule="auto"/>
              <w:rPr>
                <w:rFonts w:ascii="Times New Roman" w:hAnsi="Times New Roman"/>
                <w:b/>
                <w:sz w:val="24"/>
                <w:szCs w:val="24"/>
                <w:lang w:val="lv-LV"/>
              </w:rPr>
            </w:pPr>
            <w:r w:rsidRPr="009179E5">
              <w:rPr>
                <w:rFonts w:ascii="Times New Roman" w:hAnsi="Times New Roman"/>
                <w:b/>
                <w:sz w:val="24"/>
                <w:szCs w:val="24"/>
                <w:lang w:val="lv-LV"/>
              </w:rPr>
              <w:lastRenderedPageBreak/>
              <w:t>SUMMA</w:t>
            </w:r>
          </w:p>
        </w:tc>
        <w:tc>
          <w:tcPr>
            <w:tcW w:w="1403" w:type="dxa"/>
            <w:tcBorders>
              <w:top w:val="double" w:sz="4" w:space="0" w:color="auto"/>
              <w:left w:val="single" w:sz="4" w:space="0" w:color="auto"/>
              <w:bottom w:val="single" w:sz="4" w:space="0" w:color="auto"/>
              <w:right w:val="single" w:sz="4" w:space="0" w:color="auto"/>
            </w:tcBorders>
          </w:tcPr>
          <w:p w:rsidR="0002392C" w:rsidRPr="009179E5" w:rsidRDefault="0002392C" w:rsidP="00530997">
            <w:pPr>
              <w:pStyle w:val="Tabletext"/>
              <w:keepNext/>
              <w:keepLines/>
              <w:spacing w:before="0" w:after="0" w:line="240" w:lineRule="auto"/>
              <w:rPr>
                <w:rFonts w:ascii="Times New Roman" w:hAnsi="Times New Roman"/>
                <w:sz w:val="24"/>
                <w:szCs w:val="24"/>
                <w:lang w:val="lv-LV"/>
              </w:rPr>
            </w:pPr>
          </w:p>
        </w:tc>
        <w:tc>
          <w:tcPr>
            <w:tcW w:w="1437" w:type="dxa"/>
            <w:tcBorders>
              <w:top w:val="double" w:sz="4" w:space="0" w:color="auto"/>
              <w:left w:val="single" w:sz="4" w:space="0" w:color="auto"/>
              <w:bottom w:val="single" w:sz="4" w:space="0" w:color="auto"/>
              <w:right w:val="single" w:sz="4" w:space="0" w:color="auto"/>
            </w:tcBorders>
          </w:tcPr>
          <w:p w:rsidR="0002392C" w:rsidRPr="009179E5" w:rsidRDefault="0002392C" w:rsidP="00530997">
            <w:pPr>
              <w:pStyle w:val="Tabletext"/>
              <w:keepNext/>
              <w:keepLines/>
              <w:spacing w:before="0" w:after="0" w:line="240" w:lineRule="auto"/>
              <w:jc w:val="left"/>
              <w:rPr>
                <w:rFonts w:ascii="Times New Roman" w:hAnsi="Times New Roman"/>
                <w:sz w:val="24"/>
                <w:szCs w:val="24"/>
                <w:lang w:val="lv-LV"/>
              </w:rPr>
            </w:pPr>
            <w:r w:rsidRPr="009179E5">
              <w:rPr>
                <w:rFonts w:ascii="Times New Roman" w:hAnsi="Times New Roman"/>
                <w:sz w:val="24"/>
                <w:szCs w:val="24"/>
                <w:lang w:val="lv-LV"/>
              </w:rPr>
              <w:t>3418</w:t>
            </w:r>
          </w:p>
        </w:tc>
        <w:tc>
          <w:tcPr>
            <w:tcW w:w="1471" w:type="dxa"/>
            <w:tcBorders>
              <w:top w:val="double" w:sz="4" w:space="0" w:color="auto"/>
              <w:left w:val="single" w:sz="4" w:space="0" w:color="auto"/>
              <w:bottom w:val="single" w:sz="4" w:space="0" w:color="auto"/>
              <w:right w:val="single" w:sz="4" w:space="0" w:color="auto"/>
            </w:tcBorders>
          </w:tcPr>
          <w:p w:rsidR="0002392C" w:rsidRPr="009179E5" w:rsidRDefault="0002392C" w:rsidP="00A44988">
            <w:pPr>
              <w:pStyle w:val="Tabletext"/>
              <w:keepNext/>
              <w:keepLines/>
              <w:spacing w:before="0" w:after="0" w:line="240" w:lineRule="auto"/>
              <w:jc w:val="left"/>
              <w:rPr>
                <w:rFonts w:ascii="Times New Roman" w:hAnsi="Times New Roman"/>
                <w:sz w:val="24"/>
                <w:szCs w:val="24"/>
                <w:lang w:val="lv-LV"/>
              </w:rPr>
            </w:pPr>
            <w:r w:rsidRPr="009179E5">
              <w:rPr>
                <w:rFonts w:ascii="Times New Roman" w:hAnsi="Times New Roman"/>
                <w:sz w:val="24"/>
                <w:szCs w:val="24"/>
                <w:lang w:val="lv-LV"/>
              </w:rPr>
              <w:t>348</w:t>
            </w:r>
            <w:r w:rsidR="00A44988" w:rsidRPr="009179E5">
              <w:rPr>
                <w:rFonts w:ascii="Times New Roman" w:hAnsi="Times New Roman"/>
                <w:sz w:val="24"/>
                <w:szCs w:val="24"/>
                <w:lang w:val="lv-LV"/>
              </w:rPr>
              <w:t>3</w:t>
            </w:r>
          </w:p>
        </w:tc>
        <w:tc>
          <w:tcPr>
            <w:tcW w:w="1471" w:type="dxa"/>
            <w:tcBorders>
              <w:top w:val="double" w:sz="4" w:space="0" w:color="auto"/>
              <w:left w:val="single" w:sz="4" w:space="0" w:color="auto"/>
              <w:bottom w:val="single" w:sz="4" w:space="0" w:color="auto"/>
              <w:right w:val="single" w:sz="4" w:space="0" w:color="auto"/>
            </w:tcBorders>
          </w:tcPr>
          <w:p w:rsidR="0002392C" w:rsidRPr="009179E5" w:rsidRDefault="0002392C" w:rsidP="00530997">
            <w:pPr>
              <w:pStyle w:val="Tabletext"/>
              <w:keepNext/>
              <w:keepLines/>
              <w:spacing w:before="0" w:after="0" w:line="240" w:lineRule="auto"/>
              <w:jc w:val="left"/>
              <w:rPr>
                <w:rFonts w:ascii="Times New Roman" w:hAnsi="Times New Roman"/>
                <w:sz w:val="24"/>
                <w:szCs w:val="24"/>
                <w:lang w:val="lv-LV"/>
              </w:rPr>
            </w:pPr>
            <w:r w:rsidRPr="009179E5">
              <w:rPr>
                <w:rFonts w:ascii="Times New Roman" w:hAnsi="Times New Roman"/>
                <w:sz w:val="24"/>
                <w:szCs w:val="24"/>
                <w:lang w:val="lv-LV"/>
              </w:rPr>
              <w:t>7779</w:t>
            </w:r>
          </w:p>
        </w:tc>
      </w:tr>
    </w:tbl>
    <w:p w:rsidR="003848CD" w:rsidRPr="009179E5" w:rsidRDefault="003848CD" w:rsidP="003848CD">
      <w:pPr>
        <w:shd w:val="clear" w:color="auto" w:fill="FFFFFF"/>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*Enerģijas ietaupījuma starpposma mērķis 2010.gadam.</w:t>
      </w:r>
    </w:p>
    <w:p w:rsidR="003848CD" w:rsidRPr="009179E5" w:rsidRDefault="003848CD" w:rsidP="003848CD">
      <w:pPr>
        <w:shd w:val="clear" w:color="auto" w:fill="FFFFFF"/>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**Enerģijas ietaupījuma mērķis 2016.gadam.</w:t>
      </w:r>
    </w:p>
    <w:p w:rsidR="003848CD" w:rsidRPr="009179E5" w:rsidRDefault="003848CD" w:rsidP="003848CD">
      <w:pPr>
        <w:shd w:val="clear" w:color="auto" w:fill="FFFFFF"/>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 xml:space="preserve">***Kopējais enerģijas ietaupījuma (enerģijas galapatēriņa ietaupījums un primārās enerģijas </w:t>
      </w:r>
      <w:r w:rsidR="009179E5" w:rsidRPr="009179E5">
        <w:rPr>
          <w:rFonts w:ascii="Times New Roman" w:hAnsi="Times New Roman"/>
          <w:sz w:val="20"/>
          <w:szCs w:val="20"/>
          <w:lang w:val="lv-LV"/>
        </w:rPr>
        <w:t>ietaupījums</w:t>
      </w:r>
      <w:r w:rsidRPr="009179E5">
        <w:rPr>
          <w:rFonts w:ascii="Times New Roman" w:hAnsi="Times New Roman"/>
          <w:sz w:val="20"/>
          <w:szCs w:val="20"/>
          <w:lang w:val="lv-LV"/>
        </w:rPr>
        <w:t xml:space="preserve">) mērķis 2020.gadam. </w:t>
      </w:r>
    </w:p>
    <w:p w:rsidR="00AD38A4" w:rsidRPr="009179E5" w:rsidRDefault="00F21CBE" w:rsidP="00574AC8">
      <w:pPr>
        <w:shd w:val="clear" w:color="auto" w:fill="FFFFFF"/>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Par indikatīvā </w:t>
      </w:r>
      <w:r w:rsidR="00AD38A4" w:rsidRPr="009179E5">
        <w:rPr>
          <w:rFonts w:ascii="Times New Roman" w:hAnsi="Times New Roman"/>
          <w:sz w:val="28"/>
          <w:szCs w:val="28"/>
          <w:lang w:val="lv-LV"/>
        </w:rPr>
        <w:t xml:space="preserve">enerģijas ietaupījuma </w:t>
      </w:r>
      <w:r w:rsidRPr="009179E5">
        <w:rPr>
          <w:rFonts w:ascii="Times New Roman" w:hAnsi="Times New Roman"/>
          <w:sz w:val="28"/>
          <w:szCs w:val="28"/>
          <w:lang w:val="lv-LV"/>
        </w:rPr>
        <w:t>mērķa aprēķināšanu no E</w:t>
      </w:r>
      <w:r w:rsidR="00AD38A4" w:rsidRPr="009179E5">
        <w:rPr>
          <w:rFonts w:ascii="Times New Roman" w:hAnsi="Times New Roman"/>
          <w:sz w:val="28"/>
          <w:szCs w:val="28"/>
          <w:lang w:val="lv-LV"/>
        </w:rPr>
        <w:t xml:space="preserve">iropas </w:t>
      </w:r>
      <w:r w:rsidRPr="009179E5">
        <w:rPr>
          <w:rFonts w:ascii="Times New Roman" w:hAnsi="Times New Roman"/>
          <w:sz w:val="28"/>
          <w:szCs w:val="28"/>
          <w:lang w:val="lv-LV"/>
        </w:rPr>
        <w:t>K</w:t>
      </w:r>
      <w:r w:rsidR="00AD38A4" w:rsidRPr="009179E5">
        <w:rPr>
          <w:rFonts w:ascii="Times New Roman" w:hAnsi="Times New Roman"/>
          <w:sz w:val="28"/>
          <w:szCs w:val="28"/>
          <w:lang w:val="lv-LV"/>
        </w:rPr>
        <w:t>omisijas</w:t>
      </w:r>
      <w:r w:rsidRPr="009179E5">
        <w:rPr>
          <w:rFonts w:ascii="Times New Roman" w:hAnsi="Times New Roman"/>
          <w:sz w:val="28"/>
          <w:szCs w:val="28"/>
          <w:lang w:val="lv-LV"/>
        </w:rPr>
        <w:t xml:space="preserve"> netika saņemti iebildumi. Tā kā uz </w:t>
      </w:r>
      <w:r w:rsidR="00C13D77" w:rsidRPr="009179E5">
        <w:rPr>
          <w:rFonts w:ascii="Times New Roman" w:hAnsi="Times New Roman"/>
          <w:sz w:val="28"/>
          <w:szCs w:val="28"/>
          <w:lang w:val="lv-LV"/>
        </w:rPr>
        <w:t>2.EERP</w:t>
      </w:r>
      <w:r w:rsidRPr="009179E5">
        <w:rPr>
          <w:rFonts w:ascii="Times New Roman" w:hAnsi="Times New Roman"/>
          <w:sz w:val="28"/>
          <w:szCs w:val="28"/>
          <w:lang w:val="lv-LV"/>
        </w:rPr>
        <w:t xml:space="preserve"> izstrādāšanas laiku nav pieejami realizēto energoefektivitātes pasākumu monitoringa rezultāti atbilstoši Ministru kabineta </w:t>
      </w:r>
      <w:r w:rsidR="00F63576" w:rsidRPr="009179E5">
        <w:rPr>
          <w:rFonts w:ascii="Times New Roman" w:hAnsi="Times New Roman"/>
          <w:sz w:val="28"/>
          <w:szCs w:val="28"/>
          <w:lang w:val="lv-LV"/>
        </w:rPr>
        <w:t xml:space="preserve">2010.gada 30.septembra </w:t>
      </w:r>
      <w:r w:rsidRPr="009179E5">
        <w:rPr>
          <w:rFonts w:ascii="Times New Roman" w:hAnsi="Times New Roman"/>
          <w:sz w:val="28"/>
          <w:szCs w:val="28"/>
          <w:lang w:val="lv-LV"/>
        </w:rPr>
        <w:t>noteikumiem Nr.923</w:t>
      </w:r>
      <w:r w:rsidR="00F63576" w:rsidRPr="009179E5">
        <w:rPr>
          <w:rFonts w:ascii="Times New Roman" w:hAnsi="Times New Roman"/>
          <w:sz w:val="28"/>
          <w:szCs w:val="28"/>
          <w:lang w:val="lv-LV"/>
        </w:rPr>
        <w:t xml:space="preserve"> </w:t>
      </w:r>
      <w:r w:rsidRPr="009179E5">
        <w:rPr>
          <w:rFonts w:ascii="Times New Roman" w:hAnsi="Times New Roman"/>
          <w:sz w:val="28"/>
          <w:szCs w:val="28"/>
          <w:lang w:val="lv-LV"/>
        </w:rPr>
        <w:t>„Kārtība, kādā uzskaita valsts enerģijas galapatēriņa ietaupījumu un nodrošina energoefektivitātes monitoringa sistēmas darbību”, tad sasniegtie enerģijas ietaupījumi 2010.gadā tiek aprēķināti</w:t>
      </w:r>
      <w:r w:rsidR="00AD38A4" w:rsidRPr="009179E5">
        <w:rPr>
          <w:rFonts w:ascii="Times New Roman" w:hAnsi="Times New Roman"/>
          <w:sz w:val="28"/>
          <w:szCs w:val="28"/>
          <w:lang w:val="lv-LV"/>
        </w:rPr>
        <w:t>,</w:t>
      </w:r>
      <w:r w:rsidRPr="009179E5">
        <w:rPr>
          <w:rFonts w:ascii="Times New Roman" w:hAnsi="Times New Roman"/>
          <w:sz w:val="28"/>
          <w:szCs w:val="28"/>
          <w:lang w:val="lv-LV"/>
        </w:rPr>
        <w:t xml:space="preserve"> izmantojot tikai lejupvērsto metodi, kura paredz enerģijas efektivitātes indikatoru izmantošanu</w:t>
      </w:r>
      <w:r w:rsidRPr="00944450">
        <w:rPr>
          <w:rFonts w:ascii="Times New Roman" w:hAnsi="Times New Roman"/>
          <w:sz w:val="28"/>
          <w:szCs w:val="28"/>
          <w:lang w:val="lv-LV"/>
        </w:rPr>
        <w:t xml:space="preserve">. </w:t>
      </w:r>
      <w:r w:rsidR="00944450" w:rsidRPr="00944450">
        <w:rPr>
          <w:rFonts w:ascii="Times New Roman" w:hAnsi="Times New Roman"/>
          <w:sz w:val="28"/>
          <w:szCs w:val="28"/>
          <w:lang w:val="lv-LV"/>
        </w:rPr>
        <w:t xml:space="preserve">Līdz ar to nākošajā valsts ziņojumā par enerģijas ietaupījumu, aprēķinātais kumulatīvais perioda ietaupījums varētu būt mazāks nekā šajā ziņojumā uzrādītais. </w:t>
      </w:r>
    </w:p>
    <w:p w:rsidR="007A26BB" w:rsidRPr="009179E5" w:rsidRDefault="00F21CBE" w:rsidP="007A26BB">
      <w:pPr>
        <w:shd w:val="clear" w:color="auto" w:fill="FFFFFF"/>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Plānotie enerģijas ietaupījuma mērķi 2016.gadam netiek mainīti un tie saglabājas līdz 2014.gadam, kad</w:t>
      </w:r>
      <w:r w:rsidR="00BC5DCB" w:rsidRPr="009179E5">
        <w:rPr>
          <w:rFonts w:ascii="Times New Roman" w:hAnsi="Times New Roman"/>
          <w:sz w:val="28"/>
          <w:szCs w:val="28"/>
          <w:lang w:val="lv-LV"/>
        </w:rPr>
        <w:t>,</w:t>
      </w:r>
      <w:r w:rsidRPr="009179E5">
        <w:rPr>
          <w:rFonts w:ascii="Times New Roman" w:hAnsi="Times New Roman"/>
          <w:sz w:val="28"/>
          <w:szCs w:val="28"/>
          <w:lang w:val="lv-LV"/>
        </w:rPr>
        <w:t xml:space="preserve"> izstrādā</w:t>
      </w:r>
      <w:r w:rsidR="0095197D" w:rsidRPr="009179E5">
        <w:rPr>
          <w:rFonts w:ascii="Times New Roman" w:hAnsi="Times New Roman"/>
          <w:sz w:val="28"/>
          <w:szCs w:val="28"/>
          <w:lang w:val="lv-LV"/>
        </w:rPr>
        <w:t>s</w:t>
      </w:r>
      <w:r w:rsidRPr="009179E5">
        <w:rPr>
          <w:rFonts w:ascii="Times New Roman" w:hAnsi="Times New Roman"/>
          <w:sz w:val="28"/>
          <w:szCs w:val="28"/>
          <w:lang w:val="lv-LV"/>
        </w:rPr>
        <w:t xml:space="preserve"> </w:t>
      </w:r>
      <w:r w:rsidR="00BC5DCB" w:rsidRPr="009179E5">
        <w:rPr>
          <w:rFonts w:ascii="Times New Roman" w:hAnsi="Times New Roman"/>
          <w:sz w:val="28"/>
          <w:szCs w:val="28"/>
          <w:lang w:val="lv-LV"/>
        </w:rPr>
        <w:t xml:space="preserve">Latvijas Republikas </w:t>
      </w:r>
      <w:r w:rsidRPr="009179E5">
        <w:rPr>
          <w:rFonts w:ascii="Times New Roman" w:hAnsi="Times New Roman"/>
          <w:sz w:val="28"/>
          <w:szCs w:val="28"/>
          <w:lang w:val="lv-LV"/>
        </w:rPr>
        <w:t>Trešo energoefektivitātes rīcības plānu</w:t>
      </w:r>
      <w:r w:rsidR="00BC5DCB" w:rsidRPr="009179E5">
        <w:rPr>
          <w:rFonts w:ascii="Times New Roman" w:hAnsi="Times New Roman"/>
          <w:sz w:val="28"/>
          <w:szCs w:val="28"/>
          <w:lang w:val="lv-LV"/>
        </w:rPr>
        <w:t xml:space="preserve"> 2014.-2016.gadam</w:t>
      </w:r>
      <w:r w:rsidR="0095197D" w:rsidRPr="009179E5">
        <w:rPr>
          <w:rFonts w:ascii="Times New Roman" w:hAnsi="Times New Roman"/>
          <w:sz w:val="28"/>
          <w:szCs w:val="28"/>
          <w:lang w:val="lv-LV"/>
        </w:rPr>
        <w:t>.</w:t>
      </w:r>
    </w:p>
    <w:p w:rsidR="001009B1" w:rsidRPr="009179E5" w:rsidRDefault="001009B1" w:rsidP="007A26BB">
      <w:pPr>
        <w:shd w:val="clear" w:color="auto" w:fill="FFFFFF"/>
        <w:spacing w:before="120" w:after="120" w:line="240" w:lineRule="auto"/>
        <w:jc w:val="both"/>
        <w:rPr>
          <w:rFonts w:ascii="Times New Roman" w:hAnsi="Times New Roman"/>
          <w:sz w:val="28"/>
          <w:szCs w:val="28"/>
          <w:lang w:val="lv-LV"/>
        </w:rPr>
      </w:pPr>
    </w:p>
    <w:p w:rsidR="00DC672F" w:rsidRPr="009179E5" w:rsidRDefault="00382AF1" w:rsidP="00574AC8">
      <w:pPr>
        <w:pStyle w:val="Heading4"/>
        <w:numPr>
          <w:ilvl w:val="0"/>
          <w:numId w:val="0"/>
        </w:numPr>
        <w:spacing w:line="240" w:lineRule="auto"/>
        <w:jc w:val="center"/>
        <w:rPr>
          <w:rFonts w:ascii="Times New Roman" w:hAnsi="Times New Roman"/>
          <w:highlight w:val="yellow"/>
          <w:lang w:val="lv-LV" w:eastAsia="de-DE"/>
        </w:rPr>
      </w:pPr>
      <w:bookmarkStart w:id="30" w:name="_Toc300320575"/>
      <w:r w:rsidRPr="009179E5">
        <w:rPr>
          <w:rFonts w:ascii="Times New Roman Bold" w:hAnsi="Times New Roman Bold"/>
          <w:b/>
          <w:i w:val="0"/>
          <w:caps/>
          <w:color w:val="auto"/>
          <w:sz w:val="28"/>
          <w:u w:val="none"/>
          <w:lang w:val="lv-LV"/>
        </w:rPr>
        <w:t>4</w:t>
      </w:r>
      <w:r w:rsidR="0095197D" w:rsidRPr="009179E5">
        <w:rPr>
          <w:rFonts w:ascii="Times New Roman Bold" w:hAnsi="Times New Roman Bold"/>
          <w:b/>
          <w:i w:val="0"/>
          <w:caps/>
          <w:color w:val="auto"/>
          <w:sz w:val="28"/>
          <w:u w:val="none"/>
          <w:lang w:val="lv-LV"/>
        </w:rPr>
        <w:t>.</w:t>
      </w:r>
      <w:r w:rsidRPr="009179E5">
        <w:rPr>
          <w:rFonts w:ascii="Times New Roman Bold" w:hAnsi="Times New Roman Bold"/>
          <w:b/>
          <w:i w:val="0"/>
          <w:caps/>
          <w:color w:val="auto"/>
          <w:sz w:val="28"/>
          <w:u w:val="none"/>
          <w:lang w:val="lv-LV"/>
        </w:rPr>
        <w:t xml:space="preserve"> </w:t>
      </w:r>
      <w:r w:rsidR="001B6822" w:rsidRPr="009179E5">
        <w:rPr>
          <w:rFonts w:ascii="Times New Roman Bold" w:hAnsi="Times New Roman Bold"/>
          <w:b/>
          <w:i w:val="0"/>
          <w:caps/>
          <w:color w:val="auto"/>
          <w:sz w:val="28"/>
          <w:u w:val="none"/>
          <w:lang w:val="lv-LV"/>
        </w:rPr>
        <w:t>Otrā energoefektivitātes rīcības plāna energoefektivitātes pasākumi galapatēriņa sektoros</w:t>
      </w:r>
      <w:bookmarkEnd w:id="30"/>
    </w:p>
    <w:p w:rsidR="001B6822" w:rsidRPr="009179E5" w:rsidRDefault="00D05AC7" w:rsidP="0095197D">
      <w:pPr>
        <w:pStyle w:val="Heading4"/>
        <w:numPr>
          <w:ilvl w:val="0"/>
          <w:numId w:val="0"/>
        </w:numPr>
        <w:spacing w:line="240" w:lineRule="auto"/>
        <w:jc w:val="center"/>
        <w:rPr>
          <w:rFonts w:ascii="Times New Roman" w:hAnsi="Times New Roman"/>
          <w:sz w:val="28"/>
          <w:lang w:val="lv-LV"/>
        </w:rPr>
      </w:pPr>
      <w:bookmarkStart w:id="31" w:name="_Toc300320576"/>
      <w:r w:rsidRPr="009179E5">
        <w:rPr>
          <w:rFonts w:ascii="Times New Roman Bold" w:hAnsi="Times New Roman Bold"/>
          <w:b/>
          <w:i w:val="0"/>
          <w:caps/>
          <w:color w:val="auto"/>
          <w:sz w:val="28"/>
          <w:u w:val="none"/>
          <w:lang w:val="lv-LV"/>
        </w:rPr>
        <w:t>4.1</w:t>
      </w:r>
      <w:r w:rsidR="000E17C9" w:rsidRPr="009179E5">
        <w:rPr>
          <w:rFonts w:ascii="Times New Roman Bold" w:hAnsi="Times New Roman Bold"/>
          <w:b/>
          <w:i w:val="0"/>
          <w:caps/>
          <w:color w:val="auto"/>
          <w:sz w:val="28"/>
          <w:u w:val="none"/>
          <w:lang w:val="lv-LV"/>
        </w:rPr>
        <w:t>.</w:t>
      </w:r>
      <w:r w:rsidRPr="009179E5">
        <w:rPr>
          <w:rFonts w:ascii="Times New Roman Bold" w:hAnsi="Times New Roman Bold"/>
          <w:b/>
          <w:i w:val="0"/>
          <w:caps/>
          <w:color w:val="auto"/>
          <w:sz w:val="28"/>
          <w:u w:val="none"/>
          <w:lang w:val="lv-LV"/>
        </w:rPr>
        <w:t xml:space="preserve"> </w:t>
      </w:r>
      <w:r w:rsidR="001B6822" w:rsidRPr="009179E5">
        <w:rPr>
          <w:rFonts w:ascii="Times New Roman Bold" w:hAnsi="Times New Roman Bold"/>
          <w:b/>
          <w:i w:val="0"/>
          <w:caps/>
          <w:color w:val="auto"/>
          <w:sz w:val="28"/>
          <w:u w:val="none"/>
          <w:lang w:val="lv-LV"/>
        </w:rPr>
        <w:t>Mājsaimniecības</w:t>
      </w:r>
      <w:bookmarkEnd w:id="31"/>
    </w:p>
    <w:p w:rsidR="001B6822" w:rsidRPr="009179E5" w:rsidRDefault="00EF6A19" w:rsidP="00574AC8">
      <w:pPr>
        <w:spacing w:before="120" w:after="120" w:line="240" w:lineRule="auto"/>
        <w:jc w:val="both"/>
        <w:rPr>
          <w:rFonts w:ascii="Times New Roman" w:hAnsi="Times New Roman"/>
          <w:sz w:val="28"/>
          <w:szCs w:val="28"/>
          <w:lang w:val="lv-LV" w:bidi="en-US"/>
        </w:rPr>
      </w:pPr>
      <w:r w:rsidRPr="003B66D9">
        <w:rPr>
          <w:rFonts w:ascii="Times New Roman" w:hAnsi="Times New Roman"/>
          <w:sz w:val="28"/>
          <w:szCs w:val="28"/>
          <w:lang w:val="lv-LV" w:bidi="en-US"/>
        </w:rPr>
        <w:t xml:space="preserve">Latvijas Republikā lielākais gala enerģijas patērētājs ir </w:t>
      </w:r>
      <w:r w:rsidR="00E70641" w:rsidRPr="003B66D9">
        <w:rPr>
          <w:rFonts w:ascii="Times New Roman" w:hAnsi="Times New Roman"/>
          <w:sz w:val="28"/>
          <w:szCs w:val="28"/>
          <w:lang w:val="lv-LV" w:bidi="en-US"/>
        </w:rPr>
        <w:t>mājsaimniecību sektors, kas 2010.gadā sastādīja 35,1</w:t>
      </w:r>
      <w:r w:rsidRPr="003B66D9">
        <w:rPr>
          <w:rFonts w:ascii="Times New Roman" w:hAnsi="Times New Roman"/>
          <w:sz w:val="28"/>
          <w:szCs w:val="28"/>
          <w:lang w:val="lv-LV" w:bidi="en-US"/>
        </w:rPr>
        <w:t>% no kopējā enerģijas galapatēriņa.</w:t>
      </w:r>
      <w:r w:rsidR="001B6822" w:rsidRPr="009179E5">
        <w:rPr>
          <w:rFonts w:ascii="Times New Roman" w:hAnsi="Times New Roman"/>
          <w:sz w:val="28"/>
          <w:szCs w:val="28"/>
          <w:lang w:val="lv-LV" w:bidi="en-US"/>
        </w:rPr>
        <w:t xml:space="preserve"> No mājsaimniecību enerģijas patēriņa 60-85% sastāda siltumenerģijas patēriņš apkurei un karstā ūdens sagatavošanai. Dzīvojamais fonds 2009.gadā sasniedz  61,1 milj.m</w:t>
      </w:r>
      <w:r w:rsidR="001B6822" w:rsidRPr="009179E5">
        <w:rPr>
          <w:rFonts w:ascii="Times New Roman" w:hAnsi="Times New Roman"/>
          <w:sz w:val="28"/>
          <w:szCs w:val="28"/>
          <w:vertAlign w:val="superscript"/>
          <w:lang w:val="lv-LV" w:bidi="en-US"/>
        </w:rPr>
        <w:t>2</w:t>
      </w:r>
      <w:r w:rsidR="001B6822" w:rsidRPr="009179E5">
        <w:rPr>
          <w:rFonts w:ascii="Times New Roman" w:hAnsi="Times New Roman"/>
          <w:sz w:val="28"/>
          <w:szCs w:val="28"/>
          <w:lang w:val="lv-LV" w:bidi="en-US"/>
        </w:rPr>
        <w:t>, no kura 39,7 milj.m</w:t>
      </w:r>
      <w:r w:rsidR="001B6822" w:rsidRPr="009179E5">
        <w:rPr>
          <w:rFonts w:ascii="Times New Roman" w:hAnsi="Times New Roman"/>
          <w:sz w:val="28"/>
          <w:szCs w:val="28"/>
          <w:vertAlign w:val="superscript"/>
          <w:lang w:val="lv-LV" w:bidi="en-US"/>
        </w:rPr>
        <w:t>2</w:t>
      </w:r>
      <w:r w:rsidR="001B6822" w:rsidRPr="009179E5">
        <w:rPr>
          <w:rFonts w:ascii="Times New Roman" w:hAnsi="Times New Roman"/>
          <w:sz w:val="28"/>
          <w:szCs w:val="28"/>
          <w:lang w:val="lv-LV" w:bidi="en-US"/>
        </w:rPr>
        <w:t xml:space="preserve"> (65%) pilsētās un 21,4 milj. m</w:t>
      </w:r>
      <w:r w:rsidR="001B6822" w:rsidRPr="009179E5">
        <w:rPr>
          <w:rFonts w:ascii="Times New Roman" w:hAnsi="Times New Roman"/>
          <w:sz w:val="28"/>
          <w:szCs w:val="28"/>
          <w:vertAlign w:val="superscript"/>
          <w:lang w:val="lv-LV" w:bidi="en-US"/>
        </w:rPr>
        <w:t>2</w:t>
      </w:r>
      <w:r w:rsidR="001B6822" w:rsidRPr="009179E5">
        <w:rPr>
          <w:rFonts w:ascii="Times New Roman" w:hAnsi="Times New Roman"/>
          <w:sz w:val="28"/>
          <w:szCs w:val="28"/>
          <w:lang w:val="lv-LV" w:bidi="en-US"/>
        </w:rPr>
        <w:t xml:space="preserve"> (35%) lauku rajonos. Latvijas Republikas galvaspilsētā Rīgā, kur dzīvo aptuveni trešdaļa valsts iedzīvotāju, dzīvojamais fonds ir 31% no valsts kopējā dzīvojamā fonda. </w:t>
      </w:r>
    </w:p>
    <w:p w:rsidR="001B6822" w:rsidRPr="009179E5" w:rsidRDefault="00664126" w:rsidP="00574AC8">
      <w:pPr>
        <w:spacing w:before="120" w:after="120" w:line="240" w:lineRule="auto"/>
        <w:rPr>
          <w:rFonts w:ascii="Times New Roman" w:hAnsi="Times New Roman"/>
          <w:sz w:val="28"/>
          <w:szCs w:val="28"/>
          <w:lang w:val="lv-LV" w:bidi="en-US"/>
        </w:rPr>
      </w:pPr>
      <w:r w:rsidRPr="009179E5">
        <w:rPr>
          <w:rFonts w:ascii="Times New Roman" w:hAnsi="Times New Roman"/>
          <w:noProof/>
          <w:sz w:val="28"/>
          <w:szCs w:val="28"/>
          <w:lang w:val="lv-LV" w:eastAsia="lv-LV"/>
        </w:rPr>
        <w:lastRenderedPageBreak/>
        <w:drawing>
          <wp:inline distT="0" distB="0" distL="0" distR="0">
            <wp:extent cx="5484749" cy="2124075"/>
            <wp:effectExtent l="12192" t="6096" r="5334" b="889"/>
            <wp:docPr id="23" name="Picture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B6822" w:rsidRPr="009179E5" w:rsidRDefault="001B6822" w:rsidP="00574AC8">
      <w:pPr>
        <w:spacing w:before="120" w:after="120" w:line="240" w:lineRule="auto"/>
        <w:rPr>
          <w:rFonts w:ascii="Times New Roman" w:hAnsi="Times New Roman"/>
          <w:sz w:val="24"/>
          <w:szCs w:val="24"/>
          <w:lang w:val="lv-LV" w:bidi="en-US"/>
        </w:rPr>
      </w:pPr>
      <w:r w:rsidRPr="009179E5">
        <w:rPr>
          <w:rFonts w:ascii="Times New Roman" w:hAnsi="Times New Roman"/>
          <w:sz w:val="28"/>
          <w:szCs w:val="28"/>
          <w:lang w:val="lv-LV" w:bidi="en-US"/>
        </w:rPr>
        <w:t xml:space="preserve">   </w:t>
      </w:r>
      <w:r w:rsidR="008674EC" w:rsidRPr="009179E5">
        <w:rPr>
          <w:rFonts w:ascii="Times New Roman" w:hAnsi="Times New Roman"/>
          <w:b/>
          <w:sz w:val="24"/>
          <w:szCs w:val="24"/>
          <w:lang w:val="lv-LV" w:bidi="en-US"/>
        </w:rPr>
        <w:t>15.attēls. Dzīvojamā fonda izmaiņas 1990.-2009.gadam</w:t>
      </w:r>
    </w:p>
    <w:p w:rsidR="001B6822" w:rsidRPr="009179E5" w:rsidRDefault="00832C1D" w:rsidP="00574AC8">
      <w:pPr>
        <w:spacing w:before="120" w:after="120" w:line="240" w:lineRule="auto"/>
        <w:jc w:val="both"/>
        <w:rPr>
          <w:rFonts w:ascii="Times New Roman" w:hAnsi="Times New Roman"/>
          <w:sz w:val="28"/>
          <w:szCs w:val="28"/>
          <w:lang w:val="lv-LV" w:bidi="en-US"/>
        </w:rPr>
      </w:pPr>
      <w:r w:rsidRPr="009179E5">
        <w:rPr>
          <w:rFonts w:ascii="Times New Roman" w:hAnsi="Times New Roman"/>
          <w:sz w:val="28"/>
          <w:szCs w:val="28"/>
          <w:lang w:val="lv-LV"/>
        </w:rPr>
        <w:t>Kopš 2008.gada krīzes, būtiski mainījies nekustamā īpašuma tirgus situācija – palielināti nodokļi, samazinājusies kredītu pieejamība. Ņemot vērā tirgus situāciju un demogrāfiskās tendences, līdz 2020.gadam straujš dzīvojamā fonda pieaugums nav sagaidāms (0,1-0,2% gadā).</w:t>
      </w:r>
    </w:p>
    <w:p w:rsidR="001B6822" w:rsidRPr="009179E5" w:rsidRDefault="00F816CC"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Ministru kabinets </w:t>
      </w:r>
      <w:r w:rsidR="001B6822" w:rsidRPr="009179E5">
        <w:rPr>
          <w:rFonts w:ascii="Times New Roman" w:hAnsi="Times New Roman"/>
          <w:sz w:val="28"/>
          <w:szCs w:val="28"/>
          <w:lang w:val="lv-LV"/>
        </w:rPr>
        <w:t xml:space="preserve">2011.gada 5.aprīlī apstiprināja grozījumus 2009.gada 10.februāra Ministru kabineta noteikumos Nr.138 „Noteikumi par darbības programmas „Infrastruktūra un pakalpojumi” papildinājuma 3.4.4.1.aktivitāti „Daudzdzīvokļu māju siltumnoturības uzlabošanas pasākumi”” un apstiprināja jaunus Ministru kabineta noteikumus „Noteikumi par darbības programmas “Infrastruktūra un pakalpojumi” papildinājuma 3.4.4.1.aktivitātes “Daudzdzīvokļu māju siltumnoturības uzlabošanas pasākumi” </w:t>
      </w:r>
      <w:r w:rsidR="001B6822" w:rsidRPr="009179E5">
        <w:rPr>
          <w:rFonts w:ascii="Times New Roman" w:hAnsi="Times New Roman"/>
          <w:sz w:val="28"/>
          <w:szCs w:val="28"/>
          <w:u w:val="single"/>
          <w:lang w:val="lv-LV"/>
        </w:rPr>
        <w:t>devīto projektu iesniegumu atlases kārtu</w:t>
      </w:r>
      <w:r w:rsidR="001B6822" w:rsidRPr="009179E5">
        <w:rPr>
          <w:rFonts w:ascii="Times New Roman" w:hAnsi="Times New Roman"/>
          <w:sz w:val="28"/>
          <w:szCs w:val="28"/>
          <w:lang w:val="lv-LV"/>
        </w:rPr>
        <w:t>”. Šo dokumentu apstiprināšana paplašina ēku skaitu, kuras varētu pretendēt uz līdzfinansējuma saņemšanu</w:t>
      </w:r>
      <w:r w:rsidR="004F7F9A" w:rsidRPr="009179E5">
        <w:rPr>
          <w:rFonts w:ascii="Times New Roman" w:hAnsi="Times New Roman"/>
          <w:sz w:val="28"/>
          <w:szCs w:val="28"/>
          <w:lang w:val="lv-LV"/>
        </w:rPr>
        <w:t>, tas ir,</w:t>
      </w:r>
      <w:r w:rsidR="001B6822" w:rsidRPr="009179E5">
        <w:rPr>
          <w:rFonts w:ascii="Times New Roman" w:hAnsi="Times New Roman"/>
          <w:sz w:val="28"/>
          <w:szCs w:val="28"/>
          <w:lang w:val="lv-LV"/>
        </w:rPr>
        <w:t xml:space="preserve"> līdz 35</w:t>
      </w:r>
      <w:r w:rsidR="004F7F9A" w:rsidRPr="009179E5">
        <w:rPr>
          <w:rFonts w:ascii="Times New Roman" w:hAnsi="Times New Roman"/>
          <w:sz w:val="28"/>
          <w:szCs w:val="28"/>
          <w:lang w:val="lv-LV"/>
        </w:rPr>
        <w:t> </w:t>
      </w:r>
      <w:r w:rsidR="001B6822" w:rsidRPr="009179E5">
        <w:rPr>
          <w:rFonts w:ascii="Times New Roman" w:hAnsi="Times New Roman"/>
          <w:sz w:val="28"/>
          <w:szCs w:val="28"/>
          <w:lang w:val="lv-LV"/>
        </w:rPr>
        <w:t>000</w:t>
      </w:r>
      <w:r w:rsidR="004F7F9A" w:rsidRPr="009179E5">
        <w:rPr>
          <w:rFonts w:ascii="Times New Roman" w:hAnsi="Times New Roman"/>
          <w:sz w:val="28"/>
          <w:szCs w:val="28"/>
          <w:lang w:val="lv-LV"/>
        </w:rPr>
        <w:t xml:space="preserve"> ēku</w:t>
      </w:r>
      <w:r w:rsidR="001B6822" w:rsidRPr="009179E5">
        <w:rPr>
          <w:rFonts w:ascii="Times New Roman" w:hAnsi="Times New Roman"/>
          <w:sz w:val="28"/>
          <w:szCs w:val="28"/>
          <w:lang w:val="lv-LV"/>
        </w:rPr>
        <w:t>.</w:t>
      </w:r>
    </w:p>
    <w:p w:rsidR="001B6822" w:rsidRPr="009179E5" w:rsidRDefault="001B6822"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Apstiprinot 3.4.4.1.aktivitāti „Daudzdzīvokļu māju siltumnoturības uzlabošanas pasākumi”, tika plānots, ka aktivitātes laikā līdz 2013. gada beigām tiks renovētas 120 mājas. Aktivitātes ieviešana liecina, ka plānotais skaits noteikti tiks pārsniegts. </w:t>
      </w:r>
    </w:p>
    <w:p w:rsidR="001B6822" w:rsidRPr="009179E5" w:rsidRDefault="001B6822"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Lai veicinātu iedzīvotāju spēju vienoties par mājas renovācijas izdevumu segšanu, kas līdz šim bija būtisks šķērslis, lai iedzīvotāji vienotos par  dzīvojamās mājas renovāciju,  „Dzīvokļa īpašuma likuma” (stājies spēkā no 01.01.2011.) 13.pants nosaka </w:t>
      </w:r>
      <w:r w:rsidRPr="009179E5">
        <w:rPr>
          <w:rFonts w:ascii="Times New Roman" w:hAnsi="Times New Roman"/>
          <w:bCs/>
          <w:sz w:val="28"/>
          <w:szCs w:val="28"/>
          <w:lang w:val="lv-LV"/>
        </w:rPr>
        <w:t xml:space="preserve">dzīvojamās mājas pārvaldīšanas izdevumu segšanas kārtību, kas nosaka pienākumu iedzīvotājiem segt </w:t>
      </w:r>
      <w:r w:rsidRPr="009179E5">
        <w:rPr>
          <w:rFonts w:ascii="Times New Roman" w:hAnsi="Times New Roman"/>
          <w:sz w:val="28"/>
          <w:szCs w:val="28"/>
          <w:lang w:val="lv-LV"/>
        </w:rPr>
        <w:t>uz dzīvokļu īpašnieku kopības lēmuma pamata noteiktos izdevumus citu dzīvojamās mājas pārvaldīšanas darbību veikšanai, kas nodrošina dzīvojamās mājas uzlabošanu un attīstīšanu, veicina optimālu tās pārvaldīšanas</w:t>
      </w:r>
      <w:r w:rsidR="00F05BF3" w:rsidRPr="009179E5">
        <w:rPr>
          <w:rFonts w:ascii="Times New Roman" w:hAnsi="Times New Roman"/>
          <w:sz w:val="28"/>
          <w:szCs w:val="28"/>
          <w:lang w:val="lv-LV"/>
        </w:rPr>
        <w:t xml:space="preserve"> izdevumu veidošanu un attiecas uz </w:t>
      </w:r>
      <w:r w:rsidRPr="009179E5">
        <w:rPr>
          <w:rFonts w:ascii="Times New Roman" w:hAnsi="Times New Roman"/>
          <w:sz w:val="28"/>
          <w:szCs w:val="28"/>
          <w:lang w:val="lv-LV"/>
        </w:rPr>
        <w:t>kopīpašumā esošo dzīvojamās mājas elementu, iekārtu vai komunikāciju nomaiņu, kuras rezultātā samaz</w:t>
      </w:r>
      <w:r w:rsidR="00F05BF3" w:rsidRPr="009179E5">
        <w:rPr>
          <w:rFonts w:ascii="Times New Roman" w:hAnsi="Times New Roman"/>
          <w:sz w:val="28"/>
          <w:szCs w:val="28"/>
          <w:lang w:val="lv-LV"/>
        </w:rPr>
        <w:t xml:space="preserve">inās mājas uzturēšanas izmaksas, kā arī uz </w:t>
      </w:r>
      <w:r w:rsidRPr="009179E5">
        <w:rPr>
          <w:rFonts w:ascii="Times New Roman" w:hAnsi="Times New Roman"/>
          <w:sz w:val="28"/>
          <w:szCs w:val="28"/>
          <w:lang w:val="lv-LV"/>
        </w:rPr>
        <w:t>pasākumiem, kuru rezultātā samazinās izdevumi par pakalpojumiem, kas saistīti ar dzīvokļa īpašuma lietošanu.</w:t>
      </w:r>
    </w:p>
    <w:p w:rsidR="001B6822" w:rsidRPr="009179E5" w:rsidRDefault="001B6822" w:rsidP="00F05BF3">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lastRenderedPageBreak/>
        <w:t xml:space="preserve">Plānots, ka līdz 2013.gadam turpināsies </w:t>
      </w:r>
      <w:r w:rsidRPr="009179E5">
        <w:rPr>
          <w:rFonts w:ascii="Times New Roman" w:hAnsi="Times New Roman"/>
          <w:bCs/>
          <w:sz w:val="28"/>
          <w:szCs w:val="28"/>
          <w:lang w:val="lv-LV"/>
        </w:rPr>
        <w:t>Darbības programmas „Infrastruktūra un pakalpojumi” papildinājuma 3.4.4.1.aktivitāte „Daudzdzīvokļu māju siltumnoturības uzlabošanas pasākumi” un 3.4.4.2.aktivitāte „Sociālo dzīvojamo māju siltumnoturības uzlabošanas pasākumi”, kā arī  i</w:t>
      </w:r>
      <w:r w:rsidRPr="009179E5">
        <w:rPr>
          <w:rFonts w:ascii="Times New Roman" w:hAnsi="Times New Roman"/>
          <w:sz w:val="28"/>
          <w:szCs w:val="28"/>
          <w:lang w:val="lv-LV"/>
        </w:rPr>
        <w:t xml:space="preserve">nformatīvā kampaņa “Dzīvosim siltāk” daudzdzīvokļu dzīvojamo māju iedzīvotājiem. </w:t>
      </w:r>
    </w:p>
    <w:p w:rsidR="001B6822" w:rsidRPr="009179E5" w:rsidRDefault="00751A60" w:rsidP="00DC7E7C">
      <w:pPr>
        <w:spacing w:before="60" w:after="60" w:line="240" w:lineRule="auto"/>
        <w:jc w:val="both"/>
        <w:rPr>
          <w:rFonts w:ascii="Times New Roman" w:hAnsi="Times New Roman"/>
          <w:b/>
          <w:sz w:val="28"/>
          <w:szCs w:val="28"/>
          <w:u w:val="single"/>
          <w:lang w:val="lv-LV"/>
        </w:rPr>
      </w:pPr>
      <w:r w:rsidRPr="009179E5">
        <w:rPr>
          <w:rFonts w:ascii="Times New Roman" w:hAnsi="Times New Roman"/>
          <w:b/>
          <w:sz w:val="28"/>
          <w:szCs w:val="28"/>
          <w:u w:val="single"/>
          <w:lang w:val="lv-LV"/>
        </w:rPr>
        <w:t>3.4.4.1. a</w:t>
      </w:r>
      <w:r w:rsidR="001B6822" w:rsidRPr="009179E5">
        <w:rPr>
          <w:rFonts w:ascii="Times New Roman" w:hAnsi="Times New Roman"/>
          <w:b/>
          <w:sz w:val="28"/>
          <w:szCs w:val="28"/>
          <w:u w:val="single"/>
          <w:lang w:val="lv-LV"/>
        </w:rPr>
        <w:t>ktivitātes izpildes rādītāji uz 2011.gada 1.maiju</w:t>
      </w:r>
      <w:r w:rsidR="003D09EA" w:rsidRPr="009179E5">
        <w:rPr>
          <w:rFonts w:ascii="Times New Roman" w:hAnsi="Times New Roman"/>
          <w:b/>
          <w:sz w:val="28"/>
          <w:szCs w:val="28"/>
          <w:u w:val="single"/>
          <w:lang w:val="lv-LV"/>
        </w:rPr>
        <w:t xml:space="preserve"> ir šādi</w:t>
      </w:r>
      <w:r w:rsidR="001B6822" w:rsidRPr="009179E5">
        <w:rPr>
          <w:rFonts w:ascii="Times New Roman" w:hAnsi="Times New Roman"/>
          <w:b/>
          <w:sz w:val="28"/>
          <w:szCs w:val="28"/>
          <w:u w:val="single"/>
          <w:lang w:val="lv-LV"/>
        </w:rPr>
        <w:t>:</w:t>
      </w:r>
    </w:p>
    <w:p w:rsidR="003D09EA" w:rsidRPr="009179E5" w:rsidRDefault="003D09EA" w:rsidP="00F05BF3">
      <w:pPr>
        <w:numPr>
          <w:ilvl w:val="0"/>
          <w:numId w:val="41"/>
        </w:numPr>
        <w:spacing w:before="60" w:after="0" w:line="240" w:lineRule="auto"/>
        <w:ind w:left="714" w:hanging="357"/>
        <w:jc w:val="both"/>
        <w:rPr>
          <w:rFonts w:ascii="Times New Roman" w:hAnsi="Times New Roman"/>
          <w:b/>
          <w:sz w:val="28"/>
          <w:szCs w:val="28"/>
          <w:u w:val="single"/>
          <w:lang w:val="lv-LV"/>
        </w:rPr>
      </w:pPr>
      <w:r w:rsidRPr="009179E5">
        <w:rPr>
          <w:rFonts w:ascii="Times New Roman" w:hAnsi="Times New Roman"/>
          <w:sz w:val="28"/>
          <w:szCs w:val="28"/>
          <w:lang w:val="lv-LV"/>
        </w:rPr>
        <w:t>Saņemti 438 projektu pieteikumi par kopējo summu 24,9 milj.LVL;</w:t>
      </w:r>
    </w:p>
    <w:p w:rsidR="003D09EA" w:rsidRPr="009179E5" w:rsidRDefault="003D09EA" w:rsidP="00F05BF3">
      <w:pPr>
        <w:numPr>
          <w:ilvl w:val="0"/>
          <w:numId w:val="41"/>
        </w:numPr>
        <w:spacing w:before="60" w:after="0" w:line="240" w:lineRule="auto"/>
        <w:ind w:left="714" w:hanging="357"/>
        <w:jc w:val="both"/>
        <w:rPr>
          <w:rFonts w:ascii="Times New Roman" w:hAnsi="Times New Roman"/>
          <w:b/>
          <w:sz w:val="28"/>
          <w:szCs w:val="28"/>
          <w:u w:val="single"/>
          <w:lang w:val="lv-LV"/>
        </w:rPr>
      </w:pPr>
      <w:r w:rsidRPr="009179E5">
        <w:rPr>
          <w:rFonts w:ascii="Times New Roman" w:hAnsi="Times New Roman"/>
          <w:sz w:val="28"/>
          <w:szCs w:val="28"/>
          <w:lang w:val="lv-LV"/>
        </w:rPr>
        <w:t>Noslēgti 162 māju renovācijas līgumi par kopējo summu 8,44 milj.LVL;</w:t>
      </w:r>
    </w:p>
    <w:p w:rsidR="003D09EA" w:rsidRPr="009179E5" w:rsidRDefault="003D09EA" w:rsidP="00F05BF3">
      <w:pPr>
        <w:numPr>
          <w:ilvl w:val="0"/>
          <w:numId w:val="41"/>
        </w:numPr>
        <w:spacing w:before="60" w:after="0" w:line="240" w:lineRule="auto"/>
        <w:ind w:left="714" w:hanging="357"/>
        <w:jc w:val="both"/>
        <w:rPr>
          <w:rFonts w:ascii="Times New Roman" w:hAnsi="Times New Roman"/>
          <w:b/>
          <w:sz w:val="28"/>
          <w:szCs w:val="28"/>
          <w:u w:val="single"/>
          <w:lang w:val="lv-LV"/>
        </w:rPr>
      </w:pPr>
      <w:r w:rsidRPr="009179E5">
        <w:rPr>
          <w:rFonts w:ascii="Times New Roman" w:hAnsi="Times New Roman"/>
          <w:sz w:val="28"/>
          <w:szCs w:val="28"/>
          <w:lang w:val="lv-LV"/>
        </w:rPr>
        <w:t>Renovētas 52 mājas, bet līdzfinansējums pilnībā izmaksāts 32 mājām;</w:t>
      </w:r>
    </w:p>
    <w:p w:rsidR="003D09EA" w:rsidRPr="009179E5" w:rsidRDefault="003D09EA" w:rsidP="00F05BF3">
      <w:pPr>
        <w:numPr>
          <w:ilvl w:val="0"/>
          <w:numId w:val="41"/>
        </w:numPr>
        <w:spacing w:before="60" w:after="0" w:line="240" w:lineRule="auto"/>
        <w:ind w:left="714" w:hanging="357"/>
        <w:jc w:val="both"/>
        <w:rPr>
          <w:rFonts w:ascii="Times New Roman" w:hAnsi="Times New Roman"/>
          <w:b/>
          <w:sz w:val="28"/>
          <w:szCs w:val="28"/>
          <w:u w:val="single"/>
          <w:lang w:val="lv-LV"/>
        </w:rPr>
      </w:pPr>
      <w:r w:rsidRPr="009179E5">
        <w:rPr>
          <w:rFonts w:ascii="Times New Roman" w:hAnsi="Times New Roman"/>
          <w:sz w:val="28"/>
          <w:szCs w:val="28"/>
          <w:lang w:val="lv-LV"/>
        </w:rPr>
        <w:t>Viena m</w:t>
      </w:r>
      <w:r w:rsidRPr="009179E5">
        <w:rPr>
          <w:rFonts w:ascii="Times New Roman" w:hAnsi="Times New Roman"/>
          <w:sz w:val="28"/>
          <w:szCs w:val="28"/>
          <w:vertAlign w:val="superscript"/>
          <w:lang w:val="lv-LV"/>
        </w:rPr>
        <w:t xml:space="preserve">2 </w:t>
      </w:r>
      <w:r w:rsidRPr="009179E5">
        <w:rPr>
          <w:rFonts w:ascii="Times New Roman" w:hAnsi="Times New Roman"/>
          <w:sz w:val="28"/>
          <w:szCs w:val="28"/>
          <w:lang w:val="lv-LV"/>
        </w:rPr>
        <w:t>renovācijas izmaksas ap 30 LVL/m</w:t>
      </w:r>
      <w:r w:rsidRPr="009179E5">
        <w:rPr>
          <w:rFonts w:ascii="Times New Roman" w:hAnsi="Times New Roman"/>
          <w:sz w:val="28"/>
          <w:szCs w:val="28"/>
          <w:vertAlign w:val="superscript"/>
          <w:lang w:val="lv-LV"/>
        </w:rPr>
        <w:t>2</w:t>
      </w:r>
      <w:r w:rsidRPr="009179E5">
        <w:rPr>
          <w:rFonts w:ascii="Times New Roman" w:hAnsi="Times New Roman"/>
          <w:sz w:val="28"/>
          <w:szCs w:val="28"/>
          <w:lang w:val="lv-LV"/>
        </w:rPr>
        <w:t>.</w:t>
      </w:r>
    </w:p>
    <w:p w:rsidR="00D31158" w:rsidRPr="001960CF" w:rsidRDefault="00D31158" w:rsidP="003F1905">
      <w:pPr>
        <w:pStyle w:val="Caption"/>
        <w:spacing w:after="0" w:line="240" w:lineRule="auto"/>
        <w:jc w:val="right"/>
        <w:rPr>
          <w:rFonts w:ascii="Times New Roman" w:hAnsi="Times New Roman"/>
          <w:sz w:val="14"/>
          <w:szCs w:val="24"/>
          <w:lang w:val="lv-LV"/>
        </w:rPr>
      </w:pPr>
    </w:p>
    <w:p w:rsidR="006C5B51" w:rsidRPr="009179E5" w:rsidRDefault="00F816CC" w:rsidP="003F1905">
      <w:pPr>
        <w:pStyle w:val="Caption"/>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t>6</w:t>
      </w:r>
      <w:r w:rsidR="006C5B51" w:rsidRPr="009179E5">
        <w:rPr>
          <w:rFonts w:ascii="Times New Roman" w:hAnsi="Times New Roman"/>
          <w:sz w:val="24"/>
          <w:szCs w:val="24"/>
          <w:lang w:val="lv-LV"/>
        </w:rPr>
        <w:t>.</w:t>
      </w:r>
      <w:r w:rsidR="001B6822" w:rsidRPr="009179E5">
        <w:rPr>
          <w:rFonts w:ascii="Times New Roman" w:hAnsi="Times New Roman"/>
          <w:sz w:val="24"/>
          <w:szCs w:val="24"/>
          <w:lang w:val="lv-LV"/>
        </w:rPr>
        <w:t xml:space="preserve">tabula  </w:t>
      </w:r>
    </w:p>
    <w:p w:rsidR="001B6822" w:rsidRPr="009179E5" w:rsidRDefault="001B6822" w:rsidP="003F1905">
      <w:pPr>
        <w:pStyle w:val="Caption"/>
        <w:spacing w:after="0" w:line="240" w:lineRule="auto"/>
        <w:jc w:val="center"/>
        <w:rPr>
          <w:rFonts w:ascii="Times New Roman" w:hAnsi="Times New Roman"/>
          <w:lang w:val="lv-LV"/>
        </w:rPr>
      </w:pPr>
      <w:r w:rsidRPr="009179E5">
        <w:rPr>
          <w:rFonts w:ascii="Times New Roman" w:hAnsi="Times New Roman"/>
          <w:sz w:val="24"/>
          <w:szCs w:val="24"/>
          <w:lang w:val="lv-LV"/>
        </w:rPr>
        <w:t>Energoefektivitātes paaugstināšanas pasākum</w:t>
      </w:r>
      <w:r w:rsidR="006C5B51" w:rsidRPr="009179E5">
        <w:rPr>
          <w:rFonts w:ascii="Times New Roman" w:hAnsi="Times New Roman"/>
          <w:sz w:val="24"/>
          <w:szCs w:val="24"/>
          <w:lang w:val="lv-LV"/>
        </w:rPr>
        <w:t>u</w:t>
      </w:r>
      <w:r w:rsidRPr="009179E5">
        <w:rPr>
          <w:rFonts w:ascii="Times New Roman" w:hAnsi="Times New Roman"/>
          <w:sz w:val="24"/>
          <w:szCs w:val="24"/>
          <w:lang w:val="lv-LV"/>
        </w:rPr>
        <w:t xml:space="preserve"> </w:t>
      </w:r>
      <w:r w:rsidRPr="009179E5">
        <w:rPr>
          <w:rFonts w:ascii="Times New Roman" w:hAnsi="Times New Roman"/>
          <w:sz w:val="24"/>
          <w:szCs w:val="24"/>
          <w:u w:val="single"/>
          <w:lang w:val="lv-LV"/>
        </w:rPr>
        <w:t>mājsaimniecību  sektorā</w:t>
      </w:r>
      <w:r w:rsidRPr="009179E5">
        <w:rPr>
          <w:rFonts w:ascii="Times New Roman" w:hAnsi="Times New Roman"/>
          <w:sz w:val="24"/>
          <w:szCs w:val="24"/>
          <w:lang w:val="lv-LV"/>
        </w:rPr>
        <w:t xml:space="preserve"> kopsavilkuma tabula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93"/>
        <w:gridCol w:w="2316"/>
        <w:gridCol w:w="1816"/>
        <w:gridCol w:w="1346"/>
        <w:gridCol w:w="1403"/>
        <w:gridCol w:w="1403"/>
      </w:tblGrid>
      <w:tr w:rsidR="001B6822" w:rsidRPr="009179E5" w:rsidTr="006C5B51">
        <w:tc>
          <w:tcPr>
            <w:tcW w:w="993" w:type="dxa"/>
          </w:tcPr>
          <w:p w:rsidR="001B6822" w:rsidRPr="009179E5" w:rsidRDefault="001B6822" w:rsidP="003C4AC9">
            <w:pPr>
              <w:spacing w:after="0" w:line="240" w:lineRule="auto"/>
              <w:jc w:val="both"/>
              <w:rPr>
                <w:rFonts w:ascii="Times New Roman" w:hAnsi="Times New Roman"/>
                <w:b/>
                <w:sz w:val="20"/>
                <w:szCs w:val="20"/>
                <w:lang w:val="lv-LV"/>
              </w:rPr>
            </w:pPr>
            <w:r w:rsidRPr="009179E5">
              <w:rPr>
                <w:rFonts w:ascii="Times New Roman" w:hAnsi="Times New Roman"/>
                <w:b/>
                <w:sz w:val="20"/>
                <w:szCs w:val="20"/>
                <w:lang w:val="lv-LV"/>
              </w:rPr>
              <w:t>Nr.</w:t>
            </w:r>
          </w:p>
        </w:tc>
        <w:tc>
          <w:tcPr>
            <w:tcW w:w="2316" w:type="dxa"/>
          </w:tcPr>
          <w:p w:rsidR="001B6822" w:rsidRPr="009179E5" w:rsidRDefault="001B6822" w:rsidP="003C4AC9">
            <w:pPr>
              <w:spacing w:after="0" w:line="240" w:lineRule="auto"/>
              <w:jc w:val="both"/>
              <w:rPr>
                <w:rFonts w:ascii="Times New Roman" w:hAnsi="Times New Roman"/>
                <w:b/>
                <w:sz w:val="20"/>
                <w:szCs w:val="20"/>
                <w:lang w:val="lv-LV"/>
              </w:rPr>
            </w:pPr>
            <w:r w:rsidRPr="009179E5">
              <w:rPr>
                <w:rFonts w:ascii="Times New Roman" w:hAnsi="Times New Roman"/>
                <w:b/>
                <w:sz w:val="20"/>
                <w:szCs w:val="20"/>
                <w:lang w:val="lv-LV"/>
              </w:rPr>
              <w:t xml:space="preserve">Pasākums  </w:t>
            </w:r>
            <w:r w:rsidRPr="009179E5">
              <w:rPr>
                <w:rFonts w:ascii="Times New Roman" w:hAnsi="Times New Roman"/>
                <w:b/>
                <w:sz w:val="20"/>
                <w:szCs w:val="20"/>
                <w:lang w:val="lv-LV"/>
              </w:rPr>
              <w:br/>
            </w:r>
          </w:p>
        </w:tc>
        <w:tc>
          <w:tcPr>
            <w:tcW w:w="1816" w:type="dxa"/>
          </w:tcPr>
          <w:p w:rsidR="001B6822" w:rsidRPr="009179E5" w:rsidRDefault="001B6822" w:rsidP="003C4AC9">
            <w:pPr>
              <w:spacing w:after="0" w:line="240" w:lineRule="auto"/>
              <w:jc w:val="both"/>
              <w:rPr>
                <w:rFonts w:ascii="Times New Roman" w:hAnsi="Times New Roman"/>
                <w:b/>
                <w:sz w:val="20"/>
                <w:szCs w:val="20"/>
                <w:lang w:val="lv-LV"/>
              </w:rPr>
            </w:pPr>
            <w:r w:rsidRPr="009179E5">
              <w:rPr>
                <w:rFonts w:ascii="Times New Roman" w:hAnsi="Times New Roman"/>
                <w:b/>
                <w:sz w:val="20"/>
                <w:szCs w:val="20"/>
                <w:lang w:val="lv-LV"/>
              </w:rPr>
              <w:t>Mērķauditorija</w:t>
            </w:r>
          </w:p>
        </w:tc>
        <w:tc>
          <w:tcPr>
            <w:tcW w:w="1346" w:type="dxa"/>
          </w:tcPr>
          <w:p w:rsidR="001B6822" w:rsidRPr="009179E5" w:rsidRDefault="001B6822" w:rsidP="003C4AC9">
            <w:pPr>
              <w:spacing w:after="0" w:line="240" w:lineRule="auto"/>
              <w:jc w:val="both"/>
              <w:rPr>
                <w:rFonts w:ascii="Times New Roman" w:hAnsi="Times New Roman"/>
                <w:b/>
                <w:sz w:val="20"/>
                <w:szCs w:val="20"/>
                <w:lang w:val="lv-LV"/>
              </w:rPr>
            </w:pPr>
            <w:r w:rsidRPr="009179E5">
              <w:rPr>
                <w:rFonts w:ascii="Times New Roman" w:hAnsi="Times New Roman"/>
                <w:b/>
                <w:sz w:val="20"/>
                <w:szCs w:val="20"/>
                <w:lang w:val="lv-LV"/>
              </w:rPr>
              <w:t>Periods</w:t>
            </w:r>
          </w:p>
        </w:tc>
        <w:tc>
          <w:tcPr>
            <w:tcW w:w="1403" w:type="dxa"/>
          </w:tcPr>
          <w:p w:rsidR="001B6822" w:rsidRPr="009179E5" w:rsidRDefault="001B6822" w:rsidP="003C4AC9">
            <w:pPr>
              <w:spacing w:after="0" w:line="240" w:lineRule="auto"/>
              <w:jc w:val="both"/>
              <w:rPr>
                <w:rFonts w:ascii="Times New Roman" w:hAnsi="Times New Roman"/>
                <w:b/>
                <w:sz w:val="20"/>
                <w:szCs w:val="20"/>
                <w:lang w:val="lv-LV"/>
              </w:rPr>
            </w:pPr>
            <w:r w:rsidRPr="009179E5">
              <w:rPr>
                <w:rFonts w:ascii="Times New Roman" w:hAnsi="Times New Roman"/>
                <w:b/>
                <w:sz w:val="20"/>
                <w:szCs w:val="20"/>
                <w:lang w:val="lv-LV"/>
              </w:rPr>
              <w:t>Sasniegtie enerģijas ietaupījumi</w:t>
            </w:r>
          </w:p>
          <w:p w:rsidR="001B6822" w:rsidRPr="009179E5" w:rsidRDefault="001B6822" w:rsidP="003C4AC9">
            <w:pPr>
              <w:spacing w:after="0" w:line="240" w:lineRule="auto"/>
              <w:jc w:val="both"/>
              <w:rPr>
                <w:rFonts w:ascii="Times New Roman" w:hAnsi="Times New Roman"/>
                <w:b/>
                <w:sz w:val="20"/>
                <w:szCs w:val="20"/>
                <w:lang w:val="lv-LV"/>
              </w:rPr>
            </w:pPr>
            <w:r w:rsidRPr="009179E5">
              <w:rPr>
                <w:rFonts w:ascii="Times New Roman" w:hAnsi="Times New Roman"/>
                <w:b/>
                <w:sz w:val="20"/>
                <w:szCs w:val="20"/>
                <w:lang w:val="lv-LV"/>
              </w:rPr>
              <w:t>2010 (GWh)</w:t>
            </w:r>
          </w:p>
        </w:tc>
        <w:tc>
          <w:tcPr>
            <w:tcW w:w="1403" w:type="dxa"/>
          </w:tcPr>
          <w:p w:rsidR="001B6822" w:rsidRPr="009179E5" w:rsidRDefault="001B6822" w:rsidP="003C4AC9">
            <w:pPr>
              <w:spacing w:after="0" w:line="240" w:lineRule="auto"/>
              <w:jc w:val="both"/>
              <w:rPr>
                <w:rFonts w:ascii="Times New Roman" w:hAnsi="Times New Roman"/>
                <w:b/>
                <w:sz w:val="20"/>
                <w:szCs w:val="20"/>
                <w:lang w:val="lv-LV"/>
              </w:rPr>
            </w:pPr>
            <w:r w:rsidRPr="009179E5">
              <w:rPr>
                <w:rFonts w:ascii="Times New Roman" w:hAnsi="Times New Roman"/>
                <w:b/>
                <w:sz w:val="20"/>
                <w:szCs w:val="20"/>
                <w:lang w:val="lv-LV"/>
              </w:rPr>
              <w:t>Plānotie enerģijas ietaupījumi 2016 (GWh)</w:t>
            </w:r>
          </w:p>
        </w:tc>
      </w:tr>
      <w:tr w:rsidR="00E43560" w:rsidRPr="009179E5" w:rsidTr="00E43560">
        <w:tc>
          <w:tcPr>
            <w:tcW w:w="993" w:type="dxa"/>
          </w:tcPr>
          <w:p w:rsidR="00E43560" w:rsidRPr="009179E5" w:rsidRDefault="00E43560" w:rsidP="003C4AC9">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MA.1.</w:t>
            </w:r>
            <w:r w:rsidR="003C4AC9" w:rsidRPr="009179E5">
              <w:rPr>
                <w:rFonts w:ascii="Times New Roman" w:hAnsi="Times New Roman"/>
                <w:sz w:val="20"/>
                <w:szCs w:val="20"/>
                <w:lang w:val="lv-LV"/>
              </w:rPr>
              <w:t>1.</w:t>
            </w:r>
          </w:p>
        </w:tc>
        <w:tc>
          <w:tcPr>
            <w:tcW w:w="2316" w:type="dxa"/>
          </w:tcPr>
          <w:p w:rsidR="00E43560" w:rsidRPr="009179E5" w:rsidRDefault="00E43560" w:rsidP="003C4AC9">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Darbības programmas „Infrastruktūra un pakalpojumi” papildinājuma 3.4.4.1.aktivitāte „Daudzdzīvokļu māju siltumnoturības uzlabošanas pasākumi”</w:t>
            </w:r>
          </w:p>
        </w:tc>
        <w:tc>
          <w:tcPr>
            <w:tcW w:w="1816" w:type="dxa"/>
          </w:tcPr>
          <w:p w:rsidR="00E43560" w:rsidRPr="009179E5" w:rsidRDefault="00E43560" w:rsidP="003C4AC9">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 xml:space="preserve">Daudzdzīvokļu māju dzīvokļu īpašnieki </w:t>
            </w:r>
          </w:p>
        </w:tc>
        <w:tc>
          <w:tcPr>
            <w:tcW w:w="1346" w:type="dxa"/>
          </w:tcPr>
          <w:p w:rsidR="00E43560" w:rsidRPr="009179E5" w:rsidRDefault="008B6ED3" w:rsidP="003C4AC9">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11.</w:t>
            </w:r>
            <w:r w:rsidR="00E43560" w:rsidRPr="009179E5">
              <w:rPr>
                <w:rFonts w:ascii="Times New Roman" w:hAnsi="Times New Roman"/>
                <w:sz w:val="20"/>
                <w:szCs w:val="20"/>
                <w:lang w:val="lv-LV"/>
              </w:rPr>
              <w:t>02</w:t>
            </w:r>
            <w:r w:rsidRPr="009179E5">
              <w:rPr>
                <w:rFonts w:ascii="Times New Roman" w:hAnsi="Times New Roman"/>
                <w:sz w:val="20"/>
                <w:szCs w:val="20"/>
                <w:lang w:val="lv-LV"/>
              </w:rPr>
              <w:t>.20</w:t>
            </w:r>
            <w:r w:rsidR="00E43560" w:rsidRPr="009179E5">
              <w:rPr>
                <w:rFonts w:ascii="Times New Roman" w:hAnsi="Times New Roman"/>
                <w:sz w:val="20"/>
                <w:szCs w:val="20"/>
                <w:lang w:val="lv-LV"/>
              </w:rPr>
              <w:t>09</w:t>
            </w:r>
            <w:r w:rsidRPr="009179E5">
              <w:rPr>
                <w:rFonts w:ascii="Times New Roman" w:hAnsi="Times New Roman"/>
                <w:sz w:val="20"/>
                <w:szCs w:val="20"/>
                <w:lang w:val="lv-LV"/>
              </w:rPr>
              <w:t>.</w:t>
            </w:r>
            <w:r w:rsidR="00E43560" w:rsidRPr="009179E5">
              <w:rPr>
                <w:rFonts w:ascii="Times New Roman" w:hAnsi="Times New Roman"/>
                <w:sz w:val="20"/>
                <w:szCs w:val="20"/>
                <w:lang w:val="lv-LV"/>
              </w:rPr>
              <w:t xml:space="preserve"> līdz 31</w:t>
            </w:r>
            <w:r w:rsidRPr="009179E5">
              <w:rPr>
                <w:rFonts w:ascii="Times New Roman" w:hAnsi="Times New Roman"/>
                <w:sz w:val="20"/>
                <w:szCs w:val="20"/>
                <w:lang w:val="lv-LV"/>
              </w:rPr>
              <w:t>.</w:t>
            </w:r>
            <w:r w:rsidR="00E43560" w:rsidRPr="009179E5">
              <w:rPr>
                <w:rFonts w:ascii="Times New Roman" w:hAnsi="Times New Roman"/>
                <w:sz w:val="20"/>
                <w:szCs w:val="20"/>
                <w:lang w:val="lv-LV"/>
              </w:rPr>
              <w:t>12</w:t>
            </w:r>
            <w:r w:rsidRPr="009179E5">
              <w:rPr>
                <w:rFonts w:ascii="Times New Roman" w:hAnsi="Times New Roman"/>
                <w:sz w:val="20"/>
                <w:szCs w:val="20"/>
                <w:lang w:val="lv-LV"/>
              </w:rPr>
              <w:t>.20</w:t>
            </w:r>
            <w:r w:rsidR="00E43560" w:rsidRPr="009179E5">
              <w:rPr>
                <w:rFonts w:ascii="Times New Roman" w:hAnsi="Times New Roman"/>
                <w:sz w:val="20"/>
                <w:szCs w:val="20"/>
                <w:lang w:val="lv-LV"/>
              </w:rPr>
              <w:t>13</w:t>
            </w:r>
            <w:r w:rsidRPr="009179E5">
              <w:rPr>
                <w:rFonts w:ascii="Times New Roman" w:hAnsi="Times New Roman"/>
                <w:sz w:val="20"/>
                <w:szCs w:val="20"/>
                <w:lang w:val="lv-LV"/>
              </w:rPr>
              <w:t>.</w:t>
            </w:r>
          </w:p>
        </w:tc>
        <w:tc>
          <w:tcPr>
            <w:tcW w:w="1403" w:type="dxa"/>
            <w:vMerge w:val="restart"/>
            <w:vAlign w:val="center"/>
          </w:tcPr>
          <w:p w:rsidR="00E43560" w:rsidRPr="009179E5" w:rsidRDefault="00E43560" w:rsidP="003C4AC9">
            <w:pPr>
              <w:spacing w:after="0" w:line="240" w:lineRule="auto"/>
              <w:jc w:val="center"/>
              <w:rPr>
                <w:rFonts w:ascii="Times New Roman" w:hAnsi="Times New Roman"/>
                <w:b/>
                <w:sz w:val="20"/>
                <w:szCs w:val="20"/>
                <w:lang w:val="lv-LV"/>
              </w:rPr>
            </w:pPr>
            <w:r w:rsidRPr="009179E5">
              <w:rPr>
                <w:rFonts w:ascii="Times New Roman" w:hAnsi="Times New Roman"/>
                <w:b/>
                <w:sz w:val="20"/>
                <w:szCs w:val="20"/>
                <w:lang w:val="lv-LV"/>
              </w:rPr>
              <w:t>673</w:t>
            </w:r>
          </w:p>
        </w:tc>
        <w:tc>
          <w:tcPr>
            <w:tcW w:w="1403" w:type="dxa"/>
            <w:vMerge w:val="restart"/>
            <w:vAlign w:val="center"/>
          </w:tcPr>
          <w:p w:rsidR="00E43560" w:rsidRPr="009179E5" w:rsidRDefault="00E43560" w:rsidP="003C4AC9">
            <w:pPr>
              <w:spacing w:after="0" w:line="240" w:lineRule="auto"/>
              <w:jc w:val="center"/>
              <w:rPr>
                <w:rFonts w:ascii="Times New Roman" w:hAnsi="Times New Roman"/>
                <w:b/>
                <w:sz w:val="20"/>
                <w:szCs w:val="20"/>
                <w:lang w:val="lv-LV"/>
              </w:rPr>
            </w:pPr>
            <w:r w:rsidRPr="009179E5">
              <w:rPr>
                <w:rFonts w:ascii="Times New Roman" w:hAnsi="Times New Roman"/>
                <w:b/>
                <w:sz w:val="20"/>
                <w:szCs w:val="20"/>
                <w:lang w:val="lv-LV"/>
              </w:rPr>
              <w:t>2701</w:t>
            </w:r>
          </w:p>
        </w:tc>
      </w:tr>
      <w:tr w:rsidR="00E43560" w:rsidRPr="009179E5" w:rsidTr="006C5B51">
        <w:tc>
          <w:tcPr>
            <w:tcW w:w="993" w:type="dxa"/>
          </w:tcPr>
          <w:p w:rsidR="00E43560" w:rsidRPr="009179E5" w:rsidRDefault="00E43560" w:rsidP="003C4AC9">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MA.</w:t>
            </w:r>
            <w:r w:rsidR="003C4AC9" w:rsidRPr="009179E5">
              <w:rPr>
                <w:rFonts w:ascii="Times New Roman" w:hAnsi="Times New Roman"/>
                <w:sz w:val="20"/>
                <w:szCs w:val="20"/>
                <w:lang w:val="lv-LV"/>
              </w:rPr>
              <w:t>1.</w:t>
            </w:r>
            <w:r w:rsidRPr="009179E5">
              <w:rPr>
                <w:rFonts w:ascii="Times New Roman" w:hAnsi="Times New Roman"/>
                <w:sz w:val="20"/>
                <w:szCs w:val="20"/>
                <w:lang w:val="lv-LV"/>
              </w:rPr>
              <w:t>2.</w:t>
            </w:r>
          </w:p>
        </w:tc>
        <w:tc>
          <w:tcPr>
            <w:tcW w:w="2316" w:type="dxa"/>
          </w:tcPr>
          <w:p w:rsidR="00E43560" w:rsidRPr="009179E5" w:rsidRDefault="00E43560" w:rsidP="003C4AC9">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Darbības programmas „Infrastruktūra un pakalpojumi” papildinājuma 3.4.4.2.aktivitāte „Sociālo dzīvojamo māju siltumnoturības uzlabošanas pasākumi”</w:t>
            </w:r>
          </w:p>
        </w:tc>
        <w:tc>
          <w:tcPr>
            <w:tcW w:w="1816" w:type="dxa"/>
          </w:tcPr>
          <w:p w:rsidR="00E43560" w:rsidRPr="009179E5" w:rsidRDefault="00E43560" w:rsidP="003C4AC9">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Sociālo dzīvojamo māju dzīvokļu īrnieki</w:t>
            </w:r>
          </w:p>
        </w:tc>
        <w:tc>
          <w:tcPr>
            <w:tcW w:w="1346" w:type="dxa"/>
          </w:tcPr>
          <w:p w:rsidR="00E43560" w:rsidRPr="009179E5" w:rsidRDefault="00E43560" w:rsidP="00D26540">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16</w:t>
            </w:r>
            <w:r w:rsidR="00D26540" w:rsidRPr="009179E5">
              <w:rPr>
                <w:rFonts w:ascii="Times New Roman" w:hAnsi="Times New Roman"/>
                <w:sz w:val="20"/>
                <w:szCs w:val="20"/>
                <w:lang w:val="lv-LV"/>
              </w:rPr>
              <w:t>.</w:t>
            </w:r>
            <w:r w:rsidRPr="009179E5">
              <w:rPr>
                <w:rFonts w:ascii="Times New Roman" w:hAnsi="Times New Roman"/>
                <w:sz w:val="20"/>
                <w:szCs w:val="20"/>
                <w:lang w:val="lv-LV"/>
              </w:rPr>
              <w:t>01</w:t>
            </w:r>
            <w:r w:rsidR="00D26540" w:rsidRPr="009179E5">
              <w:rPr>
                <w:rFonts w:ascii="Times New Roman" w:hAnsi="Times New Roman"/>
                <w:sz w:val="20"/>
                <w:szCs w:val="20"/>
                <w:lang w:val="lv-LV"/>
              </w:rPr>
              <w:t>.20</w:t>
            </w:r>
            <w:r w:rsidRPr="009179E5">
              <w:rPr>
                <w:rFonts w:ascii="Times New Roman" w:hAnsi="Times New Roman"/>
                <w:sz w:val="20"/>
                <w:szCs w:val="20"/>
                <w:lang w:val="lv-LV"/>
              </w:rPr>
              <w:t>08</w:t>
            </w:r>
            <w:r w:rsidR="00D26540" w:rsidRPr="009179E5">
              <w:rPr>
                <w:rFonts w:ascii="Times New Roman" w:hAnsi="Times New Roman"/>
                <w:sz w:val="20"/>
                <w:szCs w:val="20"/>
                <w:lang w:val="lv-LV"/>
              </w:rPr>
              <w:t>.</w:t>
            </w:r>
            <w:r w:rsidRPr="009179E5">
              <w:rPr>
                <w:rFonts w:ascii="Times New Roman" w:hAnsi="Times New Roman"/>
                <w:sz w:val="20"/>
                <w:szCs w:val="20"/>
                <w:lang w:val="lv-LV"/>
              </w:rPr>
              <w:t xml:space="preserve"> līdz 31</w:t>
            </w:r>
            <w:r w:rsidR="00D26540" w:rsidRPr="009179E5">
              <w:rPr>
                <w:rFonts w:ascii="Times New Roman" w:hAnsi="Times New Roman"/>
                <w:sz w:val="20"/>
                <w:szCs w:val="20"/>
                <w:lang w:val="lv-LV"/>
              </w:rPr>
              <w:t>.</w:t>
            </w:r>
            <w:r w:rsidRPr="009179E5">
              <w:rPr>
                <w:rFonts w:ascii="Times New Roman" w:hAnsi="Times New Roman"/>
                <w:sz w:val="20"/>
                <w:szCs w:val="20"/>
                <w:lang w:val="lv-LV"/>
              </w:rPr>
              <w:t>12</w:t>
            </w:r>
            <w:r w:rsidR="00D26540" w:rsidRPr="009179E5">
              <w:rPr>
                <w:rFonts w:ascii="Times New Roman" w:hAnsi="Times New Roman"/>
                <w:sz w:val="20"/>
                <w:szCs w:val="20"/>
                <w:lang w:val="lv-LV"/>
              </w:rPr>
              <w:t>.20</w:t>
            </w:r>
            <w:r w:rsidRPr="009179E5">
              <w:rPr>
                <w:rFonts w:ascii="Times New Roman" w:hAnsi="Times New Roman"/>
                <w:sz w:val="20"/>
                <w:szCs w:val="20"/>
                <w:lang w:val="lv-LV"/>
              </w:rPr>
              <w:t>13</w:t>
            </w:r>
            <w:r w:rsidR="00D26540" w:rsidRPr="009179E5">
              <w:rPr>
                <w:rFonts w:ascii="Times New Roman" w:hAnsi="Times New Roman"/>
                <w:sz w:val="20"/>
                <w:szCs w:val="20"/>
                <w:lang w:val="lv-LV"/>
              </w:rPr>
              <w:t>.</w:t>
            </w:r>
          </w:p>
        </w:tc>
        <w:tc>
          <w:tcPr>
            <w:tcW w:w="1403" w:type="dxa"/>
            <w:vMerge/>
          </w:tcPr>
          <w:p w:rsidR="00E43560" w:rsidRPr="009179E5" w:rsidRDefault="00E43560" w:rsidP="003C4AC9">
            <w:pPr>
              <w:spacing w:after="0" w:line="240" w:lineRule="auto"/>
              <w:jc w:val="both"/>
              <w:rPr>
                <w:rFonts w:ascii="Times New Roman" w:hAnsi="Times New Roman"/>
                <w:sz w:val="20"/>
                <w:szCs w:val="20"/>
                <w:lang w:val="lv-LV"/>
              </w:rPr>
            </w:pPr>
          </w:p>
        </w:tc>
        <w:tc>
          <w:tcPr>
            <w:tcW w:w="1403" w:type="dxa"/>
            <w:vMerge/>
          </w:tcPr>
          <w:p w:rsidR="00E43560" w:rsidRPr="009179E5" w:rsidRDefault="00E43560" w:rsidP="003C4AC9">
            <w:pPr>
              <w:spacing w:after="0" w:line="240" w:lineRule="auto"/>
              <w:jc w:val="both"/>
              <w:rPr>
                <w:rFonts w:ascii="Times New Roman" w:hAnsi="Times New Roman"/>
                <w:sz w:val="20"/>
                <w:szCs w:val="20"/>
                <w:lang w:val="lv-LV"/>
              </w:rPr>
            </w:pPr>
          </w:p>
        </w:tc>
      </w:tr>
      <w:tr w:rsidR="00E43560" w:rsidRPr="009179E5" w:rsidTr="006C5B51">
        <w:tc>
          <w:tcPr>
            <w:tcW w:w="993" w:type="dxa"/>
          </w:tcPr>
          <w:p w:rsidR="00E43560" w:rsidRPr="009179E5" w:rsidRDefault="00E43560" w:rsidP="003C4AC9">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MA.</w:t>
            </w:r>
            <w:r w:rsidR="003C4AC9" w:rsidRPr="009179E5">
              <w:rPr>
                <w:rFonts w:ascii="Times New Roman" w:hAnsi="Times New Roman"/>
                <w:sz w:val="20"/>
                <w:szCs w:val="20"/>
                <w:lang w:val="lv-LV"/>
              </w:rPr>
              <w:t>1.</w:t>
            </w:r>
            <w:r w:rsidRPr="009179E5">
              <w:rPr>
                <w:rFonts w:ascii="Times New Roman" w:hAnsi="Times New Roman"/>
                <w:sz w:val="20"/>
                <w:szCs w:val="20"/>
                <w:lang w:val="lv-LV"/>
              </w:rPr>
              <w:t>3.</w:t>
            </w:r>
          </w:p>
        </w:tc>
        <w:tc>
          <w:tcPr>
            <w:tcW w:w="2316" w:type="dxa"/>
          </w:tcPr>
          <w:p w:rsidR="00E43560" w:rsidRPr="009179E5" w:rsidRDefault="00E43560" w:rsidP="003C4AC9">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 xml:space="preserve">Informatīvā kampaņa “Dzīvosim siltāk” daudzdzīvokļu dzīvojamo māju iedzīvotājiem </w:t>
            </w:r>
          </w:p>
        </w:tc>
        <w:tc>
          <w:tcPr>
            <w:tcW w:w="1816" w:type="dxa"/>
          </w:tcPr>
          <w:p w:rsidR="00E43560" w:rsidRPr="009179E5" w:rsidRDefault="00E43560" w:rsidP="003C4AC9">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Daudzdzīvokļu māju dzīvokļu īpašnieki</w:t>
            </w:r>
            <w:r w:rsidR="00CE1E54" w:rsidRPr="009179E5">
              <w:rPr>
                <w:rFonts w:ascii="Times New Roman" w:hAnsi="Times New Roman"/>
                <w:sz w:val="20"/>
                <w:szCs w:val="20"/>
                <w:lang w:val="lv-LV"/>
              </w:rPr>
              <w:t xml:space="preserve"> u.c.</w:t>
            </w:r>
          </w:p>
        </w:tc>
        <w:tc>
          <w:tcPr>
            <w:tcW w:w="1346" w:type="dxa"/>
          </w:tcPr>
          <w:p w:rsidR="00E43560" w:rsidRPr="009179E5" w:rsidRDefault="00FC3390" w:rsidP="003C4AC9">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 xml:space="preserve">no </w:t>
            </w:r>
            <w:r w:rsidR="00E43560" w:rsidRPr="009179E5">
              <w:rPr>
                <w:rFonts w:ascii="Times New Roman" w:hAnsi="Times New Roman"/>
                <w:sz w:val="20"/>
                <w:szCs w:val="20"/>
                <w:lang w:val="lv-LV"/>
              </w:rPr>
              <w:t>2010.</w:t>
            </w:r>
            <w:r w:rsidRPr="009179E5">
              <w:rPr>
                <w:rFonts w:ascii="Times New Roman" w:hAnsi="Times New Roman"/>
                <w:sz w:val="20"/>
                <w:szCs w:val="20"/>
                <w:lang w:val="lv-LV"/>
              </w:rPr>
              <w:t>gada</w:t>
            </w:r>
          </w:p>
        </w:tc>
        <w:tc>
          <w:tcPr>
            <w:tcW w:w="1403" w:type="dxa"/>
            <w:vMerge/>
          </w:tcPr>
          <w:p w:rsidR="00E43560" w:rsidRPr="009179E5" w:rsidRDefault="00E43560" w:rsidP="003C4AC9">
            <w:pPr>
              <w:spacing w:after="0" w:line="240" w:lineRule="auto"/>
              <w:jc w:val="both"/>
              <w:rPr>
                <w:rFonts w:ascii="Times New Roman" w:hAnsi="Times New Roman"/>
                <w:sz w:val="20"/>
                <w:szCs w:val="20"/>
                <w:lang w:val="lv-LV"/>
              </w:rPr>
            </w:pPr>
          </w:p>
        </w:tc>
        <w:tc>
          <w:tcPr>
            <w:tcW w:w="1403" w:type="dxa"/>
            <w:vMerge/>
          </w:tcPr>
          <w:p w:rsidR="00E43560" w:rsidRPr="009179E5" w:rsidRDefault="00E43560" w:rsidP="003C4AC9">
            <w:pPr>
              <w:spacing w:after="0" w:line="240" w:lineRule="auto"/>
              <w:jc w:val="both"/>
              <w:rPr>
                <w:rFonts w:ascii="Times New Roman" w:hAnsi="Times New Roman"/>
                <w:sz w:val="20"/>
                <w:szCs w:val="20"/>
                <w:lang w:val="lv-LV"/>
              </w:rPr>
            </w:pPr>
          </w:p>
        </w:tc>
      </w:tr>
    </w:tbl>
    <w:p w:rsidR="001B6822" w:rsidRPr="009179E5" w:rsidRDefault="001B58E3" w:rsidP="001B58E3">
      <w:pPr>
        <w:pStyle w:val="Caption"/>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t>7</w:t>
      </w:r>
      <w:r w:rsidR="00BF1D9D" w:rsidRPr="009179E5">
        <w:rPr>
          <w:rFonts w:ascii="Times New Roman" w:hAnsi="Times New Roman"/>
          <w:sz w:val="24"/>
          <w:szCs w:val="24"/>
          <w:lang w:val="lv-LV"/>
        </w:rPr>
        <w:t>.tabula</w:t>
      </w:r>
    </w:p>
    <w:p w:rsidR="001B6822" w:rsidRPr="009179E5" w:rsidRDefault="00BF1D9D" w:rsidP="001B58E3">
      <w:pPr>
        <w:pStyle w:val="Caption"/>
        <w:spacing w:after="0" w:line="240" w:lineRule="auto"/>
        <w:jc w:val="center"/>
        <w:rPr>
          <w:rFonts w:ascii="Times New Roman" w:hAnsi="Times New Roman"/>
          <w:b w:val="0"/>
          <w:sz w:val="28"/>
          <w:szCs w:val="28"/>
          <w:u w:val="single"/>
          <w:lang w:val="lv-LV"/>
        </w:rPr>
      </w:pPr>
      <w:r w:rsidRPr="009179E5">
        <w:rPr>
          <w:rFonts w:ascii="Times New Roman" w:hAnsi="Times New Roman"/>
          <w:sz w:val="24"/>
          <w:szCs w:val="24"/>
          <w:lang w:val="lv-LV"/>
        </w:rPr>
        <w:t>P</w:t>
      </w:r>
      <w:r w:rsidR="001B6822" w:rsidRPr="009179E5">
        <w:rPr>
          <w:rFonts w:ascii="Times New Roman" w:hAnsi="Times New Roman"/>
          <w:sz w:val="24"/>
          <w:szCs w:val="24"/>
          <w:lang w:val="lv-LV"/>
        </w:rPr>
        <w:t>asākum</w:t>
      </w:r>
      <w:r w:rsidRPr="009179E5">
        <w:rPr>
          <w:rFonts w:ascii="Times New Roman" w:hAnsi="Times New Roman"/>
          <w:sz w:val="24"/>
          <w:szCs w:val="24"/>
          <w:lang w:val="lv-LV"/>
        </w:rPr>
        <w:t>a Nr.</w:t>
      </w:r>
      <w:r w:rsidR="001B6822" w:rsidRPr="009179E5">
        <w:rPr>
          <w:rFonts w:ascii="Times New Roman" w:hAnsi="Times New Roman"/>
          <w:sz w:val="24"/>
          <w:szCs w:val="24"/>
          <w:lang w:val="lv-LV"/>
        </w:rPr>
        <w:t>MA.1.</w:t>
      </w:r>
      <w:r w:rsidR="001B58E3" w:rsidRPr="009179E5">
        <w:rPr>
          <w:rFonts w:ascii="Times New Roman" w:hAnsi="Times New Roman"/>
          <w:sz w:val="24"/>
          <w:szCs w:val="24"/>
          <w:lang w:val="lv-LV"/>
        </w:rPr>
        <w:t>1.</w:t>
      </w:r>
      <w:r w:rsidRPr="009179E5">
        <w:rPr>
          <w:rFonts w:ascii="Times New Roman" w:hAnsi="Times New Roman"/>
          <w:sz w:val="24"/>
          <w:szCs w:val="24"/>
          <w:lang w:val="lv-LV"/>
        </w:rPr>
        <w:t xml:space="preserve"> „</w:t>
      </w:r>
      <w:r w:rsidR="001B6822" w:rsidRPr="009179E5">
        <w:rPr>
          <w:rFonts w:ascii="Times New Roman" w:hAnsi="Times New Roman"/>
          <w:sz w:val="24"/>
          <w:szCs w:val="24"/>
          <w:lang w:val="lv-LV"/>
        </w:rPr>
        <w:t>Daudzdzīvokļu māju siltumnoturības uzlabošanas pasākumi</w:t>
      </w:r>
      <w:r w:rsidRPr="009179E5">
        <w:rPr>
          <w:rFonts w:ascii="Times New Roman" w:hAnsi="Times New Roman"/>
          <w:sz w:val="24"/>
          <w:szCs w:val="24"/>
          <w:lang w:val="lv-LV"/>
        </w:rPr>
        <w:t>” apraksts</w:t>
      </w:r>
    </w:p>
    <w:tbl>
      <w:tblPr>
        <w:tblW w:w="92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410"/>
        <w:gridCol w:w="5313"/>
      </w:tblGrid>
      <w:tr w:rsidR="001B6822" w:rsidRPr="009179E5" w:rsidTr="004D2F48">
        <w:trPr>
          <w:trHeight w:val="480"/>
        </w:trPr>
        <w:tc>
          <w:tcPr>
            <w:tcW w:w="3970" w:type="dxa"/>
            <w:gridSpan w:val="2"/>
          </w:tcPr>
          <w:p w:rsidR="001B6822" w:rsidRPr="009179E5" w:rsidRDefault="001B6822" w:rsidP="00091537">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lang w:val="lv-LV"/>
              </w:rPr>
              <w:t>Enerģijas ietaupījumu sasniegšanas pasākuma nosaukums</w:t>
            </w:r>
          </w:p>
        </w:tc>
        <w:tc>
          <w:tcPr>
            <w:tcW w:w="5313"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 w:val="20"/>
                <w:lang w:val="lv-LV"/>
              </w:rPr>
              <w:t>Daudzdzīvokļu māju siltumnoturības uzlabošanas pasākumi</w:t>
            </w:r>
          </w:p>
        </w:tc>
      </w:tr>
      <w:tr w:rsidR="001B6822" w:rsidRPr="009179E5" w:rsidTr="004D2F48">
        <w:trPr>
          <w:trHeight w:val="480"/>
        </w:trPr>
        <w:tc>
          <w:tcPr>
            <w:tcW w:w="3970" w:type="dxa"/>
            <w:gridSpan w:val="2"/>
          </w:tcPr>
          <w:p w:rsidR="001B6822" w:rsidRPr="009179E5" w:rsidRDefault="001B6822" w:rsidP="00091537">
            <w:pPr>
              <w:pStyle w:val="Tabletext"/>
              <w:tabs>
                <w:tab w:val="left" w:pos="1440"/>
                <w:tab w:val="left" w:pos="5040"/>
              </w:tabs>
              <w:spacing w:before="0" w:after="0" w:line="240" w:lineRule="auto"/>
              <w:rPr>
                <w:rFonts w:ascii="Times New Roman" w:hAnsi="Times New Roman"/>
                <w:i/>
                <w:lang w:val="lv-LV"/>
              </w:rPr>
            </w:pPr>
            <w:r w:rsidRPr="009179E5">
              <w:rPr>
                <w:rFonts w:ascii="Times New Roman" w:hAnsi="Times New Roman"/>
                <w:i/>
                <w:lang w:val="lv-LV"/>
              </w:rPr>
              <w:t>Pasākuma nr.</w:t>
            </w:r>
          </w:p>
        </w:tc>
        <w:tc>
          <w:tcPr>
            <w:tcW w:w="5313"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MA.1.</w:t>
            </w:r>
            <w:r w:rsidR="00790314" w:rsidRPr="009179E5">
              <w:rPr>
                <w:rFonts w:ascii="Times New Roman" w:hAnsi="Times New Roman"/>
                <w:b/>
                <w:szCs w:val="18"/>
                <w:lang w:val="lv-LV"/>
              </w:rPr>
              <w:t>1.</w:t>
            </w:r>
          </w:p>
        </w:tc>
      </w:tr>
      <w:tr w:rsidR="001B6822" w:rsidRPr="009179E5" w:rsidTr="004D2F48">
        <w:trPr>
          <w:trHeight w:val="476"/>
        </w:trPr>
        <w:tc>
          <w:tcPr>
            <w:tcW w:w="1560" w:type="dxa"/>
            <w:vMerge w:val="restart"/>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p>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Apraksts</w:t>
            </w:r>
          </w:p>
        </w:tc>
        <w:tc>
          <w:tcPr>
            <w:tcW w:w="2410" w:type="dxa"/>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Kategorija</w:t>
            </w:r>
          </w:p>
        </w:tc>
        <w:tc>
          <w:tcPr>
            <w:tcW w:w="5313"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Finanšu instruments (ERAF)</w:t>
            </w:r>
          </w:p>
        </w:tc>
      </w:tr>
      <w:tr w:rsidR="001B6822" w:rsidRPr="009179E5" w:rsidTr="004D2F48">
        <w:trPr>
          <w:trHeight w:val="476"/>
        </w:trPr>
        <w:tc>
          <w:tcPr>
            <w:tcW w:w="1560" w:type="dxa"/>
            <w:vMerge/>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Īstenošanas laika grafiks</w:t>
            </w:r>
          </w:p>
        </w:tc>
        <w:tc>
          <w:tcPr>
            <w:tcW w:w="531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
              <w:gridCol w:w="1701"/>
              <w:gridCol w:w="1944"/>
            </w:tblGrid>
            <w:tr w:rsidR="001B6822" w:rsidRPr="009179E5" w:rsidTr="001C33A4">
              <w:tc>
                <w:tcPr>
                  <w:tcW w:w="1021"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Kārta</w:t>
                  </w:r>
                </w:p>
              </w:tc>
              <w:tc>
                <w:tcPr>
                  <w:tcW w:w="1701"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Sākums </w:t>
                  </w:r>
                </w:p>
              </w:tc>
              <w:tc>
                <w:tcPr>
                  <w:tcW w:w="1944"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Beigas</w:t>
                  </w:r>
                </w:p>
              </w:tc>
            </w:tr>
            <w:tr w:rsidR="001B6822" w:rsidRPr="009179E5" w:rsidTr="001C33A4">
              <w:tc>
                <w:tcPr>
                  <w:tcW w:w="1021"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1.-8.</w:t>
                  </w:r>
                </w:p>
              </w:tc>
              <w:tc>
                <w:tcPr>
                  <w:tcW w:w="1701"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14.04.2009.</w:t>
                  </w:r>
                </w:p>
              </w:tc>
              <w:tc>
                <w:tcPr>
                  <w:tcW w:w="1944"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3</w:t>
                  </w:r>
                  <w:r w:rsidR="00D70438" w:rsidRPr="009179E5">
                    <w:rPr>
                      <w:rFonts w:ascii="Times New Roman" w:hAnsi="Times New Roman"/>
                      <w:b/>
                      <w:szCs w:val="18"/>
                      <w:lang w:val="lv-LV"/>
                    </w:rPr>
                    <w:t>0</w:t>
                  </w:r>
                  <w:r w:rsidRPr="009179E5">
                    <w:rPr>
                      <w:rFonts w:ascii="Times New Roman" w:hAnsi="Times New Roman"/>
                      <w:b/>
                      <w:szCs w:val="18"/>
                      <w:lang w:val="lv-LV"/>
                    </w:rPr>
                    <w:t>.05.201</w:t>
                  </w:r>
                  <w:r w:rsidR="00D70438" w:rsidRPr="009179E5">
                    <w:rPr>
                      <w:rFonts w:ascii="Times New Roman" w:hAnsi="Times New Roman"/>
                      <w:b/>
                      <w:szCs w:val="18"/>
                      <w:lang w:val="lv-LV"/>
                    </w:rPr>
                    <w:t>0</w:t>
                  </w:r>
                  <w:r w:rsidRPr="009179E5">
                    <w:rPr>
                      <w:rFonts w:ascii="Times New Roman" w:hAnsi="Times New Roman"/>
                      <w:b/>
                      <w:szCs w:val="18"/>
                      <w:lang w:val="lv-LV"/>
                    </w:rPr>
                    <w:t>.</w:t>
                  </w:r>
                </w:p>
              </w:tc>
            </w:tr>
            <w:tr w:rsidR="001B6822" w:rsidRPr="009179E5" w:rsidTr="001C33A4">
              <w:tc>
                <w:tcPr>
                  <w:tcW w:w="1021"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9.</w:t>
                  </w:r>
                </w:p>
              </w:tc>
              <w:tc>
                <w:tcPr>
                  <w:tcW w:w="1701"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2</w:t>
                  </w:r>
                  <w:r w:rsidR="00D70438" w:rsidRPr="009179E5">
                    <w:rPr>
                      <w:rFonts w:ascii="Times New Roman" w:hAnsi="Times New Roman"/>
                      <w:b/>
                      <w:szCs w:val="18"/>
                      <w:lang w:val="lv-LV"/>
                    </w:rPr>
                    <w:t>0</w:t>
                  </w:r>
                  <w:r w:rsidRPr="009179E5">
                    <w:rPr>
                      <w:rFonts w:ascii="Times New Roman" w:hAnsi="Times New Roman"/>
                      <w:b/>
                      <w:szCs w:val="18"/>
                      <w:lang w:val="lv-LV"/>
                    </w:rPr>
                    <w:t>.04.2011.</w:t>
                  </w:r>
                </w:p>
              </w:tc>
              <w:tc>
                <w:tcPr>
                  <w:tcW w:w="1944"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Līdz pieejams finansējums</w:t>
                  </w:r>
                </w:p>
              </w:tc>
            </w:tr>
          </w:tbl>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p>
        </w:tc>
      </w:tr>
      <w:tr w:rsidR="001B6822" w:rsidRPr="009179E5" w:rsidTr="004D2F48">
        <w:trPr>
          <w:trHeight w:val="476"/>
        </w:trPr>
        <w:tc>
          <w:tcPr>
            <w:tcW w:w="1560" w:type="dxa"/>
            <w:vMerge/>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Mērķis</w:t>
            </w:r>
          </w:p>
        </w:tc>
        <w:tc>
          <w:tcPr>
            <w:tcW w:w="5313"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Mājokļu energoefektivitātes paaugstināšana daudzdzīvokļu dzīvojamās mājās, lai nodrošinātu dzīvojamā fonda ilgtspēju un energoresursu efektīvu izmantošanu</w:t>
            </w:r>
          </w:p>
        </w:tc>
      </w:tr>
      <w:tr w:rsidR="001B6822" w:rsidRPr="009179E5" w:rsidTr="004D2F48">
        <w:trPr>
          <w:trHeight w:val="476"/>
        </w:trPr>
        <w:tc>
          <w:tcPr>
            <w:tcW w:w="1560" w:type="dxa"/>
            <w:vMerge/>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galapatēriņa sektors</w:t>
            </w:r>
          </w:p>
        </w:tc>
        <w:tc>
          <w:tcPr>
            <w:tcW w:w="5313"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Ēkas</w:t>
            </w:r>
          </w:p>
        </w:tc>
      </w:tr>
      <w:tr w:rsidR="001B6822" w:rsidRPr="009179E5" w:rsidTr="004D2F48">
        <w:trPr>
          <w:trHeight w:val="476"/>
        </w:trPr>
        <w:tc>
          <w:tcPr>
            <w:tcW w:w="1560" w:type="dxa"/>
            <w:vMerge/>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Mērķauditorija</w:t>
            </w:r>
          </w:p>
        </w:tc>
        <w:tc>
          <w:tcPr>
            <w:tcW w:w="5313"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Daudzdzīvokļu māju dzīvokļu īpašnieki</w:t>
            </w:r>
          </w:p>
        </w:tc>
      </w:tr>
      <w:tr w:rsidR="001B6822" w:rsidRPr="009179E5" w:rsidTr="004D2F48">
        <w:trPr>
          <w:trHeight w:val="476"/>
        </w:trPr>
        <w:tc>
          <w:tcPr>
            <w:tcW w:w="1560" w:type="dxa"/>
            <w:vMerge/>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Pasākuma ieviešanas teritorija</w:t>
            </w:r>
          </w:p>
        </w:tc>
        <w:tc>
          <w:tcPr>
            <w:tcW w:w="5313"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Latvijas Republika </w:t>
            </w:r>
          </w:p>
        </w:tc>
      </w:tr>
      <w:tr w:rsidR="001B6822" w:rsidRPr="009179E5" w:rsidTr="004D2F48">
        <w:trPr>
          <w:trHeight w:val="476"/>
        </w:trPr>
        <w:tc>
          <w:tcPr>
            <w:tcW w:w="1560" w:type="dxa"/>
            <w:vMerge w:val="restart"/>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Informācija un ieviešana</w:t>
            </w:r>
          </w:p>
        </w:tc>
        <w:tc>
          <w:tcPr>
            <w:tcW w:w="2410"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Enerģijas ietaupījumu sasniegšanas pasākuma pamatapraksts</w:t>
            </w:r>
          </w:p>
        </w:tc>
        <w:tc>
          <w:tcPr>
            <w:tcW w:w="5313" w:type="dxa"/>
          </w:tcPr>
          <w:p w:rsidR="001B6822" w:rsidRPr="009179E5" w:rsidRDefault="001B6822" w:rsidP="00091537">
            <w:pPr>
              <w:pStyle w:val="Tabletext"/>
              <w:tabs>
                <w:tab w:val="left" w:pos="175"/>
                <w:tab w:val="left" w:pos="5040"/>
              </w:tabs>
              <w:spacing w:before="0" w:after="0" w:line="240" w:lineRule="auto"/>
              <w:ind w:left="33"/>
              <w:rPr>
                <w:rFonts w:ascii="Times New Roman" w:hAnsi="Times New Roman"/>
                <w:b/>
                <w:szCs w:val="18"/>
                <w:lang w:val="lv-LV"/>
              </w:rPr>
            </w:pPr>
            <w:r w:rsidRPr="009179E5">
              <w:rPr>
                <w:rFonts w:ascii="Times New Roman" w:hAnsi="Times New Roman"/>
                <w:b/>
                <w:szCs w:val="18"/>
                <w:lang w:val="lv-LV"/>
              </w:rPr>
              <w:t>Būvdarbi daudzdzīvokļu dzīvojamās mājas dzīvokļu īpašnieku kopīpašumā esošajās daļās, tai skaitā atsevišķu dzīvokļu īpašumu robežās esošo ārsienu logu atjaunošana vai nomaiņa, nodrošinot tehniskajā projektā vai vienkāršotās renovācijas dokumentācijā paredzēto ēkas strukturālo daļu atjaunošanu un ēkas energoaudita pārskatā minēto energoefektivitātes uzlabošanas pasākumu darbu izpildi:</w:t>
            </w:r>
          </w:p>
          <w:p w:rsidR="001B6822" w:rsidRPr="009179E5" w:rsidRDefault="001B6822" w:rsidP="00091537">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ēku ārējo norobežojošo konstrukciju būvelementu siltināšana un nomaiņa, tai skaitā atsevišķu dzīvokļu īpašumu robežās esošo ārsienu logu atjaunošana un nomaiņa;</w:t>
            </w:r>
          </w:p>
          <w:p w:rsidR="001B6822" w:rsidRPr="009179E5" w:rsidRDefault="001B6822" w:rsidP="00091537">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pagraba un augšējā stāva pārseguma siltināšana;</w:t>
            </w:r>
          </w:p>
          <w:p w:rsidR="001B6822" w:rsidRPr="009179E5" w:rsidRDefault="001B6822" w:rsidP="00091537">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kāpņu telpas remonts, ja tiek veikti energoefektivitātes darbi kāpņu telpā, nepārsniedzot piecus procentus no projekta kopējām attiecināmajām izmaksām;</w:t>
            </w:r>
          </w:p>
          <w:p w:rsidR="001B6822" w:rsidRPr="009179E5" w:rsidRDefault="001B6822" w:rsidP="00091537">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siltumapgādes un karstā ūdens sadales sistēmas renovācija vai rekonstrukcija, izņemot siltumenerģijas un karstā ūdens ražošanas avotu uzstādīšanu, renovāciju vai rekonstrukciju;</w:t>
            </w:r>
          </w:p>
          <w:p w:rsidR="001B6822" w:rsidRPr="009179E5" w:rsidRDefault="001B6822" w:rsidP="00091537">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ventilācijas sistēmas izveide, renovācija vai rekonstrukcija;</w:t>
            </w:r>
          </w:p>
          <w:p w:rsidR="001B6822" w:rsidRPr="009179E5" w:rsidRDefault="001B6822" w:rsidP="00091537">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ar dzīvojamās mājas ekspluatāciju saistītu funkcionāli nedalāmu elementu atjaunošana, kas paredzēta tehniskajā projektā vai vienkāršotās renovācijas dokumentācijā, ja tā nodrošina energoefektivitātes pasākumu ilgtspēju vai pēc pasākuma īstenošanas tiek iegūts siltumenerģijas ietaupījums.</w:t>
            </w:r>
          </w:p>
        </w:tc>
      </w:tr>
      <w:tr w:rsidR="001B6822" w:rsidRPr="009179E5" w:rsidTr="004D2F48">
        <w:trPr>
          <w:trHeight w:val="476"/>
        </w:trPr>
        <w:tc>
          <w:tcPr>
            <w:tcW w:w="1560" w:type="dxa"/>
            <w:vMerge/>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Budžets un finansējuma avots</w:t>
            </w:r>
          </w:p>
        </w:tc>
        <w:tc>
          <w:tcPr>
            <w:tcW w:w="5313"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1.-8. kārta 17 </w:t>
            </w:r>
            <w:r w:rsidR="00445CC3" w:rsidRPr="009179E5">
              <w:rPr>
                <w:rFonts w:ascii="Times New Roman" w:hAnsi="Times New Roman"/>
                <w:b/>
                <w:szCs w:val="18"/>
                <w:lang w:val="lv-LV"/>
              </w:rPr>
              <w:t>milj.</w:t>
            </w:r>
            <w:r w:rsidRPr="009179E5">
              <w:rPr>
                <w:rFonts w:ascii="Times New Roman" w:hAnsi="Times New Roman"/>
                <w:b/>
                <w:szCs w:val="18"/>
                <w:lang w:val="lv-LV"/>
              </w:rPr>
              <w:t xml:space="preserve"> LVL ERAF finansējums</w:t>
            </w:r>
          </w:p>
          <w:p w:rsidR="001B6822" w:rsidRPr="009179E5" w:rsidRDefault="001B6822" w:rsidP="00445CC3">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b/>
                <w:szCs w:val="18"/>
                <w:lang w:val="lv-LV"/>
              </w:rPr>
              <w:t>9.kārta 27</w:t>
            </w:r>
            <w:r w:rsidR="00445CC3" w:rsidRPr="009179E5">
              <w:rPr>
                <w:rFonts w:ascii="Times New Roman" w:hAnsi="Times New Roman"/>
                <w:b/>
                <w:szCs w:val="18"/>
                <w:lang w:val="lv-LV"/>
              </w:rPr>
              <w:t>,</w:t>
            </w:r>
            <w:r w:rsidRPr="009179E5">
              <w:rPr>
                <w:rFonts w:ascii="Times New Roman" w:hAnsi="Times New Roman"/>
                <w:b/>
                <w:szCs w:val="18"/>
                <w:lang w:val="lv-LV"/>
              </w:rPr>
              <w:t>33</w:t>
            </w:r>
            <w:r w:rsidR="00445CC3" w:rsidRPr="009179E5">
              <w:rPr>
                <w:rFonts w:ascii="Times New Roman" w:hAnsi="Times New Roman"/>
                <w:b/>
                <w:szCs w:val="18"/>
                <w:lang w:val="lv-LV"/>
              </w:rPr>
              <w:t xml:space="preserve"> milj.</w:t>
            </w:r>
            <w:r w:rsidRPr="009179E5">
              <w:rPr>
                <w:rFonts w:ascii="Times New Roman" w:hAnsi="Times New Roman"/>
                <w:b/>
                <w:szCs w:val="18"/>
                <w:lang w:val="lv-LV"/>
              </w:rPr>
              <w:t xml:space="preserve"> LVL ERAF finansējums</w:t>
            </w:r>
          </w:p>
        </w:tc>
      </w:tr>
      <w:tr w:rsidR="001B6822" w:rsidRPr="009179E5" w:rsidTr="004D2F48">
        <w:trPr>
          <w:trHeight w:val="476"/>
        </w:trPr>
        <w:tc>
          <w:tcPr>
            <w:tcW w:w="1560" w:type="dxa"/>
            <w:vMerge/>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Ieviesējs</w:t>
            </w:r>
          </w:p>
        </w:tc>
        <w:tc>
          <w:tcPr>
            <w:tcW w:w="5313"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Latvijas Investīciju un attīstības aģentūra</w:t>
            </w:r>
          </w:p>
        </w:tc>
      </w:tr>
      <w:tr w:rsidR="001B6822" w:rsidRPr="009179E5" w:rsidTr="004D2F48">
        <w:trPr>
          <w:trHeight w:val="476"/>
        </w:trPr>
        <w:tc>
          <w:tcPr>
            <w:tcW w:w="1560" w:type="dxa"/>
            <w:vMerge/>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Monitoringa (kontroles) institūcija</w:t>
            </w:r>
          </w:p>
        </w:tc>
        <w:tc>
          <w:tcPr>
            <w:tcW w:w="5313"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Ekonomikas ministrija</w:t>
            </w:r>
          </w:p>
        </w:tc>
      </w:tr>
      <w:tr w:rsidR="005A3B1A" w:rsidRPr="009179E5" w:rsidTr="004D2F48">
        <w:trPr>
          <w:trHeight w:val="476"/>
        </w:trPr>
        <w:tc>
          <w:tcPr>
            <w:tcW w:w="1560" w:type="dxa"/>
            <w:vMerge w:val="restart"/>
          </w:tcPr>
          <w:p w:rsidR="005A3B1A" w:rsidRPr="009179E5" w:rsidRDefault="005A3B1A"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ietaupījumi</w:t>
            </w:r>
          </w:p>
        </w:tc>
        <w:tc>
          <w:tcPr>
            <w:tcW w:w="2410" w:type="dxa"/>
          </w:tcPr>
          <w:p w:rsidR="005A3B1A" w:rsidRPr="009179E5" w:rsidRDefault="005A3B1A" w:rsidP="00091537">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Sasniegto enerģijas ietaupījumu aprēķina metode</w:t>
            </w:r>
          </w:p>
        </w:tc>
        <w:tc>
          <w:tcPr>
            <w:tcW w:w="5313" w:type="dxa"/>
          </w:tcPr>
          <w:p w:rsidR="005A3B1A" w:rsidRPr="009179E5" w:rsidRDefault="005A3B1A" w:rsidP="000E17C9">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Augšup</w:t>
            </w:r>
            <w:r w:rsidR="000E17C9" w:rsidRPr="009179E5">
              <w:rPr>
                <w:rFonts w:ascii="Times New Roman" w:hAnsi="Times New Roman"/>
                <w:b/>
                <w:szCs w:val="18"/>
                <w:lang w:val="lv-LV"/>
              </w:rPr>
              <w:t>vērstā</w:t>
            </w:r>
            <w:r w:rsidRPr="009179E5">
              <w:rPr>
                <w:rFonts w:ascii="Times New Roman" w:hAnsi="Times New Roman"/>
                <w:b/>
                <w:szCs w:val="18"/>
                <w:lang w:val="lv-LV"/>
              </w:rPr>
              <w:t xml:space="preserve"> un lejup</w:t>
            </w:r>
            <w:r w:rsidR="00526EBD" w:rsidRPr="009179E5">
              <w:rPr>
                <w:rFonts w:ascii="Times New Roman" w:hAnsi="Times New Roman"/>
                <w:b/>
                <w:szCs w:val="18"/>
                <w:lang w:val="lv-LV"/>
              </w:rPr>
              <w:t>vērstā</w:t>
            </w:r>
          </w:p>
        </w:tc>
      </w:tr>
      <w:tr w:rsidR="005A3B1A" w:rsidRPr="009179E5" w:rsidTr="004D2F48">
        <w:trPr>
          <w:trHeight w:val="476"/>
        </w:trPr>
        <w:tc>
          <w:tcPr>
            <w:tcW w:w="1560" w:type="dxa"/>
            <w:vMerge/>
          </w:tcPr>
          <w:p w:rsidR="005A3B1A" w:rsidRPr="009179E5" w:rsidRDefault="005A3B1A" w:rsidP="00091537">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5A3B1A" w:rsidRPr="009179E5" w:rsidRDefault="005A3B1A"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Plānotie enerģijas ietaupījumi 2016 (GWh)</w:t>
            </w:r>
          </w:p>
        </w:tc>
        <w:tc>
          <w:tcPr>
            <w:tcW w:w="5313" w:type="dxa"/>
          </w:tcPr>
          <w:p w:rsidR="005A3B1A" w:rsidRPr="009179E5" w:rsidRDefault="005A3B1A" w:rsidP="00D3115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2</w:t>
            </w:r>
            <w:r w:rsidR="00D31158">
              <w:rPr>
                <w:rFonts w:ascii="Times New Roman" w:hAnsi="Times New Roman"/>
                <w:b/>
                <w:szCs w:val="18"/>
                <w:lang w:val="lv-LV"/>
              </w:rPr>
              <w:t>40</w:t>
            </w:r>
            <w:r w:rsidRPr="009179E5">
              <w:rPr>
                <w:rFonts w:ascii="Times New Roman" w:hAnsi="Times New Roman"/>
                <w:b/>
                <w:szCs w:val="18"/>
                <w:lang w:val="lv-LV"/>
              </w:rPr>
              <w:t xml:space="preserve"> GWh </w:t>
            </w:r>
          </w:p>
        </w:tc>
      </w:tr>
      <w:tr w:rsidR="005A3B1A" w:rsidRPr="009179E5" w:rsidTr="004D2F48">
        <w:trPr>
          <w:trHeight w:val="476"/>
        </w:trPr>
        <w:tc>
          <w:tcPr>
            <w:tcW w:w="1560" w:type="dxa"/>
            <w:vMerge/>
          </w:tcPr>
          <w:p w:rsidR="005A3B1A" w:rsidRPr="009179E5" w:rsidRDefault="005A3B1A" w:rsidP="00091537">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5A3B1A" w:rsidRPr="009179E5" w:rsidRDefault="005A3B1A"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Cita informācija</w:t>
            </w:r>
          </w:p>
        </w:tc>
        <w:tc>
          <w:tcPr>
            <w:tcW w:w="5313" w:type="dxa"/>
          </w:tcPr>
          <w:p w:rsidR="005A3B1A" w:rsidRPr="009179E5" w:rsidRDefault="005A3B1A" w:rsidP="005A3B1A">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Starp īstenotajiem projektiem, aprēķinātās enerģijas ietaupījumu izmaksas ir 0,71 LVL par 1 ietaupīto MWh. Savukārt ietaupītā enerģija MWh/gadā uz 1 investēto latu ir 1,41 MWh apjomā. </w:t>
            </w:r>
          </w:p>
        </w:tc>
      </w:tr>
    </w:tbl>
    <w:p w:rsidR="00091537" w:rsidRPr="009179E5" w:rsidRDefault="00091537" w:rsidP="00091537">
      <w:pPr>
        <w:pStyle w:val="Caption"/>
        <w:spacing w:after="0" w:line="240" w:lineRule="auto"/>
        <w:jc w:val="right"/>
        <w:rPr>
          <w:rFonts w:ascii="Times New Roman" w:hAnsi="Times New Roman"/>
          <w:sz w:val="14"/>
          <w:lang w:val="lv-LV"/>
        </w:rPr>
      </w:pPr>
    </w:p>
    <w:p w:rsidR="001960CF" w:rsidRDefault="001960CF" w:rsidP="00091537">
      <w:pPr>
        <w:pStyle w:val="Caption"/>
        <w:spacing w:after="0" w:line="240" w:lineRule="auto"/>
        <w:jc w:val="right"/>
        <w:rPr>
          <w:rFonts w:ascii="Times New Roman" w:hAnsi="Times New Roman"/>
          <w:sz w:val="24"/>
          <w:szCs w:val="24"/>
          <w:lang w:val="lv-LV"/>
        </w:rPr>
      </w:pPr>
    </w:p>
    <w:p w:rsidR="001960CF" w:rsidRDefault="001960CF" w:rsidP="00091537">
      <w:pPr>
        <w:pStyle w:val="Caption"/>
        <w:spacing w:after="0" w:line="240" w:lineRule="auto"/>
        <w:jc w:val="right"/>
        <w:rPr>
          <w:rFonts w:ascii="Times New Roman" w:hAnsi="Times New Roman"/>
          <w:sz w:val="24"/>
          <w:szCs w:val="24"/>
          <w:lang w:val="lv-LV"/>
        </w:rPr>
      </w:pPr>
    </w:p>
    <w:p w:rsidR="00F80F75" w:rsidRPr="009179E5" w:rsidRDefault="00091537" w:rsidP="00091537">
      <w:pPr>
        <w:pStyle w:val="Caption"/>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t>8</w:t>
      </w:r>
      <w:r w:rsidR="00F80F75" w:rsidRPr="009179E5">
        <w:rPr>
          <w:rFonts w:ascii="Times New Roman" w:hAnsi="Times New Roman"/>
          <w:sz w:val="24"/>
          <w:szCs w:val="24"/>
          <w:lang w:val="lv-LV"/>
        </w:rPr>
        <w:t>.tabula</w:t>
      </w:r>
    </w:p>
    <w:p w:rsidR="001B6822" w:rsidRPr="009179E5" w:rsidRDefault="00515D7D" w:rsidP="00091537">
      <w:pPr>
        <w:pStyle w:val="Caption"/>
        <w:spacing w:after="0" w:line="240" w:lineRule="auto"/>
        <w:jc w:val="center"/>
        <w:rPr>
          <w:rFonts w:ascii="Times New Roman" w:hAnsi="Times New Roman"/>
          <w:b w:val="0"/>
          <w:sz w:val="28"/>
          <w:szCs w:val="28"/>
          <w:u w:val="single"/>
          <w:lang w:val="lv-LV"/>
        </w:rPr>
      </w:pPr>
      <w:r w:rsidRPr="009179E5">
        <w:rPr>
          <w:rFonts w:ascii="Times New Roman" w:hAnsi="Times New Roman"/>
          <w:sz w:val="24"/>
          <w:szCs w:val="24"/>
          <w:lang w:val="lv-LV"/>
        </w:rPr>
        <w:t>Pasākuma Nr.MA.</w:t>
      </w:r>
      <w:r w:rsidR="00091537" w:rsidRPr="009179E5">
        <w:rPr>
          <w:rFonts w:ascii="Times New Roman" w:hAnsi="Times New Roman"/>
          <w:sz w:val="24"/>
          <w:szCs w:val="24"/>
          <w:lang w:val="lv-LV"/>
        </w:rPr>
        <w:t>1.</w:t>
      </w:r>
      <w:r w:rsidRPr="009179E5">
        <w:rPr>
          <w:rFonts w:ascii="Times New Roman" w:hAnsi="Times New Roman"/>
          <w:sz w:val="24"/>
          <w:szCs w:val="24"/>
          <w:lang w:val="lv-LV"/>
        </w:rPr>
        <w:t>2. „</w:t>
      </w:r>
      <w:r w:rsidR="001B6822" w:rsidRPr="009179E5">
        <w:rPr>
          <w:rFonts w:ascii="Times New Roman" w:hAnsi="Times New Roman"/>
          <w:sz w:val="24"/>
          <w:szCs w:val="24"/>
          <w:lang w:val="lv-LV"/>
        </w:rPr>
        <w:t>Sociālo dzīvojamo māju siltumnoturības uzlabošanas pasākumi</w:t>
      </w:r>
      <w:r w:rsidRPr="009179E5">
        <w:rPr>
          <w:rFonts w:ascii="Times New Roman" w:hAnsi="Times New Roman"/>
          <w:sz w:val="24"/>
          <w:szCs w:val="24"/>
          <w:lang w:val="lv-LV"/>
        </w:rPr>
        <w:t>” apraksts</w:t>
      </w:r>
      <w:r w:rsidRPr="009179E5">
        <w:rPr>
          <w:rFonts w:ascii="Times New Roman" w:hAnsi="Times New Roman"/>
          <w:lang w:val="lv-LV"/>
        </w:rPr>
        <w:t xml:space="preserve"> </w:t>
      </w:r>
    </w:p>
    <w:tbl>
      <w:tblPr>
        <w:tblW w:w="928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8"/>
        <w:gridCol w:w="2410"/>
        <w:gridCol w:w="5313"/>
      </w:tblGrid>
      <w:tr w:rsidR="001B6822" w:rsidRPr="009179E5" w:rsidTr="00515D7D">
        <w:trPr>
          <w:trHeight w:val="480"/>
        </w:trPr>
        <w:tc>
          <w:tcPr>
            <w:tcW w:w="3968" w:type="dxa"/>
            <w:gridSpan w:val="2"/>
          </w:tcPr>
          <w:p w:rsidR="001B6822" w:rsidRPr="009179E5" w:rsidRDefault="001B6822" w:rsidP="00091537">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szCs w:val="18"/>
                <w:lang w:val="lv-LV"/>
              </w:rPr>
              <w:t>Enerģijas ietaupījumu sasniegšanas pasākuma nosaukums</w:t>
            </w:r>
          </w:p>
        </w:tc>
        <w:tc>
          <w:tcPr>
            <w:tcW w:w="5313"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Sociālo dzīvojamo māju siltumnoturības uzlabošanas pasākumi</w:t>
            </w:r>
          </w:p>
        </w:tc>
      </w:tr>
      <w:tr w:rsidR="001B6822" w:rsidRPr="009179E5" w:rsidTr="00515D7D">
        <w:trPr>
          <w:trHeight w:val="480"/>
        </w:trPr>
        <w:tc>
          <w:tcPr>
            <w:tcW w:w="3968" w:type="dxa"/>
            <w:gridSpan w:val="2"/>
          </w:tcPr>
          <w:p w:rsidR="001B6822" w:rsidRPr="009179E5" w:rsidRDefault="001B6822" w:rsidP="00091537">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szCs w:val="18"/>
                <w:lang w:val="lv-LV"/>
              </w:rPr>
              <w:t>Pasākuma nr.</w:t>
            </w:r>
          </w:p>
        </w:tc>
        <w:tc>
          <w:tcPr>
            <w:tcW w:w="5313"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MA.</w:t>
            </w:r>
            <w:r w:rsidR="00790314" w:rsidRPr="009179E5">
              <w:rPr>
                <w:rFonts w:ascii="Times New Roman" w:hAnsi="Times New Roman"/>
                <w:b/>
                <w:szCs w:val="18"/>
                <w:lang w:val="lv-LV"/>
              </w:rPr>
              <w:t>1.</w:t>
            </w:r>
            <w:r w:rsidRPr="009179E5">
              <w:rPr>
                <w:rFonts w:ascii="Times New Roman" w:hAnsi="Times New Roman"/>
                <w:b/>
                <w:szCs w:val="18"/>
                <w:lang w:val="lv-LV"/>
              </w:rPr>
              <w:t>2.</w:t>
            </w:r>
          </w:p>
        </w:tc>
      </w:tr>
      <w:tr w:rsidR="001B6822" w:rsidRPr="009179E5" w:rsidTr="00515D7D">
        <w:trPr>
          <w:trHeight w:val="476"/>
        </w:trPr>
        <w:tc>
          <w:tcPr>
            <w:tcW w:w="1558" w:type="dxa"/>
            <w:vMerge w:val="restart"/>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p>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Apraksts</w:t>
            </w:r>
          </w:p>
        </w:tc>
        <w:tc>
          <w:tcPr>
            <w:tcW w:w="2410" w:type="dxa"/>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Kategorija</w:t>
            </w:r>
          </w:p>
        </w:tc>
        <w:tc>
          <w:tcPr>
            <w:tcW w:w="5313"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Finanšu instruments (ERAF)</w:t>
            </w:r>
          </w:p>
        </w:tc>
      </w:tr>
      <w:tr w:rsidR="001B6822" w:rsidRPr="009179E5" w:rsidTr="002B2530">
        <w:trPr>
          <w:trHeight w:val="274"/>
        </w:trPr>
        <w:tc>
          <w:tcPr>
            <w:tcW w:w="1558" w:type="dxa"/>
            <w:vMerge/>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Īstenošanas laika grafiks</w:t>
            </w:r>
          </w:p>
        </w:tc>
        <w:tc>
          <w:tcPr>
            <w:tcW w:w="531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
              <w:gridCol w:w="1701"/>
              <w:gridCol w:w="1944"/>
            </w:tblGrid>
            <w:tr w:rsidR="001B6822" w:rsidRPr="009179E5" w:rsidTr="001C33A4">
              <w:tc>
                <w:tcPr>
                  <w:tcW w:w="1021"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Kārta </w:t>
                  </w:r>
                </w:p>
              </w:tc>
              <w:tc>
                <w:tcPr>
                  <w:tcW w:w="1701"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Sākums </w:t>
                  </w:r>
                </w:p>
              </w:tc>
              <w:tc>
                <w:tcPr>
                  <w:tcW w:w="1944"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Beigas </w:t>
                  </w:r>
                </w:p>
              </w:tc>
            </w:tr>
            <w:tr w:rsidR="001B6822" w:rsidRPr="009179E5" w:rsidTr="001C33A4">
              <w:tc>
                <w:tcPr>
                  <w:tcW w:w="1021"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1</w:t>
                  </w:r>
                </w:p>
              </w:tc>
              <w:tc>
                <w:tcPr>
                  <w:tcW w:w="1701"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14.05.2008.</w:t>
                  </w:r>
                </w:p>
              </w:tc>
              <w:tc>
                <w:tcPr>
                  <w:tcW w:w="1944"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14.11.2008.</w:t>
                  </w:r>
                </w:p>
              </w:tc>
            </w:tr>
            <w:tr w:rsidR="001B6822" w:rsidRPr="009179E5" w:rsidTr="001C33A4">
              <w:tc>
                <w:tcPr>
                  <w:tcW w:w="1021"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2.</w:t>
                  </w:r>
                </w:p>
              </w:tc>
              <w:tc>
                <w:tcPr>
                  <w:tcW w:w="1701"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12.02.</w:t>
                  </w:r>
                  <w:r w:rsidR="00801069" w:rsidRPr="009179E5">
                    <w:rPr>
                      <w:rFonts w:ascii="Times New Roman" w:hAnsi="Times New Roman"/>
                      <w:b/>
                      <w:szCs w:val="18"/>
                      <w:lang w:val="lv-LV"/>
                    </w:rPr>
                    <w:t>2</w:t>
                  </w:r>
                  <w:r w:rsidRPr="009179E5">
                    <w:rPr>
                      <w:rFonts w:ascii="Times New Roman" w:hAnsi="Times New Roman"/>
                      <w:b/>
                      <w:szCs w:val="18"/>
                      <w:lang w:val="lv-LV"/>
                    </w:rPr>
                    <w:t>010.</w:t>
                  </w:r>
                </w:p>
              </w:tc>
              <w:tc>
                <w:tcPr>
                  <w:tcW w:w="1944"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01.</w:t>
                  </w:r>
                  <w:r w:rsidR="00801069" w:rsidRPr="009179E5">
                    <w:rPr>
                      <w:rFonts w:ascii="Times New Roman" w:hAnsi="Times New Roman"/>
                      <w:b/>
                      <w:szCs w:val="18"/>
                      <w:lang w:val="lv-LV"/>
                    </w:rPr>
                    <w:t>0</w:t>
                  </w:r>
                  <w:r w:rsidRPr="009179E5">
                    <w:rPr>
                      <w:rFonts w:ascii="Times New Roman" w:hAnsi="Times New Roman"/>
                      <w:b/>
                      <w:szCs w:val="18"/>
                      <w:lang w:val="lv-LV"/>
                    </w:rPr>
                    <w:t>4.2010.</w:t>
                  </w:r>
                </w:p>
              </w:tc>
            </w:tr>
          </w:tbl>
          <w:p w:rsidR="001B6822" w:rsidRPr="009179E5" w:rsidRDefault="002B2530"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Laika posmā no 2</w:t>
            </w:r>
            <w:r w:rsidR="00FC1EC9">
              <w:rPr>
                <w:rFonts w:ascii="Times New Roman" w:hAnsi="Times New Roman"/>
                <w:b/>
                <w:szCs w:val="18"/>
                <w:lang w:val="lv-LV"/>
              </w:rPr>
              <w:t xml:space="preserve">011.gada līdz 2016.gadam </w:t>
            </w:r>
            <w:r w:rsidRPr="009179E5">
              <w:rPr>
                <w:rFonts w:ascii="Times New Roman" w:hAnsi="Times New Roman"/>
                <w:b/>
                <w:szCs w:val="18"/>
                <w:lang w:val="lv-LV"/>
              </w:rPr>
              <w:t xml:space="preserve">turpināsies šo projektu ieviešanas fāze, bet jauni projektu konkursi </w:t>
            </w:r>
            <w:r w:rsidR="00174C18" w:rsidRPr="009179E5">
              <w:rPr>
                <w:rFonts w:ascii="Times New Roman" w:hAnsi="Times New Roman"/>
                <w:b/>
                <w:szCs w:val="18"/>
                <w:lang w:val="lv-LV"/>
              </w:rPr>
              <w:t>šajā</w:t>
            </w:r>
            <w:r w:rsidRPr="009179E5">
              <w:rPr>
                <w:rFonts w:ascii="Times New Roman" w:hAnsi="Times New Roman"/>
                <w:b/>
                <w:szCs w:val="18"/>
                <w:lang w:val="lv-LV"/>
              </w:rPr>
              <w:t xml:space="preserve"> aktivitātē vairāk netiks izsludināti</w:t>
            </w:r>
          </w:p>
        </w:tc>
      </w:tr>
      <w:tr w:rsidR="001B6822" w:rsidRPr="009179E5" w:rsidTr="00515D7D">
        <w:trPr>
          <w:trHeight w:val="476"/>
        </w:trPr>
        <w:tc>
          <w:tcPr>
            <w:tcW w:w="1558" w:type="dxa"/>
            <w:vMerge/>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Mērķis</w:t>
            </w:r>
          </w:p>
        </w:tc>
        <w:tc>
          <w:tcPr>
            <w:tcW w:w="5313"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Palielināt pašvaldības sociālā dzīvojamā fonda energoefektivitāti, vienlaikus ceļot tā kvalitāti un ilgtspēju un nodrošinot sociāli mazaizsargātas personu grupas ar adekvātu mājokli</w:t>
            </w:r>
          </w:p>
        </w:tc>
      </w:tr>
      <w:tr w:rsidR="001B6822" w:rsidRPr="009179E5" w:rsidTr="00C463BF">
        <w:trPr>
          <w:trHeight w:val="358"/>
        </w:trPr>
        <w:tc>
          <w:tcPr>
            <w:tcW w:w="1558" w:type="dxa"/>
            <w:vMerge/>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galapatēriņa sektors</w:t>
            </w:r>
          </w:p>
        </w:tc>
        <w:tc>
          <w:tcPr>
            <w:tcW w:w="5313"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Ēkas</w:t>
            </w:r>
          </w:p>
        </w:tc>
      </w:tr>
      <w:tr w:rsidR="001B6822" w:rsidRPr="009179E5" w:rsidTr="00515D7D">
        <w:trPr>
          <w:trHeight w:val="476"/>
        </w:trPr>
        <w:tc>
          <w:tcPr>
            <w:tcW w:w="1558" w:type="dxa"/>
            <w:vMerge/>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Mērķauditorija</w:t>
            </w:r>
          </w:p>
        </w:tc>
        <w:tc>
          <w:tcPr>
            <w:tcW w:w="5313"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Pašvaldības</w:t>
            </w:r>
          </w:p>
        </w:tc>
      </w:tr>
      <w:tr w:rsidR="001B6822" w:rsidRPr="009179E5" w:rsidTr="00515D7D">
        <w:trPr>
          <w:trHeight w:val="476"/>
        </w:trPr>
        <w:tc>
          <w:tcPr>
            <w:tcW w:w="1558" w:type="dxa"/>
            <w:vMerge/>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Pasākuma ieviešanas teritorija</w:t>
            </w:r>
          </w:p>
        </w:tc>
        <w:tc>
          <w:tcPr>
            <w:tcW w:w="5313"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Latvijas Republika </w:t>
            </w:r>
          </w:p>
        </w:tc>
      </w:tr>
      <w:tr w:rsidR="001B6822" w:rsidRPr="009179E5" w:rsidTr="00515D7D">
        <w:trPr>
          <w:trHeight w:val="476"/>
        </w:trPr>
        <w:tc>
          <w:tcPr>
            <w:tcW w:w="1558" w:type="dxa"/>
            <w:vMerge w:val="restart"/>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Informācija un ieviešana</w:t>
            </w:r>
          </w:p>
        </w:tc>
        <w:tc>
          <w:tcPr>
            <w:tcW w:w="2410"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Enerģijas ietaupījumu sasniegšanas pasākumu saraksts un pasākuma pamatapraksts</w:t>
            </w:r>
          </w:p>
        </w:tc>
        <w:tc>
          <w:tcPr>
            <w:tcW w:w="5313" w:type="dxa"/>
          </w:tcPr>
          <w:p w:rsidR="001B6822" w:rsidRPr="009179E5" w:rsidRDefault="001B6822" w:rsidP="00091537">
            <w:pPr>
              <w:pStyle w:val="Tabletext"/>
              <w:tabs>
                <w:tab w:val="left" w:pos="175"/>
                <w:tab w:val="left" w:pos="5040"/>
              </w:tabs>
              <w:spacing w:before="0" w:after="0" w:line="240" w:lineRule="auto"/>
              <w:ind w:left="33"/>
              <w:rPr>
                <w:rFonts w:ascii="Times New Roman" w:hAnsi="Times New Roman"/>
                <w:b/>
                <w:szCs w:val="18"/>
                <w:lang w:val="lv-LV"/>
              </w:rPr>
            </w:pPr>
            <w:r w:rsidRPr="009179E5">
              <w:rPr>
                <w:rFonts w:ascii="Times New Roman" w:hAnsi="Times New Roman"/>
                <w:b/>
                <w:szCs w:val="18"/>
                <w:lang w:val="lv-LV"/>
              </w:rPr>
              <w:t xml:space="preserve">Ēkas  energoresursu patēriņa samazināšana, kas nodrošina energoaudita pārskatā norādīto energoefektivitātes uzlabošanas pasākumu izpildi, renovācija un rekonstrukcija (nemainot ēkas funkcijas), kā arī strukturālo daļu un ēkas tehnisko instalāciju atjaunošana un izveide: </w:t>
            </w:r>
          </w:p>
          <w:p w:rsidR="001B6822" w:rsidRPr="009179E5" w:rsidRDefault="001B6822" w:rsidP="00091537">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ēku ārējo norobežojošo konstrukciju būvelementu siltināšana un nomaiņa;</w:t>
            </w:r>
          </w:p>
          <w:p w:rsidR="001B6822" w:rsidRPr="009179E5" w:rsidRDefault="001B6822" w:rsidP="00091537">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pagraba un augšējā stāva pārseguma siltināšana;</w:t>
            </w:r>
          </w:p>
          <w:p w:rsidR="001B6822" w:rsidRPr="009179E5" w:rsidRDefault="001B6822" w:rsidP="00091537">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siltumapgādes un karstā ūdens sadales sistēmas renovācija vai rekonstrukcija;</w:t>
            </w:r>
          </w:p>
          <w:p w:rsidR="001B6822" w:rsidRPr="009179E5" w:rsidRDefault="001B6822" w:rsidP="00091537">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 xml:space="preserve">kāpņu un ieeju atjaunošana un, ja nepieciešams, pielāgošana personām ar funkcionāliem traucējumiem; </w:t>
            </w:r>
          </w:p>
          <w:p w:rsidR="001B6822" w:rsidRPr="009179E5" w:rsidRDefault="001B6822" w:rsidP="00091537">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 xml:space="preserve">iekšējo un ārējo koridoru, telpu un telpu grupu atjaunošana, lifta izveide vai atjaunošana, pielāgojot tos personām ar funkcionāliem traucējumiem; </w:t>
            </w:r>
          </w:p>
          <w:p w:rsidR="001B6822" w:rsidRPr="009179E5" w:rsidRDefault="001B6822" w:rsidP="00091537">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ventilācijas sistēmu, elektroinstalāciju, ugunsdrošības instalāciju un sistēmu atjaunošana vai izveide saskaņā ar Latvijas būvnormatīvu būvju ugunsdrošības jomā.</w:t>
            </w:r>
          </w:p>
        </w:tc>
      </w:tr>
      <w:tr w:rsidR="001B6822" w:rsidRPr="009179E5" w:rsidTr="00515D7D">
        <w:trPr>
          <w:trHeight w:val="476"/>
        </w:trPr>
        <w:tc>
          <w:tcPr>
            <w:tcW w:w="1558" w:type="dxa"/>
            <w:vMerge/>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Budžets un finansējuma avots</w:t>
            </w:r>
          </w:p>
        </w:tc>
        <w:tc>
          <w:tcPr>
            <w:tcW w:w="5313"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1.kārta 2</w:t>
            </w:r>
            <w:r w:rsidR="00B34182" w:rsidRPr="009179E5">
              <w:rPr>
                <w:rFonts w:ascii="Times New Roman" w:hAnsi="Times New Roman"/>
                <w:b/>
                <w:szCs w:val="18"/>
                <w:lang w:val="lv-LV"/>
              </w:rPr>
              <w:t>,</w:t>
            </w:r>
            <w:r w:rsidRPr="009179E5">
              <w:rPr>
                <w:rFonts w:ascii="Times New Roman" w:hAnsi="Times New Roman"/>
                <w:b/>
                <w:szCs w:val="18"/>
                <w:lang w:val="lv-LV"/>
              </w:rPr>
              <w:t>88</w:t>
            </w:r>
            <w:r w:rsidR="00B34182" w:rsidRPr="009179E5">
              <w:rPr>
                <w:rFonts w:ascii="Times New Roman" w:hAnsi="Times New Roman"/>
                <w:b/>
                <w:szCs w:val="18"/>
                <w:lang w:val="lv-LV"/>
              </w:rPr>
              <w:t xml:space="preserve"> milj.</w:t>
            </w:r>
            <w:r w:rsidRPr="009179E5">
              <w:rPr>
                <w:rFonts w:ascii="Times New Roman" w:hAnsi="Times New Roman"/>
                <w:b/>
                <w:szCs w:val="18"/>
                <w:lang w:val="lv-LV"/>
              </w:rPr>
              <w:t xml:space="preserve"> LVL, ERAF finansējums</w:t>
            </w:r>
          </w:p>
          <w:p w:rsidR="001B6822" w:rsidRPr="009179E5" w:rsidRDefault="001B6822" w:rsidP="00B34182">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2.kārta 4</w:t>
            </w:r>
            <w:r w:rsidR="00B34182" w:rsidRPr="009179E5">
              <w:rPr>
                <w:rFonts w:ascii="Times New Roman" w:hAnsi="Times New Roman"/>
                <w:b/>
                <w:szCs w:val="18"/>
                <w:lang w:val="lv-LV"/>
              </w:rPr>
              <w:t>,</w:t>
            </w:r>
            <w:r w:rsidRPr="009179E5">
              <w:rPr>
                <w:rFonts w:ascii="Times New Roman" w:hAnsi="Times New Roman"/>
                <w:b/>
                <w:szCs w:val="18"/>
                <w:lang w:val="lv-LV"/>
              </w:rPr>
              <w:t>04</w:t>
            </w:r>
            <w:r w:rsidR="00B34182" w:rsidRPr="009179E5">
              <w:rPr>
                <w:rFonts w:ascii="Times New Roman" w:hAnsi="Times New Roman"/>
                <w:b/>
                <w:szCs w:val="18"/>
                <w:lang w:val="lv-LV"/>
              </w:rPr>
              <w:t xml:space="preserve"> milj.</w:t>
            </w:r>
            <w:r w:rsidRPr="009179E5">
              <w:rPr>
                <w:rFonts w:ascii="Times New Roman" w:hAnsi="Times New Roman"/>
                <w:b/>
                <w:szCs w:val="18"/>
                <w:lang w:val="lv-LV"/>
              </w:rPr>
              <w:t xml:space="preserve"> LVL, ERAF finansējums</w:t>
            </w:r>
          </w:p>
        </w:tc>
      </w:tr>
      <w:tr w:rsidR="001B6822" w:rsidRPr="009179E5" w:rsidTr="00515D7D">
        <w:trPr>
          <w:trHeight w:val="476"/>
        </w:trPr>
        <w:tc>
          <w:tcPr>
            <w:tcW w:w="1558" w:type="dxa"/>
            <w:vMerge/>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Ieviesējs</w:t>
            </w:r>
          </w:p>
        </w:tc>
        <w:tc>
          <w:tcPr>
            <w:tcW w:w="5313"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Latvijas Investīciju un attīstības aģentūra</w:t>
            </w:r>
          </w:p>
        </w:tc>
      </w:tr>
      <w:tr w:rsidR="001B6822" w:rsidRPr="009179E5" w:rsidTr="00515D7D">
        <w:trPr>
          <w:trHeight w:val="476"/>
        </w:trPr>
        <w:tc>
          <w:tcPr>
            <w:tcW w:w="1558" w:type="dxa"/>
            <w:vMerge/>
          </w:tcPr>
          <w:p w:rsidR="001B6822" w:rsidRPr="009179E5" w:rsidRDefault="001B6822" w:rsidP="00091537">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Monitoringa (kontroles) institūcija</w:t>
            </w:r>
          </w:p>
        </w:tc>
        <w:tc>
          <w:tcPr>
            <w:tcW w:w="5313" w:type="dxa"/>
          </w:tcPr>
          <w:p w:rsidR="001B6822" w:rsidRPr="009179E5" w:rsidRDefault="001B6822" w:rsidP="0009153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Ekonomikas ministrija</w:t>
            </w:r>
          </w:p>
        </w:tc>
      </w:tr>
      <w:tr w:rsidR="003B1CAD" w:rsidRPr="009179E5" w:rsidTr="00515D7D">
        <w:trPr>
          <w:trHeight w:val="476"/>
        </w:trPr>
        <w:tc>
          <w:tcPr>
            <w:tcW w:w="1558" w:type="dxa"/>
            <w:vMerge w:val="restart"/>
          </w:tcPr>
          <w:p w:rsidR="003B1CAD" w:rsidRPr="009179E5" w:rsidRDefault="003B1CAD"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ietaupījumi</w:t>
            </w:r>
          </w:p>
        </w:tc>
        <w:tc>
          <w:tcPr>
            <w:tcW w:w="2410" w:type="dxa"/>
          </w:tcPr>
          <w:p w:rsidR="003B1CAD" w:rsidRPr="009179E5" w:rsidRDefault="003B1CAD" w:rsidP="00091537">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Sasniegto enerģijas ietaupījumu aprēķina metode</w:t>
            </w:r>
          </w:p>
        </w:tc>
        <w:tc>
          <w:tcPr>
            <w:tcW w:w="5313" w:type="dxa"/>
          </w:tcPr>
          <w:p w:rsidR="003B1CAD" w:rsidRPr="009179E5" w:rsidRDefault="003B1CAD" w:rsidP="000E17C9">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Augšup</w:t>
            </w:r>
            <w:r w:rsidR="000E17C9" w:rsidRPr="009179E5">
              <w:rPr>
                <w:rFonts w:ascii="Times New Roman" w:hAnsi="Times New Roman"/>
                <w:b/>
                <w:szCs w:val="18"/>
                <w:lang w:val="lv-LV"/>
              </w:rPr>
              <w:t>vērstā</w:t>
            </w:r>
            <w:r w:rsidRPr="009179E5">
              <w:rPr>
                <w:rFonts w:ascii="Times New Roman" w:hAnsi="Times New Roman"/>
                <w:b/>
                <w:szCs w:val="18"/>
                <w:lang w:val="lv-LV"/>
              </w:rPr>
              <w:t xml:space="preserve"> un lejup</w:t>
            </w:r>
            <w:r w:rsidR="00CE1203" w:rsidRPr="009179E5">
              <w:rPr>
                <w:rFonts w:ascii="Times New Roman" w:hAnsi="Times New Roman"/>
                <w:b/>
                <w:szCs w:val="18"/>
                <w:lang w:val="lv-LV"/>
              </w:rPr>
              <w:t>vērstā</w:t>
            </w:r>
          </w:p>
        </w:tc>
      </w:tr>
      <w:tr w:rsidR="003B1CAD" w:rsidRPr="009179E5" w:rsidTr="00515D7D">
        <w:trPr>
          <w:trHeight w:val="476"/>
        </w:trPr>
        <w:tc>
          <w:tcPr>
            <w:tcW w:w="1558" w:type="dxa"/>
            <w:vMerge/>
          </w:tcPr>
          <w:p w:rsidR="003B1CAD" w:rsidRPr="009179E5" w:rsidRDefault="003B1CAD" w:rsidP="00091537">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3B1CAD" w:rsidRPr="009179E5" w:rsidRDefault="003B1CAD"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Plānotie enerģijas ietaupījumi 2016 (GWh)</w:t>
            </w:r>
          </w:p>
        </w:tc>
        <w:tc>
          <w:tcPr>
            <w:tcW w:w="5313" w:type="dxa"/>
          </w:tcPr>
          <w:p w:rsidR="003B1CAD" w:rsidRPr="009179E5" w:rsidRDefault="00D31158" w:rsidP="00D31158">
            <w:pPr>
              <w:pStyle w:val="Tabletext"/>
              <w:tabs>
                <w:tab w:val="left" w:pos="1440"/>
                <w:tab w:val="left" w:pos="5040"/>
              </w:tabs>
              <w:spacing w:before="0" w:after="0" w:line="240" w:lineRule="auto"/>
              <w:rPr>
                <w:rFonts w:ascii="Times New Roman" w:hAnsi="Times New Roman"/>
                <w:b/>
                <w:szCs w:val="18"/>
                <w:lang w:val="lv-LV"/>
              </w:rPr>
            </w:pPr>
            <w:r>
              <w:rPr>
                <w:rFonts w:ascii="Times New Roman" w:hAnsi="Times New Roman"/>
                <w:b/>
                <w:szCs w:val="18"/>
                <w:lang w:val="lv-LV"/>
              </w:rPr>
              <w:t xml:space="preserve">36 </w:t>
            </w:r>
            <w:r w:rsidR="003B1CAD" w:rsidRPr="009179E5">
              <w:rPr>
                <w:rFonts w:ascii="Times New Roman" w:hAnsi="Times New Roman"/>
                <w:b/>
                <w:szCs w:val="18"/>
                <w:lang w:val="lv-LV"/>
              </w:rPr>
              <w:t xml:space="preserve">GWh </w:t>
            </w:r>
          </w:p>
        </w:tc>
      </w:tr>
      <w:tr w:rsidR="003B1CAD" w:rsidRPr="009179E5" w:rsidTr="00515D7D">
        <w:trPr>
          <w:trHeight w:val="476"/>
        </w:trPr>
        <w:tc>
          <w:tcPr>
            <w:tcW w:w="1558" w:type="dxa"/>
            <w:vMerge/>
          </w:tcPr>
          <w:p w:rsidR="003B1CAD" w:rsidRPr="009179E5" w:rsidRDefault="003B1CAD" w:rsidP="00091537">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3B1CAD" w:rsidRPr="009179E5" w:rsidRDefault="003B1CAD" w:rsidP="00091537">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Cita informācija</w:t>
            </w:r>
          </w:p>
        </w:tc>
        <w:tc>
          <w:tcPr>
            <w:tcW w:w="5313" w:type="dxa"/>
          </w:tcPr>
          <w:p w:rsidR="003B1CAD" w:rsidRPr="009179E5" w:rsidRDefault="00D66FF2" w:rsidP="00D66FF2">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Starp īstenotajiem projektiem (2 projekti), aprēķinātās enerģijas ietaupījumu izmaksas ir 2,34 LVL par 1 ietaupīto MWh. Savukārt ietaupītā enerģija MWh/gadā uz 1 investēto latu ir 0,43 MWh apjomā.</w:t>
            </w:r>
          </w:p>
        </w:tc>
      </w:tr>
    </w:tbl>
    <w:p w:rsidR="00650C99" w:rsidRPr="009179E5" w:rsidRDefault="00650C99" w:rsidP="00650C99">
      <w:pPr>
        <w:pStyle w:val="Caption"/>
        <w:spacing w:after="0" w:line="240" w:lineRule="auto"/>
        <w:jc w:val="right"/>
        <w:rPr>
          <w:rFonts w:ascii="Times New Roman" w:hAnsi="Times New Roman"/>
          <w:sz w:val="14"/>
          <w:lang w:val="lv-LV"/>
        </w:rPr>
      </w:pPr>
    </w:p>
    <w:p w:rsidR="001960CF" w:rsidRDefault="001960CF" w:rsidP="00650C99">
      <w:pPr>
        <w:pStyle w:val="Caption"/>
        <w:spacing w:after="0" w:line="240" w:lineRule="auto"/>
        <w:jc w:val="right"/>
        <w:rPr>
          <w:rFonts w:ascii="Times New Roman" w:hAnsi="Times New Roman"/>
          <w:sz w:val="24"/>
          <w:szCs w:val="24"/>
          <w:lang w:val="lv-LV"/>
        </w:rPr>
      </w:pPr>
    </w:p>
    <w:p w:rsidR="001960CF" w:rsidRDefault="001960CF" w:rsidP="00650C99">
      <w:pPr>
        <w:pStyle w:val="Caption"/>
        <w:spacing w:after="0" w:line="240" w:lineRule="auto"/>
        <w:jc w:val="right"/>
        <w:rPr>
          <w:rFonts w:ascii="Times New Roman" w:hAnsi="Times New Roman"/>
          <w:sz w:val="24"/>
          <w:szCs w:val="24"/>
          <w:lang w:val="lv-LV"/>
        </w:rPr>
      </w:pPr>
    </w:p>
    <w:p w:rsidR="001960CF" w:rsidRDefault="001960CF" w:rsidP="00650C99">
      <w:pPr>
        <w:pStyle w:val="Caption"/>
        <w:spacing w:after="0" w:line="240" w:lineRule="auto"/>
        <w:jc w:val="right"/>
        <w:rPr>
          <w:rFonts w:ascii="Times New Roman" w:hAnsi="Times New Roman"/>
          <w:sz w:val="24"/>
          <w:szCs w:val="24"/>
          <w:lang w:val="lv-LV"/>
        </w:rPr>
      </w:pPr>
    </w:p>
    <w:p w:rsidR="001960CF" w:rsidRDefault="001960CF" w:rsidP="00650C99">
      <w:pPr>
        <w:pStyle w:val="Caption"/>
        <w:spacing w:after="0" w:line="240" w:lineRule="auto"/>
        <w:jc w:val="right"/>
        <w:rPr>
          <w:rFonts w:ascii="Times New Roman" w:hAnsi="Times New Roman"/>
          <w:sz w:val="24"/>
          <w:szCs w:val="24"/>
          <w:lang w:val="lv-LV"/>
        </w:rPr>
      </w:pPr>
    </w:p>
    <w:p w:rsidR="00D42310" w:rsidRPr="009179E5" w:rsidRDefault="00650C99" w:rsidP="00650C99">
      <w:pPr>
        <w:pStyle w:val="Caption"/>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t>9</w:t>
      </w:r>
      <w:r w:rsidR="00D42310" w:rsidRPr="009179E5">
        <w:rPr>
          <w:rFonts w:ascii="Times New Roman" w:hAnsi="Times New Roman"/>
          <w:sz w:val="24"/>
          <w:szCs w:val="24"/>
          <w:lang w:val="lv-LV"/>
        </w:rPr>
        <w:t>.tabula</w:t>
      </w:r>
    </w:p>
    <w:p w:rsidR="001B6822" w:rsidRPr="009179E5" w:rsidRDefault="00D42310" w:rsidP="00650C99">
      <w:pPr>
        <w:pStyle w:val="Caption"/>
        <w:spacing w:after="0" w:line="240" w:lineRule="auto"/>
        <w:jc w:val="center"/>
        <w:rPr>
          <w:rFonts w:ascii="Times New Roman" w:hAnsi="Times New Roman"/>
          <w:b w:val="0"/>
          <w:sz w:val="24"/>
          <w:szCs w:val="24"/>
          <w:lang w:val="lv-LV"/>
        </w:rPr>
      </w:pPr>
      <w:r w:rsidRPr="009179E5">
        <w:rPr>
          <w:rFonts w:ascii="Times New Roman" w:hAnsi="Times New Roman"/>
          <w:sz w:val="24"/>
          <w:szCs w:val="24"/>
          <w:lang w:val="lv-LV"/>
        </w:rPr>
        <w:t>Pasākuma Nr.MA.</w:t>
      </w:r>
      <w:r w:rsidR="00650C99" w:rsidRPr="009179E5">
        <w:rPr>
          <w:rFonts w:ascii="Times New Roman" w:hAnsi="Times New Roman"/>
          <w:sz w:val="24"/>
          <w:szCs w:val="24"/>
          <w:lang w:val="lv-LV"/>
        </w:rPr>
        <w:t>1.</w:t>
      </w:r>
      <w:r w:rsidRPr="009179E5">
        <w:rPr>
          <w:rFonts w:ascii="Times New Roman" w:hAnsi="Times New Roman"/>
          <w:sz w:val="24"/>
          <w:szCs w:val="24"/>
          <w:lang w:val="lv-LV"/>
        </w:rPr>
        <w:t>3. Informatīvās kampaņas „Dzīvo siltāk” apraksts</w:t>
      </w:r>
    </w:p>
    <w:tbl>
      <w:tblPr>
        <w:tblW w:w="928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8"/>
        <w:gridCol w:w="2410"/>
        <w:gridCol w:w="5313"/>
      </w:tblGrid>
      <w:tr w:rsidR="001B6822" w:rsidRPr="009179E5" w:rsidTr="00D42310">
        <w:trPr>
          <w:trHeight w:val="480"/>
        </w:trPr>
        <w:tc>
          <w:tcPr>
            <w:tcW w:w="3968" w:type="dxa"/>
            <w:gridSpan w:val="2"/>
          </w:tcPr>
          <w:p w:rsidR="001B6822" w:rsidRPr="009179E5" w:rsidRDefault="001B6822" w:rsidP="00650C99">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szCs w:val="18"/>
                <w:lang w:val="lv-LV"/>
              </w:rPr>
              <w:t>Enerģijas ietaupījumu sasniegšanas pasākuma nosaukums</w:t>
            </w:r>
          </w:p>
        </w:tc>
        <w:tc>
          <w:tcPr>
            <w:tcW w:w="5313" w:type="dxa"/>
          </w:tcPr>
          <w:p w:rsidR="001B6822" w:rsidRPr="009179E5" w:rsidRDefault="001B6822" w:rsidP="00650C99">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Informatīvā kampaņa “Dzīvo siltāk!”</w:t>
            </w:r>
          </w:p>
        </w:tc>
      </w:tr>
      <w:tr w:rsidR="001B6822" w:rsidRPr="009179E5" w:rsidTr="00D42310">
        <w:trPr>
          <w:trHeight w:val="480"/>
        </w:trPr>
        <w:tc>
          <w:tcPr>
            <w:tcW w:w="3968" w:type="dxa"/>
            <w:gridSpan w:val="2"/>
          </w:tcPr>
          <w:p w:rsidR="001B6822" w:rsidRPr="009179E5" w:rsidRDefault="001B6822" w:rsidP="00650C99">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szCs w:val="18"/>
                <w:lang w:val="lv-LV"/>
              </w:rPr>
              <w:t>Pasākuma nr.</w:t>
            </w:r>
          </w:p>
        </w:tc>
        <w:tc>
          <w:tcPr>
            <w:tcW w:w="5313" w:type="dxa"/>
          </w:tcPr>
          <w:p w:rsidR="001B6822" w:rsidRPr="009179E5" w:rsidRDefault="00D42310" w:rsidP="00650C99">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MA</w:t>
            </w:r>
            <w:r w:rsidR="001B6822" w:rsidRPr="009179E5">
              <w:rPr>
                <w:rFonts w:ascii="Times New Roman" w:hAnsi="Times New Roman"/>
                <w:b/>
                <w:szCs w:val="18"/>
                <w:lang w:val="lv-LV"/>
              </w:rPr>
              <w:t>.</w:t>
            </w:r>
            <w:r w:rsidR="00650C99" w:rsidRPr="009179E5">
              <w:rPr>
                <w:rFonts w:ascii="Times New Roman" w:hAnsi="Times New Roman"/>
                <w:b/>
                <w:szCs w:val="18"/>
                <w:lang w:val="lv-LV"/>
              </w:rPr>
              <w:t>1.</w:t>
            </w:r>
            <w:r w:rsidR="001B6822" w:rsidRPr="009179E5">
              <w:rPr>
                <w:rFonts w:ascii="Times New Roman" w:hAnsi="Times New Roman"/>
                <w:b/>
                <w:szCs w:val="18"/>
                <w:lang w:val="lv-LV"/>
              </w:rPr>
              <w:t>3.</w:t>
            </w:r>
          </w:p>
        </w:tc>
      </w:tr>
      <w:tr w:rsidR="001B6822" w:rsidRPr="009179E5" w:rsidTr="00933953">
        <w:trPr>
          <w:trHeight w:val="439"/>
        </w:trPr>
        <w:tc>
          <w:tcPr>
            <w:tcW w:w="1558" w:type="dxa"/>
            <w:vMerge w:val="restart"/>
          </w:tcPr>
          <w:p w:rsidR="001B6822" w:rsidRPr="009179E5" w:rsidRDefault="001B6822" w:rsidP="00650C99">
            <w:pPr>
              <w:pStyle w:val="Tabletext"/>
              <w:tabs>
                <w:tab w:val="left" w:pos="1440"/>
                <w:tab w:val="left" w:pos="5040"/>
              </w:tabs>
              <w:spacing w:before="0" w:after="0" w:line="240" w:lineRule="auto"/>
              <w:jc w:val="left"/>
              <w:rPr>
                <w:rFonts w:ascii="Times New Roman" w:hAnsi="Times New Roman"/>
                <w:szCs w:val="18"/>
                <w:lang w:val="lv-LV"/>
              </w:rPr>
            </w:pPr>
          </w:p>
          <w:p w:rsidR="001B6822" w:rsidRPr="009179E5" w:rsidRDefault="001B6822" w:rsidP="00650C99">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Apraksts</w:t>
            </w:r>
          </w:p>
        </w:tc>
        <w:tc>
          <w:tcPr>
            <w:tcW w:w="2410" w:type="dxa"/>
          </w:tcPr>
          <w:p w:rsidR="001B6822" w:rsidRPr="009179E5" w:rsidRDefault="001B6822" w:rsidP="00650C99">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Kategorija</w:t>
            </w:r>
          </w:p>
        </w:tc>
        <w:tc>
          <w:tcPr>
            <w:tcW w:w="5313" w:type="dxa"/>
          </w:tcPr>
          <w:p w:rsidR="001B6822" w:rsidRPr="009179E5" w:rsidRDefault="001B6822" w:rsidP="00650C99">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Informēšanas pasākumi</w:t>
            </w:r>
          </w:p>
        </w:tc>
      </w:tr>
      <w:tr w:rsidR="001B6822" w:rsidRPr="009179E5" w:rsidTr="00D42310">
        <w:trPr>
          <w:trHeight w:val="476"/>
        </w:trPr>
        <w:tc>
          <w:tcPr>
            <w:tcW w:w="1558" w:type="dxa"/>
            <w:vMerge/>
          </w:tcPr>
          <w:p w:rsidR="001B6822" w:rsidRPr="009179E5" w:rsidRDefault="001B6822" w:rsidP="00650C99">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650C99">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Īstenošanas laika grafiks</w:t>
            </w:r>
          </w:p>
        </w:tc>
        <w:tc>
          <w:tcPr>
            <w:tcW w:w="5313" w:type="dxa"/>
          </w:tcPr>
          <w:p w:rsidR="001B6822" w:rsidRPr="009179E5" w:rsidRDefault="001B6822" w:rsidP="00650C99">
            <w:pPr>
              <w:pStyle w:val="Tabletext"/>
              <w:numPr>
                <w:ilvl w:val="0"/>
                <w:numId w:val="10"/>
              </w:numPr>
              <w:tabs>
                <w:tab w:val="left" w:pos="317"/>
                <w:tab w:val="left" w:pos="5040"/>
              </w:tabs>
              <w:spacing w:before="0" w:after="0" w:line="240" w:lineRule="auto"/>
              <w:ind w:left="317" w:hanging="317"/>
              <w:rPr>
                <w:rFonts w:ascii="Times New Roman" w:hAnsi="Times New Roman"/>
                <w:b/>
                <w:szCs w:val="18"/>
                <w:lang w:val="lv-LV"/>
              </w:rPr>
            </w:pPr>
            <w:r w:rsidRPr="009179E5">
              <w:rPr>
                <w:rFonts w:ascii="Times New Roman" w:hAnsi="Times New Roman"/>
                <w:b/>
                <w:szCs w:val="18"/>
                <w:lang w:val="lv-LV"/>
              </w:rPr>
              <w:t xml:space="preserve">Pirms kampaņa - no 2009.gada aprīļa </w:t>
            </w:r>
          </w:p>
          <w:p w:rsidR="001B6822" w:rsidRPr="009179E5" w:rsidRDefault="001B6822" w:rsidP="00650C99">
            <w:pPr>
              <w:pStyle w:val="Tabletext"/>
              <w:numPr>
                <w:ilvl w:val="0"/>
                <w:numId w:val="10"/>
              </w:numPr>
              <w:tabs>
                <w:tab w:val="left" w:pos="317"/>
                <w:tab w:val="left" w:pos="5040"/>
              </w:tabs>
              <w:spacing w:before="0" w:after="0" w:line="240" w:lineRule="auto"/>
              <w:ind w:left="317" w:hanging="317"/>
              <w:rPr>
                <w:rFonts w:ascii="Times New Roman" w:hAnsi="Times New Roman"/>
                <w:b/>
                <w:szCs w:val="18"/>
                <w:lang w:val="lv-LV"/>
              </w:rPr>
            </w:pPr>
            <w:r w:rsidRPr="009179E5">
              <w:rPr>
                <w:rFonts w:ascii="Times New Roman" w:hAnsi="Times New Roman"/>
                <w:b/>
                <w:szCs w:val="18"/>
                <w:lang w:val="lv-LV"/>
              </w:rPr>
              <w:t>Informatīvās kampaņas „Dzīvo Siltāk” 1.posms  - no 2010.gada 25.febrārim līdz 2011.gada 16.jūnijam</w:t>
            </w:r>
          </w:p>
          <w:p w:rsidR="001B6822" w:rsidRPr="009179E5" w:rsidRDefault="001B6822" w:rsidP="00650C99">
            <w:pPr>
              <w:pStyle w:val="Tabletext"/>
              <w:numPr>
                <w:ilvl w:val="0"/>
                <w:numId w:val="10"/>
              </w:numPr>
              <w:tabs>
                <w:tab w:val="left" w:pos="317"/>
                <w:tab w:val="left" w:pos="5040"/>
              </w:tabs>
              <w:spacing w:before="0" w:after="0" w:line="240" w:lineRule="auto"/>
              <w:ind w:left="317" w:hanging="317"/>
              <w:rPr>
                <w:rFonts w:ascii="Times New Roman" w:hAnsi="Times New Roman"/>
                <w:b/>
                <w:szCs w:val="18"/>
                <w:lang w:val="lv-LV"/>
              </w:rPr>
            </w:pPr>
            <w:r w:rsidRPr="009179E5">
              <w:rPr>
                <w:rFonts w:ascii="Times New Roman" w:hAnsi="Times New Roman"/>
                <w:b/>
                <w:szCs w:val="18"/>
                <w:lang w:val="lv-LV"/>
              </w:rPr>
              <w:t xml:space="preserve">Informatīvās kampaņas „Dzīvo Siltāk” 2.posms – no 2011.gada 17.jūnija līdz 2013.gada 31.decembrim </w:t>
            </w:r>
          </w:p>
        </w:tc>
      </w:tr>
      <w:tr w:rsidR="001B6822" w:rsidRPr="009179E5" w:rsidTr="00D42310">
        <w:trPr>
          <w:trHeight w:val="476"/>
        </w:trPr>
        <w:tc>
          <w:tcPr>
            <w:tcW w:w="1558" w:type="dxa"/>
            <w:vMerge/>
          </w:tcPr>
          <w:p w:rsidR="001B6822" w:rsidRPr="009179E5" w:rsidRDefault="001B6822" w:rsidP="00650C99">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650C99">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Mērķis</w:t>
            </w:r>
          </w:p>
        </w:tc>
        <w:tc>
          <w:tcPr>
            <w:tcW w:w="5313" w:type="dxa"/>
          </w:tcPr>
          <w:p w:rsidR="001B6822" w:rsidRPr="009179E5" w:rsidRDefault="001B6822" w:rsidP="00650C99">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Svarīgākie informatīvās kampaņas „Dzīvo siltāk” mērķi:</w:t>
            </w:r>
          </w:p>
          <w:p w:rsidR="001B6822" w:rsidRPr="009179E5" w:rsidRDefault="001B6822" w:rsidP="00650C99">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 xml:space="preserve">aktivizēt daudzdzīvokļu dzīvojamo māju dzīvokļu īpašniekus veikt savas mājas renovāciju ERAF aktivitātes "Daudzdzīvokļu </w:t>
            </w:r>
            <w:r w:rsidRPr="009179E5">
              <w:rPr>
                <w:rFonts w:ascii="Times New Roman" w:hAnsi="Times New Roman"/>
                <w:b/>
                <w:szCs w:val="18"/>
                <w:lang w:val="lv-LV"/>
              </w:rPr>
              <w:lastRenderedPageBreak/>
              <w:t>māju siltumnoturības pasākumu uzlabošana" ietvaros;</w:t>
            </w:r>
          </w:p>
          <w:p w:rsidR="001B6822" w:rsidRPr="009179E5" w:rsidRDefault="001B6822" w:rsidP="00650C99">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informēt un konsultēt namu apsaimniekotājus, DzĪKS un pilnvarotās personas par aktivitātes nosacījumiem un ieguvumiem;</w:t>
            </w:r>
          </w:p>
          <w:p w:rsidR="001B6822" w:rsidRPr="009179E5" w:rsidRDefault="001B6822" w:rsidP="00650C99">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mudināt būvdarbu veicējus, būvmateriālu ražotājus un tirgotājus uzņemties iniciatīvu mājokļu renovācijā;</w:t>
            </w:r>
          </w:p>
          <w:p w:rsidR="001B6822" w:rsidRPr="009179E5" w:rsidRDefault="001B6822" w:rsidP="00650C99">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paaugstināt izpratni par energoefektivitāti un samazināt siltumenerģijas patēriņu.</w:t>
            </w:r>
          </w:p>
        </w:tc>
      </w:tr>
      <w:tr w:rsidR="001B6822" w:rsidRPr="009179E5" w:rsidTr="00D42310">
        <w:trPr>
          <w:trHeight w:val="476"/>
        </w:trPr>
        <w:tc>
          <w:tcPr>
            <w:tcW w:w="1558" w:type="dxa"/>
            <w:vMerge/>
          </w:tcPr>
          <w:p w:rsidR="001B6822" w:rsidRPr="009179E5" w:rsidRDefault="001B6822" w:rsidP="00650C99">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650C99">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galapatēriņa sektors</w:t>
            </w:r>
          </w:p>
        </w:tc>
        <w:tc>
          <w:tcPr>
            <w:tcW w:w="5313" w:type="dxa"/>
          </w:tcPr>
          <w:p w:rsidR="001B6822" w:rsidRPr="009179E5" w:rsidRDefault="001B6822" w:rsidP="00650C99">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Ēkas</w:t>
            </w:r>
          </w:p>
        </w:tc>
      </w:tr>
      <w:tr w:rsidR="001B6822" w:rsidRPr="009179E5" w:rsidTr="00D42310">
        <w:trPr>
          <w:trHeight w:val="476"/>
        </w:trPr>
        <w:tc>
          <w:tcPr>
            <w:tcW w:w="1558" w:type="dxa"/>
            <w:vMerge/>
          </w:tcPr>
          <w:p w:rsidR="001B6822" w:rsidRPr="009179E5" w:rsidRDefault="001B6822" w:rsidP="00650C99">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650C99">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Mērķauditorija</w:t>
            </w:r>
          </w:p>
        </w:tc>
        <w:tc>
          <w:tcPr>
            <w:tcW w:w="5313" w:type="dxa"/>
          </w:tcPr>
          <w:p w:rsidR="001B6822" w:rsidRPr="009179E5" w:rsidRDefault="001B6822" w:rsidP="00650C99">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Namu apsaimniekotāji, DzĪKS, pilnvarotās personas, būvdarbu veicēji, būvmateriālu ražotāji un tirgotāji</w:t>
            </w:r>
          </w:p>
        </w:tc>
      </w:tr>
      <w:tr w:rsidR="001B6822" w:rsidRPr="009179E5" w:rsidTr="00D42310">
        <w:trPr>
          <w:trHeight w:val="476"/>
        </w:trPr>
        <w:tc>
          <w:tcPr>
            <w:tcW w:w="1558" w:type="dxa"/>
            <w:vMerge/>
          </w:tcPr>
          <w:p w:rsidR="001B6822" w:rsidRPr="009179E5" w:rsidRDefault="001B6822" w:rsidP="00650C99">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650C99">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Pasākuma ieviešanas teritorija</w:t>
            </w:r>
          </w:p>
        </w:tc>
        <w:tc>
          <w:tcPr>
            <w:tcW w:w="5313" w:type="dxa"/>
          </w:tcPr>
          <w:p w:rsidR="001B6822" w:rsidRPr="009179E5" w:rsidRDefault="001B6822" w:rsidP="00650C99">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Latvijas Republika </w:t>
            </w:r>
          </w:p>
        </w:tc>
      </w:tr>
      <w:tr w:rsidR="001B6822" w:rsidRPr="009179E5" w:rsidTr="00D42310">
        <w:trPr>
          <w:trHeight w:val="476"/>
        </w:trPr>
        <w:tc>
          <w:tcPr>
            <w:tcW w:w="1558" w:type="dxa"/>
            <w:vMerge w:val="restart"/>
          </w:tcPr>
          <w:p w:rsidR="001B6822" w:rsidRPr="009179E5" w:rsidRDefault="001B6822" w:rsidP="00650C99">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Informācija un ieviešana</w:t>
            </w:r>
          </w:p>
        </w:tc>
        <w:tc>
          <w:tcPr>
            <w:tcW w:w="2410" w:type="dxa"/>
          </w:tcPr>
          <w:p w:rsidR="001B6822" w:rsidRPr="009179E5" w:rsidRDefault="001B6822" w:rsidP="00650C99">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Enerģijas ietaupījumu sasniegšanas pasākumu saraksts un pasākuma pamatapraksts</w:t>
            </w:r>
          </w:p>
        </w:tc>
        <w:tc>
          <w:tcPr>
            <w:tcW w:w="5313" w:type="dxa"/>
          </w:tcPr>
          <w:p w:rsidR="001B6822" w:rsidRPr="009179E5" w:rsidRDefault="001B6822" w:rsidP="00650C99">
            <w:pPr>
              <w:pStyle w:val="Tabletext"/>
              <w:tabs>
                <w:tab w:val="left" w:pos="175"/>
                <w:tab w:val="left" w:pos="5040"/>
              </w:tabs>
              <w:spacing w:before="0" w:after="0" w:line="240" w:lineRule="auto"/>
              <w:ind w:left="33"/>
              <w:rPr>
                <w:rFonts w:ascii="Times New Roman" w:hAnsi="Times New Roman"/>
                <w:b/>
                <w:szCs w:val="18"/>
                <w:lang w:val="lv-LV"/>
              </w:rPr>
            </w:pPr>
            <w:r w:rsidRPr="009179E5">
              <w:rPr>
                <w:rFonts w:ascii="Times New Roman" w:hAnsi="Times New Roman"/>
                <w:b/>
                <w:szCs w:val="18"/>
                <w:lang w:val="lv-LV"/>
              </w:rPr>
              <w:t xml:space="preserve">1) Pirms kampaņa: </w:t>
            </w:r>
          </w:p>
          <w:p w:rsidR="001B6822" w:rsidRPr="009179E5" w:rsidRDefault="001B6822" w:rsidP="00650C99">
            <w:pPr>
              <w:pStyle w:val="Tabletext"/>
              <w:tabs>
                <w:tab w:val="left" w:pos="175"/>
                <w:tab w:val="left" w:pos="5040"/>
              </w:tabs>
              <w:spacing w:before="0" w:after="0" w:line="240" w:lineRule="auto"/>
              <w:ind w:left="33"/>
              <w:rPr>
                <w:rFonts w:ascii="Times New Roman" w:hAnsi="Times New Roman"/>
                <w:b/>
                <w:szCs w:val="18"/>
                <w:lang w:val="lv-LV"/>
              </w:rPr>
            </w:pPr>
            <w:r w:rsidRPr="009179E5">
              <w:rPr>
                <w:rFonts w:ascii="Times New Roman" w:hAnsi="Times New Roman"/>
                <w:b/>
                <w:szCs w:val="18"/>
                <w:lang w:val="lv-LV"/>
              </w:rPr>
              <w:t xml:space="preserve">No 2009.gada 14.aprīļa līdz 2010.ga februārim 2 informatīvo semināru cikli. Kopumā 24 semināri.  </w:t>
            </w:r>
          </w:p>
          <w:p w:rsidR="001B6822" w:rsidRPr="009179E5" w:rsidRDefault="001B6822" w:rsidP="00650C99">
            <w:pPr>
              <w:pStyle w:val="Tabletext"/>
              <w:tabs>
                <w:tab w:val="left" w:pos="175"/>
                <w:tab w:val="left" w:pos="5040"/>
              </w:tabs>
              <w:spacing w:before="0" w:after="0" w:line="240" w:lineRule="auto"/>
              <w:ind w:left="33"/>
              <w:rPr>
                <w:rFonts w:ascii="Times New Roman" w:hAnsi="Times New Roman"/>
                <w:b/>
                <w:szCs w:val="18"/>
                <w:lang w:val="lv-LV"/>
              </w:rPr>
            </w:pPr>
            <w:r w:rsidRPr="009179E5">
              <w:rPr>
                <w:rFonts w:ascii="Times New Roman" w:hAnsi="Times New Roman"/>
                <w:b/>
                <w:szCs w:val="18"/>
                <w:lang w:val="lv-LV"/>
              </w:rPr>
              <w:t>2) Informatīvās kampaņas “Dzīvo siltāk!” ietvaros (1.posms) :</w:t>
            </w:r>
          </w:p>
          <w:p w:rsidR="001B6822" w:rsidRPr="009179E5" w:rsidRDefault="001B6822" w:rsidP="00650C99">
            <w:pPr>
              <w:pStyle w:val="Tabletext"/>
              <w:tabs>
                <w:tab w:val="left" w:pos="175"/>
                <w:tab w:val="left" w:pos="5040"/>
              </w:tabs>
              <w:spacing w:before="0" w:after="0" w:line="240" w:lineRule="auto"/>
              <w:ind w:left="33"/>
              <w:rPr>
                <w:rFonts w:ascii="Times New Roman" w:hAnsi="Times New Roman"/>
                <w:b/>
                <w:szCs w:val="18"/>
                <w:lang w:val="lv-LV"/>
              </w:rPr>
            </w:pPr>
            <w:r w:rsidRPr="009179E5">
              <w:rPr>
                <w:rFonts w:ascii="Times New Roman" w:hAnsi="Times New Roman"/>
                <w:b/>
                <w:szCs w:val="18"/>
                <w:lang w:val="lv-LV"/>
              </w:rPr>
              <w:t xml:space="preserve">2010.gads </w:t>
            </w:r>
          </w:p>
          <w:p w:rsidR="001B6822" w:rsidRPr="009179E5" w:rsidRDefault="001B6822" w:rsidP="00650C99">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 xml:space="preserve">tiek rīkoti 3 reģionālo semināru cikli par aktivitāti „Daudzdzīvokļu māju siltumnoturības uzlabošanas pasākumi” un tās īstenošanas nosacījumiem. Kopumā 36 semināri </w:t>
            </w:r>
          </w:p>
          <w:p w:rsidR="001B6822" w:rsidRPr="009179E5" w:rsidRDefault="001B6822" w:rsidP="00650C99">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 xml:space="preserve">organizētas 2 konferences </w:t>
            </w:r>
          </w:p>
          <w:p w:rsidR="001B6822" w:rsidRPr="009179E5" w:rsidRDefault="001B6822" w:rsidP="00650C99">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 xml:space="preserve">sagatavoti 6 informatīvie materiāli (1 buklets „Soli pa solim līdz mājokļa atjaunošanai” un 5 faktu lapas) </w:t>
            </w:r>
          </w:p>
          <w:p w:rsidR="001B6822" w:rsidRPr="009179E5" w:rsidRDefault="001B6822" w:rsidP="00650C99">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 xml:space="preserve">organizētas 9 apaļā gada diskusijas starp daudzdzīvokļu māju renovācijas procesā iesaistītajām pusēm. Diskusiju rezultāti atspoguļoti plašsaziņas līdzekļos. </w:t>
            </w:r>
          </w:p>
          <w:p w:rsidR="001B6822" w:rsidRPr="009179E5" w:rsidRDefault="001B6822" w:rsidP="00650C99">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 xml:space="preserve">Sadarbībā ar Rīgas Tehnisko universitāti organizēti 5 semināri par mājokļu renovācijas procesa organizēšanu </w:t>
            </w:r>
          </w:p>
          <w:p w:rsidR="001B6822" w:rsidRPr="009179E5" w:rsidRDefault="001B6822" w:rsidP="00650C99">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 xml:space="preserve">26 publikācijas nacionālajos un reģionālajos plašsaziņas līdzekļos </w:t>
            </w:r>
          </w:p>
          <w:p w:rsidR="001B6822" w:rsidRPr="009179E5" w:rsidRDefault="001B6822" w:rsidP="00650C99">
            <w:pPr>
              <w:pStyle w:val="Tabletext"/>
              <w:tabs>
                <w:tab w:val="left" w:pos="175"/>
                <w:tab w:val="left" w:pos="5040"/>
              </w:tabs>
              <w:spacing w:before="0" w:after="0" w:line="240" w:lineRule="auto"/>
              <w:ind w:left="33"/>
              <w:rPr>
                <w:rFonts w:ascii="Times New Roman" w:hAnsi="Times New Roman"/>
                <w:b/>
                <w:szCs w:val="18"/>
                <w:lang w:val="lv-LV"/>
              </w:rPr>
            </w:pPr>
            <w:r w:rsidRPr="009179E5">
              <w:rPr>
                <w:rFonts w:ascii="Times New Roman" w:hAnsi="Times New Roman"/>
                <w:b/>
                <w:szCs w:val="18"/>
                <w:lang w:val="lv-LV"/>
              </w:rPr>
              <w:t>līdz 2011.gada 16.jūnijam</w:t>
            </w:r>
          </w:p>
          <w:p w:rsidR="001B6822" w:rsidRPr="009179E5" w:rsidRDefault="001B6822" w:rsidP="00650C99">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Noslēdzies konkurss „Energoefektīvākā ēka Latvijā 2010”</w:t>
            </w:r>
          </w:p>
          <w:p w:rsidR="001B6822" w:rsidRPr="009179E5" w:rsidRDefault="001B6822" w:rsidP="00650C99">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EM un LIAA dalība izstādē „Māja I”. Informēja interesentus par ERAF aktivitāti „Daudzdzīvokļu māju siltumnoturības uzlabošanas pasākumi”</w:t>
            </w:r>
          </w:p>
          <w:p w:rsidR="001B6822" w:rsidRPr="009179E5" w:rsidRDefault="001B6822" w:rsidP="00650C99">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 xml:space="preserve">Organizēti 9 semināri par mājokļu renovācijas procesa organizēšanu (gan būvniecības, gan projektu vadības aspektos) </w:t>
            </w:r>
          </w:p>
          <w:p w:rsidR="001B6822" w:rsidRPr="009179E5" w:rsidRDefault="001B6822" w:rsidP="00650C99">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 xml:space="preserve">Noslēdzies kārtējais reģionālo semināru cikls. Noticis 21 seminārs. </w:t>
            </w:r>
          </w:p>
          <w:p w:rsidR="001B6822" w:rsidRPr="009179E5" w:rsidRDefault="001B6822" w:rsidP="00650C99">
            <w:pPr>
              <w:pStyle w:val="Tabletext"/>
              <w:tabs>
                <w:tab w:val="left" w:pos="175"/>
                <w:tab w:val="left" w:pos="5040"/>
              </w:tabs>
              <w:spacing w:before="0" w:after="0" w:line="240" w:lineRule="auto"/>
              <w:ind w:left="33"/>
              <w:rPr>
                <w:rFonts w:ascii="Times New Roman" w:hAnsi="Times New Roman"/>
                <w:b/>
                <w:szCs w:val="18"/>
                <w:lang w:val="lv-LV"/>
              </w:rPr>
            </w:pPr>
            <w:r w:rsidRPr="009179E5">
              <w:rPr>
                <w:rFonts w:ascii="Times New Roman" w:hAnsi="Times New Roman"/>
                <w:b/>
                <w:szCs w:val="18"/>
                <w:lang w:val="lv-LV"/>
              </w:rPr>
              <w:t>3) Informatīvās kampaņas “Dzīvo siltāk!” ietvaros (2.posms)</w:t>
            </w:r>
          </w:p>
          <w:p w:rsidR="001B6822" w:rsidRPr="009179E5" w:rsidRDefault="001B6822" w:rsidP="00650C99">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vismaz 6 reģionālo semināru cikli par aktivitāti „Daudzdzīvokļu māju siltumnoturības uzlabošanas pasākumi” un tās īstenošanas nosacījumiem.</w:t>
            </w:r>
          </w:p>
          <w:p w:rsidR="001B6822" w:rsidRPr="009179E5" w:rsidRDefault="001B6822" w:rsidP="00650C99">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 xml:space="preserve">5 konferences/forumi par daudzdzīvokļu māju siltināšanu </w:t>
            </w:r>
          </w:p>
          <w:p w:rsidR="001B6822" w:rsidRPr="009179E5" w:rsidRDefault="001B6822" w:rsidP="00650C99">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6 diskusijas par mājokļu renovācijas ieguvumiem, renovācijas procesa organizēšanu. Pieredzes apmaiņa</w:t>
            </w:r>
          </w:p>
          <w:p w:rsidR="001B6822" w:rsidRPr="009179E5" w:rsidRDefault="001B6822" w:rsidP="00650C99">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 xml:space="preserve">sagatavoti 10 informatīvie materiāli (2 bukleti, 6 faktu lapas) </w:t>
            </w:r>
          </w:p>
          <w:p w:rsidR="001B6822" w:rsidRPr="009179E5" w:rsidRDefault="001B6822" w:rsidP="00650C99">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konkurss „Energoefektīvākā ēka Latvijā 2011”, „Energoefektīvākā ēka Latvijā 2012”, „Energoefektīvākā ēka Latvijā 2013”</w:t>
            </w:r>
          </w:p>
          <w:p w:rsidR="001B6822" w:rsidRPr="009179E5" w:rsidRDefault="001B6822" w:rsidP="00650C99">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szCs w:val="18"/>
                <w:lang w:val="lv-LV"/>
              </w:rPr>
              <w:t xml:space="preserve">dalība izstādēs </w:t>
            </w:r>
          </w:p>
          <w:p w:rsidR="001B6822" w:rsidRPr="009179E5" w:rsidRDefault="001B6822" w:rsidP="00650C99">
            <w:pPr>
              <w:pStyle w:val="Tabletext"/>
              <w:tabs>
                <w:tab w:val="left" w:pos="175"/>
                <w:tab w:val="left" w:pos="5040"/>
              </w:tabs>
              <w:spacing w:before="0" w:after="0" w:line="240" w:lineRule="auto"/>
              <w:ind w:left="33"/>
              <w:rPr>
                <w:rFonts w:ascii="Times New Roman" w:hAnsi="Times New Roman"/>
                <w:b/>
                <w:szCs w:val="18"/>
                <w:lang w:val="lv-LV"/>
              </w:rPr>
            </w:pPr>
            <w:r w:rsidRPr="009179E5">
              <w:rPr>
                <w:rFonts w:ascii="Times New Roman" w:hAnsi="Times New Roman"/>
                <w:b/>
                <w:szCs w:val="18"/>
                <w:lang w:val="lv-LV"/>
              </w:rPr>
              <w:t>2 informatīvās kampaņas ar mērķi mudināt dzīvokļu īpašniekus iesaistīties mājokļu  kopīpašuma apsaimniekošanā, ēku energoefektivitātes uzlabošanā, kā arī pozitīvo renovācijas piemēru popularizēšanā</w:t>
            </w:r>
          </w:p>
          <w:p w:rsidR="001B6822" w:rsidRPr="009179E5" w:rsidRDefault="001B6822" w:rsidP="00650C99">
            <w:pPr>
              <w:pStyle w:val="Tabletext"/>
              <w:tabs>
                <w:tab w:val="left" w:pos="175"/>
                <w:tab w:val="left" w:pos="5040"/>
              </w:tabs>
              <w:spacing w:before="0" w:after="0" w:line="240" w:lineRule="auto"/>
              <w:ind w:left="33"/>
              <w:rPr>
                <w:rFonts w:ascii="Times New Roman" w:hAnsi="Times New Roman"/>
                <w:b/>
                <w:szCs w:val="18"/>
                <w:lang w:val="lv-LV"/>
              </w:rPr>
            </w:pPr>
          </w:p>
        </w:tc>
      </w:tr>
      <w:tr w:rsidR="001B6822" w:rsidRPr="009179E5" w:rsidTr="00D42310">
        <w:trPr>
          <w:trHeight w:val="476"/>
        </w:trPr>
        <w:tc>
          <w:tcPr>
            <w:tcW w:w="1558" w:type="dxa"/>
            <w:vMerge/>
          </w:tcPr>
          <w:p w:rsidR="001B6822" w:rsidRPr="009179E5" w:rsidRDefault="001B6822" w:rsidP="00650C99">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650C99">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Budžets un finansējuma avots</w:t>
            </w:r>
          </w:p>
        </w:tc>
        <w:tc>
          <w:tcPr>
            <w:tcW w:w="5313" w:type="dxa"/>
          </w:tcPr>
          <w:p w:rsidR="001B6822" w:rsidRPr="009179E5" w:rsidRDefault="001B6822" w:rsidP="00650C99">
            <w:pPr>
              <w:pStyle w:val="Tabletext"/>
              <w:numPr>
                <w:ilvl w:val="0"/>
                <w:numId w:val="11"/>
              </w:numPr>
              <w:tabs>
                <w:tab w:val="left" w:pos="317"/>
                <w:tab w:val="left" w:pos="5040"/>
              </w:tabs>
              <w:spacing w:before="0" w:after="0" w:line="240" w:lineRule="auto"/>
              <w:ind w:left="317" w:hanging="284"/>
              <w:rPr>
                <w:rFonts w:ascii="Times New Roman" w:hAnsi="Times New Roman"/>
                <w:b/>
                <w:szCs w:val="18"/>
                <w:lang w:val="lv-LV"/>
              </w:rPr>
            </w:pPr>
            <w:r w:rsidRPr="009179E5">
              <w:rPr>
                <w:rFonts w:ascii="Times New Roman" w:hAnsi="Times New Roman"/>
                <w:b/>
                <w:szCs w:val="18"/>
                <w:lang w:val="lv-LV"/>
              </w:rPr>
              <w:t>Informatīvās kampaņas “Dzīvo siltāk!” 1.posma ietvaros tika finansēti atsevišķi pasākumi (publikācijas, 1 konference un zīmola „Dzīvo Siltāk” izstrāde”</w:t>
            </w:r>
          </w:p>
          <w:p w:rsidR="001B6822" w:rsidRPr="009179E5" w:rsidRDefault="001B6822" w:rsidP="00650C99">
            <w:pPr>
              <w:pStyle w:val="Tabletext"/>
              <w:numPr>
                <w:ilvl w:val="0"/>
                <w:numId w:val="11"/>
              </w:numPr>
              <w:tabs>
                <w:tab w:val="left" w:pos="317"/>
                <w:tab w:val="left" w:pos="5040"/>
              </w:tabs>
              <w:spacing w:before="0" w:after="0" w:line="240" w:lineRule="auto"/>
              <w:ind w:left="317" w:hanging="284"/>
              <w:rPr>
                <w:rFonts w:ascii="Times New Roman" w:hAnsi="Times New Roman"/>
                <w:b/>
                <w:szCs w:val="18"/>
                <w:lang w:val="lv-LV"/>
              </w:rPr>
            </w:pPr>
            <w:r w:rsidRPr="009179E5">
              <w:rPr>
                <w:rFonts w:ascii="Times New Roman" w:hAnsi="Times New Roman"/>
                <w:b/>
                <w:szCs w:val="18"/>
                <w:lang w:val="lv-LV"/>
              </w:rPr>
              <w:t xml:space="preserve">Kampaņas 2.posma pasākumu īstenošanai nepieciešami Ls 3500 </w:t>
            </w:r>
          </w:p>
          <w:p w:rsidR="001B6822" w:rsidRPr="009179E5" w:rsidRDefault="001B6822" w:rsidP="00650C99">
            <w:pPr>
              <w:pStyle w:val="Tabletext"/>
              <w:tabs>
                <w:tab w:val="left" w:pos="175"/>
                <w:tab w:val="left" w:pos="5040"/>
              </w:tabs>
              <w:spacing w:before="0" w:after="0" w:line="240" w:lineRule="auto"/>
              <w:ind w:left="33"/>
              <w:rPr>
                <w:rFonts w:ascii="Times New Roman" w:hAnsi="Times New Roman"/>
                <w:b/>
                <w:szCs w:val="18"/>
                <w:highlight w:val="yellow"/>
                <w:lang w:val="lv-LV"/>
              </w:rPr>
            </w:pPr>
          </w:p>
        </w:tc>
      </w:tr>
      <w:tr w:rsidR="001B6822" w:rsidRPr="009179E5" w:rsidTr="00D42310">
        <w:trPr>
          <w:trHeight w:val="476"/>
        </w:trPr>
        <w:tc>
          <w:tcPr>
            <w:tcW w:w="1558" w:type="dxa"/>
            <w:vMerge/>
          </w:tcPr>
          <w:p w:rsidR="001B6822" w:rsidRPr="009179E5" w:rsidRDefault="001B6822" w:rsidP="00650C99">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650C99">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Ieviesējs</w:t>
            </w:r>
          </w:p>
        </w:tc>
        <w:tc>
          <w:tcPr>
            <w:tcW w:w="5313" w:type="dxa"/>
          </w:tcPr>
          <w:p w:rsidR="001B6822" w:rsidRPr="009179E5" w:rsidRDefault="001B6822" w:rsidP="00650C99">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Ekonomikas ministrija</w:t>
            </w:r>
          </w:p>
        </w:tc>
      </w:tr>
      <w:tr w:rsidR="001B6822" w:rsidRPr="009179E5" w:rsidTr="00D42310">
        <w:trPr>
          <w:trHeight w:val="476"/>
        </w:trPr>
        <w:tc>
          <w:tcPr>
            <w:tcW w:w="1558" w:type="dxa"/>
            <w:vMerge/>
          </w:tcPr>
          <w:p w:rsidR="001B6822" w:rsidRPr="009179E5" w:rsidRDefault="001B6822" w:rsidP="00650C99">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B6822" w:rsidRPr="009179E5" w:rsidRDefault="001B6822" w:rsidP="00650C99">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Monitoringa (kontroles) institūcija</w:t>
            </w:r>
          </w:p>
        </w:tc>
        <w:tc>
          <w:tcPr>
            <w:tcW w:w="5313" w:type="dxa"/>
          </w:tcPr>
          <w:p w:rsidR="001B6822" w:rsidRPr="009179E5" w:rsidRDefault="001B6822" w:rsidP="00650C99">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Ekonomikas ministrija</w:t>
            </w:r>
          </w:p>
        </w:tc>
      </w:tr>
      <w:tr w:rsidR="001B6822" w:rsidRPr="009179E5" w:rsidTr="00D42310">
        <w:trPr>
          <w:trHeight w:val="476"/>
        </w:trPr>
        <w:tc>
          <w:tcPr>
            <w:tcW w:w="1558" w:type="dxa"/>
          </w:tcPr>
          <w:p w:rsidR="001B6822" w:rsidRPr="009179E5" w:rsidRDefault="001B6822" w:rsidP="00650C99">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ietaupījumi</w:t>
            </w:r>
          </w:p>
        </w:tc>
        <w:tc>
          <w:tcPr>
            <w:tcW w:w="2410" w:type="dxa"/>
          </w:tcPr>
          <w:p w:rsidR="001B6822" w:rsidRPr="009179E5" w:rsidRDefault="001B6822" w:rsidP="00650C99">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Sasniegto enerģijas ietaupījumu aprēķina metode</w:t>
            </w:r>
          </w:p>
        </w:tc>
        <w:tc>
          <w:tcPr>
            <w:tcW w:w="5313" w:type="dxa"/>
          </w:tcPr>
          <w:p w:rsidR="001B6822" w:rsidRPr="009179E5" w:rsidRDefault="001B6822" w:rsidP="00AC38A9">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Lejup</w:t>
            </w:r>
            <w:r w:rsidR="00AC38A9" w:rsidRPr="009179E5">
              <w:rPr>
                <w:rFonts w:ascii="Times New Roman" w:hAnsi="Times New Roman"/>
                <w:b/>
                <w:szCs w:val="18"/>
                <w:lang w:val="lv-LV"/>
              </w:rPr>
              <w:t>vērstā</w:t>
            </w:r>
          </w:p>
        </w:tc>
      </w:tr>
    </w:tbl>
    <w:p w:rsidR="001B6822" w:rsidRPr="009179E5" w:rsidRDefault="001B6822" w:rsidP="00574AC8">
      <w:pPr>
        <w:spacing w:before="120" w:after="120" w:line="240" w:lineRule="auto"/>
        <w:rPr>
          <w:rFonts w:ascii="Times New Roman" w:hAnsi="Times New Roman"/>
          <w:sz w:val="28"/>
          <w:szCs w:val="28"/>
          <w:lang w:val="lv-LV"/>
        </w:rPr>
      </w:pPr>
    </w:p>
    <w:p w:rsidR="000852D7" w:rsidRPr="009179E5" w:rsidRDefault="00256897" w:rsidP="0095197D">
      <w:pPr>
        <w:pStyle w:val="Heading4"/>
        <w:numPr>
          <w:ilvl w:val="0"/>
          <w:numId w:val="0"/>
        </w:numPr>
        <w:spacing w:line="240" w:lineRule="auto"/>
        <w:jc w:val="center"/>
        <w:rPr>
          <w:rFonts w:ascii="Times New Roman Bold" w:hAnsi="Times New Roman Bold"/>
          <w:b/>
          <w:i w:val="0"/>
          <w:caps/>
          <w:color w:val="auto"/>
          <w:sz w:val="28"/>
          <w:u w:val="none"/>
          <w:lang w:val="lv-LV"/>
        </w:rPr>
      </w:pPr>
      <w:bookmarkStart w:id="32" w:name="_Toc300320577"/>
      <w:r w:rsidRPr="009179E5">
        <w:rPr>
          <w:rFonts w:ascii="Times New Roman Bold" w:hAnsi="Times New Roman Bold"/>
          <w:b/>
          <w:i w:val="0"/>
          <w:caps/>
          <w:color w:val="auto"/>
          <w:sz w:val="28"/>
          <w:u w:val="none"/>
          <w:lang w:val="lv-LV"/>
        </w:rPr>
        <w:t>4.2</w:t>
      </w:r>
      <w:r w:rsidR="000E17C9" w:rsidRPr="009179E5">
        <w:rPr>
          <w:rFonts w:ascii="Times New Roman Bold" w:hAnsi="Times New Roman Bold"/>
          <w:b/>
          <w:i w:val="0"/>
          <w:caps/>
          <w:color w:val="auto"/>
          <w:sz w:val="28"/>
          <w:u w:val="none"/>
          <w:lang w:val="lv-LV"/>
        </w:rPr>
        <w:t>.</w:t>
      </w:r>
      <w:r w:rsidRPr="009179E5">
        <w:rPr>
          <w:rFonts w:ascii="Times New Roman Bold" w:hAnsi="Times New Roman Bold"/>
          <w:b/>
          <w:i w:val="0"/>
          <w:caps/>
          <w:color w:val="auto"/>
          <w:sz w:val="28"/>
          <w:u w:val="none"/>
          <w:lang w:val="lv-LV"/>
        </w:rPr>
        <w:t xml:space="preserve"> </w:t>
      </w:r>
      <w:r w:rsidR="000852D7" w:rsidRPr="009179E5">
        <w:rPr>
          <w:rFonts w:ascii="Times New Roman Bold" w:hAnsi="Times New Roman Bold"/>
          <w:b/>
          <w:i w:val="0"/>
          <w:caps/>
          <w:color w:val="auto"/>
          <w:sz w:val="28"/>
          <w:u w:val="none"/>
          <w:lang w:val="lv-LV"/>
        </w:rPr>
        <w:t>Transports</w:t>
      </w:r>
      <w:bookmarkEnd w:id="32"/>
    </w:p>
    <w:p w:rsidR="00E70641" w:rsidRPr="003B66D9" w:rsidRDefault="00E70641" w:rsidP="00E70641">
      <w:pPr>
        <w:shd w:val="clear" w:color="auto" w:fill="FFFFFF"/>
        <w:spacing w:before="100" w:beforeAutospacing="1" w:after="100" w:afterAutospacing="1" w:line="240" w:lineRule="auto"/>
        <w:jc w:val="both"/>
        <w:rPr>
          <w:rFonts w:ascii="Times New Roman" w:hAnsi="Times New Roman"/>
          <w:sz w:val="28"/>
          <w:szCs w:val="28"/>
          <w:lang w:val="lv-LV"/>
        </w:rPr>
      </w:pPr>
      <w:r w:rsidRPr="003B66D9">
        <w:rPr>
          <w:rFonts w:ascii="Times New Roman" w:hAnsi="Times New Roman"/>
          <w:sz w:val="28"/>
          <w:szCs w:val="28"/>
          <w:lang w:val="lv-LV"/>
        </w:rPr>
        <w:t>Transporta sektors ir otrs lielākais enerģijas galapatēriņa sektors Latvijā. 2010. gadā enerģijas galapatēriņš transportā bija 13986 GWh (50,35 PJ) jeb 28,4% no kopējā enerģijas galapatēriņa. Autotransports patērēja 83,6%, dzelzceļa transports 5,9% un gaisa transports, cauruļvadu transports un iekšzemes kuģošana atlikušo no kopējā enerģijas patēriņa transporta sektorā..</w:t>
      </w:r>
    </w:p>
    <w:p w:rsidR="000852D7" w:rsidRPr="009179E5" w:rsidRDefault="00E70641" w:rsidP="00E70641">
      <w:pPr>
        <w:pStyle w:val="BodyText0"/>
        <w:spacing w:before="120"/>
        <w:jc w:val="both"/>
        <w:rPr>
          <w:sz w:val="28"/>
          <w:szCs w:val="28"/>
        </w:rPr>
      </w:pPr>
      <w:r w:rsidRPr="003B66D9">
        <w:rPr>
          <w:sz w:val="28"/>
          <w:szCs w:val="28"/>
        </w:rPr>
        <w:t>Dīzeļdegviela ir galvenais degvielas veids transporta sektorā, un 2010.</w:t>
      </w:r>
      <w:r w:rsidRPr="003B66D9">
        <w:rPr>
          <w:sz w:val="16"/>
          <w:szCs w:val="16"/>
        </w:rPr>
        <w:t> </w:t>
      </w:r>
      <w:r w:rsidRPr="003B66D9">
        <w:rPr>
          <w:sz w:val="28"/>
          <w:szCs w:val="28"/>
        </w:rPr>
        <w:t>gadā transporta enerģijas patēriņā tā sastāda 61,9%, tam seko benzīns ar 25%.</w:t>
      </w:r>
    </w:p>
    <w:p w:rsidR="000852D7" w:rsidRPr="009179E5" w:rsidRDefault="00664126" w:rsidP="00DC7E7C">
      <w:pPr>
        <w:pStyle w:val="BodyText0"/>
        <w:tabs>
          <w:tab w:val="left" w:pos="357"/>
          <w:tab w:val="left" w:pos="720"/>
        </w:tabs>
        <w:spacing w:before="120"/>
      </w:pPr>
      <w:r w:rsidRPr="009179E5">
        <w:rPr>
          <w:noProof/>
          <w:lang w:eastAsia="lv-LV"/>
        </w:rPr>
        <w:drawing>
          <wp:inline distT="0" distB="0" distL="0" distR="0">
            <wp:extent cx="5144770" cy="26555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srcRect/>
                    <a:stretch>
                      <a:fillRect/>
                    </a:stretch>
                  </pic:blipFill>
                  <pic:spPr bwMode="auto">
                    <a:xfrm>
                      <a:off x="0" y="0"/>
                      <a:ext cx="5144770" cy="2655570"/>
                    </a:xfrm>
                    <a:prstGeom prst="rect">
                      <a:avLst/>
                    </a:prstGeom>
                    <a:noFill/>
                    <a:ln w="9525">
                      <a:noFill/>
                      <a:miter lim="800000"/>
                      <a:headEnd/>
                      <a:tailEnd/>
                    </a:ln>
                  </pic:spPr>
                </pic:pic>
              </a:graphicData>
            </a:graphic>
          </wp:inline>
        </w:drawing>
      </w:r>
    </w:p>
    <w:p w:rsidR="000852D7" w:rsidRPr="009179E5" w:rsidRDefault="000852D7" w:rsidP="00574AC8">
      <w:pPr>
        <w:pStyle w:val="BodyText0"/>
        <w:tabs>
          <w:tab w:val="left" w:pos="357"/>
          <w:tab w:val="left" w:pos="720"/>
        </w:tabs>
        <w:spacing w:before="120"/>
        <w:jc w:val="both"/>
        <w:rPr>
          <w:b/>
          <w:sz w:val="22"/>
          <w:szCs w:val="22"/>
        </w:rPr>
      </w:pPr>
      <w:r w:rsidRPr="009179E5">
        <w:rPr>
          <w:b/>
          <w:sz w:val="22"/>
          <w:szCs w:val="22"/>
        </w:rPr>
        <w:t>1</w:t>
      </w:r>
      <w:r w:rsidR="002E5596" w:rsidRPr="009179E5">
        <w:rPr>
          <w:b/>
          <w:sz w:val="22"/>
          <w:szCs w:val="22"/>
        </w:rPr>
        <w:t>6</w:t>
      </w:r>
      <w:r w:rsidRPr="009179E5">
        <w:rPr>
          <w:b/>
          <w:sz w:val="22"/>
          <w:szCs w:val="22"/>
        </w:rPr>
        <w:t>.</w:t>
      </w:r>
      <w:r w:rsidR="00AA0FB8" w:rsidRPr="009179E5">
        <w:rPr>
          <w:b/>
          <w:sz w:val="22"/>
          <w:szCs w:val="22"/>
        </w:rPr>
        <w:t>attēls</w:t>
      </w:r>
      <w:r w:rsidRPr="009179E5">
        <w:rPr>
          <w:b/>
          <w:sz w:val="22"/>
          <w:szCs w:val="22"/>
        </w:rPr>
        <w:t>. Pasažieru pārvadājumi Latvijā dažādos transporta veidos</w:t>
      </w:r>
    </w:p>
    <w:p w:rsidR="000852D7" w:rsidRPr="009179E5" w:rsidRDefault="008B13BF" w:rsidP="00574AC8">
      <w:pPr>
        <w:spacing w:before="120" w:after="120" w:line="240" w:lineRule="auto"/>
        <w:rPr>
          <w:rFonts w:ascii="Times New Roman" w:hAnsi="Times New Roman"/>
          <w:sz w:val="28"/>
          <w:szCs w:val="28"/>
          <w:lang w:val="lv-LV"/>
        </w:rPr>
      </w:pPr>
      <w:r w:rsidRPr="009179E5">
        <w:rPr>
          <w:rFonts w:ascii="Times New Roman" w:hAnsi="Times New Roman"/>
          <w:sz w:val="28"/>
          <w:szCs w:val="28"/>
          <w:lang w:val="lv-LV"/>
        </w:rPr>
        <w:t>2009.gadā 82% no pasažieru pārvadājumiem nodrošināja privātās automašīnas (ES – 76%), bet 4,5% – dzelzceļš (ES – 7%).</w:t>
      </w:r>
    </w:p>
    <w:p w:rsidR="000852D7" w:rsidRPr="009179E5" w:rsidRDefault="000852D7"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Kravas pārvadājumi tiek nodrošināti ar autotransportu un pa dzelzceļu. Autotransporta kravu pārvadājumi sastāda apmēram līdz 40% no kopējā kravu pārvadājuma valstī. Autotransporta kravu pārvadājumos apmēram 90% kopapjoma sastāda iekšzemes pārvadājumi. Līdz ar to iekšzemes patēriņa svārstības galvenokārt nosaka degvielas patēriņa svārstības autotransporta kravas pārvadājumos, bet tranzīta kravu apjoms ietekmē degvielas patēriņu dzelzceļa transportā. Pēdējo gadu tendences liecina par enerģijas patēriņa samazināšanos gan uz vienu automašīnu, gan uz kravas pārvadājumiem.</w:t>
      </w:r>
    </w:p>
    <w:p w:rsidR="000852D7" w:rsidRPr="009179E5" w:rsidRDefault="00664126" w:rsidP="00574AC8">
      <w:pPr>
        <w:spacing w:before="120" w:after="120" w:line="240" w:lineRule="auto"/>
        <w:rPr>
          <w:szCs w:val="28"/>
          <w:lang w:val="lv-LV"/>
        </w:rPr>
      </w:pPr>
      <w:r w:rsidRPr="009179E5">
        <w:rPr>
          <w:noProof/>
          <w:lang w:val="lv-LV" w:eastAsia="lv-LV"/>
        </w:rPr>
        <w:lastRenderedPageBreak/>
        <w:drawing>
          <wp:inline distT="0" distB="0" distL="0" distR="0">
            <wp:extent cx="4730750" cy="23215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cstate="print"/>
                    <a:srcRect/>
                    <a:stretch>
                      <a:fillRect/>
                    </a:stretch>
                  </pic:blipFill>
                  <pic:spPr bwMode="auto">
                    <a:xfrm>
                      <a:off x="0" y="0"/>
                      <a:ext cx="4730750" cy="2321560"/>
                    </a:xfrm>
                    <a:prstGeom prst="rect">
                      <a:avLst/>
                    </a:prstGeom>
                    <a:noFill/>
                    <a:ln w="9525">
                      <a:noFill/>
                      <a:miter lim="800000"/>
                      <a:headEnd/>
                      <a:tailEnd/>
                    </a:ln>
                  </pic:spPr>
                </pic:pic>
              </a:graphicData>
            </a:graphic>
          </wp:inline>
        </w:drawing>
      </w:r>
    </w:p>
    <w:p w:rsidR="000852D7" w:rsidRPr="009179E5" w:rsidRDefault="001248F1" w:rsidP="00574AC8">
      <w:pPr>
        <w:spacing w:before="120" w:after="120" w:line="240" w:lineRule="auto"/>
        <w:jc w:val="both"/>
        <w:rPr>
          <w:rFonts w:ascii="Times New Roman" w:hAnsi="Times New Roman"/>
          <w:b/>
          <w:bCs/>
          <w:sz w:val="24"/>
          <w:szCs w:val="24"/>
          <w:lang w:val="lv-LV"/>
        </w:rPr>
      </w:pPr>
      <w:r w:rsidRPr="009179E5">
        <w:rPr>
          <w:rFonts w:ascii="Times New Roman" w:hAnsi="Times New Roman"/>
          <w:b/>
          <w:bCs/>
          <w:sz w:val="24"/>
          <w:szCs w:val="24"/>
          <w:lang w:val="lv-LV"/>
        </w:rPr>
        <w:t>17.attēls. Enerģijas ietaupījums transportā – autotransporta un dzelzceļa transporta indi</w:t>
      </w:r>
      <w:r w:rsidR="001960CF">
        <w:rPr>
          <w:rFonts w:ascii="Times New Roman" w:hAnsi="Times New Roman"/>
          <w:b/>
          <w:bCs/>
          <w:sz w:val="24"/>
          <w:szCs w:val="24"/>
          <w:lang w:val="lv-LV"/>
        </w:rPr>
        <w:t>katora izmaiņas 2007.-2009.gadā</w:t>
      </w:r>
    </w:p>
    <w:p w:rsidR="00944450" w:rsidRPr="00944450" w:rsidRDefault="00944450" w:rsidP="00944450">
      <w:pPr>
        <w:spacing w:before="120" w:after="120" w:line="240" w:lineRule="auto"/>
        <w:jc w:val="both"/>
        <w:rPr>
          <w:rFonts w:ascii="Times New Roman" w:hAnsi="Times New Roman"/>
          <w:bCs/>
          <w:sz w:val="28"/>
          <w:szCs w:val="28"/>
          <w:lang w:val="lv-LV"/>
        </w:rPr>
      </w:pPr>
      <w:r w:rsidRPr="00944450">
        <w:rPr>
          <w:rFonts w:ascii="Times New Roman" w:hAnsi="Times New Roman"/>
          <w:bCs/>
          <w:sz w:val="28"/>
          <w:szCs w:val="28"/>
          <w:lang w:val="lv-LV"/>
        </w:rPr>
        <w:t>Enerģijas patēriņa raksturojošā indikatora vērtība autotransportā samazinājusies galvenokārt pateicoties kravas automašīnu parka nomaiņai, kuru realizēja kravu pārvadātāji, lai maksimāli samazinātu degvielas izmaksas uz pārvadāto kravas vienību.</w:t>
      </w:r>
    </w:p>
    <w:p w:rsidR="00944450" w:rsidRPr="009179E5" w:rsidRDefault="00944450" w:rsidP="00574AC8">
      <w:pPr>
        <w:spacing w:before="120" w:after="120" w:line="240" w:lineRule="auto"/>
        <w:jc w:val="both"/>
        <w:rPr>
          <w:rFonts w:ascii="Times New Roman" w:hAnsi="Times New Roman"/>
          <w:bCs/>
          <w:sz w:val="28"/>
          <w:szCs w:val="28"/>
          <w:lang w:val="lv-LV"/>
        </w:rPr>
      </w:pPr>
    </w:p>
    <w:p w:rsidR="002E630F" w:rsidRPr="009179E5" w:rsidRDefault="002E630F" w:rsidP="008C46B1">
      <w:pPr>
        <w:spacing w:after="0" w:line="240" w:lineRule="auto"/>
        <w:jc w:val="right"/>
        <w:rPr>
          <w:rFonts w:ascii="Times New Roman" w:hAnsi="Times New Roman"/>
          <w:b/>
          <w:bCs/>
          <w:sz w:val="24"/>
          <w:szCs w:val="24"/>
          <w:lang w:val="lv-LV"/>
        </w:rPr>
      </w:pPr>
      <w:r w:rsidRPr="009179E5">
        <w:rPr>
          <w:rFonts w:ascii="Times New Roman" w:hAnsi="Times New Roman"/>
          <w:b/>
          <w:bCs/>
          <w:sz w:val="24"/>
          <w:szCs w:val="24"/>
          <w:lang w:val="lv-LV"/>
        </w:rPr>
        <w:t>1</w:t>
      </w:r>
      <w:r w:rsidR="00863776" w:rsidRPr="009179E5">
        <w:rPr>
          <w:rFonts w:ascii="Times New Roman" w:hAnsi="Times New Roman"/>
          <w:b/>
          <w:bCs/>
          <w:sz w:val="24"/>
          <w:szCs w:val="24"/>
          <w:lang w:val="lv-LV"/>
        </w:rPr>
        <w:t>0</w:t>
      </w:r>
      <w:r w:rsidRPr="009179E5">
        <w:rPr>
          <w:rFonts w:ascii="Times New Roman" w:hAnsi="Times New Roman"/>
          <w:b/>
          <w:bCs/>
          <w:sz w:val="24"/>
          <w:szCs w:val="24"/>
          <w:lang w:val="lv-LV"/>
        </w:rPr>
        <w:t xml:space="preserve">.tabula </w:t>
      </w:r>
    </w:p>
    <w:p w:rsidR="002E630F" w:rsidRPr="009179E5" w:rsidRDefault="002E630F" w:rsidP="008C46B1">
      <w:pPr>
        <w:spacing w:after="0" w:line="240" w:lineRule="auto"/>
        <w:jc w:val="center"/>
        <w:rPr>
          <w:rFonts w:ascii="Times New Roman" w:hAnsi="Times New Roman"/>
          <w:b/>
          <w:bCs/>
          <w:sz w:val="24"/>
          <w:szCs w:val="24"/>
          <w:lang w:val="lv-LV"/>
        </w:rPr>
      </w:pPr>
      <w:r w:rsidRPr="009179E5">
        <w:rPr>
          <w:rFonts w:ascii="Times New Roman" w:hAnsi="Times New Roman"/>
          <w:b/>
          <w:bCs/>
          <w:sz w:val="24"/>
          <w:szCs w:val="24"/>
          <w:lang w:val="lv-LV"/>
        </w:rPr>
        <w:t xml:space="preserve">Degvielas patēriņa prognoze autotransportam 2010.-2020.gadam (ņemot vērā </w:t>
      </w:r>
      <w:r w:rsidR="00C13D77" w:rsidRPr="009179E5">
        <w:rPr>
          <w:rFonts w:ascii="Times New Roman" w:hAnsi="Times New Roman"/>
          <w:b/>
          <w:bCs/>
          <w:sz w:val="24"/>
          <w:szCs w:val="24"/>
          <w:lang w:val="lv-LV"/>
        </w:rPr>
        <w:t>1.EERP</w:t>
      </w:r>
      <w:r w:rsidR="004F4264" w:rsidRPr="009179E5">
        <w:rPr>
          <w:rFonts w:ascii="Times New Roman" w:hAnsi="Times New Roman"/>
          <w:b/>
          <w:bCs/>
          <w:sz w:val="24"/>
          <w:szCs w:val="24"/>
          <w:lang w:val="lv-LV"/>
        </w:rPr>
        <w:t xml:space="preserve"> un papildu energoefektivitātes pasākumus transportā līdz 2020.gadam</w:t>
      </w:r>
      <w:r w:rsidRPr="009179E5">
        <w:rPr>
          <w:rFonts w:ascii="Times New Roman" w:hAnsi="Times New Roman"/>
          <w:b/>
          <w:bCs/>
          <w:sz w:val="24"/>
          <w:szCs w:val="24"/>
          <w:lang w:val="lv-LV"/>
        </w:rPr>
        <w:t>)</w:t>
      </w:r>
    </w:p>
    <w:tbl>
      <w:tblPr>
        <w:tblW w:w="0" w:type="auto"/>
        <w:jc w:val="center"/>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3"/>
        <w:gridCol w:w="1227"/>
        <w:gridCol w:w="1227"/>
        <w:gridCol w:w="1227"/>
        <w:gridCol w:w="1261"/>
        <w:gridCol w:w="1337"/>
        <w:gridCol w:w="1373"/>
      </w:tblGrid>
      <w:tr w:rsidR="007C2DCE" w:rsidRPr="009179E5" w:rsidTr="007C2DCE">
        <w:trPr>
          <w:jc w:val="center"/>
        </w:trPr>
        <w:tc>
          <w:tcPr>
            <w:tcW w:w="1943" w:type="dxa"/>
          </w:tcPr>
          <w:p w:rsidR="000852D7" w:rsidRPr="009179E5" w:rsidRDefault="000852D7" w:rsidP="00D62476">
            <w:pPr>
              <w:spacing w:after="0" w:line="240" w:lineRule="auto"/>
              <w:jc w:val="center"/>
              <w:rPr>
                <w:rFonts w:ascii="Times New Roman" w:hAnsi="Times New Roman"/>
                <w:b/>
                <w:bCs/>
                <w:sz w:val="24"/>
                <w:szCs w:val="24"/>
                <w:lang w:val="lv-LV"/>
              </w:rPr>
            </w:pPr>
          </w:p>
        </w:tc>
        <w:tc>
          <w:tcPr>
            <w:tcW w:w="2454" w:type="dxa"/>
            <w:gridSpan w:val="2"/>
          </w:tcPr>
          <w:p w:rsidR="000852D7" w:rsidRPr="009179E5" w:rsidRDefault="000852D7" w:rsidP="00D62476">
            <w:pPr>
              <w:spacing w:after="0" w:line="240" w:lineRule="auto"/>
              <w:jc w:val="center"/>
              <w:rPr>
                <w:rFonts w:ascii="Times New Roman" w:hAnsi="Times New Roman"/>
                <w:b/>
                <w:bCs/>
                <w:sz w:val="24"/>
                <w:szCs w:val="24"/>
                <w:lang w:val="lv-LV"/>
              </w:rPr>
            </w:pPr>
            <w:r w:rsidRPr="009179E5">
              <w:rPr>
                <w:rFonts w:ascii="Times New Roman" w:hAnsi="Times New Roman"/>
                <w:b/>
                <w:bCs/>
                <w:sz w:val="24"/>
                <w:szCs w:val="24"/>
                <w:lang w:val="lv-LV"/>
              </w:rPr>
              <w:t>2010</w:t>
            </w:r>
            <w:r w:rsidR="004F4264" w:rsidRPr="009179E5">
              <w:rPr>
                <w:rFonts w:ascii="Times New Roman" w:hAnsi="Times New Roman"/>
                <w:b/>
                <w:bCs/>
                <w:sz w:val="24"/>
                <w:szCs w:val="24"/>
                <w:lang w:val="lv-LV"/>
              </w:rPr>
              <w:t xml:space="preserve"> GWh (PJ)</w:t>
            </w:r>
          </w:p>
        </w:tc>
        <w:tc>
          <w:tcPr>
            <w:tcW w:w="2488" w:type="dxa"/>
            <w:gridSpan w:val="2"/>
          </w:tcPr>
          <w:p w:rsidR="000852D7" w:rsidRPr="009179E5" w:rsidRDefault="000852D7" w:rsidP="00D62476">
            <w:pPr>
              <w:spacing w:after="0" w:line="240" w:lineRule="auto"/>
              <w:jc w:val="center"/>
              <w:rPr>
                <w:rFonts w:ascii="Times New Roman" w:hAnsi="Times New Roman"/>
                <w:b/>
                <w:bCs/>
                <w:sz w:val="24"/>
                <w:szCs w:val="24"/>
                <w:lang w:val="lv-LV"/>
              </w:rPr>
            </w:pPr>
            <w:r w:rsidRPr="009179E5">
              <w:rPr>
                <w:rFonts w:ascii="Times New Roman" w:hAnsi="Times New Roman"/>
                <w:b/>
                <w:bCs/>
                <w:sz w:val="24"/>
                <w:szCs w:val="24"/>
                <w:lang w:val="lv-LV"/>
              </w:rPr>
              <w:t>2015</w:t>
            </w:r>
            <w:r w:rsidR="004F4264" w:rsidRPr="009179E5">
              <w:rPr>
                <w:rFonts w:ascii="Times New Roman" w:hAnsi="Times New Roman"/>
                <w:b/>
                <w:bCs/>
                <w:sz w:val="24"/>
                <w:szCs w:val="24"/>
                <w:lang w:val="lv-LV"/>
              </w:rPr>
              <w:t xml:space="preserve"> GWh (PJ)</w:t>
            </w:r>
          </w:p>
        </w:tc>
        <w:tc>
          <w:tcPr>
            <w:tcW w:w="2710" w:type="dxa"/>
            <w:gridSpan w:val="2"/>
          </w:tcPr>
          <w:p w:rsidR="000852D7" w:rsidRPr="009179E5" w:rsidRDefault="000852D7" w:rsidP="00D62476">
            <w:pPr>
              <w:spacing w:after="0" w:line="240" w:lineRule="auto"/>
              <w:jc w:val="center"/>
              <w:rPr>
                <w:rFonts w:ascii="Times New Roman" w:hAnsi="Times New Roman"/>
                <w:b/>
                <w:bCs/>
                <w:sz w:val="24"/>
                <w:szCs w:val="24"/>
                <w:lang w:val="lv-LV"/>
              </w:rPr>
            </w:pPr>
            <w:r w:rsidRPr="009179E5">
              <w:rPr>
                <w:rFonts w:ascii="Times New Roman" w:hAnsi="Times New Roman"/>
                <w:b/>
                <w:bCs/>
                <w:sz w:val="24"/>
                <w:szCs w:val="24"/>
                <w:lang w:val="lv-LV"/>
              </w:rPr>
              <w:t>2020</w:t>
            </w:r>
            <w:r w:rsidR="004F4264" w:rsidRPr="009179E5">
              <w:rPr>
                <w:rFonts w:ascii="Times New Roman" w:hAnsi="Times New Roman"/>
                <w:b/>
                <w:bCs/>
                <w:sz w:val="24"/>
                <w:szCs w:val="24"/>
                <w:lang w:val="lv-LV"/>
              </w:rPr>
              <w:t xml:space="preserve"> GWh (PJ)</w:t>
            </w:r>
          </w:p>
        </w:tc>
      </w:tr>
      <w:tr w:rsidR="007C2DCE" w:rsidRPr="009179E5" w:rsidTr="00C76FCA">
        <w:trPr>
          <w:jc w:val="center"/>
        </w:trPr>
        <w:tc>
          <w:tcPr>
            <w:tcW w:w="1943" w:type="dxa"/>
          </w:tcPr>
          <w:p w:rsidR="007C2DCE" w:rsidRPr="009179E5" w:rsidRDefault="007C2DCE" w:rsidP="00D62476">
            <w:pPr>
              <w:spacing w:after="0" w:line="240" w:lineRule="auto"/>
              <w:jc w:val="center"/>
              <w:rPr>
                <w:rFonts w:ascii="Times New Roman" w:hAnsi="Times New Roman"/>
                <w:b/>
                <w:bCs/>
                <w:sz w:val="24"/>
                <w:szCs w:val="24"/>
                <w:lang w:val="lv-LV"/>
              </w:rPr>
            </w:pPr>
          </w:p>
        </w:tc>
        <w:tc>
          <w:tcPr>
            <w:tcW w:w="1227" w:type="dxa"/>
            <w:tcBorders>
              <w:right w:val="single" w:sz="4" w:space="0" w:color="auto"/>
            </w:tcBorders>
          </w:tcPr>
          <w:p w:rsidR="007C2DCE" w:rsidRPr="009179E5" w:rsidRDefault="007C2DCE" w:rsidP="00D62476">
            <w:pPr>
              <w:spacing w:after="0" w:line="240" w:lineRule="auto"/>
              <w:jc w:val="center"/>
              <w:rPr>
                <w:rFonts w:ascii="Times New Roman" w:hAnsi="Times New Roman"/>
                <w:bCs/>
                <w:sz w:val="20"/>
                <w:szCs w:val="20"/>
                <w:lang w:val="lv-LV"/>
              </w:rPr>
            </w:pPr>
            <w:r w:rsidRPr="009179E5">
              <w:rPr>
                <w:rFonts w:ascii="Times New Roman" w:hAnsi="Times New Roman"/>
                <w:b/>
                <w:bCs/>
                <w:sz w:val="20"/>
                <w:szCs w:val="20"/>
                <w:lang w:val="lv-LV"/>
              </w:rPr>
              <w:t xml:space="preserve">Bez </w:t>
            </w:r>
            <w:r w:rsidRPr="009179E5">
              <w:rPr>
                <w:rFonts w:ascii="Times New Roman" w:hAnsi="Times New Roman"/>
                <w:bCs/>
                <w:sz w:val="20"/>
                <w:szCs w:val="20"/>
                <w:lang w:val="lv-LV"/>
              </w:rPr>
              <w:t>papildu EE pasākumiem</w:t>
            </w:r>
          </w:p>
        </w:tc>
        <w:tc>
          <w:tcPr>
            <w:tcW w:w="1227" w:type="dxa"/>
            <w:tcBorders>
              <w:right w:val="single" w:sz="4" w:space="0" w:color="auto"/>
            </w:tcBorders>
          </w:tcPr>
          <w:p w:rsidR="007C2DCE" w:rsidRPr="009179E5" w:rsidRDefault="007C2DCE" w:rsidP="00D62476">
            <w:pPr>
              <w:spacing w:after="0" w:line="240" w:lineRule="auto"/>
              <w:jc w:val="center"/>
              <w:rPr>
                <w:rFonts w:ascii="Times New Roman" w:hAnsi="Times New Roman"/>
                <w:bCs/>
                <w:sz w:val="20"/>
                <w:szCs w:val="20"/>
                <w:lang w:val="lv-LV"/>
              </w:rPr>
            </w:pPr>
            <w:r w:rsidRPr="009179E5">
              <w:rPr>
                <w:rFonts w:ascii="Times New Roman" w:hAnsi="Times New Roman"/>
                <w:b/>
                <w:bCs/>
                <w:sz w:val="20"/>
                <w:szCs w:val="20"/>
                <w:lang w:val="lv-LV"/>
              </w:rPr>
              <w:t>Ar</w:t>
            </w:r>
            <w:r w:rsidRPr="009179E5">
              <w:rPr>
                <w:rFonts w:ascii="Times New Roman" w:hAnsi="Times New Roman"/>
                <w:bCs/>
                <w:sz w:val="20"/>
                <w:szCs w:val="20"/>
                <w:lang w:val="lv-LV"/>
              </w:rPr>
              <w:t xml:space="preserve"> papildu EE pasākumiem</w:t>
            </w:r>
          </w:p>
        </w:tc>
        <w:tc>
          <w:tcPr>
            <w:tcW w:w="1227" w:type="dxa"/>
            <w:tcBorders>
              <w:left w:val="single" w:sz="4" w:space="0" w:color="auto"/>
              <w:right w:val="single" w:sz="4" w:space="0" w:color="auto"/>
            </w:tcBorders>
          </w:tcPr>
          <w:p w:rsidR="007C2DCE" w:rsidRPr="009179E5" w:rsidRDefault="007C2DCE" w:rsidP="00D62476">
            <w:pPr>
              <w:spacing w:after="0" w:line="240" w:lineRule="auto"/>
              <w:jc w:val="center"/>
              <w:rPr>
                <w:rFonts w:ascii="Times New Roman" w:hAnsi="Times New Roman"/>
                <w:bCs/>
                <w:sz w:val="20"/>
                <w:szCs w:val="20"/>
                <w:lang w:val="lv-LV"/>
              </w:rPr>
            </w:pPr>
            <w:r w:rsidRPr="009179E5">
              <w:rPr>
                <w:rFonts w:ascii="Times New Roman" w:hAnsi="Times New Roman"/>
                <w:b/>
                <w:bCs/>
                <w:sz w:val="20"/>
                <w:szCs w:val="20"/>
                <w:lang w:val="lv-LV"/>
              </w:rPr>
              <w:t>Bez</w:t>
            </w:r>
            <w:r w:rsidRPr="009179E5">
              <w:rPr>
                <w:rFonts w:ascii="Times New Roman" w:hAnsi="Times New Roman"/>
                <w:bCs/>
                <w:sz w:val="20"/>
                <w:szCs w:val="20"/>
                <w:lang w:val="lv-LV"/>
              </w:rPr>
              <w:t xml:space="preserve"> papildu EE pasākumiem</w:t>
            </w:r>
          </w:p>
        </w:tc>
        <w:tc>
          <w:tcPr>
            <w:tcW w:w="1261" w:type="dxa"/>
            <w:tcBorders>
              <w:left w:val="single" w:sz="4" w:space="0" w:color="auto"/>
            </w:tcBorders>
          </w:tcPr>
          <w:p w:rsidR="007C2DCE" w:rsidRPr="009179E5" w:rsidRDefault="007C2DCE" w:rsidP="00D62476">
            <w:pPr>
              <w:spacing w:after="0" w:line="240" w:lineRule="auto"/>
              <w:jc w:val="center"/>
              <w:rPr>
                <w:rFonts w:ascii="Times New Roman" w:hAnsi="Times New Roman"/>
                <w:bCs/>
                <w:sz w:val="20"/>
                <w:szCs w:val="20"/>
                <w:lang w:val="lv-LV"/>
              </w:rPr>
            </w:pPr>
            <w:r w:rsidRPr="009179E5">
              <w:rPr>
                <w:rFonts w:ascii="Times New Roman" w:hAnsi="Times New Roman"/>
                <w:b/>
                <w:bCs/>
                <w:sz w:val="20"/>
                <w:szCs w:val="20"/>
                <w:lang w:val="lv-LV"/>
              </w:rPr>
              <w:t>Ar</w:t>
            </w:r>
            <w:r w:rsidRPr="009179E5">
              <w:rPr>
                <w:rFonts w:ascii="Times New Roman" w:hAnsi="Times New Roman"/>
                <w:bCs/>
                <w:sz w:val="20"/>
                <w:szCs w:val="20"/>
                <w:lang w:val="lv-LV"/>
              </w:rPr>
              <w:t xml:space="preserve"> papildu EE pasākumiem</w:t>
            </w:r>
          </w:p>
        </w:tc>
        <w:tc>
          <w:tcPr>
            <w:tcW w:w="1337" w:type="dxa"/>
            <w:tcBorders>
              <w:right w:val="single" w:sz="4" w:space="0" w:color="auto"/>
            </w:tcBorders>
          </w:tcPr>
          <w:p w:rsidR="007C2DCE" w:rsidRPr="009179E5" w:rsidRDefault="007C2DCE" w:rsidP="00D62476">
            <w:pPr>
              <w:spacing w:after="0" w:line="240" w:lineRule="auto"/>
              <w:jc w:val="center"/>
              <w:rPr>
                <w:rFonts w:ascii="Times New Roman" w:hAnsi="Times New Roman"/>
                <w:bCs/>
                <w:sz w:val="20"/>
                <w:szCs w:val="20"/>
                <w:lang w:val="lv-LV"/>
              </w:rPr>
            </w:pPr>
            <w:r w:rsidRPr="009179E5">
              <w:rPr>
                <w:rFonts w:ascii="Times New Roman" w:hAnsi="Times New Roman"/>
                <w:b/>
                <w:bCs/>
                <w:sz w:val="20"/>
                <w:szCs w:val="20"/>
                <w:lang w:val="lv-LV"/>
              </w:rPr>
              <w:t>Bez</w:t>
            </w:r>
            <w:r w:rsidRPr="009179E5">
              <w:rPr>
                <w:rFonts w:ascii="Times New Roman" w:hAnsi="Times New Roman"/>
                <w:bCs/>
                <w:sz w:val="20"/>
                <w:szCs w:val="20"/>
                <w:lang w:val="lv-LV"/>
              </w:rPr>
              <w:t xml:space="preserve"> papildu EE pasākumiem</w:t>
            </w:r>
          </w:p>
        </w:tc>
        <w:tc>
          <w:tcPr>
            <w:tcW w:w="1373" w:type="dxa"/>
            <w:tcBorders>
              <w:left w:val="single" w:sz="4" w:space="0" w:color="auto"/>
            </w:tcBorders>
          </w:tcPr>
          <w:p w:rsidR="007C2DCE" w:rsidRPr="009179E5" w:rsidRDefault="007C2DCE" w:rsidP="00D62476">
            <w:pPr>
              <w:spacing w:after="0" w:line="240" w:lineRule="auto"/>
              <w:jc w:val="center"/>
              <w:rPr>
                <w:rFonts w:ascii="Times New Roman" w:hAnsi="Times New Roman"/>
                <w:bCs/>
                <w:sz w:val="20"/>
                <w:szCs w:val="20"/>
                <w:lang w:val="lv-LV"/>
              </w:rPr>
            </w:pPr>
            <w:r w:rsidRPr="009179E5">
              <w:rPr>
                <w:rFonts w:ascii="Times New Roman" w:hAnsi="Times New Roman"/>
                <w:b/>
                <w:bCs/>
                <w:sz w:val="20"/>
                <w:szCs w:val="20"/>
                <w:lang w:val="lv-LV"/>
              </w:rPr>
              <w:t>Ar</w:t>
            </w:r>
            <w:r w:rsidRPr="009179E5">
              <w:rPr>
                <w:rFonts w:ascii="Times New Roman" w:hAnsi="Times New Roman"/>
                <w:bCs/>
                <w:sz w:val="20"/>
                <w:szCs w:val="20"/>
                <w:lang w:val="lv-LV"/>
              </w:rPr>
              <w:t xml:space="preserve"> papildu EE pasākumiem</w:t>
            </w:r>
          </w:p>
        </w:tc>
      </w:tr>
      <w:tr w:rsidR="007C2DCE" w:rsidRPr="009179E5" w:rsidTr="00C76FCA">
        <w:trPr>
          <w:jc w:val="center"/>
        </w:trPr>
        <w:tc>
          <w:tcPr>
            <w:tcW w:w="1943" w:type="dxa"/>
          </w:tcPr>
          <w:p w:rsidR="007C2DCE" w:rsidRPr="009179E5" w:rsidRDefault="007C2DCE"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Benzīns (ieskaitot bioetanolu)</w:t>
            </w:r>
          </w:p>
        </w:tc>
        <w:tc>
          <w:tcPr>
            <w:tcW w:w="1227" w:type="dxa"/>
            <w:tcBorders>
              <w:right w:val="single" w:sz="4" w:space="0" w:color="auto"/>
            </w:tcBorders>
          </w:tcPr>
          <w:p w:rsidR="007C2DCE" w:rsidRPr="009179E5" w:rsidRDefault="007C2DCE"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4017 (14,46)</w:t>
            </w:r>
          </w:p>
        </w:tc>
        <w:tc>
          <w:tcPr>
            <w:tcW w:w="1227" w:type="dxa"/>
            <w:tcBorders>
              <w:left w:val="single" w:sz="4" w:space="0" w:color="auto"/>
            </w:tcBorders>
          </w:tcPr>
          <w:p w:rsidR="00D62476" w:rsidRPr="009179E5" w:rsidRDefault="00D62476"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4017</w:t>
            </w:r>
          </w:p>
          <w:p w:rsidR="007C2DCE" w:rsidRPr="009179E5" w:rsidRDefault="00D62476"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w:t>
            </w:r>
            <w:r w:rsidR="007C2DCE" w:rsidRPr="009179E5">
              <w:rPr>
                <w:rFonts w:ascii="Times New Roman" w:hAnsi="Times New Roman"/>
                <w:bCs/>
                <w:sz w:val="24"/>
                <w:szCs w:val="24"/>
                <w:lang w:val="lv-LV"/>
              </w:rPr>
              <w:t>14,46</w:t>
            </w:r>
            <w:r w:rsidRPr="009179E5">
              <w:rPr>
                <w:rFonts w:ascii="Times New Roman" w:hAnsi="Times New Roman"/>
                <w:bCs/>
                <w:sz w:val="24"/>
                <w:szCs w:val="24"/>
                <w:lang w:val="lv-LV"/>
              </w:rPr>
              <w:t>)</w:t>
            </w:r>
          </w:p>
        </w:tc>
        <w:tc>
          <w:tcPr>
            <w:tcW w:w="1227" w:type="dxa"/>
            <w:tcBorders>
              <w:right w:val="single" w:sz="4" w:space="0" w:color="auto"/>
            </w:tcBorders>
          </w:tcPr>
          <w:p w:rsidR="007C2DCE" w:rsidRPr="009179E5" w:rsidRDefault="007C2DCE"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 xml:space="preserve"> 4540 (16,344)</w:t>
            </w:r>
          </w:p>
        </w:tc>
        <w:tc>
          <w:tcPr>
            <w:tcW w:w="1261" w:type="dxa"/>
            <w:tcBorders>
              <w:left w:val="single" w:sz="4" w:space="0" w:color="auto"/>
            </w:tcBorders>
          </w:tcPr>
          <w:p w:rsidR="005C31C0" w:rsidRPr="009179E5" w:rsidRDefault="005C31C0"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4477</w:t>
            </w:r>
          </w:p>
          <w:p w:rsidR="007C2DCE" w:rsidRPr="009179E5" w:rsidRDefault="005C31C0"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w:t>
            </w:r>
            <w:r w:rsidR="007C2DCE" w:rsidRPr="009179E5">
              <w:rPr>
                <w:rFonts w:ascii="Times New Roman" w:hAnsi="Times New Roman"/>
                <w:bCs/>
                <w:sz w:val="24"/>
                <w:szCs w:val="24"/>
                <w:lang w:val="lv-LV"/>
              </w:rPr>
              <w:t>16,116</w:t>
            </w:r>
            <w:r w:rsidRPr="009179E5">
              <w:rPr>
                <w:rFonts w:ascii="Times New Roman" w:hAnsi="Times New Roman"/>
                <w:bCs/>
                <w:sz w:val="24"/>
                <w:szCs w:val="24"/>
                <w:lang w:val="lv-LV"/>
              </w:rPr>
              <w:t>)</w:t>
            </w:r>
          </w:p>
        </w:tc>
        <w:tc>
          <w:tcPr>
            <w:tcW w:w="1337" w:type="dxa"/>
            <w:tcBorders>
              <w:right w:val="single" w:sz="4" w:space="0" w:color="auto"/>
            </w:tcBorders>
          </w:tcPr>
          <w:p w:rsidR="007C2DCE" w:rsidRPr="009179E5" w:rsidRDefault="007C2DCE"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 xml:space="preserve">4693 </w:t>
            </w:r>
          </w:p>
          <w:p w:rsidR="007C2DCE" w:rsidRPr="009179E5" w:rsidRDefault="007C2DCE"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(16,896)</w:t>
            </w:r>
          </w:p>
        </w:tc>
        <w:tc>
          <w:tcPr>
            <w:tcW w:w="1373" w:type="dxa"/>
            <w:tcBorders>
              <w:left w:val="single" w:sz="4" w:space="0" w:color="auto"/>
            </w:tcBorders>
          </w:tcPr>
          <w:p w:rsidR="00C76FCA" w:rsidRPr="009179E5" w:rsidRDefault="00C76FCA"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4577</w:t>
            </w:r>
          </w:p>
          <w:p w:rsidR="007C2DCE" w:rsidRPr="009179E5" w:rsidRDefault="00C76FCA"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w:t>
            </w:r>
            <w:r w:rsidR="007C2DCE" w:rsidRPr="009179E5">
              <w:rPr>
                <w:rFonts w:ascii="Times New Roman" w:hAnsi="Times New Roman"/>
                <w:bCs/>
                <w:sz w:val="24"/>
                <w:szCs w:val="24"/>
                <w:lang w:val="lv-LV"/>
              </w:rPr>
              <w:t>16,478</w:t>
            </w:r>
            <w:r w:rsidRPr="009179E5">
              <w:rPr>
                <w:rFonts w:ascii="Times New Roman" w:hAnsi="Times New Roman"/>
                <w:bCs/>
                <w:sz w:val="24"/>
                <w:szCs w:val="24"/>
                <w:lang w:val="lv-LV"/>
              </w:rPr>
              <w:t>)</w:t>
            </w:r>
          </w:p>
        </w:tc>
      </w:tr>
      <w:tr w:rsidR="007C2DCE" w:rsidRPr="009179E5" w:rsidTr="00C76FCA">
        <w:trPr>
          <w:jc w:val="center"/>
        </w:trPr>
        <w:tc>
          <w:tcPr>
            <w:tcW w:w="1943" w:type="dxa"/>
          </w:tcPr>
          <w:p w:rsidR="007C2DCE" w:rsidRPr="009179E5" w:rsidRDefault="007C2DCE"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Dīzeļdegviela (ieskaitot biodīzeļdegvielu)</w:t>
            </w:r>
          </w:p>
        </w:tc>
        <w:tc>
          <w:tcPr>
            <w:tcW w:w="1227" w:type="dxa"/>
            <w:tcBorders>
              <w:right w:val="single" w:sz="4" w:space="0" w:color="auto"/>
            </w:tcBorders>
          </w:tcPr>
          <w:p w:rsidR="007C2DCE" w:rsidRPr="009179E5" w:rsidRDefault="007C2DCE"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5708 (20,55)</w:t>
            </w:r>
          </w:p>
        </w:tc>
        <w:tc>
          <w:tcPr>
            <w:tcW w:w="1227" w:type="dxa"/>
            <w:tcBorders>
              <w:left w:val="single" w:sz="4" w:space="0" w:color="auto"/>
            </w:tcBorders>
          </w:tcPr>
          <w:p w:rsidR="007C2DCE" w:rsidRPr="009179E5" w:rsidRDefault="00D62476"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5708 (20,55)</w:t>
            </w:r>
          </w:p>
        </w:tc>
        <w:tc>
          <w:tcPr>
            <w:tcW w:w="1227" w:type="dxa"/>
            <w:tcBorders>
              <w:right w:val="single" w:sz="4" w:space="0" w:color="auto"/>
            </w:tcBorders>
          </w:tcPr>
          <w:p w:rsidR="007C2DCE" w:rsidRPr="009179E5" w:rsidRDefault="007C2DCE"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7731,3 (27,833)</w:t>
            </w:r>
          </w:p>
        </w:tc>
        <w:tc>
          <w:tcPr>
            <w:tcW w:w="1261" w:type="dxa"/>
            <w:tcBorders>
              <w:left w:val="single" w:sz="4" w:space="0" w:color="auto"/>
            </w:tcBorders>
          </w:tcPr>
          <w:p w:rsidR="005C31C0" w:rsidRPr="009179E5" w:rsidRDefault="005C31C0"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7668</w:t>
            </w:r>
          </w:p>
          <w:p w:rsidR="007C2DCE" w:rsidRPr="009179E5" w:rsidRDefault="005C31C0"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w:t>
            </w:r>
            <w:r w:rsidR="007C2DCE" w:rsidRPr="009179E5">
              <w:rPr>
                <w:rFonts w:ascii="Times New Roman" w:hAnsi="Times New Roman"/>
                <w:bCs/>
                <w:sz w:val="24"/>
                <w:szCs w:val="24"/>
                <w:lang w:val="lv-LV"/>
              </w:rPr>
              <w:t>27,605</w:t>
            </w:r>
            <w:r w:rsidRPr="009179E5">
              <w:rPr>
                <w:rFonts w:ascii="Times New Roman" w:hAnsi="Times New Roman"/>
                <w:bCs/>
                <w:sz w:val="24"/>
                <w:szCs w:val="24"/>
                <w:lang w:val="lv-LV"/>
              </w:rPr>
              <w:t>)</w:t>
            </w:r>
          </w:p>
        </w:tc>
        <w:tc>
          <w:tcPr>
            <w:tcW w:w="1337" w:type="dxa"/>
            <w:tcBorders>
              <w:right w:val="single" w:sz="4" w:space="0" w:color="auto"/>
            </w:tcBorders>
          </w:tcPr>
          <w:p w:rsidR="007C2DCE" w:rsidRPr="009179E5" w:rsidRDefault="007C2DCE"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7963,6</w:t>
            </w:r>
          </w:p>
          <w:p w:rsidR="007C2DCE" w:rsidRPr="009179E5" w:rsidRDefault="007C2DCE"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(28,669)</w:t>
            </w:r>
          </w:p>
        </w:tc>
        <w:tc>
          <w:tcPr>
            <w:tcW w:w="1373" w:type="dxa"/>
            <w:tcBorders>
              <w:left w:val="single" w:sz="4" w:space="0" w:color="auto"/>
            </w:tcBorders>
          </w:tcPr>
          <w:p w:rsidR="00C76FCA" w:rsidRPr="009179E5" w:rsidRDefault="00C76FCA"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7790</w:t>
            </w:r>
          </w:p>
          <w:p w:rsidR="007C2DCE" w:rsidRPr="009179E5" w:rsidRDefault="00C76FCA"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w:t>
            </w:r>
            <w:r w:rsidR="007C2DCE" w:rsidRPr="009179E5">
              <w:rPr>
                <w:rFonts w:ascii="Times New Roman" w:hAnsi="Times New Roman"/>
                <w:bCs/>
                <w:sz w:val="24"/>
                <w:szCs w:val="24"/>
                <w:lang w:val="lv-LV"/>
              </w:rPr>
              <w:t>28,042</w:t>
            </w:r>
            <w:r w:rsidRPr="009179E5">
              <w:rPr>
                <w:rFonts w:ascii="Times New Roman" w:hAnsi="Times New Roman"/>
                <w:bCs/>
                <w:sz w:val="24"/>
                <w:szCs w:val="24"/>
                <w:lang w:val="lv-LV"/>
              </w:rPr>
              <w:t>)</w:t>
            </w:r>
          </w:p>
        </w:tc>
      </w:tr>
      <w:tr w:rsidR="007C2DCE" w:rsidRPr="009179E5" w:rsidTr="00C76FCA">
        <w:trPr>
          <w:jc w:val="center"/>
        </w:trPr>
        <w:tc>
          <w:tcPr>
            <w:tcW w:w="1943" w:type="dxa"/>
          </w:tcPr>
          <w:p w:rsidR="007C2DCE" w:rsidRPr="009179E5" w:rsidRDefault="007C2DCE"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Autogāze</w:t>
            </w:r>
          </w:p>
        </w:tc>
        <w:tc>
          <w:tcPr>
            <w:tcW w:w="1227" w:type="dxa"/>
            <w:tcBorders>
              <w:right w:val="single" w:sz="4" w:space="0" w:color="auto"/>
            </w:tcBorders>
          </w:tcPr>
          <w:p w:rsidR="007C2DCE" w:rsidRPr="009179E5" w:rsidRDefault="007C2DCE"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214,1 (0,771)</w:t>
            </w:r>
          </w:p>
        </w:tc>
        <w:tc>
          <w:tcPr>
            <w:tcW w:w="1227" w:type="dxa"/>
            <w:tcBorders>
              <w:left w:val="single" w:sz="4" w:space="0" w:color="auto"/>
            </w:tcBorders>
          </w:tcPr>
          <w:p w:rsidR="007C2DCE" w:rsidRPr="009179E5" w:rsidRDefault="00D62476"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214,1 (0,771)</w:t>
            </w:r>
          </w:p>
        </w:tc>
        <w:tc>
          <w:tcPr>
            <w:tcW w:w="1227" w:type="dxa"/>
            <w:tcBorders>
              <w:right w:val="single" w:sz="4" w:space="0" w:color="auto"/>
            </w:tcBorders>
          </w:tcPr>
          <w:p w:rsidR="007C2DCE" w:rsidRPr="009179E5" w:rsidRDefault="007C2DCE"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217,2 (0,782)</w:t>
            </w:r>
          </w:p>
        </w:tc>
        <w:tc>
          <w:tcPr>
            <w:tcW w:w="1261" w:type="dxa"/>
            <w:tcBorders>
              <w:left w:val="single" w:sz="4" w:space="0" w:color="auto"/>
            </w:tcBorders>
          </w:tcPr>
          <w:p w:rsidR="005C31C0" w:rsidRPr="009179E5" w:rsidRDefault="00C76FCA"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217,2</w:t>
            </w:r>
          </w:p>
          <w:p w:rsidR="007C2DCE" w:rsidRPr="009179E5" w:rsidRDefault="005C31C0"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w:t>
            </w:r>
            <w:r w:rsidR="007C2DCE" w:rsidRPr="009179E5">
              <w:rPr>
                <w:rFonts w:ascii="Times New Roman" w:hAnsi="Times New Roman"/>
                <w:bCs/>
                <w:sz w:val="24"/>
                <w:szCs w:val="24"/>
                <w:lang w:val="lv-LV"/>
              </w:rPr>
              <w:t>0,782</w:t>
            </w:r>
            <w:r w:rsidRPr="009179E5">
              <w:rPr>
                <w:rFonts w:ascii="Times New Roman" w:hAnsi="Times New Roman"/>
                <w:bCs/>
                <w:sz w:val="24"/>
                <w:szCs w:val="24"/>
                <w:lang w:val="lv-LV"/>
              </w:rPr>
              <w:t>)</w:t>
            </w:r>
          </w:p>
        </w:tc>
        <w:tc>
          <w:tcPr>
            <w:tcW w:w="1337" w:type="dxa"/>
            <w:tcBorders>
              <w:right w:val="single" w:sz="4" w:space="0" w:color="auto"/>
            </w:tcBorders>
          </w:tcPr>
          <w:p w:rsidR="007C2DCE" w:rsidRPr="009179E5" w:rsidRDefault="007C2DCE"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 xml:space="preserve">270,3  </w:t>
            </w:r>
          </w:p>
          <w:p w:rsidR="007C2DCE" w:rsidRPr="009179E5" w:rsidRDefault="007C2DCE"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(0,973)</w:t>
            </w:r>
          </w:p>
        </w:tc>
        <w:tc>
          <w:tcPr>
            <w:tcW w:w="1373" w:type="dxa"/>
            <w:tcBorders>
              <w:left w:val="single" w:sz="4" w:space="0" w:color="auto"/>
            </w:tcBorders>
          </w:tcPr>
          <w:p w:rsidR="00C76FCA" w:rsidRPr="009179E5" w:rsidRDefault="00C76FCA"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270,3</w:t>
            </w:r>
          </w:p>
          <w:p w:rsidR="007C2DCE" w:rsidRPr="009179E5" w:rsidRDefault="00C76FCA" w:rsidP="00D62476">
            <w:pPr>
              <w:spacing w:after="0" w:line="240" w:lineRule="auto"/>
              <w:rPr>
                <w:rFonts w:ascii="Times New Roman" w:hAnsi="Times New Roman"/>
                <w:bCs/>
                <w:sz w:val="24"/>
                <w:szCs w:val="24"/>
                <w:lang w:val="lv-LV"/>
              </w:rPr>
            </w:pPr>
            <w:r w:rsidRPr="009179E5">
              <w:rPr>
                <w:rFonts w:ascii="Times New Roman" w:hAnsi="Times New Roman"/>
                <w:bCs/>
                <w:sz w:val="24"/>
                <w:szCs w:val="24"/>
                <w:lang w:val="lv-LV"/>
              </w:rPr>
              <w:t>(</w:t>
            </w:r>
            <w:r w:rsidR="007C2DCE" w:rsidRPr="009179E5">
              <w:rPr>
                <w:rFonts w:ascii="Times New Roman" w:hAnsi="Times New Roman"/>
                <w:bCs/>
                <w:sz w:val="24"/>
                <w:szCs w:val="24"/>
                <w:lang w:val="lv-LV"/>
              </w:rPr>
              <w:t>0,973</w:t>
            </w:r>
            <w:r w:rsidRPr="009179E5">
              <w:rPr>
                <w:rFonts w:ascii="Times New Roman" w:hAnsi="Times New Roman"/>
                <w:bCs/>
                <w:sz w:val="24"/>
                <w:szCs w:val="24"/>
                <w:lang w:val="lv-LV"/>
              </w:rPr>
              <w:t>)</w:t>
            </w:r>
          </w:p>
        </w:tc>
      </w:tr>
    </w:tbl>
    <w:p w:rsidR="00485555" w:rsidRPr="009179E5" w:rsidRDefault="00485555"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Transporta sektora daļai no atjaunojamiem energoresursiem Enerģijas bruto galapatēriņā laika periodā no 2005. līdz 2020.gadam jāpieaug no 0,9% līdz </w:t>
      </w:r>
      <w:r w:rsidRPr="009179E5">
        <w:rPr>
          <w:rFonts w:ascii="Times New Roman" w:hAnsi="Times New Roman"/>
          <w:b/>
          <w:sz w:val="28"/>
          <w:szCs w:val="28"/>
          <w:lang w:val="lv-LV"/>
        </w:rPr>
        <w:t>10%</w:t>
      </w:r>
      <w:r w:rsidRPr="009179E5">
        <w:rPr>
          <w:rFonts w:ascii="Times New Roman" w:hAnsi="Times New Roman"/>
          <w:sz w:val="28"/>
          <w:szCs w:val="28"/>
          <w:lang w:val="lv-LV"/>
        </w:rPr>
        <w:t xml:space="preserve"> un turpmākajā laika periodā tā ir pakāpeniski jāpalielina.</w:t>
      </w:r>
    </w:p>
    <w:p w:rsidR="00485555" w:rsidRPr="009179E5" w:rsidRDefault="00485555"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Latvijas kopējā atjaunojamo energoresursu izmantošanas mērķa sasniegšanā, energoefektivitātes pasākumu </w:t>
      </w:r>
      <w:r w:rsidR="00FF6239" w:rsidRPr="009179E5">
        <w:rPr>
          <w:rFonts w:ascii="Times New Roman" w:hAnsi="Times New Roman"/>
          <w:sz w:val="28"/>
          <w:szCs w:val="28"/>
          <w:lang w:val="lv-LV"/>
        </w:rPr>
        <w:t>īstenošana</w:t>
      </w:r>
      <w:r w:rsidRPr="009179E5">
        <w:rPr>
          <w:rFonts w:ascii="Times New Roman" w:hAnsi="Times New Roman"/>
          <w:sz w:val="28"/>
          <w:szCs w:val="28"/>
          <w:lang w:val="lv-LV"/>
        </w:rPr>
        <w:t xml:space="preserve"> transporta sektorā nozīmē ātrāk sasniegt izvirzīto valsts mērķi.</w:t>
      </w:r>
    </w:p>
    <w:p w:rsidR="00485555" w:rsidRDefault="00485555"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Bez tam jāņem vērā, ka gan energoefektivitātes paaugstināšanas pasākumi, gan AER izmantošana transporta sektorā ir cieši saistīti ar vides kvalitātes uzlabošanu (Diferencētas nodokļu likmes piemērošanu automašīnām atkarībā no dzinēja tilpuma un vecuma</w:t>
      </w:r>
      <w:r w:rsidRPr="009179E5">
        <w:rPr>
          <w:rStyle w:val="apple-style-span"/>
          <w:rFonts w:ascii="Times New Roman" w:hAnsi="Times New Roman"/>
          <w:color w:val="000000"/>
          <w:sz w:val="28"/>
          <w:szCs w:val="28"/>
          <w:shd w:val="clear" w:color="auto" w:fill="FFFFFF"/>
          <w:lang w:val="lv-LV"/>
        </w:rPr>
        <w:t xml:space="preserve">, </w:t>
      </w:r>
      <w:r w:rsidRPr="009179E5">
        <w:rPr>
          <w:rFonts w:ascii="Times New Roman" w:hAnsi="Times New Roman"/>
          <w:sz w:val="28"/>
          <w:szCs w:val="28"/>
          <w:lang w:val="lv-LV"/>
        </w:rPr>
        <w:t xml:space="preserve">ilgtspējības kritērijiem atbilstoša biodegviela, utt.). Energoefektivitātes paaugstināšana transporta sektorā bieži ir saistīta ar </w:t>
      </w:r>
      <w:r w:rsidRPr="009179E5">
        <w:rPr>
          <w:rFonts w:ascii="Times New Roman" w:hAnsi="Times New Roman"/>
          <w:sz w:val="28"/>
          <w:szCs w:val="28"/>
          <w:lang w:val="lv-LV"/>
        </w:rPr>
        <w:lastRenderedPageBreak/>
        <w:t>iedzīvotāju komforta un sadzīves apstākļu uzlabošanu un tāpēc ir sevišķi aktuāla.</w:t>
      </w:r>
    </w:p>
    <w:p w:rsidR="00722164" w:rsidRPr="003B66D9" w:rsidRDefault="00722164" w:rsidP="001960CF">
      <w:pPr>
        <w:spacing w:line="240" w:lineRule="auto"/>
        <w:jc w:val="both"/>
        <w:rPr>
          <w:rFonts w:ascii="Times New Roman" w:hAnsi="Times New Roman"/>
          <w:sz w:val="28"/>
          <w:szCs w:val="28"/>
        </w:rPr>
      </w:pPr>
      <w:r w:rsidRPr="003B66D9">
        <w:rPr>
          <w:rFonts w:ascii="Times New Roman" w:hAnsi="Times New Roman"/>
          <w:sz w:val="28"/>
          <w:szCs w:val="28"/>
          <w:lang w:val="lv-LV"/>
        </w:rPr>
        <w:t xml:space="preserve">Latvijā </w:t>
      </w:r>
      <w:r w:rsidRPr="003B66D9">
        <w:rPr>
          <w:rFonts w:ascii="Times New Roman" w:hAnsi="Times New Roman"/>
          <w:sz w:val="28"/>
          <w:szCs w:val="28"/>
        </w:rPr>
        <w:t xml:space="preserve"> turpina pieaugt to cilvēku skaits, kas automašīnas vai sabiedriskā transporta vietā ceļu uz darbu vai mācību iestādi mēro ar velosipēdu. </w:t>
      </w:r>
    </w:p>
    <w:p w:rsidR="00F30210" w:rsidRDefault="00722164" w:rsidP="001960CF">
      <w:pPr>
        <w:spacing w:line="240" w:lineRule="auto"/>
        <w:jc w:val="both"/>
        <w:rPr>
          <w:rFonts w:ascii="Times New Roman" w:hAnsi="Times New Roman"/>
          <w:sz w:val="28"/>
          <w:szCs w:val="28"/>
        </w:rPr>
      </w:pPr>
      <w:r w:rsidRPr="003B66D9">
        <w:rPr>
          <w:rFonts w:ascii="Times New Roman" w:hAnsi="Times New Roman"/>
          <w:sz w:val="28"/>
          <w:szCs w:val="28"/>
        </w:rPr>
        <w:t>2011.</w:t>
      </w:r>
      <w:r w:rsidR="003B66D9">
        <w:rPr>
          <w:rFonts w:ascii="Times New Roman" w:hAnsi="Times New Roman"/>
          <w:sz w:val="28"/>
          <w:szCs w:val="28"/>
        </w:rPr>
        <w:t xml:space="preserve"> </w:t>
      </w:r>
      <w:r w:rsidRPr="003B66D9">
        <w:rPr>
          <w:rFonts w:ascii="Times New Roman" w:hAnsi="Times New Roman"/>
          <w:sz w:val="28"/>
          <w:szCs w:val="28"/>
        </w:rPr>
        <w:t xml:space="preserve">gada maijā CSDD uzturētajā transportlīdzekļu reģistrā ir piefiksēti gandrīz 6 000 reģistrētu velosipēdu, bet nereģistrēto velosipēdu skaits ir ievērojami  lielāks. Vadošo veikalu tīkli ziņo par velosipēdu pārdošanas apjomu un veloservisa pakalpojuma apjoma pieaugumu. Eiropas Savienības fondu darbības programmas “Infrastruktūra un pakalpojumi” apakšaktivitātes “Nacionālās nozīmes velotūrisma prduktu attīstība “ ietvaros 2009.gadā tika noslēgti līgumi par 7. veloceliņu projektu realizāciju. Šobrīd realizēti vai realizācijas stadijā ir seši projekti: Tukuma – 11,3 km, Siguldā – 11 km, Dobelē – 8 km, Liepājā – 7,6km un Rīgā divi veloceliņi 12,8 km kopgarumā. Projekta ietvaros izbūvētie veloceliņi savieno tūrisma apskates objektus, atpūtas vietas un autostāvvietas. Rīgā esošo veloceliņu kopgarums pašreiz ir 49,4 km un līdz 2015.gadam plānots nodot ekspluatācijā vēl divus veloceliņus 22,7 km kopgarumā. Bez tam pieejama arī karte ar ieteicamajiem velomaršrutiem pa gājēju ietvēm un mazintensīvas satiksmes ielām. </w:t>
      </w:r>
      <w:r w:rsidRPr="003B66D9">
        <w:rPr>
          <w:rStyle w:val="Strong"/>
          <w:rFonts w:ascii="Times New Roman" w:hAnsi="Times New Roman"/>
          <w:b w:val="0"/>
          <w:sz w:val="28"/>
          <w:szCs w:val="28"/>
        </w:rPr>
        <w:t>2010. gadā Ventspils pilsētā izbūvēti veloceliņi 6,84 km garumā, bet 2011.gadā  plānots izbūvēt veloceliņus 10,07 km garumā un,  pēc projekta “Velotūrisma attīstība Ventspils pilsētā” īstenošanas, Ventspils kreisā krastā kopējais savstarpēji sasaistīto veloceliņu garums būs 21,26 km. Savukārt 2011.gada augustā atklāts pirmais veloceliņa Ogre- Ikšķile posms 0,3 km garumā</w:t>
      </w:r>
      <w:r w:rsidR="00F30210" w:rsidRPr="003B66D9">
        <w:rPr>
          <w:rStyle w:val="Strong"/>
          <w:rFonts w:ascii="Times New Roman" w:hAnsi="Times New Roman"/>
          <w:b w:val="0"/>
          <w:sz w:val="28"/>
          <w:szCs w:val="28"/>
        </w:rPr>
        <w:t>.</w:t>
      </w:r>
    </w:p>
    <w:p w:rsidR="00485555" w:rsidRPr="00F30210" w:rsidRDefault="00485555" w:rsidP="001960CF">
      <w:pPr>
        <w:spacing w:line="240" w:lineRule="auto"/>
        <w:jc w:val="both"/>
        <w:rPr>
          <w:rFonts w:ascii="Times New Roman" w:hAnsi="Times New Roman"/>
          <w:sz w:val="28"/>
          <w:szCs w:val="28"/>
          <w:highlight w:val="yellow"/>
        </w:rPr>
      </w:pPr>
      <w:r w:rsidRPr="009179E5">
        <w:rPr>
          <w:rFonts w:ascii="Times New Roman" w:hAnsi="Times New Roman"/>
          <w:sz w:val="28"/>
          <w:szCs w:val="28"/>
          <w:lang w:val="lv-LV"/>
        </w:rPr>
        <w:t>Latvijas dzelzceļā (LDz) uzsākts izpētes projekts par iespējām elektrificēt Latvijas dzelzceļa līniju tīklu. LDz paredzamā līniju elektrifikācija ir komplekss pasākums un nav saistīts tikai ar dzelzceļa līniju pārbūvi, bet arī ar jaunas elektrovilces un ritošā sastāva iegādi. Sagaidāms, ka realizējot šo projektu, kā arī attīstot pilsētu teritorijas dzelzceļa līniju tuvumā un integrējot dzelzceļu kopējā pasažieru pārvadājumu tīklā (sevišķi Rīgas pilsētā)</w:t>
      </w:r>
      <w:r w:rsidR="00AC5314" w:rsidRPr="009179E5">
        <w:rPr>
          <w:rFonts w:ascii="Times New Roman" w:hAnsi="Times New Roman"/>
          <w:sz w:val="28"/>
          <w:szCs w:val="28"/>
          <w:lang w:val="lv-LV"/>
        </w:rPr>
        <w:t>,</w:t>
      </w:r>
      <w:r w:rsidRPr="009179E5">
        <w:rPr>
          <w:rFonts w:ascii="Times New Roman" w:hAnsi="Times New Roman"/>
          <w:sz w:val="28"/>
          <w:szCs w:val="28"/>
          <w:lang w:val="lv-LV"/>
        </w:rPr>
        <w:t xml:space="preserve"> pasažieru pārvadājumi pa dzelzceļu varētu tuvoties Eiropas līmenim 7%. Tas nozīmē, ka varētu pieaugt elektroenerģijas daļa, kuru izmanto pasažieru pārvadājumiem.</w:t>
      </w:r>
    </w:p>
    <w:p w:rsidR="001960CF" w:rsidRDefault="001960CF" w:rsidP="00DC7E7C">
      <w:pPr>
        <w:pStyle w:val="Caption"/>
        <w:spacing w:before="120" w:after="0" w:line="240" w:lineRule="auto"/>
        <w:jc w:val="right"/>
        <w:rPr>
          <w:rFonts w:ascii="Times New Roman" w:hAnsi="Times New Roman"/>
          <w:sz w:val="24"/>
          <w:szCs w:val="24"/>
          <w:lang w:val="lv-LV"/>
        </w:rPr>
      </w:pPr>
    </w:p>
    <w:p w:rsidR="001960CF" w:rsidRDefault="001960CF" w:rsidP="00DC7E7C">
      <w:pPr>
        <w:pStyle w:val="Caption"/>
        <w:spacing w:before="120" w:after="0" w:line="240" w:lineRule="auto"/>
        <w:jc w:val="right"/>
        <w:rPr>
          <w:rFonts w:ascii="Times New Roman" w:hAnsi="Times New Roman"/>
          <w:sz w:val="24"/>
          <w:szCs w:val="24"/>
          <w:lang w:val="lv-LV"/>
        </w:rPr>
      </w:pPr>
    </w:p>
    <w:p w:rsidR="003B66D9" w:rsidRDefault="003B66D9" w:rsidP="00DC7E7C">
      <w:pPr>
        <w:pStyle w:val="Caption"/>
        <w:spacing w:before="120" w:after="0" w:line="240" w:lineRule="auto"/>
        <w:jc w:val="right"/>
        <w:rPr>
          <w:rFonts w:ascii="Times New Roman" w:hAnsi="Times New Roman"/>
          <w:sz w:val="24"/>
          <w:szCs w:val="24"/>
          <w:lang w:val="lv-LV"/>
        </w:rPr>
      </w:pPr>
    </w:p>
    <w:p w:rsidR="003B66D9" w:rsidRDefault="003B66D9" w:rsidP="00DC7E7C">
      <w:pPr>
        <w:pStyle w:val="Caption"/>
        <w:spacing w:before="120" w:after="0" w:line="240" w:lineRule="auto"/>
        <w:jc w:val="right"/>
        <w:rPr>
          <w:rFonts w:ascii="Times New Roman" w:hAnsi="Times New Roman"/>
          <w:sz w:val="24"/>
          <w:szCs w:val="24"/>
          <w:lang w:val="lv-LV"/>
        </w:rPr>
      </w:pPr>
    </w:p>
    <w:p w:rsidR="003B66D9" w:rsidRDefault="003B66D9" w:rsidP="00DC7E7C">
      <w:pPr>
        <w:pStyle w:val="Caption"/>
        <w:spacing w:before="120" w:after="0" w:line="240" w:lineRule="auto"/>
        <w:jc w:val="right"/>
        <w:rPr>
          <w:rFonts w:ascii="Times New Roman" w:hAnsi="Times New Roman"/>
          <w:sz w:val="24"/>
          <w:szCs w:val="24"/>
          <w:lang w:val="lv-LV"/>
        </w:rPr>
      </w:pPr>
    </w:p>
    <w:p w:rsidR="003B66D9" w:rsidRDefault="003B66D9" w:rsidP="00DC7E7C">
      <w:pPr>
        <w:pStyle w:val="Caption"/>
        <w:spacing w:before="120" w:after="0" w:line="240" w:lineRule="auto"/>
        <w:jc w:val="right"/>
        <w:rPr>
          <w:rFonts w:ascii="Times New Roman" w:hAnsi="Times New Roman"/>
          <w:sz w:val="24"/>
          <w:szCs w:val="24"/>
          <w:lang w:val="lv-LV"/>
        </w:rPr>
      </w:pPr>
    </w:p>
    <w:p w:rsidR="003B66D9" w:rsidRDefault="003B66D9" w:rsidP="00DC7E7C">
      <w:pPr>
        <w:pStyle w:val="Caption"/>
        <w:spacing w:before="120" w:after="0" w:line="240" w:lineRule="auto"/>
        <w:jc w:val="right"/>
        <w:rPr>
          <w:rFonts w:ascii="Times New Roman" w:hAnsi="Times New Roman"/>
          <w:sz w:val="24"/>
          <w:szCs w:val="24"/>
          <w:lang w:val="lv-LV"/>
        </w:rPr>
      </w:pPr>
    </w:p>
    <w:p w:rsidR="003B66D9" w:rsidRDefault="003B66D9" w:rsidP="00DC7E7C">
      <w:pPr>
        <w:pStyle w:val="Caption"/>
        <w:spacing w:before="120" w:after="0" w:line="240" w:lineRule="auto"/>
        <w:jc w:val="right"/>
        <w:rPr>
          <w:rFonts w:ascii="Times New Roman" w:hAnsi="Times New Roman"/>
          <w:sz w:val="24"/>
          <w:szCs w:val="24"/>
          <w:lang w:val="lv-LV"/>
        </w:rPr>
      </w:pPr>
    </w:p>
    <w:p w:rsidR="00AC5314" w:rsidRPr="009179E5" w:rsidRDefault="00AC5314" w:rsidP="00DC7E7C">
      <w:pPr>
        <w:pStyle w:val="Caption"/>
        <w:spacing w:before="120" w:after="0" w:line="240" w:lineRule="auto"/>
        <w:jc w:val="right"/>
        <w:rPr>
          <w:rFonts w:ascii="Times New Roman" w:hAnsi="Times New Roman"/>
          <w:sz w:val="24"/>
          <w:szCs w:val="24"/>
          <w:lang w:val="lv-LV"/>
        </w:rPr>
      </w:pPr>
      <w:r w:rsidRPr="009179E5">
        <w:rPr>
          <w:rFonts w:ascii="Times New Roman" w:hAnsi="Times New Roman"/>
          <w:sz w:val="24"/>
          <w:szCs w:val="24"/>
          <w:lang w:val="lv-LV"/>
        </w:rPr>
        <w:lastRenderedPageBreak/>
        <w:t>1</w:t>
      </w:r>
      <w:r w:rsidR="00052D8E" w:rsidRPr="009179E5">
        <w:rPr>
          <w:rFonts w:ascii="Times New Roman" w:hAnsi="Times New Roman"/>
          <w:sz w:val="24"/>
          <w:szCs w:val="24"/>
          <w:lang w:val="lv-LV"/>
        </w:rPr>
        <w:t>1</w:t>
      </w:r>
      <w:r w:rsidRPr="009179E5">
        <w:rPr>
          <w:rFonts w:ascii="Times New Roman" w:hAnsi="Times New Roman"/>
          <w:sz w:val="24"/>
          <w:szCs w:val="24"/>
          <w:lang w:val="lv-LV"/>
        </w:rPr>
        <w:t xml:space="preserve">.tabula  </w:t>
      </w:r>
    </w:p>
    <w:p w:rsidR="00485555" w:rsidRPr="009179E5" w:rsidRDefault="00AC5314" w:rsidP="00052D8E">
      <w:pPr>
        <w:pStyle w:val="Caption"/>
        <w:spacing w:after="0" w:line="240" w:lineRule="auto"/>
        <w:jc w:val="center"/>
        <w:rPr>
          <w:sz w:val="24"/>
          <w:szCs w:val="24"/>
          <w:lang w:val="lv-LV"/>
        </w:rPr>
      </w:pPr>
      <w:r w:rsidRPr="009179E5">
        <w:rPr>
          <w:rFonts w:ascii="Times New Roman" w:hAnsi="Times New Roman"/>
          <w:sz w:val="24"/>
          <w:szCs w:val="24"/>
          <w:lang w:val="lv-LV"/>
        </w:rPr>
        <w:t xml:space="preserve">Energoefektivitātes paaugstināšanas pasākumu </w:t>
      </w:r>
      <w:r w:rsidRPr="009179E5">
        <w:rPr>
          <w:rFonts w:ascii="Times New Roman" w:hAnsi="Times New Roman"/>
          <w:sz w:val="24"/>
          <w:szCs w:val="24"/>
          <w:u w:val="single"/>
          <w:lang w:val="lv-LV"/>
        </w:rPr>
        <w:t>transportā</w:t>
      </w:r>
      <w:r w:rsidRPr="009179E5">
        <w:rPr>
          <w:rFonts w:ascii="Times New Roman" w:hAnsi="Times New Roman"/>
          <w:sz w:val="24"/>
          <w:szCs w:val="24"/>
          <w:lang w:val="lv-LV"/>
        </w:rPr>
        <w:t xml:space="preserve"> kopsavilkuma tabula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60"/>
        <w:gridCol w:w="2902"/>
        <w:gridCol w:w="1560"/>
        <w:gridCol w:w="1134"/>
        <w:gridCol w:w="1134"/>
        <w:gridCol w:w="1113"/>
      </w:tblGrid>
      <w:tr w:rsidR="00485555" w:rsidRPr="009179E5" w:rsidTr="00A10DA9">
        <w:tc>
          <w:tcPr>
            <w:tcW w:w="1060" w:type="dxa"/>
          </w:tcPr>
          <w:p w:rsidR="00485555" w:rsidRPr="009179E5" w:rsidRDefault="00485555" w:rsidP="00052D8E">
            <w:pPr>
              <w:pStyle w:val="Tabletext"/>
              <w:keepNext/>
              <w:keepLines/>
              <w:spacing w:before="0" w:after="0" w:line="240" w:lineRule="auto"/>
              <w:rPr>
                <w:rFonts w:ascii="Times New Roman" w:hAnsi="Times New Roman"/>
                <w:b/>
                <w:szCs w:val="18"/>
                <w:lang w:val="lv-LV"/>
              </w:rPr>
            </w:pPr>
            <w:r w:rsidRPr="009179E5">
              <w:rPr>
                <w:rFonts w:ascii="Times New Roman" w:hAnsi="Times New Roman"/>
                <w:b/>
                <w:szCs w:val="18"/>
                <w:lang w:val="lv-LV"/>
              </w:rPr>
              <w:t>Nr.</w:t>
            </w:r>
          </w:p>
        </w:tc>
        <w:tc>
          <w:tcPr>
            <w:tcW w:w="2902" w:type="dxa"/>
          </w:tcPr>
          <w:p w:rsidR="00485555" w:rsidRPr="009179E5" w:rsidRDefault="00052D8E" w:rsidP="00052D8E">
            <w:pPr>
              <w:pStyle w:val="Tabletext"/>
              <w:keepNext/>
              <w:keepLines/>
              <w:spacing w:before="0" w:after="0" w:line="240" w:lineRule="auto"/>
              <w:jc w:val="left"/>
              <w:rPr>
                <w:rFonts w:ascii="Times New Roman" w:hAnsi="Times New Roman"/>
                <w:b/>
                <w:szCs w:val="18"/>
                <w:lang w:val="lv-LV"/>
              </w:rPr>
            </w:pPr>
            <w:r w:rsidRPr="009179E5">
              <w:rPr>
                <w:rFonts w:ascii="Times New Roman" w:hAnsi="Times New Roman"/>
                <w:b/>
                <w:szCs w:val="18"/>
                <w:lang w:val="lv-LV"/>
              </w:rPr>
              <w:t>Pasākums</w:t>
            </w:r>
          </w:p>
        </w:tc>
        <w:tc>
          <w:tcPr>
            <w:tcW w:w="1560" w:type="dxa"/>
          </w:tcPr>
          <w:p w:rsidR="00485555" w:rsidRPr="009179E5" w:rsidRDefault="00485555" w:rsidP="00052D8E">
            <w:pPr>
              <w:pStyle w:val="Tabletext"/>
              <w:keepNext/>
              <w:keepLines/>
              <w:spacing w:before="0" w:after="0" w:line="240" w:lineRule="auto"/>
              <w:jc w:val="left"/>
              <w:rPr>
                <w:rFonts w:ascii="Times New Roman" w:hAnsi="Times New Roman"/>
                <w:b/>
                <w:szCs w:val="18"/>
                <w:lang w:val="lv-LV"/>
              </w:rPr>
            </w:pPr>
            <w:r w:rsidRPr="009179E5">
              <w:rPr>
                <w:rFonts w:ascii="Times New Roman" w:hAnsi="Times New Roman"/>
                <w:b/>
                <w:szCs w:val="18"/>
                <w:lang w:val="lv-LV"/>
              </w:rPr>
              <w:t>Mērķauditorija</w:t>
            </w:r>
          </w:p>
        </w:tc>
        <w:tc>
          <w:tcPr>
            <w:tcW w:w="1134" w:type="dxa"/>
          </w:tcPr>
          <w:p w:rsidR="00485555" w:rsidRPr="009179E5" w:rsidRDefault="00485555" w:rsidP="00052D8E">
            <w:pPr>
              <w:pStyle w:val="Tabletext"/>
              <w:keepNext/>
              <w:keepLines/>
              <w:spacing w:before="0" w:after="0" w:line="240" w:lineRule="auto"/>
              <w:rPr>
                <w:rFonts w:ascii="Times New Roman" w:hAnsi="Times New Roman"/>
                <w:b/>
                <w:szCs w:val="18"/>
                <w:lang w:val="lv-LV"/>
              </w:rPr>
            </w:pPr>
            <w:r w:rsidRPr="009179E5">
              <w:rPr>
                <w:rFonts w:ascii="Times New Roman" w:hAnsi="Times New Roman"/>
                <w:b/>
                <w:szCs w:val="18"/>
                <w:lang w:val="lv-LV"/>
              </w:rPr>
              <w:t>Periods</w:t>
            </w:r>
          </w:p>
        </w:tc>
        <w:tc>
          <w:tcPr>
            <w:tcW w:w="1134" w:type="dxa"/>
          </w:tcPr>
          <w:p w:rsidR="00485555" w:rsidRPr="009179E5" w:rsidRDefault="00485555" w:rsidP="00052D8E">
            <w:pPr>
              <w:pStyle w:val="Tabletext"/>
              <w:keepNext/>
              <w:keepLines/>
              <w:spacing w:before="0" w:after="0" w:line="240" w:lineRule="auto"/>
              <w:jc w:val="left"/>
              <w:rPr>
                <w:rFonts w:ascii="Times New Roman" w:hAnsi="Times New Roman"/>
                <w:b/>
                <w:szCs w:val="18"/>
                <w:lang w:val="lv-LV"/>
              </w:rPr>
            </w:pPr>
            <w:r w:rsidRPr="009179E5">
              <w:rPr>
                <w:rFonts w:ascii="Times New Roman" w:hAnsi="Times New Roman"/>
                <w:b/>
                <w:szCs w:val="18"/>
                <w:lang w:val="lv-LV"/>
              </w:rPr>
              <w:t>Sasniegtie enerģijas ietaupījumi</w:t>
            </w:r>
          </w:p>
          <w:p w:rsidR="00485555" w:rsidRPr="009179E5" w:rsidRDefault="00485555" w:rsidP="00052D8E">
            <w:pPr>
              <w:pStyle w:val="Tabletext"/>
              <w:keepNext/>
              <w:keepLines/>
              <w:spacing w:before="0" w:after="0" w:line="240" w:lineRule="auto"/>
              <w:jc w:val="left"/>
              <w:rPr>
                <w:rFonts w:ascii="Times New Roman" w:hAnsi="Times New Roman"/>
                <w:b/>
                <w:szCs w:val="18"/>
                <w:lang w:val="lv-LV"/>
              </w:rPr>
            </w:pPr>
            <w:r w:rsidRPr="009179E5">
              <w:rPr>
                <w:rFonts w:ascii="Times New Roman" w:hAnsi="Times New Roman"/>
                <w:b/>
                <w:szCs w:val="18"/>
                <w:lang w:val="lv-LV"/>
              </w:rPr>
              <w:t>2010 (GWh)</w:t>
            </w:r>
          </w:p>
        </w:tc>
        <w:tc>
          <w:tcPr>
            <w:tcW w:w="1113" w:type="dxa"/>
          </w:tcPr>
          <w:p w:rsidR="00485555" w:rsidRPr="009179E5" w:rsidRDefault="00485555" w:rsidP="00052D8E">
            <w:pPr>
              <w:pStyle w:val="Tabletext"/>
              <w:keepNext/>
              <w:keepLines/>
              <w:spacing w:before="0" w:after="0" w:line="240" w:lineRule="auto"/>
              <w:jc w:val="left"/>
              <w:rPr>
                <w:rFonts w:ascii="Times New Roman" w:hAnsi="Times New Roman"/>
                <w:b/>
                <w:szCs w:val="18"/>
                <w:lang w:val="lv-LV"/>
              </w:rPr>
            </w:pPr>
            <w:r w:rsidRPr="009179E5">
              <w:rPr>
                <w:rFonts w:ascii="Times New Roman" w:hAnsi="Times New Roman"/>
                <w:b/>
                <w:szCs w:val="18"/>
                <w:lang w:val="lv-LV"/>
              </w:rPr>
              <w:t>Plānotie enerģijas ietaupījumi 2016 (GWh)</w:t>
            </w:r>
          </w:p>
        </w:tc>
      </w:tr>
      <w:tr w:rsidR="00F01499" w:rsidRPr="009179E5" w:rsidTr="00A10DA9">
        <w:tc>
          <w:tcPr>
            <w:tcW w:w="1060" w:type="dxa"/>
          </w:tcPr>
          <w:p w:rsidR="00F01499" w:rsidRPr="009179E5" w:rsidRDefault="00F01499" w:rsidP="00052D8E">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TR.</w:t>
            </w:r>
            <w:r w:rsidR="006140A4" w:rsidRPr="009179E5">
              <w:rPr>
                <w:rFonts w:ascii="Times New Roman" w:hAnsi="Times New Roman"/>
                <w:szCs w:val="18"/>
                <w:lang w:val="lv-LV"/>
              </w:rPr>
              <w:t>2.</w:t>
            </w:r>
            <w:r w:rsidRPr="009179E5">
              <w:rPr>
                <w:rFonts w:ascii="Times New Roman" w:hAnsi="Times New Roman"/>
                <w:szCs w:val="18"/>
                <w:lang w:val="lv-LV"/>
              </w:rPr>
              <w:t>1.</w:t>
            </w:r>
          </w:p>
        </w:tc>
        <w:tc>
          <w:tcPr>
            <w:tcW w:w="2902" w:type="dxa"/>
          </w:tcPr>
          <w:p w:rsidR="00F01499" w:rsidRPr="009179E5" w:rsidRDefault="00F01499" w:rsidP="00052D8E">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Sistemātiska automašīnu tehniskā stāvokļa pārbaude</w:t>
            </w:r>
          </w:p>
        </w:tc>
        <w:tc>
          <w:tcPr>
            <w:tcW w:w="1560" w:type="dxa"/>
          </w:tcPr>
          <w:p w:rsidR="00F01499" w:rsidRPr="009179E5" w:rsidRDefault="00F01499" w:rsidP="00052D8E">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Visas autotransporta īpašnieku grupas</w:t>
            </w:r>
          </w:p>
        </w:tc>
        <w:tc>
          <w:tcPr>
            <w:tcW w:w="1134" w:type="dxa"/>
          </w:tcPr>
          <w:p w:rsidR="00F01499" w:rsidRPr="009179E5" w:rsidRDefault="009D7A75" w:rsidP="00052D8E">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2011. -2016.gads</w:t>
            </w:r>
          </w:p>
        </w:tc>
        <w:tc>
          <w:tcPr>
            <w:tcW w:w="1134" w:type="dxa"/>
            <w:vMerge w:val="restart"/>
            <w:vAlign w:val="center"/>
          </w:tcPr>
          <w:p w:rsidR="00F01499" w:rsidRPr="009179E5" w:rsidRDefault="00F01499" w:rsidP="00052D8E">
            <w:pPr>
              <w:spacing w:after="0" w:line="240" w:lineRule="auto"/>
              <w:jc w:val="center"/>
              <w:rPr>
                <w:rFonts w:ascii="Times New Roman" w:hAnsi="Times New Roman"/>
                <w:b/>
                <w:sz w:val="20"/>
                <w:szCs w:val="20"/>
                <w:lang w:val="lv-LV"/>
              </w:rPr>
            </w:pPr>
            <w:r w:rsidRPr="009179E5">
              <w:rPr>
                <w:rFonts w:ascii="Times New Roman" w:hAnsi="Times New Roman"/>
                <w:b/>
                <w:sz w:val="20"/>
                <w:szCs w:val="20"/>
                <w:lang w:val="lv-LV"/>
              </w:rPr>
              <w:t>2680</w:t>
            </w:r>
          </w:p>
        </w:tc>
        <w:tc>
          <w:tcPr>
            <w:tcW w:w="1113" w:type="dxa"/>
            <w:vMerge w:val="restart"/>
            <w:vAlign w:val="center"/>
          </w:tcPr>
          <w:p w:rsidR="00F01499" w:rsidRPr="009179E5" w:rsidRDefault="00F01499" w:rsidP="00052D8E">
            <w:pPr>
              <w:spacing w:after="0" w:line="240" w:lineRule="auto"/>
              <w:jc w:val="center"/>
              <w:rPr>
                <w:rFonts w:ascii="Times New Roman" w:hAnsi="Times New Roman"/>
                <w:b/>
                <w:sz w:val="20"/>
                <w:szCs w:val="20"/>
                <w:lang w:val="lv-LV"/>
              </w:rPr>
            </w:pPr>
            <w:r w:rsidRPr="009179E5">
              <w:rPr>
                <w:rFonts w:ascii="Times New Roman" w:hAnsi="Times New Roman"/>
                <w:b/>
                <w:sz w:val="20"/>
                <w:szCs w:val="20"/>
                <w:lang w:val="lv-LV"/>
              </w:rPr>
              <w:t>204</w:t>
            </w:r>
          </w:p>
        </w:tc>
      </w:tr>
      <w:tr w:rsidR="009D7A75" w:rsidRPr="009179E5" w:rsidTr="00A10DA9">
        <w:tc>
          <w:tcPr>
            <w:tcW w:w="1060" w:type="dxa"/>
          </w:tcPr>
          <w:p w:rsidR="009D7A75" w:rsidRPr="009179E5" w:rsidRDefault="009D7A75" w:rsidP="00052D8E">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TR.2.</w:t>
            </w:r>
            <w:r w:rsidR="00293DCE" w:rsidRPr="009179E5">
              <w:rPr>
                <w:rFonts w:ascii="Times New Roman" w:hAnsi="Times New Roman"/>
                <w:szCs w:val="18"/>
                <w:lang w:val="lv-LV"/>
              </w:rPr>
              <w:t>2</w:t>
            </w:r>
            <w:r w:rsidRPr="009179E5">
              <w:rPr>
                <w:rFonts w:ascii="Times New Roman" w:hAnsi="Times New Roman"/>
                <w:szCs w:val="18"/>
                <w:lang w:val="lv-LV"/>
              </w:rPr>
              <w:t>.</w:t>
            </w:r>
          </w:p>
        </w:tc>
        <w:tc>
          <w:tcPr>
            <w:tcW w:w="2902" w:type="dxa"/>
          </w:tcPr>
          <w:p w:rsidR="009D7A75" w:rsidRPr="009179E5" w:rsidRDefault="009D7A75" w:rsidP="00052D8E">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Diferencētas nodokļu likmes piemērošanu automašīnām atkarībā no dzinēja tilpuma un vecuma</w:t>
            </w:r>
          </w:p>
        </w:tc>
        <w:tc>
          <w:tcPr>
            <w:tcW w:w="1560" w:type="dxa"/>
          </w:tcPr>
          <w:p w:rsidR="009D7A75" w:rsidRPr="009179E5" w:rsidRDefault="009D7A75" w:rsidP="00052D8E">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Visas autotransporta īpašnieku grupas</w:t>
            </w:r>
          </w:p>
        </w:tc>
        <w:tc>
          <w:tcPr>
            <w:tcW w:w="1134" w:type="dxa"/>
          </w:tcPr>
          <w:p w:rsidR="009D7A75" w:rsidRPr="009179E5" w:rsidRDefault="009D7A75" w:rsidP="006F1BF8">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2011. -2016.gads</w:t>
            </w:r>
          </w:p>
        </w:tc>
        <w:tc>
          <w:tcPr>
            <w:tcW w:w="1134" w:type="dxa"/>
            <w:vMerge/>
          </w:tcPr>
          <w:p w:rsidR="009D7A75" w:rsidRPr="009179E5" w:rsidRDefault="009D7A75" w:rsidP="00052D8E">
            <w:pPr>
              <w:pStyle w:val="Tabletext"/>
              <w:keepNext/>
              <w:keepLines/>
              <w:spacing w:before="0" w:after="0" w:line="240" w:lineRule="auto"/>
              <w:jc w:val="left"/>
              <w:rPr>
                <w:rFonts w:ascii="Times New Roman" w:hAnsi="Times New Roman"/>
                <w:szCs w:val="18"/>
                <w:lang w:val="lv-LV"/>
              </w:rPr>
            </w:pPr>
          </w:p>
        </w:tc>
        <w:tc>
          <w:tcPr>
            <w:tcW w:w="1113" w:type="dxa"/>
            <w:vMerge/>
          </w:tcPr>
          <w:p w:rsidR="009D7A75" w:rsidRPr="009179E5" w:rsidRDefault="009D7A75" w:rsidP="00052D8E">
            <w:pPr>
              <w:pStyle w:val="Tabletext"/>
              <w:keepNext/>
              <w:keepLines/>
              <w:spacing w:before="0" w:after="0" w:line="240" w:lineRule="auto"/>
              <w:jc w:val="left"/>
              <w:rPr>
                <w:rFonts w:ascii="Times New Roman" w:hAnsi="Times New Roman"/>
                <w:szCs w:val="18"/>
                <w:lang w:val="lv-LV"/>
              </w:rPr>
            </w:pPr>
          </w:p>
        </w:tc>
      </w:tr>
      <w:tr w:rsidR="009D7A75" w:rsidRPr="009179E5" w:rsidTr="00A10DA9">
        <w:tc>
          <w:tcPr>
            <w:tcW w:w="1060" w:type="dxa"/>
          </w:tcPr>
          <w:p w:rsidR="009D7A75" w:rsidRPr="009179E5" w:rsidRDefault="009D7A75" w:rsidP="00052D8E">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TR.2.</w:t>
            </w:r>
            <w:r w:rsidR="00293DCE" w:rsidRPr="009179E5">
              <w:rPr>
                <w:rFonts w:ascii="Times New Roman" w:hAnsi="Times New Roman"/>
                <w:szCs w:val="18"/>
                <w:lang w:val="lv-LV"/>
              </w:rPr>
              <w:t>3</w:t>
            </w:r>
            <w:r w:rsidRPr="009179E5">
              <w:rPr>
                <w:rFonts w:ascii="Times New Roman" w:hAnsi="Times New Roman"/>
                <w:szCs w:val="18"/>
                <w:lang w:val="lv-LV"/>
              </w:rPr>
              <w:t>.</w:t>
            </w:r>
          </w:p>
        </w:tc>
        <w:tc>
          <w:tcPr>
            <w:tcW w:w="2902" w:type="dxa"/>
          </w:tcPr>
          <w:p w:rsidR="009D7A75" w:rsidRPr="009179E5" w:rsidRDefault="009D7A75" w:rsidP="00052D8E">
            <w:pPr>
              <w:pStyle w:val="ListParagraph"/>
              <w:tabs>
                <w:tab w:val="left" w:pos="709"/>
              </w:tabs>
              <w:spacing w:after="0" w:line="240" w:lineRule="auto"/>
              <w:ind w:left="0"/>
              <w:jc w:val="both"/>
              <w:rPr>
                <w:rFonts w:ascii="Times New Roman" w:hAnsi="Times New Roman"/>
                <w:sz w:val="18"/>
                <w:szCs w:val="18"/>
                <w:lang w:val="lv-LV"/>
              </w:rPr>
            </w:pPr>
            <w:r w:rsidRPr="009179E5">
              <w:rPr>
                <w:rFonts w:ascii="Times New Roman" w:hAnsi="Times New Roman"/>
                <w:sz w:val="18"/>
                <w:szCs w:val="18"/>
                <w:lang w:val="lv-LV"/>
              </w:rPr>
              <w:t xml:space="preserve">Vienota sabiedriskā transporta maršrutu tīkla pilnveidošanu, </w:t>
            </w:r>
            <w:r w:rsidRPr="009179E5">
              <w:rPr>
                <w:rFonts w:ascii="Times New Roman" w:hAnsi="Times New Roman"/>
                <w:color w:val="000000"/>
                <w:sz w:val="18"/>
                <w:szCs w:val="18"/>
                <w:lang w:val="lv-LV"/>
              </w:rPr>
              <w:t>pārskatot reģionālo un starppilsētu paralēlu dzelzceļa un autobusu maršrutu dotēšanu, pārorientējot šādus autobusa maršrutus pasažieru nogādāšanai līdz dzelzceļa stacijām, attiecīgi pieskaņojot kustību grafikus, organizējot saskaņotus transporta kustības grafikus jaunajās pašvaldību administratīvi teritoriālajās robežās, uzlabojot sabiedriskā transporta maršrutu plānošanas sistēmu.</w:t>
            </w:r>
          </w:p>
        </w:tc>
        <w:tc>
          <w:tcPr>
            <w:tcW w:w="1560" w:type="dxa"/>
          </w:tcPr>
          <w:p w:rsidR="009D7A75" w:rsidRPr="009179E5" w:rsidRDefault="009D7A75" w:rsidP="00052D8E">
            <w:pPr>
              <w:keepNext/>
              <w:spacing w:after="0" w:line="240" w:lineRule="auto"/>
              <w:jc w:val="both"/>
              <w:rPr>
                <w:rFonts w:ascii="Times New Roman" w:hAnsi="Times New Roman"/>
                <w:color w:val="000000"/>
                <w:sz w:val="18"/>
                <w:szCs w:val="18"/>
                <w:lang w:val="lv-LV" w:eastAsia="de-DE" w:bidi="lo-LA"/>
              </w:rPr>
            </w:pPr>
            <w:r w:rsidRPr="009179E5">
              <w:rPr>
                <w:rFonts w:ascii="Times New Roman" w:hAnsi="Times New Roman"/>
                <w:color w:val="000000"/>
                <w:sz w:val="18"/>
                <w:szCs w:val="18"/>
                <w:lang w:val="lv-LV" w:eastAsia="de-DE" w:bidi="lo-LA"/>
              </w:rPr>
              <w:t>Sabiedriskā transporta pakalpojumu pasūtītāji – ATD, plānošanas reģioni un pašvaldības, kā arī pakalpojumu sniedzēji – pārvadātāji.</w:t>
            </w:r>
          </w:p>
          <w:p w:rsidR="009D7A75" w:rsidRPr="009179E5" w:rsidRDefault="009D7A75" w:rsidP="00052D8E">
            <w:pPr>
              <w:pStyle w:val="Tabletext"/>
              <w:keepNext/>
              <w:keepLines/>
              <w:spacing w:before="0" w:after="0" w:line="240" w:lineRule="auto"/>
              <w:rPr>
                <w:rFonts w:ascii="Times New Roman" w:hAnsi="Times New Roman"/>
                <w:szCs w:val="18"/>
                <w:lang w:val="lv-LV"/>
              </w:rPr>
            </w:pPr>
          </w:p>
        </w:tc>
        <w:tc>
          <w:tcPr>
            <w:tcW w:w="1134" w:type="dxa"/>
          </w:tcPr>
          <w:p w:rsidR="009D7A75" w:rsidRPr="009179E5" w:rsidRDefault="009D7A75" w:rsidP="006F1BF8">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2011. -2016.gads</w:t>
            </w:r>
          </w:p>
        </w:tc>
        <w:tc>
          <w:tcPr>
            <w:tcW w:w="1134" w:type="dxa"/>
            <w:vMerge/>
          </w:tcPr>
          <w:p w:rsidR="009D7A75" w:rsidRPr="009179E5" w:rsidRDefault="009D7A75" w:rsidP="00052D8E">
            <w:pPr>
              <w:pStyle w:val="Tabletext"/>
              <w:keepNext/>
              <w:keepLines/>
              <w:spacing w:before="0" w:after="0" w:line="240" w:lineRule="auto"/>
              <w:jc w:val="right"/>
              <w:rPr>
                <w:rFonts w:ascii="Times New Roman" w:hAnsi="Times New Roman"/>
                <w:szCs w:val="18"/>
                <w:lang w:val="lv-LV"/>
              </w:rPr>
            </w:pPr>
          </w:p>
        </w:tc>
        <w:tc>
          <w:tcPr>
            <w:tcW w:w="1113" w:type="dxa"/>
            <w:vMerge/>
          </w:tcPr>
          <w:p w:rsidR="009D7A75" w:rsidRPr="009179E5" w:rsidRDefault="009D7A75" w:rsidP="00052D8E">
            <w:pPr>
              <w:pStyle w:val="Tabletext"/>
              <w:keepNext/>
              <w:keepLines/>
              <w:spacing w:before="0" w:after="0" w:line="240" w:lineRule="auto"/>
              <w:jc w:val="right"/>
              <w:rPr>
                <w:rFonts w:ascii="Times New Roman" w:hAnsi="Times New Roman"/>
                <w:szCs w:val="18"/>
                <w:lang w:val="lv-LV"/>
              </w:rPr>
            </w:pPr>
          </w:p>
        </w:tc>
      </w:tr>
    </w:tbl>
    <w:p w:rsidR="00423B95" w:rsidRPr="004820C6" w:rsidRDefault="00423B95" w:rsidP="00423B95">
      <w:pPr>
        <w:pStyle w:val="Caption"/>
        <w:spacing w:after="0" w:line="240" w:lineRule="auto"/>
        <w:jc w:val="right"/>
        <w:rPr>
          <w:rFonts w:ascii="Times New Roman" w:hAnsi="Times New Roman"/>
          <w:sz w:val="22"/>
          <w:lang w:val="lv-LV"/>
        </w:rPr>
      </w:pPr>
    </w:p>
    <w:p w:rsidR="00F5714B" w:rsidRPr="009179E5" w:rsidRDefault="00F5714B" w:rsidP="00423B95">
      <w:pPr>
        <w:pStyle w:val="Caption"/>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t>1</w:t>
      </w:r>
      <w:r w:rsidR="00423B95" w:rsidRPr="009179E5">
        <w:rPr>
          <w:rFonts w:ascii="Times New Roman" w:hAnsi="Times New Roman"/>
          <w:sz w:val="24"/>
          <w:szCs w:val="24"/>
          <w:lang w:val="lv-LV"/>
        </w:rPr>
        <w:t>2</w:t>
      </w:r>
      <w:r w:rsidRPr="009179E5">
        <w:rPr>
          <w:rFonts w:ascii="Times New Roman" w:hAnsi="Times New Roman"/>
          <w:sz w:val="24"/>
          <w:szCs w:val="24"/>
          <w:lang w:val="lv-LV"/>
        </w:rPr>
        <w:t>.tabula</w:t>
      </w:r>
    </w:p>
    <w:p w:rsidR="00485555" w:rsidRPr="009179E5" w:rsidRDefault="00F5714B" w:rsidP="00423B95">
      <w:pPr>
        <w:pStyle w:val="Caption"/>
        <w:spacing w:after="0" w:line="240" w:lineRule="auto"/>
        <w:jc w:val="center"/>
        <w:rPr>
          <w:rFonts w:ascii="Times New Roman" w:hAnsi="Times New Roman"/>
          <w:bCs w:val="0"/>
          <w:sz w:val="24"/>
          <w:szCs w:val="24"/>
          <w:lang w:val="lv-LV"/>
        </w:rPr>
      </w:pPr>
      <w:r w:rsidRPr="009179E5">
        <w:rPr>
          <w:rFonts w:ascii="Times New Roman" w:hAnsi="Times New Roman"/>
          <w:sz w:val="24"/>
          <w:szCs w:val="24"/>
          <w:lang w:val="lv-LV"/>
        </w:rPr>
        <w:t>Pasākuma Nr.</w:t>
      </w:r>
      <w:r w:rsidR="00485555" w:rsidRPr="009179E5">
        <w:rPr>
          <w:rFonts w:ascii="Times New Roman" w:hAnsi="Times New Roman"/>
          <w:sz w:val="24"/>
          <w:szCs w:val="24"/>
          <w:lang w:val="lv-LV"/>
        </w:rPr>
        <w:t>TR.</w:t>
      </w:r>
      <w:r w:rsidR="00423B95" w:rsidRPr="009179E5">
        <w:rPr>
          <w:rFonts w:ascii="Times New Roman" w:hAnsi="Times New Roman"/>
          <w:sz w:val="24"/>
          <w:szCs w:val="24"/>
          <w:lang w:val="lv-LV"/>
        </w:rPr>
        <w:t>2.</w:t>
      </w:r>
      <w:r w:rsidR="00485555" w:rsidRPr="009179E5">
        <w:rPr>
          <w:rFonts w:ascii="Times New Roman" w:hAnsi="Times New Roman"/>
          <w:sz w:val="24"/>
          <w:szCs w:val="24"/>
          <w:lang w:val="lv-LV"/>
        </w:rPr>
        <w:t>1.</w:t>
      </w:r>
      <w:r w:rsidRPr="009179E5">
        <w:rPr>
          <w:rFonts w:ascii="Times New Roman" w:hAnsi="Times New Roman"/>
          <w:sz w:val="24"/>
          <w:szCs w:val="24"/>
          <w:lang w:val="lv-LV"/>
        </w:rPr>
        <w:t xml:space="preserve"> „</w:t>
      </w:r>
      <w:r w:rsidR="00485555" w:rsidRPr="009179E5">
        <w:rPr>
          <w:rFonts w:ascii="Times New Roman" w:hAnsi="Times New Roman"/>
          <w:bCs w:val="0"/>
          <w:sz w:val="24"/>
          <w:szCs w:val="24"/>
          <w:lang w:val="lv-LV"/>
        </w:rPr>
        <w:t>Sistemātiska automobiļu tehniskā stāvokļa pārbaude</w:t>
      </w:r>
      <w:r w:rsidRPr="009179E5">
        <w:rPr>
          <w:rFonts w:ascii="Times New Roman" w:hAnsi="Times New Roman"/>
          <w:bCs w:val="0"/>
          <w:sz w:val="24"/>
          <w:szCs w:val="24"/>
          <w:lang w:val="lv-LV"/>
        </w:rPr>
        <w:t>” apraksts</w:t>
      </w:r>
    </w:p>
    <w:tbl>
      <w:tblPr>
        <w:tblW w:w="8823"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2410"/>
        <w:gridCol w:w="5215"/>
      </w:tblGrid>
      <w:tr w:rsidR="00485555" w:rsidRPr="009179E5" w:rsidTr="007615FE">
        <w:trPr>
          <w:trHeight w:val="480"/>
        </w:trPr>
        <w:tc>
          <w:tcPr>
            <w:tcW w:w="3608" w:type="dxa"/>
            <w:gridSpan w:val="2"/>
          </w:tcPr>
          <w:p w:rsidR="00485555" w:rsidRPr="009179E5" w:rsidRDefault="00485555" w:rsidP="00423B95">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szCs w:val="18"/>
                <w:lang w:val="lv-LV"/>
              </w:rPr>
              <w:t>Enerģijas ietaupījumu sasniegšanas pasākuma nosaukums</w:t>
            </w:r>
          </w:p>
        </w:tc>
        <w:tc>
          <w:tcPr>
            <w:tcW w:w="5215" w:type="dxa"/>
          </w:tcPr>
          <w:p w:rsidR="00485555" w:rsidRPr="009179E5" w:rsidRDefault="00485555" w:rsidP="00423B95">
            <w:pPr>
              <w:pStyle w:val="Tabletext"/>
              <w:tabs>
                <w:tab w:val="left" w:pos="1440"/>
                <w:tab w:val="left" w:pos="5040"/>
              </w:tabs>
              <w:spacing w:before="0" w:after="0" w:line="240" w:lineRule="auto"/>
              <w:rPr>
                <w:rFonts w:ascii="Times New Roman" w:hAnsi="Times New Roman"/>
                <w:b/>
                <w:bCs/>
                <w:szCs w:val="18"/>
                <w:lang w:val="lv-LV"/>
              </w:rPr>
            </w:pPr>
            <w:r w:rsidRPr="009179E5">
              <w:rPr>
                <w:rFonts w:ascii="Times New Roman" w:hAnsi="Times New Roman"/>
                <w:b/>
                <w:bCs/>
                <w:szCs w:val="18"/>
                <w:lang w:val="lv-LV"/>
              </w:rPr>
              <w:t>Sistemātiska automobiļu tehniskā stāvokļa pārbaude</w:t>
            </w:r>
          </w:p>
        </w:tc>
      </w:tr>
      <w:tr w:rsidR="00485555" w:rsidRPr="009179E5" w:rsidTr="007615FE">
        <w:trPr>
          <w:trHeight w:val="480"/>
        </w:trPr>
        <w:tc>
          <w:tcPr>
            <w:tcW w:w="3608" w:type="dxa"/>
            <w:gridSpan w:val="2"/>
          </w:tcPr>
          <w:p w:rsidR="00485555" w:rsidRPr="009179E5" w:rsidRDefault="00485555" w:rsidP="00423B95">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szCs w:val="18"/>
                <w:lang w:val="lv-LV"/>
              </w:rPr>
              <w:t>Pasākuma nr.</w:t>
            </w:r>
          </w:p>
        </w:tc>
        <w:tc>
          <w:tcPr>
            <w:tcW w:w="5215" w:type="dxa"/>
          </w:tcPr>
          <w:p w:rsidR="00485555" w:rsidRPr="009179E5" w:rsidRDefault="00485555" w:rsidP="00423B95">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TR.</w:t>
            </w:r>
            <w:r w:rsidR="00423B95" w:rsidRPr="009179E5">
              <w:rPr>
                <w:rFonts w:ascii="Times New Roman" w:hAnsi="Times New Roman"/>
                <w:b/>
                <w:szCs w:val="18"/>
                <w:lang w:val="lv-LV"/>
              </w:rPr>
              <w:t>2.</w:t>
            </w:r>
            <w:r w:rsidRPr="009179E5">
              <w:rPr>
                <w:rFonts w:ascii="Times New Roman" w:hAnsi="Times New Roman"/>
                <w:b/>
                <w:szCs w:val="18"/>
                <w:lang w:val="lv-LV"/>
              </w:rPr>
              <w:t>1.</w:t>
            </w:r>
          </w:p>
        </w:tc>
      </w:tr>
      <w:tr w:rsidR="00485555" w:rsidRPr="009179E5" w:rsidTr="007615FE">
        <w:trPr>
          <w:trHeight w:val="476"/>
        </w:trPr>
        <w:tc>
          <w:tcPr>
            <w:tcW w:w="1198" w:type="dxa"/>
            <w:vMerge w:val="restart"/>
          </w:tcPr>
          <w:p w:rsidR="00485555" w:rsidRPr="009179E5" w:rsidRDefault="00485555" w:rsidP="00423B95">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Apraksts</w:t>
            </w:r>
          </w:p>
        </w:tc>
        <w:tc>
          <w:tcPr>
            <w:tcW w:w="2410" w:type="dxa"/>
          </w:tcPr>
          <w:p w:rsidR="00485555" w:rsidRPr="009179E5" w:rsidRDefault="00485555" w:rsidP="00423B95">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Kategorija</w:t>
            </w:r>
          </w:p>
        </w:tc>
        <w:tc>
          <w:tcPr>
            <w:tcW w:w="5215" w:type="dxa"/>
          </w:tcPr>
          <w:p w:rsidR="00485555" w:rsidRPr="009179E5" w:rsidRDefault="00485555" w:rsidP="00423B95">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Specifiski pasākumi transportā</w:t>
            </w:r>
          </w:p>
        </w:tc>
      </w:tr>
      <w:tr w:rsidR="00485555" w:rsidRPr="009179E5" w:rsidTr="007615FE">
        <w:trPr>
          <w:trHeight w:val="476"/>
        </w:trPr>
        <w:tc>
          <w:tcPr>
            <w:tcW w:w="1198" w:type="dxa"/>
            <w:vMerge/>
          </w:tcPr>
          <w:p w:rsidR="00485555" w:rsidRPr="009179E5" w:rsidRDefault="00485555" w:rsidP="00423B95">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423B95">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Īstenošanas laika grafiks</w:t>
            </w:r>
          </w:p>
        </w:tc>
        <w:tc>
          <w:tcPr>
            <w:tcW w:w="5215" w:type="dxa"/>
          </w:tcPr>
          <w:p w:rsidR="00485555" w:rsidRPr="009179E5" w:rsidRDefault="00485555" w:rsidP="00423B95">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Sistemātiski</w:t>
            </w:r>
          </w:p>
        </w:tc>
      </w:tr>
      <w:tr w:rsidR="00485555" w:rsidRPr="009179E5" w:rsidTr="007615FE">
        <w:trPr>
          <w:trHeight w:val="476"/>
        </w:trPr>
        <w:tc>
          <w:tcPr>
            <w:tcW w:w="1198" w:type="dxa"/>
            <w:vMerge/>
          </w:tcPr>
          <w:p w:rsidR="00485555" w:rsidRPr="009179E5" w:rsidRDefault="00485555" w:rsidP="00423B95">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423B95">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Mērķis</w:t>
            </w:r>
          </w:p>
        </w:tc>
        <w:tc>
          <w:tcPr>
            <w:tcW w:w="5215" w:type="dxa"/>
          </w:tcPr>
          <w:p w:rsidR="00485555" w:rsidRPr="009179E5" w:rsidRDefault="00485555" w:rsidP="00423B95">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bCs/>
                <w:szCs w:val="18"/>
                <w:lang w:val="lv-LV"/>
              </w:rPr>
              <w:t>Panākt automobiļu ekspluatāciju atbilstoši izgatavotāja noteiktajām prasībām</w:t>
            </w:r>
          </w:p>
        </w:tc>
      </w:tr>
      <w:tr w:rsidR="00485555" w:rsidRPr="009179E5" w:rsidTr="007615FE">
        <w:trPr>
          <w:trHeight w:val="476"/>
        </w:trPr>
        <w:tc>
          <w:tcPr>
            <w:tcW w:w="1198" w:type="dxa"/>
            <w:vMerge/>
          </w:tcPr>
          <w:p w:rsidR="00485555" w:rsidRPr="009179E5" w:rsidRDefault="00485555" w:rsidP="00423B95">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423B95">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galapatēriņa sektors</w:t>
            </w:r>
          </w:p>
        </w:tc>
        <w:tc>
          <w:tcPr>
            <w:tcW w:w="5215" w:type="dxa"/>
          </w:tcPr>
          <w:p w:rsidR="00485555" w:rsidRPr="009179E5" w:rsidRDefault="00485555" w:rsidP="00423B95">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Transports</w:t>
            </w:r>
          </w:p>
        </w:tc>
      </w:tr>
      <w:tr w:rsidR="00485555" w:rsidRPr="009179E5" w:rsidTr="007615FE">
        <w:trPr>
          <w:trHeight w:val="476"/>
        </w:trPr>
        <w:tc>
          <w:tcPr>
            <w:tcW w:w="1198" w:type="dxa"/>
            <w:vMerge/>
          </w:tcPr>
          <w:p w:rsidR="00485555" w:rsidRPr="009179E5" w:rsidRDefault="00485555" w:rsidP="00423B95">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423B95">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Mērķauditorija</w:t>
            </w:r>
          </w:p>
        </w:tc>
        <w:tc>
          <w:tcPr>
            <w:tcW w:w="5215" w:type="dxa"/>
          </w:tcPr>
          <w:p w:rsidR="00485555" w:rsidRPr="009179E5" w:rsidRDefault="00485555" w:rsidP="00423B95">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Visas autotransporta īpašnieku grupas </w:t>
            </w:r>
          </w:p>
        </w:tc>
      </w:tr>
      <w:tr w:rsidR="00485555" w:rsidRPr="009179E5" w:rsidTr="007615FE">
        <w:trPr>
          <w:trHeight w:val="476"/>
        </w:trPr>
        <w:tc>
          <w:tcPr>
            <w:tcW w:w="1198" w:type="dxa"/>
            <w:vMerge/>
          </w:tcPr>
          <w:p w:rsidR="00485555" w:rsidRPr="009179E5" w:rsidRDefault="00485555" w:rsidP="00423B95">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423B95">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Pasākuma ieviešanas teritorija</w:t>
            </w:r>
          </w:p>
        </w:tc>
        <w:tc>
          <w:tcPr>
            <w:tcW w:w="5215" w:type="dxa"/>
          </w:tcPr>
          <w:p w:rsidR="00485555" w:rsidRPr="009179E5" w:rsidRDefault="00485555" w:rsidP="00423B95">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Latvijas Republika </w:t>
            </w:r>
          </w:p>
        </w:tc>
      </w:tr>
      <w:tr w:rsidR="00485555" w:rsidRPr="009179E5" w:rsidTr="007615FE">
        <w:trPr>
          <w:trHeight w:val="476"/>
        </w:trPr>
        <w:tc>
          <w:tcPr>
            <w:tcW w:w="1198" w:type="dxa"/>
            <w:vMerge w:val="restart"/>
          </w:tcPr>
          <w:p w:rsidR="00485555" w:rsidRPr="009179E5" w:rsidRDefault="00485555" w:rsidP="00423B95">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Informācija un ieviešana</w:t>
            </w:r>
          </w:p>
        </w:tc>
        <w:tc>
          <w:tcPr>
            <w:tcW w:w="2410" w:type="dxa"/>
          </w:tcPr>
          <w:p w:rsidR="00485555" w:rsidRPr="009179E5" w:rsidRDefault="00485555" w:rsidP="00423B95">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Enerģijas ietaupījumu sasniegšanas pasākuma pamatapraksts</w:t>
            </w:r>
          </w:p>
        </w:tc>
        <w:tc>
          <w:tcPr>
            <w:tcW w:w="5215" w:type="dxa"/>
          </w:tcPr>
          <w:p w:rsidR="00485555" w:rsidRPr="009179E5" w:rsidRDefault="00485555" w:rsidP="00423B95">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bCs/>
                <w:szCs w:val="18"/>
                <w:lang w:val="lv-LV"/>
              </w:rPr>
              <w:t>Autotransporta</w:t>
            </w:r>
            <w:r w:rsidRPr="009179E5">
              <w:rPr>
                <w:rFonts w:ascii="Times New Roman" w:hAnsi="Times New Roman"/>
                <w:szCs w:val="18"/>
                <w:lang w:val="lv-LV"/>
              </w:rPr>
              <w:t xml:space="preserve"> </w:t>
            </w:r>
            <w:r w:rsidRPr="009179E5">
              <w:rPr>
                <w:rFonts w:ascii="Times New Roman" w:hAnsi="Times New Roman"/>
                <w:b/>
                <w:szCs w:val="18"/>
                <w:lang w:val="lv-LV"/>
              </w:rPr>
              <w:t>energoresursu patēriņa samazināšanai:</w:t>
            </w:r>
          </w:p>
          <w:p w:rsidR="00485555" w:rsidRPr="009179E5" w:rsidRDefault="00485555" w:rsidP="00423B95">
            <w:pPr>
              <w:pStyle w:val="Tabletext"/>
              <w:numPr>
                <w:ilvl w:val="0"/>
                <w:numId w:val="4"/>
              </w:numPr>
              <w:tabs>
                <w:tab w:val="left" w:pos="175"/>
                <w:tab w:val="left" w:pos="5040"/>
              </w:tabs>
              <w:spacing w:before="0" w:after="0" w:line="240" w:lineRule="auto"/>
              <w:ind w:left="33" w:firstLine="0"/>
              <w:rPr>
                <w:rFonts w:ascii="Times New Roman" w:hAnsi="Times New Roman"/>
                <w:b/>
                <w:bCs/>
                <w:szCs w:val="18"/>
                <w:lang w:val="lv-LV"/>
              </w:rPr>
            </w:pPr>
            <w:r w:rsidRPr="009179E5">
              <w:rPr>
                <w:rFonts w:ascii="Times New Roman" w:hAnsi="Times New Roman"/>
                <w:b/>
                <w:bCs/>
                <w:szCs w:val="18"/>
                <w:lang w:val="lv-LV"/>
              </w:rPr>
              <w:t xml:space="preserve">katrs automobiļa īpašnieks nodrošina periodisku a/m apkopi atbilstoši izgatavotāja noteiktajām prasībām; </w:t>
            </w:r>
          </w:p>
          <w:p w:rsidR="00485555" w:rsidRPr="009179E5" w:rsidRDefault="00485555" w:rsidP="00423B95">
            <w:pPr>
              <w:pStyle w:val="Tabletext"/>
              <w:numPr>
                <w:ilvl w:val="0"/>
                <w:numId w:val="4"/>
              </w:numPr>
              <w:tabs>
                <w:tab w:val="left" w:pos="175"/>
                <w:tab w:val="left" w:pos="5040"/>
              </w:tabs>
              <w:spacing w:before="0" w:after="0" w:line="240" w:lineRule="auto"/>
              <w:ind w:left="33" w:firstLine="0"/>
              <w:rPr>
                <w:rFonts w:ascii="Times New Roman" w:hAnsi="Times New Roman"/>
                <w:b/>
                <w:szCs w:val="18"/>
                <w:lang w:val="lv-LV"/>
              </w:rPr>
            </w:pPr>
            <w:r w:rsidRPr="009179E5">
              <w:rPr>
                <w:rFonts w:ascii="Times New Roman" w:hAnsi="Times New Roman"/>
                <w:b/>
                <w:bCs/>
                <w:szCs w:val="18"/>
                <w:lang w:val="lv-LV"/>
              </w:rPr>
              <w:t>atbilstoši Ceļu satiksmes likuma 19.panta prasībām autotransporta īpašnieks veic obligāto</w:t>
            </w:r>
            <w:r w:rsidRPr="009179E5">
              <w:rPr>
                <w:rFonts w:ascii="Times New Roman" w:hAnsi="Times New Roman"/>
                <w:szCs w:val="18"/>
                <w:lang w:val="lv-LV"/>
              </w:rPr>
              <w:t xml:space="preserve"> </w:t>
            </w:r>
            <w:r w:rsidRPr="009179E5">
              <w:rPr>
                <w:rFonts w:ascii="Times New Roman" w:hAnsi="Times New Roman"/>
                <w:b/>
                <w:bCs/>
                <w:szCs w:val="18"/>
                <w:lang w:val="lv-LV"/>
              </w:rPr>
              <w:t>tehnisko apskati.</w:t>
            </w:r>
            <w:r w:rsidRPr="009179E5">
              <w:rPr>
                <w:rFonts w:ascii="Times New Roman" w:hAnsi="Times New Roman"/>
                <w:szCs w:val="18"/>
                <w:lang w:val="lv-LV"/>
              </w:rPr>
              <w:t xml:space="preserve"> </w:t>
            </w:r>
          </w:p>
          <w:p w:rsidR="00485555" w:rsidRPr="009179E5" w:rsidRDefault="00485555" w:rsidP="00423B95">
            <w:pPr>
              <w:pStyle w:val="Tabletext"/>
              <w:tabs>
                <w:tab w:val="left" w:pos="175"/>
                <w:tab w:val="left" w:pos="5040"/>
              </w:tabs>
              <w:spacing w:before="0" w:after="0" w:line="240" w:lineRule="auto"/>
              <w:rPr>
                <w:rFonts w:ascii="Times New Roman" w:hAnsi="Times New Roman"/>
                <w:b/>
                <w:szCs w:val="18"/>
                <w:lang w:val="lv-LV"/>
              </w:rPr>
            </w:pPr>
          </w:p>
        </w:tc>
      </w:tr>
      <w:tr w:rsidR="00485555" w:rsidRPr="009179E5" w:rsidTr="007615FE">
        <w:trPr>
          <w:trHeight w:val="476"/>
        </w:trPr>
        <w:tc>
          <w:tcPr>
            <w:tcW w:w="1198" w:type="dxa"/>
            <w:vMerge/>
          </w:tcPr>
          <w:p w:rsidR="00485555" w:rsidRPr="009179E5" w:rsidRDefault="00485555" w:rsidP="00423B95">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423B95">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Budžets un finansējuma avots</w:t>
            </w:r>
          </w:p>
        </w:tc>
        <w:tc>
          <w:tcPr>
            <w:tcW w:w="5215" w:type="dxa"/>
          </w:tcPr>
          <w:p w:rsidR="00485555" w:rsidRPr="009179E5" w:rsidRDefault="00485555" w:rsidP="00423B95">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Tehniskās apskates izdevumus sedz autotransporta īpašnieki</w:t>
            </w:r>
          </w:p>
        </w:tc>
      </w:tr>
      <w:tr w:rsidR="00485555" w:rsidRPr="009179E5" w:rsidTr="007615FE">
        <w:trPr>
          <w:trHeight w:val="476"/>
        </w:trPr>
        <w:tc>
          <w:tcPr>
            <w:tcW w:w="1198" w:type="dxa"/>
            <w:vMerge/>
          </w:tcPr>
          <w:p w:rsidR="00485555" w:rsidRPr="009179E5" w:rsidRDefault="00485555" w:rsidP="00423B95">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423B95">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Ieviesējs</w:t>
            </w:r>
          </w:p>
        </w:tc>
        <w:tc>
          <w:tcPr>
            <w:tcW w:w="5215" w:type="dxa"/>
          </w:tcPr>
          <w:p w:rsidR="00485555" w:rsidRPr="009179E5" w:rsidRDefault="00485555" w:rsidP="00423B95">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Ceļu satiksmes drošības direkcija</w:t>
            </w:r>
          </w:p>
        </w:tc>
      </w:tr>
    </w:tbl>
    <w:p w:rsidR="004F7F14" w:rsidRPr="009179E5" w:rsidRDefault="004F7F14" w:rsidP="00227278">
      <w:pPr>
        <w:pStyle w:val="Caption"/>
        <w:spacing w:after="0" w:line="240" w:lineRule="auto"/>
        <w:jc w:val="right"/>
        <w:rPr>
          <w:rFonts w:ascii="Times New Roman" w:hAnsi="Times New Roman"/>
          <w:sz w:val="24"/>
          <w:szCs w:val="24"/>
          <w:lang w:val="lv-LV"/>
        </w:rPr>
      </w:pPr>
    </w:p>
    <w:p w:rsidR="001960CF" w:rsidRDefault="001960CF" w:rsidP="00227278">
      <w:pPr>
        <w:pStyle w:val="Caption"/>
        <w:spacing w:after="0" w:line="240" w:lineRule="auto"/>
        <w:jc w:val="right"/>
        <w:rPr>
          <w:rFonts w:ascii="Times New Roman" w:hAnsi="Times New Roman"/>
          <w:sz w:val="24"/>
          <w:szCs w:val="24"/>
          <w:lang w:val="lv-LV"/>
        </w:rPr>
      </w:pPr>
    </w:p>
    <w:p w:rsidR="001960CF" w:rsidRDefault="001960CF" w:rsidP="00227278">
      <w:pPr>
        <w:pStyle w:val="Caption"/>
        <w:spacing w:after="0" w:line="240" w:lineRule="auto"/>
        <w:jc w:val="right"/>
        <w:rPr>
          <w:rFonts w:ascii="Times New Roman" w:hAnsi="Times New Roman"/>
          <w:sz w:val="24"/>
          <w:szCs w:val="24"/>
          <w:lang w:val="lv-LV"/>
        </w:rPr>
      </w:pPr>
    </w:p>
    <w:p w:rsidR="001960CF" w:rsidRDefault="001960CF" w:rsidP="00227278">
      <w:pPr>
        <w:pStyle w:val="Caption"/>
        <w:spacing w:after="0" w:line="240" w:lineRule="auto"/>
        <w:jc w:val="right"/>
        <w:rPr>
          <w:rFonts w:ascii="Times New Roman" w:hAnsi="Times New Roman"/>
          <w:sz w:val="24"/>
          <w:szCs w:val="24"/>
          <w:lang w:val="lv-LV"/>
        </w:rPr>
      </w:pPr>
    </w:p>
    <w:p w:rsidR="001960CF" w:rsidRDefault="001960CF" w:rsidP="00227278">
      <w:pPr>
        <w:pStyle w:val="Caption"/>
        <w:spacing w:after="0" w:line="240" w:lineRule="auto"/>
        <w:jc w:val="right"/>
        <w:rPr>
          <w:rFonts w:ascii="Times New Roman" w:hAnsi="Times New Roman"/>
          <w:sz w:val="24"/>
          <w:szCs w:val="24"/>
          <w:lang w:val="lv-LV"/>
        </w:rPr>
      </w:pPr>
    </w:p>
    <w:p w:rsidR="00092420" w:rsidRPr="009179E5" w:rsidRDefault="00092420" w:rsidP="00227278">
      <w:pPr>
        <w:pStyle w:val="Caption"/>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lastRenderedPageBreak/>
        <w:t>1</w:t>
      </w:r>
      <w:r w:rsidR="00293DCE" w:rsidRPr="009179E5">
        <w:rPr>
          <w:rFonts w:ascii="Times New Roman" w:hAnsi="Times New Roman"/>
          <w:sz w:val="24"/>
          <w:szCs w:val="24"/>
          <w:lang w:val="lv-LV"/>
        </w:rPr>
        <w:t>3</w:t>
      </w:r>
      <w:r w:rsidRPr="009179E5">
        <w:rPr>
          <w:rFonts w:ascii="Times New Roman" w:hAnsi="Times New Roman"/>
          <w:sz w:val="24"/>
          <w:szCs w:val="24"/>
          <w:lang w:val="lv-LV"/>
        </w:rPr>
        <w:t>.tabula</w:t>
      </w:r>
    </w:p>
    <w:p w:rsidR="00485555" w:rsidRPr="009179E5" w:rsidRDefault="00092420" w:rsidP="00227278">
      <w:pPr>
        <w:pStyle w:val="Caption"/>
        <w:spacing w:after="0" w:line="240" w:lineRule="auto"/>
        <w:jc w:val="center"/>
        <w:rPr>
          <w:rFonts w:ascii="Times New Roman" w:hAnsi="Times New Roman"/>
          <w:sz w:val="28"/>
          <w:szCs w:val="28"/>
          <w:u w:val="single"/>
          <w:lang w:val="lv-LV" w:bidi="en-US"/>
        </w:rPr>
      </w:pPr>
      <w:r w:rsidRPr="009179E5">
        <w:rPr>
          <w:rFonts w:ascii="Times New Roman" w:hAnsi="Times New Roman"/>
          <w:sz w:val="24"/>
          <w:szCs w:val="24"/>
          <w:lang w:val="lv-LV"/>
        </w:rPr>
        <w:t>Pasākuma Nr.TR.</w:t>
      </w:r>
      <w:r w:rsidR="00227278" w:rsidRPr="009179E5">
        <w:rPr>
          <w:rFonts w:ascii="Times New Roman" w:hAnsi="Times New Roman"/>
          <w:sz w:val="24"/>
          <w:szCs w:val="24"/>
          <w:lang w:val="lv-LV"/>
        </w:rPr>
        <w:t>2.</w:t>
      </w:r>
      <w:r w:rsidR="00293DCE" w:rsidRPr="009179E5">
        <w:rPr>
          <w:rFonts w:ascii="Times New Roman" w:hAnsi="Times New Roman"/>
          <w:sz w:val="24"/>
          <w:szCs w:val="24"/>
          <w:lang w:val="lv-LV"/>
        </w:rPr>
        <w:t>2</w:t>
      </w:r>
      <w:r w:rsidRPr="009179E5">
        <w:rPr>
          <w:rFonts w:ascii="Times New Roman" w:hAnsi="Times New Roman"/>
          <w:sz w:val="24"/>
          <w:szCs w:val="24"/>
          <w:lang w:val="lv-LV"/>
        </w:rPr>
        <w:t>. „Diferencētas nodokļu likmes piemērošanu automašīnām atkarībā no dzinēja tilpuma un vecuma” apraksts</w:t>
      </w:r>
      <w:r w:rsidRPr="009179E5">
        <w:rPr>
          <w:rFonts w:ascii="Times New Roman" w:hAnsi="Times New Roman"/>
          <w:b w:val="0"/>
          <w:bCs w:val="0"/>
          <w:sz w:val="28"/>
          <w:szCs w:val="28"/>
          <w:u w:val="single"/>
          <w:lang w:val="lv-LV"/>
        </w:rPr>
        <w:t xml:space="preserve"> </w:t>
      </w:r>
    </w:p>
    <w:tbl>
      <w:tblPr>
        <w:tblW w:w="8823"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2410"/>
        <w:gridCol w:w="5215"/>
      </w:tblGrid>
      <w:tr w:rsidR="00485555" w:rsidRPr="009179E5" w:rsidTr="007615FE">
        <w:trPr>
          <w:trHeight w:val="480"/>
        </w:trPr>
        <w:tc>
          <w:tcPr>
            <w:tcW w:w="3608" w:type="dxa"/>
            <w:gridSpan w:val="2"/>
          </w:tcPr>
          <w:p w:rsidR="00485555" w:rsidRPr="009179E5" w:rsidRDefault="00485555" w:rsidP="00227278">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lang w:val="lv-LV"/>
              </w:rPr>
              <w:t>Enerģijas ietaupījumu sasniegšanas pasākuma nosaukums</w:t>
            </w:r>
          </w:p>
        </w:tc>
        <w:tc>
          <w:tcPr>
            <w:tcW w:w="5215" w:type="dxa"/>
          </w:tcPr>
          <w:p w:rsidR="00485555" w:rsidRPr="009179E5" w:rsidRDefault="00485555" w:rsidP="00227278">
            <w:pPr>
              <w:pStyle w:val="Tabletext"/>
              <w:tabs>
                <w:tab w:val="left" w:pos="1440"/>
                <w:tab w:val="left" w:pos="5040"/>
              </w:tabs>
              <w:spacing w:before="0" w:after="0" w:line="240" w:lineRule="auto"/>
              <w:rPr>
                <w:rFonts w:ascii="Times New Roman" w:hAnsi="Times New Roman"/>
                <w:b/>
                <w:bCs/>
                <w:szCs w:val="18"/>
                <w:lang w:val="lv-LV"/>
              </w:rPr>
            </w:pPr>
            <w:r w:rsidRPr="009179E5">
              <w:rPr>
                <w:rFonts w:ascii="Times New Roman" w:hAnsi="Times New Roman"/>
                <w:b/>
                <w:bCs/>
                <w:szCs w:val="18"/>
                <w:lang w:val="lv-LV"/>
              </w:rPr>
              <w:t>Diferencētas nodokļu likmes piemērošanu automašīnām atkarībā no dzinēja tilpuma un vecuma</w:t>
            </w:r>
          </w:p>
        </w:tc>
      </w:tr>
      <w:tr w:rsidR="00485555" w:rsidRPr="009179E5" w:rsidTr="007615FE">
        <w:trPr>
          <w:trHeight w:val="480"/>
        </w:trPr>
        <w:tc>
          <w:tcPr>
            <w:tcW w:w="3608" w:type="dxa"/>
            <w:gridSpan w:val="2"/>
          </w:tcPr>
          <w:p w:rsidR="00485555" w:rsidRPr="009179E5" w:rsidRDefault="00485555" w:rsidP="00227278">
            <w:pPr>
              <w:pStyle w:val="Tabletext"/>
              <w:tabs>
                <w:tab w:val="left" w:pos="1440"/>
                <w:tab w:val="left" w:pos="5040"/>
              </w:tabs>
              <w:spacing w:before="0" w:after="0" w:line="240" w:lineRule="auto"/>
              <w:rPr>
                <w:rFonts w:ascii="Times New Roman" w:hAnsi="Times New Roman"/>
                <w:i/>
                <w:lang w:val="lv-LV"/>
              </w:rPr>
            </w:pPr>
            <w:r w:rsidRPr="009179E5">
              <w:rPr>
                <w:rFonts w:ascii="Times New Roman" w:hAnsi="Times New Roman"/>
                <w:i/>
                <w:lang w:val="lv-LV"/>
              </w:rPr>
              <w:t>Pasākuma nr.</w:t>
            </w:r>
          </w:p>
        </w:tc>
        <w:tc>
          <w:tcPr>
            <w:tcW w:w="5215" w:type="dxa"/>
          </w:tcPr>
          <w:p w:rsidR="00485555" w:rsidRPr="009179E5" w:rsidRDefault="00485555" w:rsidP="0022727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TR.</w:t>
            </w:r>
            <w:r w:rsidR="00227278" w:rsidRPr="009179E5">
              <w:rPr>
                <w:rFonts w:ascii="Times New Roman" w:hAnsi="Times New Roman"/>
                <w:b/>
                <w:szCs w:val="18"/>
                <w:lang w:val="lv-LV"/>
              </w:rPr>
              <w:t>2.</w:t>
            </w:r>
            <w:r w:rsidRPr="009179E5">
              <w:rPr>
                <w:rFonts w:ascii="Times New Roman" w:hAnsi="Times New Roman"/>
                <w:b/>
                <w:szCs w:val="18"/>
                <w:lang w:val="lv-LV"/>
              </w:rPr>
              <w:t>3.</w:t>
            </w:r>
          </w:p>
        </w:tc>
      </w:tr>
      <w:tr w:rsidR="00485555" w:rsidRPr="009179E5" w:rsidTr="007615FE">
        <w:trPr>
          <w:trHeight w:val="476"/>
        </w:trPr>
        <w:tc>
          <w:tcPr>
            <w:tcW w:w="1198" w:type="dxa"/>
            <w:vMerge w:val="restart"/>
          </w:tcPr>
          <w:p w:rsidR="00485555" w:rsidRPr="009179E5" w:rsidRDefault="00485555" w:rsidP="00227278">
            <w:pPr>
              <w:pStyle w:val="Tabletext"/>
              <w:tabs>
                <w:tab w:val="left" w:pos="1440"/>
                <w:tab w:val="left" w:pos="5040"/>
              </w:tabs>
              <w:spacing w:before="0" w:after="0" w:line="240" w:lineRule="auto"/>
              <w:jc w:val="left"/>
              <w:rPr>
                <w:rFonts w:ascii="Times New Roman" w:hAnsi="Times New Roman"/>
                <w:szCs w:val="18"/>
                <w:lang w:val="lv-LV"/>
              </w:rPr>
            </w:pPr>
          </w:p>
          <w:p w:rsidR="00485555" w:rsidRPr="009179E5" w:rsidRDefault="00485555" w:rsidP="0022727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Apraksts</w:t>
            </w:r>
          </w:p>
        </w:tc>
        <w:tc>
          <w:tcPr>
            <w:tcW w:w="2410" w:type="dxa"/>
          </w:tcPr>
          <w:p w:rsidR="00485555" w:rsidRPr="009179E5" w:rsidRDefault="00485555" w:rsidP="0022727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Kategorija</w:t>
            </w:r>
          </w:p>
        </w:tc>
        <w:tc>
          <w:tcPr>
            <w:tcW w:w="5215" w:type="dxa"/>
          </w:tcPr>
          <w:p w:rsidR="00485555" w:rsidRPr="009179E5" w:rsidRDefault="00485555" w:rsidP="0022727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Finanšu instruments </w:t>
            </w:r>
          </w:p>
        </w:tc>
      </w:tr>
      <w:tr w:rsidR="00485555" w:rsidRPr="009179E5" w:rsidTr="007615FE">
        <w:trPr>
          <w:trHeight w:val="476"/>
        </w:trPr>
        <w:tc>
          <w:tcPr>
            <w:tcW w:w="1198" w:type="dxa"/>
            <w:vMerge/>
          </w:tcPr>
          <w:p w:rsidR="00485555" w:rsidRPr="009179E5" w:rsidRDefault="00485555" w:rsidP="0022727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22727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Īstenošanas laika grafiks</w:t>
            </w:r>
          </w:p>
        </w:tc>
        <w:tc>
          <w:tcPr>
            <w:tcW w:w="5215" w:type="dxa"/>
          </w:tcPr>
          <w:p w:rsidR="00485555" w:rsidRPr="009179E5" w:rsidRDefault="00485555" w:rsidP="0022727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Sākot no 01.01.2011</w:t>
            </w:r>
            <w:r w:rsidR="005C0D38" w:rsidRPr="009179E5">
              <w:rPr>
                <w:rFonts w:ascii="Times New Roman" w:hAnsi="Times New Roman"/>
                <w:b/>
                <w:szCs w:val="18"/>
                <w:lang w:val="lv-LV"/>
              </w:rPr>
              <w:t>.</w:t>
            </w:r>
          </w:p>
        </w:tc>
      </w:tr>
      <w:tr w:rsidR="00485555" w:rsidRPr="009179E5" w:rsidTr="007615FE">
        <w:trPr>
          <w:trHeight w:val="476"/>
        </w:trPr>
        <w:tc>
          <w:tcPr>
            <w:tcW w:w="1198" w:type="dxa"/>
            <w:vMerge/>
          </w:tcPr>
          <w:p w:rsidR="00485555" w:rsidRPr="009179E5" w:rsidRDefault="00485555" w:rsidP="0022727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22727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Mērķis</w:t>
            </w:r>
          </w:p>
        </w:tc>
        <w:tc>
          <w:tcPr>
            <w:tcW w:w="5215" w:type="dxa"/>
          </w:tcPr>
          <w:p w:rsidR="00485555" w:rsidRPr="009179E5" w:rsidRDefault="00485555" w:rsidP="00227278">
            <w:pPr>
              <w:pStyle w:val="Tabletext"/>
              <w:tabs>
                <w:tab w:val="left" w:pos="1440"/>
                <w:tab w:val="left" w:pos="5040"/>
              </w:tabs>
              <w:spacing w:before="0" w:after="0" w:line="240" w:lineRule="auto"/>
              <w:rPr>
                <w:rFonts w:ascii="Times New Roman" w:hAnsi="Times New Roman"/>
                <w:b/>
                <w:bCs/>
                <w:szCs w:val="18"/>
                <w:lang w:val="lv-LV"/>
              </w:rPr>
            </w:pPr>
            <w:r w:rsidRPr="009179E5">
              <w:rPr>
                <w:rFonts w:ascii="Times New Roman" w:hAnsi="Times New Roman"/>
                <w:b/>
                <w:bCs/>
                <w:szCs w:val="18"/>
                <w:lang w:val="lv-LV"/>
              </w:rPr>
              <w:t xml:space="preserve">Motivēt ekspluatēt jaunākus un mazāk energoietilpīgus automobiļus </w:t>
            </w:r>
          </w:p>
        </w:tc>
      </w:tr>
      <w:tr w:rsidR="00485555" w:rsidRPr="009179E5" w:rsidTr="007615FE">
        <w:trPr>
          <w:trHeight w:val="476"/>
        </w:trPr>
        <w:tc>
          <w:tcPr>
            <w:tcW w:w="1198" w:type="dxa"/>
            <w:vMerge/>
          </w:tcPr>
          <w:p w:rsidR="00485555" w:rsidRPr="009179E5" w:rsidRDefault="00485555" w:rsidP="0022727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22727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galapatēriņa sektors</w:t>
            </w:r>
          </w:p>
        </w:tc>
        <w:tc>
          <w:tcPr>
            <w:tcW w:w="5215" w:type="dxa"/>
          </w:tcPr>
          <w:p w:rsidR="00485555" w:rsidRPr="009179E5" w:rsidRDefault="00485555" w:rsidP="0022727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Transports</w:t>
            </w:r>
          </w:p>
        </w:tc>
      </w:tr>
      <w:tr w:rsidR="00485555" w:rsidRPr="009179E5" w:rsidTr="007615FE">
        <w:trPr>
          <w:trHeight w:val="476"/>
        </w:trPr>
        <w:tc>
          <w:tcPr>
            <w:tcW w:w="1198" w:type="dxa"/>
            <w:vMerge/>
          </w:tcPr>
          <w:p w:rsidR="00485555" w:rsidRPr="009179E5" w:rsidRDefault="00485555" w:rsidP="0022727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22727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Mērķauditorija</w:t>
            </w:r>
          </w:p>
        </w:tc>
        <w:tc>
          <w:tcPr>
            <w:tcW w:w="5215" w:type="dxa"/>
          </w:tcPr>
          <w:p w:rsidR="00485555" w:rsidRPr="009179E5" w:rsidRDefault="00485555" w:rsidP="0022727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Visas autotransporta īpašnieku grupas </w:t>
            </w:r>
          </w:p>
        </w:tc>
      </w:tr>
      <w:tr w:rsidR="00485555" w:rsidRPr="009179E5" w:rsidTr="007615FE">
        <w:trPr>
          <w:trHeight w:val="476"/>
        </w:trPr>
        <w:tc>
          <w:tcPr>
            <w:tcW w:w="1198" w:type="dxa"/>
            <w:vMerge/>
          </w:tcPr>
          <w:p w:rsidR="00485555" w:rsidRPr="009179E5" w:rsidRDefault="00485555" w:rsidP="0022727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22727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Pasākuma ieviešanas teritorija</w:t>
            </w:r>
          </w:p>
        </w:tc>
        <w:tc>
          <w:tcPr>
            <w:tcW w:w="5215" w:type="dxa"/>
          </w:tcPr>
          <w:p w:rsidR="00485555" w:rsidRPr="009179E5" w:rsidRDefault="00485555" w:rsidP="0022727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Latvijas Republika </w:t>
            </w:r>
          </w:p>
        </w:tc>
      </w:tr>
      <w:tr w:rsidR="00485555" w:rsidRPr="009179E5" w:rsidTr="007615FE">
        <w:trPr>
          <w:trHeight w:val="476"/>
        </w:trPr>
        <w:tc>
          <w:tcPr>
            <w:tcW w:w="1198" w:type="dxa"/>
            <w:vMerge w:val="restart"/>
          </w:tcPr>
          <w:p w:rsidR="00485555" w:rsidRPr="009179E5" w:rsidRDefault="00485555" w:rsidP="0022727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Informācija un ieviešana</w:t>
            </w:r>
          </w:p>
        </w:tc>
        <w:tc>
          <w:tcPr>
            <w:tcW w:w="2410" w:type="dxa"/>
          </w:tcPr>
          <w:p w:rsidR="00485555" w:rsidRPr="009179E5" w:rsidRDefault="00485555" w:rsidP="00227278">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Enerģijas ietaupījumu sasniegšanas pasākumu saraksts un pasākuma pamatapraksts</w:t>
            </w:r>
          </w:p>
        </w:tc>
        <w:tc>
          <w:tcPr>
            <w:tcW w:w="5215" w:type="dxa"/>
          </w:tcPr>
          <w:p w:rsidR="00485555" w:rsidRPr="009179E5" w:rsidRDefault="00485555" w:rsidP="00227278">
            <w:pPr>
              <w:spacing w:after="0" w:line="240" w:lineRule="auto"/>
              <w:jc w:val="both"/>
              <w:rPr>
                <w:rFonts w:ascii="Times New Roman" w:hAnsi="Times New Roman"/>
                <w:b/>
                <w:szCs w:val="18"/>
                <w:lang w:val="lv-LV"/>
              </w:rPr>
            </w:pPr>
            <w:r w:rsidRPr="009179E5">
              <w:rPr>
                <w:rFonts w:ascii="Times New Roman" w:hAnsi="Times New Roman"/>
                <w:b/>
                <w:bCs/>
                <w:sz w:val="18"/>
                <w:szCs w:val="18"/>
                <w:lang w:val="lv-LV" w:eastAsia="lv-LV" w:bidi="lo-LA"/>
              </w:rPr>
              <w:t xml:space="preserve">Ar 2011.gada 1.janvāri ir stājies spēkā </w:t>
            </w:r>
            <w:r w:rsidRPr="009179E5">
              <w:rPr>
                <w:rFonts w:ascii="Times New Roman" w:hAnsi="Times New Roman"/>
                <w:b/>
                <w:bCs/>
                <w:sz w:val="18"/>
                <w:szCs w:val="18"/>
                <w:lang w:val="lv-LV"/>
              </w:rPr>
              <w:t xml:space="preserve">Transportlīdzekļa ekspluatācijas nodokļa un uzņēmumu vieglo transportlīdzekļu nodokļa likums, kura normas nosaka diferencētu nodokļu apjomu atkarībā no automobiļa dzinēja tilpuma. </w:t>
            </w:r>
            <w:r w:rsidRPr="009179E5">
              <w:rPr>
                <w:rFonts w:ascii="Times New Roman" w:hAnsi="Times New Roman"/>
                <w:b/>
                <w:bCs/>
                <w:sz w:val="18"/>
                <w:szCs w:val="18"/>
                <w:lang w:val="lv-LV" w:eastAsia="lv-LV" w:bidi="lo-LA"/>
              </w:rPr>
              <w:t xml:space="preserve"> Nosakot lielāku transportlīdzekļa ekspluatācijas nodokļa summu lielākam dzinēja tilpumam, automobiļu īpašnieki tiek motivēti iegādāties automobiļus ar mazāku dzinēja  tilpumu</w:t>
            </w:r>
          </w:p>
        </w:tc>
      </w:tr>
      <w:tr w:rsidR="00485555" w:rsidRPr="009179E5" w:rsidTr="007615FE">
        <w:trPr>
          <w:trHeight w:val="476"/>
        </w:trPr>
        <w:tc>
          <w:tcPr>
            <w:tcW w:w="1198" w:type="dxa"/>
            <w:vMerge/>
          </w:tcPr>
          <w:p w:rsidR="00485555" w:rsidRPr="009179E5" w:rsidRDefault="00485555" w:rsidP="0022727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22727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Budžets un finansējuma avots</w:t>
            </w:r>
          </w:p>
        </w:tc>
        <w:tc>
          <w:tcPr>
            <w:tcW w:w="5215" w:type="dxa"/>
          </w:tcPr>
          <w:p w:rsidR="00485555" w:rsidRPr="009179E5" w:rsidRDefault="00B82F4A" w:rsidP="0022727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Nav n</w:t>
            </w:r>
            <w:r w:rsidR="00402EDE" w:rsidRPr="009179E5">
              <w:rPr>
                <w:rFonts w:ascii="Times New Roman" w:hAnsi="Times New Roman"/>
                <w:b/>
                <w:szCs w:val="18"/>
                <w:lang w:val="lv-LV"/>
              </w:rPr>
              <w:t>epieciešams</w:t>
            </w:r>
          </w:p>
        </w:tc>
      </w:tr>
      <w:tr w:rsidR="00485555" w:rsidRPr="009179E5" w:rsidTr="007615FE">
        <w:trPr>
          <w:trHeight w:val="476"/>
        </w:trPr>
        <w:tc>
          <w:tcPr>
            <w:tcW w:w="1198" w:type="dxa"/>
            <w:vMerge/>
          </w:tcPr>
          <w:p w:rsidR="00485555" w:rsidRPr="009179E5" w:rsidRDefault="00485555" w:rsidP="0022727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22727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Ieviesējs</w:t>
            </w:r>
          </w:p>
        </w:tc>
        <w:tc>
          <w:tcPr>
            <w:tcW w:w="5215" w:type="dxa"/>
          </w:tcPr>
          <w:p w:rsidR="00485555" w:rsidRPr="009179E5" w:rsidRDefault="00485555" w:rsidP="0022727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Finanšu ministrija</w:t>
            </w:r>
          </w:p>
        </w:tc>
      </w:tr>
      <w:tr w:rsidR="00485555" w:rsidRPr="009179E5" w:rsidTr="007615FE">
        <w:trPr>
          <w:trHeight w:val="476"/>
        </w:trPr>
        <w:tc>
          <w:tcPr>
            <w:tcW w:w="1198" w:type="dxa"/>
            <w:vMerge/>
          </w:tcPr>
          <w:p w:rsidR="00485555" w:rsidRPr="009179E5" w:rsidRDefault="00485555" w:rsidP="0022727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227278">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Monitoringa (kontroles) institūcija</w:t>
            </w:r>
          </w:p>
        </w:tc>
        <w:tc>
          <w:tcPr>
            <w:tcW w:w="5215" w:type="dxa"/>
          </w:tcPr>
          <w:p w:rsidR="00485555" w:rsidRPr="009179E5" w:rsidRDefault="00485555" w:rsidP="0022727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Finanšu ministrija</w:t>
            </w:r>
          </w:p>
        </w:tc>
      </w:tr>
      <w:tr w:rsidR="00485555" w:rsidRPr="009179E5" w:rsidTr="007615FE">
        <w:trPr>
          <w:trHeight w:val="476"/>
        </w:trPr>
        <w:tc>
          <w:tcPr>
            <w:tcW w:w="1198" w:type="dxa"/>
          </w:tcPr>
          <w:p w:rsidR="00485555" w:rsidRPr="009179E5" w:rsidRDefault="00485555" w:rsidP="0022727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ietaupījumi</w:t>
            </w:r>
          </w:p>
        </w:tc>
        <w:tc>
          <w:tcPr>
            <w:tcW w:w="2410" w:type="dxa"/>
          </w:tcPr>
          <w:p w:rsidR="00485555" w:rsidRPr="009179E5" w:rsidRDefault="00485555" w:rsidP="00227278">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Sasniegto enerģijas ietaupījumu aprēķina metode</w:t>
            </w:r>
          </w:p>
        </w:tc>
        <w:tc>
          <w:tcPr>
            <w:tcW w:w="5215" w:type="dxa"/>
          </w:tcPr>
          <w:p w:rsidR="00485555" w:rsidRPr="009179E5" w:rsidRDefault="00485555" w:rsidP="00A15AC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Lejup</w:t>
            </w:r>
            <w:r w:rsidR="00A15ACB" w:rsidRPr="009179E5">
              <w:rPr>
                <w:rFonts w:ascii="Times New Roman" w:hAnsi="Times New Roman"/>
                <w:b/>
                <w:szCs w:val="18"/>
                <w:lang w:val="lv-LV"/>
              </w:rPr>
              <w:t>vērstā</w:t>
            </w:r>
          </w:p>
        </w:tc>
      </w:tr>
    </w:tbl>
    <w:p w:rsidR="00DC7E7C" w:rsidRPr="009179E5" w:rsidRDefault="00DC7E7C" w:rsidP="00DC7E7C">
      <w:pPr>
        <w:rPr>
          <w:lang w:val="lv-LV"/>
        </w:rPr>
      </w:pPr>
    </w:p>
    <w:p w:rsidR="0001456A" w:rsidRPr="009179E5" w:rsidRDefault="0001456A" w:rsidP="007615FE">
      <w:pPr>
        <w:pStyle w:val="Caption"/>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t>1</w:t>
      </w:r>
      <w:r w:rsidR="00293DCE" w:rsidRPr="009179E5">
        <w:rPr>
          <w:rFonts w:ascii="Times New Roman" w:hAnsi="Times New Roman"/>
          <w:sz w:val="24"/>
          <w:szCs w:val="24"/>
          <w:lang w:val="lv-LV"/>
        </w:rPr>
        <w:t>4</w:t>
      </w:r>
      <w:r w:rsidRPr="009179E5">
        <w:rPr>
          <w:rFonts w:ascii="Times New Roman" w:hAnsi="Times New Roman"/>
          <w:sz w:val="24"/>
          <w:szCs w:val="24"/>
          <w:lang w:val="lv-LV"/>
        </w:rPr>
        <w:t>.tabula</w:t>
      </w:r>
    </w:p>
    <w:p w:rsidR="00485555" w:rsidRPr="009179E5" w:rsidRDefault="0001456A" w:rsidP="007615FE">
      <w:pPr>
        <w:pStyle w:val="Caption"/>
        <w:spacing w:after="0" w:line="240" w:lineRule="auto"/>
        <w:jc w:val="center"/>
        <w:rPr>
          <w:lang w:val="lv-LV" w:bidi="en-US"/>
        </w:rPr>
      </w:pPr>
      <w:r w:rsidRPr="009179E5">
        <w:rPr>
          <w:rFonts w:ascii="Times New Roman" w:hAnsi="Times New Roman"/>
          <w:sz w:val="24"/>
          <w:szCs w:val="24"/>
          <w:lang w:val="lv-LV"/>
        </w:rPr>
        <w:t>Pasākuma Nr.TR.</w:t>
      </w:r>
      <w:r w:rsidR="007615FE" w:rsidRPr="009179E5">
        <w:rPr>
          <w:rFonts w:ascii="Times New Roman" w:hAnsi="Times New Roman"/>
          <w:sz w:val="24"/>
          <w:szCs w:val="24"/>
          <w:lang w:val="lv-LV"/>
        </w:rPr>
        <w:t>2.</w:t>
      </w:r>
      <w:r w:rsidR="00293DCE" w:rsidRPr="009179E5">
        <w:rPr>
          <w:rFonts w:ascii="Times New Roman" w:hAnsi="Times New Roman"/>
          <w:sz w:val="24"/>
          <w:szCs w:val="24"/>
          <w:lang w:val="lv-LV"/>
        </w:rPr>
        <w:t>3</w:t>
      </w:r>
      <w:r w:rsidRPr="009179E5">
        <w:rPr>
          <w:rFonts w:ascii="Times New Roman" w:hAnsi="Times New Roman"/>
          <w:sz w:val="24"/>
          <w:szCs w:val="24"/>
          <w:lang w:val="lv-LV"/>
        </w:rPr>
        <w:t>. „Vienota sabiedriskā transporta maršrutu tīkla pilnveidošana” apraksts</w:t>
      </w:r>
    </w:p>
    <w:tbl>
      <w:tblPr>
        <w:tblW w:w="8823"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2410"/>
        <w:gridCol w:w="5215"/>
      </w:tblGrid>
      <w:tr w:rsidR="00485555" w:rsidRPr="009179E5" w:rsidTr="007615FE">
        <w:trPr>
          <w:trHeight w:val="480"/>
        </w:trPr>
        <w:tc>
          <w:tcPr>
            <w:tcW w:w="3608" w:type="dxa"/>
            <w:gridSpan w:val="2"/>
          </w:tcPr>
          <w:p w:rsidR="00485555" w:rsidRPr="009179E5" w:rsidRDefault="00485555" w:rsidP="007615FE">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lang w:val="lv-LV"/>
              </w:rPr>
              <w:t>Enerģijas ietaupījumu sasniegšanas pasākuma nosaukums</w:t>
            </w:r>
          </w:p>
        </w:tc>
        <w:tc>
          <w:tcPr>
            <w:tcW w:w="5215" w:type="dxa"/>
          </w:tcPr>
          <w:p w:rsidR="00485555" w:rsidRPr="009179E5" w:rsidRDefault="00485555" w:rsidP="007615FE">
            <w:pPr>
              <w:pStyle w:val="ListParagraph"/>
              <w:tabs>
                <w:tab w:val="left" w:pos="709"/>
              </w:tabs>
              <w:spacing w:after="0" w:line="240" w:lineRule="auto"/>
              <w:ind w:left="0"/>
              <w:jc w:val="both"/>
              <w:rPr>
                <w:rFonts w:ascii="Times New Roman" w:hAnsi="Times New Roman"/>
                <w:b/>
                <w:szCs w:val="18"/>
                <w:lang w:val="lv-LV"/>
              </w:rPr>
            </w:pPr>
            <w:r w:rsidRPr="009179E5">
              <w:rPr>
                <w:rFonts w:ascii="Times New Roman" w:hAnsi="Times New Roman"/>
                <w:b/>
                <w:sz w:val="18"/>
                <w:szCs w:val="18"/>
                <w:lang w:val="lv-LV"/>
              </w:rPr>
              <w:t xml:space="preserve">Vienota sabiedriskā transporta maršrutu tīkla pilnveidošanu, </w:t>
            </w:r>
            <w:r w:rsidRPr="009179E5">
              <w:rPr>
                <w:rFonts w:ascii="Times New Roman" w:hAnsi="Times New Roman"/>
                <w:b/>
                <w:color w:val="000000"/>
                <w:sz w:val="18"/>
                <w:szCs w:val="18"/>
                <w:lang w:val="lv-LV"/>
              </w:rPr>
              <w:t>pārskatot reģionālo un starppilsētu paralēlu dzelzceļa un autobusu maršrutu dotēšanu, pārorientējot šādus autobusa maršrutus pasažieru nogādāšanai līdz dzelzceļa stacijām, attiecīgi pieskaņojot kustību grafikus, organizējot saskaņotus transporta kustības grafikus jaunajās pašvaldību administratīvi teritoriālajās robežās, uzlabojot sabiedriskā transporta maršrutu plānošanas sistēmu</w:t>
            </w:r>
          </w:p>
        </w:tc>
      </w:tr>
      <w:tr w:rsidR="00485555" w:rsidRPr="009179E5" w:rsidTr="007615FE">
        <w:trPr>
          <w:trHeight w:val="480"/>
        </w:trPr>
        <w:tc>
          <w:tcPr>
            <w:tcW w:w="3608" w:type="dxa"/>
            <w:gridSpan w:val="2"/>
          </w:tcPr>
          <w:p w:rsidR="00485555" w:rsidRPr="009179E5" w:rsidRDefault="00485555" w:rsidP="007615FE">
            <w:pPr>
              <w:pStyle w:val="Tabletext"/>
              <w:tabs>
                <w:tab w:val="left" w:pos="1440"/>
                <w:tab w:val="left" w:pos="5040"/>
              </w:tabs>
              <w:spacing w:before="0" w:after="0" w:line="240" w:lineRule="auto"/>
              <w:rPr>
                <w:rFonts w:ascii="Times New Roman" w:hAnsi="Times New Roman"/>
                <w:i/>
                <w:lang w:val="lv-LV"/>
              </w:rPr>
            </w:pPr>
            <w:r w:rsidRPr="009179E5">
              <w:rPr>
                <w:rFonts w:ascii="Times New Roman" w:hAnsi="Times New Roman"/>
                <w:i/>
                <w:lang w:val="lv-LV"/>
              </w:rPr>
              <w:t>Pasākuma nr.</w:t>
            </w:r>
          </w:p>
        </w:tc>
        <w:tc>
          <w:tcPr>
            <w:tcW w:w="5215" w:type="dxa"/>
          </w:tcPr>
          <w:p w:rsidR="00485555" w:rsidRPr="009179E5" w:rsidRDefault="00485555" w:rsidP="007615F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TR.</w:t>
            </w:r>
            <w:r w:rsidR="007615FE" w:rsidRPr="009179E5">
              <w:rPr>
                <w:rFonts w:ascii="Times New Roman" w:hAnsi="Times New Roman"/>
                <w:b/>
                <w:szCs w:val="18"/>
                <w:lang w:val="lv-LV"/>
              </w:rPr>
              <w:t>2.</w:t>
            </w:r>
            <w:r w:rsidRPr="009179E5">
              <w:rPr>
                <w:rFonts w:ascii="Times New Roman" w:hAnsi="Times New Roman"/>
                <w:b/>
                <w:szCs w:val="18"/>
                <w:lang w:val="lv-LV"/>
              </w:rPr>
              <w:t>4.</w:t>
            </w:r>
          </w:p>
        </w:tc>
      </w:tr>
      <w:tr w:rsidR="00485555" w:rsidRPr="009179E5" w:rsidTr="007615FE">
        <w:trPr>
          <w:trHeight w:val="476"/>
        </w:trPr>
        <w:tc>
          <w:tcPr>
            <w:tcW w:w="1198" w:type="dxa"/>
            <w:vMerge w:val="restart"/>
          </w:tcPr>
          <w:p w:rsidR="00485555" w:rsidRPr="009179E5" w:rsidRDefault="00485555" w:rsidP="007615FE">
            <w:pPr>
              <w:pStyle w:val="Tabletext"/>
              <w:tabs>
                <w:tab w:val="left" w:pos="1440"/>
                <w:tab w:val="left" w:pos="5040"/>
              </w:tabs>
              <w:spacing w:before="0" w:after="0" w:line="240" w:lineRule="auto"/>
              <w:jc w:val="left"/>
              <w:rPr>
                <w:rFonts w:ascii="Times New Roman" w:hAnsi="Times New Roman"/>
                <w:szCs w:val="18"/>
                <w:lang w:val="lv-LV"/>
              </w:rPr>
            </w:pPr>
          </w:p>
          <w:p w:rsidR="00485555" w:rsidRPr="009179E5" w:rsidRDefault="00485555" w:rsidP="007615F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Apraksts</w:t>
            </w:r>
          </w:p>
        </w:tc>
        <w:tc>
          <w:tcPr>
            <w:tcW w:w="2410" w:type="dxa"/>
          </w:tcPr>
          <w:p w:rsidR="00485555" w:rsidRPr="009179E5" w:rsidRDefault="00485555" w:rsidP="007615F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Kategorija</w:t>
            </w:r>
          </w:p>
        </w:tc>
        <w:tc>
          <w:tcPr>
            <w:tcW w:w="5215" w:type="dxa"/>
          </w:tcPr>
          <w:p w:rsidR="00485555" w:rsidRPr="009179E5" w:rsidRDefault="00485555" w:rsidP="007615F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Specifiski pasākumi transportā</w:t>
            </w:r>
          </w:p>
        </w:tc>
      </w:tr>
      <w:tr w:rsidR="00485555" w:rsidRPr="009179E5" w:rsidTr="007615FE">
        <w:trPr>
          <w:trHeight w:val="476"/>
        </w:trPr>
        <w:tc>
          <w:tcPr>
            <w:tcW w:w="1198" w:type="dxa"/>
            <w:vMerge/>
          </w:tcPr>
          <w:p w:rsidR="00485555" w:rsidRPr="009179E5" w:rsidRDefault="00485555" w:rsidP="007615FE">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7615F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Īstenošanas laika grafiks</w:t>
            </w:r>
          </w:p>
        </w:tc>
        <w:tc>
          <w:tcPr>
            <w:tcW w:w="521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
              <w:gridCol w:w="1701"/>
              <w:gridCol w:w="1944"/>
            </w:tblGrid>
            <w:tr w:rsidR="00485555" w:rsidRPr="009179E5" w:rsidTr="001C33A4">
              <w:tc>
                <w:tcPr>
                  <w:tcW w:w="1021" w:type="dxa"/>
                </w:tcPr>
                <w:p w:rsidR="00485555" w:rsidRPr="009179E5" w:rsidRDefault="00485555" w:rsidP="007615F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Kārta </w:t>
                  </w:r>
                </w:p>
              </w:tc>
              <w:tc>
                <w:tcPr>
                  <w:tcW w:w="1701" w:type="dxa"/>
                </w:tcPr>
                <w:p w:rsidR="00485555" w:rsidRPr="009179E5" w:rsidRDefault="00485555" w:rsidP="007615F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Sākums </w:t>
                  </w:r>
                </w:p>
              </w:tc>
              <w:tc>
                <w:tcPr>
                  <w:tcW w:w="1944" w:type="dxa"/>
                </w:tcPr>
                <w:p w:rsidR="00485555" w:rsidRPr="009179E5" w:rsidRDefault="00485555" w:rsidP="007615F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Beigas </w:t>
                  </w:r>
                </w:p>
              </w:tc>
            </w:tr>
            <w:tr w:rsidR="00485555" w:rsidRPr="009179E5" w:rsidTr="001C33A4">
              <w:tc>
                <w:tcPr>
                  <w:tcW w:w="1021" w:type="dxa"/>
                </w:tcPr>
                <w:p w:rsidR="00485555" w:rsidRPr="009179E5" w:rsidRDefault="00485555" w:rsidP="007615F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1.</w:t>
                  </w:r>
                </w:p>
              </w:tc>
              <w:tc>
                <w:tcPr>
                  <w:tcW w:w="1701" w:type="dxa"/>
                </w:tcPr>
                <w:p w:rsidR="00485555" w:rsidRPr="009179E5" w:rsidRDefault="00485555" w:rsidP="005C0D3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01</w:t>
                  </w:r>
                  <w:r w:rsidR="005C0D38" w:rsidRPr="009179E5">
                    <w:rPr>
                      <w:rFonts w:ascii="Times New Roman" w:hAnsi="Times New Roman"/>
                      <w:b/>
                      <w:szCs w:val="18"/>
                      <w:lang w:val="lv-LV"/>
                    </w:rPr>
                    <w:t>.</w:t>
                  </w:r>
                  <w:r w:rsidRPr="009179E5">
                    <w:rPr>
                      <w:rFonts w:ascii="Times New Roman" w:hAnsi="Times New Roman"/>
                      <w:b/>
                      <w:szCs w:val="18"/>
                      <w:lang w:val="lv-LV"/>
                    </w:rPr>
                    <w:t>01</w:t>
                  </w:r>
                  <w:r w:rsidR="005C0D38" w:rsidRPr="009179E5">
                    <w:rPr>
                      <w:rFonts w:ascii="Times New Roman" w:hAnsi="Times New Roman"/>
                      <w:b/>
                      <w:szCs w:val="18"/>
                      <w:lang w:val="lv-LV"/>
                    </w:rPr>
                    <w:t>.</w:t>
                  </w:r>
                  <w:r w:rsidRPr="009179E5">
                    <w:rPr>
                      <w:rFonts w:ascii="Times New Roman" w:hAnsi="Times New Roman"/>
                      <w:b/>
                      <w:szCs w:val="18"/>
                      <w:lang w:val="lv-LV"/>
                    </w:rPr>
                    <w:t>2010</w:t>
                  </w:r>
                  <w:r w:rsidR="005C0D38" w:rsidRPr="009179E5">
                    <w:rPr>
                      <w:rFonts w:ascii="Times New Roman" w:hAnsi="Times New Roman"/>
                      <w:b/>
                      <w:szCs w:val="18"/>
                      <w:lang w:val="lv-LV"/>
                    </w:rPr>
                    <w:t>.</w:t>
                  </w:r>
                </w:p>
              </w:tc>
              <w:tc>
                <w:tcPr>
                  <w:tcW w:w="1944" w:type="dxa"/>
                </w:tcPr>
                <w:p w:rsidR="00485555" w:rsidRPr="009179E5" w:rsidRDefault="007B68DE" w:rsidP="007615F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w:t>
                  </w:r>
                </w:p>
              </w:tc>
            </w:tr>
          </w:tbl>
          <w:p w:rsidR="00485555" w:rsidRPr="009179E5" w:rsidRDefault="00485555" w:rsidP="007615FE">
            <w:pPr>
              <w:pStyle w:val="Tabletext"/>
              <w:tabs>
                <w:tab w:val="left" w:pos="1440"/>
                <w:tab w:val="left" w:pos="5040"/>
              </w:tabs>
              <w:spacing w:before="0" w:after="0" w:line="240" w:lineRule="auto"/>
              <w:rPr>
                <w:rFonts w:ascii="Times New Roman" w:hAnsi="Times New Roman"/>
                <w:b/>
                <w:szCs w:val="18"/>
                <w:lang w:val="lv-LV"/>
              </w:rPr>
            </w:pPr>
          </w:p>
        </w:tc>
      </w:tr>
      <w:tr w:rsidR="00485555" w:rsidRPr="009179E5" w:rsidTr="007615FE">
        <w:trPr>
          <w:trHeight w:val="476"/>
        </w:trPr>
        <w:tc>
          <w:tcPr>
            <w:tcW w:w="1198" w:type="dxa"/>
            <w:vMerge/>
          </w:tcPr>
          <w:p w:rsidR="00485555" w:rsidRPr="009179E5" w:rsidRDefault="00485555" w:rsidP="007615FE">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7615F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Mērķis</w:t>
            </w:r>
          </w:p>
        </w:tc>
        <w:tc>
          <w:tcPr>
            <w:tcW w:w="5215" w:type="dxa"/>
          </w:tcPr>
          <w:p w:rsidR="00485555" w:rsidRPr="009179E5" w:rsidRDefault="00485555" w:rsidP="007615F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Pilnveidojot un optimizējot sabiedriskā transporta maršrutu tīklu tiks samazināts nelietderīgi izmantojamās degvielas patēriņš</w:t>
            </w:r>
          </w:p>
        </w:tc>
      </w:tr>
      <w:tr w:rsidR="00485555" w:rsidRPr="009179E5" w:rsidTr="007615FE">
        <w:trPr>
          <w:trHeight w:val="476"/>
        </w:trPr>
        <w:tc>
          <w:tcPr>
            <w:tcW w:w="1198" w:type="dxa"/>
            <w:vMerge/>
          </w:tcPr>
          <w:p w:rsidR="00485555" w:rsidRPr="009179E5" w:rsidRDefault="00485555" w:rsidP="007615FE">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7615F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galapatēriņa sektors</w:t>
            </w:r>
          </w:p>
        </w:tc>
        <w:tc>
          <w:tcPr>
            <w:tcW w:w="5215" w:type="dxa"/>
          </w:tcPr>
          <w:p w:rsidR="00485555" w:rsidRPr="009179E5" w:rsidRDefault="00485555" w:rsidP="007615F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Transports</w:t>
            </w:r>
          </w:p>
        </w:tc>
      </w:tr>
      <w:tr w:rsidR="00485555" w:rsidRPr="009179E5" w:rsidTr="007615FE">
        <w:trPr>
          <w:trHeight w:val="476"/>
        </w:trPr>
        <w:tc>
          <w:tcPr>
            <w:tcW w:w="1198" w:type="dxa"/>
            <w:vMerge/>
          </w:tcPr>
          <w:p w:rsidR="00485555" w:rsidRPr="009179E5" w:rsidRDefault="00485555" w:rsidP="007615FE">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7615F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Mērķauditorija</w:t>
            </w:r>
          </w:p>
        </w:tc>
        <w:tc>
          <w:tcPr>
            <w:tcW w:w="5215" w:type="dxa"/>
          </w:tcPr>
          <w:p w:rsidR="00485555" w:rsidRPr="009179E5" w:rsidRDefault="00485555" w:rsidP="007615FE">
            <w:pPr>
              <w:keepNext/>
              <w:spacing w:after="0" w:line="240" w:lineRule="auto"/>
              <w:jc w:val="both"/>
              <w:rPr>
                <w:rFonts w:ascii="Times New Roman" w:hAnsi="Times New Roman"/>
                <w:b/>
                <w:color w:val="000000"/>
                <w:sz w:val="20"/>
                <w:szCs w:val="20"/>
                <w:lang w:val="lv-LV" w:eastAsia="de-DE" w:bidi="lo-LA"/>
              </w:rPr>
            </w:pPr>
            <w:r w:rsidRPr="009179E5">
              <w:rPr>
                <w:rFonts w:ascii="Times New Roman" w:hAnsi="Times New Roman"/>
                <w:b/>
                <w:color w:val="000000"/>
                <w:sz w:val="20"/>
                <w:szCs w:val="20"/>
                <w:lang w:val="lv-LV" w:eastAsia="de-DE" w:bidi="lo-LA"/>
              </w:rPr>
              <w:t>Sabiedriskā transporta pakalpojumu pasūtītāji – ATD, plānošanas reģioni un pašvaldības, kā arī pakalpojumu sniedzēji – pārvadātāji, iedzīvotāji</w:t>
            </w:r>
          </w:p>
          <w:p w:rsidR="00485555" w:rsidRPr="009179E5" w:rsidRDefault="00485555" w:rsidP="007615FE">
            <w:pPr>
              <w:pStyle w:val="Tabletext"/>
              <w:tabs>
                <w:tab w:val="left" w:pos="1440"/>
                <w:tab w:val="left" w:pos="5040"/>
              </w:tabs>
              <w:spacing w:before="0" w:after="0" w:line="240" w:lineRule="auto"/>
              <w:rPr>
                <w:rFonts w:ascii="Times New Roman" w:hAnsi="Times New Roman"/>
                <w:b/>
                <w:szCs w:val="18"/>
                <w:lang w:val="lv-LV"/>
              </w:rPr>
            </w:pPr>
          </w:p>
        </w:tc>
      </w:tr>
      <w:tr w:rsidR="00485555" w:rsidRPr="009179E5" w:rsidTr="007615FE">
        <w:trPr>
          <w:trHeight w:val="476"/>
        </w:trPr>
        <w:tc>
          <w:tcPr>
            <w:tcW w:w="1198" w:type="dxa"/>
            <w:vMerge/>
          </w:tcPr>
          <w:p w:rsidR="00485555" w:rsidRPr="009179E5" w:rsidRDefault="00485555" w:rsidP="007615FE">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7615F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Pasākuma ieviešanas teritorija</w:t>
            </w:r>
          </w:p>
        </w:tc>
        <w:tc>
          <w:tcPr>
            <w:tcW w:w="5215" w:type="dxa"/>
          </w:tcPr>
          <w:p w:rsidR="00485555" w:rsidRPr="009179E5" w:rsidRDefault="00485555" w:rsidP="007615F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Latvijas Republika </w:t>
            </w:r>
          </w:p>
        </w:tc>
      </w:tr>
      <w:tr w:rsidR="00485555" w:rsidRPr="009179E5" w:rsidTr="007615FE">
        <w:trPr>
          <w:trHeight w:val="476"/>
        </w:trPr>
        <w:tc>
          <w:tcPr>
            <w:tcW w:w="1198" w:type="dxa"/>
            <w:vMerge w:val="restart"/>
          </w:tcPr>
          <w:p w:rsidR="00485555" w:rsidRPr="009179E5" w:rsidRDefault="00485555" w:rsidP="007615F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Informācija un ieviešana</w:t>
            </w:r>
          </w:p>
        </w:tc>
        <w:tc>
          <w:tcPr>
            <w:tcW w:w="2410" w:type="dxa"/>
          </w:tcPr>
          <w:p w:rsidR="00485555" w:rsidRPr="009179E5" w:rsidRDefault="00485555" w:rsidP="007615FE">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Enerģijas ietaupījumu sasniegšanas pasākumu saraksts un pasākuma pamatapraksts</w:t>
            </w:r>
          </w:p>
        </w:tc>
        <w:tc>
          <w:tcPr>
            <w:tcW w:w="5215" w:type="dxa"/>
          </w:tcPr>
          <w:p w:rsidR="00485555" w:rsidRPr="009179E5" w:rsidRDefault="00485555" w:rsidP="007615FE">
            <w:pPr>
              <w:pStyle w:val="Tabletext"/>
              <w:tabs>
                <w:tab w:val="left" w:pos="175"/>
                <w:tab w:val="left" w:pos="5040"/>
              </w:tabs>
              <w:spacing w:before="0" w:after="0" w:line="240" w:lineRule="auto"/>
              <w:rPr>
                <w:rFonts w:ascii="Times New Roman" w:hAnsi="Times New Roman"/>
                <w:b/>
                <w:color w:val="000000"/>
                <w:szCs w:val="18"/>
                <w:lang w:val="lv-LV"/>
              </w:rPr>
            </w:pPr>
            <w:r w:rsidRPr="009179E5">
              <w:rPr>
                <w:rFonts w:ascii="Times New Roman" w:hAnsi="Times New Roman"/>
                <w:b/>
                <w:szCs w:val="18"/>
                <w:lang w:val="lv-LV"/>
              </w:rPr>
              <w:t xml:space="preserve">- </w:t>
            </w:r>
            <w:r w:rsidRPr="009179E5">
              <w:rPr>
                <w:rFonts w:ascii="Times New Roman" w:hAnsi="Times New Roman"/>
                <w:b/>
                <w:color w:val="000000"/>
                <w:szCs w:val="18"/>
                <w:lang w:val="lv-LV"/>
              </w:rPr>
              <w:t>pārskatīt reģionālo paralēlu dzelzceļa un autobusu maršrutu dotēšanu, pārorientējot šādus autobusa maršrutus pasažieru nogādāšanai līdz dzelzceļa stacijām</w:t>
            </w:r>
          </w:p>
          <w:p w:rsidR="00485555" w:rsidRPr="009179E5" w:rsidRDefault="00485555" w:rsidP="007615FE">
            <w:pPr>
              <w:pStyle w:val="Tabletext"/>
              <w:tabs>
                <w:tab w:val="left" w:pos="175"/>
                <w:tab w:val="left" w:pos="5040"/>
              </w:tabs>
              <w:spacing w:before="0" w:after="0" w:line="240" w:lineRule="auto"/>
              <w:rPr>
                <w:rFonts w:ascii="Times New Roman" w:hAnsi="Times New Roman"/>
                <w:b/>
                <w:color w:val="000000"/>
                <w:szCs w:val="18"/>
                <w:lang w:val="lv-LV"/>
              </w:rPr>
            </w:pPr>
            <w:r w:rsidRPr="009179E5">
              <w:rPr>
                <w:rFonts w:ascii="Times New Roman" w:hAnsi="Times New Roman"/>
                <w:b/>
                <w:szCs w:val="18"/>
                <w:lang w:val="lv-LV"/>
              </w:rPr>
              <w:t xml:space="preserve">- </w:t>
            </w:r>
            <w:r w:rsidRPr="009179E5">
              <w:rPr>
                <w:rFonts w:ascii="Times New Roman" w:hAnsi="Times New Roman"/>
                <w:b/>
                <w:color w:val="000000"/>
                <w:szCs w:val="18"/>
                <w:lang w:val="lv-LV"/>
              </w:rPr>
              <w:t>pārskatīt starppilsētu paralēlu dzelzceļa un autobusu maršrutu dotēšanu, pārorientējot šādus autobusa maršrutus pasažieru nogādāšanai līdz dzelzceļa stacijām</w:t>
            </w:r>
          </w:p>
          <w:p w:rsidR="00485555" w:rsidRPr="009179E5" w:rsidRDefault="00485555" w:rsidP="007615FE">
            <w:pPr>
              <w:pStyle w:val="Tabletext"/>
              <w:tabs>
                <w:tab w:val="left" w:pos="175"/>
                <w:tab w:val="left" w:pos="5040"/>
              </w:tabs>
              <w:spacing w:before="0" w:after="0" w:line="240" w:lineRule="auto"/>
              <w:rPr>
                <w:rFonts w:ascii="Times New Roman" w:hAnsi="Times New Roman"/>
                <w:b/>
                <w:szCs w:val="18"/>
                <w:lang w:val="lv-LV"/>
              </w:rPr>
            </w:pPr>
            <w:r w:rsidRPr="009179E5">
              <w:rPr>
                <w:rFonts w:ascii="Times New Roman" w:hAnsi="Times New Roman"/>
                <w:b/>
                <w:color w:val="000000"/>
                <w:szCs w:val="18"/>
                <w:lang w:val="lv-LV"/>
              </w:rPr>
              <w:t>- uzlabojot sabiedriskā transporta maršrutu plānošanas sistēmu</w:t>
            </w:r>
          </w:p>
        </w:tc>
      </w:tr>
      <w:tr w:rsidR="00485555" w:rsidRPr="009179E5" w:rsidTr="007615FE">
        <w:trPr>
          <w:trHeight w:val="476"/>
        </w:trPr>
        <w:tc>
          <w:tcPr>
            <w:tcW w:w="1198" w:type="dxa"/>
            <w:vMerge/>
          </w:tcPr>
          <w:p w:rsidR="00485555" w:rsidRPr="009179E5" w:rsidRDefault="00485555" w:rsidP="007615FE">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7615F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Finansējuma avots</w:t>
            </w:r>
          </w:p>
        </w:tc>
        <w:tc>
          <w:tcPr>
            <w:tcW w:w="5215" w:type="dxa"/>
          </w:tcPr>
          <w:p w:rsidR="00485555" w:rsidRPr="009179E5" w:rsidRDefault="00485555" w:rsidP="007615F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 Valsts budžets</w:t>
            </w:r>
          </w:p>
          <w:p w:rsidR="00485555" w:rsidRPr="009179E5" w:rsidRDefault="00485555" w:rsidP="007615FE">
            <w:pPr>
              <w:pStyle w:val="Tabletext"/>
              <w:tabs>
                <w:tab w:val="left" w:pos="1440"/>
                <w:tab w:val="left" w:pos="5040"/>
              </w:tabs>
              <w:spacing w:before="0" w:after="0" w:line="240" w:lineRule="auto"/>
              <w:rPr>
                <w:rFonts w:ascii="Times New Roman" w:hAnsi="Times New Roman"/>
                <w:b/>
                <w:szCs w:val="18"/>
                <w:lang w:val="lv-LV"/>
              </w:rPr>
            </w:pPr>
          </w:p>
        </w:tc>
      </w:tr>
      <w:tr w:rsidR="00485555" w:rsidRPr="009179E5" w:rsidTr="007615FE">
        <w:trPr>
          <w:trHeight w:val="476"/>
        </w:trPr>
        <w:tc>
          <w:tcPr>
            <w:tcW w:w="1198" w:type="dxa"/>
            <w:vMerge/>
          </w:tcPr>
          <w:p w:rsidR="00485555" w:rsidRPr="009179E5" w:rsidRDefault="00485555" w:rsidP="007615FE">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7615F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Ieviesējs</w:t>
            </w:r>
          </w:p>
        </w:tc>
        <w:tc>
          <w:tcPr>
            <w:tcW w:w="5215" w:type="dxa"/>
          </w:tcPr>
          <w:p w:rsidR="00485555" w:rsidRPr="009179E5" w:rsidRDefault="00485555" w:rsidP="007615F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Satiksmes ministrija</w:t>
            </w:r>
          </w:p>
        </w:tc>
      </w:tr>
      <w:tr w:rsidR="00485555" w:rsidRPr="009179E5" w:rsidTr="007615FE">
        <w:trPr>
          <w:trHeight w:val="476"/>
        </w:trPr>
        <w:tc>
          <w:tcPr>
            <w:tcW w:w="1198" w:type="dxa"/>
            <w:vMerge/>
          </w:tcPr>
          <w:p w:rsidR="00485555" w:rsidRPr="009179E5" w:rsidRDefault="00485555" w:rsidP="007615FE">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85555" w:rsidRPr="009179E5" w:rsidRDefault="00485555" w:rsidP="007615FE">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Monitoringa (kontroles) institūcija</w:t>
            </w:r>
          </w:p>
        </w:tc>
        <w:tc>
          <w:tcPr>
            <w:tcW w:w="5215" w:type="dxa"/>
          </w:tcPr>
          <w:p w:rsidR="00485555" w:rsidRPr="009179E5" w:rsidRDefault="00485555" w:rsidP="007615F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VSIA „Autotransporta direkcija”</w:t>
            </w:r>
          </w:p>
        </w:tc>
      </w:tr>
      <w:tr w:rsidR="00485555" w:rsidRPr="009179E5" w:rsidTr="007615FE">
        <w:trPr>
          <w:trHeight w:val="476"/>
        </w:trPr>
        <w:tc>
          <w:tcPr>
            <w:tcW w:w="1198" w:type="dxa"/>
          </w:tcPr>
          <w:p w:rsidR="00485555" w:rsidRPr="009179E5" w:rsidRDefault="00485555" w:rsidP="007615F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ietaupījumi</w:t>
            </w:r>
          </w:p>
        </w:tc>
        <w:tc>
          <w:tcPr>
            <w:tcW w:w="2410" w:type="dxa"/>
          </w:tcPr>
          <w:p w:rsidR="00485555" w:rsidRPr="009179E5" w:rsidRDefault="00485555" w:rsidP="007615FE">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Sasniegto enerģijas ietaupījumu aprēķina metode</w:t>
            </w:r>
          </w:p>
        </w:tc>
        <w:tc>
          <w:tcPr>
            <w:tcW w:w="5215" w:type="dxa"/>
          </w:tcPr>
          <w:p w:rsidR="00485555" w:rsidRPr="009179E5" w:rsidRDefault="00485555" w:rsidP="00EF67D6">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Lejup</w:t>
            </w:r>
            <w:r w:rsidR="00EF67D6" w:rsidRPr="009179E5">
              <w:rPr>
                <w:rFonts w:ascii="Times New Roman" w:hAnsi="Times New Roman"/>
                <w:b/>
                <w:szCs w:val="18"/>
                <w:lang w:val="lv-LV"/>
              </w:rPr>
              <w:t>vērstā</w:t>
            </w:r>
          </w:p>
        </w:tc>
      </w:tr>
    </w:tbl>
    <w:p w:rsidR="004F7F14" w:rsidRPr="009179E5" w:rsidRDefault="004F7F14" w:rsidP="00427E86">
      <w:pPr>
        <w:pStyle w:val="Caption"/>
        <w:spacing w:after="0" w:line="240" w:lineRule="auto"/>
        <w:jc w:val="right"/>
        <w:rPr>
          <w:rFonts w:ascii="Times New Roman" w:hAnsi="Times New Roman"/>
          <w:sz w:val="24"/>
          <w:szCs w:val="24"/>
          <w:lang w:val="lv-LV"/>
        </w:rPr>
      </w:pPr>
    </w:p>
    <w:p w:rsidR="00F05BF3" w:rsidRPr="009179E5" w:rsidRDefault="00F05BF3" w:rsidP="00F05BF3">
      <w:pPr>
        <w:pStyle w:val="Heading4"/>
        <w:numPr>
          <w:ilvl w:val="0"/>
          <w:numId w:val="0"/>
        </w:numPr>
        <w:spacing w:before="120" w:line="240" w:lineRule="auto"/>
        <w:jc w:val="center"/>
        <w:rPr>
          <w:rFonts w:ascii="Times New Roman Bold" w:hAnsi="Times New Roman Bold"/>
          <w:b/>
          <w:i w:val="0"/>
          <w:caps/>
          <w:color w:val="auto"/>
          <w:sz w:val="28"/>
          <w:u w:val="none"/>
          <w:lang w:val="lv-LV"/>
        </w:rPr>
      </w:pPr>
    </w:p>
    <w:p w:rsidR="00DA4CAF" w:rsidRPr="009179E5" w:rsidRDefault="00A5025A" w:rsidP="004F7F14">
      <w:pPr>
        <w:pStyle w:val="Heading4"/>
        <w:numPr>
          <w:ilvl w:val="0"/>
          <w:numId w:val="0"/>
        </w:numPr>
        <w:spacing w:line="240" w:lineRule="auto"/>
        <w:jc w:val="center"/>
        <w:rPr>
          <w:rFonts w:ascii="Times New Roman" w:hAnsi="Times New Roman"/>
          <w:b/>
          <w:color w:val="000000"/>
          <w:sz w:val="28"/>
          <w:lang w:val="lv-LV" w:eastAsia="lv-LV"/>
        </w:rPr>
      </w:pPr>
      <w:bookmarkStart w:id="33" w:name="_Toc300320578"/>
      <w:r w:rsidRPr="009179E5">
        <w:rPr>
          <w:rFonts w:ascii="Times New Roman Bold" w:hAnsi="Times New Roman Bold"/>
          <w:b/>
          <w:i w:val="0"/>
          <w:caps/>
          <w:color w:val="auto"/>
          <w:sz w:val="28"/>
          <w:u w:val="none"/>
          <w:lang w:val="lv-LV"/>
        </w:rPr>
        <w:t>4.3</w:t>
      </w:r>
      <w:r w:rsidR="000E17C9" w:rsidRPr="009179E5">
        <w:rPr>
          <w:rFonts w:ascii="Times New Roman Bold" w:hAnsi="Times New Roman Bold"/>
          <w:b/>
          <w:i w:val="0"/>
          <w:caps/>
          <w:color w:val="auto"/>
          <w:sz w:val="28"/>
          <w:u w:val="none"/>
          <w:lang w:val="lv-LV"/>
        </w:rPr>
        <w:t>.</w:t>
      </w:r>
      <w:r w:rsidRPr="009179E5">
        <w:rPr>
          <w:rFonts w:ascii="Times New Roman Bold" w:hAnsi="Times New Roman Bold"/>
          <w:b/>
          <w:i w:val="0"/>
          <w:caps/>
          <w:color w:val="auto"/>
          <w:sz w:val="28"/>
          <w:u w:val="none"/>
          <w:lang w:val="lv-LV"/>
        </w:rPr>
        <w:t xml:space="preserve"> </w:t>
      </w:r>
      <w:r w:rsidR="00DA4CAF" w:rsidRPr="009179E5">
        <w:rPr>
          <w:rFonts w:ascii="Times New Roman Bold" w:hAnsi="Times New Roman Bold"/>
          <w:b/>
          <w:i w:val="0"/>
          <w:caps/>
          <w:color w:val="auto"/>
          <w:sz w:val="28"/>
          <w:u w:val="none"/>
          <w:lang w:val="lv-LV"/>
        </w:rPr>
        <w:t>Pakalpojumu sektors</w:t>
      </w:r>
      <w:bookmarkEnd w:id="33"/>
    </w:p>
    <w:p w:rsidR="007A26BB" w:rsidRPr="001960CF" w:rsidRDefault="00E70641" w:rsidP="001960CF">
      <w:pPr>
        <w:spacing w:before="120" w:after="120" w:line="240" w:lineRule="auto"/>
        <w:jc w:val="both"/>
        <w:rPr>
          <w:rFonts w:ascii="Times New Roman" w:hAnsi="Times New Roman"/>
          <w:sz w:val="28"/>
          <w:szCs w:val="28"/>
          <w:lang w:val="lv-LV" w:eastAsia="lv-LV"/>
        </w:rPr>
      </w:pPr>
      <w:r w:rsidRPr="003B66D9">
        <w:rPr>
          <w:rFonts w:ascii="Times New Roman" w:hAnsi="Times New Roman"/>
          <w:color w:val="000000"/>
          <w:sz w:val="28"/>
          <w:szCs w:val="28"/>
          <w:lang w:val="lv-LV" w:eastAsia="lv-LV"/>
        </w:rPr>
        <w:t>Pakalpojumu nozare 2010</w:t>
      </w:r>
      <w:r w:rsidR="00DA4CAF" w:rsidRPr="003B66D9">
        <w:rPr>
          <w:rFonts w:ascii="Times New Roman" w:hAnsi="Times New Roman"/>
          <w:color w:val="000000"/>
          <w:sz w:val="28"/>
          <w:szCs w:val="28"/>
          <w:lang w:val="lv-LV" w:eastAsia="lv-LV"/>
        </w:rPr>
        <w:t>.gadā veido 1</w:t>
      </w:r>
      <w:r w:rsidRPr="003B66D9">
        <w:rPr>
          <w:rFonts w:ascii="Times New Roman" w:hAnsi="Times New Roman"/>
          <w:color w:val="000000"/>
          <w:sz w:val="28"/>
          <w:szCs w:val="28"/>
          <w:lang w:val="lv-LV" w:eastAsia="lv-LV"/>
        </w:rPr>
        <w:t>4,</w:t>
      </w:r>
      <w:r w:rsidR="00DA4CAF" w:rsidRPr="003B66D9">
        <w:rPr>
          <w:rFonts w:ascii="Times New Roman" w:hAnsi="Times New Roman"/>
          <w:color w:val="000000"/>
          <w:sz w:val="28"/>
          <w:szCs w:val="28"/>
          <w:lang w:val="lv-LV" w:eastAsia="lv-LV"/>
        </w:rPr>
        <w:t>5% no kopējā enerģijas patēriņa.</w:t>
      </w:r>
      <w:r w:rsidR="00DA4CAF" w:rsidRPr="009179E5">
        <w:rPr>
          <w:rFonts w:ascii="Times New Roman" w:hAnsi="Times New Roman"/>
          <w:color w:val="000000"/>
          <w:sz w:val="28"/>
          <w:szCs w:val="28"/>
          <w:lang w:val="lv-LV" w:eastAsia="lv-LV"/>
        </w:rPr>
        <w:t xml:space="preserve"> </w:t>
      </w:r>
      <w:r w:rsidR="00DA4CAF" w:rsidRPr="001960CF">
        <w:rPr>
          <w:rFonts w:ascii="Times New Roman" w:hAnsi="Times New Roman"/>
          <w:sz w:val="28"/>
          <w:szCs w:val="28"/>
          <w:lang w:val="lv-LV" w:eastAsia="lv-LV"/>
        </w:rPr>
        <w:t>Pakalpojumu sektorā ietilpst valsts pārvalde, izglītība, veselības aprūpe, sakaru nodrošināšana, infor</w:t>
      </w:r>
      <w:r w:rsidR="00CF4BD7" w:rsidRPr="001960CF">
        <w:rPr>
          <w:rFonts w:ascii="Times New Roman" w:hAnsi="Times New Roman"/>
          <w:sz w:val="28"/>
          <w:szCs w:val="28"/>
          <w:lang w:val="lv-LV" w:eastAsia="lv-LV"/>
        </w:rPr>
        <w:t>mācijas un biznesa pakalpojumi.</w:t>
      </w:r>
    </w:p>
    <w:p w:rsidR="00DC7E7C" w:rsidRPr="001960CF" w:rsidRDefault="00C13D77" w:rsidP="001960CF">
      <w:pPr>
        <w:spacing w:line="240" w:lineRule="auto"/>
        <w:jc w:val="both"/>
        <w:rPr>
          <w:rFonts w:ascii="Times New Roman" w:hAnsi="Times New Roman"/>
          <w:sz w:val="28"/>
          <w:szCs w:val="28"/>
          <w:lang w:val="lv-LV"/>
        </w:rPr>
      </w:pPr>
      <w:r w:rsidRPr="001960CF">
        <w:rPr>
          <w:rFonts w:ascii="Times New Roman" w:hAnsi="Times New Roman"/>
          <w:sz w:val="28"/>
          <w:szCs w:val="28"/>
          <w:lang w:val="lv-LV" w:eastAsia="lv-LV"/>
        </w:rPr>
        <w:t>2.EERP</w:t>
      </w:r>
      <w:r w:rsidR="00DA4CAF" w:rsidRPr="001960CF">
        <w:rPr>
          <w:rFonts w:ascii="Times New Roman" w:hAnsi="Times New Roman"/>
          <w:sz w:val="28"/>
          <w:szCs w:val="28"/>
          <w:lang w:val="lv-LV" w:eastAsia="lv-LV"/>
        </w:rPr>
        <w:t xml:space="preserve"> iekļauti tie pasākumi, kuriem jau ir pieejams KPFI finansējums. KPFI līdzekļus administrē Vides aizsardzības un reģionālās attīstības ministrija. Šie finanšu līdzekļi pieejami tikai tām aktivitātēm par kurām ir panākta vienošanās atsevišķu starptautisko līgumu ietvaros. Tā kā šo līgu</w:t>
      </w:r>
      <w:r w:rsidR="00FF6239" w:rsidRPr="001960CF">
        <w:rPr>
          <w:rFonts w:ascii="Times New Roman" w:hAnsi="Times New Roman"/>
          <w:sz w:val="28"/>
          <w:szCs w:val="28"/>
          <w:lang w:val="lv-LV" w:eastAsia="lv-LV"/>
        </w:rPr>
        <w:t xml:space="preserve">mu rezultātā ir jāpanāk būtisks </w:t>
      </w:r>
      <w:r w:rsidR="00DA4CAF" w:rsidRPr="001960CF">
        <w:rPr>
          <w:rFonts w:ascii="Times New Roman" w:hAnsi="Times New Roman"/>
          <w:sz w:val="28"/>
          <w:szCs w:val="28"/>
          <w:lang w:val="lv-LV" w:eastAsia="lv-LV"/>
        </w:rPr>
        <w:t>CO</w:t>
      </w:r>
      <w:r w:rsidR="00DA4CAF" w:rsidRPr="001960CF">
        <w:rPr>
          <w:rFonts w:ascii="Times New Roman" w:hAnsi="Times New Roman"/>
          <w:sz w:val="28"/>
          <w:szCs w:val="28"/>
          <w:vertAlign w:val="subscript"/>
          <w:lang w:val="lv-LV" w:eastAsia="lv-LV"/>
        </w:rPr>
        <w:t>2</w:t>
      </w:r>
      <w:r w:rsidR="00DA4CAF" w:rsidRPr="001960CF">
        <w:rPr>
          <w:rFonts w:ascii="Times New Roman" w:hAnsi="Times New Roman"/>
          <w:sz w:val="28"/>
          <w:szCs w:val="28"/>
          <w:lang w:val="lv-LV" w:eastAsia="lv-LV"/>
        </w:rPr>
        <w:t xml:space="preserve"> izmešu samazinājums, tad energoefektivitātes pasākumi ne vienmēr ir noteicošais faktors. Tomēr sagaidāms, ka arī turpmāk KPFI finanšu līdzekļi būs pieejami atsevišķu energoefektivitātes pasākumu realizācijai</w:t>
      </w:r>
      <w:r w:rsidR="000D6F81" w:rsidRPr="001960CF">
        <w:rPr>
          <w:rFonts w:ascii="Times New Roman" w:hAnsi="Times New Roman"/>
          <w:sz w:val="28"/>
          <w:szCs w:val="28"/>
          <w:lang w:val="lv-LV" w:eastAsia="lv-LV"/>
        </w:rPr>
        <w:t>, tostarp s</w:t>
      </w:r>
      <w:r w:rsidR="000D6F81" w:rsidRPr="001960CF">
        <w:rPr>
          <w:rFonts w:ascii="Times New Roman" w:hAnsi="Times New Roman"/>
          <w:sz w:val="28"/>
          <w:szCs w:val="28"/>
          <w:lang w:val="lv-LV"/>
        </w:rPr>
        <w:t xml:space="preserve">iltumnīcefektu gāzu emisiju samazināšanai pašvaldību publisko teritoriju apgaismojuma infrastruktūrā. </w:t>
      </w:r>
    </w:p>
    <w:p w:rsidR="001960CF" w:rsidRDefault="001960CF" w:rsidP="00AD7801">
      <w:pPr>
        <w:pStyle w:val="Caption"/>
        <w:spacing w:after="0" w:line="240" w:lineRule="auto"/>
        <w:jc w:val="right"/>
        <w:rPr>
          <w:rFonts w:ascii="Times New Roman" w:hAnsi="Times New Roman"/>
          <w:sz w:val="24"/>
          <w:szCs w:val="24"/>
          <w:lang w:val="lv-LV"/>
        </w:rPr>
      </w:pPr>
    </w:p>
    <w:p w:rsidR="001960CF" w:rsidRDefault="001960CF" w:rsidP="00AD7801">
      <w:pPr>
        <w:pStyle w:val="Caption"/>
        <w:spacing w:after="0" w:line="240" w:lineRule="auto"/>
        <w:jc w:val="right"/>
        <w:rPr>
          <w:rFonts w:ascii="Times New Roman" w:hAnsi="Times New Roman"/>
          <w:sz w:val="24"/>
          <w:szCs w:val="24"/>
          <w:lang w:val="lv-LV"/>
        </w:rPr>
      </w:pPr>
    </w:p>
    <w:p w:rsidR="001960CF" w:rsidRDefault="001960CF" w:rsidP="00AD7801">
      <w:pPr>
        <w:pStyle w:val="Caption"/>
        <w:spacing w:after="0" w:line="240" w:lineRule="auto"/>
        <w:jc w:val="right"/>
        <w:rPr>
          <w:rFonts w:ascii="Times New Roman" w:hAnsi="Times New Roman"/>
          <w:sz w:val="24"/>
          <w:szCs w:val="24"/>
          <w:lang w:val="lv-LV"/>
        </w:rPr>
      </w:pPr>
    </w:p>
    <w:p w:rsidR="001960CF" w:rsidRDefault="001960CF" w:rsidP="00AD7801">
      <w:pPr>
        <w:pStyle w:val="Caption"/>
        <w:spacing w:after="0" w:line="240" w:lineRule="auto"/>
        <w:jc w:val="right"/>
        <w:rPr>
          <w:rFonts w:ascii="Times New Roman" w:hAnsi="Times New Roman"/>
          <w:sz w:val="24"/>
          <w:szCs w:val="24"/>
          <w:lang w:val="lv-LV"/>
        </w:rPr>
      </w:pPr>
    </w:p>
    <w:p w:rsidR="001960CF" w:rsidRDefault="001960CF" w:rsidP="00AD7801">
      <w:pPr>
        <w:pStyle w:val="Caption"/>
        <w:spacing w:after="0" w:line="240" w:lineRule="auto"/>
        <w:jc w:val="right"/>
        <w:rPr>
          <w:rFonts w:ascii="Times New Roman" w:hAnsi="Times New Roman"/>
          <w:sz w:val="24"/>
          <w:szCs w:val="24"/>
          <w:lang w:val="lv-LV"/>
        </w:rPr>
      </w:pPr>
    </w:p>
    <w:p w:rsidR="001960CF" w:rsidRDefault="001960CF" w:rsidP="00AD7801">
      <w:pPr>
        <w:pStyle w:val="Caption"/>
        <w:spacing w:after="0" w:line="240" w:lineRule="auto"/>
        <w:jc w:val="right"/>
        <w:rPr>
          <w:rFonts w:ascii="Times New Roman" w:hAnsi="Times New Roman"/>
          <w:sz w:val="24"/>
          <w:szCs w:val="24"/>
          <w:lang w:val="lv-LV"/>
        </w:rPr>
      </w:pPr>
    </w:p>
    <w:p w:rsidR="001960CF" w:rsidRDefault="001960CF" w:rsidP="00AD7801">
      <w:pPr>
        <w:pStyle w:val="Caption"/>
        <w:spacing w:after="0" w:line="240" w:lineRule="auto"/>
        <w:jc w:val="right"/>
        <w:rPr>
          <w:rFonts w:ascii="Times New Roman" w:hAnsi="Times New Roman"/>
          <w:sz w:val="24"/>
          <w:szCs w:val="24"/>
          <w:lang w:val="lv-LV"/>
        </w:rPr>
      </w:pPr>
    </w:p>
    <w:p w:rsidR="001960CF" w:rsidRDefault="001960CF" w:rsidP="00AD7801">
      <w:pPr>
        <w:pStyle w:val="Caption"/>
        <w:spacing w:after="0" w:line="240" w:lineRule="auto"/>
        <w:jc w:val="right"/>
        <w:rPr>
          <w:rFonts w:ascii="Times New Roman" w:hAnsi="Times New Roman"/>
          <w:sz w:val="24"/>
          <w:szCs w:val="24"/>
          <w:lang w:val="lv-LV"/>
        </w:rPr>
      </w:pPr>
    </w:p>
    <w:p w:rsidR="001960CF" w:rsidRDefault="001960CF" w:rsidP="00AD7801">
      <w:pPr>
        <w:pStyle w:val="Caption"/>
        <w:spacing w:after="0" w:line="240" w:lineRule="auto"/>
        <w:jc w:val="right"/>
        <w:rPr>
          <w:rFonts w:ascii="Times New Roman" w:hAnsi="Times New Roman"/>
          <w:sz w:val="24"/>
          <w:szCs w:val="24"/>
          <w:lang w:val="lv-LV"/>
        </w:rPr>
      </w:pPr>
    </w:p>
    <w:p w:rsidR="001960CF" w:rsidRDefault="001960CF" w:rsidP="00AD7801">
      <w:pPr>
        <w:pStyle w:val="Caption"/>
        <w:spacing w:after="0" w:line="240" w:lineRule="auto"/>
        <w:jc w:val="right"/>
        <w:rPr>
          <w:rFonts w:ascii="Times New Roman" w:hAnsi="Times New Roman"/>
          <w:sz w:val="24"/>
          <w:szCs w:val="24"/>
          <w:lang w:val="lv-LV"/>
        </w:rPr>
      </w:pPr>
    </w:p>
    <w:p w:rsidR="001960CF" w:rsidRDefault="001960CF" w:rsidP="00AD7801">
      <w:pPr>
        <w:pStyle w:val="Caption"/>
        <w:spacing w:after="0" w:line="240" w:lineRule="auto"/>
        <w:jc w:val="right"/>
        <w:rPr>
          <w:rFonts w:ascii="Times New Roman" w:hAnsi="Times New Roman"/>
          <w:sz w:val="24"/>
          <w:szCs w:val="24"/>
          <w:lang w:val="lv-LV"/>
        </w:rPr>
      </w:pPr>
    </w:p>
    <w:p w:rsidR="001960CF" w:rsidRDefault="001960CF" w:rsidP="00AD7801">
      <w:pPr>
        <w:pStyle w:val="Caption"/>
        <w:spacing w:after="0" w:line="240" w:lineRule="auto"/>
        <w:jc w:val="right"/>
        <w:rPr>
          <w:rFonts w:ascii="Times New Roman" w:hAnsi="Times New Roman"/>
          <w:sz w:val="24"/>
          <w:szCs w:val="24"/>
          <w:lang w:val="lv-LV"/>
        </w:rPr>
      </w:pPr>
    </w:p>
    <w:p w:rsidR="00DA4CAF" w:rsidRPr="009179E5" w:rsidRDefault="00B7265B" w:rsidP="00AD7801">
      <w:pPr>
        <w:pStyle w:val="Caption"/>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lastRenderedPageBreak/>
        <w:t>1</w:t>
      </w:r>
      <w:r w:rsidR="00C33D32" w:rsidRPr="009179E5">
        <w:rPr>
          <w:rFonts w:ascii="Times New Roman" w:hAnsi="Times New Roman"/>
          <w:sz w:val="24"/>
          <w:szCs w:val="24"/>
          <w:lang w:val="lv-LV"/>
        </w:rPr>
        <w:t>5</w:t>
      </w:r>
      <w:r w:rsidR="00A5025A" w:rsidRPr="009179E5">
        <w:rPr>
          <w:rFonts w:ascii="Times New Roman" w:hAnsi="Times New Roman"/>
          <w:sz w:val="24"/>
          <w:szCs w:val="24"/>
          <w:lang w:val="lv-LV"/>
        </w:rPr>
        <w:t>.tabula</w:t>
      </w:r>
    </w:p>
    <w:p w:rsidR="00DA4CAF" w:rsidRPr="009179E5" w:rsidRDefault="00DA4CAF" w:rsidP="00AD7801">
      <w:pPr>
        <w:pStyle w:val="Caption"/>
        <w:spacing w:after="0" w:line="240" w:lineRule="auto"/>
        <w:jc w:val="center"/>
        <w:rPr>
          <w:rFonts w:ascii="Times New Roman" w:hAnsi="Times New Roman"/>
          <w:sz w:val="24"/>
          <w:szCs w:val="24"/>
          <w:lang w:val="lv-LV"/>
        </w:rPr>
      </w:pPr>
      <w:r w:rsidRPr="009179E5">
        <w:rPr>
          <w:rFonts w:ascii="Times New Roman" w:hAnsi="Times New Roman"/>
          <w:sz w:val="24"/>
          <w:szCs w:val="24"/>
          <w:lang w:val="lv-LV"/>
        </w:rPr>
        <w:t>Energoefektivitātes paaugstināšanas pasākum</w:t>
      </w:r>
      <w:r w:rsidR="00A5025A" w:rsidRPr="009179E5">
        <w:rPr>
          <w:rFonts w:ascii="Times New Roman" w:hAnsi="Times New Roman"/>
          <w:sz w:val="24"/>
          <w:szCs w:val="24"/>
          <w:lang w:val="lv-LV"/>
        </w:rPr>
        <w:t>u</w:t>
      </w:r>
      <w:r w:rsidRPr="009179E5">
        <w:rPr>
          <w:rFonts w:ascii="Times New Roman" w:hAnsi="Times New Roman"/>
          <w:sz w:val="24"/>
          <w:szCs w:val="24"/>
          <w:lang w:val="lv-LV"/>
        </w:rPr>
        <w:t xml:space="preserve"> pakalpojumu sektorā</w:t>
      </w:r>
      <w:r w:rsidR="00A5025A" w:rsidRPr="009179E5">
        <w:rPr>
          <w:rFonts w:ascii="Times New Roman" w:hAnsi="Times New Roman"/>
          <w:sz w:val="24"/>
          <w:szCs w:val="24"/>
          <w:lang w:val="lv-LV"/>
        </w:rPr>
        <w:t xml:space="preserve"> </w:t>
      </w:r>
      <w:r w:rsidRPr="009179E5">
        <w:rPr>
          <w:rFonts w:ascii="Times New Roman" w:hAnsi="Times New Roman"/>
          <w:sz w:val="24"/>
          <w:szCs w:val="24"/>
          <w:lang w:val="lv-LV"/>
        </w:rPr>
        <w:t>kopsavilkuma tabula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2"/>
        <w:gridCol w:w="2753"/>
        <w:gridCol w:w="2596"/>
        <w:gridCol w:w="906"/>
        <w:gridCol w:w="1474"/>
      </w:tblGrid>
      <w:tr w:rsidR="0001273E" w:rsidRPr="009179E5" w:rsidTr="004F7F14">
        <w:trPr>
          <w:jc w:val="center"/>
        </w:trPr>
        <w:tc>
          <w:tcPr>
            <w:tcW w:w="672" w:type="dxa"/>
          </w:tcPr>
          <w:p w:rsidR="0001273E" w:rsidRPr="009179E5" w:rsidRDefault="0001273E" w:rsidP="004F7F14">
            <w:pPr>
              <w:pStyle w:val="Tabletext"/>
              <w:keepNext/>
              <w:keepLines/>
              <w:spacing w:before="0" w:after="0" w:line="240" w:lineRule="auto"/>
              <w:jc w:val="center"/>
              <w:rPr>
                <w:rFonts w:ascii="Times New Roman" w:hAnsi="Times New Roman"/>
                <w:sz w:val="20"/>
                <w:lang w:val="lv-LV"/>
              </w:rPr>
            </w:pPr>
            <w:r w:rsidRPr="009179E5">
              <w:rPr>
                <w:rFonts w:ascii="Times New Roman" w:hAnsi="Times New Roman"/>
                <w:sz w:val="20"/>
                <w:lang w:val="lv-LV"/>
              </w:rPr>
              <w:t>Nr.</w:t>
            </w:r>
          </w:p>
        </w:tc>
        <w:tc>
          <w:tcPr>
            <w:tcW w:w="2753" w:type="dxa"/>
          </w:tcPr>
          <w:p w:rsidR="0001273E" w:rsidRPr="009179E5" w:rsidRDefault="0001273E" w:rsidP="004F7F14">
            <w:pPr>
              <w:pStyle w:val="Tabletext"/>
              <w:keepNext/>
              <w:keepLines/>
              <w:spacing w:before="0" w:after="0" w:line="240" w:lineRule="auto"/>
              <w:rPr>
                <w:rFonts w:ascii="Times New Roman" w:hAnsi="Times New Roman"/>
                <w:sz w:val="20"/>
                <w:lang w:val="lv-LV"/>
              </w:rPr>
            </w:pPr>
            <w:r w:rsidRPr="009179E5">
              <w:rPr>
                <w:rFonts w:ascii="Times New Roman" w:hAnsi="Times New Roman"/>
                <w:sz w:val="20"/>
                <w:lang w:val="lv-LV"/>
              </w:rPr>
              <w:t xml:space="preserve">Pasākums  </w:t>
            </w:r>
            <w:r w:rsidRPr="009179E5">
              <w:rPr>
                <w:rFonts w:ascii="Times New Roman" w:hAnsi="Times New Roman"/>
                <w:sz w:val="20"/>
                <w:lang w:val="lv-LV"/>
              </w:rPr>
              <w:br/>
            </w:r>
          </w:p>
        </w:tc>
        <w:tc>
          <w:tcPr>
            <w:tcW w:w="2596" w:type="dxa"/>
          </w:tcPr>
          <w:p w:rsidR="0001273E" w:rsidRPr="009179E5" w:rsidRDefault="0001273E" w:rsidP="004F7F14">
            <w:pPr>
              <w:pStyle w:val="Tabletext"/>
              <w:keepNext/>
              <w:keepLines/>
              <w:spacing w:before="0" w:after="0" w:line="240" w:lineRule="auto"/>
              <w:jc w:val="center"/>
              <w:rPr>
                <w:rFonts w:ascii="Times New Roman" w:hAnsi="Times New Roman"/>
                <w:sz w:val="20"/>
                <w:lang w:val="lv-LV"/>
              </w:rPr>
            </w:pPr>
            <w:r w:rsidRPr="009179E5">
              <w:rPr>
                <w:rFonts w:ascii="Times New Roman" w:hAnsi="Times New Roman"/>
                <w:sz w:val="20"/>
                <w:lang w:val="lv-LV"/>
              </w:rPr>
              <w:t>Mērķauditorija</w:t>
            </w:r>
          </w:p>
        </w:tc>
        <w:tc>
          <w:tcPr>
            <w:tcW w:w="906" w:type="dxa"/>
          </w:tcPr>
          <w:p w:rsidR="0001273E" w:rsidRPr="009179E5" w:rsidRDefault="0001273E" w:rsidP="004F7F14">
            <w:pPr>
              <w:pStyle w:val="Tabletext"/>
              <w:keepNext/>
              <w:keepLines/>
              <w:spacing w:before="0" w:after="0" w:line="240" w:lineRule="auto"/>
              <w:jc w:val="center"/>
              <w:rPr>
                <w:rFonts w:ascii="Times New Roman" w:hAnsi="Times New Roman"/>
                <w:sz w:val="20"/>
                <w:lang w:val="lv-LV"/>
              </w:rPr>
            </w:pPr>
            <w:r w:rsidRPr="009179E5">
              <w:rPr>
                <w:rFonts w:ascii="Times New Roman" w:hAnsi="Times New Roman"/>
                <w:sz w:val="20"/>
                <w:lang w:val="lv-LV"/>
              </w:rPr>
              <w:t>Periods</w:t>
            </w:r>
          </w:p>
        </w:tc>
        <w:tc>
          <w:tcPr>
            <w:tcW w:w="1474" w:type="dxa"/>
          </w:tcPr>
          <w:p w:rsidR="0001273E" w:rsidRPr="009179E5" w:rsidRDefault="0001273E" w:rsidP="004F7F14">
            <w:pPr>
              <w:pStyle w:val="Tabletext"/>
              <w:keepNext/>
              <w:keepLines/>
              <w:spacing w:before="0" w:after="0" w:line="240" w:lineRule="auto"/>
              <w:jc w:val="center"/>
              <w:rPr>
                <w:rFonts w:ascii="Times New Roman" w:hAnsi="Times New Roman"/>
                <w:sz w:val="20"/>
                <w:lang w:val="lv-LV"/>
              </w:rPr>
            </w:pPr>
            <w:r w:rsidRPr="009179E5">
              <w:rPr>
                <w:rFonts w:ascii="Times New Roman" w:hAnsi="Times New Roman"/>
                <w:sz w:val="20"/>
                <w:lang w:val="lv-LV"/>
              </w:rPr>
              <w:t>Sasniegtie enerģijas ietaupījumi</w:t>
            </w:r>
          </w:p>
          <w:p w:rsidR="0001273E" w:rsidRPr="009179E5" w:rsidRDefault="0001273E" w:rsidP="004F7F14">
            <w:pPr>
              <w:pStyle w:val="Tabletext"/>
              <w:keepNext/>
              <w:keepLines/>
              <w:spacing w:before="0" w:after="0" w:line="240" w:lineRule="auto"/>
              <w:jc w:val="center"/>
              <w:rPr>
                <w:rFonts w:ascii="Times New Roman" w:hAnsi="Times New Roman"/>
                <w:sz w:val="20"/>
                <w:lang w:val="lv-LV"/>
              </w:rPr>
            </w:pPr>
            <w:r w:rsidRPr="009179E5">
              <w:rPr>
                <w:rFonts w:ascii="Times New Roman" w:hAnsi="Times New Roman"/>
                <w:sz w:val="20"/>
                <w:lang w:val="lv-LV"/>
              </w:rPr>
              <w:t>2010 (GWh)</w:t>
            </w:r>
          </w:p>
        </w:tc>
      </w:tr>
      <w:tr w:rsidR="0001273E" w:rsidRPr="009179E5" w:rsidTr="004F7F14">
        <w:trPr>
          <w:jc w:val="center"/>
        </w:trPr>
        <w:tc>
          <w:tcPr>
            <w:tcW w:w="672" w:type="dxa"/>
          </w:tcPr>
          <w:p w:rsidR="0001273E" w:rsidRPr="009179E5" w:rsidRDefault="0001273E" w:rsidP="004F7F14">
            <w:pPr>
              <w:pStyle w:val="Tabletext"/>
              <w:keepNext/>
              <w:keepLines/>
              <w:spacing w:before="0" w:after="0" w:line="240" w:lineRule="auto"/>
              <w:rPr>
                <w:rFonts w:ascii="Times New Roman" w:hAnsi="Times New Roman"/>
                <w:sz w:val="20"/>
                <w:lang w:val="lv-LV"/>
              </w:rPr>
            </w:pPr>
            <w:r w:rsidRPr="009179E5">
              <w:rPr>
                <w:rFonts w:ascii="Times New Roman" w:hAnsi="Times New Roman"/>
                <w:sz w:val="20"/>
                <w:lang w:val="lv-LV"/>
              </w:rPr>
              <w:t>PA.3.1.</w:t>
            </w:r>
          </w:p>
        </w:tc>
        <w:tc>
          <w:tcPr>
            <w:tcW w:w="2753" w:type="dxa"/>
          </w:tcPr>
          <w:p w:rsidR="0001273E" w:rsidRPr="009179E5" w:rsidRDefault="0001273E" w:rsidP="004F7F14">
            <w:pPr>
              <w:pStyle w:val="Tabletext"/>
              <w:keepNext/>
              <w:keepLines/>
              <w:spacing w:before="0" w:after="0" w:line="240" w:lineRule="auto"/>
              <w:rPr>
                <w:rFonts w:ascii="Times New Roman" w:hAnsi="Times New Roman"/>
                <w:sz w:val="20"/>
                <w:lang w:val="lv-LV"/>
              </w:rPr>
            </w:pPr>
            <w:r w:rsidRPr="009179E5">
              <w:rPr>
                <w:rFonts w:ascii="Times New Roman" w:hAnsi="Times New Roman"/>
                <w:sz w:val="20"/>
                <w:lang w:val="lv-LV"/>
              </w:rPr>
              <w:t>Zema enerģijas patēriņa ēkas</w:t>
            </w:r>
          </w:p>
        </w:tc>
        <w:tc>
          <w:tcPr>
            <w:tcW w:w="2596" w:type="dxa"/>
          </w:tcPr>
          <w:p w:rsidR="0001273E" w:rsidRPr="009179E5" w:rsidRDefault="0001273E" w:rsidP="004F7F14">
            <w:pPr>
              <w:pStyle w:val="Tabletext"/>
              <w:keepNext/>
              <w:keepLines/>
              <w:spacing w:before="0" w:after="0" w:line="240" w:lineRule="auto"/>
              <w:rPr>
                <w:rFonts w:ascii="Times New Roman" w:hAnsi="Times New Roman"/>
                <w:sz w:val="20"/>
                <w:lang w:val="lv-LV"/>
              </w:rPr>
            </w:pPr>
            <w:r w:rsidRPr="009179E5">
              <w:rPr>
                <w:rFonts w:ascii="Times New Roman" w:hAnsi="Times New Roman"/>
                <w:sz w:val="20"/>
                <w:lang w:val="lv-LV"/>
              </w:rPr>
              <w:t>Tiešās vai pastarpinātās pārvaldes iestāde, Latvijas Republikas pilsētas vai novada pašvaldības dome, Latvijas Republikā reģistrēts sīkais (mikro), mazais vai vidējais komersants un fiziska persona</w:t>
            </w:r>
          </w:p>
        </w:tc>
        <w:tc>
          <w:tcPr>
            <w:tcW w:w="906" w:type="dxa"/>
          </w:tcPr>
          <w:p w:rsidR="0001273E" w:rsidRPr="009179E5" w:rsidRDefault="0001273E" w:rsidP="004F7F14">
            <w:pPr>
              <w:pStyle w:val="Tabletext"/>
              <w:keepNext/>
              <w:keepLines/>
              <w:spacing w:before="0" w:after="0" w:line="240" w:lineRule="auto"/>
              <w:rPr>
                <w:rFonts w:ascii="Times New Roman" w:hAnsi="Times New Roman"/>
                <w:sz w:val="20"/>
                <w:lang w:val="lv-LV"/>
              </w:rPr>
            </w:pPr>
            <w:r w:rsidRPr="009179E5">
              <w:rPr>
                <w:rFonts w:ascii="Times New Roman" w:hAnsi="Times New Roman"/>
                <w:sz w:val="20"/>
                <w:lang w:val="lv-LV"/>
              </w:rPr>
              <w:t>2011.-2012.</w:t>
            </w:r>
          </w:p>
        </w:tc>
        <w:tc>
          <w:tcPr>
            <w:tcW w:w="1474" w:type="dxa"/>
          </w:tcPr>
          <w:p w:rsidR="0001273E" w:rsidRPr="009179E5" w:rsidRDefault="0001273E" w:rsidP="004F7F14">
            <w:pPr>
              <w:pStyle w:val="Tabletext"/>
              <w:keepNext/>
              <w:keepLines/>
              <w:spacing w:before="0" w:after="0" w:line="240" w:lineRule="auto"/>
              <w:jc w:val="left"/>
              <w:rPr>
                <w:rFonts w:ascii="Times New Roman" w:hAnsi="Times New Roman"/>
                <w:sz w:val="20"/>
                <w:lang w:val="lv-LV"/>
              </w:rPr>
            </w:pPr>
            <w:r w:rsidRPr="009179E5">
              <w:rPr>
                <w:rFonts w:ascii="Times New Roman" w:hAnsi="Times New Roman"/>
                <w:sz w:val="20"/>
                <w:lang w:val="lv-LV"/>
              </w:rPr>
              <w:t>Pasākums realizēts pēc 2010.gada</w:t>
            </w:r>
          </w:p>
        </w:tc>
      </w:tr>
      <w:tr w:rsidR="0001273E" w:rsidRPr="009179E5" w:rsidTr="004F7F14">
        <w:trPr>
          <w:jc w:val="center"/>
        </w:trPr>
        <w:tc>
          <w:tcPr>
            <w:tcW w:w="672" w:type="dxa"/>
          </w:tcPr>
          <w:p w:rsidR="0001273E" w:rsidRPr="009179E5" w:rsidRDefault="0001273E" w:rsidP="004F7F14">
            <w:pPr>
              <w:pStyle w:val="Tabletext"/>
              <w:keepNext/>
              <w:keepLines/>
              <w:spacing w:before="0" w:after="0" w:line="240" w:lineRule="auto"/>
              <w:rPr>
                <w:rFonts w:ascii="Times New Roman" w:hAnsi="Times New Roman"/>
                <w:sz w:val="20"/>
                <w:lang w:val="lv-LV"/>
              </w:rPr>
            </w:pPr>
            <w:r w:rsidRPr="009179E5">
              <w:rPr>
                <w:rFonts w:ascii="Times New Roman" w:hAnsi="Times New Roman"/>
                <w:sz w:val="20"/>
                <w:lang w:val="lv-LV"/>
              </w:rPr>
              <w:t>PA.3.2.</w:t>
            </w:r>
          </w:p>
        </w:tc>
        <w:tc>
          <w:tcPr>
            <w:tcW w:w="2753" w:type="dxa"/>
          </w:tcPr>
          <w:p w:rsidR="0001273E" w:rsidRPr="009179E5" w:rsidRDefault="00E86DD9" w:rsidP="004F7F14">
            <w:pPr>
              <w:pStyle w:val="Tabletext"/>
              <w:keepNext/>
              <w:keepLines/>
              <w:spacing w:before="0" w:after="0" w:line="240" w:lineRule="auto"/>
              <w:rPr>
                <w:rFonts w:ascii="Times New Roman" w:hAnsi="Times New Roman"/>
                <w:b/>
                <w:sz w:val="20"/>
                <w:lang w:val="lv-LV"/>
              </w:rPr>
            </w:pPr>
            <w:hyperlink r:id="rId43" w:tgtFrame="_self" w:history="1">
              <w:r w:rsidR="0001273E" w:rsidRPr="009179E5">
                <w:rPr>
                  <w:rStyle w:val="Strong"/>
                  <w:rFonts w:ascii="Times New Roman" w:hAnsi="Times New Roman"/>
                  <w:b w:val="0"/>
                  <w:sz w:val="20"/>
                  <w:lang w:val="lv-LV"/>
                </w:rPr>
                <w:t>Energoefektivitātes paaugstināšana augstākās izglītības iestāžu ēkās</w:t>
              </w:r>
            </w:hyperlink>
          </w:p>
        </w:tc>
        <w:tc>
          <w:tcPr>
            <w:tcW w:w="2596" w:type="dxa"/>
          </w:tcPr>
          <w:p w:rsidR="0001273E" w:rsidRPr="009179E5" w:rsidRDefault="0001273E" w:rsidP="004F7F14">
            <w:pPr>
              <w:pStyle w:val="Tabletext"/>
              <w:keepNext/>
              <w:keepLines/>
              <w:spacing w:before="0" w:after="0" w:line="240" w:lineRule="auto"/>
              <w:rPr>
                <w:rFonts w:ascii="Times New Roman" w:hAnsi="Times New Roman"/>
                <w:sz w:val="20"/>
                <w:lang w:val="lv-LV"/>
              </w:rPr>
            </w:pPr>
            <w:r w:rsidRPr="009179E5">
              <w:rPr>
                <w:rFonts w:ascii="Times New Roman" w:hAnsi="Times New Roman"/>
                <w:sz w:val="20"/>
                <w:lang w:val="lv-LV"/>
              </w:rPr>
              <w:t>Tiešās vai pastarpinātās pārvaldes iestāde, Latvijas Republikas pilsētas vai novada pašvaldības dome, Latvijas Republikā reģistrēts sīkais (mikro), mazais vai vidējais komersants un fiziska persona</w:t>
            </w:r>
          </w:p>
        </w:tc>
        <w:tc>
          <w:tcPr>
            <w:tcW w:w="906" w:type="dxa"/>
          </w:tcPr>
          <w:p w:rsidR="0001273E" w:rsidRPr="009179E5" w:rsidRDefault="0001273E" w:rsidP="004F7F14">
            <w:pPr>
              <w:spacing w:after="0" w:line="240" w:lineRule="auto"/>
              <w:rPr>
                <w:rFonts w:ascii="Times New Roman" w:hAnsi="Times New Roman"/>
                <w:sz w:val="20"/>
                <w:szCs w:val="20"/>
                <w:lang w:val="lv-LV"/>
              </w:rPr>
            </w:pPr>
            <w:r w:rsidRPr="009179E5">
              <w:rPr>
                <w:rFonts w:ascii="Times New Roman" w:hAnsi="Times New Roman"/>
                <w:sz w:val="20"/>
                <w:szCs w:val="20"/>
                <w:lang w:val="lv-LV"/>
              </w:rPr>
              <w:t>2011.</w:t>
            </w:r>
          </w:p>
        </w:tc>
        <w:tc>
          <w:tcPr>
            <w:tcW w:w="1474" w:type="dxa"/>
          </w:tcPr>
          <w:p w:rsidR="0001273E" w:rsidRPr="009179E5" w:rsidRDefault="0001273E" w:rsidP="004F7F14">
            <w:pPr>
              <w:pStyle w:val="Tabletext"/>
              <w:keepNext/>
              <w:keepLines/>
              <w:spacing w:before="0" w:after="0" w:line="240" w:lineRule="auto"/>
              <w:jc w:val="left"/>
              <w:rPr>
                <w:rFonts w:ascii="Times New Roman" w:hAnsi="Times New Roman"/>
                <w:sz w:val="20"/>
                <w:lang w:val="lv-LV"/>
              </w:rPr>
            </w:pPr>
            <w:r w:rsidRPr="009179E5">
              <w:rPr>
                <w:rFonts w:ascii="Times New Roman" w:hAnsi="Times New Roman"/>
                <w:sz w:val="20"/>
                <w:lang w:val="lv-LV"/>
              </w:rPr>
              <w:t>Pasākums realizēts pēc 2010.gada</w:t>
            </w:r>
          </w:p>
        </w:tc>
      </w:tr>
      <w:tr w:rsidR="0001273E" w:rsidRPr="009179E5" w:rsidTr="004F7F14">
        <w:trPr>
          <w:jc w:val="center"/>
        </w:trPr>
        <w:tc>
          <w:tcPr>
            <w:tcW w:w="672" w:type="dxa"/>
          </w:tcPr>
          <w:p w:rsidR="0001273E" w:rsidRPr="009179E5" w:rsidRDefault="0001273E" w:rsidP="004F7F14">
            <w:pPr>
              <w:pStyle w:val="Tabletext"/>
              <w:keepNext/>
              <w:keepLines/>
              <w:spacing w:before="0" w:after="0" w:line="240" w:lineRule="auto"/>
              <w:rPr>
                <w:rFonts w:ascii="Times New Roman" w:hAnsi="Times New Roman"/>
                <w:sz w:val="20"/>
                <w:lang w:val="lv-LV"/>
              </w:rPr>
            </w:pPr>
            <w:r w:rsidRPr="009179E5">
              <w:rPr>
                <w:rFonts w:ascii="Times New Roman" w:hAnsi="Times New Roman"/>
                <w:sz w:val="20"/>
                <w:lang w:val="lv-LV"/>
              </w:rPr>
              <w:t>PA.3.3.</w:t>
            </w:r>
          </w:p>
        </w:tc>
        <w:tc>
          <w:tcPr>
            <w:tcW w:w="2753" w:type="dxa"/>
          </w:tcPr>
          <w:p w:rsidR="0001273E" w:rsidRPr="009179E5" w:rsidRDefault="0001273E" w:rsidP="004F7F14">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Energoefektivitātes paaugstināšana pašvaldību ēkās 1.kārta</w:t>
            </w:r>
          </w:p>
          <w:p w:rsidR="0001273E" w:rsidRPr="009179E5" w:rsidRDefault="0001273E" w:rsidP="004F7F14">
            <w:pPr>
              <w:pStyle w:val="Tabletext"/>
              <w:keepNext/>
              <w:keepLines/>
              <w:spacing w:before="0" w:after="0" w:line="240" w:lineRule="auto"/>
              <w:rPr>
                <w:rFonts w:ascii="Times New Roman" w:hAnsi="Times New Roman"/>
                <w:sz w:val="20"/>
                <w:lang w:val="lv-LV"/>
              </w:rPr>
            </w:pPr>
            <w:r w:rsidRPr="009179E5">
              <w:rPr>
                <w:rFonts w:ascii="Times New Roman" w:hAnsi="Times New Roman"/>
                <w:sz w:val="20"/>
                <w:lang w:val="lv-LV"/>
              </w:rPr>
              <w:t>Kompleksi risinājumi siltumnīcefekta gāzu emisiju samazināšanai pašvaldību ēkās 2.kārta</w:t>
            </w:r>
          </w:p>
        </w:tc>
        <w:tc>
          <w:tcPr>
            <w:tcW w:w="2596" w:type="dxa"/>
          </w:tcPr>
          <w:p w:rsidR="0001273E" w:rsidRPr="009179E5" w:rsidRDefault="0001273E" w:rsidP="004F7F14">
            <w:pPr>
              <w:pStyle w:val="Tabletext"/>
              <w:tabs>
                <w:tab w:val="left" w:pos="1440"/>
                <w:tab w:val="left" w:pos="5040"/>
              </w:tabs>
              <w:spacing w:before="0" w:after="0" w:line="240" w:lineRule="auto"/>
              <w:rPr>
                <w:rFonts w:ascii="Times New Roman" w:hAnsi="Times New Roman"/>
                <w:sz w:val="20"/>
                <w:lang w:val="lv-LV"/>
              </w:rPr>
            </w:pPr>
            <w:r w:rsidRPr="009179E5">
              <w:rPr>
                <w:rFonts w:ascii="Times New Roman" w:hAnsi="Times New Roman"/>
                <w:color w:val="000000"/>
                <w:sz w:val="20"/>
                <w:lang w:val="lv-LV"/>
              </w:rPr>
              <w:t>Pilsētas vai novada pašvaldība</w:t>
            </w:r>
          </w:p>
        </w:tc>
        <w:tc>
          <w:tcPr>
            <w:tcW w:w="906" w:type="dxa"/>
          </w:tcPr>
          <w:p w:rsidR="0001273E" w:rsidRPr="009179E5" w:rsidRDefault="0001273E" w:rsidP="004F7F14">
            <w:pPr>
              <w:spacing w:after="0" w:line="240" w:lineRule="auto"/>
              <w:rPr>
                <w:rFonts w:ascii="Times New Roman" w:hAnsi="Times New Roman"/>
                <w:sz w:val="20"/>
                <w:szCs w:val="20"/>
                <w:lang w:val="lv-LV"/>
              </w:rPr>
            </w:pPr>
            <w:r w:rsidRPr="009179E5">
              <w:rPr>
                <w:rFonts w:ascii="Times New Roman" w:hAnsi="Times New Roman"/>
                <w:sz w:val="20"/>
                <w:szCs w:val="20"/>
                <w:lang w:val="lv-LV"/>
              </w:rPr>
              <w:t>2009.-2011.</w:t>
            </w:r>
          </w:p>
        </w:tc>
        <w:tc>
          <w:tcPr>
            <w:tcW w:w="1474" w:type="dxa"/>
          </w:tcPr>
          <w:p w:rsidR="0001273E" w:rsidRPr="009179E5" w:rsidRDefault="0001273E" w:rsidP="004F7F14">
            <w:pPr>
              <w:pStyle w:val="Tabletext"/>
              <w:keepNext/>
              <w:keepLines/>
              <w:spacing w:before="0" w:after="0" w:line="240" w:lineRule="auto"/>
              <w:jc w:val="left"/>
              <w:rPr>
                <w:rFonts w:ascii="Times New Roman" w:hAnsi="Times New Roman"/>
                <w:sz w:val="20"/>
                <w:lang w:val="lv-LV"/>
              </w:rPr>
            </w:pPr>
            <w:r w:rsidRPr="009179E5">
              <w:rPr>
                <w:rFonts w:ascii="Times New Roman" w:hAnsi="Times New Roman"/>
                <w:sz w:val="20"/>
                <w:lang w:val="lv-LV"/>
              </w:rPr>
              <w:t>Pasākums realizēts pēc 2010.gada</w:t>
            </w:r>
          </w:p>
        </w:tc>
      </w:tr>
      <w:tr w:rsidR="0001273E" w:rsidRPr="009179E5" w:rsidTr="004F7F14">
        <w:trPr>
          <w:jc w:val="center"/>
        </w:trPr>
        <w:tc>
          <w:tcPr>
            <w:tcW w:w="672" w:type="dxa"/>
          </w:tcPr>
          <w:p w:rsidR="0001273E" w:rsidRPr="009179E5" w:rsidRDefault="0001273E" w:rsidP="004F7F14">
            <w:pPr>
              <w:pStyle w:val="Tabletext"/>
              <w:keepNext/>
              <w:keepLines/>
              <w:spacing w:before="0" w:after="0" w:line="240" w:lineRule="auto"/>
              <w:rPr>
                <w:rFonts w:ascii="Times New Roman" w:hAnsi="Times New Roman"/>
                <w:sz w:val="20"/>
                <w:lang w:val="lv-LV"/>
              </w:rPr>
            </w:pPr>
            <w:r w:rsidRPr="009179E5">
              <w:rPr>
                <w:rFonts w:ascii="Times New Roman" w:hAnsi="Times New Roman"/>
                <w:sz w:val="20"/>
                <w:lang w:val="lv-LV"/>
              </w:rPr>
              <w:t>PA.3.4.</w:t>
            </w:r>
          </w:p>
        </w:tc>
        <w:tc>
          <w:tcPr>
            <w:tcW w:w="2753" w:type="dxa"/>
          </w:tcPr>
          <w:p w:rsidR="0001273E" w:rsidRPr="009179E5" w:rsidRDefault="00E86DD9" w:rsidP="004F7F14">
            <w:pPr>
              <w:spacing w:after="0" w:line="240" w:lineRule="auto"/>
              <w:jc w:val="both"/>
              <w:rPr>
                <w:rFonts w:ascii="Times New Roman" w:hAnsi="Times New Roman"/>
                <w:sz w:val="20"/>
                <w:szCs w:val="20"/>
                <w:lang w:val="lv-LV"/>
              </w:rPr>
            </w:pPr>
            <w:hyperlink r:id="rId44" w:tgtFrame="_self" w:history="1">
              <w:r w:rsidR="0001273E" w:rsidRPr="009179E5">
                <w:rPr>
                  <w:rStyle w:val="Strong"/>
                  <w:rFonts w:ascii="Times New Roman" w:hAnsi="Times New Roman"/>
                  <w:b w:val="0"/>
                  <w:sz w:val="20"/>
                  <w:szCs w:val="20"/>
                  <w:lang w:val="lv-LV"/>
                </w:rPr>
                <w:t>Kompleksi risinājumi siltumnīcefekta gāzu emisijas samazināšanai valsts un pašvaldību profesionālās izglītības iestāžu ēkās</w:t>
              </w:r>
            </w:hyperlink>
          </w:p>
          <w:p w:rsidR="0001273E" w:rsidRPr="009179E5" w:rsidRDefault="0001273E" w:rsidP="004F7F14">
            <w:pPr>
              <w:spacing w:after="0" w:line="240" w:lineRule="auto"/>
              <w:jc w:val="both"/>
              <w:rPr>
                <w:rFonts w:ascii="Times New Roman" w:hAnsi="Times New Roman"/>
                <w:sz w:val="20"/>
                <w:szCs w:val="20"/>
                <w:lang w:val="lv-LV"/>
              </w:rPr>
            </w:pPr>
          </w:p>
        </w:tc>
        <w:tc>
          <w:tcPr>
            <w:tcW w:w="2596" w:type="dxa"/>
          </w:tcPr>
          <w:p w:rsidR="0001273E" w:rsidRPr="009179E5" w:rsidRDefault="0001273E" w:rsidP="004F7F14">
            <w:pPr>
              <w:pStyle w:val="Tabletext"/>
              <w:keepNext/>
              <w:keepLines/>
              <w:spacing w:before="0" w:after="0" w:line="240" w:lineRule="auto"/>
              <w:rPr>
                <w:rFonts w:ascii="Times New Roman" w:hAnsi="Times New Roman"/>
                <w:sz w:val="20"/>
                <w:lang w:val="lv-LV"/>
              </w:rPr>
            </w:pPr>
            <w:r w:rsidRPr="009179E5">
              <w:rPr>
                <w:rFonts w:ascii="Times New Roman" w:hAnsi="Times New Roman"/>
                <w:sz w:val="20"/>
                <w:lang w:val="lv-LV" w:eastAsia="lv-LV"/>
              </w:rPr>
              <w:t>Valsts vai pašvaldību profesionālās izglītības iestādes</w:t>
            </w:r>
          </w:p>
        </w:tc>
        <w:tc>
          <w:tcPr>
            <w:tcW w:w="906" w:type="dxa"/>
          </w:tcPr>
          <w:p w:rsidR="0001273E" w:rsidRPr="009179E5" w:rsidRDefault="0001273E" w:rsidP="004F7F14">
            <w:pPr>
              <w:spacing w:after="0" w:line="240" w:lineRule="auto"/>
              <w:rPr>
                <w:rFonts w:ascii="Times New Roman" w:hAnsi="Times New Roman"/>
                <w:sz w:val="20"/>
                <w:szCs w:val="20"/>
                <w:lang w:val="lv-LV"/>
              </w:rPr>
            </w:pPr>
            <w:r w:rsidRPr="009179E5">
              <w:rPr>
                <w:rFonts w:ascii="Times New Roman" w:hAnsi="Times New Roman"/>
                <w:sz w:val="20"/>
                <w:szCs w:val="20"/>
                <w:lang w:val="lv-LV"/>
              </w:rPr>
              <w:t>2010.-2011.</w:t>
            </w:r>
          </w:p>
        </w:tc>
        <w:tc>
          <w:tcPr>
            <w:tcW w:w="1474" w:type="dxa"/>
          </w:tcPr>
          <w:p w:rsidR="0001273E" w:rsidRPr="009179E5" w:rsidRDefault="0001273E" w:rsidP="004F7F14">
            <w:pPr>
              <w:pStyle w:val="Tabletext"/>
              <w:keepNext/>
              <w:keepLines/>
              <w:spacing w:before="0" w:after="0" w:line="240" w:lineRule="auto"/>
              <w:jc w:val="left"/>
              <w:rPr>
                <w:rFonts w:ascii="Times New Roman" w:hAnsi="Times New Roman"/>
                <w:sz w:val="20"/>
                <w:lang w:val="lv-LV"/>
              </w:rPr>
            </w:pPr>
            <w:r w:rsidRPr="009179E5">
              <w:rPr>
                <w:rFonts w:ascii="Times New Roman" w:hAnsi="Times New Roman"/>
                <w:sz w:val="20"/>
                <w:lang w:val="lv-LV"/>
              </w:rPr>
              <w:t>Pasākums realizēts pēc 2010.gada</w:t>
            </w:r>
          </w:p>
        </w:tc>
      </w:tr>
    </w:tbl>
    <w:p w:rsidR="004F7F14" w:rsidRPr="009179E5" w:rsidRDefault="004F7F14" w:rsidP="00D6348A">
      <w:pPr>
        <w:pStyle w:val="Caption"/>
        <w:spacing w:after="0" w:line="240" w:lineRule="auto"/>
        <w:jc w:val="right"/>
        <w:rPr>
          <w:rFonts w:ascii="Times New Roman" w:hAnsi="Times New Roman"/>
          <w:sz w:val="24"/>
          <w:szCs w:val="24"/>
          <w:lang w:val="lv-LV"/>
        </w:rPr>
      </w:pPr>
    </w:p>
    <w:p w:rsidR="00A5025A" w:rsidRPr="009179E5" w:rsidRDefault="00C33D32" w:rsidP="00D6348A">
      <w:pPr>
        <w:pStyle w:val="Caption"/>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t>16</w:t>
      </w:r>
      <w:r w:rsidR="00A5025A" w:rsidRPr="009179E5">
        <w:rPr>
          <w:rFonts w:ascii="Times New Roman" w:hAnsi="Times New Roman"/>
          <w:sz w:val="24"/>
          <w:szCs w:val="24"/>
          <w:lang w:val="lv-LV"/>
        </w:rPr>
        <w:t>.tabula</w:t>
      </w:r>
    </w:p>
    <w:p w:rsidR="00DA4CAF" w:rsidRPr="009179E5" w:rsidRDefault="00A5025A" w:rsidP="00D6348A">
      <w:pPr>
        <w:pStyle w:val="Caption"/>
        <w:spacing w:after="0" w:line="240" w:lineRule="auto"/>
        <w:jc w:val="center"/>
        <w:rPr>
          <w:sz w:val="24"/>
          <w:szCs w:val="24"/>
          <w:lang w:val="lv-LV"/>
        </w:rPr>
      </w:pPr>
      <w:r w:rsidRPr="009179E5">
        <w:rPr>
          <w:rFonts w:ascii="Times New Roman" w:hAnsi="Times New Roman"/>
          <w:sz w:val="24"/>
          <w:szCs w:val="24"/>
          <w:lang w:val="lv-LV"/>
        </w:rPr>
        <w:t>Pasākuma Nr.PA.</w:t>
      </w:r>
      <w:r w:rsidR="00D6348A" w:rsidRPr="009179E5">
        <w:rPr>
          <w:rFonts w:ascii="Times New Roman" w:hAnsi="Times New Roman"/>
          <w:sz w:val="24"/>
          <w:szCs w:val="24"/>
          <w:lang w:val="lv-LV"/>
        </w:rPr>
        <w:t>3.</w:t>
      </w:r>
      <w:r w:rsidRPr="009179E5">
        <w:rPr>
          <w:rFonts w:ascii="Times New Roman" w:hAnsi="Times New Roman"/>
          <w:sz w:val="24"/>
          <w:szCs w:val="24"/>
          <w:lang w:val="lv-LV"/>
        </w:rPr>
        <w:t>1. „Zema enerģijas patēriņa ēkas” apraksts</w:t>
      </w:r>
    </w:p>
    <w:tbl>
      <w:tblPr>
        <w:tblW w:w="8544"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2410"/>
        <w:gridCol w:w="4936"/>
      </w:tblGrid>
      <w:tr w:rsidR="00DA4CAF" w:rsidRPr="009179E5" w:rsidTr="00EE7E09">
        <w:trPr>
          <w:trHeight w:val="480"/>
          <w:jc w:val="center"/>
        </w:trPr>
        <w:tc>
          <w:tcPr>
            <w:tcW w:w="3608" w:type="dxa"/>
            <w:gridSpan w:val="2"/>
          </w:tcPr>
          <w:p w:rsidR="00DA4CAF" w:rsidRPr="009179E5" w:rsidRDefault="00DA4CAF" w:rsidP="00712944">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lang w:val="lv-LV"/>
              </w:rPr>
              <w:t>Enerģijas ietaupījumu sasniegšanas pasākuma nosaukums</w:t>
            </w:r>
          </w:p>
        </w:tc>
        <w:tc>
          <w:tcPr>
            <w:tcW w:w="4936" w:type="dxa"/>
          </w:tcPr>
          <w:p w:rsidR="00DA4CAF" w:rsidRPr="009179E5" w:rsidRDefault="00DA4CAF" w:rsidP="0071294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 w:val="20"/>
                <w:lang w:val="lv-LV"/>
              </w:rPr>
              <w:t>Zema enerģijas patēriņa ēkas</w:t>
            </w:r>
          </w:p>
        </w:tc>
      </w:tr>
      <w:tr w:rsidR="00DA4CAF" w:rsidRPr="009179E5" w:rsidTr="00EE7E09">
        <w:trPr>
          <w:trHeight w:val="311"/>
          <w:jc w:val="center"/>
        </w:trPr>
        <w:tc>
          <w:tcPr>
            <w:tcW w:w="3608" w:type="dxa"/>
            <w:gridSpan w:val="2"/>
          </w:tcPr>
          <w:p w:rsidR="00DA4CAF" w:rsidRPr="009179E5" w:rsidRDefault="00DA4CAF" w:rsidP="00712944">
            <w:pPr>
              <w:pStyle w:val="Tabletext"/>
              <w:tabs>
                <w:tab w:val="left" w:pos="1440"/>
                <w:tab w:val="left" w:pos="5040"/>
              </w:tabs>
              <w:spacing w:before="0" w:after="0" w:line="240" w:lineRule="auto"/>
              <w:rPr>
                <w:rFonts w:ascii="Times New Roman" w:hAnsi="Times New Roman"/>
                <w:i/>
                <w:lang w:val="lv-LV"/>
              </w:rPr>
            </w:pPr>
            <w:r w:rsidRPr="009179E5">
              <w:rPr>
                <w:rFonts w:ascii="Times New Roman" w:hAnsi="Times New Roman"/>
                <w:i/>
                <w:lang w:val="lv-LV"/>
              </w:rPr>
              <w:t>Pasākuma nr.</w:t>
            </w:r>
          </w:p>
        </w:tc>
        <w:tc>
          <w:tcPr>
            <w:tcW w:w="4936" w:type="dxa"/>
          </w:tcPr>
          <w:p w:rsidR="00DA4CAF" w:rsidRPr="009179E5" w:rsidRDefault="00DA4CAF" w:rsidP="0071294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PA.</w:t>
            </w:r>
            <w:r w:rsidR="00EB1A8B" w:rsidRPr="009179E5">
              <w:rPr>
                <w:rFonts w:ascii="Times New Roman" w:hAnsi="Times New Roman"/>
                <w:b/>
                <w:szCs w:val="18"/>
                <w:lang w:val="lv-LV"/>
              </w:rPr>
              <w:t>3.</w:t>
            </w:r>
            <w:r w:rsidRPr="009179E5">
              <w:rPr>
                <w:rFonts w:ascii="Times New Roman" w:hAnsi="Times New Roman"/>
                <w:b/>
                <w:szCs w:val="18"/>
                <w:lang w:val="lv-LV"/>
              </w:rPr>
              <w:t>1.</w:t>
            </w:r>
          </w:p>
        </w:tc>
      </w:tr>
      <w:tr w:rsidR="00DA4CAF" w:rsidRPr="009179E5" w:rsidTr="00EE7E09">
        <w:trPr>
          <w:trHeight w:val="354"/>
          <w:jc w:val="center"/>
        </w:trPr>
        <w:tc>
          <w:tcPr>
            <w:tcW w:w="1198" w:type="dxa"/>
            <w:vMerge w:val="restart"/>
          </w:tcPr>
          <w:p w:rsidR="00DA4CAF" w:rsidRPr="009179E5" w:rsidRDefault="00DA4CAF" w:rsidP="0071294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Apraksts</w:t>
            </w:r>
          </w:p>
        </w:tc>
        <w:tc>
          <w:tcPr>
            <w:tcW w:w="2410" w:type="dxa"/>
          </w:tcPr>
          <w:p w:rsidR="00DA4CAF" w:rsidRPr="009179E5" w:rsidRDefault="00DA4CAF" w:rsidP="0071294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Kategorija</w:t>
            </w:r>
          </w:p>
        </w:tc>
        <w:tc>
          <w:tcPr>
            <w:tcW w:w="4936" w:type="dxa"/>
          </w:tcPr>
          <w:p w:rsidR="00DA4CAF" w:rsidRPr="009179E5" w:rsidRDefault="00DA4CAF" w:rsidP="0071294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Finanšu instruments (KPFI)</w:t>
            </w:r>
          </w:p>
        </w:tc>
      </w:tr>
      <w:tr w:rsidR="00DA4CAF" w:rsidRPr="009179E5" w:rsidTr="00EE7E09">
        <w:trPr>
          <w:trHeight w:val="476"/>
          <w:jc w:val="center"/>
        </w:trPr>
        <w:tc>
          <w:tcPr>
            <w:tcW w:w="1198" w:type="dxa"/>
            <w:vMerge/>
          </w:tcPr>
          <w:p w:rsidR="00DA4CAF" w:rsidRPr="009179E5" w:rsidRDefault="00DA4CAF" w:rsidP="00712944">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71294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Īstenošanas laika grafiks</w:t>
            </w:r>
          </w:p>
        </w:tc>
        <w:tc>
          <w:tcPr>
            <w:tcW w:w="493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1843"/>
              <w:gridCol w:w="1944"/>
            </w:tblGrid>
            <w:tr w:rsidR="00DA4CAF" w:rsidRPr="009179E5" w:rsidTr="001C33A4">
              <w:tc>
                <w:tcPr>
                  <w:tcW w:w="879" w:type="dxa"/>
                </w:tcPr>
                <w:p w:rsidR="00DA4CAF" w:rsidRPr="009179E5" w:rsidRDefault="00DA4CAF" w:rsidP="0071294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Kārta </w:t>
                  </w:r>
                </w:p>
              </w:tc>
              <w:tc>
                <w:tcPr>
                  <w:tcW w:w="1843" w:type="dxa"/>
                </w:tcPr>
                <w:p w:rsidR="00DA4CAF" w:rsidRPr="009179E5" w:rsidRDefault="00DA4CAF" w:rsidP="0071294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Sākums </w:t>
                  </w:r>
                </w:p>
              </w:tc>
              <w:tc>
                <w:tcPr>
                  <w:tcW w:w="1944" w:type="dxa"/>
                </w:tcPr>
                <w:p w:rsidR="00DA4CAF" w:rsidRPr="009179E5" w:rsidRDefault="00DA4CAF" w:rsidP="00EE7E09">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Bei</w:t>
                  </w:r>
                  <w:r w:rsidR="00EE7E09" w:rsidRPr="009179E5">
                    <w:rPr>
                      <w:rFonts w:ascii="Times New Roman" w:hAnsi="Times New Roman"/>
                      <w:b/>
                      <w:szCs w:val="18"/>
                      <w:lang w:val="lv-LV"/>
                    </w:rPr>
                    <w:t>g</w:t>
                  </w:r>
                  <w:r w:rsidRPr="009179E5">
                    <w:rPr>
                      <w:rFonts w:ascii="Times New Roman" w:hAnsi="Times New Roman"/>
                      <w:b/>
                      <w:szCs w:val="18"/>
                      <w:lang w:val="lv-LV"/>
                    </w:rPr>
                    <w:t xml:space="preserve">as </w:t>
                  </w:r>
                </w:p>
              </w:tc>
            </w:tr>
            <w:tr w:rsidR="00DA4CAF" w:rsidRPr="009179E5" w:rsidTr="001C33A4">
              <w:tc>
                <w:tcPr>
                  <w:tcW w:w="879" w:type="dxa"/>
                </w:tcPr>
                <w:p w:rsidR="00DA4CAF" w:rsidRPr="009179E5" w:rsidRDefault="00DA4CAF" w:rsidP="00712944">
                  <w:pPr>
                    <w:pStyle w:val="Tabletext"/>
                    <w:tabs>
                      <w:tab w:val="left" w:pos="1440"/>
                      <w:tab w:val="left" w:pos="5040"/>
                    </w:tabs>
                    <w:spacing w:before="0" w:after="0" w:line="240" w:lineRule="auto"/>
                    <w:rPr>
                      <w:rFonts w:ascii="Times New Roman" w:hAnsi="Times New Roman"/>
                      <w:b/>
                      <w:szCs w:val="18"/>
                      <w:lang w:val="lv-LV"/>
                    </w:rPr>
                  </w:pPr>
                </w:p>
              </w:tc>
              <w:tc>
                <w:tcPr>
                  <w:tcW w:w="1843" w:type="dxa"/>
                </w:tcPr>
                <w:p w:rsidR="00DA4CAF" w:rsidRPr="009179E5" w:rsidRDefault="00DA4CAF" w:rsidP="0071294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Konkurss izsludināts 2011.gadā</w:t>
                  </w:r>
                </w:p>
              </w:tc>
              <w:tc>
                <w:tcPr>
                  <w:tcW w:w="1944" w:type="dxa"/>
                </w:tcPr>
                <w:p w:rsidR="00DA4CAF" w:rsidRPr="009179E5" w:rsidRDefault="00DA4CAF" w:rsidP="0071294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color w:val="000000"/>
                      <w:szCs w:val="18"/>
                      <w:lang w:val="lv-LV"/>
                    </w:rPr>
                    <w:t>Konkursa ietvaros apstiprinātajos projektos paredzētās aktivitātes finansējuma saņēmējs īsteno ne vēlāk kā līdz 2012.gada 1.novembrim</w:t>
                  </w:r>
                </w:p>
              </w:tc>
            </w:tr>
          </w:tbl>
          <w:p w:rsidR="00DA4CAF" w:rsidRPr="009179E5" w:rsidRDefault="00DA4CAF" w:rsidP="00712944">
            <w:pPr>
              <w:pStyle w:val="Tabletext"/>
              <w:tabs>
                <w:tab w:val="left" w:pos="1440"/>
                <w:tab w:val="left" w:pos="5040"/>
              </w:tabs>
              <w:spacing w:before="0" w:after="0" w:line="240" w:lineRule="auto"/>
              <w:rPr>
                <w:rFonts w:ascii="Times New Roman" w:hAnsi="Times New Roman"/>
                <w:b/>
                <w:szCs w:val="18"/>
                <w:lang w:val="lv-LV"/>
              </w:rPr>
            </w:pPr>
          </w:p>
        </w:tc>
      </w:tr>
      <w:tr w:rsidR="00DA4CAF" w:rsidRPr="009179E5" w:rsidTr="00EE7E09">
        <w:trPr>
          <w:trHeight w:val="476"/>
          <w:jc w:val="center"/>
        </w:trPr>
        <w:tc>
          <w:tcPr>
            <w:tcW w:w="1198" w:type="dxa"/>
            <w:vMerge/>
          </w:tcPr>
          <w:p w:rsidR="00DA4CAF" w:rsidRPr="009179E5" w:rsidRDefault="00DA4CAF" w:rsidP="00712944">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71294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Mērķis</w:t>
            </w:r>
          </w:p>
        </w:tc>
        <w:tc>
          <w:tcPr>
            <w:tcW w:w="4936" w:type="dxa"/>
          </w:tcPr>
          <w:p w:rsidR="00DA4CAF" w:rsidRPr="009179E5" w:rsidRDefault="00DA4CAF" w:rsidP="0071294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Oglekļa dioksīda emisiju samazināšana, veicot zema enerģijas patēriņa ēku būvniecību, kā arī esošu ēku rekonstrukciju vai vienkāršoto renovāciju</w:t>
            </w:r>
          </w:p>
        </w:tc>
      </w:tr>
      <w:tr w:rsidR="00DA4CAF" w:rsidRPr="009179E5" w:rsidTr="00EE7E09">
        <w:trPr>
          <w:trHeight w:val="476"/>
          <w:jc w:val="center"/>
        </w:trPr>
        <w:tc>
          <w:tcPr>
            <w:tcW w:w="1198" w:type="dxa"/>
            <w:vMerge/>
          </w:tcPr>
          <w:p w:rsidR="00DA4CAF" w:rsidRPr="009179E5" w:rsidRDefault="00DA4CAF" w:rsidP="00712944">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71294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galapatēriņa sektors</w:t>
            </w:r>
          </w:p>
        </w:tc>
        <w:tc>
          <w:tcPr>
            <w:tcW w:w="4936" w:type="dxa"/>
          </w:tcPr>
          <w:p w:rsidR="00DA4CAF" w:rsidRPr="009179E5" w:rsidRDefault="00DA4CAF" w:rsidP="0071294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Ēkas</w:t>
            </w:r>
          </w:p>
        </w:tc>
      </w:tr>
      <w:tr w:rsidR="00DA4CAF" w:rsidRPr="009179E5" w:rsidTr="00EE7E09">
        <w:trPr>
          <w:trHeight w:val="476"/>
          <w:jc w:val="center"/>
        </w:trPr>
        <w:tc>
          <w:tcPr>
            <w:tcW w:w="1198" w:type="dxa"/>
            <w:vMerge/>
          </w:tcPr>
          <w:p w:rsidR="00DA4CAF" w:rsidRPr="009179E5" w:rsidRDefault="00DA4CAF" w:rsidP="00712944">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71294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Mērķauditorija</w:t>
            </w:r>
          </w:p>
        </w:tc>
        <w:tc>
          <w:tcPr>
            <w:tcW w:w="4936" w:type="dxa"/>
          </w:tcPr>
          <w:p w:rsidR="00DA4CAF" w:rsidRPr="009179E5" w:rsidRDefault="00DA4CAF" w:rsidP="0071294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Tiešās vai pastarpinātās pārvaldes iestāde, Latvijas Republikas pilsētas vai novada pašvaldības dome, Latvijas </w:t>
            </w:r>
            <w:r w:rsidRPr="009179E5">
              <w:rPr>
                <w:rFonts w:ascii="Times New Roman" w:hAnsi="Times New Roman"/>
                <w:b/>
                <w:szCs w:val="18"/>
                <w:lang w:val="lv-LV"/>
              </w:rPr>
              <w:lastRenderedPageBreak/>
              <w:t>Republikā reģistrēts sīkais (mikro), mazais vai vidējais komersants un fiziska persona</w:t>
            </w:r>
          </w:p>
        </w:tc>
      </w:tr>
      <w:tr w:rsidR="00DA4CAF" w:rsidRPr="009179E5" w:rsidTr="00EE7E09">
        <w:trPr>
          <w:trHeight w:val="476"/>
          <w:jc w:val="center"/>
        </w:trPr>
        <w:tc>
          <w:tcPr>
            <w:tcW w:w="1198" w:type="dxa"/>
            <w:vMerge/>
          </w:tcPr>
          <w:p w:rsidR="00DA4CAF" w:rsidRPr="009179E5" w:rsidRDefault="00DA4CAF" w:rsidP="00712944">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71294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Pasākuma ieviešanas teritorija</w:t>
            </w:r>
          </w:p>
        </w:tc>
        <w:tc>
          <w:tcPr>
            <w:tcW w:w="4936" w:type="dxa"/>
          </w:tcPr>
          <w:p w:rsidR="00DA4CAF" w:rsidRPr="009179E5" w:rsidRDefault="00DA4CAF" w:rsidP="0071294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Latvijas Republika </w:t>
            </w:r>
          </w:p>
        </w:tc>
      </w:tr>
      <w:tr w:rsidR="00DA4CAF" w:rsidRPr="009179E5" w:rsidTr="00EE7E09">
        <w:trPr>
          <w:trHeight w:val="476"/>
          <w:jc w:val="center"/>
        </w:trPr>
        <w:tc>
          <w:tcPr>
            <w:tcW w:w="1198" w:type="dxa"/>
            <w:vMerge w:val="restart"/>
          </w:tcPr>
          <w:p w:rsidR="00DA4CAF" w:rsidRPr="009179E5" w:rsidRDefault="00DA4CAF" w:rsidP="0071294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Informācija un ieviešana</w:t>
            </w:r>
          </w:p>
        </w:tc>
        <w:tc>
          <w:tcPr>
            <w:tcW w:w="2410" w:type="dxa"/>
          </w:tcPr>
          <w:p w:rsidR="00DA4CAF" w:rsidRPr="009179E5" w:rsidRDefault="00DA4CAF" w:rsidP="00712944">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Enerģijas ietaupījumu sasniegšanas pasākumu saraksts un pasākuma pamatapraksts</w:t>
            </w:r>
          </w:p>
        </w:tc>
        <w:tc>
          <w:tcPr>
            <w:tcW w:w="4936" w:type="dxa"/>
          </w:tcPr>
          <w:p w:rsidR="00DA4CAF" w:rsidRPr="009179E5" w:rsidRDefault="00DA4CAF" w:rsidP="00712944">
            <w:pPr>
              <w:autoSpaceDE w:val="0"/>
              <w:autoSpaceDN w:val="0"/>
              <w:adjustRightInd w:val="0"/>
              <w:spacing w:after="0" w:line="240" w:lineRule="auto"/>
              <w:jc w:val="both"/>
              <w:rPr>
                <w:rFonts w:ascii="Times New Roman" w:hAnsi="Times New Roman"/>
                <w:b/>
                <w:color w:val="000000"/>
                <w:sz w:val="18"/>
                <w:szCs w:val="18"/>
                <w:lang w:val="lv-LV" w:eastAsia="lv-LV"/>
              </w:rPr>
            </w:pPr>
            <w:r w:rsidRPr="009179E5">
              <w:rPr>
                <w:rFonts w:ascii="Times New Roman" w:hAnsi="Times New Roman"/>
                <w:b/>
                <w:color w:val="000000"/>
                <w:sz w:val="18"/>
                <w:szCs w:val="18"/>
                <w:lang w:val="lv-LV" w:eastAsia="lv-LV"/>
              </w:rPr>
              <w:t xml:space="preserve">Konkursa ietvaros atbalstāmas  šādas projekta aktivitātes: </w:t>
            </w:r>
          </w:p>
          <w:p w:rsidR="00DA4CAF" w:rsidRPr="009179E5" w:rsidRDefault="00DA4CAF" w:rsidP="00712944">
            <w:pPr>
              <w:autoSpaceDE w:val="0"/>
              <w:autoSpaceDN w:val="0"/>
              <w:adjustRightInd w:val="0"/>
              <w:spacing w:after="0" w:line="240" w:lineRule="auto"/>
              <w:jc w:val="both"/>
              <w:rPr>
                <w:rFonts w:ascii="Times New Roman" w:hAnsi="Times New Roman"/>
                <w:b/>
                <w:color w:val="000000"/>
                <w:sz w:val="18"/>
                <w:szCs w:val="18"/>
                <w:lang w:val="lv-LV" w:eastAsia="lv-LV"/>
              </w:rPr>
            </w:pPr>
            <w:r w:rsidRPr="009179E5">
              <w:rPr>
                <w:rFonts w:ascii="Times New Roman" w:hAnsi="Times New Roman"/>
                <w:b/>
                <w:color w:val="000000"/>
                <w:sz w:val="18"/>
                <w:szCs w:val="18"/>
                <w:lang w:val="lv-LV" w:eastAsia="lv-LV"/>
              </w:rPr>
              <w:t xml:space="preserve">1. energoaudita pārskata sagatavošana un tehniskās apsekošanas atzinuma izstrāde (ēkas rekonstrukcijas projektā), un ēkas enerģijas patēriņa aprēķina veikšana jaunbūves projektā, kas sagatavots atbilstoši šo noteikumu 3.pielikuma 6.4.apakšpunktam; </w:t>
            </w:r>
          </w:p>
          <w:p w:rsidR="00DA4CAF" w:rsidRPr="009179E5" w:rsidRDefault="00DA4CAF" w:rsidP="00712944">
            <w:pPr>
              <w:autoSpaceDE w:val="0"/>
              <w:autoSpaceDN w:val="0"/>
              <w:adjustRightInd w:val="0"/>
              <w:spacing w:after="0" w:line="240" w:lineRule="auto"/>
              <w:jc w:val="both"/>
              <w:rPr>
                <w:rFonts w:ascii="Times New Roman" w:hAnsi="Times New Roman"/>
                <w:b/>
                <w:color w:val="000000"/>
                <w:sz w:val="18"/>
                <w:szCs w:val="18"/>
                <w:lang w:val="lv-LV" w:eastAsia="lv-LV"/>
              </w:rPr>
            </w:pPr>
            <w:r w:rsidRPr="009179E5">
              <w:rPr>
                <w:rFonts w:ascii="Times New Roman" w:hAnsi="Times New Roman"/>
                <w:b/>
                <w:color w:val="000000"/>
                <w:sz w:val="18"/>
                <w:szCs w:val="18"/>
                <w:lang w:val="lv-LV" w:eastAsia="lv-LV"/>
              </w:rPr>
              <w:t xml:space="preserve">2. būvprojekta un tehniskās dokumentācijas sagatavošana un saskaņošana ēku energoefektivitāti un būvniecību regulējošajos normatīvajos aktos noteiktajā kārtībā; </w:t>
            </w:r>
          </w:p>
          <w:p w:rsidR="00DA4CAF" w:rsidRPr="009179E5" w:rsidRDefault="00DA4CAF" w:rsidP="00712944">
            <w:pPr>
              <w:autoSpaceDE w:val="0"/>
              <w:autoSpaceDN w:val="0"/>
              <w:adjustRightInd w:val="0"/>
              <w:spacing w:after="0" w:line="240" w:lineRule="auto"/>
              <w:jc w:val="both"/>
              <w:rPr>
                <w:rFonts w:ascii="Times New Roman" w:hAnsi="Times New Roman"/>
                <w:b/>
                <w:color w:val="000000"/>
                <w:sz w:val="18"/>
                <w:szCs w:val="18"/>
                <w:lang w:val="lv-LV" w:eastAsia="lv-LV"/>
              </w:rPr>
            </w:pPr>
            <w:r w:rsidRPr="009179E5">
              <w:rPr>
                <w:rFonts w:ascii="Times New Roman" w:hAnsi="Times New Roman"/>
                <w:b/>
                <w:color w:val="000000"/>
                <w:sz w:val="18"/>
                <w:szCs w:val="18"/>
                <w:lang w:val="lv-LV" w:eastAsia="lv-LV"/>
              </w:rPr>
              <w:t xml:space="preserve">3. zema enerģijas patēriņa ēku būvniecība; </w:t>
            </w:r>
          </w:p>
          <w:p w:rsidR="00DA4CAF" w:rsidRPr="009179E5" w:rsidRDefault="00DA4CAF" w:rsidP="00712944">
            <w:pPr>
              <w:autoSpaceDE w:val="0"/>
              <w:autoSpaceDN w:val="0"/>
              <w:adjustRightInd w:val="0"/>
              <w:spacing w:after="0" w:line="240" w:lineRule="auto"/>
              <w:jc w:val="both"/>
              <w:rPr>
                <w:rFonts w:ascii="Times New Roman" w:hAnsi="Times New Roman"/>
                <w:b/>
                <w:color w:val="000000"/>
                <w:sz w:val="18"/>
                <w:szCs w:val="18"/>
                <w:lang w:val="lv-LV" w:eastAsia="lv-LV"/>
              </w:rPr>
            </w:pPr>
            <w:r w:rsidRPr="009179E5">
              <w:rPr>
                <w:rFonts w:ascii="Times New Roman" w:hAnsi="Times New Roman"/>
                <w:b/>
                <w:color w:val="000000"/>
                <w:sz w:val="18"/>
                <w:szCs w:val="18"/>
                <w:lang w:val="lv-LV" w:eastAsia="lv-LV"/>
              </w:rPr>
              <w:t xml:space="preserve">4. energoefektivitāti paaugstinošu rekonstrukcijas darbu veikšana; </w:t>
            </w:r>
          </w:p>
          <w:p w:rsidR="00DA4CAF" w:rsidRPr="009179E5" w:rsidRDefault="00DA4CAF" w:rsidP="00712944">
            <w:pPr>
              <w:autoSpaceDE w:val="0"/>
              <w:autoSpaceDN w:val="0"/>
              <w:adjustRightInd w:val="0"/>
              <w:spacing w:after="0" w:line="240" w:lineRule="auto"/>
              <w:jc w:val="both"/>
              <w:rPr>
                <w:rFonts w:ascii="Times New Roman" w:hAnsi="Times New Roman"/>
                <w:b/>
                <w:color w:val="000000"/>
                <w:sz w:val="18"/>
                <w:szCs w:val="18"/>
                <w:lang w:val="lv-LV" w:eastAsia="lv-LV"/>
              </w:rPr>
            </w:pPr>
            <w:r w:rsidRPr="009179E5">
              <w:rPr>
                <w:rFonts w:ascii="Times New Roman" w:hAnsi="Times New Roman"/>
                <w:b/>
                <w:color w:val="000000"/>
                <w:sz w:val="18"/>
                <w:szCs w:val="18"/>
                <w:lang w:val="lv-LV" w:eastAsia="lv-LV"/>
              </w:rPr>
              <w:t xml:space="preserve">5. siltumapgādes sistēmas maiņa no fosilajiem energoresursiem uz atjaunojamiem enerģijas avotiem, tai skaitā atjaunojamo enerģijas avotu (saules kolektori, granulu vai šķeldas apkures katli, siltumsūkņi ar transformācijas koeficientu, kas atbilst šo noteikumu 1.pielikuma 2.tabulai) uzstādīšana un pieslēgšana, ja iekārtas uzstādītā siltuma jauda pēc projekta īstenošanas nepārsniedz aprēķināto nepieciešamo jaudu apkures un karstā ūdens apgādes nodrošināšanai vairāk nekā par 10 % (attiecināms uz ēkas rekonstrukcijas projektu); </w:t>
            </w:r>
          </w:p>
          <w:p w:rsidR="00DA4CAF" w:rsidRPr="009179E5" w:rsidRDefault="00DA4CAF" w:rsidP="00712944">
            <w:pPr>
              <w:autoSpaceDE w:val="0"/>
              <w:autoSpaceDN w:val="0"/>
              <w:adjustRightInd w:val="0"/>
              <w:spacing w:after="0" w:line="240" w:lineRule="auto"/>
              <w:jc w:val="both"/>
              <w:rPr>
                <w:rFonts w:ascii="Times New Roman" w:hAnsi="Times New Roman"/>
                <w:b/>
                <w:color w:val="000000"/>
                <w:sz w:val="18"/>
                <w:szCs w:val="18"/>
                <w:lang w:val="lv-LV" w:eastAsia="lv-LV"/>
              </w:rPr>
            </w:pPr>
            <w:r w:rsidRPr="009179E5">
              <w:rPr>
                <w:rFonts w:ascii="Times New Roman" w:hAnsi="Times New Roman"/>
                <w:b/>
                <w:color w:val="000000"/>
                <w:sz w:val="18"/>
                <w:szCs w:val="18"/>
                <w:lang w:val="lv-LV" w:eastAsia="lv-LV"/>
              </w:rPr>
              <w:t xml:space="preserve">6. ēkas norobežojošo konstrukciju pārbaude būvniecības stadijā (gaiscaurlaidības testu un termofotografēšanas veikšana); </w:t>
            </w:r>
          </w:p>
          <w:p w:rsidR="00DA4CAF" w:rsidRPr="009179E5" w:rsidRDefault="00DA4CAF" w:rsidP="00712944">
            <w:pPr>
              <w:pStyle w:val="Tabletext"/>
              <w:tabs>
                <w:tab w:val="left" w:pos="175"/>
                <w:tab w:val="left" w:pos="5040"/>
              </w:tabs>
              <w:spacing w:before="0" w:after="0" w:line="240" w:lineRule="auto"/>
              <w:ind w:left="33"/>
              <w:rPr>
                <w:rFonts w:ascii="Times New Roman" w:hAnsi="Times New Roman"/>
                <w:b/>
                <w:szCs w:val="18"/>
                <w:lang w:val="lv-LV"/>
              </w:rPr>
            </w:pPr>
            <w:r w:rsidRPr="009179E5">
              <w:rPr>
                <w:rFonts w:ascii="Times New Roman" w:eastAsia="Calibri" w:hAnsi="Times New Roman"/>
                <w:b/>
                <w:color w:val="000000"/>
                <w:szCs w:val="18"/>
                <w:lang w:val="lv-LV" w:eastAsia="lv-LV"/>
              </w:rPr>
              <w:t>7. projekta publicitātes pasākumi;</w:t>
            </w:r>
          </w:p>
        </w:tc>
      </w:tr>
      <w:tr w:rsidR="00DA4CAF" w:rsidRPr="009179E5" w:rsidTr="00EE7E09">
        <w:trPr>
          <w:trHeight w:val="476"/>
          <w:jc w:val="center"/>
        </w:trPr>
        <w:tc>
          <w:tcPr>
            <w:tcW w:w="1198" w:type="dxa"/>
            <w:vMerge/>
          </w:tcPr>
          <w:p w:rsidR="00DA4CAF" w:rsidRPr="009179E5" w:rsidRDefault="00DA4CAF" w:rsidP="00712944">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71294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Budžets un finansējuma avots</w:t>
            </w:r>
          </w:p>
        </w:tc>
        <w:tc>
          <w:tcPr>
            <w:tcW w:w="4936" w:type="dxa"/>
          </w:tcPr>
          <w:p w:rsidR="00DA4CAF" w:rsidRPr="009179E5" w:rsidRDefault="00DA4CAF" w:rsidP="00EF3410">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Konkursa ietvaros pieejamais finansējums (KPFI) – 7</w:t>
            </w:r>
            <w:r w:rsidR="00EF3410" w:rsidRPr="009179E5">
              <w:rPr>
                <w:rFonts w:ascii="Times New Roman" w:hAnsi="Times New Roman"/>
                <w:b/>
                <w:szCs w:val="18"/>
                <w:lang w:val="lv-LV"/>
              </w:rPr>
              <w:t>,</w:t>
            </w:r>
            <w:r w:rsidRPr="009179E5">
              <w:rPr>
                <w:rFonts w:ascii="Times New Roman" w:hAnsi="Times New Roman"/>
                <w:b/>
                <w:szCs w:val="18"/>
                <w:lang w:val="lv-LV"/>
              </w:rPr>
              <w:t>26</w:t>
            </w:r>
            <w:r w:rsidR="00EF3410" w:rsidRPr="009179E5">
              <w:rPr>
                <w:rFonts w:ascii="Times New Roman" w:hAnsi="Times New Roman"/>
                <w:b/>
                <w:szCs w:val="18"/>
                <w:lang w:val="lv-LV"/>
              </w:rPr>
              <w:t xml:space="preserve"> milj.</w:t>
            </w:r>
            <w:r w:rsidRPr="009179E5">
              <w:rPr>
                <w:rFonts w:ascii="Times New Roman" w:hAnsi="Times New Roman"/>
                <w:b/>
                <w:szCs w:val="18"/>
                <w:lang w:val="lv-LV"/>
              </w:rPr>
              <w:t xml:space="preserve"> LVL</w:t>
            </w:r>
          </w:p>
        </w:tc>
      </w:tr>
      <w:tr w:rsidR="00DA4CAF" w:rsidRPr="009179E5" w:rsidTr="00EE7E09">
        <w:trPr>
          <w:trHeight w:val="476"/>
          <w:jc w:val="center"/>
        </w:trPr>
        <w:tc>
          <w:tcPr>
            <w:tcW w:w="1198" w:type="dxa"/>
            <w:vMerge/>
          </w:tcPr>
          <w:p w:rsidR="00DA4CAF" w:rsidRPr="009179E5" w:rsidRDefault="00DA4CAF" w:rsidP="00712944">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71294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Ieviesējs</w:t>
            </w:r>
          </w:p>
        </w:tc>
        <w:tc>
          <w:tcPr>
            <w:tcW w:w="4936" w:type="dxa"/>
          </w:tcPr>
          <w:p w:rsidR="00DA4CAF" w:rsidRPr="009179E5" w:rsidRDefault="00DA4CAF" w:rsidP="0071294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Sabiedrība ar ierobežotu atbildību (turpmāk – SIA) „Vides investīciju fonds”</w:t>
            </w:r>
          </w:p>
        </w:tc>
      </w:tr>
      <w:tr w:rsidR="00DA4CAF" w:rsidRPr="009179E5" w:rsidTr="00EE7E09">
        <w:trPr>
          <w:trHeight w:val="476"/>
          <w:jc w:val="center"/>
        </w:trPr>
        <w:tc>
          <w:tcPr>
            <w:tcW w:w="1198" w:type="dxa"/>
            <w:vMerge/>
          </w:tcPr>
          <w:p w:rsidR="00DA4CAF" w:rsidRPr="009179E5" w:rsidRDefault="00DA4CAF" w:rsidP="00712944">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712944">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Monitoringa (kontroles) institūcija</w:t>
            </w:r>
          </w:p>
        </w:tc>
        <w:tc>
          <w:tcPr>
            <w:tcW w:w="4936" w:type="dxa"/>
          </w:tcPr>
          <w:p w:rsidR="00DA4CAF" w:rsidRPr="009179E5" w:rsidRDefault="00DA4CAF" w:rsidP="0071294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Vides aizsardzības un reģionālās attīstības ministrija, SIA „Vides investīciju fonds”</w:t>
            </w:r>
          </w:p>
        </w:tc>
      </w:tr>
      <w:tr w:rsidR="00DA4CAF" w:rsidRPr="009179E5" w:rsidTr="00EE7E09">
        <w:trPr>
          <w:trHeight w:val="476"/>
          <w:jc w:val="center"/>
        </w:trPr>
        <w:tc>
          <w:tcPr>
            <w:tcW w:w="1198" w:type="dxa"/>
          </w:tcPr>
          <w:p w:rsidR="00DA4CAF" w:rsidRPr="009179E5" w:rsidRDefault="00DA4CAF" w:rsidP="0071294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ietaupījumi</w:t>
            </w:r>
          </w:p>
        </w:tc>
        <w:tc>
          <w:tcPr>
            <w:tcW w:w="2410" w:type="dxa"/>
          </w:tcPr>
          <w:p w:rsidR="00DA4CAF" w:rsidRPr="009179E5" w:rsidRDefault="00DA4CAF" w:rsidP="00712944">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Sasniegto enerģijas ietaupījumu aprēķina metode</w:t>
            </w:r>
          </w:p>
        </w:tc>
        <w:tc>
          <w:tcPr>
            <w:tcW w:w="4936" w:type="dxa"/>
          </w:tcPr>
          <w:p w:rsidR="00DA4CAF" w:rsidRPr="009179E5" w:rsidRDefault="000E17C9" w:rsidP="0071294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Augšupvērstā</w:t>
            </w:r>
          </w:p>
        </w:tc>
      </w:tr>
    </w:tbl>
    <w:p w:rsidR="00EE7E09" w:rsidRPr="009179E5" w:rsidRDefault="00EE7E09" w:rsidP="00EE7E09">
      <w:pPr>
        <w:pStyle w:val="Caption"/>
        <w:spacing w:after="0" w:line="240" w:lineRule="auto"/>
        <w:jc w:val="right"/>
        <w:rPr>
          <w:rFonts w:ascii="Times New Roman" w:hAnsi="Times New Roman"/>
          <w:sz w:val="24"/>
          <w:lang w:val="lv-LV"/>
        </w:rPr>
      </w:pPr>
    </w:p>
    <w:p w:rsidR="00F36F91" w:rsidRPr="009179E5" w:rsidRDefault="00444ECF" w:rsidP="00EE7E09">
      <w:pPr>
        <w:pStyle w:val="Caption"/>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t>1</w:t>
      </w:r>
      <w:r w:rsidR="00C33D32" w:rsidRPr="009179E5">
        <w:rPr>
          <w:rFonts w:ascii="Times New Roman" w:hAnsi="Times New Roman"/>
          <w:sz w:val="24"/>
          <w:szCs w:val="24"/>
          <w:lang w:val="lv-LV"/>
        </w:rPr>
        <w:t>7</w:t>
      </w:r>
      <w:r w:rsidR="00F36F91" w:rsidRPr="009179E5">
        <w:rPr>
          <w:rFonts w:ascii="Times New Roman" w:hAnsi="Times New Roman"/>
          <w:sz w:val="24"/>
          <w:szCs w:val="24"/>
          <w:lang w:val="lv-LV"/>
        </w:rPr>
        <w:t>.tabula</w:t>
      </w:r>
    </w:p>
    <w:p w:rsidR="00DA4CAF" w:rsidRPr="009179E5" w:rsidRDefault="00F36F91" w:rsidP="00EE7E09">
      <w:pPr>
        <w:pStyle w:val="Caption"/>
        <w:spacing w:after="0" w:line="240" w:lineRule="auto"/>
        <w:jc w:val="center"/>
        <w:rPr>
          <w:rFonts w:ascii="Times New Roman" w:hAnsi="Times New Roman"/>
          <w:sz w:val="28"/>
          <w:szCs w:val="28"/>
          <w:lang w:val="lv-LV"/>
        </w:rPr>
      </w:pPr>
      <w:r w:rsidRPr="009179E5">
        <w:rPr>
          <w:rFonts w:ascii="Times New Roman" w:hAnsi="Times New Roman"/>
          <w:sz w:val="24"/>
          <w:szCs w:val="24"/>
          <w:lang w:val="lv-LV"/>
        </w:rPr>
        <w:t>Pasākuma Nr.PA.</w:t>
      </w:r>
      <w:r w:rsidR="00EE7E09" w:rsidRPr="009179E5">
        <w:rPr>
          <w:rFonts w:ascii="Times New Roman" w:hAnsi="Times New Roman"/>
          <w:sz w:val="24"/>
          <w:szCs w:val="24"/>
          <w:lang w:val="lv-LV"/>
        </w:rPr>
        <w:t>3.</w:t>
      </w:r>
      <w:r w:rsidRPr="009179E5">
        <w:rPr>
          <w:rFonts w:ascii="Times New Roman" w:hAnsi="Times New Roman"/>
          <w:sz w:val="24"/>
          <w:szCs w:val="24"/>
          <w:lang w:val="lv-LV"/>
        </w:rPr>
        <w:t>2. „</w:t>
      </w:r>
      <w:hyperlink r:id="rId45" w:tgtFrame="_self" w:history="1">
        <w:r w:rsidRPr="009179E5">
          <w:rPr>
            <w:rFonts w:ascii="Times New Roman" w:hAnsi="Times New Roman"/>
            <w:bCs w:val="0"/>
            <w:sz w:val="24"/>
            <w:szCs w:val="24"/>
            <w:lang w:val="lv-LV"/>
          </w:rPr>
          <w:t>Energoefektivitātes paaugstināšana augstākās izglītības iestāžu ēkās</w:t>
        </w:r>
      </w:hyperlink>
      <w:r w:rsidRPr="009179E5">
        <w:rPr>
          <w:rFonts w:ascii="Times New Roman" w:hAnsi="Times New Roman"/>
          <w:sz w:val="24"/>
          <w:szCs w:val="24"/>
          <w:lang w:val="lv-LV"/>
        </w:rPr>
        <w:t>” apraksts</w:t>
      </w:r>
    </w:p>
    <w:tbl>
      <w:tblPr>
        <w:tblW w:w="850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2410"/>
        <w:gridCol w:w="4897"/>
      </w:tblGrid>
      <w:tr w:rsidR="00DA4CAF" w:rsidRPr="009179E5" w:rsidTr="001C33A4">
        <w:trPr>
          <w:trHeight w:val="480"/>
        </w:trPr>
        <w:tc>
          <w:tcPr>
            <w:tcW w:w="3608" w:type="dxa"/>
            <w:gridSpan w:val="2"/>
          </w:tcPr>
          <w:p w:rsidR="00DA4CAF" w:rsidRPr="009179E5" w:rsidRDefault="00DA4CAF" w:rsidP="00ED43AD">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lang w:val="lv-LV"/>
              </w:rPr>
              <w:t>Enerģijas ietaupījumu sasniegšanas pasākuma nosaukums</w:t>
            </w:r>
          </w:p>
        </w:tc>
        <w:tc>
          <w:tcPr>
            <w:tcW w:w="4897" w:type="dxa"/>
          </w:tcPr>
          <w:p w:rsidR="00DA4CAF" w:rsidRPr="009179E5" w:rsidRDefault="00E86DD9" w:rsidP="00ED43AD">
            <w:pPr>
              <w:pStyle w:val="Tabletext"/>
              <w:tabs>
                <w:tab w:val="left" w:pos="1440"/>
                <w:tab w:val="left" w:pos="5040"/>
              </w:tabs>
              <w:spacing w:before="0" w:after="0" w:line="240" w:lineRule="auto"/>
              <w:rPr>
                <w:rFonts w:ascii="Times New Roman" w:hAnsi="Times New Roman"/>
                <w:b/>
                <w:szCs w:val="18"/>
                <w:lang w:val="lv-LV"/>
              </w:rPr>
            </w:pPr>
            <w:hyperlink r:id="rId46" w:tgtFrame="_self" w:history="1">
              <w:r w:rsidR="00DA4CAF" w:rsidRPr="009179E5">
                <w:rPr>
                  <w:rStyle w:val="Strong"/>
                  <w:rFonts w:ascii="Times New Roman" w:hAnsi="Times New Roman"/>
                  <w:b w:val="0"/>
                  <w:szCs w:val="18"/>
                  <w:lang w:val="lv-LV"/>
                </w:rPr>
                <w:t>Energoefektivitātes paaugstināšana augstākās izglītības iestāžu ēkās</w:t>
              </w:r>
            </w:hyperlink>
          </w:p>
        </w:tc>
      </w:tr>
      <w:tr w:rsidR="00DA4CAF" w:rsidRPr="009179E5" w:rsidTr="001C33A4">
        <w:trPr>
          <w:trHeight w:val="480"/>
        </w:trPr>
        <w:tc>
          <w:tcPr>
            <w:tcW w:w="3608" w:type="dxa"/>
            <w:gridSpan w:val="2"/>
          </w:tcPr>
          <w:p w:rsidR="00DA4CAF" w:rsidRPr="009179E5" w:rsidRDefault="00DA4CAF" w:rsidP="00ED43AD">
            <w:pPr>
              <w:pStyle w:val="Tabletext"/>
              <w:tabs>
                <w:tab w:val="left" w:pos="1440"/>
                <w:tab w:val="left" w:pos="5040"/>
              </w:tabs>
              <w:spacing w:before="0" w:after="0" w:line="240" w:lineRule="auto"/>
              <w:rPr>
                <w:rFonts w:ascii="Times New Roman" w:hAnsi="Times New Roman"/>
                <w:i/>
                <w:lang w:val="lv-LV"/>
              </w:rPr>
            </w:pPr>
            <w:r w:rsidRPr="009179E5">
              <w:rPr>
                <w:rFonts w:ascii="Times New Roman" w:hAnsi="Times New Roman"/>
                <w:i/>
                <w:lang w:val="lv-LV"/>
              </w:rPr>
              <w:t>Pasākuma nr.</w:t>
            </w:r>
          </w:p>
        </w:tc>
        <w:tc>
          <w:tcPr>
            <w:tcW w:w="4897" w:type="dxa"/>
          </w:tcPr>
          <w:p w:rsidR="00DA4CAF" w:rsidRPr="009179E5" w:rsidRDefault="00444ECF" w:rsidP="00ED43AD">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P</w:t>
            </w:r>
            <w:r w:rsidR="00DA4CAF" w:rsidRPr="009179E5">
              <w:rPr>
                <w:rFonts w:ascii="Times New Roman" w:hAnsi="Times New Roman"/>
                <w:b/>
                <w:szCs w:val="18"/>
                <w:lang w:val="lv-LV"/>
              </w:rPr>
              <w:t>A.</w:t>
            </w:r>
            <w:r w:rsidR="00ED43AD" w:rsidRPr="009179E5">
              <w:rPr>
                <w:rFonts w:ascii="Times New Roman" w:hAnsi="Times New Roman"/>
                <w:b/>
                <w:szCs w:val="18"/>
                <w:lang w:val="lv-LV"/>
              </w:rPr>
              <w:t>3.</w:t>
            </w:r>
            <w:r w:rsidR="00DA4CAF" w:rsidRPr="009179E5">
              <w:rPr>
                <w:rFonts w:ascii="Times New Roman" w:hAnsi="Times New Roman"/>
                <w:b/>
                <w:szCs w:val="18"/>
                <w:lang w:val="lv-LV"/>
              </w:rPr>
              <w:t>2.</w:t>
            </w:r>
          </w:p>
        </w:tc>
      </w:tr>
      <w:tr w:rsidR="00DA4CAF" w:rsidRPr="009179E5" w:rsidTr="001C33A4">
        <w:trPr>
          <w:trHeight w:val="476"/>
        </w:trPr>
        <w:tc>
          <w:tcPr>
            <w:tcW w:w="1198" w:type="dxa"/>
            <w:vMerge w:val="restart"/>
          </w:tcPr>
          <w:p w:rsidR="00DA4CAF" w:rsidRPr="009179E5" w:rsidRDefault="00DA4CAF" w:rsidP="00ED43AD">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Apraksts</w:t>
            </w:r>
          </w:p>
        </w:tc>
        <w:tc>
          <w:tcPr>
            <w:tcW w:w="2410" w:type="dxa"/>
          </w:tcPr>
          <w:p w:rsidR="00DA4CAF" w:rsidRPr="009179E5" w:rsidRDefault="00DA4CAF" w:rsidP="00ED43AD">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Kategorija</w:t>
            </w:r>
          </w:p>
        </w:tc>
        <w:tc>
          <w:tcPr>
            <w:tcW w:w="4897" w:type="dxa"/>
          </w:tcPr>
          <w:p w:rsidR="00DA4CAF" w:rsidRPr="009179E5" w:rsidRDefault="00DA4CAF" w:rsidP="00ED43AD">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Finanšu instruments (KPFI)</w:t>
            </w:r>
          </w:p>
        </w:tc>
      </w:tr>
      <w:tr w:rsidR="00DA4CAF" w:rsidRPr="009179E5" w:rsidTr="001C33A4">
        <w:trPr>
          <w:trHeight w:val="476"/>
        </w:trPr>
        <w:tc>
          <w:tcPr>
            <w:tcW w:w="1198" w:type="dxa"/>
            <w:vMerge/>
          </w:tcPr>
          <w:p w:rsidR="00DA4CAF" w:rsidRPr="009179E5" w:rsidRDefault="00DA4CAF" w:rsidP="00ED43AD">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ED43AD">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Īstenošanas laika grafiks</w:t>
            </w:r>
          </w:p>
        </w:tc>
        <w:tc>
          <w:tcPr>
            <w:tcW w:w="489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1843"/>
              <w:gridCol w:w="1944"/>
            </w:tblGrid>
            <w:tr w:rsidR="00DA4CAF" w:rsidRPr="009179E5" w:rsidTr="001C33A4">
              <w:tc>
                <w:tcPr>
                  <w:tcW w:w="879" w:type="dxa"/>
                </w:tcPr>
                <w:p w:rsidR="00DA4CAF" w:rsidRPr="009179E5" w:rsidRDefault="00DA4CAF" w:rsidP="00ED43AD">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Kārta </w:t>
                  </w:r>
                </w:p>
              </w:tc>
              <w:tc>
                <w:tcPr>
                  <w:tcW w:w="1843" w:type="dxa"/>
                </w:tcPr>
                <w:p w:rsidR="00DA4CAF" w:rsidRPr="009179E5" w:rsidRDefault="00DA4CAF" w:rsidP="00ED43AD">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Sākums </w:t>
                  </w:r>
                </w:p>
              </w:tc>
              <w:tc>
                <w:tcPr>
                  <w:tcW w:w="1944" w:type="dxa"/>
                </w:tcPr>
                <w:p w:rsidR="00DA4CAF" w:rsidRPr="009179E5" w:rsidRDefault="00DA4CAF" w:rsidP="00ED43AD">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Beigas </w:t>
                  </w:r>
                </w:p>
              </w:tc>
            </w:tr>
            <w:tr w:rsidR="00DA4CAF" w:rsidRPr="009179E5" w:rsidTr="001C33A4">
              <w:tc>
                <w:tcPr>
                  <w:tcW w:w="879" w:type="dxa"/>
                </w:tcPr>
                <w:p w:rsidR="00DA4CAF" w:rsidRPr="009179E5" w:rsidRDefault="00DA4CAF" w:rsidP="00ED43AD">
                  <w:pPr>
                    <w:pStyle w:val="Tabletext"/>
                    <w:tabs>
                      <w:tab w:val="left" w:pos="1440"/>
                      <w:tab w:val="left" w:pos="5040"/>
                    </w:tabs>
                    <w:spacing w:before="0" w:after="0" w:line="240" w:lineRule="auto"/>
                    <w:rPr>
                      <w:rFonts w:ascii="Times New Roman" w:hAnsi="Times New Roman"/>
                      <w:b/>
                      <w:szCs w:val="18"/>
                      <w:lang w:val="lv-LV"/>
                    </w:rPr>
                  </w:pPr>
                </w:p>
              </w:tc>
              <w:tc>
                <w:tcPr>
                  <w:tcW w:w="1843" w:type="dxa"/>
                </w:tcPr>
                <w:p w:rsidR="00DA4CAF" w:rsidRPr="009179E5" w:rsidRDefault="00DA4CAF" w:rsidP="00ED43AD">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Konkurss izsludināts 2010.gadā</w:t>
                  </w:r>
                </w:p>
              </w:tc>
              <w:tc>
                <w:tcPr>
                  <w:tcW w:w="1944" w:type="dxa"/>
                </w:tcPr>
                <w:p w:rsidR="00DA4CAF" w:rsidRPr="009179E5" w:rsidRDefault="00DA4CAF" w:rsidP="00ED43AD">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Konkursa ietvaros apstiprinātajos projektos paredzētās aktivitātes finansējuma saņēmējs īsteno līdz 2011.gada 1.decembrim.</w:t>
                  </w:r>
                </w:p>
              </w:tc>
            </w:tr>
          </w:tbl>
          <w:p w:rsidR="00DA4CAF" w:rsidRPr="009179E5" w:rsidRDefault="00DA4CAF" w:rsidP="00ED43AD">
            <w:pPr>
              <w:pStyle w:val="Tabletext"/>
              <w:tabs>
                <w:tab w:val="left" w:pos="1440"/>
                <w:tab w:val="left" w:pos="5040"/>
              </w:tabs>
              <w:spacing w:before="0" w:after="0" w:line="240" w:lineRule="auto"/>
              <w:rPr>
                <w:rFonts w:ascii="Times New Roman" w:hAnsi="Times New Roman"/>
                <w:b/>
                <w:szCs w:val="18"/>
                <w:lang w:val="lv-LV"/>
              </w:rPr>
            </w:pPr>
          </w:p>
        </w:tc>
      </w:tr>
      <w:tr w:rsidR="00DA4CAF" w:rsidRPr="009179E5" w:rsidTr="001C33A4">
        <w:trPr>
          <w:trHeight w:val="476"/>
        </w:trPr>
        <w:tc>
          <w:tcPr>
            <w:tcW w:w="1198" w:type="dxa"/>
            <w:vMerge/>
          </w:tcPr>
          <w:p w:rsidR="00DA4CAF" w:rsidRPr="009179E5" w:rsidRDefault="00DA4CAF" w:rsidP="00ED43AD">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ED43AD">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Mērķis</w:t>
            </w:r>
          </w:p>
        </w:tc>
        <w:tc>
          <w:tcPr>
            <w:tcW w:w="4897" w:type="dxa"/>
          </w:tcPr>
          <w:p w:rsidR="00DA4CAF" w:rsidRPr="009179E5" w:rsidRDefault="00DA4CAF" w:rsidP="00ED43AD">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eastAsia="Calibri" w:hAnsi="Times New Roman"/>
                <w:b/>
                <w:color w:val="000000"/>
                <w:szCs w:val="18"/>
                <w:lang w:val="lv-LV" w:eastAsia="lv-LV"/>
              </w:rPr>
              <w:t>O</w:t>
            </w:r>
            <w:r w:rsidRPr="009179E5">
              <w:rPr>
                <w:rFonts w:ascii="Times New Roman" w:hAnsi="Times New Roman"/>
                <w:b/>
                <w:szCs w:val="18"/>
                <w:lang w:val="lv-LV"/>
              </w:rPr>
              <w:t>glekļa dioksīda emisiju samazināšana, samazinot siltumenerģijas un apgaismojuma elektroenerģijas patēriņu Latvijas Republikas augstākās izglītības iestāžu ēkās</w:t>
            </w:r>
          </w:p>
        </w:tc>
      </w:tr>
      <w:tr w:rsidR="00DA4CAF" w:rsidRPr="009179E5" w:rsidTr="001C33A4">
        <w:trPr>
          <w:trHeight w:val="476"/>
        </w:trPr>
        <w:tc>
          <w:tcPr>
            <w:tcW w:w="1198" w:type="dxa"/>
            <w:vMerge/>
          </w:tcPr>
          <w:p w:rsidR="00DA4CAF" w:rsidRPr="009179E5" w:rsidRDefault="00DA4CAF" w:rsidP="00ED43AD">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ED43AD">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galapatēriņa sektors</w:t>
            </w:r>
          </w:p>
        </w:tc>
        <w:tc>
          <w:tcPr>
            <w:tcW w:w="4897" w:type="dxa"/>
          </w:tcPr>
          <w:p w:rsidR="00DA4CAF" w:rsidRPr="009179E5" w:rsidRDefault="00DA4CAF" w:rsidP="00ED43AD">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Ēkas</w:t>
            </w:r>
          </w:p>
        </w:tc>
      </w:tr>
      <w:tr w:rsidR="00DA4CAF" w:rsidRPr="009179E5" w:rsidTr="001C33A4">
        <w:trPr>
          <w:trHeight w:val="476"/>
        </w:trPr>
        <w:tc>
          <w:tcPr>
            <w:tcW w:w="1198" w:type="dxa"/>
            <w:vMerge/>
          </w:tcPr>
          <w:p w:rsidR="00DA4CAF" w:rsidRPr="009179E5" w:rsidRDefault="00DA4CAF" w:rsidP="00ED43AD">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ED43AD">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Mērķauditorija</w:t>
            </w:r>
          </w:p>
        </w:tc>
        <w:tc>
          <w:tcPr>
            <w:tcW w:w="4897" w:type="dxa"/>
          </w:tcPr>
          <w:p w:rsidR="00DA4CAF" w:rsidRPr="009179E5" w:rsidRDefault="00DA4CAF" w:rsidP="00ED43AD">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Tiešās vai pastarpinātās pārvaldes iestāde, Latvijas Republikas pilsētas vai novada pašvaldības dome, Latvijas Republikā reģistrēts sīkais (mikro), mazais vai vidējais komersants un fiziska persona</w:t>
            </w:r>
          </w:p>
        </w:tc>
      </w:tr>
      <w:tr w:rsidR="00DA4CAF" w:rsidRPr="009179E5" w:rsidTr="001C33A4">
        <w:trPr>
          <w:trHeight w:val="476"/>
        </w:trPr>
        <w:tc>
          <w:tcPr>
            <w:tcW w:w="1198" w:type="dxa"/>
            <w:vMerge/>
          </w:tcPr>
          <w:p w:rsidR="00DA4CAF" w:rsidRPr="009179E5" w:rsidRDefault="00DA4CAF" w:rsidP="00ED43AD">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ED43AD">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Pasākuma ieviešanas teritorija</w:t>
            </w:r>
          </w:p>
        </w:tc>
        <w:tc>
          <w:tcPr>
            <w:tcW w:w="4897" w:type="dxa"/>
          </w:tcPr>
          <w:p w:rsidR="00DA4CAF" w:rsidRPr="009179E5" w:rsidRDefault="00DA4CAF" w:rsidP="00ED43AD">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Latvijas Republika </w:t>
            </w:r>
          </w:p>
        </w:tc>
      </w:tr>
      <w:tr w:rsidR="00DA4CAF" w:rsidRPr="009179E5" w:rsidTr="001C33A4">
        <w:trPr>
          <w:trHeight w:val="476"/>
        </w:trPr>
        <w:tc>
          <w:tcPr>
            <w:tcW w:w="1198" w:type="dxa"/>
            <w:vMerge w:val="restart"/>
          </w:tcPr>
          <w:p w:rsidR="00DA4CAF" w:rsidRPr="009179E5" w:rsidRDefault="00DA4CAF" w:rsidP="00ED43AD">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Informācija un ieviešana</w:t>
            </w:r>
          </w:p>
        </w:tc>
        <w:tc>
          <w:tcPr>
            <w:tcW w:w="2410" w:type="dxa"/>
          </w:tcPr>
          <w:p w:rsidR="00DA4CAF" w:rsidRPr="009179E5" w:rsidRDefault="00DA4CAF" w:rsidP="00ED43AD">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Enerģijas ietaupījumu sasniegšanas pasākumu saraksts un pasākuma pamatapraksts</w:t>
            </w:r>
          </w:p>
        </w:tc>
        <w:tc>
          <w:tcPr>
            <w:tcW w:w="4897" w:type="dxa"/>
          </w:tcPr>
          <w:p w:rsidR="00DA4CAF" w:rsidRPr="009179E5" w:rsidRDefault="00DA4CAF" w:rsidP="00ED43AD">
            <w:pPr>
              <w:autoSpaceDE w:val="0"/>
              <w:autoSpaceDN w:val="0"/>
              <w:adjustRightInd w:val="0"/>
              <w:spacing w:after="0" w:line="240" w:lineRule="auto"/>
              <w:jc w:val="both"/>
              <w:rPr>
                <w:rFonts w:ascii="Times New Roman" w:hAnsi="Times New Roman"/>
                <w:b/>
                <w:color w:val="000000"/>
                <w:sz w:val="18"/>
                <w:szCs w:val="18"/>
                <w:lang w:val="lv-LV" w:eastAsia="lv-LV"/>
              </w:rPr>
            </w:pPr>
            <w:r w:rsidRPr="009179E5">
              <w:rPr>
                <w:rFonts w:ascii="Times New Roman" w:hAnsi="Times New Roman"/>
                <w:b/>
                <w:color w:val="000000"/>
                <w:sz w:val="18"/>
                <w:szCs w:val="18"/>
                <w:lang w:val="lv-LV" w:eastAsia="lv-LV"/>
              </w:rPr>
              <w:t xml:space="preserve">Konkursa ietvaros atbalstāmas ir šādas projekta aktivitātes: </w:t>
            </w:r>
          </w:p>
          <w:p w:rsidR="00DA4CAF" w:rsidRPr="009179E5" w:rsidRDefault="00DA4CAF" w:rsidP="00ED43AD">
            <w:pPr>
              <w:autoSpaceDE w:val="0"/>
              <w:autoSpaceDN w:val="0"/>
              <w:adjustRightInd w:val="0"/>
              <w:spacing w:after="0" w:line="240" w:lineRule="auto"/>
              <w:jc w:val="both"/>
              <w:rPr>
                <w:rFonts w:ascii="Times New Roman" w:hAnsi="Times New Roman"/>
                <w:b/>
                <w:color w:val="000000"/>
                <w:sz w:val="18"/>
                <w:szCs w:val="18"/>
                <w:lang w:val="lv-LV" w:eastAsia="lv-LV"/>
              </w:rPr>
            </w:pPr>
            <w:r w:rsidRPr="009179E5">
              <w:rPr>
                <w:rFonts w:ascii="Times New Roman" w:hAnsi="Times New Roman"/>
                <w:b/>
                <w:color w:val="000000"/>
                <w:sz w:val="18"/>
                <w:szCs w:val="18"/>
                <w:lang w:val="lv-LV" w:eastAsia="lv-LV"/>
              </w:rPr>
              <w:t xml:space="preserve">1. energoaudita pārskata sagatavošana un tehniskās apsekošanas atzinuma izstrāde (ēkas rekonstrukcijas projektā), un ēkas enerģijas patēriņa aprēķina veikšana jaunbūves projektā, kas sagatavots atbilstoši šo noteikumu 3.pielikuma 6.4.apakšpunktam; </w:t>
            </w:r>
          </w:p>
          <w:p w:rsidR="00DA4CAF" w:rsidRPr="009179E5" w:rsidRDefault="00DA4CAF" w:rsidP="00ED43AD">
            <w:pPr>
              <w:autoSpaceDE w:val="0"/>
              <w:autoSpaceDN w:val="0"/>
              <w:adjustRightInd w:val="0"/>
              <w:spacing w:after="0" w:line="240" w:lineRule="auto"/>
              <w:jc w:val="both"/>
              <w:rPr>
                <w:rFonts w:ascii="Times New Roman" w:hAnsi="Times New Roman"/>
                <w:b/>
                <w:color w:val="000000"/>
                <w:sz w:val="18"/>
                <w:szCs w:val="18"/>
                <w:lang w:val="lv-LV" w:eastAsia="lv-LV"/>
              </w:rPr>
            </w:pPr>
            <w:r w:rsidRPr="009179E5">
              <w:rPr>
                <w:rFonts w:ascii="Times New Roman" w:hAnsi="Times New Roman"/>
                <w:b/>
                <w:color w:val="000000"/>
                <w:sz w:val="18"/>
                <w:szCs w:val="18"/>
                <w:lang w:val="lv-LV" w:eastAsia="lv-LV"/>
              </w:rPr>
              <w:t xml:space="preserve">2. būvprojekta un tehniskās dokumentācijas sagatavošana un saskaņošana ēku energoefektivitāti un būvniecību regulējošajos normatīvajos aktos noteiktajā kārtībā; </w:t>
            </w:r>
          </w:p>
          <w:p w:rsidR="00DA4CAF" w:rsidRPr="009179E5" w:rsidRDefault="00DA4CAF" w:rsidP="00ED43AD">
            <w:pPr>
              <w:autoSpaceDE w:val="0"/>
              <w:autoSpaceDN w:val="0"/>
              <w:adjustRightInd w:val="0"/>
              <w:spacing w:after="0" w:line="240" w:lineRule="auto"/>
              <w:jc w:val="both"/>
              <w:rPr>
                <w:rFonts w:ascii="Times New Roman" w:hAnsi="Times New Roman"/>
                <w:b/>
                <w:color w:val="000000"/>
                <w:sz w:val="18"/>
                <w:szCs w:val="18"/>
                <w:lang w:val="lv-LV" w:eastAsia="lv-LV"/>
              </w:rPr>
            </w:pPr>
            <w:r w:rsidRPr="009179E5">
              <w:rPr>
                <w:rFonts w:ascii="Times New Roman" w:hAnsi="Times New Roman"/>
                <w:b/>
                <w:color w:val="000000"/>
                <w:sz w:val="18"/>
                <w:szCs w:val="18"/>
                <w:lang w:val="lv-LV" w:eastAsia="lv-LV"/>
              </w:rPr>
              <w:t xml:space="preserve">3. zema enerģijas patēriņa ēku būvniecība; </w:t>
            </w:r>
          </w:p>
          <w:p w:rsidR="00DA4CAF" w:rsidRPr="009179E5" w:rsidRDefault="00DA4CAF" w:rsidP="00ED43AD">
            <w:pPr>
              <w:autoSpaceDE w:val="0"/>
              <w:autoSpaceDN w:val="0"/>
              <w:adjustRightInd w:val="0"/>
              <w:spacing w:after="0" w:line="240" w:lineRule="auto"/>
              <w:jc w:val="both"/>
              <w:rPr>
                <w:rFonts w:ascii="Times New Roman" w:hAnsi="Times New Roman"/>
                <w:b/>
                <w:color w:val="000000"/>
                <w:sz w:val="18"/>
                <w:szCs w:val="18"/>
                <w:lang w:val="lv-LV" w:eastAsia="lv-LV"/>
              </w:rPr>
            </w:pPr>
            <w:r w:rsidRPr="009179E5">
              <w:rPr>
                <w:rFonts w:ascii="Times New Roman" w:hAnsi="Times New Roman"/>
                <w:b/>
                <w:color w:val="000000"/>
                <w:sz w:val="18"/>
                <w:szCs w:val="18"/>
                <w:lang w:val="lv-LV" w:eastAsia="lv-LV"/>
              </w:rPr>
              <w:t xml:space="preserve">4. energoefektivitāti paaugstinošu rekonstrukcijas darbu veikšana; </w:t>
            </w:r>
          </w:p>
          <w:p w:rsidR="00DA4CAF" w:rsidRPr="009179E5" w:rsidRDefault="00DA4CAF" w:rsidP="00ED43AD">
            <w:pPr>
              <w:autoSpaceDE w:val="0"/>
              <w:autoSpaceDN w:val="0"/>
              <w:adjustRightInd w:val="0"/>
              <w:spacing w:after="0" w:line="240" w:lineRule="auto"/>
              <w:jc w:val="both"/>
              <w:rPr>
                <w:rFonts w:ascii="Times New Roman" w:hAnsi="Times New Roman"/>
                <w:b/>
                <w:color w:val="000000"/>
                <w:sz w:val="18"/>
                <w:szCs w:val="18"/>
                <w:lang w:val="lv-LV" w:eastAsia="lv-LV"/>
              </w:rPr>
            </w:pPr>
            <w:r w:rsidRPr="009179E5">
              <w:rPr>
                <w:rFonts w:ascii="Times New Roman" w:hAnsi="Times New Roman"/>
                <w:b/>
                <w:color w:val="000000"/>
                <w:sz w:val="18"/>
                <w:szCs w:val="18"/>
                <w:lang w:val="lv-LV" w:eastAsia="lv-LV"/>
              </w:rPr>
              <w:t xml:space="preserve">5. siltumapgādes sistēmas maiņa no fosilajiem energoresursiem uz atjaunojamiem enerģijas avotiem, tai skaitā atjaunojamo enerģijas avotu (saules kolektori, granulu vai šķeldas apkures katli, siltumsūkņi ar transformācijas koeficientu, kas atbilst šo noteikumu 1.pielikuma 2.tabulai) uzstādīšana un pieslēgšana, ja iekārtas uzstādītā siltuma jauda pēc projekta īstenošanas nepārsniedz aprēķināto nepieciešamo jaudu apkures un karstā ūdens apgādes nodrošināšanai vairāk nekā par 10 % (attiecināms uz ēkas rekonstrukcijas projektu); </w:t>
            </w:r>
          </w:p>
          <w:p w:rsidR="00DA4CAF" w:rsidRPr="009179E5" w:rsidRDefault="00DA4CAF" w:rsidP="00ED43AD">
            <w:pPr>
              <w:autoSpaceDE w:val="0"/>
              <w:autoSpaceDN w:val="0"/>
              <w:adjustRightInd w:val="0"/>
              <w:spacing w:after="0" w:line="240" w:lineRule="auto"/>
              <w:jc w:val="both"/>
              <w:rPr>
                <w:rFonts w:ascii="Times New Roman" w:hAnsi="Times New Roman"/>
                <w:b/>
                <w:color w:val="000000"/>
                <w:sz w:val="18"/>
                <w:szCs w:val="18"/>
                <w:lang w:val="lv-LV" w:eastAsia="lv-LV"/>
              </w:rPr>
            </w:pPr>
            <w:r w:rsidRPr="009179E5">
              <w:rPr>
                <w:rFonts w:ascii="Times New Roman" w:hAnsi="Times New Roman"/>
                <w:b/>
                <w:color w:val="000000"/>
                <w:sz w:val="18"/>
                <w:szCs w:val="18"/>
                <w:lang w:val="lv-LV" w:eastAsia="lv-LV"/>
              </w:rPr>
              <w:t xml:space="preserve">6. ēkas norobežojošo konstrukciju pārbaude būvniecības stadijā (gaiscaurlaidības testu un termofotografēšanas veikšana); </w:t>
            </w:r>
          </w:p>
          <w:p w:rsidR="00DA4CAF" w:rsidRPr="009179E5" w:rsidRDefault="00DA4CAF" w:rsidP="00ED43AD">
            <w:pPr>
              <w:pStyle w:val="Tabletext"/>
              <w:tabs>
                <w:tab w:val="left" w:pos="175"/>
                <w:tab w:val="left" w:pos="5040"/>
              </w:tabs>
              <w:spacing w:before="0" w:after="0" w:line="240" w:lineRule="auto"/>
              <w:ind w:left="33"/>
              <w:rPr>
                <w:rFonts w:ascii="Times New Roman" w:hAnsi="Times New Roman"/>
                <w:b/>
                <w:szCs w:val="18"/>
                <w:lang w:val="lv-LV"/>
              </w:rPr>
            </w:pPr>
            <w:r w:rsidRPr="009179E5">
              <w:rPr>
                <w:rFonts w:ascii="Times New Roman" w:eastAsia="Calibri" w:hAnsi="Times New Roman"/>
                <w:b/>
                <w:color w:val="000000"/>
                <w:szCs w:val="18"/>
                <w:lang w:val="lv-LV" w:eastAsia="lv-LV"/>
              </w:rPr>
              <w:t>7. projekta publicitātes pasākumi.</w:t>
            </w:r>
          </w:p>
        </w:tc>
      </w:tr>
      <w:tr w:rsidR="00DA4CAF" w:rsidRPr="009179E5" w:rsidTr="001C33A4">
        <w:trPr>
          <w:trHeight w:val="476"/>
        </w:trPr>
        <w:tc>
          <w:tcPr>
            <w:tcW w:w="1198" w:type="dxa"/>
            <w:vMerge/>
          </w:tcPr>
          <w:p w:rsidR="00DA4CAF" w:rsidRPr="009179E5" w:rsidRDefault="00DA4CAF" w:rsidP="00ED43AD">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ED43AD">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Budžets un finansējuma avots</w:t>
            </w:r>
          </w:p>
        </w:tc>
        <w:tc>
          <w:tcPr>
            <w:tcW w:w="4897" w:type="dxa"/>
          </w:tcPr>
          <w:p w:rsidR="00DA4CAF" w:rsidRPr="009179E5" w:rsidRDefault="00DA4CAF" w:rsidP="00ED43AD">
            <w:pPr>
              <w:pStyle w:val="Default"/>
              <w:rPr>
                <w:b/>
                <w:sz w:val="18"/>
                <w:szCs w:val="18"/>
              </w:rPr>
            </w:pPr>
            <w:r w:rsidRPr="009179E5">
              <w:rPr>
                <w:b/>
                <w:sz w:val="18"/>
                <w:szCs w:val="18"/>
              </w:rPr>
              <w:t>KPFI finansējums – 7</w:t>
            </w:r>
            <w:r w:rsidR="00DC2FB2" w:rsidRPr="009179E5">
              <w:rPr>
                <w:b/>
                <w:sz w:val="18"/>
                <w:szCs w:val="18"/>
              </w:rPr>
              <w:t>,</w:t>
            </w:r>
            <w:r w:rsidRPr="009179E5">
              <w:rPr>
                <w:b/>
                <w:sz w:val="18"/>
                <w:szCs w:val="18"/>
              </w:rPr>
              <w:t>028</w:t>
            </w:r>
            <w:r w:rsidR="00DC2FB2" w:rsidRPr="009179E5">
              <w:rPr>
                <w:b/>
                <w:sz w:val="18"/>
                <w:szCs w:val="18"/>
              </w:rPr>
              <w:t xml:space="preserve"> milj.</w:t>
            </w:r>
            <w:r w:rsidRPr="009179E5">
              <w:rPr>
                <w:b/>
                <w:sz w:val="18"/>
                <w:szCs w:val="18"/>
              </w:rPr>
              <w:t xml:space="preserve"> LVL</w:t>
            </w:r>
          </w:p>
          <w:p w:rsidR="00DA4CAF" w:rsidRPr="009179E5" w:rsidRDefault="00DA4CAF" w:rsidP="00DC617A">
            <w:pPr>
              <w:pStyle w:val="Default"/>
              <w:rPr>
                <w:b/>
                <w:sz w:val="18"/>
                <w:szCs w:val="18"/>
              </w:rPr>
            </w:pPr>
            <w:r w:rsidRPr="009179E5">
              <w:rPr>
                <w:b/>
                <w:sz w:val="18"/>
                <w:szCs w:val="18"/>
              </w:rPr>
              <w:t>Projektu iesniedzēju līdzfinansējums – 2</w:t>
            </w:r>
            <w:r w:rsidR="00DC617A" w:rsidRPr="009179E5">
              <w:rPr>
                <w:b/>
                <w:sz w:val="18"/>
                <w:szCs w:val="18"/>
              </w:rPr>
              <w:t>,</w:t>
            </w:r>
            <w:r w:rsidRPr="009179E5">
              <w:rPr>
                <w:b/>
                <w:sz w:val="18"/>
                <w:szCs w:val="18"/>
              </w:rPr>
              <w:t>3</w:t>
            </w:r>
            <w:r w:rsidR="00DC617A" w:rsidRPr="009179E5">
              <w:rPr>
                <w:b/>
                <w:sz w:val="18"/>
                <w:szCs w:val="18"/>
              </w:rPr>
              <w:t xml:space="preserve"> milj.</w:t>
            </w:r>
            <w:r w:rsidRPr="009179E5">
              <w:rPr>
                <w:b/>
                <w:sz w:val="18"/>
                <w:szCs w:val="18"/>
              </w:rPr>
              <w:t xml:space="preserve"> </w:t>
            </w:r>
            <w:smartTag w:uri="schemas-tilde-lv/tildestengine" w:element="currency">
              <w:smartTagPr>
                <w:attr w:name="currency_text" w:val="LVL"/>
                <w:attr w:name="currency_value" w:val="1"/>
                <w:attr w:name="currency_key" w:val="LVL"/>
                <w:attr w:name="currency_id" w:val="48"/>
              </w:smartTagPr>
              <w:r w:rsidRPr="009179E5">
                <w:rPr>
                  <w:b/>
                  <w:sz w:val="18"/>
                  <w:szCs w:val="18"/>
                </w:rPr>
                <w:t>LVL</w:t>
              </w:r>
            </w:smartTag>
          </w:p>
        </w:tc>
      </w:tr>
      <w:tr w:rsidR="00DA4CAF" w:rsidRPr="009179E5" w:rsidTr="001C33A4">
        <w:trPr>
          <w:trHeight w:val="476"/>
        </w:trPr>
        <w:tc>
          <w:tcPr>
            <w:tcW w:w="1198" w:type="dxa"/>
            <w:vMerge/>
          </w:tcPr>
          <w:p w:rsidR="00DA4CAF" w:rsidRPr="009179E5" w:rsidRDefault="00DA4CAF" w:rsidP="00ED43AD">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ED43AD">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Ieviesējs</w:t>
            </w:r>
          </w:p>
        </w:tc>
        <w:tc>
          <w:tcPr>
            <w:tcW w:w="4897" w:type="dxa"/>
          </w:tcPr>
          <w:p w:rsidR="00DA4CAF" w:rsidRPr="009179E5" w:rsidRDefault="00DA4CAF" w:rsidP="00ED43AD">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SIA „Vides investīciju fonds”</w:t>
            </w:r>
          </w:p>
        </w:tc>
      </w:tr>
      <w:tr w:rsidR="00DA4CAF" w:rsidRPr="009179E5" w:rsidTr="001C33A4">
        <w:trPr>
          <w:trHeight w:val="476"/>
        </w:trPr>
        <w:tc>
          <w:tcPr>
            <w:tcW w:w="1198" w:type="dxa"/>
            <w:vMerge/>
          </w:tcPr>
          <w:p w:rsidR="00DA4CAF" w:rsidRPr="009179E5" w:rsidRDefault="00DA4CAF" w:rsidP="00ED43AD">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ED43AD">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Monitoringa (kontroles) institūcija</w:t>
            </w:r>
          </w:p>
        </w:tc>
        <w:tc>
          <w:tcPr>
            <w:tcW w:w="4897" w:type="dxa"/>
          </w:tcPr>
          <w:p w:rsidR="00DA4CAF" w:rsidRPr="009179E5" w:rsidRDefault="00DA4CAF" w:rsidP="00ED43AD">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Vides aizsardzības un reģionālās attīstības ministrija, SIA „Vides investīciju fonds”</w:t>
            </w:r>
          </w:p>
        </w:tc>
      </w:tr>
      <w:tr w:rsidR="00F358E9" w:rsidRPr="009179E5" w:rsidTr="001C33A4">
        <w:trPr>
          <w:trHeight w:val="476"/>
        </w:trPr>
        <w:tc>
          <w:tcPr>
            <w:tcW w:w="1198" w:type="dxa"/>
            <w:vMerge w:val="restart"/>
          </w:tcPr>
          <w:p w:rsidR="00F358E9" w:rsidRPr="009179E5" w:rsidRDefault="00F358E9" w:rsidP="00ED43AD">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ietaupījumi</w:t>
            </w:r>
          </w:p>
        </w:tc>
        <w:tc>
          <w:tcPr>
            <w:tcW w:w="2410" w:type="dxa"/>
          </w:tcPr>
          <w:p w:rsidR="00F358E9" w:rsidRPr="009179E5" w:rsidRDefault="00F358E9" w:rsidP="00ED43AD">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Sasniegto enerģijas ietaupījumu aprēķina metode</w:t>
            </w:r>
          </w:p>
        </w:tc>
        <w:tc>
          <w:tcPr>
            <w:tcW w:w="4897" w:type="dxa"/>
          </w:tcPr>
          <w:p w:rsidR="00F358E9" w:rsidRPr="009179E5" w:rsidRDefault="000E17C9" w:rsidP="00ED43AD">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Augšupvērstā</w:t>
            </w:r>
          </w:p>
        </w:tc>
      </w:tr>
      <w:tr w:rsidR="00F358E9" w:rsidRPr="009179E5" w:rsidTr="001C33A4">
        <w:trPr>
          <w:trHeight w:val="476"/>
        </w:trPr>
        <w:tc>
          <w:tcPr>
            <w:tcW w:w="1198" w:type="dxa"/>
            <w:vMerge/>
          </w:tcPr>
          <w:p w:rsidR="00F358E9" w:rsidRPr="009179E5" w:rsidRDefault="00F358E9" w:rsidP="00ED43AD">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F358E9" w:rsidRPr="009179E5" w:rsidRDefault="00F358E9" w:rsidP="00ED43AD">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2016.gads</w:t>
            </w:r>
          </w:p>
        </w:tc>
        <w:tc>
          <w:tcPr>
            <w:tcW w:w="4897" w:type="dxa"/>
          </w:tcPr>
          <w:p w:rsidR="00F358E9" w:rsidRPr="009179E5" w:rsidRDefault="00F358E9" w:rsidP="00ED43AD">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60,55</w:t>
            </w:r>
            <w:r w:rsidR="00581F9F" w:rsidRPr="009179E5">
              <w:rPr>
                <w:rFonts w:ascii="Times New Roman" w:hAnsi="Times New Roman"/>
                <w:b/>
                <w:szCs w:val="18"/>
                <w:lang w:val="lv-LV"/>
              </w:rPr>
              <w:t xml:space="preserve"> GWh</w:t>
            </w:r>
          </w:p>
        </w:tc>
      </w:tr>
      <w:tr w:rsidR="00F358E9" w:rsidRPr="009179E5" w:rsidTr="001C33A4">
        <w:trPr>
          <w:trHeight w:val="476"/>
        </w:trPr>
        <w:tc>
          <w:tcPr>
            <w:tcW w:w="1198" w:type="dxa"/>
            <w:vMerge/>
          </w:tcPr>
          <w:p w:rsidR="00F358E9" w:rsidRPr="009179E5" w:rsidRDefault="00F358E9" w:rsidP="00ED43AD">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F358E9" w:rsidRPr="009179E5" w:rsidRDefault="00F358E9" w:rsidP="00ED43AD">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2020.gads</w:t>
            </w:r>
          </w:p>
        </w:tc>
        <w:tc>
          <w:tcPr>
            <w:tcW w:w="4897" w:type="dxa"/>
          </w:tcPr>
          <w:p w:rsidR="00F358E9" w:rsidRPr="009179E5" w:rsidRDefault="00F358E9" w:rsidP="00ED43AD">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108,99</w:t>
            </w:r>
            <w:r w:rsidR="00581F9F" w:rsidRPr="009179E5">
              <w:rPr>
                <w:rFonts w:ascii="Times New Roman" w:hAnsi="Times New Roman"/>
                <w:b/>
                <w:szCs w:val="18"/>
                <w:lang w:val="lv-LV"/>
              </w:rPr>
              <w:t xml:space="preserve"> GWh</w:t>
            </w:r>
          </w:p>
        </w:tc>
      </w:tr>
      <w:tr w:rsidR="00D74CE0" w:rsidRPr="009179E5" w:rsidTr="001C33A4">
        <w:trPr>
          <w:trHeight w:val="476"/>
        </w:trPr>
        <w:tc>
          <w:tcPr>
            <w:tcW w:w="1198" w:type="dxa"/>
          </w:tcPr>
          <w:p w:rsidR="00D74CE0" w:rsidRPr="009179E5" w:rsidRDefault="00D74CE0" w:rsidP="00ED43AD">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74CE0" w:rsidRPr="009179E5" w:rsidRDefault="00D74CE0" w:rsidP="00ED43AD">
            <w:pPr>
              <w:pStyle w:val="Tabletext"/>
              <w:tabs>
                <w:tab w:val="left" w:pos="1440"/>
                <w:tab w:val="left" w:pos="5040"/>
              </w:tabs>
              <w:spacing w:before="0" w:after="0" w:line="240" w:lineRule="auto"/>
              <w:rPr>
                <w:rFonts w:ascii="Times New Roman" w:hAnsi="Times New Roman"/>
                <w:szCs w:val="18"/>
                <w:lang w:val="lv-LV"/>
              </w:rPr>
            </w:pPr>
            <w:r>
              <w:rPr>
                <w:rFonts w:ascii="Times New Roman" w:hAnsi="Times New Roman"/>
                <w:szCs w:val="18"/>
                <w:lang w:val="lv-LV"/>
              </w:rPr>
              <w:t>Cita informācija</w:t>
            </w:r>
          </w:p>
        </w:tc>
        <w:tc>
          <w:tcPr>
            <w:tcW w:w="4897" w:type="dxa"/>
          </w:tcPr>
          <w:p w:rsidR="00D74CE0" w:rsidRPr="009179E5" w:rsidRDefault="00D74CE0" w:rsidP="00ED43AD">
            <w:pPr>
              <w:pStyle w:val="Tabletext"/>
              <w:tabs>
                <w:tab w:val="left" w:pos="1440"/>
                <w:tab w:val="left" w:pos="5040"/>
              </w:tabs>
              <w:spacing w:before="0" w:after="0" w:line="240" w:lineRule="auto"/>
              <w:rPr>
                <w:rFonts w:ascii="Times New Roman" w:hAnsi="Times New Roman"/>
                <w:b/>
                <w:szCs w:val="18"/>
                <w:lang w:val="lv-LV"/>
              </w:rPr>
            </w:pPr>
            <w:r>
              <w:rPr>
                <w:rFonts w:ascii="Times New Roman" w:hAnsi="Times New Roman"/>
                <w:b/>
                <w:szCs w:val="18"/>
                <w:lang w:val="lv-LV"/>
              </w:rPr>
              <w:t>Sagaidāmais enerģijas ietaupījums pret KPFI finansējumu 1,72 MWh/gadā/tūkst.LVL</w:t>
            </w:r>
          </w:p>
        </w:tc>
      </w:tr>
    </w:tbl>
    <w:p w:rsidR="007254F6" w:rsidRPr="001960CF" w:rsidRDefault="007254F6" w:rsidP="007254F6">
      <w:pPr>
        <w:pStyle w:val="Caption"/>
        <w:spacing w:after="0" w:line="240" w:lineRule="auto"/>
        <w:jc w:val="right"/>
        <w:rPr>
          <w:rFonts w:ascii="Times New Roman" w:hAnsi="Times New Roman"/>
          <w:sz w:val="24"/>
          <w:lang w:val="lv-LV"/>
        </w:rPr>
      </w:pPr>
    </w:p>
    <w:p w:rsidR="00763085" w:rsidRPr="009179E5" w:rsidRDefault="00C33D32" w:rsidP="007254F6">
      <w:pPr>
        <w:pStyle w:val="Caption"/>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t>18</w:t>
      </w:r>
      <w:r w:rsidR="00763085" w:rsidRPr="009179E5">
        <w:rPr>
          <w:rFonts w:ascii="Times New Roman" w:hAnsi="Times New Roman"/>
          <w:sz w:val="24"/>
          <w:szCs w:val="24"/>
          <w:lang w:val="lv-LV"/>
        </w:rPr>
        <w:t>.tabula</w:t>
      </w:r>
    </w:p>
    <w:p w:rsidR="00763085" w:rsidRPr="009179E5" w:rsidRDefault="00763085" w:rsidP="007254F6">
      <w:pPr>
        <w:pStyle w:val="Caption"/>
        <w:spacing w:after="0" w:line="240" w:lineRule="auto"/>
        <w:jc w:val="center"/>
        <w:rPr>
          <w:rFonts w:ascii="Times New Roman" w:hAnsi="Times New Roman"/>
          <w:sz w:val="24"/>
          <w:szCs w:val="24"/>
          <w:lang w:val="lv-LV"/>
        </w:rPr>
      </w:pPr>
      <w:r w:rsidRPr="009179E5">
        <w:rPr>
          <w:rFonts w:ascii="Times New Roman" w:hAnsi="Times New Roman"/>
          <w:sz w:val="24"/>
          <w:szCs w:val="24"/>
          <w:lang w:val="lv-LV"/>
        </w:rPr>
        <w:t>Pasākuma Nr.PA.</w:t>
      </w:r>
      <w:r w:rsidR="007254F6" w:rsidRPr="009179E5">
        <w:rPr>
          <w:rFonts w:ascii="Times New Roman" w:hAnsi="Times New Roman"/>
          <w:sz w:val="24"/>
          <w:szCs w:val="24"/>
          <w:lang w:val="lv-LV"/>
        </w:rPr>
        <w:t>3.</w:t>
      </w:r>
      <w:r w:rsidRPr="009179E5">
        <w:rPr>
          <w:rFonts w:ascii="Times New Roman" w:hAnsi="Times New Roman"/>
          <w:sz w:val="24"/>
          <w:szCs w:val="24"/>
          <w:lang w:val="lv-LV"/>
        </w:rPr>
        <w:t>3. „Energoefektivitātes paaugstināšana pašvaldību ēkās 1.kārta</w:t>
      </w:r>
    </w:p>
    <w:p w:rsidR="00763085" w:rsidRPr="009179E5" w:rsidRDefault="00763085" w:rsidP="007254F6">
      <w:pPr>
        <w:pStyle w:val="Caption"/>
        <w:spacing w:after="0" w:line="240" w:lineRule="auto"/>
        <w:jc w:val="center"/>
        <w:rPr>
          <w:rFonts w:ascii="Times New Roman" w:hAnsi="Times New Roman"/>
          <w:b w:val="0"/>
          <w:sz w:val="28"/>
          <w:szCs w:val="28"/>
          <w:u w:val="single"/>
          <w:lang w:val="lv-LV"/>
        </w:rPr>
      </w:pPr>
      <w:r w:rsidRPr="009179E5">
        <w:rPr>
          <w:rFonts w:ascii="Times New Roman" w:hAnsi="Times New Roman"/>
          <w:sz w:val="24"/>
          <w:szCs w:val="24"/>
          <w:lang w:val="lv-LV"/>
        </w:rPr>
        <w:t>Kompleksi risinājumi siltumnīcefekta gāzu emisiju samazināšanai pašvaldību ēkās 2.kārta” apraksts</w:t>
      </w:r>
      <w:r w:rsidRPr="009179E5">
        <w:rPr>
          <w:rFonts w:ascii="Times New Roman" w:hAnsi="Times New Roman"/>
          <w:b w:val="0"/>
          <w:sz w:val="28"/>
          <w:szCs w:val="28"/>
          <w:u w:val="single"/>
          <w:lang w:val="lv-LV"/>
        </w:rPr>
        <w:t xml:space="preserve"> </w:t>
      </w:r>
    </w:p>
    <w:tbl>
      <w:tblPr>
        <w:tblW w:w="850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2410"/>
        <w:gridCol w:w="4897"/>
      </w:tblGrid>
      <w:tr w:rsidR="00DA4CAF" w:rsidRPr="009179E5" w:rsidTr="001C33A4">
        <w:trPr>
          <w:trHeight w:val="480"/>
        </w:trPr>
        <w:tc>
          <w:tcPr>
            <w:tcW w:w="3608" w:type="dxa"/>
            <w:gridSpan w:val="2"/>
          </w:tcPr>
          <w:p w:rsidR="00DA4CAF" w:rsidRPr="009179E5" w:rsidRDefault="00DA4CAF" w:rsidP="00282D08">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lang w:val="lv-LV"/>
              </w:rPr>
              <w:t>Enerģijas ietaupījumu sasniegšanas pasākuma nosaukums</w:t>
            </w:r>
          </w:p>
        </w:tc>
        <w:tc>
          <w:tcPr>
            <w:tcW w:w="4897" w:type="dxa"/>
          </w:tcPr>
          <w:p w:rsidR="00DA4CAF" w:rsidRPr="009179E5" w:rsidRDefault="00DA4CAF" w:rsidP="00282D08">
            <w:pPr>
              <w:spacing w:after="0" w:line="240" w:lineRule="auto"/>
              <w:rPr>
                <w:rFonts w:ascii="Times New Roman" w:hAnsi="Times New Roman"/>
                <w:b/>
                <w:sz w:val="18"/>
                <w:szCs w:val="18"/>
                <w:lang w:val="lv-LV"/>
              </w:rPr>
            </w:pPr>
            <w:r w:rsidRPr="009179E5">
              <w:rPr>
                <w:rFonts w:ascii="Times New Roman" w:hAnsi="Times New Roman"/>
                <w:b/>
                <w:sz w:val="18"/>
                <w:szCs w:val="18"/>
                <w:lang w:val="lv-LV"/>
              </w:rPr>
              <w:t>Energoefektivitātes paaugstināšana pašvaldību ēkās 1.kārta</w:t>
            </w:r>
          </w:p>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Kompleksi risinājumi siltumnīcefekta gāzu emisiju samazināšanai pašvaldību ēkās 2.kārta</w:t>
            </w:r>
          </w:p>
        </w:tc>
      </w:tr>
      <w:tr w:rsidR="00DA4CAF" w:rsidRPr="009179E5" w:rsidTr="00282D08">
        <w:trPr>
          <w:trHeight w:val="314"/>
        </w:trPr>
        <w:tc>
          <w:tcPr>
            <w:tcW w:w="3608" w:type="dxa"/>
            <w:gridSpan w:val="2"/>
          </w:tcPr>
          <w:p w:rsidR="00DA4CAF" w:rsidRPr="009179E5" w:rsidRDefault="00DA4CAF" w:rsidP="00282D08">
            <w:pPr>
              <w:pStyle w:val="Tabletext"/>
              <w:tabs>
                <w:tab w:val="left" w:pos="1440"/>
                <w:tab w:val="left" w:pos="5040"/>
              </w:tabs>
              <w:spacing w:before="0" w:after="0" w:line="240" w:lineRule="auto"/>
              <w:rPr>
                <w:rFonts w:ascii="Times New Roman" w:hAnsi="Times New Roman"/>
                <w:i/>
                <w:lang w:val="lv-LV"/>
              </w:rPr>
            </w:pPr>
            <w:r w:rsidRPr="009179E5">
              <w:rPr>
                <w:rFonts w:ascii="Times New Roman" w:hAnsi="Times New Roman"/>
                <w:i/>
                <w:lang w:val="lv-LV"/>
              </w:rPr>
              <w:t>Pasākuma nr.</w:t>
            </w:r>
          </w:p>
        </w:tc>
        <w:tc>
          <w:tcPr>
            <w:tcW w:w="4897" w:type="dxa"/>
          </w:tcPr>
          <w:p w:rsidR="00DA4CAF" w:rsidRPr="009179E5" w:rsidRDefault="007F6743"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PA</w:t>
            </w:r>
            <w:r w:rsidR="00DA4CAF" w:rsidRPr="009179E5">
              <w:rPr>
                <w:rFonts w:ascii="Times New Roman" w:hAnsi="Times New Roman"/>
                <w:b/>
                <w:szCs w:val="18"/>
                <w:lang w:val="lv-LV"/>
              </w:rPr>
              <w:t>.</w:t>
            </w:r>
            <w:r w:rsidRPr="009179E5">
              <w:rPr>
                <w:rFonts w:ascii="Times New Roman" w:hAnsi="Times New Roman"/>
                <w:b/>
                <w:szCs w:val="18"/>
                <w:lang w:val="lv-LV"/>
              </w:rPr>
              <w:t>3</w:t>
            </w:r>
            <w:r w:rsidR="00DA4CAF" w:rsidRPr="009179E5">
              <w:rPr>
                <w:rFonts w:ascii="Times New Roman" w:hAnsi="Times New Roman"/>
                <w:b/>
                <w:szCs w:val="18"/>
                <w:lang w:val="lv-LV"/>
              </w:rPr>
              <w:t>.</w:t>
            </w:r>
            <w:r w:rsidR="007254F6" w:rsidRPr="009179E5">
              <w:rPr>
                <w:rFonts w:ascii="Times New Roman" w:hAnsi="Times New Roman"/>
                <w:b/>
                <w:szCs w:val="18"/>
                <w:lang w:val="lv-LV"/>
              </w:rPr>
              <w:t>3.</w:t>
            </w:r>
          </w:p>
        </w:tc>
      </w:tr>
      <w:tr w:rsidR="00DA4CAF" w:rsidRPr="009179E5" w:rsidTr="00282D08">
        <w:trPr>
          <w:trHeight w:val="289"/>
        </w:trPr>
        <w:tc>
          <w:tcPr>
            <w:tcW w:w="1198" w:type="dxa"/>
            <w:vMerge w:val="restart"/>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p>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Apraksts</w:t>
            </w:r>
          </w:p>
        </w:tc>
        <w:tc>
          <w:tcPr>
            <w:tcW w:w="2410" w:type="dxa"/>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Kategorija</w:t>
            </w:r>
          </w:p>
        </w:tc>
        <w:tc>
          <w:tcPr>
            <w:tcW w:w="4897"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Finanšu instruments (KPFI)</w:t>
            </w:r>
          </w:p>
        </w:tc>
      </w:tr>
      <w:tr w:rsidR="00DA4CAF" w:rsidRPr="009179E5" w:rsidTr="001C33A4">
        <w:trPr>
          <w:trHeight w:val="476"/>
        </w:trPr>
        <w:tc>
          <w:tcPr>
            <w:tcW w:w="1198" w:type="dxa"/>
            <w:vMerge/>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Īstenošanas laika grafiks</w:t>
            </w:r>
          </w:p>
        </w:tc>
        <w:tc>
          <w:tcPr>
            <w:tcW w:w="489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1843"/>
              <w:gridCol w:w="1944"/>
            </w:tblGrid>
            <w:tr w:rsidR="00DA4CAF" w:rsidRPr="009179E5" w:rsidTr="001C33A4">
              <w:tc>
                <w:tcPr>
                  <w:tcW w:w="879"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Kārta </w:t>
                  </w:r>
                </w:p>
              </w:tc>
              <w:tc>
                <w:tcPr>
                  <w:tcW w:w="1843"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Sākums </w:t>
                  </w:r>
                </w:p>
              </w:tc>
              <w:tc>
                <w:tcPr>
                  <w:tcW w:w="1944"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Beigas </w:t>
                  </w:r>
                </w:p>
              </w:tc>
            </w:tr>
            <w:tr w:rsidR="00DA4CAF" w:rsidRPr="009179E5" w:rsidTr="001C33A4">
              <w:tc>
                <w:tcPr>
                  <w:tcW w:w="879"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1.</w:t>
                  </w:r>
                </w:p>
              </w:tc>
              <w:tc>
                <w:tcPr>
                  <w:tcW w:w="1843"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Konkurss izsludināts 2009.gadā</w:t>
                  </w:r>
                </w:p>
              </w:tc>
              <w:tc>
                <w:tcPr>
                  <w:tcW w:w="1944"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color w:val="000000"/>
                      <w:szCs w:val="18"/>
                      <w:lang w:val="lv-LV"/>
                    </w:rPr>
                    <w:t xml:space="preserve">Konkursa ietvaros apstiprinātajos projektos paredzētās aktivitātes īsteno līdz 2010.gada </w:t>
                  </w:r>
                  <w:r w:rsidRPr="009179E5">
                    <w:rPr>
                      <w:rFonts w:ascii="Times New Roman" w:hAnsi="Times New Roman"/>
                      <w:b/>
                      <w:color w:val="000000"/>
                      <w:szCs w:val="18"/>
                      <w:lang w:val="lv-LV"/>
                    </w:rPr>
                    <w:lastRenderedPageBreak/>
                    <w:t>1.decembrim</w:t>
                  </w:r>
                </w:p>
              </w:tc>
            </w:tr>
            <w:tr w:rsidR="00DA4CAF" w:rsidRPr="009179E5" w:rsidTr="001C33A4">
              <w:tc>
                <w:tcPr>
                  <w:tcW w:w="879"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lastRenderedPageBreak/>
                    <w:t>2.</w:t>
                  </w:r>
                </w:p>
              </w:tc>
              <w:tc>
                <w:tcPr>
                  <w:tcW w:w="1843"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Konkurss izsludināts 2010.gadā</w:t>
                  </w:r>
                </w:p>
              </w:tc>
              <w:tc>
                <w:tcPr>
                  <w:tcW w:w="1944" w:type="dxa"/>
                </w:tcPr>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Konkursa ietvaros apstiprinātajos projektos paredzētās aktivitātes finansējuma</w:t>
                  </w:r>
                </w:p>
                <w:p w:rsidR="00DA4CAF" w:rsidRPr="009179E5" w:rsidRDefault="00DA4CAF" w:rsidP="00282D08">
                  <w:pPr>
                    <w:pStyle w:val="Tabletext"/>
                    <w:tabs>
                      <w:tab w:val="left" w:pos="1440"/>
                      <w:tab w:val="left" w:pos="5040"/>
                    </w:tabs>
                    <w:spacing w:before="0" w:after="0" w:line="240" w:lineRule="auto"/>
                    <w:rPr>
                      <w:rFonts w:ascii="Times New Roman" w:hAnsi="Times New Roman"/>
                      <w:b/>
                      <w:color w:val="000000"/>
                      <w:szCs w:val="18"/>
                      <w:lang w:val="lv-LV"/>
                    </w:rPr>
                  </w:pPr>
                  <w:r w:rsidRPr="009179E5">
                    <w:rPr>
                      <w:rFonts w:ascii="Times New Roman" w:hAnsi="Times New Roman"/>
                      <w:b/>
                      <w:szCs w:val="18"/>
                      <w:lang w:val="lv-LV" w:eastAsia="lv-LV"/>
                    </w:rPr>
                    <w:t>saņēmējs īsteno līdz 2011.gada 1.decembrim</w:t>
                  </w:r>
                </w:p>
              </w:tc>
            </w:tr>
          </w:tbl>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p>
        </w:tc>
      </w:tr>
      <w:tr w:rsidR="00DA4CAF" w:rsidRPr="009179E5" w:rsidTr="001C33A4">
        <w:trPr>
          <w:trHeight w:val="476"/>
        </w:trPr>
        <w:tc>
          <w:tcPr>
            <w:tcW w:w="1198" w:type="dxa"/>
            <w:vMerge/>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Mērķis</w:t>
            </w:r>
          </w:p>
        </w:tc>
        <w:tc>
          <w:tcPr>
            <w:tcW w:w="4897"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eastAsia="Calibri" w:hAnsi="Times New Roman"/>
                <w:b/>
                <w:color w:val="000000"/>
                <w:szCs w:val="18"/>
                <w:lang w:val="lv-LV" w:eastAsia="lv-LV"/>
              </w:rPr>
              <w:t>O</w:t>
            </w:r>
            <w:r w:rsidRPr="009179E5">
              <w:rPr>
                <w:rFonts w:ascii="Times New Roman" w:hAnsi="Times New Roman"/>
                <w:b/>
                <w:color w:val="000000"/>
                <w:szCs w:val="18"/>
                <w:lang w:val="lv-LV"/>
              </w:rPr>
              <w:t>glekļa dioksīda emisiju samazināšana, samazinot siltumenerģijas patēriņu Latvijas Republikas pašvaldību sabiedriskajās ēkās un ēkās, kas nepieciešamas pašvaldību autonomo funkciju nodrošināšanai</w:t>
            </w:r>
          </w:p>
        </w:tc>
      </w:tr>
      <w:tr w:rsidR="00DA4CAF" w:rsidRPr="009179E5" w:rsidTr="001C33A4">
        <w:trPr>
          <w:trHeight w:val="476"/>
        </w:trPr>
        <w:tc>
          <w:tcPr>
            <w:tcW w:w="1198" w:type="dxa"/>
            <w:vMerge/>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galapatēriņa sektors</w:t>
            </w:r>
          </w:p>
        </w:tc>
        <w:tc>
          <w:tcPr>
            <w:tcW w:w="4897"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Ēkas</w:t>
            </w:r>
          </w:p>
        </w:tc>
      </w:tr>
      <w:tr w:rsidR="00DA4CAF" w:rsidRPr="009179E5" w:rsidTr="001C33A4">
        <w:trPr>
          <w:trHeight w:val="476"/>
        </w:trPr>
        <w:tc>
          <w:tcPr>
            <w:tcW w:w="1198" w:type="dxa"/>
            <w:vMerge/>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Mērķauditorija</w:t>
            </w:r>
          </w:p>
        </w:tc>
        <w:tc>
          <w:tcPr>
            <w:tcW w:w="4897"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color w:val="000000"/>
                <w:szCs w:val="18"/>
                <w:lang w:val="lv-LV"/>
              </w:rPr>
              <w:t>Pilsētas vai novada pašvaldība</w:t>
            </w:r>
          </w:p>
        </w:tc>
      </w:tr>
      <w:tr w:rsidR="00DA4CAF" w:rsidRPr="009179E5" w:rsidTr="001C33A4">
        <w:trPr>
          <w:trHeight w:val="476"/>
        </w:trPr>
        <w:tc>
          <w:tcPr>
            <w:tcW w:w="1198" w:type="dxa"/>
            <w:vMerge/>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Pasākuma ieviešanas teritorija</w:t>
            </w:r>
          </w:p>
        </w:tc>
        <w:tc>
          <w:tcPr>
            <w:tcW w:w="4897"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Latvijas Republika </w:t>
            </w:r>
          </w:p>
        </w:tc>
      </w:tr>
      <w:tr w:rsidR="00DA4CAF" w:rsidRPr="009179E5" w:rsidTr="001C33A4">
        <w:trPr>
          <w:trHeight w:val="476"/>
        </w:trPr>
        <w:tc>
          <w:tcPr>
            <w:tcW w:w="1198" w:type="dxa"/>
            <w:vMerge w:val="restart"/>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Informācija un ieviešana</w:t>
            </w:r>
          </w:p>
        </w:tc>
        <w:tc>
          <w:tcPr>
            <w:tcW w:w="2410"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Enerģijas ietaupījumu sasniegšanas pasākumu saraksts un pasākuma pamatapraksts</w:t>
            </w:r>
          </w:p>
        </w:tc>
        <w:tc>
          <w:tcPr>
            <w:tcW w:w="4897" w:type="dxa"/>
          </w:tcPr>
          <w:p w:rsidR="00DA4CAF" w:rsidRPr="009179E5" w:rsidRDefault="00DA4CAF" w:rsidP="00282D08">
            <w:pPr>
              <w:autoSpaceDE w:val="0"/>
              <w:autoSpaceDN w:val="0"/>
              <w:adjustRightInd w:val="0"/>
              <w:spacing w:after="0" w:line="240" w:lineRule="auto"/>
              <w:jc w:val="both"/>
              <w:rPr>
                <w:rFonts w:ascii="Times New Roman" w:hAnsi="Times New Roman"/>
                <w:b/>
                <w:color w:val="000000"/>
                <w:sz w:val="18"/>
                <w:szCs w:val="18"/>
                <w:lang w:val="lv-LV" w:eastAsia="lv-LV"/>
              </w:rPr>
            </w:pPr>
            <w:r w:rsidRPr="009179E5">
              <w:rPr>
                <w:rFonts w:ascii="Times New Roman" w:hAnsi="Times New Roman"/>
                <w:b/>
                <w:color w:val="000000"/>
                <w:sz w:val="18"/>
                <w:szCs w:val="18"/>
                <w:lang w:val="lv-LV" w:eastAsia="lv-LV"/>
              </w:rPr>
              <w:t xml:space="preserve">1.Konkursa kārtas ietvaros atbalstītas šādas projekta aktivitātes: </w:t>
            </w:r>
          </w:p>
          <w:p w:rsidR="00DA4CAF" w:rsidRPr="009179E5" w:rsidRDefault="00DA4CAF" w:rsidP="00282D08">
            <w:pPr>
              <w:autoSpaceDE w:val="0"/>
              <w:autoSpaceDN w:val="0"/>
              <w:adjustRightInd w:val="0"/>
              <w:spacing w:after="0" w:line="240" w:lineRule="auto"/>
              <w:jc w:val="both"/>
              <w:rPr>
                <w:rFonts w:ascii="Times New Roman" w:hAnsi="Times New Roman"/>
                <w:b/>
                <w:color w:val="000000"/>
                <w:sz w:val="18"/>
                <w:szCs w:val="18"/>
                <w:lang w:val="lv-LV" w:eastAsia="lv-LV"/>
              </w:rPr>
            </w:pPr>
            <w:r w:rsidRPr="009179E5">
              <w:rPr>
                <w:rFonts w:ascii="Times New Roman" w:hAnsi="Times New Roman"/>
                <w:b/>
                <w:color w:val="000000"/>
                <w:sz w:val="18"/>
                <w:szCs w:val="18"/>
                <w:lang w:val="lv-LV" w:eastAsia="lv-LV"/>
              </w:rPr>
              <w:t xml:space="preserve">1.1. projekta energoaudita un tehniskā projekta sagatavošana; </w:t>
            </w:r>
          </w:p>
          <w:p w:rsidR="00DA4CAF" w:rsidRPr="009179E5" w:rsidRDefault="00DA4CAF" w:rsidP="00282D08">
            <w:pPr>
              <w:pageBreakBefore/>
              <w:autoSpaceDE w:val="0"/>
              <w:autoSpaceDN w:val="0"/>
              <w:adjustRightInd w:val="0"/>
              <w:spacing w:after="0" w:line="240" w:lineRule="auto"/>
              <w:jc w:val="both"/>
              <w:rPr>
                <w:rFonts w:ascii="Times New Roman" w:hAnsi="Times New Roman"/>
                <w:b/>
                <w:color w:val="000000"/>
                <w:sz w:val="18"/>
                <w:szCs w:val="18"/>
                <w:lang w:val="lv-LV" w:eastAsia="lv-LV"/>
              </w:rPr>
            </w:pPr>
            <w:r w:rsidRPr="009179E5">
              <w:rPr>
                <w:rFonts w:ascii="Times New Roman" w:hAnsi="Times New Roman"/>
                <w:b/>
                <w:color w:val="000000"/>
                <w:sz w:val="18"/>
                <w:szCs w:val="18"/>
                <w:lang w:val="lv-LV" w:eastAsia="lv-LV"/>
              </w:rPr>
              <w:t xml:space="preserve">1.2. projekta īstenošanas būvuzraudzība; </w:t>
            </w:r>
          </w:p>
          <w:p w:rsidR="00DA4CAF" w:rsidRPr="009179E5" w:rsidRDefault="00DA4CAF" w:rsidP="00282D08">
            <w:pPr>
              <w:autoSpaceDE w:val="0"/>
              <w:autoSpaceDN w:val="0"/>
              <w:adjustRightInd w:val="0"/>
              <w:spacing w:after="0" w:line="240" w:lineRule="auto"/>
              <w:jc w:val="both"/>
              <w:rPr>
                <w:rFonts w:ascii="Times New Roman" w:hAnsi="Times New Roman"/>
                <w:b/>
                <w:color w:val="000000"/>
                <w:sz w:val="18"/>
                <w:szCs w:val="18"/>
                <w:lang w:val="lv-LV" w:eastAsia="lv-LV"/>
              </w:rPr>
            </w:pPr>
            <w:r w:rsidRPr="009179E5">
              <w:rPr>
                <w:rFonts w:ascii="Times New Roman" w:hAnsi="Times New Roman"/>
                <w:b/>
                <w:color w:val="000000"/>
                <w:sz w:val="18"/>
                <w:szCs w:val="18"/>
                <w:lang w:val="lv-LV" w:eastAsia="lv-LV"/>
              </w:rPr>
              <w:t xml:space="preserve">1.3. projekta īstenošanas autoruzraudzība; </w:t>
            </w:r>
          </w:p>
          <w:p w:rsidR="00DA4CAF" w:rsidRPr="009179E5" w:rsidRDefault="00DA4CAF" w:rsidP="00282D08">
            <w:pPr>
              <w:autoSpaceDE w:val="0"/>
              <w:autoSpaceDN w:val="0"/>
              <w:adjustRightInd w:val="0"/>
              <w:spacing w:after="0" w:line="240" w:lineRule="auto"/>
              <w:jc w:val="both"/>
              <w:rPr>
                <w:rFonts w:ascii="Times New Roman" w:hAnsi="Times New Roman"/>
                <w:b/>
                <w:color w:val="000000"/>
                <w:sz w:val="18"/>
                <w:szCs w:val="18"/>
                <w:lang w:val="lv-LV" w:eastAsia="lv-LV"/>
              </w:rPr>
            </w:pPr>
            <w:r w:rsidRPr="009179E5">
              <w:rPr>
                <w:rFonts w:ascii="Times New Roman" w:hAnsi="Times New Roman"/>
                <w:b/>
                <w:color w:val="000000"/>
                <w:sz w:val="18"/>
                <w:szCs w:val="18"/>
                <w:lang w:val="lv-LV" w:eastAsia="lv-LV"/>
              </w:rPr>
              <w:t xml:space="preserve">1.4. investīcijas siltumenerģijas patēriņa samazināšanā; </w:t>
            </w:r>
          </w:p>
          <w:p w:rsidR="00DA4CAF" w:rsidRPr="009179E5" w:rsidRDefault="00DA4CAF" w:rsidP="00282D08">
            <w:pPr>
              <w:pStyle w:val="Tabletext"/>
              <w:tabs>
                <w:tab w:val="left" w:pos="175"/>
                <w:tab w:val="left" w:pos="5040"/>
              </w:tabs>
              <w:spacing w:before="0" w:after="0" w:line="240" w:lineRule="auto"/>
              <w:ind w:left="33"/>
              <w:rPr>
                <w:rFonts w:ascii="Times New Roman" w:eastAsia="Calibri" w:hAnsi="Times New Roman"/>
                <w:b/>
                <w:color w:val="000000"/>
                <w:szCs w:val="18"/>
                <w:lang w:val="lv-LV" w:eastAsia="lv-LV"/>
              </w:rPr>
            </w:pPr>
            <w:r w:rsidRPr="009179E5">
              <w:rPr>
                <w:rFonts w:ascii="Times New Roman" w:eastAsia="Calibri" w:hAnsi="Times New Roman"/>
                <w:b/>
                <w:color w:val="000000"/>
                <w:szCs w:val="18"/>
                <w:lang w:val="lv-LV" w:eastAsia="lv-LV"/>
              </w:rPr>
              <w:t>1.5. sabiedrības informēšana par projekta īstenošanas rezultātiem un to sociāli ekonomisko ietekmi.</w:t>
            </w:r>
          </w:p>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color w:val="000000"/>
                <w:sz w:val="18"/>
                <w:szCs w:val="18"/>
                <w:lang w:val="lv-LV" w:eastAsia="lv-LV"/>
              </w:rPr>
              <w:t>2.Konkursa kārtas</w:t>
            </w:r>
            <w:r w:rsidRPr="009179E5">
              <w:rPr>
                <w:rFonts w:ascii="Times New Roman" w:hAnsi="Times New Roman"/>
                <w:b/>
                <w:sz w:val="18"/>
                <w:szCs w:val="18"/>
                <w:lang w:val="lv-LV" w:eastAsia="lv-LV"/>
              </w:rPr>
              <w:t xml:space="preserve"> ietvaros atbalstītas šādas projekta aktivitātes:</w:t>
            </w:r>
          </w:p>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2.1. energoaudita, tehniskās apsekošanas atzinuma, būvprojekta un tehniskās dokumentācijas sagatavošana un saskaņošana ēku energoefektivitāti un būvniecību</w:t>
            </w:r>
          </w:p>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regulējošajos normatīvajos aktos noteiktajā kārtībā;</w:t>
            </w:r>
          </w:p>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2.2. energoefektivitāti paaugstinošu rekonstrukcijas, renovācijas vai vienkāršotās renovācijas darbu veikšana;</w:t>
            </w:r>
          </w:p>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2.3. siltumapgādes sistēmas maiņa no fosilajiem energoresursiem uz atjaunojamiem, tai skaitā atjaunojamo enerģijas avotu (saules kolektori, gaisa vai zemes siltumsūkņi, granulu vai šķeldas apkures katli) uzstādīšana un pieslēgšana;</w:t>
            </w:r>
          </w:p>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2.4. ēkas siltumapgādes, ventilācijas, dzesēšanas un apgaismojuma sistēmu darbību nodrošinošo inženierkomunikāciju rekonstrukcijas un renovācijas, tai skaitā</w:t>
            </w:r>
          </w:p>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vienkāršotās rekonstrukcijas un renovācijas, darbu veikšana, ja tie atbilstoši energoauditam samazina siltumenerģijas vai elektroenerģijas patēriņu;</w:t>
            </w:r>
          </w:p>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2.5. energoefektīva apgaismojuma uzstādīšana;</w:t>
            </w:r>
          </w:p>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2.6. ēkas norobežojošo konstrukciju pārbaude būvniecības stadijā, gaiscaurlaidības tests, kurš veikts atbilstoši gaiscaurlaidības testa mērīšanu regulējošajiem</w:t>
            </w:r>
          </w:p>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normatīvajiem aktiem, un termofotografēšana;</w:t>
            </w:r>
          </w:p>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2.7. projekta publicitātes pasākumi;</w:t>
            </w:r>
          </w:p>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2.8. papildu izmaksas, kas nav norādītas energoauditā, bet ir paredzētas tehniskajā projektā.</w:t>
            </w:r>
          </w:p>
        </w:tc>
      </w:tr>
      <w:tr w:rsidR="00DA4CAF" w:rsidRPr="009179E5" w:rsidTr="001C33A4">
        <w:trPr>
          <w:trHeight w:val="476"/>
        </w:trPr>
        <w:tc>
          <w:tcPr>
            <w:tcW w:w="1198" w:type="dxa"/>
            <w:vMerge/>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Budžets un finansējuma avots</w:t>
            </w:r>
          </w:p>
        </w:tc>
        <w:tc>
          <w:tcPr>
            <w:tcW w:w="4897" w:type="dxa"/>
          </w:tcPr>
          <w:p w:rsidR="00DA4CAF" w:rsidRPr="009179E5" w:rsidRDefault="00DA4CAF" w:rsidP="00282D08">
            <w:pPr>
              <w:pStyle w:val="Default"/>
              <w:rPr>
                <w:b/>
                <w:sz w:val="18"/>
                <w:szCs w:val="18"/>
              </w:rPr>
            </w:pPr>
            <w:r w:rsidRPr="009179E5">
              <w:rPr>
                <w:b/>
                <w:sz w:val="18"/>
                <w:szCs w:val="18"/>
              </w:rPr>
              <w:t>1.kārta  - KPFI finansējums  25</w:t>
            </w:r>
            <w:r w:rsidR="00252E1B" w:rsidRPr="009179E5">
              <w:rPr>
                <w:b/>
                <w:sz w:val="18"/>
                <w:szCs w:val="18"/>
              </w:rPr>
              <w:t>,</w:t>
            </w:r>
            <w:r w:rsidRPr="009179E5">
              <w:rPr>
                <w:b/>
                <w:sz w:val="18"/>
                <w:szCs w:val="18"/>
              </w:rPr>
              <w:t>15</w:t>
            </w:r>
            <w:r w:rsidR="00252E1B" w:rsidRPr="009179E5">
              <w:rPr>
                <w:b/>
                <w:sz w:val="18"/>
                <w:szCs w:val="18"/>
              </w:rPr>
              <w:t xml:space="preserve"> milj.</w:t>
            </w:r>
            <w:r w:rsidRPr="009179E5">
              <w:rPr>
                <w:b/>
                <w:sz w:val="18"/>
                <w:szCs w:val="18"/>
              </w:rPr>
              <w:t xml:space="preserve"> </w:t>
            </w:r>
            <w:smartTag w:uri="schemas-tilde-lv/tildestengine" w:element="currency">
              <w:smartTagPr>
                <w:attr w:name="currency_text" w:val="LVL"/>
                <w:attr w:name="currency_value" w:val="1"/>
                <w:attr w:name="currency_key" w:val="LVL"/>
                <w:attr w:name="currency_id" w:val="48"/>
              </w:smartTagPr>
              <w:r w:rsidRPr="009179E5">
                <w:rPr>
                  <w:b/>
                  <w:sz w:val="18"/>
                  <w:szCs w:val="18"/>
                </w:rPr>
                <w:t>LVL</w:t>
              </w:r>
            </w:smartTag>
          </w:p>
          <w:p w:rsidR="00DA4CAF" w:rsidRPr="009179E5" w:rsidRDefault="00DA4CAF" w:rsidP="00282D08">
            <w:pPr>
              <w:pStyle w:val="Default"/>
              <w:rPr>
                <w:b/>
                <w:sz w:val="18"/>
                <w:szCs w:val="18"/>
              </w:rPr>
            </w:pPr>
            <w:r w:rsidRPr="009179E5">
              <w:rPr>
                <w:b/>
                <w:sz w:val="18"/>
                <w:szCs w:val="18"/>
              </w:rPr>
              <w:t>Projektu iesniedzēju līdzfinansējums 5</w:t>
            </w:r>
            <w:r w:rsidR="00252E1B" w:rsidRPr="009179E5">
              <w:rPr>
                <w:b/>
                <w:sz w:val="18"/>
                <w:szCs w:val="18"/>
              </w:rPr>
              <w:t>,</w:t>
            </w:r>
            <w:r w:rsidRPr="009179E5">
              <w:rPr>
                <w:b/>
                <w:sz w:val="18"/>
                <w:szCs w:val="18"/>
              </w:rPr>
              <w:t>08</w:t>
            </w:r>
            <w:r w:rsidR="00252E1B" w:rsidRPr="009179E5">
              <w:rPr>
                <w:b/>
                <w:sz w:val="18"/>
                <w:szCs w:val="18"/>
              </w:rPr>
              <w:t xml:space="preserve"> milj.</w:t>
            </w:r>
            <w:r w:rsidRPr="009179E5">
              <w:rPr>
                <w:b/>
                <w:sz w:val="18"/>
                <w:szCs w:val="18"/>
              </w:rPr>
              <w:t xml:space="preserve"> LVL</w:t>
            </w:r>
          </w:p>
          <w:p w:rsidR="00DA4CAF" w:rsidRPr="009179E5" w:rsidRDefault="00DA4CAF" w:rsidP="00282D08">
            <w:pPr>
              <w:pStyle w:val="Default"/>
              <w:rPr>
                <w:b/>
                <w:sz w:val="18"/>
                <w:szCs w:val="18"/>
              </w:rPr>
            </w:pPr>
          </w:p>
          <w:p w:rsidR="00DA4CAF" w:rsidRPr="009179E5" w:rsidRDefault="00DA4CAF" w:rsidP="00282D08">
            <w:pPr>
              <w:pStyle w:val="Default"/>
              <w:rPr>
                <w:b/>
                <w:sz w:val="18"/>
                <w:szCs w:val="18"/>
              </w:rPr>
            </w:pPr>
            <w:r w:rsidRPr="009179E5">
              <w:rPr>
                <w:b/>
                <w:sz w:val="18"/>
                <w:szCs w:val="18"/>
              </w:rPr>
              <w:t>2.kārta -  KPFI finansējums 16</w:t>
            </w:r>
            <w:r w:rsidR="00634D81" w:rsidRPr="009179E5">
              <w:rPr>
                <w:b/>
                <w:sz w:val="18"/>
                <w:szCs w:val="18"/>
              </w:rPr>
              <w:t>,</w:t>
            </w:r>
            <w:r w:rsidRPr="009179E5">
              <w:rPr>
                <w:b/>
                <w:sz w:val="18"/>
                <w:szCs w:val="18"/>
              </w:rPr>
              <w:t>1</w:t>
            </w:r>
            <w:r w:rsidR="00634D81" w:rsidRPr="009179E5">
              <w:rPr>
                <w:b/>
                <w:sz w:val="18"/>
                <w:szCs w:val="18"/>
              </w:rPr>
              <w:t xml:space="preserve"> milj.</w:t>
            </w:r>
            <w:r w:rsidRPr="009179E5">
              <w:rPr>
                <w:b/>
                <w:sz w:val="18"/>
                <w:szCs w:val="18"/>
              </w:rPr>
              <w:t xml:space="preserve"> LVL</w:t>
            </w:r>
          </w:p>
          <w:p w:rsidR="00DA4CAF" w:rsidRPr="009179E5" w:rsidRDefault="00DA4CAF" w:rsidP="00634D81">
            <w:pPr>
              <w:pStyle w:val="Default"/>
              <w:rPr>
                <w:b/>
                <w:sz w:val="18"/>
                <w:szCs w:val="18"/>
              </w:rPr>
            </w:pPr>
            <w:r w:rsidRPr="009179E5">
              <w:rPr>
                <w:b/>
                <w:sz w:val="18"/>
                <w:szCs w:val="18"/>
              </w:rPr>
              <w:t>Projektu iesniedzēju līdzfinansējums  4</w:t>
            </w:r>
            <w:r w:rsidR="00634D81" w:rsidRPr="009179E5">
              <w:rPr>
                <w:b/>
                <w:sz w:val="18"/>
                <w:szCs w:val="18"/>
              </w:rPr>
              <w:t>,</w:t>
            </w:r>
            <w:r w:rsidRPr="009179E5">
              <w:rPr>
                <w:b/>
                <w:sz w:val="18"/>
                <w:szCs w:val="18"/>
              </w:rPr>
              <w:t>7</w:t>
            </w:r>
            <w:r w:rsidR="00634D81" w:rsidRPr="009179E5">
              <w:rPr>
                <w:b/>
                <w:sz w:val="18"/>
                <w:szCs w:val="18"/>
              </w:rPr>
              <w:t xml:space="preserve"> milj.</w:t>
            </w:r>
            <w:r w:rsidRPr="009179E5">
              <w:rPr>
                <w:b/>
                <w:sz w:val="18"/>
                <w:szCs w:val="18"/>
              </w:rPr>
              <w:t xml:space="preserve"> LVL</w:t>
            </w:r>
            <w:r w:rsidRPr="009179E5">
              <w:rPr>
                <w:b/>
                <w:szCs w:val="18"/>
              </w:rPr>
              <w:t xml:space="preserve"> </w:t>
            </w:r>
          </w:p>
        </w:tc>
      </w:tr>
      <w:tr w:rsidR="00DA4CAF" w:rsidRPr="009179E5" w:rsidTr="001C33A4">
        <w:trPr>
          <w:trHeight w:val="476"/>
        </w:trPr>
        <w:tc>
          <w:tcPr>
            <w:tcW w:w="1198" w:type="dxa"/>
            <w:vMerge/>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Ieviesējs</w:t>
            </w:r>
          </w:p>
        </w:tc>
        <w:tc>
          <w:tcPr>
            <w:tcW w:w="4897"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highlight w:val="yellow"/>
                <w:lang w:val="lv-LV"/>
              </w:rPr>
            </w:pPr>
            <w:r w:rsidRPr="009179E5">
              <w:rPr>
                <w:rFonts w:ascii="Times New Roman" w:hAnsi="Times New Roman"/>
                <w:b/>
                <w:szCs w:val="18"/>
                <w:lang w:val="lv-LV"/>
              </w:rPr>
              <w:t>SIA „Vides investīciju fonds”</w:t>
            </w:r>
          </w:p>
        </w:tc>
      </w:tr>
      <w:tr w:rsidR="00DA4CAF" w:rsidRPr="009179E5" w:rsidTr="001C33A4">
        <w:trPr>
          <w:trHeight w:val="476"/>
        </w:trPr>
        <w:tc>
          <w:tcPr>
            <w:tcW w:w="1198" w:type="dxa"/>
            <w:vMerge/>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Monitoringa (kontroles) institūcija</w:t>
            </w:r>
          </w:p>
        </w:tc>
        <w:tc>
          <w:tcPr>
            <w:tcW w:w="4897"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Vides aizsardzības un reģionālās attīstības ministrija, SIA „Vides investīciju fonds”</w:t>
            </w:r>
          </w:p>
        </w:tc>
      </w:tr>
      <w:tr w:rsidR="00114695" w:rsidRPr="009179E5" w:rsidTr="001C33A4">
        <w:trPr>
          <w:trHeight w:val="476"/>
        </w:trPr>
        <w:tc>
          <w:tcPr>
            <w:tcW w:w="1198" w:type="dxa"/>
            <w:vMerge w:val="restart"/>
          </w:tcPr>
          <w:p w:rsidR="00114695" w:rsidRPr="009179E5" w:rsidRDefault="00114695"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lastRenderedPageBreak/>
              <w:t>Enerģijas ietaupījumi</w:t>
            </w:r>
          </w:p>
        </w:tc>
        <w:tc>
          <w:tcPr>
            <w:tcW w:w="2410" w:type="dxa"/>
          </w:tcPr>
          <w:p w:rsidR="00114695" w:rsidRPr="009179E5" w:rsidRDefault="00114695" w:rsidP="00282D08">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Sasniegto enerģijas ietaupījumu aprēķina metode</w:t>
            </w:r>
          </w:p>
        </w:tc>
        <w:tc>
          <w:tcPr>
            <w:tcW w:w="4897" w:type="dxa"/>
          </w:tcPr>
          <w:p w:rsidR="00114695" w:rsidRPr="009179E5" w:rsidRDefault="000E17C9"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Augšupvērstā</w:t>
            </w:r>
          </w:p>
        </w:tc>
      </w:tr>
      <w:tr w:rsidR="00114695" w:rsidRPr="009179E5" w:rsidTr="001C33A4">
        <w:trPr>
          <w:trHeight w:val="476"/>
        </w:trPr>
        <w:tc>
          <w:tcPr>
            <w:tcW w:w="1198" w:type="dxa"/>
            <w:vMerge/>
          </w:tcPr>
          <w:p w:rsidR="00114695" w:rsidRPr="009179E5" w:rsidRDefault="00114695"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14695" w:rsidRPr="009179E5" w:rsidRDefault="00114695" w:rsidP="00282D08">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2016.gads</w:t>
            </w:r>
          </w:p>
        </w:tc>
        <w:tc>
          <w:tcPr>
            <w:tcW w:w="4897" w:type="dxa"/>
          </w:tcPr>
          <w:p w:rsidR="00114695" w:rsidRPr="009179E5" w:rsidRDefault="00114695"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428,2 GWh</w:t>
            </w:r>
          </w:p>
        </w:tc>
      </w:tr>
      <w:tr w:rsidR="00114695" w:rsidRPr="009179E5" w:rsidTr="001C33A4">
        <w:trPr>
          <w:trHeight w:val="476"/>
        </w:trPr>
        <w:tc>
          <w:tcPr>
            <w:tcW w:w="1198" w:type="dxa"/>
            <w:vMerge/>
          </w:tcPr>
          <w:p w:rsidR="00114695" w:rsidRPr="009179E5" w:rsidRDefault="00114695"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114695" w:rsidRPr="009179E5" w:rsidRDefault="00114695" w:rsidP="00282D08">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2020.gads</w:t>
            </w:r>
          </w:p>
        </w:tc>
        <w:tc>
          <w:tcPr>
            <w:tcW w:w="4897" w:type="dxa"/>
          </w:tcPr>
          <w:p w:rsidR="00114695" w:rsidRPr="009179E5" w:rsidRDefault="00114695"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738,76 GWh</w:t>
            </w:r>
          </w:p>
        </w:tc>
      </w:tr>
      <w:tr w:rsidR="00783D4F" w:rsidRPr="009179E5" w:rsidTr="001C33A4">
        <w:trPr>
          <w:trHeight w:val="476"/>
        </w:trPr>
        <w:tc>
          <w:tcPr>
            <w:tcW w:w="1198" w:type="dxa"/>
          </w:tcPr>
          <w:p w:rsidR="00783D4F" w:rsidRPr="009179E5" w:rsidRDefault="00783D4F"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83D4F" w:rsidRPr="009179E5" w:rsidRDefault="00783D4F" w:rsidP="00282D08">
            <w:pPr>
              <w:pStyle w:val="Tabletext"/>
              <w:tabs>
                <w:tab w:val="left" w:pos="1440"/>
                <w:tab w:val="left" w:pos="5040"/>
              </w:tabs>
              <w:spacing w:before="0" w:after="0" w:line="240" w:lineRule="auto"/>
              <w:rPr>
                <w:rFonts w:ascii="Times New Roman" w:hAnsi="Times New Roman"/>
                <w:szCs w:val="18"/>
                <w:lang w:val="lv-LV"/>
              </w:rPr>
            </w:pPr>
            <w:r>
              <w:rPr>
                <w:rFonts w:ascii="Times New Roman" w:hAnsi="Times New Roman"/>
                <w:szCs w:val="18"/>
                <w:lang w:val="lv-LV"/>
              </w:rPr>
              <w:t>Cita informācija</w:t>
            </w:r>
          </w:p>
        </w:tc>
        <w:tc>
          <w:tcPr>
            <w:tcW w:w="4897" w:type="dxa"/>
          </w:tcPr>
          <w:p w:rsidR="00783D4F" w:rsidRPr="009179E5" w:rsidRDefault="00783D4F" w:rsidP="00282D08">
            <w:pPr>
              <w:pStyle w:val="Tabletext"/>
              <w:tabs>
                <w:tab w:val="left" w:pos="1440"/>
                <w:tab w:val="left" w:pos="5040"/>
              </w:tabs>
              <w:spacing w:before="0" w:after="0" w:line="240" w:lineRule="auto"/>
              <w:rPr>
                <w:rFonts w:ascii="Times New Roman" w:hAnsi="Times New Roman"/>
                <w:b/>
                <w:szCs w:val="18"/>
                <w:lang w:val="lv-LV"/>
              </w:rPr>
            </w:pPr>
            <w:r>
              <w:rPr>
                <w:rFonts w:ascii="Times New Roman" w:hAnsi="Times New Roman"/>
                <w:b/>
                <w:szCs w:val="18"/>
                <w:lang w:val="lv-LV"/>
              </w:rPr>
              <w:t>Sagaidāmais enerģijas ietaupījums pret KPFI finansējumu 2,33 MWh/gadā/tūkst.LVL</w:t>
            </w:r>
          </w:p>
        </w:tc>
      </w:tr>
    </w:tbl>
    <w:p w:rsidR="00282D08" w:rsidRPr="009179E5" w:rsidRDefault="00282D08" w:rsidP="00282D08">
      <w:pPr>
        <w:pStyle w:val="Caption"/>
        <w:spacing w:after="0" w:line="240" w:lineRule="auto"/>
        <w:jc w:val="right"/>
        <w:rPr>
          <w:rFonts w:ascii="Times New Roman" w:hAnsi="Times New Roman"/>
          <w:lang w:val="lv-LV"/>
        </w:rPr>
      </w:pPr>
    </w:p>
    <w:p w:rsidR="00057577" w:rsidRPr="009179E5" w:rsidRDefault="00C33D32" w:rsidP="00282D08">
      <w:pPr>
        <w:pStyle w:val="Caption"/>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t>19</w:t>
      </w:r>
      <w:r w:rsidR="00057577" w:rsidRPr="009179E5">
        <w:rPr>
          <w:rFonts w:ascii="Times New Roman" w:hAnsi="Times New Roman"/>
          <w:sz w:val="24"/>
          <w:szCs w:val="24"/>
          <w:lang w:val="lv-LV"/>
        </w:rPr>
        <w:t>.tabula</w:t>
      </w:r>
    </w:p>
    <w:p w:rsidR="00DA4CAF" w:rsidRPr="009179E5" w:rsidRDefault="00057577" w:rsidP="00282D08">
      <w:pPr>
        <w:pStyle w:val="Caption"/>
        <w:spacing w:after="0" w:line="240" w:lineRule="auto"/>
        <w:jc w:val="center"/>
        <w:rPr>
          <w:szCs w:val="28"/>
          <w:lang w:val="lv-LV"/>
        </w:rPr>
      </w:pPr>
      <w:r w:rsidRPr="009179E5">
        <w:rPr>
          <w:rFonts w:ascii="Times New Roman" w:hAnsi="Times New Roman"/>
          <w:sz w:val="24"/>
          <w:szCs w:val="24"/>
          <w:lang w:val="lv-LV"/>
        </w:rPr>
        <w:t>Pasākuma Nr.PA.</w:t>
      </w:r>
      <w:r w:rsidR="00282D08" w:rsidRPr="009179E5">
        <w:rPr>
          <w:rFonts w:ascii="Times New Roman" w:hAnsi="Times New Roman"/>
          <w:sz w:val="24"/>
          <w:szCs w:val="24"/>
          <w:lang w:val="lv-LV"/>
        </w:rPr>
        <w:t>3.</w:t>
      </w:r>
      <w:r w:rsidRPr="009179E5">
        <w:rPr>
          <w:rFonts w:ascii="Times New Roman" w:hAnsi="Times New Roman"/>
          <w:sz w:val="24"/>
          <w:szCs w:val="24"/>
          <w:lang w:val="lv-LV"/>
        </w:rPr>
        <w:t>4. „</w:t>
      </w:r>
      <w:hyperlink r:id="rId47" w:tgtFrame="_self" w:history="1">
        <w:r w:rsidRPr="009179E5">
          <w:rPr>
            <w:rFonts w:ascii="Times New Roman" w:hAnsi="Times New Roman"/>
            <w:bCs w:val="0"/>
            <w:sz w:val="24"/>
            <w:szCs w:val="24"/>
            <w:lang w:val="lv-LV"/>
          </w:rPr>
          <w:t>Kompleksi risinājumi siltumnīcefekta gāzu emisijas samazināšanai valsts un pašvaldību profesionālās izglītības iestāžu ēkās</w:t>
        </w:r>
      </w:hyperlink>
      <w:r w:rsidRPr="009179E5">
        <w:rPr>
          <w:rFonts w:ascii="Times New Roman" w:hAnsi="Times New Roman"/>
          <w:sz w:val="24"/>
          <w:szCs w:val="24"/>
          <w:lang w:val="lv-LV"/>
        </w:rPr>
        <w:t>” apraksts</w:t>
      </w:r>
    </w:p>
    <w:tbl>
      <w:tblPr>
        <w:tblW w:w="850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2410"/>
        <w:gridCol w:w="4897"/>
      </w:tblGrid>
      <w:tr w:rsidR="00DA4CAF" w:rsidRPr="009179E5" w:rsidTr="00282D08">
        <w:trPr>
          <w:trHeight w:val="745"/>
        </w:trPr>
        <w:tc>
          <w:tcPr>
            <w:tcW w:w="3608" w:type="dxa"/>
            <w:gridSpan w:val="2"/>
          </w:tcPr>
          <w:p w:rsidR="00DA4CAF" w:rsidRPr="009179E5" w:rsidRDefault="00DA4CAF" w:rsidP="00282D08">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szCs w:val="18"/>
                <w:lang w:val="lv-LV"/>
              </w:rPr>
              <w:t>Enerģijas ietaupījumu sasniegšanas pasākuma nosaukums</w:t>
            </w:r>
          </w:p>
        </w:tc>
        <w:tc>
          <w:tcPr>
            <w:tcW w:w="4897" w:type="dxa"/>
          </w:tcPr>
          <w:p w:rsidR="00DA4CAF" w:rsidRPr="009179E5" w:rsidRDefault="00E86DD9" w:rsidP="00282D08">
            <w:pPr>
              <w:spacing w:after="0" w:line="240" w:lineRule="auto"/>
              <w:jc w:val="both"/>
              <w:rPr>
                <w:rFonts w:ascii="Times New Roman" w:hAnsi="Times New Roman"/>
                <w:b/>
                <w:sz w:val="18"/>
                <w:szCs w:val="18"/>
                <w:lang w:val="lv-LV"/>
              </w:rPr>
            </w:pPr>
            <w:hyperlink r:id="rId48" w:tgtFrame="_self" w:history="1">
              <w:r w:rsidR="00DA4CAF" w:rsidRPr="009179E5">
                <w:rPr>
                  <w:rStyle w:val="Strong"/>
                  <w:rFonts w:ascii="Times New Roman" w:hAnsi="Times New Roman"/>
                  <w:b w:val="0"/>
                  <w:sz w:val="18"/>
                  <w:szCs w:val="18"/>
                  <w:lang w:val="lv-LV"/>
                </w:rPr>
                <w:t>Kompleksi risinājumi siltumnīcefekta gāzu emisijas samazināšanai valsts un pašvaldību profesionālās izglītības iestāžu ēkās</w:t>
              </w:r>
            </w:hyperlink>
          </w:p>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p>
        </w:tc>
      </w:tr>
      <w:tr w:rsidR="00DA4CAF" w:rsidRPr="009179E5" w:rsidTr="00282D08">
        <w:trPr>
          <w:trHeight w:val="354"/>
        </w:trPr>
        <w:tc>
          <w:tcPr>
            <w:tcW w:w="3608" w:type="dxa"/>
            <w:gridSpan w:val="2"/>
          </w:tcPr>
          <w:p w:rsidR="00DA4CAF" w:rsidRPr="009179E5" w:rsidRDefault="00DA4CAF" w:rsidP="00282D08">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szCs w:val="18"/>
                <w:lang w:val="lv-LV"/>
              </w:rPr>
              <w:t>Pasākuma nr.</w:t>
            </w:r>
          </w:p>
        </w:tc>
        <w:tc>
          <w:tcPr>
            <w:tcW w:w="4897" w:type="dxa"/>
          </w:tcPr>
          <w:p w:rsidR="00DA4CAF" w:rsidRPr="009179E5" w:rsidRDefault="00573B32"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P</w:t>
            </w:r>
            <w:r w:rsidR="00DA4CAF" w:rsidRPr="009179E5">
              <w:rPr>
                <w:rFonts w:ascii="Times New Roman" w:hAnsi="Times New Roman"/>
                <w:b/>
                <w:szCs w:val="18"/>
                <w:lang w:val="lv-LV"/>
              </w:rPr>
              <w:t>A.</w:t>
            </w:r>
            <w:r w:rsidR="00282D08" w:rsidRPr="009179E5">
              <w:rPr>
                <w:rFonts w:ascii="Times New Roman" w:hAnsi="Times New Roman"/>
                <w:b/>
                <w:szCs w:val="18"/>
                <w:lang w:val="lv-LV"/>
              </w:rPr>
              <w:t>3.</w:t>
            </w:r>
            <w:r w:rsidR="00DA4CAF" w:rsidRPr="009179E5">
              <w:rPr>
                <w:rFonts w:ascii="Times New Roman" w:hAnsi="Times New Roman"/>
                <w:b/>
                <w:szCs w:val="18"/>
                <w:lang w:val="lv-LV"/>
              </w:rPr>
              <w:t>4.</w:t>
            </w:r>
          </w:p>
        </w:tc>
      </w:tr>
      <w:tr w:rsidR="00DA4CAF" w:rsidRPr="009179E5" w:rsidTr="001C33A4">
        <w:trPr>
          <w:trHeight w:val="476"/>
        </w:trPr>
        <w:tc>
          <w:tcPr>
            <w:tcW w:w="1198" w:type="dxa"/>
            <w:vMerge w:val="restart"/>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p>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Apraksts</w:t>
            </w:r>
          </w:p>
        </w:tc>
        <w:tc>
          <w:tcPr>
            <w:tcW w:w="2410" w:type="dxa"/>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Kategorija</w:t>
            </w:r>
          </w:p>
        </w:tc>
        <w:tc>
          <w:tcPr>
            <w:tcW w:w="4897"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Finanšu instruments (KPFI)</w:t>
            </w:r>
          </w:p>
        </w:tc>
      </w:tr>
      <w:tr w:rsidR="00DA4CAF" w:rsidRPr="009179E5" w:rsidTr="001C33A4">
        <w:trPr>
          <w:trHeight w:val="476"/>
        </w:trPr>
        <w:tc>
          <w:tcPr>
            <w:tcW w:w="1198" w:type="dxa"/>
            <w:vMerge/>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Īstenošanas laika grafiks</w:t>
            </w:r>
          </w:p>
        </w:tc>
        <w:tc>
          <w:tcPr>
            <w:tcW w:w="489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1843"/>
              <w:gridCol w:w="1944"/>
            </w:tblGrid>
            <w:tr w:rsidR="00DA4CAF" w:rsidRPr="009179E5" w:rsidTr="001C33A4">
              <w:tc>
                <w:tcPr>
                  <w:tcW w:w="879"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Kārta </w:t>
                  </w:r>
                </w:p>
              </w:tc>
              <w:tc>
                <w:tcPr>
                  <w:tcW w:w="1843"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Sākums </w:t>
                  </w:r>
                </w:p>
              </w:tc>
              <w:tc>
                <w:tcPr>
                  <w:tcW w:w="1944"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Beigas </w:t>
                  </w:r>
                </w:p>
              </w:tc>
            </w:tr>
            <w:tr w:rsidR="00DA4CAF" w:rsidRPr="009179E5" w:rsidTr="001C33A4">
              <w:tc>
                <w:tcPr>
                  <w:tcW w:w="879"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p>
              </w:tc>
              <w:tc>
                <w:tcPr>
                  <w:tcW w:w="1843"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Konkurss izsludināts 2010.gadā</w:t>
                  </w:r>
                </w:p>
              </w:tc>
              <w:tc>
                <w:tcPr>
                  <w:tcW w:w="1944"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eastAsia="lv-LV"/>
                    </w:rPr>
                    <w:t>Konkursa ietvaros apstiprinātajos projektos paredzētās aktivitātes finansējuma saņēmējs īsteno līdz 2011.gada 1.decembrim.</w:t>
                  </w:r>
                </w:p>
              </w:tc>
            </w:tr>
          </w:tbl>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p>
        </w:tc>
      </w:tr>
      <w:tr w:rsidR="00DA4CAF" w:rsidRPr="009179E5" w:rsidTr="001C33A4">
        <w:trPr>
          <w:trHeight w:val="476"/>
        </w:trPr>
        <w:tc>
          <w:tcPr>
            <w:tcW w:w="1198" w:type="dxa"/>
            <w:vMerge/>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Mērķis</w:t>
            </w:r>
          </w:p>
        </w:tc>
        <w:tc>
          <w:tcPr>
            <w:tcW w:w="4897" w:type="dxa"/>
          </w:tcPr>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Oglekļa dioksīda emisiju samazināšana, samazinot siltumenerģijas un apgaismojuma elektroenerģijas patēriņu Latvijas Republikas valsts dibināto un</w:t>
            </w:r>
          </w:p>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eastAsia="lv-LV"/>
              </w:rPr>
              <w:t>pašvaldību dibināto profesionālās izglītības iestāžu ēkās</w:t>
            </w:r>
          </w:p>
        </w:tc>
      </w:tr>
      <w:tr w:rsidR="00DA4CAF" w:rsidRPr="009179E5" w:rsidTr="00960068">
        <w:trPr>
          <w:trHeight w:val="367"/>
        </w:trPr>
        <w:tc>
          <w:tcPr>
            <w:tcW w:w="1198" w:type="dxa"/>
            <w:vMerge/>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galapatēriņa sektors</w:t>
            </w:r>
          </w:p>
        </w:tc>
        <w:tc>
          <w:tcPr>
            <w:tcW w:w="4897"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Ēkas</w:t>
            </w:r>
          </w:p>
        </w:tc>
      </w:tr>
      <w:tr w:rsidR="00DA4CAF" w:rsidRPr="009179E5" w:rsidTr="00960068">
        <w:trPr>
          <w:trHeight w:val="274"/>
        </w:trPr>
        <w:tc>
          <w:tcPr>
            <w:tcW w:w="1198" w:type="dxa"/>
            <w:vMerge/>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Mērķauditorija</w:t>
            </w:r>
          </w:p>
        </w:tc>
        <w:tc>
          <w:tcPr>
            <w:tcW w:w="4897"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eastAsia="lv-LV"/>
              </w:rPr>
              <w:t>Valsts vai pašvaldību profesionālās izglītības iestādes</w:t>
            </w:r>
          </w:p>
        </w:tc>
      </w:tr>
      <w:tr w:rsidR="00DA4CAF" w:rsidRPr="009179E5" w:rsidTr="00960068">
        <w:trPr>
          <w:trHeight w:val="405"/>
        </w:trPr>
        <w:tc>
          <w:tcPr>
            <w:tcW w:w="1198" w:type="dxa"/>
            <w:vMerge/>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Pasākuma ieviešanas teritorija</w:t>
            </w:r>
          </w:p>
        </w:tc>
        <w:tc>
          <w:tcPr>
            <w:tcW w:w="4897"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Latvijas Republika </w:t>
            </w:r>
          </w:p>
        </w:tc>
      </w:tr>
      <w:tr w:rsidR="00DA4CAF" w:rsidRPr="009179E5" w:rsidTr="001C33A4">
        <w:trPr>
          <w:trHeight w:val="476"/>
        </w:trPr>
        <w:tc>
          <w:tcPr>
            <w:tcW w:w="1198" w:type="dxa"/>
            <w:vMerge w:val="restart"/>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Informācija un ieviešana</w:t>
            </w:r>
          </w:p>
        </w:tc>
        <w:tc>
          <w:tcPr>
            <w:tcW w:w="2410"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Enerģijas ietaupījumu sasniegšanas pasākumu saraksts un pasākuma pamatapraksts</w:t>
            </w:r>
          </w:p>
        </w:tc>
        <w:tc>
          <w:tcPr>
            <w:tcW w:w="4897" w:type="dxa"/>
          </w:tcPr>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Konkursa ietvaros atbalstītas šādas projekta aktivitātes:</w:t>
            </w:r>
          </w:p>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1. energoaudita, tehniskās izpētes slēdziena, tai skaitā alternatīvu risinājumu izvērtējuma, būvprojekta un tehniskās dokumentācijas sagatavošana un saskaņošana</w:t>
            </w:r>
          </w:p>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atbilstoši ēku energoefektivitāti un būvniecību regulējošajiem normatīvajiem aktiem;</w:t>
            </w:r>
          </w:p>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2. energoefektivitāti paaugstinošu rekonstrukcijas, renovācijas vai vienkāršotās renovācijas darbu veikšana;</w:t>
            </w:r>
          </w:p>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3. siltumapgādes sistēmas maiņa no fosilajiem energoresursiem uz atjaunojamiem enerģijas avotiem, tai skaitā atjaunojamo enerģijas avotu (saules kolektori, gaisa vai</w:t>
            </w:r>
          </w:p>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zemes siltumsūkņi, granulu vai šķeldas apkures katli) uzstādīšana un pieslēgšana;</w:t>
            </w:r>
          </w:p>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4. inženierkomunikāciju rekonstrukcijas un renovācijas, tai skaitā vienkāršotās rekonstrukcijas un renovācijas, darbu veikšana, ja tie atbilstoši energoauditam samazina</w:t>
            </w:r>
          </w:p>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siltumenerģijas patēriņu;</w:t>
            </w:r>
          </w:p>
          <w:p w:rsidR="00DA4CAF" w:rsidRPr="009179E5" w:rsidRDefault="00DA4CAF" w:rsidP="00282D08">
            <w:pPr>
              <w:pStyle w:val="Tabletext"/>
              <w:tabs>
                <w:tab w:val="left" w:pos="175"/>
                <w:tab w:val="left" w:pos="5040"/>
              </w:tabs>
              <w:spacing w:before="0" w:after="0" w:line="240" w:lineRule="auto"/>
              <w:ind w:left="33"/>
              <w:rPr>
                <w:rFonts w:ascii="Times New Roman" w:hAnsi="Times New Roman"/>
                <w:b/>
                <w:szCs w:val="18"/>
                <w:lang w:val="lv-LV" w:eastAsia="lv-LV"/>
              </w:rPr>
            </w:pPr>
            <w:r w:rsidRPr="009179E5">
              <w:rPr>
                <w:rFonts w:ascii="Times New Roman" w:hAnsi="Times New Roman"/>
                <w:b/>
                <w:szCs w:val="18"/>
                <w:lang w:val="lv-LV" w:eastAsia="lv-LV"/>
              </w:rPr>
              <w:t>5. energoefektīva apgaismojuma uzstādīšana;</w:t>
            </w:r>
          </w:p>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6. ēkas norobežojošo konstrukciju pārbaude būvniecības stadijā, gaiscaurlaidības tests, kurš veikts atbilstoši gaiscaurlaidības testa mērīšanu regulējošajiem</w:t>
            </w:r>
          </w:p>
          <w:p w:rsidR="00DA4CAF" w:rsidRPr="009179E5" w:rsidRDefault="00DA4CAF" w:rsidP="00282D08">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normatīvajiem aktiem, un termofotografēšana;</w:t>
            </w:r>
          </w:p>
          <w:p w:rsidR="00DA4CAF" w:rsidRPr="009179E5" w:rsidRDefault="00DA4CAF" w:rsidP="00282D08">
            <w:pPr>
              <w:pStyle w:val="Tabletext"/>
              <w:tabs>
                <w:tab w:val="left" w:pos="175"/>
                <w:tab w:val="left" w:pos="5040"/>
              </w:tabs>
              <w:spacing w:before="0" w:after="0" w:line="240" w:lineRule="auto"/>
              <w:ind w:left="33"/>
              <w:rPr>
                <w:rFonts w:ascii="Times New Roman" w:hAnsi="Times New Roman"/>
                <w:b/>
                <w:szCs w:val="18"/>
                <w:lang w:val="lv-LV"/>
              </w:rPr>
            </w:pPr>
            <w:r w:rsidRPr="009179E5">
              <w:rPr>
                <w:rFonts w:ascii="Times New Roman" w:hAnsi="Times New Roman"/>
                <w:b/>
                <w:szCs w:val="18"/>
                <w:lang w:val="lv-LV" w:eastAsia="lv-LV"/>
              </w:rPr>
              <w:t>7. projekta publicitātes pasākumi.</w:t>
            </w:r>
          </w:p>
        </w:tc>
      </w:tr>
      <w:tr w:rsidR="00DA4CAF" w:rsidRPr="009179E5" w:rsidTr="001C33A4">
        <w:trPr>
          <w:trHeight w:val="476"/>
        </w:trPr>
        <w:tc>
          <w:tcPr>
            <w:tcW w:w="1198" w:type="dxa"/>
            <w:vMerge/>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Budžets un finansējuma avots</w:t>
            </w:r>
          </w:p>
        </w:tc>
        <w:tc>
          <w:tcPr>
            <w:tcW w:w="4897" w:type="dxa"/>
          </w:tcPr>
          <w:p w:rsidR="00DA4CAF" w:rsidRPr="009179E5" w:rsidRDefault="00DA4CAF" w:rsidP="00282D08">
            <w:pPr>
              <w:pStyle w:val="Default"/>
              <w:rPr>
                <w:b/>
                <w:sz w:val="18"/>
                <w:szCs w:val="18"/>
              </w:rPr>
            </w:pPr>
            <w:r w:rsidRPr="009179E5">
              <w:rPr>
                <w:b/>
                <w:sz w:val="18"/>
                <w:szCs w:val="18"/>
              </w:rPr>
              <w:t>KPFI finansējums – 11</w:t>
            </w:r>
            <w:r w:rsidR="00646FFA" w:rsidRPr="009179E5">
              <w:rPr>
                <w:b/>
                <w:sz w:val="18"/>
                <w:szCs w:val="18"/>
              </w:rPr>
              <w:t>,</w:t>
            </w:r>
            <w:r w:rsidR="00A71F9B" w:rsidRPr="009179E5">
              <w:rPr>
                <w:b/>
                <w:sz w:val="18"/>
                <w:szCs w:val="18"/>
              </w:rPr>
              <w:t>94</w:t>
            </w:r>
            <w:r w:rsidR="00646FFA" w:rsidRPr="009179E5">
              <w:rPr>
                <w:b/>
                <w:sz w:val="18"/>
                <w:szCs w:val="18"/>
              </w:rPr>
              <w:t xml:space="preserve"> milj.</w:t>
            </w:r>
            <w:r w:rsidRPr="009179E5">
              <w:rPr>
                <w:b/>
                <w:sz w:val="18"/>
                <w:szCs w:val="18"/>
              </w:rPr>
              <w:t xml:space="preserve"> LVL</w:t>
            </w:r>
          </w:p>
          <w:p w:rsidR="00DA4CAF" w:rsidRPr="009179E5" w:rsidRDefault="00DA4CAF" w:rsidP="00872AC1">
            <w:pPr>
              <w:pStyle w:val="Default"/>
              <w:rPr>
                <w:b/>
                <w:sz w:val="18"/>
                <w:szCs w:val="18"/>
              </w:rPr>
            </w:pPr>
            <w:r w:rsidRPr="009179E5">
              <w:rPr>
                <w:b/>
                <w:sz w:val="18"/>
                <w:szCs w:val="18"/>
              </w:rPr>
              <w:t>Projektu iesniedzēju līdzfinansējums – 2</w:t>
            </w:r>
            <w:r w:rsidR="00872AC1" w:rsidRPr="009179E5">
              <w:rPr>
                <w:b/>
                <w:sz w:val="18"/>
                <w:szCs w:val="18"/>
              </w:rPr>
              <w:t xml:space="preserve"> milj.</w:t>
            </w:r>
            <w:r w:rsidRPr="009179E5">
              <w:rPr>
                <w:b/>
                <w:sz w:val="18"/>
                <w:szCs w:val="18"/>
              </w:rPr>
              <w:t xml:space="preserve"> LVL</w:t>
            </w:r>
          </w:p>
        </w:tc>
      </w:tr>
      <w:tr w:rsidR="00DA4CAF" w:rsidRPr="009179E5" w:rsidTr="001C33A4">
        <w:trPr>
          <w:trHeight w:val="476"/>
        </w:trPr>
        <w:tc>
          <w:tcPr>
            <w:tcW w:w="1198" w:type="dxa"/>
            <w:vMerge/>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Ieviesējs</w:t>
            </w:r>
          </w:p>
        </w:tc>
        <w:tc>
          <w:tcPr>
            <w:tcW w:w="4897"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SIA „Vides investīciju fonds”</w:t>
            </w:r>
          </w:p>
        </w:tc>
      </w:tr>
      <w:tr w:rsidR="00DA4CAF" w:rsidRPr="009179E5" w:rsidTr="001C33A4">
        <w:trPr>
          <w:trHeight w:val="476"/>
        </w:trPr>
        <w:tc>
          <w:tcPr>
            <w:tcW w:w="1198" w:type="dxa"/>
            <w:vMerge/>
          </w:tcPr>
          <w:p w:rsidR="00DA4CAF" w:rsidRPr="009179E5" w:rsidRDefault="00DA4CAF"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Monitoringa (kontroles) institūcija</w:t>
            </w:r>
          </w:p>
        </w:tc>
        <w:tc>
          <w:tcPr>
            <w:tcW w:w="4897" w:type="dxa"/>
          </w:tcPr>
          <w:p w:rsidR="00DA4CAF" w:rsidRPr="009179E5" w:rsidRDefault="00DA4CAF"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Vides aizsardzības un reģionālās attīstības ministrija, SIA „Vides investīciju fonds”</w:t>
            </w:r>
          </w:p>
        </w:tc>
      </w:tr>
      <w:tr w:rsidR="007035BD" w:rsidRPr="009179E5" w:rsidTr="001C33A4">
        <w:trPr>
          <w:trHeight w:val="476"/>
        </w:trPr>
        <w:tc>
          <w:tcPr>
            <w:tcW w:w="1198" w:type="dxa"/>
            <w:vMerge w:val="restart"/>
          </w:tcPr>
          <w:p w:rsidR="007035BD" w:rsidRPr="009179E5" w:rsidRDefault="007035BD" w:rsidP="00282D08">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ietaupījumi</w:t>
            </w:r>
          </w:p>
        </w:tc>
        <w:tc>
          <w:tcPr>
            <w:tcW w:w="2410" w:type="dxa"/>
          </w:tcPr>
          <w:p w:rsidR="007035BD" w:rsidRPr="009179E5" w:rsidRDefault="007035BD" w:rsidP="00282D08">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Sasniegto enerģijas ietaupījumu aprēķina metode</w:t>
            </w:r>
          </w:p>
        </w:tc>
        <w:tc>
          <w:tcPr>
            <w:tcW w:w="4897" w:type="dxa"/>
          </w:tcPr>
          <w:p w:rsidR="007035BD" w:rsidRPr="009179E5" w:rsidRDefault="000E17C9"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Augšupvērstā</w:t>
            </w:r>
          </w:p>
        </w:tc>
      </w:tr>
      <w:tr w:rsidR="007035BD" w:rsidRPr="009179E5" w:rsidTr="001C33A4">
        <w:trPr>
          <w:trHeight w:val="476"/>
        </w:trPr>
        <w:tc>
          <w:tcPr>
            <w:tcW w:w="1198" w:type="dxa"/>
            <w:vMerge/>
          </w:tcPr>
          <w:p w:rsidR="007035BD" w:rsidRPr="009179E5" w:rsidRDefault="007035BD"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035BD" w:rsidRPr="009179E5" w:rsidRDefault="007035BD" w:rsidP="00282D08">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2016</w:t>
            </w:r>
          </w:p>
        </w:tc>
        <w:tc>
          <w:tcPr>
            <w:tcW w:w="4897" w:type="dxa"/>
          </w:tcPr>
          <w:p w:rsidR="007035BD" w:rsidRPr="009179E5" w:rsidRDefault="007035BD"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84,70 GWh</w:t>
            </w:r>
          </w:p>
        </w:tc>
      </w:tr>
      <w:tr w:rsidR="007035BD" w:rsidRPr="009179E5" w:rsidTr="001C33A4">
        <w:trPr>
          <w:trHeight w:val="476"/>
        </w:trPr>
        <w:tc>
          <w:tcPr>
            <w:tcW w:w="1198" w:type="dxa"/>
            <w:vMerge/>
          </w:tcPr>
          <w:p w:rsidR="007035BD" w:rsidRPr="009179E5" w:rsidRDefault="007035BD"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035BD" w:rsidRPr="009179E5" w:rsidRDefault="007035BD" w:rsidP="00282D08">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2020</w:t>
            </w:r>
          </w:p>
        </w:tc>
        <w:tc>
          <w:tcPr>
            <w:tcW w:w="4897" w:type="dxa"/>
          </w:tcPr>
          <w:p w:rsidR="007035BD" w:rsidRPr="009179E5" w:rsidRDefault="007035BD" w:rsidP="00282D0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152,46 GWh</w:t>
            </w:r>
          </w:p>
        </w:tc>
      </w:tr>
      <w:tr w:rsidR="00783D4F" w:rsidRPr="009179E5" w:rsidTr="001C33A4">
        <w:trPr>
          <w:trHeight w:val="476"/>
        </w:trPr>
        <w:tc>
          <w:tcPr>
            <w:tcW w:w="1198" w:type="dxa"/>
          </w:tcPr>
          <w:p w:rsidR="00783D4F" w:rsidRPr="009179E5" w:rsidRDefault="00783D4F" w:rsidP="00282D0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83D4F" w:rsidRPr="009179E5" w:rsidRDefault="00783D4F" w:rsidP="00282D08">
            <w:pPr>
              <w:pStyle w:val="Tabletext"/>
              <w:tabs>
                <w:tab w:val="left" w:pos="1440"/>
                <w:tab w:val="left" w:pos="5040"/>
              </w:tabs>
              <w:spacing w:before="0" w:after="0" w:line="240" w:lineRule="auto"/>
              <w:rPr>
                <w:rFonts w:ascii="Times New Roman" w:hAnsi="Times New Roman"/>
                <w:szCs w:val="18"/>
                <w:lang w:val="lv-LV"/>
              </w:rPr>
            </w:pPr>
            <w:r>
              <w:rPr>
                <w:rFonts w:ascii="Times New Roman" w:hAnsi="Times New Roman"/>
                <w:szCs w:val="18"/>
                <w:lang w:val="lv-LV"/>
              </w:rPr>
              <w:t>Cita informācija</w:t>
            </w:r>
          </w:p>
        </w:tc>
        <w:tc>
          <w:tcPr>
            <w:tcW w:w="4897" w:type="dxa"/>
          </w:tcPr>
          <w:p w:rsidR="00783D4F" w:rsidRPr="009179E5" w:rsidRDefault="00783D4F" w:rsidP="00282D08">
            <w:pPr>
              <w:pStyle w:val="Tabletext"/>
              <w:tabs>
                <w:tab w:val="left" w:pos="1440"/>
                <w:tab w:val="left" w:pos="5040"/>
              </w:tabs>
              <w:spacing w:before="0" w:after="0" w:line="240" w:lineRule="auto"/>
              <w:rPr>
                <w:rFonts w:ascii="Times New Roman" w:hAnsi="Times New Roman"/>
                <w:b/>
                <w:szCs w:val="18"/>
                <w:lang w:val="lv-LV"/>
              </w:rPr>
            </w:pPr>
            <w:r>
              <w:rPr>
                <w:rFonts w:ascii="Times New Roman" w:hAnsi="Times New Roman"/>
                <w:b/>
                <w:szCs w:val="18"/>
                <w:lang w:val="lv-LV"/>
              </w:rPr>
              <w:t>Sagaidāmais enerģijas ietaupījums pret KPFI finansējumu 1,48 MWh/gadā/tūkst.LVL</w:t>
            </w:r>
          </w:p>
        </w:tc>
      </w:tr>
    </w:tbl>
    <w:p w:rsidR="00DC7E7C" w:rsidRPr="009179E5" w:rsidRDefault="00DC7E7C" w:rsidP="00DC7E7C">
      <w:pPr>
        <w:pStyle w:val="Heading4"/>
        <w:numPr>
          <w:ilvl w:val="0"/>
          <w:numId w:val="0"/>
        </w:numPr>
        <w:spacing w:before="120" w:line="240" w:lineRule="auto"/>
        <w:jc w:val="center"/>
        <w:rPr>
          <w:rFonts w:ascii="Times New Roman Bold" w:hAnsi="Times New Roman Bold"/>
          <w:b/>
          <w:i w:val="0"/>
          <w:caps/>
          <w:color w:val="auto"/>
          <w:sz w:val="28"/>
          <w:u w:val="none"/>
          <w:lang w:val="lv-LV"/>
        </w:rPr>
      </w:pPr>
    </w:p>
    <w:p w:rsidR="0072652C" w:rsidRPr="009179E5" w:rsidRDefault="00FE2630" w:rsidP="0095197D">
      <w:pPr>
        <w:pStyle w:val="Heading4"/>
        <w:numPr>
          <w:ilvl w:val="0"/>
          <w:numId w:val="0"/>
        </w:numPr>
        <w:spacing w:line="240" w:lineRule="auto"/>
        <w:jc w:val="center"/>
        <w:rPr>
          <w:rFonts w:ascii="Times New Roman" w:hAnsi="Times New Roman"/>
          <w:sz w:val="28"/>
          <w:lang w:val="lv-LV"/>
        </w:rPr>
      </w:pPr>
      <w:bookmarkStart w:id="34" w:name="_Toc300320579"/>
      <w:r w:rsidRPr="009179E5">
        <w:rPr>
          <w:rFonts w:ascii="Times New Roman Bold" w:hAnsi="Times New Roman Bold"/>
          <w:b/>
          <w:i w:val="0"/>
          <w:caps/>
          <w:color w:val="auto"/>
          <w:sz w:val="28"/>
          <w:u w:val="none"/>
          <w:lang w:val="lv-LV"/>
        </w:rPr>
        <w:t>4.4</w:t>
      </w:r>
      <w:r w:rsidR="000E17C9" w:rsidRPr="009179E5">
        <w:rPr>
          <w:rFonts w:ascii="Times New Roman Bold" w:hAnsi="Times New Roman Bold"/>
          <w:b/>
          <w:i w:val="0"/>
          <w:caps/>
          <w:color w:val="auto"/>
          <w:sz w:val="28"/>
          <w:u w:val="none"/>
          <w:lang w:val="lv-LV"/>
        </w:rPr>
        <w:t>.</w:t>
      </w:r>
      <w:r w:rsidRPr="009179E5">
        <w:rPr>
          <w:rFonts w:ascii="Times New Roman Bold" w:hAnsi="Times New Roman Bold"/>
          <w:b/>
          <w:i w:val="0"/>
          <w:caps/>
          <w:color w:val="auto"/>
          <w:sz w:val="28"/>
          <w:u w:val="none"/>
          <w:lang w:val="lv-LV"/>
        </w:rPr>
        <w:t xml:space="preserve"> </w:t>
      </w:r>
      <w:r w:rsidR="0072652C" w:rsidRPr="009179E5">
        <w:rPr>
          <w:rFonts w:ascii="Times New Roman Bold" w:hAnsi="Times New Roman Bold"/>
          <w:b/>
          <w:i w:val="0"/>
          <w:caps/>
          <w:color w:val="auto"/>
          <w:sz w:val="28"/>
          <w:u w:val="none"/>
          <w:lang w:val="lv-LV"/>
        </w:rPr>
        <w:t>Rūpniecība</w:t>
      </w:r>
      <w:bookmarkEnd w:id="34"/>
    </w:p>
    <w:p w:rsidR="009D7931" w:rsidRPr="009179E5" w:rsidRDefault="004E3D27" w:rsidP="00574AC8">
      <w:pPr>
        <w:spacing w:before="120" w:after="120" w:line="240" w:lineRule="auto"/>
        <w:jc w:val="both"/>
        <w:rPr>
          <w:rFonts w:ascii="Times New Roman" w:hAnsi="Times New Roman"/>
          <w:sz w:val="28"/>
          <w:szCs w:val="28"/>
          <w:lang w:val="lv-LV" w:bidi="en-US"/>
        </w:rPr>
      </w:pPr>
      <w:r w:rsidRPr="009179E5">
        <w:rPr>
          <w:rFonts w:ascii="Times New Roman" w:hAnsi="Times New Roman"/>
          <w:sz w:val="28"/>
          <w:szCs w:val="28"/>
          <w:lang w:val="lv-LV" w:bidi="en-US"/>
        </w:rPr>
        <w:t xml:space="preserve">Rūpniecība un būvniecība (atbilstoši NACE 2.redakcijai ieguves rūpniecība – B, apstrādes rūpniecība – C un būvniecība – F) ir trešais lielākais enerģijas galapatērētājs valstī aiz mājsaimniecībām un transporta nozares. </w:t>
      </w:r>
      <w:r w:rsidRPr="003B66D9">
        <w:rPr>
          <w:rFonts w:ascii="Times New Roman" w:hAnsi="Times New Roman"/>
          <w:sz w:val="28"/>
          <w:szCs w:val="28"/>
          <w:lang w:val="lv-LV" w:bidi="en-US"/>
        </w:rPr>
        <w:t>Enerģijas patē</w:t>
      </w:r>
      <w:r w:rsidR="00E70641" w:rsidRPr="003B66D9">
        <w:rPr>
          <w:rFonts w:ascii="Times New Roman" w:hAnsi="Times New Roman"/>
          <w:sz w:val="28"/>
          <w:szCs w:val="28"/>
          <w:lang w:val="lv-LV" w:bidi="en-US"/>
        </w:rPr>
        <w:t xml:space="preserve">riņš rūpniecībā 2007., 2008., </w:t>
      </w:r>
      <w:r w:rsidRPr="003B66D9">
        <w:rPr>
          <w:rFonts w:ascii="Times New Roman" w:hAnsi="Times New Roman"/>
          <w:sz w:val="28"/>
          <w:szCs w:val="28"/>
          <w:lang w:val="lv-LV" w:bidi="en-US"/>
        </w:rPr>
        <w:t>2009.</w:t>
      </w:r>
      <w:r w:rsidR="00E70641" w:rsidRPr="003B66D9">
        <w:rPr>
          <w:rFonts w:ascii="Times New Roman" w:hAnsi="Times New Roman"/>
          <w:sz w:val="28"/>
          <w:szCs w:val="28"/>
          <w:lang w:val="lv-LV" w:bidi="en-US"/>
        </w:rPr>
        <w:t xml:space="preserve"> un 2010.</w:t>
      </w:r>
      <w:r w:rsidRPr="003B66D9">
        <w:rPr>
          <w:rFonts w:ascii="Times New Roman" w:hAnsi="Times New Roman"/>
          <w:sz w:val="28"/>
          <w:szCs w:val="28"/>
          <w:lang w:val="lv-LV" w:bidi="en-US"/>
        </w:rPr>
        <w:t xml:space="preserve">gadā </w:t>
      </w:r>
      <w:r w:rsidR="00E70641" w:rsidRPr="003B66D9">
        <w:rPr>
          <w:rFonts w:ascii="Times New Roman" w:hAnsi="Times New Roman"/>
          <w:sz w:val="28"/>
          <w:szCs w:val="28"/>
          <w:lang w:val="lv-LV" w:bidi="en-US"/>
        </w:rPr>
        <w:t xml:space="preserve">attiecīgi bija 16,6, 16,4, </w:t>
      </w:r>
      <w:r w:rsidRPr="003B66D9">
        <w:rPr>
          <w:rFonts w:ascii="Times New Roman" w:hAnsi="Times New Roman"/>
          <w:sz w:val="28"/>
          <w:szCs w:val="28"/>
          <w:lang w:val="lv-LV" w:bidi="en-US"/>
        </w:rPr>
        <w:t>16,7</w:t>
      </w:r>
      <w:r w:rsidR="00E70641" w:rsidRPr="003B66D9">
        <w:rPr>
          <w:rFonts w:ascii="Times New Roman" w:hAnsi="Times New Roman"/>
          <w:sz w:val="28"/>
          <w:szCs w:val="28"/>
          <w:lang w:val="lv-LV" w:bidi="en-US"/>
        </w:rPr>
        <w:t xml:space="preserve"> un 18,3</w:t>
      </w:r>
      <w:r w:rsidRPr="003B66D9">
        <w:rPr>
          <w:rFonts w:ascii="Times New Roman" w:hAnsi="Times New Roman"/>
          <w:sz w:val="28"/>
          <w:szCs w:val="28"/>
          <w:lang w:val="lv-LV" w:bidi="en-US"/>
        </w:rPr>
        <w:t>% no kopējā enerģijas galapatēriņa.</w:t>
      </w:r>
    </w:p>
    <w:p w:rsidR="009D7931" w:rsidRPr="009179E5" w:rsidRDefault="009D7931" w:rsidP="00574AC8">
      <w:pPr>
        <w:spacing w:before="120" w:after="120" w:line="240" w:lineRule="auto"/>
        <w:jc w:val="both"/>
        <w:rPr>
          <w:rFonts w:ascii="Times New Roman" w:hAnsi="Times New Roman"/>
          <w:sz w:val="28"/>
          <w:szCs w:val="28"/>
          <w:lang w:val="lv-LV" w:bidi="en-US"/>
        </w:rPr>
      </w:pPr>
      <w:r w:rsidRPr="009179E5">
        <w:rPr>
          <w:rFonts w:ascii="Times New Roman" w:hAnsi="Times New Roman"/>
          <w:sz w:val="28"/>
          <w:szCs w:val="28"/>
          <w:lang w:val="lv-LV" w:bidi="en-US"/>
        </w:rPr>
        <w:t xml:space="preserve">Lielākie enerģijas patērētāji ir koksnes izstrādājumu (izņemot mēbeles) ražošana, pārtikas produktu un dzērienu ražošana, metālu ražošana, kā arī nemetālisko </w:t>
      </w:r>
      <w:r w:rsidR="00346B54" w:rsidRPr="009179E5">
        <w:rPr>
          <w:rFonts w:ascii="Times New Roman" w:hAnsi="Times New Roman"/>
          <w:sz w:val="28"/>
          <w:szCs w:val="28"/>
          <w:lang w:val="lv-LV" w:bidi="en-US"/>
        </w:rPr>
        <w:t>minerālu izstrādājumu ražošana.</w:t>
      </w:r>
    </w:p>
    <w:p w:rsidR="0072652C" w:rsidRDefault="009D7931" w:rsidP="00574AC8">
      <w:pPr>
        <w:pStyle w:val="NormalWeb"/>
        <w:spacing w:before="120" w:beforeAutospacing="0" w:after="120" w:afterAutospacing="0"/>
        <w:jc w:val="both"/>
        <w:rPr>
          <w:sz w:val="28"/>
          <w:szCs w:val="28"/>
        </w:rPr>
      </w:pPr>
      <w:r w:rsidRPr="009179E5">
        <w:rPr>
          <w:sz w:val="28"/>
          <w:szCs w:val="28"/>
          <w:lang w:bidi="en-US"/>
        </w:rPr>
        <w:t xml:space="preserve">Rūpniecībā svarīgi panākt rūpniecisko ražošanas procesu siltuma zudumu efektīvu izmantošanu (rekuperāciju), kas varētu nosegt  siltumenerģijas pieprasījumu paša uzņēmuma apkurei, dzesēšanai vai tehnoloģiskajiem procesiem, vai arī pārdot siltumenerģiju centralizētajām siltumapgādes sistēmām. </w:t>
      </w:r>
      <w:r w:rsidR="00FF6239" w:rsidRPr="009179E5">
        <w:rPr>
          <w:sz w:val="28"/>
          <w:szCs w:val="28"/>
          <w:lang w:bidi="en-US"/>
        </w:rPr>
        <w:t>Enerģijas efektivitātes pasākumu realizācijas veicināšanai</w:t>
      </w:r>
      <w:r w:rsidR="0082441A" w:rsidRPr="009179E5">
        <w:rPr>
          <w:sz w:val="28"/>
          <w:szCs w:val="28"/>
          <w:lang w:bidi="en-US"/>
        </w:rPr>
        <w:t xml:space="preserve"> </w:t>
      </w:r>
      <w:r w:rsidR="00174C18" w:rsidRPr="009179E5">
        <w:rPr>
          <w:sz w:val="28"/>
          <w:szCs w:val="28"/>
          <w:lang w:bidi="en-US"/>
        </w:rPr>
        <w:t>saskaņā</w:t>
      </w:r>
      <w:r w:rsidR="0082441A" w:rsidRPr="009179E5">
        <w:rPr>
          <w:sz w:val="28"/>
          <w:szCs w:val="28"/>
          <w:lang w:bidi="en-US"/>
        </w:rPr>
        <w:t xml:space="preserve"> ar </w:t>
      </w:r>
      <w:r w:rsidR="0082441A" w:rsidRPr="009179E5">
        <w:rPr>
          <w:sz w:val="28"/>
          <w:szCs w:val="28"/>
        </w:rPr>
        <w:t xml:space="preserve">Enerģijas galapatēriņa efektivitātes likuma </w:t>
      </w:r>
      <w:r w:rsidR="00FF6239" w:rsidRPr="009179E5">
        <w:rPr>
          <w:sz w:val="28"/>
          <w:szCs w:val="28"/>
          <w:lang w:bidi="en-US"/>
        </w:rPr>
        <w:t xml:space="preserve"> </w:t>
      </w:r>
      <w:r w:rsidR="007F2858" w:rsidRPr="009179E5">
        <w:rPr>
          <w:sz w:val="28"/>
          <w:szCs w:val="28"/>
          <w:lang w:bidi="en-US"/>
        </w:rPr>
        <w:t xml:space="preserve">12.panta 4.daļu, </w:t>
      </w:r>
      <w:r w:rsidR="00FF6239" w:rsidRPr="009179E5">
        <w:rPr>
          <w:sz w:val="28"/>
          <w:szCs w:val="28"/>
          <w:lang w:bidi="en-US"/>
        </w:rPr>
        <w:t>paredzēts ieviest vienošanās par energoefektivitātes paaugstināšanu. Šādas vienošanās ar Ekonomikas ministriju varēs nosl</w:t>
      </w:r>
      <w:r w:rsidR="007F2858" w:rsidRPr="009179E5">
        <w:rPr>
          <w:sz w:val="28"/>
          <w:szCs w:val="28"/>
          <w:lang w:bidi="en-US"/>
        </w:rPr>
        <w:t xml:space="preserve">ēgt </w:t>
      </w:r>
      <w:r w:rsidR="00FF6239" w:rsidRPr="009179E5">
        <w:rPr>
          <w:sz w:val="28"/>
          <w:szCs w:val="28"/>
          <w:lang w:bidi="en-US"/>
        </w:rPr>
        <w:t>nozaru asociācijas vai atseviš</w:t>
      </w:r>
      <w:r w:rsidR="0082441A" w:rsidRPr="009179E5">
        <w:rPr>
          <w:sz w:val="28"/>
          <w:szCs w:val="28"/>
          <w:lang w:bidi="en-US"/>
        </w:rPr>
        <w:t>ķ</w:t>
      </w:r>
      <w:r w:rsidR="00FF6239" w:rsidRPr="009179E5">
        <w:rPr>
          <w:sz w:val="28"/>
          <w:szCs w:val="28"/>
          <w:lang w:bidi="en-US"/>
        </w:rPr>
        <w:t>i komersanti.</w:t>
      </w:r>
      <w:r w:rsidR="0082441A" w:rsidRPr="009179E5">
        <w:rPr>
          <w:sz w:val="28"/>
          <w:szCs w:val="28"/>
          <w:lang w:bidi="en-US"/>
        </w:rPr>
        <w:t xml:space="preserve"> </w:t>
      </w:r>
      <w:r w:rsidRPr="009179E5">
        <w:rPr>
          <w:sz w:val="28"/>
          <w:szCs w:val="28"/>
        </w:rPr>
        <w:t>Enerģijas galapatēriņa efektivitātes l</w:t>
      </w:r>
      <w:r w:rsidR="007F2858" w:rsidRPr="009179E5">
        <w:rPr>
          <w:sz w:val="28"/>
          <w:szCs w:val="28"/>
        </w:rPr>
        <w:t>ikuma 12.panta 2.daļas 2.punkts</w:t>
      </w:r>
      <w:r w:rsidRPr="009179E5">
        <w:rPr>
          <w:sz w:val="28"/>
          <w:szCs w:val="28"/>
        </w:rPr>
        <w:t xml:space="preserve"> paredz, ka  valsts var noteikt subsīdijas energoauditiem un atsevišķiem energoefektivitātes paaugstināšanas pasākumiem, kas tiek īstenoti saskaņā ar šo vienošanos.</w:t>
      </w:r>
      <w:r w:rsidR="0072652C" w:rsidRPr="009179E5">
        <w:rPr>
          <w:sz w:val="28"/>
          <w:szCs w:val="28"/>
        </w:rPr>
        <w:t xml:space="preserve"> </w:t>
      </w:r>
    </w:p>
    <w:p w:rsidR="001960CF" w:rsidRDefault="001960CF" w:rsidP="00574AC8">
      <w:pPr>
        <w:pStyle w:val="NormalWeb"/>
        <w:spacing w:before="120" w:beforeAutospacing="0" w:after="120" w:afterAutospacing="0"/>
        <w:jc w:val="both"/>
        <w:rPr>
          <w:sz w:val="28"/>
          <w:szCs w:val="28"/>
        </w:rPr>
      </w:pPr>
    </w:p>
    <w:p w:rsidR="001960CF" w:rsidRDefault="001960CF" w:rsidP="00574AC8">
      <w:pPr>
        <w:pStyle w:val="NormalWeb"/>
        <w:spacing w:before="120" w:beforeAutospacing="0" w:after="120" w:afterAutospacing="0"/>
        <w:jc w:val="both"/>
        <w:rPr>
          <w:sz w:val="28"/>
          <w:szCs w:val="28"/>
        </w:rPr>
      </w:pPr>
    </w:p>
    <w:p w:rsidR="001960CF" w:rsidRDefault="001960CF" w:rsidP="00574AC8">
      <w:pPr>
        <w:pStyle w:val="NormalWeb"/>
        <w:spacing w:before="120" w:beforeAutospacing="0" w:after="120" w:afterAutospacing="0"/>
        <w:jc w:val="both"/>
        <w:rPr>
          <w:sz w:val="28"/>
          <w:szCs w:val="28"/>
        </w:rPr>
      </w:pPr>
    </w:p>
    <w:p w:rsidR="001960CF" w:rsidRDefault="001960CF" w:rsidP="00574AC8">
      <w:pPr>
        <w:pStyle w:val="NormalWeb"/>
        <w:spacing w:before="120" w:beforeAutospacing="0" w:after="120" w:afterAutospacing="0"/>
        <w:jc w:val="both"/>
        <w:rPr>
          <w:sz w:val="28"/>
          <w:szCs w:val="28"/>
        </w:rPr>
      </w:pPr>
    </w:p>
    <w:p w:rsidR="001960CF" w:rsidRDefault="001960CF" w:rsidP="00574AC8">
      <w:pPr>
        <w:pStyle w:val="NormalWeb"/>
        <w:spacing w:before="120" w:beforeAutospacing="0" w:after="120" w:afterAutospacing="0"/>
        <w:jc w:val="both"/>
        <w:rPr>
          <w:sz w:val="28"/>
          <w:szCs w:val="28"/>
        </w:rPr>
      </w:pPr>
    </w:p>
    <w:p w:rsidR="001960CF" w:rsidRDefault="001960CF" w:rsidP="00574AC8">
      <w:pPr>
        <w:pStyle w:val="NormalWeb"/>
        <w:spacing w:before="120" w:beforeAutospacing="0" w:after="120" w:afterAutospacing="0"/>
        <w:jc w:val="both"/>
        <w:rPr>
          <w:sz w:val="28"/>
          <w:szCs w:val="28"/>
        </w:rPr>
      </w:pPr>
    </w:p>
    <w:p w:rsidR="001960CF" w:rsidRPr="009179E5" w:rsidRDefault="001960CF" w:rsidP="00574AC8">
      <w:pPr>
        <w:pStyle w:val="NormalWeb"/>
        <w:spacing w:before="120" w:beforeAutospacing="0" w:after="120" w:afterAutospacing="0"/>
        <w:jc w:val="both"/>
        <w:rPr>
          <w:sz w:val="28"/>
          <w:szCs w:val="28"/>
        </w:rPr>
      </w:pPr>
    </w:p>
    <w:p w:rsidR="007176CE" w:rsidRPr="009179E5" w:rsidRDefault="007176CE" w:rsidP="008D5AFA">
      <w:pPr>
        <w:pStyle w:val="NormalWeb"/>
        <w:spacing w:before="0" w:beforeAutospacing="0" w:after="0" w:afterAutospacing="0"/>
        <w:jc w:val="right"/>
        <w:rPr>
          <w:b/>
          <w:sz w:val="24"/>
          <w:szCs w:val="24"/>
        </w:rPr>
      </w:pPr>
      <w:r w:rsidRPr="009179E5">
        <w:rPr>
          <w:b/>
          <w:sz w:val="24"/>
          <w:szCs w:val="24"/>
        </w:rPr>
        <w:lastRenderedPageBreak/>
        <w:t>2</w:t>
      </w:r>
      <w:r w:rsidR="00BF0F90" w:rsidRPr="009179E5">
        <w:rPr>
          <w:b/>
          <w:sz w:val="24"/>
          <w:szCs w:val="24"/>
        </w:rPr>
        <w:t>0</w:t>
      </w:r>
      <w:r w:rsidR="0072652C" w:rsidRPr="009179E5">
        <w:rPr>
          <w:b/>
          <w:sz w:val="24"/>
          <w:szCs w:val="24"/>
        </w:rPr>
        <w:t xml:space="preserve">.tabula </w:t>
      </w:r>
    </w:p>
    <w:p w:rsidR="0072652C" w:rsidRPr="009179E5" w:rsidRDefault="0072652C" w:rsidP="008D5AFA">
      <w:pPr>
        <w:pStyle w:val="NormalWeb"/>
        <w:spacing w:before="0" w:beforeAutospacing="0" w:after="0" w:afterAutospacing="0"/>
        <w:jc w:val="center"/>
      </w:pPr>
      <w:r w:rsidRPr="009179E5">
        <w:rPr>
          <w:b/>
          <w:sz w:val="24"/>
          <w:szCs w:val="24"/>
        </w:rPr>
        <w:t>Energoefektivitātes paaugstināšanas pasākum</w:t>
      </w:r>
      <w:r w:rsidR="007176CE" w:rsidRPr="009179E5">
        <w:rPr>
          <w:b/>
          <w:sz w:val="24"/>
          <w:szCs w:val="24"/>
        </w:rPr>
        <w:t>u</w:t>
      </w:r>
      <w:r w:rsidRPr="009179E5">
        <w:rPr>
          <w:b/>
          <w:sz w:val="24"/>
          <w:szCs w:val="24"/>
        </w:rPr>
        <w:t xml:space="preserve"> rūpniecības sektorā</w:t>
      </w:r>
      <w:r w:rsidR="007176CE" w:rsidRPr="009179E5">
        <w:rPr>
          <w:b/>
          <w:sz w:val="24"/>
          <w:szCs w:val="24"/>
        </w:rPr>
        <w:t xml:space="preserve"> </w:t>
      </w:r>
      <w:r w:rsidRPr="009179E5">
        <w:rPr>
          <w:b/>
          <w:sz w:val="24"/>
          <w:szCs w:val="24"/>
        </w:rPr>
        <w:t>kopsavilkuma tabula</w:t>
      </w:r>
    </w:p>
    <w:tbl>
      <w:tblPr>
        <w:tblW w:w="8873" w:type="dxa"/>
        <w:jc w:val="center"/>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70"/>
        <w:gridCol w:w="3199"/>
        <w:gridCol w:w="1596"/>
        <w:gridCol w:w="879"/>
        <w:gridCol w:w="1353"/>
        <w:gridCol w:w="1076"/>
      </w:tblGrid>
      <w:tr w:rsidR="00263088" w:rsidRPr="009179E5" w:rsidTr="00941D83">
        <w:trPr>
          <w:jc w:val="center"/>
        </w:trPr>
        <w:tc>
          <w:tcPr>
            <w:tcW w:w="770" w:type="dxa"/>
          </w:tcPr>
          <w:p w:rsidR="00263088" w:rsidRPr="009179E5" w:rsidRDefault="00263088" w:rsidP="008D5AFA">
            <w:pPr>
              <w:pStyle w:val="Tabletext"/>
              <w:keepNext/>
              <w:keepLines/>
              <w:spacing w:before="0" w:after="0" w:line="240" w:lineRule="auto"/>
              <w:rPr>
                <w:rFonts w:ascii="Times New Roman" w:hAnsi="Times New Roman"/>
                <w:b/>
                <w:sz w:val="20"/>
                <w:lang w:val="lv-LV"/>
              </w:rPr>
            </w:pPr>
            <w:r w:rsidRPr="009179E5">
              <w:rPr>
                <w:rFonts w:ascii="Times New Roman" w:hAnsi="Times New Roman"/>
                <w:b/>
                <w:sz w:val="20"/>
                <w:lang w:val="lv-LV"/>
              </w:rPr>
              <w:t>Nr.</w:t>
            </w:r>
          </w:p>
        </w:tc>
        <w:tc>
          <w:tcPr>
            <w:tcW w:w="3199" w:type="dxa"/>
          </w:tcPr>
          <w:p w:rsidR="00263088" w:rsidRPr="009179E5" w:rsidRDefault="00263088" w:rsidP="008D5AFA">
            <w:pPr>
              <w:pStyle w:val="Tabletext"/>
              <w:keepNext/>
              <w:keepLines/>
              <w:spacing w:before="0" w:after="0" w:line="240" w:lineRule="auto"/>
              <w:jc w:val="left"/>
              <w:rPr>
                <w:rFonts w:ascii="Times New Roman" w:hAnsi="Times New Roman"/>
                <w:b/>
                <w:sz w:val="20"/>
                <w:lang w:val="lv-LV"/>
              </w:rPr>
            </w:pPr>
            <w:r w:rsidRPr="009179E5">
              <w:rPr>
                <w:rFonts w:ascii="Times New Roman" w:hAnsi="Times New Roman"/>
                <w:b/>
                <w:sz w:val="20"/>
                <w:lang w:val="lv-LV"/>
              </w:rPr>
              <w:t xml:space="preserve">Pasākums  </w:t>
            </w:r>
            <w:r w:rsidRPr="009179E5">
              <w:rPr>
                <w:rFonts w:ascii="Times New Roman" w:hAnsi="Times New Roman"/>
                <w:b/>
                <w:sz w:val="20"/>
                <w:lang w:val="lv-LV"/>
              </w:rPr>
              <w:br/>
            </w:r>
          </w:p>
        </w:tc>
        <w:tc>
          <w:tcPr>
            <w:tcW w:w="1596" w:type="dxa"/>
          </w:tcPr>
          <w:p w:rsidR="00263088" w:rsidRPr="009179E5" w:rsidRDefault="00263088" w:rsidP="008D5AFA">
            <w:pPr>
              <w:pStyle w:val="Tabletext"/>
              <w:keepNext/>
              <w:keepLines/>
              <w:spacing w:before="0" w:after="0" w:line="240" w:lineRule="auto"/>
              <w:jc w:val="left"/>
              <w:rPr>
                <w:rFonts w:ascii="Times New Roman" w:hAnsi="Times New Roman"/>
                <w:b/>
                <w:sz w:val="20"/>
                <w:lang w:val="lv-LV"/>
              </w:rPr>
            </w:pPr>
            <w:r w:rsidRPr="009179E5">
              <w:rPr>
                <w:rFonts w:ascii="Times New Roman" w:hAnsi="Times New Roman"/>
                <w:b/>
                <w:sz w:val="20"/>
                <w:lang w:val="lv-LV"/>
              </w:rPr>
              <w:t>Mērķauditorija</w:t>
            </w:r>
          </w:p>
        </w:tc>
        <w:tc>
          <w:tcPr>
            <w:tcW w:w="879" w:type="dxa"/>
          </w:tcPr>
          <w:p w:rsidR="00263088" w:rsidRPr="009179E5" w:rsidRDefault="00263088" w:rsidP="008D5AFA">
            <w:pPr>
              <w:pStyle w:val="Tabletext"/>
              <w:keepNext/>
              <w:keepLines/>
              <w:spacing w:before="0" w:after="0" w:line="240" w:lineRule="auto"/>
              <w:rPr>
                <w:rFonts w:ascii="Times New Roman" w:hAnsi="Times New Roman"/>
                <w:b/>
                <w:sz w:val="20"/>
                <w:lang w:val="lv-LV"/>
              </w:rPr>
            </w:pPr>
            <w:r w:rsidRPr="009179E5">
              <w:rPr>
                <w:rFonts w:ascii="Times New Roman" w:hAnsi="Times New Roman"/>
                <w:b/>
                <w:sz w:val="20"/>
                <w:lang w:val="lv-LV"/>
              </w:rPr>
              <w:t>Periods</w:t>
            </w:r>
          </w:p>
        </w:tc>
        <w:tc>
          <w:tcPr>
            <w:tcW w:w="1353" w:type="dxa"/>
          </w:tcPr>
          <w:p w:rsidR="00263088" w:rsidRPr="009179E5" w:rsidRDefault="00263088" w:rsidP="008D5AFA">
            <w:pPr>
              <w:pStyle w:val="Tabletext"/>
              <w:keepNext/>
              <w:keepLines/>
              <w:spacing w:before="0" w:after="0" w:line="240" w:lineRule="auto"/>
              <w:rPr>
                <w:rFonts w:ascii="Times New Roman" w:hAnsi="Times New Roman"/>
                <w:b/>
                <w:sz w:val="20"/>
                <w:lang w:val="lv-LV"/>
              </w:rPr>
            </w:pPr>
            <w:r w:rsidRPr="009179E5">
              <w:rPr>
                <w:rFonts w:ascii="Times New Roman" w:hAnsi="Times New Roman"/>
                <w:b/>
                <w:sz w:val="20"/>
                <w:lang w:val="lv-LV"/>
              </w:rPr>
              <w:t>Sasniegtie enerģijas ietaupījumi 2010 (GWh)</w:t>
            </w:r>
          </w:p>
        </w:tc>
        <w:tc>
          <w:tcPr>
            <w:tcW w:w="1076" w:type="dxa"/>
          </w:tcPr>
          <w:p w:rsidR="00263088" w:rsidRPr="009179E5" w:rsidRDefault="00263088" w:rsidP="008D5AFA">
            <w:pPr>
              <w:pStyle w:val="Tabletext"/>
              <w:keepNext/>
              <w:keepLines/>
              <w:spacing w:before="0" w:after="0" w:line="240" w:lineRule="auto"/>
              <w:rPr>
                <w:rFonts w:ascii="Times New Roman" w:hAnsi="Times New Roman"/>
                <w:b/>
                <w:sz w:val="20"/>
                <w:lang w:val="lv-LV"/>
              </w:rPr>
            </w:pPr>
            <w:r w:rsidRPr="009179E5">
              <w:rPr>
                <w:rFonts w:ascii="Times New Roman" w:hAnsi="Times New Roman"/>
                <w:b/>
                <w:sz w:val="20"/>
                <w:lang w:val="lv-LV"/>
              </w:rPr>
              <w:t>Plānotie enerģijas ietaupījumi 2016 (GWh)</w:t>
            </w:r>
          </w:p>
        </w:tc>
      </w:tr>
      <w:tr w:rsidR="00263088" w:rsidRPr="009179E5" w:rsidTr="00941D83">
        <w:trPr>
          <w:jc w:val="center"/>
        </w:trPr>
        <w:tc>
          <w:tcPr>
            <w:tcW w:w="770" w:type="dxa"/>
          </w:tcPr>
          <w:p w:rsidR="00263088" w:rsidRPr="009179E5" w:rsidRDefault="00263088" w:rsidP="008D5AFA">
            <w:pPr>
              <w:pStyle w:val="Tabletext"/>
              <w:keepNext/>
              <w:keepLines/>
              <w:spacing w:before="0" w:after="0" w:line="240" w:lineRule="auto"/>
              <w:rPr>
                <w:rFonts w:ascii="Times New Roman" w:hAnsi="Times New Roman"/>
                <w:sz w:val="20"/>
                <w:lang w:val="lv-LV"/>
              </w:rPr>
            </w:pPr>
            <w:r w:rsidRPr="009179E5">
              <w:rPr>
                <w:rFonts w:ascii="Times New Roman" w:hAnsi="Times New Roman"/>
                <w:sz w:val="20"/>
                <w:lang w:val="lv-LV"/>
              </w:rPr>
              <w:t>R.</w:t>
            </w:r>
            <w:r w:rsidR="00321436" w:rsidRPr="009179E5">
              <w:rPr>
                <w:rFonts w:ascii="Times New Roman" w:hAnsi="Times New Roman"/>
                <w:sz w:val="20"/>
                <w:lang w:val="lv-LV"/>
              </w:rPr>
              <w:t>4.</w:t>
            </w:r>
            <w:r w:rsidRPr="009179E5">
              <w:rPr>
                <w:rFonts w:ascii="Times New Roman" w:hAnsi="Times New Roman"/>
                <w:sz w:val="20"/>
                <w:lang w:val="lv-LV"/>
              </w:rPr>
              <w:t>1.</w:t>
            </w:r>
          </w:p>
        </w:tc>
        <w:tc>
          <w:tcPr>
            <w:tcW w:w="3199" w:type="dxa"/>
          </w:tcPr>
          <w:p w:rsidR="00263088" w:rsidRPr="009179E5" w:rsidRDefault="00E86DD9" w:rsidP="008D5AFA">
            <w:pPr>
              <w:pStyle w:val="Tabletext"/>
              <w:keepNext/>
              <w:keepLines/>
              <w:spacing w:before="0" w:after="0" w:line="240" w:lineRule="auto"/>
              <w:rPr>
                <w:rFonts w:ascii="Times New Roman" w:hAnsi="Times New Roman"/>
                <w:sz w:val="20"/>
                <w:lang w:val="lv-LV"/>
              </w:rPr>
            </w:pPr>
            <w:hyperlink r:id="rId49" w:tgtFrame="_self" w:history="1">
              <w:r w:rsidR="00263088" w:rsidRPr="009179E5">
                <w:rPr>
                  <w:rFonts w:ascii="Times New Roman" w:hAnsi="Times New Roman"/>
                  <w:bCs/>
                  <w:sz w:val="20"/>
                  <w:lang w:val="lv-LV"/>
                </w:rPr>
                <w:t>Kompleksi risinājumi siltumnīcefekta gāzu emisiju samazināšanai ražošanas ēkās</w:t>
              </w:r>
            </w:hyperlink>
            <w:r w:rsidR="00263088" w:rsidRPr="009179E5">
              <w:rPr>
                <w:rFonts w:ascii="Times New Roman" w:hAnsi="Times New Roman"/>
                <w:bCs/>
                <w:sz w:val="20"/>
                <w:lang w:val="lv-LV"/>
              </w:rPr>
              <w:t xml:space="preserve">  (KPFI)</w:t>
            </w:r>
          </w:p>
        </w:tc>
        <w:tc>
          <w:tcPr>
            <w:tcW w:w="1596" w:type="dxa"/>
          </w:tcPr>
          <w:p w:rsidR="00263088" w:rsidRPr="009179E5" w:rsidRDefault="00263088" w:rsidP="008D5AFA">
            <w:pPr>
              <w:pStyle w:val="Tabletext"/>
              <w:keepNext/>
              <w:keepLines/>
              <w:spacing w:before="0" w:after="0" w:line="240" w:lineRule="auto"/>
              <w:rPr>
                <w:rFonts w:ascii="Times New Roman" w:hAnsi="Times New Roman"/>
                <w:sz w:val="20"/>
                <w:lang w:val="lv-LV"/>
              </w:rPr>
            </w:pPr>
            <w:r w:rsidRPr="009179E5">
              <w:rPr>
                <w:rFonts w:ascii="Times New Roman" w:hAnsi="Times New Roman"/>
                <w:sz w:val="20"/>
                <w:lang w:val="lv-LV"/>
              </w:rPr>
              <w:t>Komersanti</w:t>
            </w:r>
          </w:p>
        </w:tc>
        <w:tc>
          <w:tcPr>
            <w:tcW w:w="879" w:type="dxa"/>
          </w:tcPr>
          <w:p w:rsidR="00263088" w:rsidRPr="009179E5" w:rsidRDefault="00263088" w:rsidP="008D5AFA">
            <w:pPr>
              <w:spacing w:after="0" w:line="240" w:lineRule="auto"/>
              <w:rPr>
                <w:rFonts w:ascii="Times New Roman" w:hAnsi="Times New Roman"/>
                <w:sz w:val="20"/>
                <w:szCs w:val="20"/>
                <w:lang w:val="lv-LV"/>
              </w:rPr>
            </w:pPr>
            <w:r w:rsidRPr="009179E5">
              <w:rPr>
                <w:rFonts w:ascii="Times New Roman" w:hAnsi="Times New Roman"/>
                <w:sz w:val="20"/>
                <w:szCs w:val="20"/>
                <w:lang w:val="lv-LV"/>
              </w:rPr>
              <w:t>2010.-2011.</w:t>
            </w:r>
          </w:p>
        </w:tc>
        <w:tc>
          <w:tcPr>
            <w:tcW w:w="1353" w:type="dxa"/>
            <w:vMerge w:val="restart"/>
            <w:vAlign w:val="center"/>
          </w:tcPr>
          <w:p w:rsidR="00263088" w:rsidRPr="009179E5" w:rsidRDefault="00263088" w:rsidP="008D5AFA">
            <w:pPr>
              <w:spacing w:after="0" w:line="240" w:lineRule="auto"/>
              <w:jc w:val="center"/>
              <w:rPr>
                <w:rFonts w:ascii="Times New Roman" w:hAnsi="Times New Roman"/>
                <w:b/>
                <w:sz w:val="20"/>
                <w:szCs w:val="20"/>
                <w:lang w:val="lv-LV"/>
              </w:rPr>
            </w:pPr>
            <w:r w:rsidRPr="009179E5">
              <w:rPr>
                <w:rFonts w:ascii="Times New Roman" w:hAnsi="Times New Roman"/>
                <w:b/>
                <w:sz w:val="20"/>
                <w:szCs w:val="20"/>
                <w:lang w:val="lv-LV"/>
              </w:rPr>
              <w:t>-905</w:t>
            </w:r>
          </w:p>
        </w:tc>
        <w:tc>
          <w:tcPr>
            <w:tcW w:w="1076" w:type="dxa"/>
            <w:vMerge w:val="restart"/>
            <w:vAlign w:val="center"/>
          </w:tcPr>
          <w:p w:rsidR="00263088" w:rsidRPr="009179E5" w:rsidRDefault="00263088" w:rsidP="008D5AFA">
            <w:pPr>
              <w:spacing w:after="0" w:line="240" w:lineRule="auto"/>
              <w:jc w:val="center"/>
              <w:rPr>
                <w:rFonts w:ascii="Times New Roman" w:hAnsi="Times New Roman"/>
                <w:b/>
                <w:sz w:val="20"/>
                <w:szCs w:val="20"/>
                <w:lang w:val="lv-LV"/>
              </w:rPr>
            </w:pPr>
            <w:r w:rsidRPr="009179E5">
              <w:rPr>
                <w:rFonts w:ascii="Times New Roman" w:hAnsi="Times New Roman"/>
                <w:b/>
                <w:sz w:val="20"/>
                <w:szCs w:val="20"/>
                <w:lang w:val="lv-LV"/>
              </w:rPr>
              <w:t>170</w:t>
            </w:r>
          </w:p>
        </w:tc>
      </w:tr>
      <w:tr w:rsidR="00263088" w:rsidRPr="009179E5" w:rsidTr="00941D83">
        <w:trPr>
          <w:jc w:val="center"/>
        </w:trPr>
        <w:tc>
          <w:tcPr>
            <w:tcW w:w="770" w:type="dxa"/>
          </w:tcPr>
          <w:p w:rsidR="00263088" w:rsidRPr="009179E5" w:rsidRDefault="00263088" w:rsidP="008D5AFA">
            <w:pPr>
              <w:pStyle w:val="Tabletext"/>
              <w:keepNext/>
              <w:keepLines/>
              <w:spacing w:before="0" w:after="0" w:line="240" w:lineRule="auto"/>
              <w:rPr>
                <w:rFonts w:ascii="Times New Roman" w:hAnsi="Times New Roman"/>
                <w:sz w:val="20"/>
                <w:lang w:val="lv-LV"/>
              </w:rPr>
            </w:pPr>
            <w:r w:rsidRPr="009179E5">
              <w:rPr>
                <w:rFonts w:ascii="Times New Roman" w:hAnsi="Times New Roman"/>
                <w:sz w:val="20"/>
                <w:lang w:val="lv-LV"/>
              </w:rPr>
              <w:t>R.</w:t>
            </w:r>
            <w:r w:rsidR="00321436" w:rsidRPr="009179E5">
              <w:rPr>
                <w:rFonts w:ascii="Times New Roman" w:hAnsi="Times New Roman"/>
                <w:sz w:val="20"/>
                <w:lang w:val="lv-LV"/>
              </w:rPr>
              <w:t>4.</w:t>
            </w:r>
            <w:r w:rsidRPr="009179E5">
              <w:rPr>
                <w:rFonts w:ascii="Times New Roman" w:hAnsi="Times New Roman"/>
                <w:sz w:val="20"/>
                <w:lang w:val="lv-LV"/>
              </w:rPr>
              <w:t>2.</w:t>
            </w:r>
          </w:p>
        </w:tc>
        <w:tc>
          <w:tcPr>
            <w:tcW w:w="3199" w:type="dxa"/>
          </w:tcPr>
          <w:p w:rsidR="00263088" w:rsidRPr="009179E5" w:rsidRDefault="00263088" w:rsidP="008D5AFA">
            <w:pPr>
              <w:pStyle w:val="Tabletext"/>
              <w:keepNext/>
              <w:keepLines/>
              <w:spacing w:before="0" w:after="0" w:line="240" w:lineRule="auto"/>
              <w:rPr>
                <w:rFonts w:ascii="Times New Roman" w:hAnsi="Times New Roman"/>
                <w:sz w:val="20"/>
                <w:lang w:val="lv-LV"/>
              </w:rPr>
            </w:pPr>
            <w:r w:rsidRPr="009179E5">
              <w:rPr>
                <w:rFonts w:ascii="Times New Roman" w:hAnsi="Times New Roman"/>
                <w:sz w:val="20"/>
                <w:lang w:val="lv-LV"/>
              </w:rPr>
              <w:t>Vienošanās par energoefektivitātes paaugstināšanu ieviešana, veicinot rūpniecisko energoauditu un uzņēmumu energovadības sistēmu ieviešanu</w:t>
            </w:r>
          </w:p>
        </w:tc>
        <w:tc>
          <w:tcPr>
            <w:tcW w:w="1596" w:type="dxa"/>
          </w:tcPr>
          <w:p w:rsidR="00263088" w:rsidRPr="009179E5" w:rsidRDefault="00263088" w:rsidP="008D5AFA">
            <w:pPr>
              <w:pStyle w:val="Tabletext"/>
              <w:keepNext/>
              <w:keepLines/>
              <w:spacing w:before="0" w:after="0" w:line="240" w:lineRule="auto"/>
              <w:rPr>
                <w:rFonts w:ascii="Times New Roman" w:hAnsi="Times New Roman"/>
                <w:sz w:val="20"/>
                <w:lang w:val="lv-LV"/>
              </w:rPr>
            </w:pPr>
            <w:r w:rsidRPr="009179E5">
              <w:rPr>
                <w:rFonts w:ascii="Times New Roman" w:hAnsi="Times New Roman"/>
                <w:sz w:val="20"/>
                <w:lang w:val="lv-LV"/>
              </w:rPr>
              <w:t>Komersanti</w:t>
            </w:r>
          </w:p>
        </w:tc>
        <w:tc>
          <w:tcPr>
            <w:tcW w:w="879" w:type="dxa"/>
          </w:tcPr>
          <w:p w:rsidR="00263088" w:rsidRPr="009179E5" w:rsidRDefault="00263088" w:rsidP="008D5AFA">
            <w:pPr>
              <w:spacing w:after="0" w:line="240" w:lineRule="auto"/>
              <w:rPr>
                <w:rFonts w:ascii="Times New Roman" w:hAnsi="Times New Roman"/>
                <w:sz w:val="20"/>
                <w:szCs w:val="20"/>
                <w:lang w:val="lv-LV"/>
              </w:rPr>
            </w:pPr>
            <w:r w:rsidRPr="009179E5">
              <w:rPr>
                <w:rFonts w:ascii="Times New Roman" w:hAnsi="Times New Roman"/>
                <w:sz w:val="20"/>
                <w:szCs w:val="20"/>
                <w:lang w:val="lv-LV"/>
              </w:rPr>
              <w:t>2011.-2016.</w:t>
            </w:r>
          </w:p>
        </w:tc>
        <w:tc>
          <w:tcPr>
            <w:tcW w:w="1353" w:type="dxa"/>
            <w:vMerge/>
          </w:tcPr>
          <w:p w:rsidR="00263088" w:rsidRPr="009179E5" w:rsidRDefault="00263088" w:rsidP="008D5AFA">
            <w:pPr>
              <w:spacing w:after="0" w:line="240" w:lineRule="auto"/>
              <w:rPr>
                <w:rFonts w:ascii="Times New Roman" w:hAnsi="Times New Roman"/>
                <w:sz w:val="20"/>
                <w:szCs w:val="20"/>
                <w:lang w:val="lv-LV"/>
              </w:rPr>
            </w:pPr>
          </w:p>
        </w:tc>
        <w:tc>
          <w:tcPr>
            <w:tcW w:w="1076" w:type="dxa"/>
            <w:vMerge/>
          </w:tcPr>
          <w:p w:rsidR="00263088" w:rsidRPr="009179E5" w:rsidRDefault="00263088" w:rsidP="008D5AFA">
            <w:pPr>
              <w:spacing w:after="0" w:line="240" w:lineRule="auto"/>
              <w:rPr>
                <w:rFonts w:ascii="Times New Roman" w:hAnsi="Times New Roman"/>
                <w:sz w:val="20"/>
                <w:szCs w:val="20"/>
                <w:lang w:val="lv-LV"/>
              </w:rPr>
            </w:pPr>
          </w:p>
        </w:tc>
      </w:tr>
    </w:tbl>
    <w:p w:rsidR="004F7F14" w:rsidRPr="009179E5" w:rsidRDefault="004F7F14" w:rsidP="00355CB4">
      <w:pPr>
        <w:pStyle w:val="NormalWeb"/>
        <w:spacing w:before="0" w:beforeAutospacing="0" w:after="0" w:afterAutospacing="0"/>
        <w:jc w:val="right"/>
        <w:rPr>
          <w:b/>
          <w:sz w:val="24"/>
          <w:szCs w:val="24"/>
        </w:rPr>
      </w:pPr>
    </w:p>
    <w:p w:rsidR="007461B0" w:rsidRPr="009179E5" w:rsidRDefault="007461B0" w:rsidP="00355CB4">
      <w:pPr>
        <w:pStyle w:val="NormalWeb"/>
        <w:spacing w:before="0" w:beforeAutospacing="0" w:after="0" w:afterAutospacing="0"/>
        <w:jc w:val="right"/>
        <w:rPr>
          <w:sz w:val="24"/>
          <w:szCs w:val="24"/>
        </w:rPr>
      </w:pPr>
      <w:r w:rsidRPr="009179E5">
        <w:rPr>
          <w:b/>
          <w:sz w:val="24"/>
          <w:szCs w:val="24"/>
        </w:rPr>
        <w:t>2</w:t>
      </w:r>
      <w:r w:rsidR="00BF0F90" w:rsidRPr="009179E5">
        <w:rPr>
          <w:b/>
          <w:sz w:val="24"/>
          <w:szCs w:val="24"/>
        </w:rPr>
        <w:t>1</w:t>
      </w:r>
      <w:r w:rsidRPr="009179E5">
        <w:rPr>
          <w:b/>
          <w:sz w:val="24"/>
          <w:szCs w:val="24"/>
        </w:rPr>
        <w:t>.tabula</w:t>
      </w:r>
    </w:p>
    <w:p w:rsidR="0072652C" w:rsidRPr="009179E5" w:rsidRDefault="007461B0" w:rsidP="00355CB4">
      <w:pPr>
        <w:pStyle w:val="Caption"/>
        <w:spacing w:after="0" w:line="240" w:lineRule="auto"/>
        <w:jc w:val="center"/>
        <w:rPr>
          <w:rFonts w:ascii="Times New Roman" w:hAnsi="Times New Roman"/>
          <w:b w:val="0"/>
          <w:sz w:val="28"/>
          <w:szCs w:val="28"/>
          <w:u w:val="single"/>
          <w:lang w:val="lv-LV"/>
        </w:rPr>
      </w:pPr>
      <w:r w:rsidRPr="009179E5">
        <w:rPr>
          <w:rFonts w:ascii="Times New Roman" w:hAnsi="Times New Roman"/>
          <w:sz w:val="24"/>
          <w:szCs w:val="24"/>
          <w:lang w:val="lv-LV"/>
        </w:rPr>
        <w:t>Pasākuma Nr.R.</w:t>
      </w:r>
      <w:r w:rsidR="00355CB4" w:rsidRPr="009179E5">
        <w:rPr>
          <w:rFonts w:ascii="Times New Roman" w:hAnsi="Times New Roman"/>
          <w:sz w:val="24"/>
          <w:szCs w:val="24"/>
          <w:lang w:val="lv-LV"/>
        </w:rPr>
        <w:t>4.</w:t>
      </w:r>
      <w:r w:rsidRPr="009179E5">
        <w:rPr>
          <w:rFonts w:ascii="Times New Roman" w:hAnsi="Times New Roman"/>
          <w:sz w:val="24"/>
          <w:szCs w:val="24"/>
          <w:lang w:val="lv-LV"/>
        </w:rPr>
        <w:t>1. „Kompleksi risinājumi siltumnīcefekta gāzu emisiju samazināšanai ražošanas ēkās” apraksts</w:t>
      </w:r>
    </w:p>
    <w:tbl>
      <w:tblPr>
        <w:tblW w:w="8505"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2410"/>
        <w:gridCol w:w="4897"/>
      </w:tblGrid>
      <w:tr w:rsidR="0072652C" w:rsidRPr="009179E5" w:rsidTr="004F7F14">
        <w:trPr>
          <w:trHeight w:val="480"/>
          <w:jc w:val="center"/>
        </w:trPr>
        <w:tc>
          <w:tcPr>
            <w:tcW w:w="3608" w:type="dxa"/>
            <w:gridSpan w:val="2"/>
          </w:tcPr>
          <w:p w:rsidR="0072652C" w:rsidRPr="009179E5" w:rsidRDefault="0072652C" w:rsidP="00355CB4">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lang w:val="lv-LV"/>
              </w:rPr>
              <w:t>Enerģijas ietaupījumu sasniegšanas pasākuma nosaukums</w:t>
            </w:r>
          </w:p>
        </w:tc>
        <w:tc>
          <w:tcPr>
            <w:tcW w:w="4897" w:type="dxa"/>
          </w:tcPr>
          <w:p w:rsidR="0072652C" w:rsidRPr="009179E5" w:rsidRDefault="00E86DD9" w:rsidP="00355CB4">
            <w:pPr>
              <w:spacing w:after="0" w:line="240" w:lineRule="auto"/>
              <w:rPr>
                <w:rFonts w:ascii="Times New Roman" w:hAnsi="Times New Roman"/>
                <w:b/>
                <w:sz w:val="18"/>
                <w:szCs w:val="18"/>
                <w:lang w:val="lv-LV"/>
              </w:rPr>
            </w:pPr>
            <w:hyperlink r:id="rId50" w:tgtFrame="_self" w:history="1">
              <w:r w:rsidR="0072652C" w:rsidRPr="009179E5">
                <w:rPr>
                  <w:rStyle w:val="Strong"/>
                  <w:rFonts w:ascii="Times New Roman" w:hAnsi="Times New Roman"/>
                  <w:b w:val="0"/>
                  <w:sz w:val="18"/>
                  <w:szCs w:val="18"/>
                  <w:lang w:val="lv-LV"/>
                </w:rPr>
                <w:t>Kompleksi risinājumi siltumnīcefekta gāzu emisiju samazināšanai ražošanas ēkās</w:t>
              </w:r>
            </w:hyperlink>
          </w:p>
        </w:tc>
      </w:tr>
      <w:tr w:rsidR="0072652C" w:rsidRPr="009179E5" w:rsidTr="004F7F14">
        <w:trPr>
          <w:trHeight w:val="480"/>
          <w:jc w:val="center"/>
        </w:trPr>
        <w:tc>
          <w:tcPr>
            <w:tcW w:w="3608" w:type="dxa"/>
            <w:gridSpan w:val="2"/>
          </w:tcPr>
          <w:p w:rsidR="0072652C" w:rsidRPr="009179E5" w:rsidRDefault="0072652C" w:rsidP="00355CB4">
            <w:pPr>
              <w:pStyle w:val="Tabletext"/>
              <w:tabs>
                <w:tab w:val="left" w:pos="1440"/>
                <w:tab w:val="left" w:pos="5040"/>
              </w:tabs>
              <w:spacing w:before="0" w:after="0" w:line="240" w:lineRule="auto"/>
              <w:rPr>
                <w:rFonts w:ascii="Times New Roman" w:hAnsi="Times New Roman"/>
                <w:i/>
                <w:lang w:val="lv-LV"/>
              </w:rPr>
            </w:pPr>
            <w:r w:rsidRPr="009179E5">
              <w:rPr>
                <w:rFonts w:ascii="Times New Roman" w:hAnsi="Times New Roman"/>
                <w:i/>
                <w:lang w:val="lv-LV"/>
              </w:rPr>
              <w:t>Pasākuma nr.</w:t>
            </w:r>
          </w:p>
        </w:tc>
        <w:tc>
          <w:tcPr>
            <w:tcW w:w="4897" w:type="dxa"/>
          </w:tcPr>
          <w:p w:rsidR="0072652C" w:rsidRPr="009179E5" w:rsidRDefault="0072652C" w:rsidP="00355CB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R.</w:t>
            </w:r>
            <w:r w:rsidR="008C3879" w:rsidRPr="009179E5">
              <w:rPr>
                <w:rFonts w:ascii="Times New Roman" w:hAnsi="Times New Roman"/>
                <w:b/>
                <w:szCs w:val="18"/>
                <w:lang w:val="lv-LV"/>
              </w:rPr>
              <w:t>4.</w:t>
            </w:r>
            <w:r w:rsidR="007461B0" w:rsidRPr="009179E5">
              <w:rPr>
                <w:rFonts w:ascii="Times New Roman" w:hAnsi="Times New Roman"/>
                <w:b/>
                <w:szCs w:val="18"/>
                <w:lang w:val="lv-LV"/>
              </w:rPr>
              <w:t>1</w:t>
            </w:r>
            <w:r w:rsidRPr="009179E5">
              <w:rPr>
                <w:rFonts w:ascii="Times New Roman" w:hAnsi="Times New Roman"/>
                <w:b/>
                <w:szCs w:val="18"/>
                <w:lang w:val="lv-LV"/>
              </w:rPr>
              <w:t>.</w:t>
            </w:r>
          </w:p>
        </w:tc>
      </w:tr>
      <w:tr w:rsidR="0072652C" w:rsidRPr="009179E5" w:rsidTr="004F7F14">
        <w:trPr>
          <w:trHeight w:val="476"/>
          <w:jc w:val="center"/>
        </w:trPr>
        <w:tc>
          <w:tcPr>
            <w:tcW w:w="1198" w:type="dxa"/>
            <w:vMerge w:val="restart"/>
          </w:tcPr>
          <w:p w:rsidR="0072652C" w:rsidRPr="009179E5" w:rsidRDefault="0072652C" w:rsidP="00355CB4">
            <w:pPr>
              <w:pStyle w:val="Tabletext"/>
              <w:tabs>
                <w:tab w:val="left" w:pos="1440"/>
                <w:tab w:val="left" w:pos="5040"/>
              </w:tabs>
              <w:spacing w:before="0" w:after="0" w:line="240" w:lineRule="auto"/>
              <w:jc w:val="left"/>
              <w:rPr>
                <w:rFonts w:ascii="Times New Roman" w:hAnsi="Times New Roman"/>
                <w:szCs w:val="18"/>
                <w:lang w:val="lv-LV"/>
              </w:rPr>
            </w:pPr>
          </w:p>
          <w:p w:rsidR="0072652C" w:rsidRPr="009179E5" w:rsidRDefault="0072652C" w:rsidP="00355CB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Apraksts</w:t>
            </w:r>
          </w:p>
        </w:tc>
        <w:tc>
          <w:tcPr>
            <w:tcW w:w="2410" w:type="dxa"/>
          </w:tcPr>
          <w:p w:rsidR="0072652C" w:rsidRPr="009179E5" w:rsidRDefault="0072652C" w:rsidP="00355CB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Kategorija</w:t>
            </w:r>
          </w:p>
        </w:tc>
        <w:tc>
          <w:tcPr>
            <w:tcW w:w="4897" w:type="dxa"/>
          </w:tcPr>
          <w:p w:rsidR="0072652C" w:rsidRPr="009179E5" w:rsidRDefault="0072652C" w:rsidP="00355CB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Finanšu instruments (KPFI)</w:t>
            </w:r>
          </w:p>
        </w:tc>
      </w:tr>
      <w:tr w:rsidR="0072652C" w:rsidRPr="009179E5" w:rsidTr="004F7F14">
        <w:trPr>
          <w:trHeight w:val="476"/>
          <w:jc w:val="center"/>
        </w:trPr>
        <w:tc>
          <w:tcPr>
            <w:tcW w:w="1198" w:type="dxa"/>
            <w:vMerge/>
          </w:tcPr>
          <w:p w:rsidR="0072652C" w:rsidRPr="009179E5" w:rsidRDefault="0072652C" w:rsidP="00355CB4">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2652C" w:rsidRPr="009179E5" w:rsidRDefault="0072652C" w:rsidP="00355CB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Īstenošanas laika grafiks</w:t>
            </w:r>
          </w:p>
        </w:tc>
        <w:tc>
          <w:tcPr>
            <w:tcW w:w="489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1843"/>
              <w:gridCol w:w="1944"/>
            </w:tblGrid>
            <w:tr w:rsidR="0072652C" w:rsidRPr="009179E5" w:rsidTr="001C33A4">
              <w:tc>
                <w:tcPr>
                  <w:tcW w:w="879" w:type="dxa"/>
                </w:tcPr>
                <w:p w:rsidR="0072652C" w:rsidRPr="009179E5" w:rsidRDefault="0072652C" w:rsidP="00355CB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Kārta </w:t>
                  </w:r>
                </w:p>
              </w:tc>
              <w:tc>
                <w:tcPr>
                  <w:tcW w:w="1843" w:type="dxa"/>
                </w:tcPr>
                <w:p w:rsidR="0072652C" w:rsidRPr="009179E5" w:rsidRDefault="0072652C" w:rsidP="00355CB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Sākums </w:t>
                  </w:r>
                </w:p>
              </w:tc>
              <w:tc>
                <w:tcPr>
                  <w:tcW w:w="1944" w:type="dxa"/>
                </w:tcPr>
                <w:p w:rsidR="0072652C" w:rsidRPr="009179E5" w:rsidRDefault="0072652C" w:rsidP="00355CB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Beigas </w:t>
                  </w:r>
                </w:p>
              </w:tc>
            </w:tr>
            <w:tr w:rsidR="0072652C" w:rsidRPr="009179E5" w:rsidTr="001C33A4">
              <w:tc>
                <w:tcPr>
                  <w:tcW w:w="879" w:type="dxa"/>
                </w:tcPr>
                <w:p w:rsidR="0072652C" w:rsidRPr="009179E5" w:rsidRDefault="0072652C" w:rsidP="00355CB4">
                  <w:pPr>
                    <w:pStyle w:val="Tabletext"/>
                    <w:tabs>
                      <w:tab w:val="left" w:pos="1440"/>
                      <w:tab w:val="left" w:pos="5040"/>
                    </w:tabs>
                    <w:spacing w:before="0" w:after="0" w:line="240" w:lineRule="auto"/>
                    <w:rPr>
                      <w:rFonts w:ascii="Times New Roman" w:hAnsi="Times New Roman"/>
                      <w:b/>
                      <w:szCs w:val="18"/>
                      <w:lang w:val="lv-LV"/>
                    </w:rPr>
                  </w:pPr>
                </w:p>
              </w:tc>
              <w:tc>
                <w:tcPr>
                  <w:tcW w:w="1843" w:type="dxa"/>
                </w:tcPr>
                <w:p w:rsidR="0072652C" w:rsidRPr="009179E5" w:rsidRDefault="0072652C" w:rsidP="00355CB4">
                  <w:pPr>
                    <w:pStyle w:val="Tabletext"/>
                    <w:tabs>
                      <w:tab w:val="left" w:pos="1440"/>
                      <w:tab w:val="left" w:pos="5040"/>
                    </w:tabs>
                    <w:spacing w:before="0" w:after="0" w:line="240" w:lineRule="auto"/>
                    <w:jc w:val="left"/>
                    <w:rPr>
                      <w:rFonts w:ascii="Times New Roman" w:hAnsi="Times New Roman"/>
                      <w:b/>
                      <w:szCs w:val="18"/>
                      <w:lang w:val="lv-LV"/>
                    </w:rPr>
                  </w:pPr>
                  <w:r w:rsidRPr="009179E5">
                    <w:rPr>
                      <w:rFonts w:ascii="Times New Roman" w:hAnsi="Times New Roman"/>
                      <w:b/>
                      <w:szCs w:val="18"/>
                      <w:lang w:val="lv-LV"/>
                    </w:rPr>
                    <w:t>Konkurss izsludināts  2010.gadā</w:t>
                  </w:r>
                </w:p>
              </w:tc>
              <w:tc>
                <w:tcPr>
                  <w:tcW w:w="1944" w:type="dxa"/>
                </w:tcPr>
                <w:p w:rsidR="0072652C" w:rsidRPr="009179E5" w:rsidRDefault="0072652C" w:rsidP="00355CB4">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Konkursa ietvaros apstiprinātajos projektos paredzētās aktivitātes īsteno līdz</w:t>
                  </w:r>
                </w:p>
                <w:p w:rsidR="0072652C" w:rsidRPr="009179E5" w:rsidRDefault="0072652C" w:rsidP="00355CB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eastAsia="lv-LV"/>
                    </w:rPr>
                    <w:t>2011.gada 1.decembrim</w:t>
                  </w:r>
                </w:p>
              </w:tc>
            </w:tr>
          </w:tbl>
          <w:p w:rsidR="0072652C" w:rsidRPr="009179E5" w:rsidRDefault="0072652C" w:rsidP="00355CB4">
            <w:pPr>
              <w:pStyle w:val="Tabletext"/>
              <w:tabs>
                <w:tab w:val="left" w:pos="1440"/>
                <w:tab w:val="left" w:pos="5040"/>
              </w:tabs>
              <w:spacing w:before="0" w:after="0" w:line="240" w:lineRule="auto"/>
              <w:rPr>
                <w:rFonts w:ascii="Times New Roman" w:hAnsi="Times New Roman"/>
                <w:b/>
                <w:szCs w:val="18"/>
                <w:lang w:val="lv-LV"/>
              </w:rPr>
            </w:pPr>
          </w:p>
        </w:tc>
      </w:tr>
      <w:tr w:rsidR="0072652C" w:rsidRPr="009179E5" w:rsidTr="004F7F14">
        <w:trPr>
          <w:trHeight w:val="476"/>
          <w:jc w:val="center"/>
        </w:trPr>
        <w:tc>
          <w:tcPr>
            <w:tcW w:w="1198" w:type="dxa"/>
            <w:vMerge/>
          </w:tcPr>
          <w:p w:rsidR="0072652C" w:rsidRPr="009179E5" w:rsidRDefault="0072652C" w:rsidP="00355CB4">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2652C" w:rsidRPr="009179E5" w:rsidRDefault="0072652C" w:rsidP="00355CB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Mērķis</w:t>
            </w:r>
          </w:p>
        </w:tc>
        <w:tc>
          <w:tcPr>
            <w:tcW w:w="4897" w:type="dxa"/>
          </w:tcPr>
          <w:p w:rsidR="0072652C" w:rsidRPr="009179E5" w:rsidRDefault="0072652C" w:rsidP="00355CB4">
            <w:pPr>
              <w:autoSpaceDE w:val="0"/>
              <w:autoSpaceDN w:val="0"/>
              <w:adjustRightInd w:val="0"/>
              <w:spacing w:after="0" w:line="240" w:lineRule="auto"/>
              <w:jc w:val="both"/>
              <w:rPr>
                <w:rFonts w:ascii="Times New Roman" w:hAnsi="Times New Roman"/>
                <w:b/>
                <w:sz w:val="18"/>
                <w:szCs w:val="18"/>
                <w:lang w:val="lv-LV" w:eastAsia="lv-LV"/>
              </w:rPr>
            </w:pPr>
            <w:r w:rsidRPr="009179E5">
              <w:rPr>
                <w:rFonts w:ascii="Times New Roman" w:hAnsi="Times New Roman"/>
                <w:b/>
                <w:sz w:val="18"/>
                <w:szCs w:val="18"/>
                <w:lang w:val="lv-LV" w:eastAsia="lv-LV"/>
              </w:rPr>
              <w:t>Siltumnīcefekta gāzu emisiju samazināšana, uzlabojot</w:t>
            </w:r>
          </w:p>
          <w:p w:rsidR="0072652C" w:rsidRPr="009179E5" w:rsidRDefault="0072652C" w:rsidP="00355CB4">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komersantu ražošanas (arī pakalpojumu sniegšanas) ēku, ražošanas tehnoloģisko iekārtu (atbilstoši definīcijai, kas noteikta normatīvajos aktos, kas reglamentē uzņēmumu ienākuma nodokli) un ražošanas tehnoloģiju energoefektivitāti</w:t>
            </w:r>
          </w:p>
        </w:tc>
      </w:tr>
      <w:tr w:rsidR="0072652C" w:rsidRPr="009179E5" w:rsidTr="004F7F14">
        <w:trPr>
          <w:trHeight w:val="476"/>
          <w:jc w:val="center"/>
        </w:trPr>
        <w:tc>
          <w:tcPr>
            <w:tcW w:w="1198" w:type="dxa"/>
            <w:vMerge/>
          </w:tcPr>
          <w:p w:rsidR="0072652C" w:rsidRPr="009179E5" w:rsidRDefault="0072652C" w:rsidP="00355CB4">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2652C" w:rsidRPr="009179E5" w:rsidRDefault="0072652C" w:rsidP="00355CB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galapatēriņa sektors</w:t>
            </w:r>
          </w:p>
        </w:tc>
        <w:tc>
          <w:tcPr>
            <w:tcW w:w="4897" w:type="dxa"/>
          </w:tcPr>
          <w:p w:rsidR="0072652C" w:rsidRPr="009179E5" w:rsidRDefault="0072652C" w:rsidP="00355CB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Ražošanas ēkas, ražošanas tehnoloģiskās iekārtas, ražošanas tehnoloģijas</w:t>
            </w:r>
          </w:p>
        </w:tc>
      </w:tr>
      <w:tr w:rsidR="0072652C" w:rsidRPr="009179E5" w:rsidTr="004F7F14">
        <w:trPr>
          <w:trHeight w:val="476"/>
          <w:jc w:val="center"/>
        </w:trPr>
        <w:tc>
          <w:tcPr>
            <w:tcW w:w="1198" w:type="dxa"/>
            <w:vMerge/>
          </w:tcPr>
          <w:p w:rsidR="0072652C" w:rsidRPr="009179E5" w:rsidRDefault="0072652C" w:rsidP="00355CB4">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2652C" w:rsidRPr="009179E5" w:rsidRDefault="0072652C" w:rsidP="00355CB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Mērķauditorija</w:t>
            </w:r>
          </w:p>
        </w:tc>
        <w:tc>
          <w:tcPr>
            <w:tcW w:w="4897" w:type="dxa"/>
          </w:tcPr>
          <w:p w:rsidR="0072652C" w:rsidRPr="009179E5" w:rsidRDefault="0072652C" w:rsidP="00355CB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Komersanti </w:t>
            </w:r>
          </w:p>
        </w:tc>
      </w:tr>
      <w:tr w:rsidR="0072652C" w:rsidRPr="009179E5" w:rsidTr="004F7F14">
        <w:trPr>
          <w:trHeight w:val="476"/>
          <w:jc w:val="center"/>
        </w:trPr>
        <w:tc>
          <w:tcPr>
            <w:tcW w:w="1198" w:type="dxa"/>
            <w:vMerge/>
          </w:tcPr>
          <w:p w:rsidR="0072652C" w:rsidRPr="009179E5" w:rsidRDefault="0072652C" w:rsidP="00355CB4">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2652C" w:rsidRPr="009179E5" w:rsidRDefault="0072652C" w:rsidP="00355CB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Pasākuma ieviešanas teritorija</w:t>
            </w:r>
          </w:p>
        </w:tc>
        <w:tc>
          <w:tcPr>
            <w:tcW w:w="4897" w:type="dxa"/>
          </w:tcPr>
          <w:p w:rsidR="0072652C" w:rsidRPr="009179E5" w:rsidRDefault="0072652C" w:rsidP="00355CB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Latvijas Republika </w:t>
            </w:r>
          </w:p>
        </w:tc>
      </w:tr>
      <w:tr w:rsidR="0072652C" w:rsidRPr="009179E5" w:rsidTr="004F7F14">
        <w:trPr>
          <w:trHeight w:val="476"/>
          <w:jc w:val="center"/>
        </w:trPr>
        <w:tc>
          <w:tcPr>
            <w:tcW w:w="1198" w:type="dxa"/>
            <w:vMerge w:val="restart"/>
          </w:tcPr>
          <w:p w:rsidR="0072652C" w:rsidRPr="009179E5" w:rsidRDefault="0072652C" w:rsidP="00355CB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Informācija un ieviešana</w:t>
            </w:r>
          </w:p>
        </w:tc>
        <w:tc>
          <w:tcPr>
            <w:tcW w:w="2410" w:type="dxa"/>
          </w:tcPr>
          <w:p w:rsidR="0072652C" w:rsidRPr="009179E5" w:rsidRDefault="0072652C" w:rsidP="00355CB4">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Enerģijas ietaupījumu sasniegšanas pasākumu saraksts un pasākuma pamatapraksts</w:t>
            </w:r>
          </w:p>
        </w:tc>
        <w:tc>
          <w:tcPr>
            <w:tcW w:w="4897" w:type="dxa"/>
          </w:tcPr>
          <w:p w:rsidR="0072652C" w:rsidRPr="009179E5" w:rsidRDefault="0072652C" w:rsidP="00355CB4">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Konkursa ietvaros ir atbalstāmas šādas projekta aktivitātes:</w:t>
            </w:r>
          </w:p>
          <w:p w:rsidR="0072652C" w:rsidRPr="009179E5" w:rsidRDefault="0072652C" w:rsidP="00355CB4">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1. papildu ieguldījumu veikšana vides aizsardzībā, kas ļauj komersantam ietaupīt enerģiju:</w:t>
            </w:r>
          </w:p>
          <w:p w:rsidR="0072652C" w:rsidRPr="009179E5" w:rsidRDefault="0072652C" w:rsidP="00355CB4">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1.1. ēku energoefektivitāti paaugstinoši rekonstrukcijas vai vienkāršotās renovācijas darbi;</w:t>
            </w:r>
          </w:p>
          <w:p w:rsidR="0072652C" w:rsidRPr="009179E5" w:rsidRDefault="0072652C" w:rsidP="00355CB4">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1.2. energoefektivitāti paaugstinoši papildu ieguldījumi esošajās ražošanas tehnoloģiskajās iekārtās, kuras tieši nodrošina ražošanas vai pakalpojumu sniegšanas procesu ēkās;</w:t>
            </w:r>
          </w:p>
          <w:p w:rsidR="0072652C" w:rsidRPr="009179E5" w:rsidRDefault="0072652C" w:rsidP="00355CB4">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1.3. energoefektīva apgaismojuma uzstādīšana;</w:t>
            </w:r>
          </w:p>
          <w:p w:rsidR="0072652C" w:rsidRPr="009179E5" w:rsidRDefault="0072652C" w:rsidP="00355CB4">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1.4. ēkas norobežojošo konstrukciju kvalitātes kontroles pārbaudes, kuras veiktas atbilstoši attiecīgo kontroles metodi regulējošiem normatīvajiem aktiem;</w:t>
            </w:r>
          </w:p>
          <w:p w:rsidR="0072652C" w:rsidRPr="009179E5" w:rsidRDefault="0072652C" w:rsidP="00355CB4">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2. papildu ieguldījumu veikšana atjaunojamo enerģijas avotu izmantošanai saskaņā ar šādiem nosacījumiem:</w:t>
            </w:r>
          </w:p>
          <w:p w:rsidR="0072652C" w:rsidRPr="009179E5" w:rsidRDefault="0072652C" w:rsidP="00355CB4">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lastRenderedPageBreak/>
              <w:t>2.1. papildu ieguldījumi pārejai no siltumapgādes sistēmām ražošanas ēkās, kas izmanto fosilo kurināmo enerģiju, uz siltumenerģijas ražošanu no šādiem atjaunojamiem resursiem un siltuma ražošanas tehnoloģijām (izņemot iekārtas, kuras</w:t>
            </w:r>
          </w:p>
          <w:p w:rsidR="0072652C" w:rsidRPr="009179E5" w:rsidRDefault="0072652C" w:rsidP="00355CB4">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ietilpst koģenerācijas elektrostacijās vai nodrošina koģenerācijas elektrostaciju darbību):</w:t>
            </w:r>
          </w:p>
          <w:p w:rsidR="0072652C" w:rsidRPr="009179E5" w:rsidRDefault="0072652C" w:rsidP="00355CB4">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2.1.1. biomasa – apkures katli, kuros izmanto biomasu;</w:t>
            </w:r>
          </w:p>
          <w:p w:rsidR="0072652C" w:rsidRPr="009179E5" w:rsidRDefault="0072652C" w:rsidP="00355CB4">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2.1.2. biogāze – apkures katli, kuros izmanto biogāzi;</w:t>
            </w:r>
          </w:p>
          <w:p w:rsidR="0072652C" w:rsidRPr="009179E5" w:rsidRDefault="0072652C" w:rsidP="00355CB4">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2.1.3. saules enerģija – saules kolektori;</w:t>
            </w:r>
          </w:p>
          <w:p w:rsidR="0072652C" w:rsidRPr="009179E5" w:rsidRDefault="0072652C" w:rsidP="00355CB4">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2.1.4. energoefektīvi energoavoti ar siltumsūkņiem, kuru transformācijas koeficients lielāks par 4,0;</w:t>
            </w:r>
          </w:p>
          <w:p w:rsidR="0072652C" w:rsidRPr="009179E5" w:rsidRDefault="0072652C" w:rsidP="00355CB4">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2.2. tiek atbalstītas tādu iekārtu iegādes, uzstādīšanas un pieslēgšanas izmaksas, kuru kopējā uzstādītā siltuma jauda nepārsniedz 3 MW;</w:t>
            </w:r>
          </w:p>
          <w:p w:rsidR="0072652C" w:rsidRPr="009179E5" w:rsidRDefault="0072652C" w:rsidP="00355CB4">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2.3. mainot siltumapgādes avotus, uzstādāmo atjaunojamo enerģijas avotu kopējā siltuma jauda nedrīkst pārsniegt esošo nomaināmo fosilās enerģijas avotu kopējo siltuma jaudu vai arī jaudu, kādu projekta iesniedzējs ir iepircis no siltumenerģijas piegādātāja, kurš izmanto fosilo kurināmo;</w:t>
            </w:r>
          </w:p>
          <w:p w:rsidR="0072652C" w:rsidRPr="009179E5" w:rsidRDefault="0072652C" w:rsidP="00355CB4">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2.4. apkures sistēmas maiņa ir atbalstāma ēkās, kurās atrodas apkures sistēma, kas izmanto fosilo kurināmo enerģiju, apkures sistēma ir iebūvēta ēkas konstrukcijās un ēka nodota ekspluatācijā vismaz piecus gadus pirms projekta iesnieguma</w:t>
            </w:r>
          </w:p>
          <w:p w:rsidR="0072652C" w:rsidRPr="009179E5" w:rsidRDefault="0072652C" w:rsidP="00355CB4">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iesniegšanas dienas;</w:t>
            </w:r>
          </w:p>
          <w:p w:rsidR="0072652C" w:rsidRPr="009179E5" w:rsidRDefault="0072652C" w:rsidP="00355CB4">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3. konsultācijas sīkiem (mikro), mazajiem un vidējiem komersantiem energoaudita, tehniskās apsekošanas atzinuma, būvprojekta un tehniskās dokumentācijas,</w:t>
            </w:r>
          </w:p>
          <w:p w:rsidR="0072652C" w:rsidRPr="009179E5" w:rsidRDefault="0072652C" w:rsidP="00355CB4">
            <w:pPr>
              <w:autoSpaceDE w:val="0"/>
              <w:autoSpaceDN w:val="0"/>
              <w:adjustRightInd w:val="0"/>
              <w:spacing w:after="0" w:line="240" w:lineRule="auto"/>
              <w:rPr>
                <w:rFonts w:ascii="Times New Roman" w:hAnsi="Times New Roman"/>
                <w:b/>
                <w:sz w:val="18"/>
                <w:szCs w:val="18"/>
                <w:lang w:val="lv-LV" w:eastAsia="lv-LV"/>
              </w:rPr>
            </w:pPr>
            <w:r w:rsidRPr="009179E5">
              <w:rPr>
                <w:rFonts w:ascii="Times New Roman" w:hAnsi="Times New Roman"/>
                <w:b/>
                <w:sz w:val="18"/>
                <w:szCs w:val="18"/>
                <w:lang w:val="lv-LV" w:eastAsia="lv-LV"/>
              </w:rPr>
              <w:t>tehnoloģisko iekārtu specifikāciju un tāmes, kā arī izmaksu aprēķina sagatavošanai. Izmaksu aprēķinā salīdzinātas jaunas fosilā kurināmā apkures sistēmas izveidošanas izmaksas bez atbalsta vides jomā un izmaksas, kas rodas, pārejot uz</w:t>
            </w:r>
          </w:p>
          <w:p w:rsidR="0072652C" w:rsidRPr="009179E5" w:rsidRDefault="0072652C" w:rsidP="00355CB4">
            <w:pPr>
              <w:pStyle w:val="Tabletext"/>
              <w:tabs>
                <w:tab w:val="left" w:pos="175"/>
                <w:tab w:val="left" w:pos="5040"/>
              </w:tabs>
              <w:spacing w:before="0" w:after="0" w:line="240" w:lineRule="auto"/>
              <w:ind w:left="33"/>
              <w:rPr>
                <w:rFonts w:ascii="Times New Roman" w:hAnsi="Times New Roman"/>
                <w:b/>
                <w:szCs w:val="18"/>
                <w:lang w:val="lv-LV"/>
              </w:rPr>
            </w:pPr>
            <w:r w:rsidRPr="009179E5">
              <w:rPr>
                <w:rFonts w:ascii="Times New Roman" w:hAnsi="Times New Roman"/>
                <w:b/>
                <w:szCs w:val="18"/>
                <w:lang w:val="lv-LV" w:eastAsia="lv-LV"/>
              </w:rPr>
              <w:t>apkures sistēmu no atjaunojamās enerģijas.</w:t>
            </w:r>
          </w:p>
        </w:tc>
      </w:tr>
      <w:tr w:rsidR="0072652C" w:rsidRPr="009179E5" w:rsidTr="004F7F14">
        <w:trPr>
          <w:trHeight w:val="476"/>
          <w:jc w:val="center"/>
        </w:trPr>
        <w:tc>
          <w:tcPr>
            <w:tcW w:w="1198" w:type="dxa"/>
            <w:vMerge/>
          </w:tcPr>
          <w:p w:rsidR="0072652C" w:rsidRPr="009179E5" w:rsidRDefault="0072652C" w:rsidP="00355CB4">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2652C" w:rsidRPr="009179E5" w:rsidRDefault="0072652C" w:rsidP="00355CB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Budžets un finansējuma avots</w:t>
            </w:r>
          </w:p>
        </w:tc>
        <w:tc>
          <w:tcPr>
            <w:tcW w:w="4897" w:type="dxa"/>
          </w:tcPr>
          <w:p w:rsidR="0072652C" w:rsidRPr="009179E5" w:rsidRDefault="0072652C" w:rsidP="00355CB4">
            <w:pPr>
              <w:pStyle w:val="Default"/>
              <w:rPr>
                <w:b/>
                <w:sz w:val="18"/>
                <w:szCs w:val="18"/>
              </w:rPr>
            </w:pPr>
            <w:r w:rsidRPr="009179E5">
              <w:rPr>
                <w:b/>
                <w:sz w:val="18"/>
                <w:szCs w:val="18"/>
              </w:rPr>
              <w:t>KPFI finansējums – 8</w:t>
            </w:r>
            <w:r w:rsidR="009E0CB4" w:rsidRPr="009179E5">
              <w:rPr>
                <w:b/>
                <w:sz w:val="18"/>
                <w:szCs w:val="18"/>
              </w:rPr>
              <w:t>,</w:t>
            </w:r>
            <w:r w:rsidRPr="009179E5">
              <w:rPr>
                <w:b/>
                <w:sz w:val="18"/>
                <w:szCs w:val="18"/>
              </w:rPr>
              <w:t>12</w:t>
            </w:r>
            <w:r w:rsidR="009E0CB4" w:rsidRPr="009179E5">
              <w:rPr>
                <w:b/>
                <w:sz w:val="18"/>
                <w:szCs w:val="18"/>
              </w:rPr>
              <w:t xml:space="preserve"> milj.</w:t>
            </w:r>
            <w:r w:rsidRPr="009179E5">
              <w:rPr>
                <w:b/>
                <w:sz w:val="18"/>
                <w:szCs w:val="18"/>
              </w:rPr>
              <w:t xml:space="preserve"> LVL</w:t>
            </w:r>
          </w:p>
          <w:p w:rsidR="0072652C" w:rsidRPr="009179E5" w:rsidRDefault="0072652C" w:rsidP="00AE4122">
            <w:pPr>
              <w:pStyle w:val="Default"/>
              <w:rPr>
                <w:b/>
                <w:sz w:val="18"/>
                <w:szCs w:val="18"/>
              </w:rPr>
            </w:pPr>
            <w:r w:rsidRPr="009179E5">
              <w:rPr>
                <w:b/>
                <w:sz w:val="18"/>
                <w:szCs w:val="18"/>
              </w:rPr>
              <w:t>Projektu iesniedzēju līdzfinansējums – 8</w:t>
            </w:r>
            <w:r w:rsidR="00AE4122" w:rsidRPr="009179E5">
              <w:rPr>
                <w:b/>
                <w:sz w:val="18"/>
                <w:szCs w:val="18"/>
              </w:rPr>
              <w:t>,</w:t>
            </w:r>
            <w:r w:rsidRPr="009179E5">
              <w:rPr>
                <w:b/>
                <w:sz w:val="18"/>
                <w:szCs w:val="18"/>
              </w:rPr>
              <w:t>48</w:t>
            </w:r>
            <w:r w:rsidR="00AE4122" w:rsidRPr="009179E5">
              <w:rPr>
                <w:b/>
                <w:sz w:val="18"/>
                <w:szCs w:val="18"/>
              </w:rPr>
              <w:t xml:space="preserve"> milj.</w:t>
            </w:r>
            <w:r w:rsidRPr="009179E5">
              <w:rPr>
                <w:b/>
                <w:sz w:val="18"/>
                <w:szCs w:val="18"/>
              </w:rPr>
              <w:t xml:space="preserve"> </w:t>
            </w:r>
            <w:smartTag w:uri="schemas-tilde-lv/tildestengine" w:element="currency">
              <w:smartTagPr>
                <w:attr w:name="currency_id" w:val="48"/>
                <w:attr w:name="currency_key" w:val="LVL"/>
                <w:attr w:name="currency_value" w:val="1"/>
                <w:attr w:name="currency_text" w:val="LVL"/>
              </w:smartTagPr>
              <w:r w:rsidRPr="009179E5">
                <w:rPr>
                  <w:b/>
                  <w:sz w:val="18"/>
                  <w:szCs w:val="18"/>
                </w:rPr>
                <w:t>LVL</w:t>
              </w:r>
            </w:smartTag>
          </w:p>
        </w:tc>
      </w:tr>
      <w:tr w:rsidR="0072652C" w:rsidRPr="009179E5" w:rsidTr="004F7F14">
        <w:trPr>
          <w:trHeight w:val="476"/>
          <w:jc w:val="center"/>
        </w:trPr>
        <w:tc>
          <w:tcPr>
            <w:tcW w:w="1198" w:type="dxa"/>
            <w:vMerge/>
          </w:tcPr>
          <w:p w:rsidR="0072652C" w:rsidRPr="009179E5" w:rsidRDefault="0072652C" w:rsidP="00355CB4">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2652C" w:rsidRPr="009179E5" w:rsidRDefault="0072652C" w:rsidP="00355CB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Ieviesējs</w:t>
            </w:r>
          </w:p>
        </w:tc>
        <w:tc>
          <w:tcPr>
            <w:tcW w:w="4897" w:type="dxa"/>
          </w:tcPr>
          <w:p w:rsidR="0072652C" w:rsidRPr="009179E5" w:rsidRDefault="0072652C" w:rsidP="00355CB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SIA „Vides investīciju fonds”</w:t>
            </w:r>
          </w:p>
        </w:tc>
      </w:tr>
      <w:tr w:rsidR="0072652C" w:rsidRPr="009179E5" w:rsidTr="004F7F14">
        <w:trPr>
          <w:trHeight w:val="476"/>
          <w:jc w:val="center"/>
        </w:trPr>
        <w:tc>
          <w:tcPr>
            <w:tcW w:w="1198" w:type="dxa"/>
            <w:vMerge/>
          </w:tcPr>
          <w:p w:rsidR="0072652C" w:rsidRPr="009179E5" w:rsidRDefault="0072652C" w:rsidP="00355CB4">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2652C" w:rsidRPr="009179E5" w:rsidRDefault="0072652C" w:rsidP="00355CB4">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Monitoringa (kontroles) institūcija</w:t>
            </w:r>
          </w:p>
        </w:tc>
        <w:tc>
          <w:tcPr>
            <w:tcW w:w="4897" w:type="dxa"/>
          </w:tcPr>
          <w:p w:rsidR="0072652C" w:rsidRPr="009179E5" w:rsidRDefault="0072652C" w:rsidP="00355CB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Vides aizsardzības un reģionālās attīstības ministrija, SIA „Vides investīciju fonds”</w:t>
            </w:r>
          </w:p>
        </w:tc>
      </w:tr>
      <w:tr w:rsidR="00B73DB4" w:rsidRPr="009179E5" w:rsidTr="004F7F14">
        <w:trPr>
          <w:trHeight w:val="476"/>
          <w:jc w:val="center"/>
        </w:trPr>
        <w:tc>
          <w:tcPr>
            <w:tcW w:w="1198" w:type="dxa"/>
            <w:vMerge w:val="restart"/>
          </w:tcPr>
          <w:p w:rsidR="00B73DB4" w:rsidRPr="009179E5" w:rsidRDefault="00B73DB4" w:rsidP="00355CB4">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ietaupījumi</w:t>
            </w:r>
          </w:p>
        </w:tc>
        <w:tc>
          <w:tcPr>
            <w:tcW w:w="2410" w:type="dxa"/>
          </w:tcPr>
          <w:p w:rsidR="00B73DB4" w:rsidRPr="009179E5" w:rsidRDefault="00B73DB4" w:rsidP="00355CB4">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Sasniegto enerģijas ietaupījumu aprēķina metode</w:t>
            </w:r>
          </w:p>
        </w:tc>
        <w:tc>
          <w:tcPr>
            <w:tcW w:w="4897" w:type="dxa"/>
          </w:tcPr>
          <w:p w:rsidR="00B73DB4" w:rsidRPr="009179E5" w:rsidRDefault="000E17C9" w:rsidP="00355CB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Augšupvērstā</w:t>
            </w:r>
          </w:p>
        </w:tc>
      </w:tr>
      <w:tr w:rsidR="00B73DB4" w:rsidRPr="009179E5" w:rsidTr="004F7F14">
        <w:trPr>
          <w:trHeight w:val="476"/>
          <w:jc w:val="center"/>
        </w:trPr>
        <w:tc>
          <w:tcPr>
            <w:tcW w:w="1198" w:type="dxa"/>
            <w:vMerge/>
          </w:tcPr>
          <w:p w:rsidR="00B73DB4" w:rsidRPr="009179E5" w:rsidRDefault="00B73DB4" w:rsidP="00355CB4">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B73DB4" w:rsidRPr="009179E5" w:rsidRDefault="00B73DB4" w:rsidP="00355CB4">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2016</w:t>
            </w:r>
            <w:r w:rsidR="00F06D80" w:rsidRPr="009179E5">
              <w:rPr>
                <w:rFonts w:ascii="Times New Roman" w:hAnsi="Times New Roman"/>
                <w:szCs w:val="18"/>
                <w:lang w:val="lv-LV"/>
              </w:rPr>
              <w:t>.gads</w:t>
            </w:r>
          </w:p>
        </w:tc>
        <w:tc>
          <w:tcPr>
            <w:tcW w:w="4897" w:type="dxa"/>
          </w:tcPr>
          <w:p w:rsidR="00B73DB4" w:rsidRPr="009179E5" w:rsidRDefault="00B73DB4" w:rsidP="00355CB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187 GWh</w:t>
            </w:r>
          </w:p>
        </w:tc>
      </w:tr>
      <w:tr w:rsidR="00B73DB4" w:rsidRPr="009179E5" w:rsidTr="004F7F14">
        <w:trPr>
          <w:trHeight w:val="476"/>
          <w:jc w:val="center"/>
        </w:trPr>
        <w:tc>
          <w:tcPr>
            <w:tcW w:w="1198" w:type="dxa"/>
            <w:vMerge/>
          </w:tcPr>
          <w:p w:rsidR="00B73DB4" w:rsidRPr="009179E5" w:rsidRDefault="00B73DB4" w:rsidP="00355CB4">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B73DB4" w:rsidRPr="009179E5" w:rsidRDefault="00B73DB4" w:rsidP="00355CB4">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2020</w:t>
            </w:r>
            <w:r w:rsidR="00F06D80" w:rsidRPr="009179E5">
              <w:rPr>
                <w:rFonts w:ascii="Times New Roman" w:hAnsi="Times New Roman"/>
                <w:szCs w:val="18"/>
                <w:lang w:val="lv-LV"/>
              </w:rPr>
              <w:t>.gads</w:t>
            </w:r>
          </w:p>
        </w:tc>
        <w:tc>
          <w:tcPr>
            <w:tcW w:w="4897" w:type="dxa"/>
          </w:tcPr>
          <w:p w:rsidR="00B73DB4" w:rsidRPr="009179E5" w:rsidRDefault="00B73DB4" w:rsidP="00355CB4">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336,6 GWh</w:t>
            </w:r>
          </w:p>
        </w:tc>
      </w:tr>
      <w:tr w:rsidR="00D31158" w:rsidRPr="009179E5" w:rsidTr="004F7F14">
        <w:trPr>
          <w:trHeight w:val="476"/>
          <w:jc w:val="center"/>
        </w:trPr>
        <w:tc>
          <w:tcPr>
            <w:tcW w:w="1198" w:type="dxa"/>
          </w:tcPr>
          <w:p w:rsidR="00D31158" w:rsidRPr="009179E5" w:rsidRDefault="00D31158" w:rsidP="00355CB4">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D31158" w:rsidRPr="009179E5" w:rsidRDefault="00D31158" w:rsidP="00355CB4">
            <w:pPr>
              <w:pStyle w:val="Tabletext"/>
              <w:tabs>
                <w:tab w:val="left" w:pos="1440"/>
                <w:tab w:val="left" w:pos="5040"/>
              </w:tabs>
              <w:spacing w:before="0" w:after="0" w:line="240" w:lineRule="auto"/>
              <w:rPr>
                <w:rFonts w:ascii="Times New Roman" w:hAnsi="Times New Roman"/>
                <w:szCs w:val="18"/>
                <w:lang w:val="lv-LV"/>
              </w:rPr>
            </w:pPr>
            <w:r>
              <w:rPr>
                <w:rFonts w:ascii="Times New Roman" w:hAnsi="Times New Roman"/>
                <w:szCs w:val="18"/>
                <w:lang w:val="lv-LV"/>
              </w:rPr>
              <w:t>Cita informācija</w:t>
            </w:r>
          </w:p>
        </w:tc>
        <w:tc>
          <w:tcPr>
            <w:tcW w:w="4897" w:type="dxa"/>
          </w:tcPr>
          <w:p w:rsidR="00D31158" w:rsidRPr="009179E5" w:rsidRDefault="00D31158" w:rsidP="00355CB4">
            <w:pPr>
              <w:pStyle w:val="Tabletext"/>
              <w:tabs>
                <w:tab w:val="left" w:pos="1440"/>
                <w:tab w:val="left" w:pos="5040"/>
              </w:tabs>
              <w:spacing w:before="0" w:after="0" w:line="240" w:lineRule="auto"/>
              <w:rPr>
                <w:rFonts w:ascii="Times New Roman" w:hAnsi="Times New Roman"/>
                <w:b/>
                <w:szCs w:val="18"/>
                <w:lang w:val="lv-LV"/>
              </w:rPr>
            </w:pPr>
            <w:r>
              <w:rPr>
                <w:rFonts w:ascii="Times New Roman" w:hAnsi="Times New Roman"/>
                <w:b/>
                <w:szCs w:val="18"/>
                <w:lang w:val="lv-LV"/>
              </w:rPr>
              <w:t>Sagaidāmais enerģijas ietaupījums pret KPFI finansējumu 4,6 MWh/gadā/tūkst.LVL</w:t>
            </w:r>
          </w:p>
        </w:tc>
      </w:tr>
    </w:tbl>
    <w:p w:rsidR="002644D6" w:rsidRPr="001960CF" w:rsidRDefault="002644D6" w:rsidP="007301DA">
      <w:pPr>
        <w:pStyle w:val="Caption"/>
        <w:spacing w:after="0" w:line="240" w:lineRule="auto"/>
        <w:jc w:val="right"/>
        <w:rPr>
          <w:rFonts w:ascii="Times New Roman" w:hAnsi="Times New Roman"/>
          <w:sz w:val="24"/>
          <w:lang w:val="lv-LV"/>
        </w:rPr>
      </w:pPr>
    </w:p>
    <w:p w:rsidR="00235B2C" w:rsidRPr="009179E5" w:rsidRDefault="00235B2C" w:rsidP="007301DA">
      <w:pPr>
        <w:pStyle w:val="Caption"/>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t>2</w:t>
      </w:r>
      <w:r w:rsidR="001874C2" w:rsidRPr="009179E5">
        <w:rPr>
          <w:rFonts w:ascii="Times New Roman" w:hAnsi="Times New Roman"/>
          <w:sz w:val="24"/>
          <w:szCs w:val="24"/>
          <w:lang w:val="lv-LV"/>
        </w:rPr>
        <w:t>2</w:t>
      </w:r>
      <w:r w:rsidRPr="009179E5">
        <w:rPr>
          <w:rFonts w:ascii="Times New Roman" w:hAnsi="Times New Roman"/>
          <w:sz w:val="24"/>
          <w:szCs w:val="24"/>
          <w:lang w:val="lv-LV"/>
        </w:rPr>
        <w:t>.tabula</w:t>
      </w:r>
    </w:p>
    <w:p w:rsidR="0072652C" w:rsidRPr="009179E5" w:rsidRDefault="00235B2C" w:rsidP="007301DA">
      <w:pPr>
        <w:spacing w:after="0" w:line="240" w:lineRule="auto"/>
        <w:jc w:val="center"/>
        <w:rPr>
          <w:b/>
          <w:sz w:val="28"/>
          <w:szCs w:val="28"/>
          <w:lang w:val="lv-LV"/>
        </w:rPr>
      </w:pPr>
      <w:r w:rsidRPr="009179E5">
        <w:rPr>
          <w:rFonts w:ascii="Times New Roman" w:hAnsi="Times New Roman"/>
          <w:b/>
          <w:bCs/>
          <w:sz w:val="24"/>
          <w:szCs w:val="24"/>
          <w:lang w:val="lv-LV"/>
        </w:rPr>
        <w:t>Pasākuma Nr.R.</w:t>
      </w:r>
      <w:r w:rsidR="007301DA" w:rsidRPr="009179E5">
        <w:rPr>
          <w:rFonts w:ascii="Times New Roman" w:hAnsi="Times New Roman"/>
          <w:b/>
          <w:bCs/>
          <w:sz w:val="24"/>
          <w:szCs w:val="24"/>
          <w:lang w:val="lv-LV"/>
        </w:rPr>
        <w:t>4.</w:t>
      </w:r>
      <w:r w:rsidRPr="009179E5">
        <w:rPr>
          <w:rFonts w:ascii="Times New Roman" w:hAnsi="Times New Roman"/>
          <w:b/>
          <w:bCs/>
          <w:sz w:val="24"/>
          <w:szCs w:val="24"/>
          <w:lang w:val="lv-LV"/>
        </w:rPr>
        <w:t>2. „Vienošanās par energoefektivitātes paaugstināšanu ieviešana, veicinot rūpniecisko energoauditu un uzņēmumu energovadības sistēmu ieviešanu” apraksts</w:t>
      </w:r>
    </w:p>
    <w:tbl>
      <w:tblPr>
        <w:tblW w:w="850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2410"/>
        <w:gridCol w:w="4897"/>
      </w:tblGrid>
      <w:tr w:rsidR="0072652C" w:rsidRPr="009179E5" w:rsidTr="001C33A4">
        <w:trPr>
          <w:trHeight w:val="480"/>
        </w:trPr>
        <w:tc>
          <w:tcPr>
            <w:tcW w:w="3608" w:type="dxa"/>
            <w:gridSpan w:val="2"/>
          </w:tcPr>
          <w:p w:rsidR="0072652C" w:rsidRPr="009179E5" w:rsidRDefault="0072652C" w:rsidP="007301DA">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lang w:val="lv-LV"/>
              </w:rPr>
              <w:t>Enerģijas ietaupījumu sasniegšanas pasākuma nosaukums</w:t>
            </w:r>
          </w:p>
        </w:tc>
        <w:tc>
          <w:tcPr>
            <w:tcW w:w="4897" w:type="dxa"/>
          </w:tcPr>
          <w:p w:rsidR="0072652C" w:rsidRPr="009179E5" w:rsidRDefault="0072652C" w:rsidP="007301DA">
            <w:pPr>
              <w:spacing w:after="0" w:line="240" w:lineRule="auto"/>
              <w:jc w:val="both"/>
              <w:rPr>
                <w:rFonts w:ascii="Times New Roman" w:hAnsi="Times New Roman"/>
                <w:b/>
                <w:sz w:val="18"/>
                <w:szCs w:val="18"/>
                <w:lang w:val="lv-LV"/>
              </w:rPr>
            </w:pPr>
            <w:r w:rsidRPr="009179E5">
              <w:rPr>
                <w:rFonts w:ascii="Times New Roman" w:hAnsi="Times New Roman"/>
                <w:b/>
                <w:sz w:val="18"/>
                <w:szCs w:val="18"/>
                <w:lang w:val="lv-LV"/>
              </w:rPr>
              <w:t>Vienošanās par energoefektivitātes paaugstināšanu ieviešana, veicinot rūpniecisko energoauditu un uzņēmumu energovadības sistēmu ieviešanu</w:t>
            </w:r>
          </w:p>
        </w:tc>
      </w:tr>
      <w:tr w:rsidR="0072652C" w:rsidRPr="009179E5" w:rsidTr="002644D6">
        <w:trPr>
          <w:trHeight w:val="378"/>
        </w:trPr>
        <w:tc>
          <w:tcPr>
            <w:tcW w:w="3608" w:type="dxa"/>
            <w:gridSpan w:val="2"/>
          </w:tcPr>
          <w:p w:rsidR="0072652C" w:rsidRPr="009179E5" w:rsidRDefault="0072652C" w:rsidP="007301DA">
            <w:pPr>
              <w:pStyle w:val="Tabletext"/>
              <w:tabs>
                <w:tab w:val="left" w:pos="1440"/>
                <w:tab w:val="left" w:pos="5040"/>
              </w:tabs>
              <w:spacing w:before="0" w:after="0" w:line="240" w:lineRule="auto"/>
              <w:rPr>
                <w:rFonts w:ascii="Times New Roman" w:hAnsi="Times New Roman"/>
                <w:i/>
                <w:lang w:val="lv-LV"/>
              </w:rPr>
            </w:pPr>
            <w:r w:rsidRPr="009179E5">
              <w:rPr>
                <w:rFonts w:ascii="Times New Roman" w:hAnsi="Times New Roman"/>
                <w:i/>
                <w:lang w:val="lv-LV"/>
              </w:rPr>
              <w:t>Pasākuma nr.</w:t>
            </w:r>
          </w:p>
        </w:tc>
        <w:tc>
          <w:tcPr>
            <w:tcW w:w="4897" w:type="dxa"/>
          </w:tcPr>
          <w:p w:rsidR="0072652C" w:rsidRPr="009179E5" w:rsidRDefault="0072652C" w:rsidP="007301DA">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R.</w:t>
            </w:r>
            <w:r w:rsidR="008C3879" w:rsidRPr="009179E5">
              <w:rPr>
                <w:rFonts w:ascii="Times New Roman" w:hAnsi="Times New Roman"/>
                <w:b/>
                <w:szCs w:val="18"/>
                <w:lang w:val="lv-LV"/>
              </w:rPr>
              <w:t>4.</w:t>
            </w:r>
            <w:r w:rsidRPr="009179E5">
              <w:rPr>
                <w:rFonts w:ascii="Times New Roman" w:hAnsi="Times New Roman"/>
                <w:b/>
                <w:szCs w:val="18"/>
                <w:lang w:val="lv-LV"/>
              </w:rPr>
              <w:t>2.</w:t>
            </w:r>
          </w:p>
        </w:tc>
      </w:tr>
      <w:tr w:rsidR="0072652C" w:rsidRPr="009179E5" w:rsidTr="002644D6">
        <w:trPr>
          <w:trHeight w:val="269"/>
        </w:trPr>
        <w:tc>
          <w:tcPr>
            <w:tcW w:w="1198" w:type="dxa"/>
            <w:vMerge w:val="restart"/>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p>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Apraksts</w:t>
            </w:r>
          </w:p>
        </w:tc>
        <w:tc>
          <w:tcPr>
            <w:tcW w:w="2410" w:type="dxa"/>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Kategorija</w:t>
            </w:r>
          </w:p>
        </w:tc>
        <w:tc>
          <w:tcPr>
            <w:tcW w:w="4897" w:type="dxa"/>
          </w:tcPr>
          <w:p w:rsidR="0072652C" w:rsidRPr="009179E5" w:rsidRDefault="0072652C" w:rsidP="007301DA">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Vienošanās par energoefektivitātes paaugstināšanu </w:t>
            </w:r>
          </w:p>
        </w:tc>
      </w:tr>
      <w:tr w:rsidR="0072652C" w:rsidRPr="009179E5" w:rsidTr="001C33A4">
        <w:trPr>
          <w:trHeight w:val="476"/>
        </w:trPr>
        <w:tc>
          <w:tcPr>
            <w:tcW w:w="1198" w:type="dxa"/>
            <w:vMerge/>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p>
        </w:tc>
        <w:tc>
          <w:tcPr>
            <w:tcW w:w="2410" w:type="dxa"/>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Īstenošanas laika grafiks</w:t>
            </w:r>
          </w:p>
        </w:tc>
        <w:tc>
          <w:tcPr>
            <w:tcW w:w="489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944"/>
            </w:tblGrid>
            <w:tr w:rsidR="002173E5" w:rsidRPr="009179E5" w:rsidTr="001C33A4">
              <w:tc>
                <w:tcPr>
                  <w:tcW w:w="1843" w:type="dxa"/>
                </w:tcPr>
                <w:p w:rsidR="002173E5" w:rsidRPr="009179E5" w:rsidRDefault="002173E5" w:rsidP="007301DA">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Sākums </w:t>
                  </w:r>
                </w:p>
              </w:tc>
              <w:tc>
                <w:tcPr>
                  <w:tcW w:w="1944" w:type="dxa"/>
                </w:tcPr>
                <w:p w:rsidR="002173E5" w:rsidRPr="009179E5" w:rsidRDefault="002173E5" w:rsidP="007301DA">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Beigas </w:t>
                  </w:r>
                </w:p>
              </w:tc>
            </w:tr>
            <w:tr w:rsidR="002173E5" w:rsidRPr="009179E5" w:rsidTr="001C33A4">
              <w:tc>
                <w:tcPr>
                  <w:tcW w:w="1843" w:type="dxa"/>
                </w:tcPr>
                <w:p w:rsidR="002173E5" w:rsidRPr="009179E5" w:rsidRDefault="002173E5" w:rsidP="007301DA">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2011.</w:t>
                  </w:r>
                </w:p>
              </w:tc>
              <w:tc>
                <w:tcPr>
                  <w:tcW w:w="1944" w:type="dxa"/>
                </w:tcPr>
                <w:p w:rsidR="002173E5" w:rsidRPr="009179E5" w:rsidRDefault="002173E5" w:rsidP="007301DA">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2016.</w:t>
                  </w:r>
                </w:p>
              </w:tc>
            </w:tr>
          </w:tbl>
          <w:p w:rsidR="0072652C" w:rsidRPr="009179E5" w:rsidRDefault="0072652C" w:rsidP="007301DA">
            <w:pPr>
              <w:pStyle w:val="Tabletext"/>
              <w:tabs>
                <w:tab w:val="left" w:pos="1440"/>
                <w:tab w:val="left" w:pos="5040"/>
              </w:tabs>
              <w:spacing w:before="0" w:after="0" w:line="240" w:lineRule="auto"/>
              <w:rPr>
                <w:rFonts w:ascii="Times New Roman" w:hAnsi="Times New Roman"/>
                <w:b/>
                <w:szCs w:val="18"/>
                <w:lang w:val="lv-LV"/>
              </w:rPr>
            </w:pPr>
          </w:p>
        </w:tc>
      </w:tr>
      <w:tr w:rsidR="0072652C" w:rsidRPr="009179E5" w:rsidTr="002644D6">
        <w:trPr>
          <w:trHeight w:val="351"/>
        </w:trPr>
        <w:tc>
          <w:tcPr>
            <w:tcW w:w="1198" w:type="dxa"/>
            <w:vMerge/>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p>
        </w:tc>
        <w:tc>
          <w:tcPr>
            <w:tcW w:w="2410" w:type="dxa"/>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Mērķis</w:t>
            </w:r>
          </w:p>
        </w:tc>
        <w:tc>
          <w:tcPr>
            <w:tcW w:w="4897" w:type="dxa"/>
          </w:tcPr>
          <w:p w:rsidR="0072652C" w:rsidRPr="009179E5" w:rsidRDefault="0072652C" w:rsidP="007301DA">
            <w:pPr>
              <w:autoSpaceDE w:val="0"/>
              <w:autoSpaceDN w:val="0"/>
              <w:adjustRightInd w:val="0"/>
              <w:spacing w:after="0" w:line="240" w:lineRule="auto"/>
              <w:jc w:val="both"/>
              <w:rPr>
                <w:rFonts w:ascii="Times New Roman" w:hAnsi="Times New Roman"/>
                <w:b/>
                <w:sz w:val="18"/>
                <w:szCs w:val="18"/>
                <w:lang w:val="lv-LV" w:eastAsia="lv-LV"/>
              </w:rPr>
            </w:pPr>
            <w:r w:rsidRPr="009179E5">
              <w:rPr>
                <w:rFonts w:ascii="Times New Roman" w:hAnsi="Times New Roman"/>
                <w:b/>
                <w:sz w:val="18"/>
                <w:szCs w:val="18"/>
                <w:lang w:val="lv-LV" w:eastAsia="lv-LV"/>
              </w:rPr>
              <w:t>Energoefektivitātes paaugstināšana rūpniecībā</w:t>
            </w:r>
          </w:p>
        </w:tc>
      </w:tr>
      <w:tr w:rsidR="0072652C" w:rsidRPr="009179E5" w:rsidTr="001C33A4">
        <w:trPr>
          <w:trHeight w:val="476"/>
        </w:trPr>
        <w:tc>
          <w:tcPr>
            <w:tcW w:w="1198" w:type="dxa"/>
            <w:vMerge/>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p>
        </w:tc>
        <w:tc>
          <w:tcPr>
            <w:tcW w:w="2410" w:type="dxa"/>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Enerģijas galapatēriņa sektors</w:t>
            </w:r>
          </w:p>
        </w:tc>
        <w:tc>
          <w:tcPr>
            <w:tcW w:w="4897" w:type="dxa"/>
          </w:tcPr>
          <w:p w:rsidR="0072652C" w:rsidRPr="009179E5" w:rsidRDefault="0072652C" w:rsidP="007301DA">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Ražošanas ēkas, ražošanas tehnoloģiskās iekārtas, ražošanas tehnoloģijas</w:t>
            </w:r>
          </w:p>
        </w:tc>
      </w:tr>
      <w:tr w:rsidR="0072652C" w:rsidRPr="009179E5" w:rsidTr="002644D6">
        <w:trPr>
          <w:trHeight w:val="341"/>
        </w:trPr>
        <w:tc>
          <w:tcPr>
            <w:tcW w:w="1198" w:type="dxa"/>
            <w:vMerge/>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p>
        </w:tc>
        <w:tc>
          <w:tcPr>
            <w:tcW w:w="2410" w:type="dxa"/>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Mērķauditorija</w:t>
            </w:r>
          </w:p>
        </w:tc>
        <w:tc>
          <w:tcPr>
            <w:tcW w:w="4897" w:type="dxa"/>
          </w:tcPr>
          <w:p w:rsidR="0072652C" w:rsidRPr="009179E5" w:rsidRDefault="0072652C" w:rsidP="007301DA">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Komersanti </w:t>
            </w:r>
          </w:p>
        </w:tc>
      </w:tr>
      <w:tr w:rsidR="0072652C" w:rsidRPr="009179E5" w:rsidTr="002644D6">
        <w:trPr>
          <w:trHeight w:val="276"/>
        </w:trPr>
        <w:tc>
          <w:tcPr>
            <w:tcW w:w="1198" w:type="dxa"/>
            <w:vMerge/>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p>
        </w:tc>
        <w:tc>
          <w:tcPr>
            <w:tcW w:w="2410" w:type="dxa"/>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Pasākuma ieviešanas teritorija</w:t>
            </w:r>
          </w:p>
        </w:tc>
        <w:tc>
          <w:tcPr>
            <w:tcW w:w="4897" w:type="dxa"/>
          </w:tcPr>
          <w:p w:rsidR="0072652C" w:rsidRPr="009179E5" w:rsidRDefault="0072652C" w:rsidP="007301DA">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Latvijas Republika </w:t>
            </w:r>
          </w:p>
        </w:tc>
      </w:tr>
      <w:tr w:rsidR="0072652C" w:rsidRPr="009179E5" w:rsidTr="001C33A4">
        <w:trPr>
          <w:trHeight w:val="476"/>
        </w:trPr>
        <w:tc>
          <w:tcPr>
            <w:tcW w:w="1198" w:type="dxa"/>
            <w:vMerge w:val="restart"/>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Informācija un ieviešana</w:t>
            </w:r>
          </w:p>
        </w:tc>
        <w:tc>
          <w:tcPr>
            <w:tcW w:w="2410" w:type="dxa"/>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Enerģijas ietaupījumu sasniegšanas pasākumu saraksts un pasākuma pamatapraksts</w:t>
            </w:r>
          </w:p>
        </w:tc>
        <w:tc>
          <w:tcPr>
            <w:tcW w:w="4897" w:type="dxa"/>
          </w:tcPr>
          <w:p w:rsidR="0072652C" w:rsidRPr="009179E5" w:rsidRDefault="0072652C" w:rsidP="007301DA">
            <w:pPr>
              <w:pStyle w:val="bodytext1"/>
              <w:tabs>
                <w:tab w:val="left" w:pos="462"/>
              </w:tabs>
              <w:spacing w:before="0" w:beforeAutospacing="0" w:after="0" w:afterAutospacing="0"/>
              <w:jc w:val="both"/>
              <w:rPr>
                <w:rStyle w:val="Emphasis"/>
                <w:b/>
                <w:iCs w:val="0"/>
                <w:sz w:val="18"/>
                <w:szCs w:val="18"/>
              </w:rPr>
            </w:pPr>
            <w:r w:rsidRPr="009179E5">
              <w:rPr>
                <w:b/>
                <w:sz w:val="18"/>
                <w:szCs w:val="18"/>
              </w:rPr>
              <w:t>1.Atbilstoši „Enerģijas galapatēriņa efektivitātes likuma prasībām Ekonomikas ministrija ir izstrādājusi Ministru kabineta noteikumus „Kārtība kādā noslēdz un pārrauga vienošanās par energoefekltivitātes paaugstināšanu”. Vienošanās mērķis ir sasniegt ne mazāku kā 10% enerģijas ietaupījumu  nozarē, uzņēmumā vai pašvaldībā. Enerģijas ietaupījumu mērķa sasniegšanu   pamato energoefektivitātes rīcības plāns.</w:t>
            </w:r>
          </w:p>
          <w:p w:rsidR="0072652C" w:rsidRPr="009179E5" w:rsidRDefault="0072652C" w:rsidP="007301DA">
            <w:pPr>
              <w:spacing w:after="0" w:line="240" w:lineRule="auto"/>
              <w:jc w:val="both"/>
              <w:rPr>
                <w:rFonts w:ascii="Times New Roman" w:hAnsi="Times New Roman"/>
                <w:b/>
                <w:sz w:val="18"/>
                <w:szCs w:val="18"/>
                <w:lang w:val="lv-LV"/>
              </w:rPr>
            </w:pPr>
            <w:r w:rsidRPr="009179E5">
              <w:rPr>
                <w:rFonts w:ascii="Times New Roman" w:hAnsi="Times New Roman"/>
                <w:b/>
                <w:sz w:val="18"/>
                <w:szCs w:val="18"/>
                <w:lang w:val="lv-LV"/>
              </w:rPr>
              <w:t>Vienošanās starp ministriju un komersantu ietver:</w:t>
            </w:r>
          </w:p>
          <w:p w:rsidR="0072652C" w:rsidRPr="009179E5" w:rsidRDefault="0072652C" w:rsidP="007301DA">
            <w:pPr>
              <w:spacing w:after="0" w:line="240" w:lineRule="auto"/>
              <w:jc w:val="both"/>
              <w:rPr>
                <w:rFonts w:ascii="Times New Roman" w:hAnsi="Times New Roman"/>
                <w:b/>
                <w:sz w:val="18"/>
                <w:szCs w:val="18"/>
                <w:lang w:val="lv-LV"/>
              </w:rPr>
            </w:pPr>
            <w:r w:rsidRPr="009179E5">
              <w:rPr>
                <w:rFonts w:ascii="Times New Roman" w:hAnsi="Times New Roman"/>
                <w:b/>
                <w:sz w:val="18"/>
                <w:szCs w:val="18"/>
                <w:lang w:val="lv-LV"/>
              </w:rPr>
              <w:t>-  komersanta energoefektivitātes rīcības plānu;</w:t>
            </w:r>
          </w:p>
          <w:p w:rsidR="0072652C" w:rsidRPr="009179E5" w:rsidRDefault="0072652C" w:rsidP="007301DA">
            <w:pPr>
              <w:spacing w:after="0" w:line="240" w:lineRule="auto"/>
              <w:jc w:val="both"/>
              <w:rPr>
                <w:rFonts w:ascii="Times New Roman" w:hAnsi="Times New Roman"/>
                <w:b/>
                <w:sz w:val="18"/>
                <w:szCs w:val="18"/>
                <w:lang w:val="lv-LV"/>
              </w:rPr>
            </w:pPr>
            <w:r w:rsidRPr="009179E5">
              <w:rPr>
                <w:rFonts w:ascii="Times New Roman" w:hAnsi="Times New Roman"/>
                <w:b/>
                <w:sz w:val="18"/>
                <w:szCs w:val="18"/>
                <w:lang w:val="lv-LV"/>
              </w:rPr>
              <w:t>-komersanta pienākumus veikt energoefektivitātes paaugstināšanas pasākumus savā darbības jomā, ja komersants piedāvā energopakalpojumus;</w:t>
            </w:r>
          </w:p>
          <w:p w:rsidR="0072652C" w:rsidRPr="009179E5" w:rsidRDefault="0072652C" w:rsidP="007301DA">
            <w:pPr>
              <w:spacing w:after="0" w:line="240" w:lineRule="auto"/>
              <w:jc w:val="both"/>
              <w:rPr>
                <w:rFonts w:ascii="Times New Roman" w:hAnsi="Times New Roman"/>
                <w:b/>
                <w:sz w:val="18"/>
                <w:szCs w:val="18"/>
                <w:lang w:val="lv-LV"/>
              </w:rPr>
            </w:pPr>
            <w:r w:rsidRPr="009179E5">
              <w:rPr>
                <w:rFonts w:ascii="Times New Roman" w:hAnsi="Times New Roman"/>
                <w:b/>
                <w:sz w:val="18"/>
                <w:szCs w:val="18"/>
                <w:lang w:val="lv-LV"/>
              </w:rPr>
              <w:t>-komersanta pienākumus informācijas sniegšanā ministrijai;</w:t>
            </w:r>
          </w:p>
          <w:p w:rsidR="0072652C" w:rsidRPr="009179E5" w:rsidRDefault="0072652C" w:rsidP="007301DA">
            <w:pPr>
              <w:pStyle w:val="bodytext1"/>
              <w:spacing w:before="0" w:beforeAutospacing="0" w:after="0" w:afterAutospacing="0"/>
              <w:jc w:val="both"/>
              <w:rPr>
                <w:b/>
                <w:sz w:val="18"/>
                <w:szCs w:val="18"/>
              </w:rPr>
            </w:pPr>
            <w:r w:rsidRPr="009179E5">
              <w:rPr>
                <w:b/>
                <w:sz w:val="18"/>
                <w:szCs w:val="18"/>
              </w:rPr>
              <w:t>-citu informāciju, kas nepieciešama noslēgtās vienošanās  izpildei.</w:t>
            </w:r>
          </w:p>
          <w:p w:rsidR="0072652C" w:rsidRPr="009179E5" w:rsidRDefault="0072652C" w:rsidP="007301DA">
            <w:pPr>
              <w:pStyle w:val="bodytext1"/>
              <w:spacing w:before="0" w:beforeAutospacing="0" w:after="0" w:afterAutospacing="0"/>
              <w:jc w:val="both"/>
              <w:rPr>
                <w:b/>
                <w:sz w:val="18"/>
                <w:szCs w:val="18"/>
              </w:rPr>
            </w:pPr>
            <w:r w:rsidRPr="009179E5">
              <w:rPr>
                <w:b/>
                <w:sz w:val="18"/>
                <w:szCs w:val="18"/>
              </w:rPr>
              <w:t xml:space="preserve">2. Atbilstoši „Enerģijas galapatēriņa efektivitātes likuma prasībām Ekonomikas ministrijai </w:t>
            </w:r>
            <w:r w:rsidR="00174C18" w:rsidRPr="009179E5">
              <w:rPr>
                <w:b/>
                <w:sz w:val="18"/>
                <w:szCs w:val="18"/>
              </w:rPr>
              <w:t>jāizstrādā</w:t>
            </w:r>
            <w:r w:rsidRPr="009179E5">
              <w:rPr>
                <w:b/>
                <w:sz w:val="18"/>
                <w:szCs w:val="18"/>
              </w:rPr>
              <w:t xml:space="preserve"> Ministru kabineta noteikumi „Kārtība, kādā jāveic rūpnieciskais energoaudits”. Šie ministru kabineta noteikumi noteiks kārtību, kādā jāveic rūpnieciskais energoaudits, kā arī noteiks tā saturu un prasības rūpniecisko energoauditu veicējiem.</w:t>
            </w:r>
          </w:p>
        </w:tc>
      </w:tr>
      <w:tr w:rsidR="0072652C" w:rsidRPr="009179E5" w:rsidTr="002644D6">
        <w:trPr>
          <w:trHeight w:val="334"/>
        </w:trPr>
        <w:tc>
          <w:tcPr>
            <w:tcW w:w="1198" w:type="dxa"/>
            <w:vMerge/>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p>
        </w:tc>
        <w:tc>
          <w:tcPr>
            <w:tcW w:w="2410" w:type="dxa"/>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Budžets un finansējuma avots</w:t>
            </w:r>
          </w:p>
        </w:tc>
        <w:tc>
          <w:tcPr>
            <w:tcW w:w="4897" w:type="dxa"/>
          </w:tcPr>
          <w:p w:rsidR="0072652C" w:rsidRPr="009179E5" w:rsidRDefault="0072652C" w:rsidP="007301DA">
            <w:pPr>
              <w:pStyle w:val="Default"/>
              <w:jc w:val="both"/>
              <w:rPr>
                <w:b/>
                <w:sz w:val="18"/>
                <w:szCs w:val="18"/>
              </w:rPr>
            </w:pPr>
            <w:r w:rsidRPr="009179E5">
              <w:rPr>
                <w:b/>
                <w:sz w:val="18"/>
                <w:szCs w:val="18"/>
              </w:rPr>
              <w:t>Komersantu līdzekļi</w:t>
            </w:r>
          </w:p>
        </w:tc>
      </w:tr>
      <w:tr w:rsidR="0072652C" w:rsidRPr="009179E5" w:rsidTr="002644D6">
        <w:trPr>
          <w:trHeight w:val="283"/>
        </w:trPr>
        <w:tc>
          <w:tcPr>
            <w:tcW w:w="1198" w:type="dxa"/>
            <w:vMerge/>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p>
        </w:tc>
        <w:tc>
          <w:tcPr>
            <w:tcW w:w="2410" w:type="dxa"/>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Ieviesējs</w:t>
            </w:r>
          </w:p>
        </w:tc>
        <w:tc>
          <w:tcPr>
            <w:tcW w:w="4897" w:type="dxa"/>
          </w:tcPr>
          <w:p w:rsidR="0072652C" w:rsidRPr="009179E5" w:rsidRDefault="0072652C" w:rsidP="007301DA">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EM</w:t>
            </w:r>
          </w:p>
        </w:tc>
      </w:tr>
      <w:tr w:rsidR="0072652C" w:rsidRPr="009179E5" w:rsidTr="001C33A4">
        <w:trPr>
          <w:trHeight w:val="476"/>
        </w:trPr>
        <w:tc>
          <w:tcPr>
            <w:tcW w:w="1198" w:type="dxa"/>
            <w:vMerge w:val="restart"/>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Enerģijas ietaupījumi</w:t>
            </w:r>
          </w:p>
        </w:tc>
        <w:tc>
          <w:tcPr>
            <w:tcW w:w="2410" w:type="dxa"/>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Sasniegto enerģijas ietaupījumu aprēķina metode</w:t>
            </w:r>
          </w:p>
        </w:tc>
        <w:tc>
          <w:tcPr>
            <w:tcW w:w="4897" w:type="dxa"/>
          </w:tcPr>
          <w:p w:rsidR="0072652C" w:rsidRPr="009179E5" w:rsidRDefault="0072652C" w:rsidP="002260B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Lejup</w:t>
            </w:r>
            <w:r w:rsidR="002260BB" w:rsidRPr="009179E5">
              <w:rPr>
                <w:rFonts w:ascii="Times New Roman" w:hAnsi="Times New Roman"/>
                <w:b/>
                <w:szCs w:val="18"/>
                <w:lang w:val="lv-LV"/>
              </w:rPr>
              <w:t>vērstā</w:t>
            </w:r>
          </w:p>
        </w:tc>
      </w:tr>
      <w:tr w:rsidR="0072652C" w:rsidRPr="009179E5" w:rsidTr="002644D6">
        <w:trPr>
          <w:trHeight w:val="377"/>
        </w:trPr>
        <w:tc>
          <w:tcPr>
            <w:tcW w:w="1198" w:type="dxa"/>
            <w:vMerge/>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p>
        </w:tc>
        <w:tc>
          <w:tcPr>
            <w:tcW w:w="2410" w:type="dxa"/>
          </w:tcPr>
          <w:p w:rsidR="0072652C" w:rsidRPr="009179E5" w:rsidRDefault="0072652C" w:rsidP="007301DA">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Ietaupījumi sasniegti 2010</w:t>
            </w:r>
          </w:p>
        </w:tc>
        <w:tc>
          <w:tcPr>
            <w:tcW w:w="4897" w:type="dxa"/>
          </w:tcPr>
          <w:p w:rsidR="0072652C" w:rsidRPr="009179E5" w:rsidRDefault="0072652C" w:rsidP="0022401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Pasākums ieviests no 2011</w:t>
            </w:r>
            <w:r w:rsidR="0022401E" w:rsidRPr="009179E5">
              <w:rPr>
                <w:rFonts w:ascii="Times New Roman" w:hAnsi="Times New Roman"/>
                <w:b/>
                <w:szCs w:val="18"/>
                <w:lang w:val="lv-LV"/>
              </w:rPr>
              <w:t>.</w:t>
            </w:r>
            <w:r w:rsidRPr="009179E5">
              <w:rPr>
                <w:rFonts w:ascii="Times New Roman" w:hAnsi="Times New Roman"/>
                <w:b/>
                <w:szCs w:val="18"/>
                <w:lang w:val="lv-LV"/>
              </w:rPr>
              <w:t>gada</w:t>
            </w:r>
          </w:p>
        </w:tc>
      </w:tr>
    </w:tbl>
    <w:p w:rsidR="00F05BF3" w:rsidRPr="001960CF" w:rsidRDefault="00F05BF3" w:rsidP="00F05BF3">
      <w:pPr>
        <w:pStyle w:val="Heading4"/>
        <w:numPr>
          <w:ilvl w:val="0"/>
          <w:numId w:val="0"/>
        </w:numPr>
        <w:spacing w:before="120" w:line="240" w:lineRule="auto"/>
        <w:jc w:val="center"/>
        <w:rPr>
          <w:rFonts w:ascii="Times New Roman Bold" w:hAnsi="Times New Roman Bold"/>
          <w:b/>
          <w:i w:val="0"/>
          <w:caps/>
          <w:color w:val="auto"/>
          <w:sz w:val="24"/>
          <w:u w:val="none"/>
          <w:lang w:val="lv-LV"/>
        </w:rPr>
      </w:pPr>
    </w:p>
    <w:p w:rsidR="0072652C" w:rsidRPr="009179E5" w:rsidRDefault="00136044" w:rsidP="001960CF">
      <w:pPr>
        <w:pStyle w:val="Heading4"/>
        <w:numPr>
          <w:ilvl w:val="0"/>
          <w:numId w:val="0"/>
        </w:numPr>
        <w:spacing w:before="360" w:line="240" w:lineRule="auto"/>
        <w:jc w:val="center"/>
        <w:rPr>
          <w:rFonts w:ascii="Times New Roman" w:hAnsi="Times New Roman"/>
          <w:b/>
          <w:sz w:val="28"/>
          <w:lang w:val="lv-LV"/>
        </w:rPr>
      </w:pPr>
      <w:bookmarkStart w:id="35" w:name="_Toc300320580"/>
      <w:r w:rsidRPr="009179E5">
        <w:rPr>
          <w:rFonts w:ascii="Times New Roman Bold" w:hAnsi="Times New Roman Bold"/>
          <w:b/>
          <w:i w:val="0"/>
          <w:caps/>
          <w:color w:val="auto"/>
          <w:sz w:val="28"/>
          <w:u w:val="none"/>
          <w:lang w:val="lv-LV"/>
        </w:rPr>
        <w:t>4.5</w:t>
      </w:r>
      <w:r w:rsidR="000E17C9" w:rsidRPr="009179E5">
        <w:rPr>
          <w:rFonts w:ascii="Times New Roman Bold" w:hAnsi="Times New Roman Bold"/>
          <w:b/>
          <w:i w:val="0"/>
          <w:caps/>
          <w:color w:val="auto"/>
          <w:sz w:val="28"/>
          <w:u w:val="none"/>
          <w:lang w:val="lv-LV"/>
        </w:rPr>
        <w:t>.</w:t>
      </w:r>
      <w:r w:rsidRPr="009179E5">
        <w:rPr>
          <w:rFonts w:ascii="Times New Roman Bold" w:hAnsi="Times New Roman Bold"/>
          <w:b/>
          <w:i w:val="0"/>
          <w:caps/>
          <w:color w:val="auto"/>
          <w:sz w:val="28"/>
          <w:u w:val="none"/>
          <w:lang w:val="lv-LV"/>
        </w:rPr>
        <w:t xml:space="preserve"> </w:t>
      </w:r>
      <w:r w:rsidR="0072652C" w:rsidRPr="009179E5">
        <w:rPr>
          <w:rFonts w:ascii="Times New Roman Bold" w:hAnsi="Times New Roman Bold"/>
          <w:b/>
          <w:i w:val="0"/>
          <w:caps/>
          <w:color w:val="auto"/>
          <w:sz w:val="28"/>
          <w:u w:val="none"/>
          <w:lang w:val="lv-LV"/>
        </w:rPr>
        <w:t>Centralizētā siltumapgāde</w:t>
      </w:r>
      <w:bookmarkEnd w:id="35"/>
    </w:p>
    <w:p w:rsidR="00B13700" w:rsidRPr="009179E5" w:rsidRDefault="00724C15" w:rsidP="00574AC8">
      <w:pPr>
        <w:pStyle w:val="Caption"/>
        <w:spacing w:before="120" w:after="120" w:line="240" w:lineRule="auto"/>
        <w:jc w:val="both"/>
        <w:rPr>
          <w:rFonts w:ascii="Times New Roman" w:eastAsia="Calibri" w:hAnsi="Times New Roman"/>
          <w:b w:val="0"/>
          <w:color w:val="000000"/>
          <w:sz w:val="28"/>
          <w:szCs w:val="28"/>
          <w:lang w:val="lv-LV" w:eastAsia="lv-LV"/>
        </w:rPr>
      </w:pPr>
      <w:r w:rsidRPr="009179E5">
        <w:rPr>
          <w:rFonts w:ascii="Times New Roman" w:eastAsia="Calibri" w:hAnsi="Times New Roman"/>
          <w:b w:val="0"/>
          <w:color w:val="000000"/>
          <w:sz w:val="28"/>
          <w:szCs w:val="28"/>
          <w:lang w:val="lv-LV" w:eastAsia="lv-LV"/>
        </w:rPr>
        <w:t>Latvijas klimatiskajos apstākļos siltumapgāde ir vitāli nozīmīga enerģētikas</w:t>
      </w:r>
      <w:r w:rsidR="007A26BB" w:rsidRPr="009179E5">
        <w:rPr>
          <w:rFonts w:ascii="Times New Roman" w:eastAsia="Calibri" w:hAnsi="Times New Roman"/>
          <w:b w:val="0"/>
          <w:color w:val="000000"/>
          <w:sz w:val="28"/>
          <w:szCs w:val="28"/>
          <w:lang w:val="lv-LV" w:eastAsia="lv-LV"/>
        </w:rPr>
        <w:t xml:space="preserve"> nozares sastāvdaļa. Aptuveni 22</w:t>
      </w:r>
      <w:r w:rsidRPr="009179E5">
        <w:rPr>
          <w:rFonts w:ascii="Times New Roman" w:eastAsia="Calibri" w:hAnsi="Times New Roman"/>
          <w:b w:val="0"/>
          <w:color w:val="000000"/>
          <w:sz w:val="28"/>
          <w:szCs w:val="28"/>
          <w:lang w:val="lv-LV" w:eastAsia="lv-LV"/>
        </w:rPr>
        <w:t>% no lietotājiem nepieciešamās siltumenerģijas tiek saražots centralizētās sil</w:t>
      </w:r>
      <w:r w:rsidR="007A26BB" w:rsidRPr="009179E5">
        <w:rPr>
          <w:rFonts w:ascii="Times New Roman" w:eastAsia="Calibri" w:hAnsi="Times New Roman"/>
          <w:b w:val="0"/>
          <w:color w:val="000000"/>
          <w:sz w:val="28"/>
          <w:szCs w:val="28"/>
          <w:lang w:val="lv-LV" w:eastAsia="lv-LV"/>
        </w:rPr>
        <w:t>tumapgādes sistēmās, savukārt 78</w:t>
      </w:r>
      <w:r w:rsidRPr="009179E5">
        <w:rPr>
          <w:rFonts w:ascii="Times New Roman" w:eastAsia="Calibri" w:hAnsi="Times New Roman"/>
          <w:b w:val="0"/>
          <w:color w:val="000000"/>
          <w:sz w:val="28"/>
          <w:szCs w:val="28"/>
          <w:lang w:val="lv-LV" w:eastAsia="lv-LV"/>
        </w:rPr>
        <w:t xml:space="preserve">% siltumenerģijas tiek saražots decentralizētās (lokālā un individuālā) siltumapgādes sistēmās. </w:t>
      </w:r>
      <w:r w:rsidR="00CC3B0C" w:rsidRPr="003B66D9">
        <w:rPr>
          <w:rFonts w:ascii="Times New Roman" w:eastAsia="Calibri" w:hAnsi="Times New Roman"/>
          <w:b w:val="0"/>
          <w:color w:val="000000"/>
          <w:sz w:val="28"/>
          <w:szCs w:val="28"/>
          <w:lang w:val="lv-LV" w:eastAsia="lv-LV"/>
        </w:rPr>
        <w:t>2010.gadā aptuveni 71% no centralizētās siltumenerģijas galapatēriņa patērēja mājsaimniecības.</w:t>
      </w:r>
    </w:p>
    <w:p w:rsidR="00136044" w:rsidRPr="009179E5" w:rsidRDefault="00136044" w:rsidP="00EA42C0">
      <w:pPr>
        <w:pStyle w:val="Caption"/>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t>2</w:t>
      </w:r>
      <w:r w:rsidR="001874C2" w:rsidRPr="009179E5">
        <w:rPr>
          <w:rFonts w:ascii="Times New Roman" w:hAnsi="Times New Roman"/>
          <w:sz w:val="24"/>
          <w:szCs w:val="24"/>
          <w:lang w:val="lv-LV"/>
        </w:rPr>
        <w:t>3</w:t>
      </w:r>
      <w:r w:rsidR="0072652C" w:rsidRPr="009179E5">
        <w:rPr>
          <w:rFonts w:ascii="Times New Roman" w:hAnsi="Times New Roman"/>
          <w:sz w:val="24"/>
          <w:szCs w:val="24"/>
          <w:lang w:val="lv-LV"/>
        </w:rPr>
        <w:t xml:space="preserve">.tabula </w:t>
      </w:r>
    </w:p>
    <w:p w:rsidR="0072652C" w:rsidRPr="009179E5" w:rsidRDefault="0072652C" w:rsidP="00EA42C0">
      <w:pPr>
        <w:pStyle w:val="Caption"/>
        <w:spacing w:after="0" w:line="240" w:lineRule="auto"/>
        <w:jc w:val="center"/>
        <w:rPr>
          <w:rFonts w:ascii="Times New Roman" w:hAnsi="Times New Roman"/>
          <w:lang w:val="lv-LV"/>
        </w:rPr>
      </w:pPr>
      <w:r w:rsidRPr="009179E5">
        <w:rPr>
          <w:rFonts w:ascii="Times New Roman" w:hAnsi="Times New Roman"/>
          <w:sz w:val="24"/>
          <w:szCs w:val="24"/>
          <w:lang w:val="lv-LV"/>
        </w:rPr>
        <w:t>Energoefektivitātes paaugstināšanas pasākum</w:t>
      </w:r>
      <w:r w:rsidR="0087724B" w:rsidRPr="009179E5">
        <w:rPr>
          <w:rFonts w:ascii="Times New Roman" w:hAnsi="Times New Roman"/>
          <w:sz w:val="24"/>
          <w:szCs w:val="24"/>
          <w:lang w:val="lv-LV"/>
        </w:rPr>
        <w:t>u</w:t>
      </w:r>
      <w:r w:rsidRPr="009179E5">
        <w:rPr>
          <w:rFonts w:ascii="Times New Roman" w:hAnsi="Times New Roman"/>
          <w:sz w:val="24"/>
          <w:szCs w:val="24"/>
          <w:lang w:val="lv-LV"/>
        </w:rPr>
        <w:t xml:space="preserve"> centralizētajā siltumapgādē kopsavilkuma tabula</w:t>
      </w:r>
    </w:p>
    <w:tbl>
      <w:tblPr>
        <w:tblW w:w="0" w:type="auto"/>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71"/>
        <w:gridCol w:w="4439"/>
        <w:gridCol w:w="2126"/>
        <w:gridCol w:w="1741"/>
      </w:tblGrid>
      <w:tr w:rsidR="0087724B" w:rsidRPr="009179E5" w:rsidTr="001A7231">
        <w:trPr>
          <w:jc w:val="center"/>
        </w:trPr>
        <w:tc>
          <w:tcPr>
            <w:tcW w:w="595" w:type="dxa"/>
          </w:tcPr>
          <w:p w:rsidR="0087724B" w:rsidRPr="009179E5" w:rsidRDefault="0087724B" w:rsidP="00EA42C0">
            <w:pPr>
              <w:pStyle w:val="Caption"/>
              <w:spacing w:after="0" w:line="240" w:lineRule="auto"/>
              <w:jc w:val="right"/>
              <w:rPr>
                <w:rFonts w:ascii="Times New Roman" w:hAnsi="Times New Roman"/>
                <w:lang w:val="lv-LV"/>
              </w:rPr>
            </w:pPr>
            <w:r w:rsidRPr="009179E5">
              <w:rPr>
                <w:rFonts w:ascii="Times New Roman" w:hAnsi="Times New Roman"/>
                <w:lang w:val="lv-LV"/>
              </w:rPr>
              <w:t>Nr.</w:t>
            </w:r>
          </w:p>
        </w:tc>
        <w:tc>
          <w:tcPr>
            <w:tcW w:w="4439" w:type="dxa"/>
          </w:tcPr>
          <w:p w:rsidR="0087724B" w:rsidRPr="009179E5" w:rsidRDefault="0087724B" w:rsidP="00EA42C0">
            <w:pPr>
              <w:pStyle w:val="Caption"/>
              <w:spacing w:after="0" w:line="240" w:lineRule="auto"/>
              <w:jc w:val="center"/>
              <w:rPr>
                <w:rFonts w:ascii="Times New Roman" w:hAnsi="Times New Roman"/>
                <w:lang w:val="lv-LV"/>
              </w:rPr>
            </w:pPr>
            <w:r w:rsidRPr="009179E5">
              <w:rPr>
                <w:rFonts w:ascii="Times New Roman" w:hAnsi="Times New Roman"/>
                <w:lang w:val="lv-LV"/>
              </w:rPr>
              <w:t xml:space="preserve">Pasākums  </w:t>
            </w:r>
            <w:r w:rsidRPr="009179E5">
              <w:rPr>
                <w:rFonts w:ascii="Times New Roman" w:hAnsi="Times New Roman"/>
                <w:lang w:val="lv-LV"/>
              </w:rPr>
              <w:br/>
            </w:r>
          </w:p>
        </w:tc>
        <w:tc>
          <w:tcPr>
            <w:tcW w:w="2126" w:type="dxa"/>
          </w:tcPr>
          <w:p w:rsidR="0087724B" w:rsidRPr="009179E5" w:rsidRDefault="0087724B" w:rsidP="00EA42C0">
            <w:pPr>
              <w:pStyle w:val="Caption"/>
              <w:spacing w:after="0" w:line="240" w:lineRule="auto"/>
              <w:jc w:val="center"/>
              <w:rPr>
                <w:rFonts w:ascii="Times New Roman" w:hAnsi="Times New Roman"/>
                <w:lang w:val="lv-LV"/>
              </w:rPr>
            </w:pPr>
            <w:r w:rsidRPr="009179E5">
              <w:rPr>
                <w:rFonts w:ascii="Times New Roman" w:hAnsi="Times New Roman"/>
                <w:lang w:val="lv-LV"/>
              </w:rPr>
              <w:t>Mērķauditorija</w:t>
            </w:r>
          </w:p>
        </w:tc>
        <w:tc>
          <w:tcPr>
            <w:tcW w:w="1741" w:type="dxa"/>
          </w:tcPr>
          <w:p w:rsidR="0087724B" w:rsidRPr="009179E5" w:rsidRDefault="0087724B" w:rsidP="00EA42C0">
            <w:pPr>
              <w:pStyle w:val="Caption"/>
              <w:spacing w:after="0" w:line="240" w:lineRule="auto"/>
              <w:jc w:val="center"/>
              <w:rPr>
                <w:rFonts w:ascii="Times New Roman" w:hAnsi="Times New Roman"/>
                <w:lang w:val="lv-LV"/>
              </w:rPr>
            </w:pPr>
            <w:r w:rsidRPr="009179E5">
              <w:rPr>
                <w:rFonts w:ascii="Times New Roman" w:hAnsi="Times New Roman"/>
                <w:lang w:val="lv-LV"/>
              </w:rPr>
              <w:t>Periods</w:t>
            </w:r>
          </w:p>
        </w:tc>
      </w:tr>
      <w:tr w:rsidR="0087724B" w:rsidRPr="009179E5" w:rsidTr="001A7231">
        <w:trPr>
          <w:jc w:val="center"/>
        </w:trPr>
        <w:tc>
          <w:tcPr>
            <w:tcW w:w="595" w:type="dxa"/>
          </w:tcPr>
          <w:p w:rsidR="0087724B" w:rsidRPr="009179E5" w:rsidRDefault="0087724B" w:rsidP="00EA42C0">
            <w:pPr>
              <w:pStyle w:val="Caption"/>
              <w:spacing w:after="0" w:line="240" w:lineRule="auto"/>
              <w:jc w:val="both"/>
              <w:rPr>
                <w:rFonts w:ascii="Times New Roman" w:hAnsi="Times New Roman"/>
                <w:b w:val="0"/>
                <w:sz w:val="22"/>
                <w:szCs w:val="22"/>
                <w:lang w:val="lv-LV"/>
              </w:rPr>
            </w:pPr>
            <w:r w:rsidRPr="009179E5">
              <w:rPr>
                <w:rFonts w:ascii="Times New Roman" w:hAnsi="Times New Roman"/>
                <w:b w:val="0"/>
                <w:sz w:val="22"/>
                <w:szCs w:val="22"/>
                <w:lang w:val="lv-LV"/>
              </w:rPr>
              <w:t>CS.</w:t>
            </w:r>
            <w:r w:rsidR="00EA42C0" w:rsidRPr="009179E5">
              <w:rPr>
                <w:rFonts w:ascii="Times New Roman" w:hAnsi="Times New Roman"/>
                <w:b w:val="0"/>
                <w:sz w:val="22"/>
                <w:szCs w:val="22"/>
                <w:lang w:val="lv-LV"/>
              </w:rPr>
              <w:t>5.</w:t>
            </w:r>
            <w:r w:rsidRPr="009179E5">
              <w:rPr>
                <w:rFonts w:ascii="Times New Roman" w:hAnsi="Times New Roman"/>
                <w:b w:val="0"/>
                <w:sz w:val="22"/>
                <w:szCs w:val="22"/>
                <w:lang w:val="lv-LV"/>
              </w:rPr>
              <w:t>1.</w:t>
            </w:r>
          </w:p>
        </w:tc>
        <w:tc>
          <w:tcPr>
            <w:tcW w:w="4439" w:type="dxa"/>
          </w:tcPr>
          <w:p w:rsidR="0087724B" w:rsidRPr="009179E5" w:rsidRDefault="0087724B" w:rsidP="00EA42C0">
            <w:pPr>
              <w:pStyle w:val="Caption"/>
              <w:spacing w:after="0" w:line="240" w:lineRule="auto"/>
              <w:jc w:val="both"/>
              <w:rPr>
                <w:rFonts w:ascii="Times New Roman" w:hAnsi="Times New Roman"/>
                <w:b w:val="0"/>
                <w:sz w:val="22"/>
                <w:szCs w:val="22"/>
                <w:lang w:val="lv-LV"/>
              </w:rPr>
            </w:pPr>
            <w:r w:rsidRPr="009179E5">
              <w:rPr>
                <w:rFonts w:ascii="Times New Roman" w:hAnsi="Times New Roman"/>
                <w:b w:val="0"/>
                <w:sz w:val="22"/>
                <w:szCs w:val="22"/>
                <w:lang w:val="lv-LV"/>
              </w:rPr>
              <w:t xml:space="preserve">Darbības programmas „Infrastruktūra un pakalpojumi” papildinājuma 3.5.2.1.aktivitāte „Pasākumi centralizētās siltumapgādes sistēmu efektivitātes paaugstināšanai”  </w:t>
            </w:r>
          </w:p>
        </w:tc>
        <w:tc>
          <w:tcPr>
            <w:tcW w:w="2126" w:type="dxa"/>
          </w:tcPr>
          <w:p w:rsidR="0087724B" w:rsidRPr="009179E5" w:rsidRDefault="0087724B" w:rsidP="00EA42C0">
            <w:pPr>
              <w:pStyle w:val="Caption"/>
              <w:spacing w:after="0" w:line="240" w:lineRule="auto"/>
              <w:jc w:val="both"/>
              <w:rPr>
                <w:rFonts w:ascii="Times New Roman" w:hAnsi="Times New Roman"/>
                <w:b w:val="0"/>
                <w:sz w:val="22"/>
                <w:szCs w:val="22"/>
                <w:lang w:val="lv-LV"/>
              </w:rPr>
            </w:pPr>
            <w:r w:rsidRPr="009179E5">
              <w:rPr>
                <w:rFonts w:ascii="Times New Roman" w:hAnsi="Times New Roman"/>
                <w:b w:val="0"/>
                <w:sz w:val="22"/>
                <w:szCs w:val="22"/>
                <w:lang w:val="lv-LV"/>
              </w:rPr>
              <w:t>Siltumenerģijas lietotāji, pašvaldības, komersanti</w:t>
            </w:r>
          </w:p>
        </w:tc>
        <w:tc>
          <w:tcPr>
            <w:tcW w:w="1741" w:type="dxa"/>
          </w:tcPr>
          <w:p w:rsidR="0087724B" w:rsidRPr="009179E5" w:rsidRDefault="0087724B" w:rsidP="00FB2850">
            <w:pPr>
              <w:pStyle w:val="Caption"/>
              <w:spacing w:after="0" w:line="240" w:lineRule="auto"/>
              <w:jc w:val="both"/>
              <w:rPr>
                <w:rFonts w:ascii="Times New Roman" w:hAnsi="Times New Roman"/>
                <w:b w:val="0"/>
                <w:sz w:val="22"/>
                <w:szCs w:val="22"/>
                <w:lang w:val="lv-LV"/>
              </w:rPr>
            </w:pPr>
            <w:r w:rsidRPr="009179E5">
              <w:rPr>
                <w:rFonts w:ascii="Times New Roman" w:hAnsi="Times New Roman"/>
                <w:b w:val="0"/>
                <w:sz w:val="22"/>
                <w:szCs w:val="22"/>
                <w:lang w:val="lv-LV"/>
              </w:rPr>
              <w:t>12</w:t>
            </w:r>
            <w:r w:rsidR="004A2F06" w:rsidRPr="009179E5">
              <w:rPr>
                <w:rFonts w:ascii="Times New Roman" w:hAnsi="Times New Roman"/>
                <w:b w:val="0"/>
                <w:sz w:val="22"/>
                <w:szCs w:val="22"/>
                <w:lang w:val="lv-LV"/>
              </w:rPr>
              <w:t>.</w:t>
            </w:r>
            <w:r w:rsidRPr="009179E5">
              <w:rPr>
                <w:rFonts w:ascii="Times New Roman" w:hAnsi="Times New Roman"/>
                <w:b w:val="0"/>
                <w:sz w:val="22"/>
                <w:szCs w:val="22"/>
                <w:lang w:val="lv-LV"/>
              </w:rPr>
              <w:t>03</w:t>
            </w:r>
            <w:r w:rsidR="004A2F06" w:rsidRPr="009179E5">
              <w:rPr>
                <w:rFonts w:ascii="Times New Roman" w:hAnsi="Times New Roman"/>
                <w:b w:val="0"/>
                <w:sz w:val="22"/>
                <w:szCs w:val="22"/>
                <w:lang w:val="lv-LV"/>
              </w:rPr>
              <w:t>.20</w:t>
            </w:r>
            <w:r w:rsidRPr="009179E5">
              <w:rPr>
                <w:rFonts w:ascii="Times New Roman" w:hAnsi="Times New Roman"/>
                <w:b w:val="0"/>
                <w:sz w:val="22"/>
                <w:szCs w:val="22"/>
                <w:lang w:val="lv-LV"/>
              </w:rPr>
              <w:t>09</w:t>
            </w:r>
            <w:r w:rsidR="004A2F06" w:rsidRPr="009179E5">
              <w:rPr>
                <w:rFonts w:ascii="Times New Roman" w:hAnsi="Times New Roman"/>
                <w:b w:val="0"/>
                <w:sz w:val="22"/>
                <w:szCs w:val="22"/>
                <w:lang w:val="lv-LV"/>
              </w:rPr>
              <w:t>.</w:t>
            </w:r>
            <w:r w:rsidRPr="009179E5">
              <w:rPr>
                <w:rFonts w:ascii="Times New Roman" w:hAnsi="Times New Roman"/>
                <w:b w:val="0"/>
                <w:sz w:val="22"/>
                <w:szCs w:val="22"/>
                <w:lang w:val="lv-LV"/>
              </w:rPr>
              <w:t xml:space="preserve"> līdz 31</w:t>
            </w:r>
            <w:r w:rsidR="00FB2850" w:rsidRPr="009179E5">
              <w:rPr>
                <w:rFonts w:ascii="Times New Roman" w:hAnsi="Times New Roman"/>
                <w:b w:val="0"/>
                <w:sz w:val="22"/>
                <w:szCs w:val="22"/>
                <w:lang w:val="lv-LV"/>
              </w:rPr>
              <w:t>.</w:t>
            </w:r>
            <w:r w:rsidRPr="009179E5">
              <w:rPr>
                <w:rFonts w:ascii="Times New Roman" w:hAnsi="Times New Roman"/>
                <w:b w:val="0"/>
                <w:sz w:val="22"/>
                <w:szCs w:val="22"/>
                <w:lang w:val="lv-LV"/>
              </w:rPr>
              <w:t>12</w:t>
            </w:r>
            <w:r w:rsidR="00FB2850" w:rsidRPr="009179E5">
              <w:rPr>
                <w:rFonts w:ascii="Times New Roman" w:hAnsi="Times New Roman"/>
                <w:b w:val="0"/>
                <w:sz w:val="22"/>
                <w:szCs w:val="22"/>
                <w:lang w:val="lv-LV"/>
              </w:rPr>
              <w:t>.20</w:t>
            </w:r>
            <w:r w:rsidRPr="009179E5">
              <w:rPr>
                <w:rFonts w:ascii="Times New Roman" w:hAnsi="Times New Roman"/>
                <w:b w:val="0"/>
                <w:sz w:val="22"/>
                <w:szCs w:val="22"/>
                <w:lang w:val="lv-LV"/>
              </w:rPr>
              <w:t>13</w:t>
            </w:r>
            <w:r w:rsidR="00FB2850" w:rsidRPr="009179E5">
              <w:rPr>
                <w:rFonts w:ascii="Times New Roman" w:hAnsi="Times New Roman"/>
                <w:b w:val="0"/>
                <w:sz w:val="22"/>
                <w:szCs w:val="22"/>
                <w:lang w:val="lv-LV"/>
              </w:rPr>
              <w:t>.</w:t>
            </w:r>
          </w:p>
        </w:tc>
      </w:tr>
      <w:tr w:rsidR="0087724B" w:rsidRPr="009179E5" w:rsidTr="001A7231">
        <w:trPr>
          <w:jc w:val="center"/>
        </w:trPr>
        <w:tc>
          <w:tcPr>
            <w:tcW w:w="595" w:type="dxa"/>
          </w:tcPr>
          <w:p w:rsidR="0087724B" w:rsidRPr="009179E5" w:rsidRDefault="0087724B" w:rsidP="00EA42C0">
            <w:pPr>
              <w:pStyle w:val="Caption"/>
              <w:spacing w:after="0" w:line="240" w:lineRule="auto"/>
              <w:jc w:val="both"/>
              <w:rPr>
                <w:rFonts w:ascii="Times New Roman" w:hAnsi="Times New Roman"/>
                <w:b w:val="0"/>
                <w:sz w:val="22"/>
                <w:szCs w:val="22"/>
                <w:lang w:val="lv-LV"/>
              </w:rPr>
            </w:pPr>
            <w:r w:rsidRPr="009179E5">
              <w:rPr>
                <w:rFonts w:ascii="Times New Roman" w:hAnsi="Times New Roman"/>
                <w:b w:val="0"/>
                <w:sz w:val="22"/>
                <w:szCs w:val="22"/>
                <w:lang w:val="lv-LV"/>
              </w:rPr>
              <w:t>CS.</w:t>
            </w:r>
            <w:r w:rsidR="00EA42C0" w:rsidRPr="009179E5">
              <w:rPr>
                <w:rFonts w:ascii="Times New Roman" w:hAnsi="Times New Roman"/>
                <w:b w:val="0"/>
                <w:sz w:val="22"/>
                <w:szCs w:val="22"/>
                <w:lang w:val="lv-LV"/>
              </w:rPr>
              <w:t>5.</w:t>
            </w:r>
            <w:r w:rsidRPr="009179E5">
              <w:rPr>
                <w:rFonts w:ascii="Times New Roman" w:hAnsi="Times New Roman"/>
                <w:b w:val="0"/>
                <w:sz w:val="22"/>
                <w:szCs w:val="22"/>
                <w:lang w:val="lv-LV"/>
              </w:rPr>
              <w:t>2.</w:t>
            </w:r>
          </w:p>
        </w:tc>
        <w:tc>
          <w:tcPr>
            <w:tcW w:w="4439" w:type="dxa"/>
          </w:tcPr>
          <w:p w:rsidR="0087724B" w:rsidRPr="009179E5" w:rsidRDefault="0087724B" w:rsidP="00EA42C0">
            <w:pPr>
              <w:pStyle w:val="Caption"/>
              <w:spacing w:after="0" w:line="240" w:lineRule="auto"/>
              <w:jc w:val="both"/>
              <w:rPr>
                <w:rFonts w:ascii="Times New Roman" w:hAnsi="Times New Roman"/>
                <w:b w:val="0"/>
                <w:sz w:val="22"/>
                <w:szCs w:val="22"/>
                <w:lang w:val="lv-LV"/>
              </w:rPr>
            </w:pPr>
            <w:r w:rsidRPr="009179E5">
              <w:rPr>
                <w:rFonts w:ascii="Times New Roman" w:hAnsi="Times New Roman"/>
                <w:b w:val="0"/>
                <w:sz w:val="22"/>
                <w:szCs w:val="22"/>
                <w:lang w:val="lv-LV"/>
              </w:rPr>
              <w:t>Jaudīgu siltumsūkņu uzstādīšana Rīgas pilsētas siltumapgādes uzlabošanai (REA)</w:t>
            </w:r>
          </w:p>
        </w:tc>
        <w:tc>
          <w:tcPr>
            <w:tcW w:w="2126" w:type="dxa"/>
          </w:tcPr>
          <w:p w:rsidR="0087724B" w:rsidRPr="009179E5" w:rsidRDefault="0087724B" w:rsidP="00EA42C0">
            <w:pPr>
              <w:pStyle w:val="Caption"/>
              <w:spacing w:after="0" w:line="240" w:lineRule="auto"/>
              <w:jc w:val="both"/>
              <w:rPr>
                <w:rFonts w:ascii="Times New Roman" w:hAnsi="Times New Roman"/>
                <w:b w:val="0"/>
                <w:sz w:val="22"/>
                <w:szCs w:val="22"/>
                <w:lang w:val="lv-LV"/>
              </w:rPr>
            </w:pPr>
            <w:r w:rsidRPr="009179E5">
              <w:rPr>
                <w:rFonts w:ascii="Times New Roman" w:hAnsi="Times New Roman"/>
                <w:b w:val="0"/>
                <w:sz w:val="22"/>
                <w:szCs w:val="22"/>
                <w:lang w:val="lv-LV"/>
              </w:rPr>
              <w:t>Pašvaldība, siltumapgādes uzņēmums</w:t>
            </w:r>
          </w:p>
        </w:tc>
        <w:tc>
          <w:tcPr>
            <w:tcW w:w="1741" w:type="dxa"/>
          </w:tcPr>
          <w:p w:rsidR="0087724B" w:rsidRPr="009179E5" w:rsidRDefault="0087724B" w:rsidP="00EA42C0">
            <w:pPr>
              <w:pStyle w:val="Caption"/>
              <w:spacing w:after="0" w:line="240" w:lineRule="auto"/>
              <w:jc w:val="both"/>
              <w:rPr>
                <w:rFonts w:ascii="Times New Roman" w:hAnsi="Times New Roman"/>
                <w:b w:val="0"/>
                <w:sz w:val="22"/>
                <w:szCs w:val="22"/>
                <w:lang w:val="lv-LV"/>
              </w:rPr>
            </w:pPr>
            <w:r w:rsidRPr="009179E5">
              <w:rPr>
                <w:rFonts w:ascii="Times New Roman" w:hAnsi="Times New Roman"/>
                <w:b w:val="0"/>
                <w:sz w:val="22"/>
                <w:szCs w:val="22"/>
                <w:lang w:val="lv-LV"/>
              </w:rPr>
              <w:t>2010.gads</w:t>
            </w:r>
          </w:p>
        </w:tc>
      </w:tr>
    </w:tbl>
    <w:p w:rsidR="001A7231" w:rsidRPr="009179E5" w:rsidRDefault="001A7231" w:rsidP="005C1F0F">
      <w:pPr>
        <w:pStyle w:val="Caption"/>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lastRenderedPageBreak/>
        <w:t>2</w:t>
      </w:r>
      <w:r w:rsidR="001874C2" w:rsidRPr="009179E5">
        <w:rPr>
          <w:rFonts w:ascii="Times New Roman" w:hAnsi="Times New Roman"/>
          <w:sz w:val="24"/>
          <w:szCs w:val="24"/>
          <w:lang w:val="lv-LV"/>
        </w:rPr>
        <w:t>4</w:t>
      </w:r>
      <w:r w:rsidRPr="009179E5">
        <w:rPr>
          <w:rFonts w:ascii="Times New Roman" w:hAnsi="Times New Roman"/>
          <w:sz w:val="24"/>
          <w:szCs w:val="24"/>
          <w:lang w:val="lv-LV"/>
        </w:rPr>
        <w:t>.tabula</w:t>
      </w:r>
    </w:p>
    <w:p w:rsidR="0072652C" w:rsidRPr="009179E5" w:rsidRDefault="001A7231" w:rsidP="005C1F0F">
      <w:pPr>
        <w:pStyle w:val="Caption"/>
        <w:spacing w:after="0" w:line="240" w:lineRule="auto"/>
        <w:jc w:val="center"/>
        <w:rPr>
          <w:b w:val="0"/>
          <w:lang w:val="lv-LV"/>
        </w:rPr>
      </w:pPr>
      <w:r w:rsidRPr="009179E5">
        <w:rPr>
          <w:rFonts w:ascii="Times New Roman" w:hAnsi="Times New Roman"/>
          <w:sz w:val="24"/>
          <w:szCs w:val="24"/>
          <w:lang w:val="lv-LV"/>
        </w:rPr>
        <w:t>Pasākuma Nr.</w:t>
      </w:r>
      <w:r w:rsidR="0072652C" w:rsidRPr="009179E5">
        <w:rPr>
          <w:rFonts w:ascii="Times New Roman" w:hAnsi="Times New Roman"/>
          <w:sz w:val="24"/>
          <w:szCs w:val="24"/>
          <w:lang w:val="lv-LV"/>
        </w:rPr>
        <w:t>CS.</w:t>
      </w:r>
      <w:r w:rsidR="005C1F0F" w:rsidRPr="009179E5">
        <w:rPr>
          <w:rFonts w:ascii="Times New Roman" w:hAnsi="Times New Roman"/>
          <w:sz w:val="24"/>
          <w:szCs w:val="24"/>
          <w:lang w:val="lv-LV"/>
        </w:rPr>
        <w:t>5.</w:t>
      </w:r>
      <w:r w:rsidR="0072652C" w:rsidRPr="009179E5">
        <w:rPr>
          <w:rFonts w:ascii="Times New Roman" w:hAnsi="Times New Roman"/>
          <w:sz w:val="24"/>
          <w:szCs w:val="24"/>
          <w:lang w:val="lv-LV"/>
        </w:rPr>
        <w:t>1.</w:t>
      </w:r>
      <w:r w:rsidRPr="009179E5">
        <w:rPr>
          <w:rFonts w:ascii="Times New Roman" w:hAnsi="Times New Roman"/>
          <w:sz w:val="24"/>
          <w:szCs w:val="24"/>
          <w:lang w:val="lv-LV"/>
        </w:rPr>
        <w:t xml:space="preserve"> „</w:t>
      </w:r>
      <w:r w:rsidR="0072652C" w:rsidRPr="009179E5">
        <w:rPr>
          <w:rFonts w:ascii="Times New Roman" w:hAnsi="Times New Roman"/>
          <w:sz w:val="24"/>
          <w:szCs w:val="24"/>
          <w:lang w:val="lv-LV"/>
        </w:rPr>
        <w:t>Pasākumi centralizētās siltumapgādes sistēmu efektivitātes paaugstināšanai</w:t>
      </w:r>
      <w:r w:rsidRPr="009179E5">
        <w:rPr>
          <w:rFonts w:ascii="Times New Roman" w:hAnsi="Times New Roman"/>
          <w:sz w:val="24"/>
          <w:szCs w:val="24"/>
          <w:lang w:val="lv-LV"/>
        </w:rPr>
        <w:t>” apraksts</w:t>
      </w:r>
    </w:p>
    <w:tbl>
      <w:tblPr>
        <w:tblW w:w="916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2722"/>
        <w:gridCol w:w="5271"/>
      </w:tblGrid>
      <w:tr w:rsidR="0072652C" w:rsidRPr="009179E5" w:rsidTr="00E3081B">
        <w:trPr>
          <w:trHeight w:val="480"/>
        </w:trPr>
        <w:tc>
          <w:tcPr>
            <w:tcW w:w="3898" w:type="dxa"/>
            <w:gridSpan w:val="2"/>
          </w:tcPr>
          <w:p w:rsidR="0072652C" w:rsidRPr="009179E5" w:rsidRDefault="0072652C" w:rsidP="004A2F06">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lang w:val="lv-LV"/>
              </w:rPr>
              <w:t>Enerģijas ietaupījumu sasniegšanas pasākuma nosaukums</w:t>
            </w:r>
          </w:p>
        </w:tc>
        <w:tc>
          <w:tcPr>
            <w:tcW w:w="5271" w:type="dxa"/>
          </w:tcPr>
          <w:p w:rsidR="0072652C" w:rsidRPr="009179E5" w:rsidRDefault="0072652C" w:rsidP="004A2F06">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bCs/>
                <w:sz w:val="20"/>
                <w:lang w:val="lv-LV"/>
              </w:rPr>
              <w:t>Pasākumi centralizētās siltumapgādes sistēmu efektivitātes paaugstināšanai</w:t>
            </w:r>
          </w:p>
        </w:tc>
      </w:tr>
      <w:tr w:rsidR="0072652C" w:rsidRPr="009179E5" w:rsidTr="00E3081B">
        <w:trPr>
          <w:trHeight w:val="357"/>
        </w:trPr>
        <w:tc>
          <w:tcPr>
            <w:tcW w:w="3898" w:type="dxa"/>
            <w:gridSpan w:val="2"/>
          </w:tcPr>
          <w:p w:rsidR="0072652C" w:rsidRPr="009179E5" w:rsidRDefault="0072652C" w:rsidP="004A2F06">
            <w:pPr>
              <w:pStyle w:val="Tabletext"/>
              <w:tabs>
                <w:tab w:val="left" w:pos="1440"/>
                <w:tab w:val="left" w:pos="5040"/>
              </w:tabs>
              <w:spacing w:before="0" w:after="0" w:line="240" w:lineRule="auto"/>
              <w:rPr>
                <w:rFonts w:ascii="Times New Roman" w:hAnsi="Times New Roman"/>
                <w:i/>
                <w:lang w:val="lv-LV"/>
              </w:rPr>
            </w:pPr>
            <w:r w:rsidRPr="009179E5">
              <w:rPr>
                <w:rFonts w:ascii="Times New Roman" w:hAnsi="Times New Roman"/>
                <w:i/>
                <w:lang w:val="lv-LV"/>
              </w:rPr>
              <w:t>Pasākuma nr.</w:t>
            </w:r>
          </w:p>
        </w:tc>
        <w:tc>
          <w:tcPr>
            <w:tcW w:w="5271" w:type="dxa"/>
          </w:tcPr>
          <w:p w:rsidR="0072652C" w:rsidRPr="009179E5" w:rsidRDefault="0072652C" w:rsidP="004A2F06">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CS.</w:t>
            </w:r>
            <w:r w:rsidR="00536D18" w:rsidRPr="009179E5">
              <w:rPr>
                <w:rFonts w:ascii="Times New Roman" w:hAnsi="Times New Roman"/>
                <w:b/>
                <w:szCs w:val="18"/>
                <w:lang w:val="lv-LV"/>
              </w:rPr>
              <w:t>5.</w:t>
            </w:r>
            <w:r w:rsidRPr="009179E5">
              <w:rPr>
                <w:rFonts w:ascii="Times New Roman" w:hAnsi="Times New Roman"/>
                <w:b/>
                <w:szCs w:val="18"/>
                <w:lang w:val="lv-LV"/>
              </w:rPr>
              <w:t>1.</w:t>
            </w:r>
          </w:p>
        </w:tc>
      </w:tr>
      <w:tr w:rsidR="0072652C" w:rsidRPr="009179E5" w:rsidTr="00E3081B">
        <w:trPr>
          <w:trHeight w:val="277"/>
        </w:trPr>
        <w:tc>
          <w:tcPr>
            <w:tcW w:w="1176" w:type="dxa"/>
            <w:vMerge w:val="restart"/>
          </w:tcPr>
          <w:p w:rsidR="0072652C" w:rsidRPr="009179E5" w:rsidRDefault="0072652C" w:rsidP="004A2F06">
            <w:pPr>
              <w:pStyle w:val="Tabletext"/>
              <w:tabs>
                <w:tab w:val="left" w:pos="1440"/>
                <w:tab w:val="left" w:pos="5040"/>
              </w:tabs>
              <w:spacing w:before="0" w:after="0" w:line="240" w:lineRule="auto"/>
              <w:jc w:val="left"/>
              <w:rPr>
                <w:rFonts w:ascii="Times New Roman" w:hAnsi="Times New Roman"/>
                <w:szCs w:val="18"/>
                <w:lang w:val="lv-LV"/>
              </w:rPr>
            </w:pPr>
          </w:p>
          <w:p w:rsidR="0072652C" w:rsidRPr="009179E5" w:rsidRDefault="0072652C" w:rsidP="004A2F06">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Apraksts</w:t>
            </w:r>
          </w:p>
        </w:tc>
        <w:tc>
          <w:tcPr>
            <w:tcW w:w="2722" w:type="dxa"/>
          </w:tcPr>
          <w:p w:rsidR="0072652C" w:rsidRPr="009179E5" w:rsidRDefault="0072652C" w:rsidP="004A2F06">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Kategorija</w:t>
            </w:r>
          </w:p>
        </w:tc>
        <w:tc>
          <w:tcPr>
            <w:tcW w:w="5271" w:type="dxa"/>
          </w:tcPr>
          <w:p w:rsidR="0072652C" w:rsidRPr="009179E5" w:rsidRDefault="0072652C" w:rsidP="004A2F06">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Finanšu instruments (KF)</w:t>
            </w:r>
          </w:p>
        </w:tc>
      </w:tr>
      <w:tr w:rsidR="0072652C" w:rsidRPr="009179E5" w:rsidTr="00E3081B">
        <w:trPr>
          <w:trHeight w:val="476"/>
        </w:trPr>
        <w:tc>
          <w:tcPr>
            <w:tcW w:w="1176" w:type="dxa"/>
            <w:vMerge/>
          </w:tcPr>
          <w:p w:rsidR="0072652C" w:rsidRPr="009179E5" w:rsidRDefault="0072652C" w:rsidP="004A2F06">
            <w:pPr>
              <w:pStyle w:val="Tabletext"/>
              <w:tabs>
                <w:tab w:val="left" w:pos="1440"/>
                <w:tab w:val="left" w:pos="5040"/>
              </w:tabs>
              <w:spacing w:before="0" w:after="0" w:line="240" w:lineRule="auto"/>
              <w:jc w:val="left"/>
              <w:rPr>
                <w:rFonts w:ascii="Times New Roman" w:hAnsi="Times New Roman"/>
                <w:szCs w:val="18"/>
                <w:lang w:val="lv-LV"/>
              </w:rPr>
            </w:pPr>
          </w:p>
        </w:tc>
        <w:tc>
          <w:tcPr>
            <w:tcW w:w="2722" w:type="dxa"/>
          </w:tcPr>
          <w:p w:rsidR="0072652C" w:rsidRPr="009179E5" w:rsidRDefault="0072652C" w:rsidP="004A2F06">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Īstenošanas laika grafiks</w:t>
            </w:r>
          </w:p>
        </w:tc>
        <w:tc>
          <w:tcPr>
            <w:tcW w:w="527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
              <w:gridCol w:w="1701"/>
              <w:gridCol w:w="1944"/>
            </w:tblGrid>
            <w:tr w:rsidR="0072652C" w:rsidRPr="009179E5" w:rsidTr="001C33A4">
              <w:tc>
                <w:tcPr>
                  <w:tcW w:w="1021" w:type="dxa"/>
                </w:tcPr>
                <w:p w:rsidR="0072652C" w:rsidRPr="009179E5" w:rsidRDefault="0072652C" w:rsidP="004A2F06">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Kārta </w:t>
                  </w:r>
                </w:p>
              </w:tc>
              <w:tc>
                <w:tcPr>
                  <w:tcW w:w="1701" w:type="dxa"/>
                </w:tcPr>
                <w:p w:rsidR="0072652C" w:rsidRPr="009179E5" w:rsidRDefault="0072652C" w:rsidP="004A2F06">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Sākums </w:t>
                  </w:r>
                </w:p>
              </w:tc>
              <w:tc>
                <w:tcPr>
                  <w:tcW w:w="1944" w:type="dxa"/>
                </w:tcPr>
                <w:p w:rsidR="0072652C" w:rsidRPr="009179E5" w:rsidRDefault="0072652C" w:rsidP="004A2F06">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Beigas </w:t>
                  </w:r>
                </w:p>
              </w:tc>
            </w:tr>
            <w:tr w:rsidR="0072652C" w:rsidRPr="009179E5" w:rsidTr="001C33A4">
              <w:tc>
                <w:tcPr>
                  <w:tcW w:w="1021" w:type="dxa"/>
                </w:tcPr>
                <w:p w:rsidR="0072652C" w:rsidRPr="009179E5" w:rsidRDefault="0072652C" w:rsidP="004A2F06">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1.</w:t>
                  </w:r>
                </w:p>
              </w:tc>
              <w:tc>
                <w:tcPr>
                  <w:tcW w:w="1701" w:type="dxa"/>
                </w:tcPr>
                <w:p w:rsidR="0072652C" w:rsidRPr="009179E5" w:rsidRDefault="0072652C" w:rsidP="00465089">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14</w:t>
                  </w:r>
                  <w:r w:rsidR="00465089" w:rsidRPr="009179E5">
                    <w:rPr>
                      <w:rFonts w:ascii="Times New Roman" w:hAnsi="Times New Roman"/>
                      <w:b/>
                      <w:szCs w:val="18"/>
                      <w:lang w:val="lv-LV"/>
                    </w:rPr>
                    <w:t>.</w:t>
                  </w:r>
                  <w:r w:rsidRPr="009179E5">
                    <w:rPr>
                      <w:rFonts w:ascii="Times New Roman" w:hAnsi="Times New Roman"/>
                      <w:b/>
                      <w:szCs w:val="18"/>
                      <w:lang w:val="lv-LV"/>
                    </w:rPr>
                    <w:t>04</w:t>
                  </w:r>
                  <w:r w:rsidR="00465089" w:rsidRPr="009179E5">
                    <w:rPr>
                      <w:rFonts w:ascii="Times New Roman" w:hAnsi="Times New Roman"/>
                      <w:b/>
                      <w:szCs w:val="18"/>
                      <w:lang w:val="lv-LV"/>
                    </w:rPr>
                    <w:t>.</w:t>
                  </w:r>
                  <w:r w:rsidRPr="009179E5">
                    <w:rPr>
                      <w:rFonts w:ascii="Times New Roman" w:hAnsi="Times New Roman"/>
                      <w:b/>
                      <w:szCs w:val="18"/>
                      <w:lang w:val="lv-LV"/>
                    </w:rPr>
                    <w:t>2009</w:t>
                  </w:r>
                  <w:r w:rsidR="00465089" w:rsidRPr="009179E5">
                    <w:rPr>
                      <w:rFonts w:ascii="Times New Roman" w:hAnsi="Times New Roman"/>
                      <w:b/>
                      <w:szCs w:val="18"/>
                      <w:lang w:val="lv-LV"/>
                    </w:rPr>
                    <w:t>.</w:t>
                  </w:r>
                </w:p>
              </w:tc>
              <w:tc>
                <w:tcPr>
                  <w:tcW w:w="1944" w:type="dxa"/>
                </w:tcPr>
                <w:p w:rsidR="0072652C" w:rsidRPr="009179E5" w:rsidRDefault="0072652C" w:rsidP="00465089">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26</w:t>
                  </w:r>
                  <w:r w:rsidR="00465089" w:rsidRPr="009179E5">
                    <w:rPr>
                      <w:rFonts w:ascii="Times New Roman" w:hAnsi="Times New Roman"/>
                      <w:b/>
                      <w:szCs w:val="18"/>
                      <w:lang w:val="lv-LV"/>
                    </w:rPr>
                    <w:t>.</w:t>
                  </w:r>
                  <w:r w:rsidRPr="009179E5">
                    <w:rPr>
                      <w:rFonts w:ascii="Times New Roman" w:hAnsi="Times New Roman"/>
                      <w:b/>
                      <w:szCs w:val="18"/>
                      <w:lang w:val="lv-LV"/>
                    </w:rPr>
                    <w:t>05</w:t>
                  </w:r>
                  <w:r w:rsidR="00465089" w:rsidRPr="009179E5">
                    <w:rPr>
                      <w:rFonts w:ascii="Times New Roman" w:hAnsi="Times New Roman"/>
                      <w:b/>
                      <w:szCs w:val="18"/>
                      <w:lang w:val="lv-LV"/>
                    </w:rPr>
                    <w:t>.</w:t>
                  </w:r>
                  <w:r w:rsidRPr="009179E5">
                    <w:rPr>
                      <w:rFonts w:ascii="Times New Roman" w:hAnsi="Times New Roman"/>
                      <w:b/>
                      <w:szCs w:val="18"/>
                      <w:lang w:val="lv-LV"/>
                    </w:rPr>
                    <w:t>2009</w:t>
                  </w:r>
                  <w:r w:rsidR="00465089" w:rsidRPr="009179E5">
                    <w:rPr>
                      <w:rFonts w:ascii="Times New Roman" w:hAnsi="Times New Roman"/>
                      <w:b/>
                      <w:szCs w:val="18"/>
                      <w:lang w:val="lv-LV"/>
                    </w:rPr>
                    <w:t>.</w:t>
                  </w:r>
                </w:p>
              </w:tc>
            </w:tr>
            <w:tr w:rsidR="0072652C" w:rsidRPr="009179E5" w:rsidTr="001C33A4">
              <w:tc>
                <w:tcPr>
                  <w:tcW w:w="1021" w:type="dxa"/>
                </w:tcPr>
                <w:p w:rsidR="0072652C" w:rsidRPr="009179E5" w:rsidRDefault="0072652C" w:rsidP="004A2F06">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2.</w:t>
                  </w:r>
                </w:p>
              </w:tc>
              <w:tc>
                <w:tcPr>
                  <w:tcW w:w="1701" w:type="dxa"/>
                </w:tcPr>
                <w:p w:rsidR="0072652C" w:rsidRPr="009179E5" w:rsidRDefault="00465089" w:rsidP="00465089">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25.10.</w:t>
                  </w:r>
                  <w:r w:rsidR="0072652C" w:rsidRPr="009179E5">
                    <w:rPr>
                      <w:rFonts w:ascii="Times New Roman" w:hAnsi="Times New Roman"/>
                      <w:b/>
                      <w:szCs w:val="18"/>
                      <w:lang w:val="lv-LV"/>
                    </w:rPr>
                    <w:t>2010</w:t>
                  </w:r>
                  <w:r w:rsidRPr="009179E5">
                    <w:rPr>
                      <w:rFonts w:ascii="Times New Roman" w:hAnsi="Times New Roman"/>
                      <w:b/>
                      <w:szCs w:val="18"/>
                      <w:lang w:val="lv-LV"/>
                    </w:rPr>
                    <w:t>.</w:t>
                  </w:r>
                </w:p>
              </w:tc>
              <w:tc>
                <w:tcPr>
                  <w:tcW w:w="1944" w:type="dxa"/>
                </w:tcPr>
                <w:p w:rsidR="0072652C" w:rsidRPr="009179E5" w:rsidRDefault="00465089" w:rsidP="004A2F06">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01.12.</w:t>
                  </w:r>
                  <w:r w:rsidR="0072652C" w:rsidRPr="009179E5">
                    <w:rPr>
                      <w:rFonts w:ascii="Times New Roman" w:hAnsi="Times New Roman"/>
                      <w:b/>
                      <w:szCs w:val="18"/>
                      <w:lang w:val="lv-LV"/>
                    </w:rPr>
                    <w:t>2010</w:t>
                  </w:r>
                  <w:r w:rsidRPr="009179E5">
                    <w:rPr>
                      <w:rFonts w:ascii="Times New Roman" w:hAnsi="Times New Roman"/>
                      <w:b/>
                      <w:szCs w:val="18"/>
                      <w:lang w:val="lv-LV"/>
                    </w:rPr>
                    <w:t>.</w:t>
                  </w:r>
                </w:p>
              </w:tc>
            </w:tr>
          </w:tbl>
          <w:p w:rsidR="0072652C" w:rsidRPr="009179E5" w:rsidRDefault="0072652C" w:rsidP="004A2F06">
            <w:pPr>
              <w:pStyle w:val="Tabletext"/>
              <w:tabs>
                <w:tab w:val="left" w:pos="1440"/>
                <w:tab w:val="left" w:pos="5040"/>
              </w:tabs>
              <w:spacing w:before="0" w:after="0" w:line="240" w:lineRule="auto"/>
              <w:rPr>
                <w:rFonts w:ascii="Times New Roman" w:hAnsi="Times New Roman"/>
                <w:b/>
                <w:szCs w:val="18"/>
                <w:lang w:val="lv-LV"/>
              </w:rPr>
            </w:pPr>
          </w:p>
          <w:p w:rsidR="0072652C" w:rsidRPr="009179E5" w:rsidRDefault="0072652C" w:rsidP="004A2F06">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Plānotās izmaiņas, uzlabojumi:</w:t>
            </w:r>
          </w:p>
          <w:p w:rsidR="0072652C" w:rsidRPr="009179E5" w:rsidRDefault="0072652C" w:rsidP="004A2F06">
            <w:pPr>
              <w:pStyle w:val="ListParagraph"/>
              <w:spacing w:after="0" w:line="240" w:lineRule="auto"/>
              <w:ind w:left="0"/>
              <w:jc w:val="both"/>
              <w:rPr>
                <w:rFonts w:ascii="Times New Roman" w:hAnsi="Times New Roman"/>
                <w:b/>
                <w:szCs w:val="18"/>
                <w:lang w:val="lv-LV"/>
              </w:rPr>
            </w:pPr>
            <w:r w:rsidRPr="009179E5">
              <w:rPr>
                <w:rFonts w:ascii="Times New Roman" w:hAnsi="Times New Roman"/>
                <w:b/>
                <w:sz w:val="18"/>
                <w:szCs w:val="18"/>
                <w:lang w:val="lv-LV" w:eastAsia="de-DE"/>
              </w:rPr>
              <w:t>Darbības programmas „Infrastruktūra un pakalpojumi” papildinājuma 3.5.2.1.aktivitātē „Pasākumi centralizētās siltumapgādes sistēmu efektivitātes paaugstināšanai” ir plānots izveidot divas apakšaktivitātes, vienā no tām sniedzot atbalstu siltumapgādes uzņēmumiem, otrā – autonomiem ražotājiem</w:t>
            </w:r>
          </w:p>
        </w:tc>
      </w:tr>
      <w:tr w:rsidR="0072652C" w:rsidRPr="009179E5" w:rsidTr="00E3081B">
        <w:trPr>
          <w:trHeight w:val="476"/>
        </w:trPr>
        <w:tc>
          <w:tcPr>
            <w:tcW w:w="1176" w:type="dxa"/>
            <w:vMerge/>
          </w:tcPr>
          <w:p w:rsidR="0072652C" w:rsidRPr="009179E5" w:rsidRDefault="0072652C" w:rsidP="004A2F06">
            <w:pPr>
              <w:pStyle w:val="Tabletext"/>
              <w:tabs>
                <w:tab w:val="left" w:pos="1440"/>
                <w:tab w:val="left" w:pos="5040"/>
              </w:tabs>
              <w:spacing w:before="0" w:after="0" w:line="240" w:lineRule="auto"/>
              <w:jc w:val="left"/>
              <w:rPr>
                <w:rFonts w:ascii="Times New Roman" w:hAnsi="Times New Roman"/>
                <w:szCs w:val="18"/>
                <w:lang w:val="lv-LV"/>
              </w:rPr>
            </w:pPr>
          </w:p>
        </w:tc>
        <w:tc>
          <w:tcPr>
            <w:tcW w:w="2722" w:type="dxa"/>
          </w:tcPr>
          <w:p w:rsidR="0072652C" w:rsidRPr="009179E5" w:rsidRDefault="0072652C" w:rsidP="004A2F06">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Mērķis</w:t>
            </w:r>
          </w:p>
        </w:tc>
        <w:tc>
          <w:tcPr>
            <w:tcW w:w="5271" w:type="dxa"/>
          </w:tcPr>
          <w:p w:rsidR="0072652C" w:rsidRPr="009179E5" w:rsidRDefault="0072652C" w:rsidP="004A2F06">
            <w:pPr>
              <w:pStyle w:val="Default"/>
              <w:jc w:val="both"/>
              <w:rPr>
                <w:b/>
                <w:szCs w:val="18"/>
              </w:rPr>
            </w:pPr>
            <w:r w:rsidRPr="009179E5">
              <w:rPr>
                <w:rFonts w:eastAsia="Times New Roman"/>
                <w:b/>
                <w:color w:val="auto"/>
                <w:sz w:val="18"/>
                <w:szCs w:val="18"/>
                <w:lang w:eastAsia="de-DE"/>
              </w:rPr>
              <w:t xml:space="preserve">Būtiski paaugstināt siltumenerģijas ražošanas efektivitāti, samazināt siltumenerģijas zudumus pārvades un sadales sistēmās un sekmēt fosilo kurināmo veidu aizvietošanu ar atjaunojamajiem vai cita veida kurināmajiem </w:t>
            </w:r>
          </w:p>
        </w:tc>
      </w:tr>
      <w:tr w:rsidR="0072652C" w:rsidRPr="009179E5" w:rsidTr="00E3081B">
        <w:trPr>
          <w:trHeight w:val="476"/>
        </w:trPr>
        <w:tc>
          <w:tcPr>
            <w:tcW w:w="1176" w:type="dxa"/>
            <w:vMerge/>
          </w:tcPr>
          <w:p w:rsidR="0072652C" w:rsidRPr="009179E5" w:rsidRDefault="0072652C" w:rsidP="004A2F06">
            <w:pPr>
              <w:pStyle w:val="Tabletext"/>
              <w:tabs>
                <w:tab w:val="left" w:pos="1440"/>
                <w:tab w:val="left" w:pos="5040"/>
              </w:tabs>
              <w:spacing w:before="0" w:after="0" w:line="240" w:lineRule="auto"/>
              <w:jc w:val="left"/>
              <w:rPr>
                <w:rFonts w:ascii="Times New Roman" w:hAnsi="Times New Roman"/>
                <w:szCs w:val="18"/>
                <w:lang w:val="lv-LV"/>
              </w:rPr>
            </w:pPr>
          </w:p>
        </w:tc>
        <w:tc>
          <w:tcPr>
            <w:tcW w:w="2722" w:type="dxa"/>
          </w:tcPr>
          <w:p w:rsidR="0072652C" w:rsidRPr="009179E5" w:rsidRDefault="0072652C" w:rsidP="004A2F06">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galapatēriņa sektors</w:t>
            </w:r>
          </w:p>
        </w:tc>
        <w:tc>
          <w:tcPr>
            <w:tcW w:w="5271" w:type="dxa"/>
          </w:tcPr>
          <w:p w:rsidR="0072652C" w:rsidRPr="009179E5" w:rsidRDefault="0072652C" w:rsidP="004A2F06">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Siltumavoti, pārvades un sadales sistēmas</w:t>
            </w:r>
          </w:p>
        </w:tc>
      </w:tr>
      <w:tr w:rsidR="0072652C" w:rsidRPr="009179E5" w:rsidTr="00E3081B">
        <w:trPr>
          <w:trHeight w:val="476"/>
        </w:trPr>
        <w:tc>
          <w:tcPr>
            <w:tcW w:w="1176" w:type="dxa"/>
            <w:vMerge/>
          </w:tcPr>
          <w:p w:rsidR="0072652C" w:rsidRPr="009179E5" w:rsidRDefault="0072652C" w:rsidP="004A2F06">
            <w:pPr>
              <w:pStyle w:val="Tabletext"/>
              <w:tabs>
                <w:tab w:val="left" w:pos="1440"/>
                <w:tab w:val="left" w:pos="5040"/>
              </w:tabs>
              <w:spacing w:before="0" w:after="0" w:line="240" w:lineRule="auto"/>
              <w:jc w:val="left"/>
              <w:rPr>
                <w:rFonts w:ascii="Times New Roman" w:hAnsi="Times New Roman"/>
                <w:szCs w:val="18"/>
                <w:lang w:val="lv-LV"/>
              </w:rPr>
            </w:pPr>
          </w:p>
        </w:tc>
        <w:tc>
          <w:tcPr>
            <w:tcW w:w="2722" w:type="dxa"/>
          </w:tcPr>
          <w:p w:rsidR="0072652C" w:rsidRPr="009179E5" w:rsidRDefault="0072652C" w:rsidP="004A2F06">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Mērķauditorija</w:t>
            </w:r>
          </w:p>
        </w:tc>
        <w:tc>
          <w:tcPr>
            <w:tcW w:w="5271" w:type="dxa"/>
          </w:tcPr>
          <w:p w:rsidR="0072652C" w:rsidRPr="009179E5" w:rsidRDefault="0072652C" w:rsidP="004A2F06">
            <w:pPr>
              <w:pStyle w:val="Default"/>
              <w:rPr>
                <w:b/>
                <w:szCs w:val="18"/>
              </w:rPr>
            </w:pPr>
            <w:r w:rsidRPr="009179E5">
              <w:rPr>
                <w:rFonts w:eastAsia="Times New Roman"/>
                <w:b/>
                <w:color w:val="auto"/>
                <w:sz w:val="18"/>
                <w:szCs w:val="18"/>
                <w:lang w:eastAsia="de-DE"/>
              </w:rPr>
              <w:t>Siltumenerģijas lietotāji, pašvaldības, komersanti</w:t>
            </w:r>
          </w:p>
        </w:tc>
      </w:tr>
      <w:tr w:rsidR="0072652C" w:rsidRPr="009179E5" w:rsidTr="00E3081B">
        <w:trPr>
          <w:trHeight w:val="476"/>
        </w:trPr>
        <w:tc>
          <w:tcPr>
            <w:tcW w:w="1176" w:type="dxa"/>
            <w:vMerge/>
          </w:tcPr>
          <w:p w:rsidR="0072652C" w:rsidRPr="009179E5" w:rsidRDefault="0072652C" w:rsidP="004A2F06">
            <w:pPr>
              <w:pStyle w:val="Tabletext"/>
              <w:tabs>
                <w:tab w:val="left" w:pos="1440"/>
                <w:tab w:val="left" w:pos="5040"/>
              </w:tabs>
              <w:spacing w:before="0" w:after="0" w:line="240" w:lineRule="auto"/>
              <w:jc w:val="left"/>
              <w:rPr>
                <w:rFonts w:ascii="Times New Roman" w:hAnsi="Times New Roman"/>
                <w:szCs w:val="18"/>
                <w:lang w:val="lv-LV"/>
              </w:rPr>
            </w:pPr>
          </w:p>
        </w:tc>
        <w:tc>
          <w:tcPr>
            <w:tcW w:w="2722" w:type="dxa"/>
          </w:tcPr>
          <w:p w:rsidR="0072652C" w:rsidRPr="009179E5" w:rsidRDefault="0072652C" w:rsidP="004A2F06">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Pasākuma ieviešanas teritorija</w:t>
            </w:r>
          </w:p>
        </w:tc>
        <w:tc>
          <w:tcPr>
            <w:tcW w:w="5271" w:type="dxa"/>
          </w:tcPr>
          <w:p w:rsidR="0072652C" w:rsidRPr="009179E5" w:rsidRDefault="0072652C" w:rsidP="004A2F06">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Latvijas Republika </w:t>
            </w:r>
          </w:p>
        </w:tc>
      </w:tr>
      <w:tr w:rsidR="0072652C" w:rsidRPr="009179E5" w:rsidTr="00E3081B">
        <w:trPr>
          <w:trHeight w:val="476"/>
        </w:trPr>
        <w:tc>
          <w:tcPr>
            <w:tcW w:w="1176" w:type="dxa"/>
            <w:vMerge w:val="restart"/>
          </w:tcPr>
          <w:p w:rsidR="0072652C" w:rsidRPr="009179E5" w:rsidRDefault="0072652C" w:rsidP="004A2F06">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Informācija un ieviešana</w:t>
            </w:r>
          </w:p>
        </w:tc>
        <w:tc>
          <w:tcPr>
            <w:tcW w:w="2722" w:type="dxa"/>
          </w:tcPr>
          <w:p w:rsidR="0072652C" w:rsidRPr="009179E5" w:rsidRDefault="0072652C" w:rsidP="004A2F06">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Enerģijas ietaupījumu sasniegšanas pasākumu saraksts un pasākuma pamatapraksts</w:t>
            </w:r>
          </w:p>
        </w:tc>
        <w:tc>
          <w:tcPr>
            <w:tcW w:w="5271" w:type="dxa"/>
          </w:tcPr>
          <w:p w:rsidR="0072652C" w:rsidRPr="009179E5" w:rsidRDefault="0072652C" w:rsidP="004A2F06">
            <w:pPr>
              <w:pStyle w:val="Default"/>
              <w:rPr>
                <w:rFonts w:eastAsia="Times New Roman"/>
                <w:b/>
                <w:color w:val="auto"/>
                <w:sz w:val="18"/>
                <w:szCs w:val="18"/>
                <w:lang w:eastAsia="de-DE"/>
              </w:rPr>
            </w:pPr>
            <w:r w:rsidRPr="009179E5">
              <w:rPr>
                <w:rFonts w:eastAsia="Times New Roman"/>
                <w:b/>
                <w:color w:val="auto"/>
                <w:sz w:val="18"/>
                <w:szCs w:val="18"/>
                <w:lang w:eastAsia="de-DE"/>
              </w:rPr>
              <w:t>Pasākuma ietvaros veic:</w:t>
            </w:r>
          </w:p>
          <w:p w:rsidR="0072652C" w:rsidRPr="009179E5" w:rsidRDefault="0072652C" w:rsidP="004A2F06">
            <w:pPr>
              <w:pStyle w:val="Default"/>
              <w:rPr>
                <w:rFonts w:eastAsia="Times New Roman"/>
                <w:b/>
                <w:color w:val="auto"/>
                <w:sz w:val="18"/>
                <w:szCs w:val="18"/>
                <w:lang w:eastAsia="de-DE"/>
              </w:rPr>
            </w:pPr>
            <w:r w:rsidRPr="009179E5">
              <w:rPr>
                <w:rFonts w:eastAsia="Times New Roman"/>
                <w:b/>
                <w:color w:val="auto"/>
                <w:sz w:val="18"/>
                <w:szCs w:val="18"/>
                <w:lang w:eastAsia="de-DE"/>
              </w:rPr>
              <w:t>- siltumavotu rekonstrukcija un būvniecība ar mērķi paaugstināt to efektivitāti vai mazināt ietekmi uz vidi, vai aizvietot fosilo kurināmo ar atjaunojamo kurināmo;</w:t>
            </w:r>
          </w:p>
          <w:p w:rsidR="0072652C" w:rsidRPr="009179E5" w:rsidRDefault="0072652C" w:rsidP="004A2F06">
            <w:pPr>
              <w:pStyle w:val="Default"/>
              <w:rPr>
                <w:b/>
                <w:szCs w:val="18"/>
              </w:rPr>
            </w:pPr>
            <w:r w:rsidRPr="009179E5">
              <w:rPr>
                <w:rFonts w:eastAsia="Times New Roman"/>
                <w:b/>
                <w:color w:val="auto"/>
                <w:sz w:val="18"/>
                <w:szCs w:val="18"/>
                <w:lang w:eastAsia="de-DE"/>
              </w:rPr>
              <w:t>- pārvades un sadales sistēmu rekonstrukcija un būvniecība ar mērķi samazināt siltumenerģijas vai siltumnesēja zudumus.</w:t>
            </w:r>
          </w:p>
        </w:tc>
      </w:tr>
      <w:tr w:rsidR="0072652C" w:rsidRPr="009179E5" w:rsidTr="00E3081B">
        <w:trPr>
          <w:trHeight w:val="476"/>
        </w:trPr>
        <w:tc>
          <w:tcPr>
            <w:tcW w:w="1176" w:type="dxa"/>
            <w:vMerge/>
          </w:tcPr>
          <w:p w:rsidR="0072652C" w:rsidRPr="009179E5" w:rsidRDefault="0072652C" w:rsidP="004A2F06">
            <w:pPr>
              <w:pStyle w:val="Tabletext"/>
              <w:tabs>
                <w:tab w:val="left" w:pos="1440"/>
                <w:tab w:val="left" w:pos="5040"/>
              </w:tabs>
              <w:spacing w:before="0" w:after="0" w:line="240" w:lineRule="auto"/>
              <w:jc w:val="left"/>
              <w:rPr>
                <w:rFonts w:ascii="Times New Roman" w:hAnsi="Times New Roman"/>
                <w:szCs w:val="18"/>
                <w:lang w:val="lv-LV"/>
              </w:rPr>
            </w:pPr>
          </w:p>
        </w:tc>
        <w:tc>
          <w:tcPr>
            <w:tcW w:w="2722" w:type="dxa"/>
          </w:tcPr>
          <w:p w:rsidR="0072652C" w:rsidRPr="009179E5" w:rsidRDefault="0072652C" w:rsidP="004A2F06">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Budžets un finansējuma avots</w:t>
            </w:r>
          </w:p>
        </w:tc>
        <w:tc>
          <w:tcPr>
            <w:tcW w:w="5271" w:type="dxa"/>
          </w:tcPr>
          <w:p w:rsidR="0072652C" w:rsidRPr="009179E5" w:rsidRDefault="0072652C" w:rsidP="004A2F06">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1.kārta 6</w:t>
            </w:r>
            <w:r w:rsidR="00C1144A" w:rsidRPr="009179E5">
              <w:rPr>
                <w:rFonts w:ascii="Times New Roman" w:hAnsi="Times New Roman"/>
                <w:b/>
                <w:szCs w:val="18"/>
                <w:lang w:val="lv-LV"/>
              </w:rPr>
              <w:t>,</w:t>
            </w:r>
            <w:r w:rsidRPr="009179E5">
              <w:rPr>
                <w:rFonts w:ascii="Times New Roman" w:hAnsi="Times New Roman"/>
                <w:b/>
                <w:szCs w:val="18"/>
                <w:lang w:val="lv-LV"/>
              </w:rPr>
              <w:t>7</w:t>
            </w:r>
            <w:r w:rsidR="00C1144A" w:rsidRPr="009179E5">
              <w:rPr>
                <w:rFonts w:ascii="Times New Roman" w:hAnsi="Times New Roman"/>
                <w:b/>
                <w:szCs w:val="18"/>
                <w:lang w:val="lv-LV"/>
              </w:rPr>
              <w:t xml:space="preserve"> milj.</w:t>
            </w:r>
            <w:r w:rsidRPr="009179E5">
              <w:rPr>
                <w:rFonts w:ascii="Times New Roman" w:hAnsi="Times New Roman"/>
                <w:b/>
                <w:szCs w:val="18"/>
                <w:lang w:val="lv-LV"/>
              </w:rPr>
              <w:t xml:space="preserve"> LVL KF finansējums</w:t>
            </w:r>
          </w:p>
          <w:p w:rsidR="0072652C" w:rsidRPr="009179E5" w:rsidRDefault="0072652C" w:rsidP="00C1144A">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2.kārta 35</w:t>
            </w:r>
            <w:r w:rsidR="00C1144A" w:rsidRPr="009179E5">
              <w:rPr>
                <w:rFonts w:ascii="Times New Roman" w:hAnsi="Times New Roman"/>
                <w:b/>
                <w:szCs w:val="18"/>
                <w:lang w:val="lv-LV"/>
              </w:rPr>
              <w:t>,</w:t>
            </w:r>
            <w:r w:rsidRPr="009179E5">
              <w:rPr>
                <w:rFonts w:ascii="Times New Roman" w:hAnsi="Times New Roman"/>
                <w:b/>
                <w:szCs w:val="18"/>
                <w:lang w:val="lv-LV"/>
              </w:rPr>
              <w:t>61</w:t>
            </w:r>
            <w:r w:rsidR="00C1144A" w:rsidRPr="009179E5">
              <w:rPr>
                <w:rFonts w:ascii="Times New Roman" w:hAnsi="Times New Roman"/>
                <w:b/>
                <w:szCs w:val="18"/>
                <w:lang w:val="lv-LV"/>
              </w:rPr>
              <w:t xml:space="preserve"> milj.</w:t>
            </w:r>
            <w:r w:rsidRPr="009179E5">
              <w:rPr>
                <w:rFonts w:ascii="Times New Roman" w:hAnsi="Times New Roman"/>
                <w:b/>
                <w:szCs w:val="18"/>
                <w:lang w:val="lv-LV"/>
              </w:rPr>
              <w:t xml:space="preserve"> LVL KF finansējums</w:t>
            </w:r>
          </w:p>
        </w:tc>
      </w:tr>
      <w:tr w:rsidR="0072652C" w:rsidRPr="009179E5" w:rsidTr="00E3081B">
        <w:trPr>
          <w:trHeight w:val="476"/>
        </w:trPr>
        <w:tc>
          <w:tcPr>
            <w:tcW w:w="1176" w:type="dxa"/>
            <w:vMerge/>
          </w:tcPr>
          <w:p w:rsidR="0072652C" w:rsidRPr="009179E5" w:rsidRDefault="0072652C" w:rsidP="004A2F06">
            <w:pPr>
              <w:pStyle w:val="Tabletext"/>
              <w:tabs>
                <w:tab w:val="left" w:pos="1440"/>
                <w:tab w:val="left" w:pos="5040"/>
              </w:tabs>
              <w:spacing w:before="0" w:after="0" w:line="240" w:lineRule="auto"/>
              <w:jc w:val="left"/>
              <w:rPr>
                <w:rFonts w:ascii="Times New Roman" w:hAnsi="Times New Roman"/>
                <w:szCs w:val="18"/>
                <w:lang w:val="lv-LV"/>
              </w:rPr>
            </w:pPr>
          </w:p>
        </w:tc>
        <w:tc>
          <w:tcPr>
            <w:tcW w:w="2722" w:type="dxa"/>
          </w:tcPr>
          <w:p w:rsidR="0072652C" w:rsidRPr="009179E5" w:rsidRDefault="0072652C" w:rsidP="004A2F06">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Ieviesējs</w:t>
            </w:r>
          </w:p>
        </w:tc>
        <w:tc>
          <w:tcPr>
            <w:tcW w:w="5271" w:type="dxa"/>
          </w:tcPr>
          <w:p w:rsidR="0072652C" w:rsidRPr="009179E5" w:rsidRDefault="0072652C" w:rsidP="004A2F06">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Latvijas Investīciju un attīstības aģentūra</w:t>
            </w:r>
          </w:p>
        </w:tc>
      </w:tr>
      <w:tr w:rsidR="0072652C" w:rsidRPr="009179E5" w:rsidTr="00E3081B">
        <w:trPr>
          <w:trHeight w:val="476"/>
        </w:trPr>
        <w:tc>
          <w:tcPr>
            <w:tcW w:w="1176" w:type="dxa"/>
            <w:vMerge/>
          </w:tcPr>
          <w:p w:rsidR="0072652C" w:rsidRPr="009179E5" w:rsidRDefault="0072652C" w:rsidP="004A2F06">
            <w:pPr>
              <w:pStyle w:val="Tabletext"/>
              <w:tabs>
                <w:tab w:val="left" w:pos="1440"/>
                <w:tab w:val="left" w:pos="5040"/>
              </w:tabs>
              <w:spacing w:before="0" w:after="0" w:line="240" w:lineRule="auto"/>
              <w:jc w:val="left"/>
              <w:rPr>
                <w:rFonts w:ascii="Times New Roman" w:hAnsi="Times New Roman"/>
                <w:szCs w:val="18"/>
                <w:lang w:val="lv-LV"/>
              </w:rPr>
            </w:pPr>
          </w:p>
        </w:tc>
        <w:tc>
          <w:tcPr>
            <w:tcW w:w="2722" w:type="dxa"/>
          </w:tcPr>
          <w:p w:rsidR="0072652C" w:rsidRPr="009179E5" w:rsidRDefault="0072652C" w:rsidP="004A2F06">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Monitoringa (kontroles) institūcija</w:t>
            </w:r>
          </w:p>
        </w:tc>
        <w:tc>
          <w:tcPr>
            <w:tcW w:w="5271" w:type="dxa"/>
          </w:tcPr>
          <w:p w:rsidR="0072652C" w:rsidRPr="009179E5" w:rsidRDefault="0072652C" w:rsidP="004A2F06">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Ekonomikas ministrija</w:t>
            </w:r>
          </w:p>
        </w:tc>
      </w:tr>
      <w:tr w:rsidR="0072652C" w:rsidRPr="009179E5" w:rsidTr="00E3081B">
        <w:trPr>
          <w:trHeight w:val="476"/>
        </w:trPr>
        <w:tc>
          <w:tcPr>
            <w:tcW w:w="1176" w:type="dxa"/>
          </w:tcPr>
          <w:p w:rsidR="0072652C" w:rsidRPr="009179E5" w:rsidRDefault="0072652C" w:rsidP="004A2F06">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ietaupījumi</w:t>
            </w:r>
          </w:p>
        </w:tc>
        <w:tc>
          <w:tcPr>
            <w:tcW w:w="2722" w:type="dxa"/>
          </w:tcPr>
          <w:p w:rsidR="0072652C" w:rsidRPr="009179E5" w:rsidRDefault="0072652C" w:rsidP="004A2F06">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Sasniegto enerģijas ietaupījumu aprēķina metode</w:t>
            </w:r>
          </w:p>
        </w:tc>
        <w:tc>
          <w:tcPr>
            <w:tcW w:w="5271" w:type="dxa"/>
          </w:tcPr>
          <w:p w:rsidR="0072652C" w:rsidRPr="009179E5" w:rsidRDefault="000E17C9" w:rsidP="004A2F06">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Lejupvērstā</w:t>
            </w:r>
          </w:p>
        </w:tc>
      </w:tr>
      <w:tr w:rsidR="004E1ACA" w:rsidRPr="009179E5" w:rsidTr="00E3081B">
        <w:trPr>
          <w:trHeight w:val="476"/>
        </w:trPr>
        <w:tc>
          <w:tcPr>
            <w:tcW w:w="1176" w:type="dxa"/>
          </w:tcPr>
          <w:p w:rsidR="004E1ACA" w:rsidRPr="009179E5" w:rsidRDefault="004E1ACA" w:rsidP="004A2F06">
            <w:pPr>
              <w:pStyle w:val="Tabletext"/>
              <w:tabs>
                <w:tab w:val="left" w:pos="1440"/>
                <w:tab w:val="left" w:pos="5040"/>
              </w:tabs>
              <w:spacing w:before="0" w:after="0" w:line="240" w:lineRule="auto"/>
              <w:jc w:val="left"/>
              <w:rPr>
                <w:rFonts w:ascii="Times New Roman" w:hAnsi="Times New Roman"/>
                <w:szCs w:val="18"/>
                <w:lang w:val="lv-LV"/>
              </w:rPr>
            </w:pPr>
          </w:p>
        </w:tc>
        <w:tc>
          <w:tcPr>
            <w:tcW w:w="2722" w:type="dxa"/>
          </w:tcPr>
          <w:p w:rsidR="004E1ACA" w:rsidRPr="009179E5" w:rsidRDefault="004E1ACA" w:rsidP="004A2F06">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Cita informācija</w:t>
            </w:r>
          </w:p>
        </w:tc>
        <w:tc>
          <w:tcPr>
            <w:tcW w:w="5271" w:type="dxa"/>
          </w:tcPr>
          <w:p w:rsidR="004E1ACA" w:rsidRPr="009179E5" w:rsidRDefault="004E1ACA" w:rsidP="00DC7E7C">
            <w:pPr>
              <w:pStyle w:val="ListParagraph"/>
              <w:numPr>
                <w:ilvl w:val="0"/>
                <w:numId w:val="4"/>
              </w:numPr>
              <w:spacing w:after="0" w:line="240" w:lineRule="auto"/>
              <w:ind w:left="317"/>
              <w:jc w:val="both"/>
              <w:rPr>
                <w:rFonts w:ascii="Times New Roman" w:hAnsi="Times New Roman"/>
                <w:b/>
                <w:sz w:val="18"/>
                <w:szCs w:val="18"/>
                <w:lang w:val="lv-LV" w:eastAsia="de-DE"/>
              </w:rPr>
            </w:pPr>
            <w:r w:rsidRPr="009179E5">
              <w:rPr>
                <w:rFonts w:ascii="Times New Roman" w:hAnsi="Times New Roman"/>
                <w:b/>
                <w:sz w:val="18"/>
                <w:szCs w:val="18"/>
                <w:lang w:val="lv-LV" w:eastAsia="de-DE"/>
              </w:rPr>
              <w:t>Starp 37 projektiem panāktais sistēmā nodotās enerģijas samazinājums MWh gadā pret ieguldījumiem attiecināmās izmaksās ir vērtējams robežās no 1,04 – 8,48 tūkst.LVL (21 trašu projekti un 1 siltumapgādes sistēmu savienošanas projekts);</w:t>
            </w:r>
          </w:p>
          <w:p w:rsidR="004E1ACA" w:rsidRPr="009179E5" w:rsidRDefault="004E1ACA" w:rsidP="00DC7E7C">
            <w:pPr>
              <w:pStyle w:val="ListParagraph"/>
              <w:numPr>
                <w:ilvl w:val="0"/>
                <w:numId w:val="4"/>
              </w:numPr>
              <w:spacing w:after="0" w:line="240" w:lineRule="auto"/>
              <w:ind w:left="317"/>
              <w:jc w:val="both"/>
              <w:rPr>
                <w:rFonts w:ascii="Times New Roman" w:hAnsi="Times New Roman"/>
                <w:b/>
                <w:sz w:val="18"/>
                <w:szCs w:val="18"/>
                <w:lang w:val="lv-LV" w:eastAsia="de-DE"/>
              </w:rPr>
            </w:pPr>
            <w:r w:rsidRPr="009179E5">
              <w:rPr>
                <w:rFonts w:ascii="Times New Roman" w:hAnsi="Times New Roman"/>
                <w:b/>
                <w:sz w:val="18"/>
                <w:szCs w:val="18"/>
                <w:lang w:val="lv-LV" w:eastAsia="de-DE"/>
              </w:rPr>
              <w:t>Panāktais kurināmā un elektroenerģijas samazinājums MWh gadā pret ieguldījumiem attiecināmās izmaksās ir vērtējams robežās no 1,57 – 23,57 tūkst.LVL (13 katlu māju projekti un 2 siltumapgādes sistēmu savienošanas projekti)</w:t>
            </w:r>
          </w:p>
        </w:tc>
      </w:tr>
    </w:tbl>
    <w:p w:rsidR="00AC65CB" w:rsidRPr="009179E5" w:rsidRDefault="00AC65CB" w:rsidP="00465089">
      <w:pPr>
        <w:pStyle w:val="Caption"/>
        <w:spacing w:after="0" w:line="240" w:lineRule="auto"/>
        <w:jc w:val="right"/>
        <w:rPr>
          <w:rFonts w:ascii="Times New Roman" w:hAnsi="Times New Roman"/>
          <w:sz w:val="24"/>
          <w:szCs w:val="24"/>
          <w:lang w:val="lv-LV"/>
        </w:rPr>
      </w:pPr>
    </w:p>
    <w:p w:rsidR="00E710B6" w:rsidRPr="009179E5" w:rsidRDefault="00E710B6" w:rsidP="00465089">
      <w:pPr>
        <w:pStyle w:val="Caption"/>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t>2</w:t>
      </w:r>
      <w:r w:rsidR="001874C2" w:rsidRPr="009179E5">
        <w:rPr>
          <w:rFonts w:ascii="Times New Roman" w:hAnsi="Times New Roman"/>
          <w:sz w:val="24"/>
          <w:szCs w:val="24"/>
          <w:lang w:val="lv-LV"/>
        </w:rPr>
        <w:t>5</w:t>
      </w:r>
      <w:r w:rsidRPr="009179E5">
        <w:rPr>
          <w:rFonts w:ascii="Times New Roman" w:hAnsi="Times New Roman"/>
          <w:sz w:val="24"/>
          <w:szCs w:val="24"/>
          <w:lang w:val="lv-LV"/>
        </w:rPr>
        <w:t>.tabula</w:t>
      </w:r>
    </w:p>
    <w:p w:rsidR="0072652C" w:rsidRPr="009179E5" w:rsidRDefault="00E710B6" w:rsidP="00465089">
      <w:pPr>
        <w:pStyle w:val="Caption"/>
        <w:spacing w:after="0" w:line="240" w:lineRule="auto"/>
        <w:jc w:val="center"/>
        <w:rPr>
          <w:rFonts w:ascii="Times New Roman" w:hAnsi="Times New Roman"/>
          <w:sz w:val="28"/>
          <w:szCs w:val="28"/>
          <w:lang w:val="lv-LV"/>
        </w:rPr>
      </w:pPr>
      <w:r w:rsidRPr="009179E5">
        <w:rPr>
          <w:rFonts w:ascii="Times New Roman" w:hAnsi="Times New Roman"/>
          <w:sz w:val="24"/>
          <w:szCs w:val="24"/>
          <w:lang w:val="lv-LV"/>
        </w:rPr>
        <w:t>Pasākuma Nr.CS.</w:t>
      </w:r>
      <w:r w:rsidR="00465089" w:rsidRPr="009179E5">
        <w:rPr>
          <w:rFonts w:ascii="Times New Roman" w:hAnsi="Times New Roman"/>
          <w:sz w:val="24"/>
          <w:szCs w:val="24"/>
          <w:lang w:val="lv-LV"/>
        </w:rPr>
        <w:t>5.</w:t>
      </w:r>
      <w:r w:rsidRPr="009179E5">
        <w:rPr>
          <w:rFonts w:ascii="Times New Roman" w:hAnsi="Times New Roman"/>
          <w:sz w:val="24"/>
          <w:szCs w:val="24"/>
          <w:lang w:val="lv-LV"/>
        </w:rPr>
        <w:t>2. „Jaudīgu siltumsūkņu uzstādīšana Rīgas pilsētas siltumapgādes uzlabošanai” apraksts</w:t>
      </w:r>
    </w:p>
    <w:tbl>
      <w:tblPr>
        <w:tblW w:w="916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2764"/>
        <w:gridCol w:w="5271"/>
      </w:tblGrid>
      <w:tr w:rsidR="0072652C" w:rsidRPr="009179E5" w:rsidTr="00F85829">
        <w:trPr>
          <w:trHeight w:val="558"/>
        </w:trPr>
        <w:tc>
          <w:tcPr>
            <w:tcW w:w="3898" w:type="dxa"/>
            <w:gridSpan w:val="2"/>
          </w:tcPr>
          <w:p w:rsidR="0072652C" w:rsidRPr="009179E5" w:rsidRDefault="0072652C" w:rsidP="00E3081B">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szCs w:val="18"/>
                <w:lang w:val="lv-LV"/>
              </w:rPr>
              <w:t>Enerģijas ietaupījumu sasniegšanas pasākuma nosaukums</w:t>
            </w:r>
          </w:p>
        </w:tc>
        <w:tc>
          <w:tcPr>
            <w:tcW w:w="5271" w:type="dxa"/>
          </w:tcPr>
          <w:p w:rsidR="0072652C" w:rsidRPr="009179E5" w:rsidRDefault="0072652C" w:rsidP="00E3081B">
            <w:pPr>
              <w:spacing w:after="0" w:line="240" w:lineRule="auto"/>
              <w:rPr>
                <w:rFonts w:ascii="Times New Roman" w:hAnsi="Times New Roman"/>
                <w:b/>
                <w:sz w:val="18"/>
                <w:szCs w:val="18"/>
                <w:lang w:val="lv-LV" w:bidi="en-US"/>
              </w:rPr>
            </w:pPr>
            <w:r w:rsidRPr="009179E5">
              <w:rPr>
                <w:rFonts w:ascii="Times New Roman" w:hAnsi="Times New Roman"/>
                <w:b/>
                <w:sz w:val="18"/>
                <w:szCs w:val="18"/>
                <w:lang w:val="lv-LV" w:bidi="en-US"/>
              </w:rPr>
              <w:t xml:space="preserve">Jaudīgu siltumsūkņu uzstādīšana Rīgas pilsētas siltumapgādes uzlabošanai </w:t>
            </w:r>
          </w:p>
          <w:p w:rsidR="0072652C" w:rsidRPr="009179E5" w:rsidRDefault="0072652C" w:rsidP="00E3081B">
            <w:pPr>
              <w:spacing w:after="0" w:line="240" w:lineRule="auto"/>
              <w:jc w:val="center"/>
              <w:rPr>
                <w:rFonts w:ascii="Times New Roman" w:hAnsi="Times New Roman"/>
                <w:b/>
                <w:sz w:val="18"/>
                <w:szCs w:val="18"/>
                <w:lang w:val="lv-LV" w:bidi="en-US"/>
              </w:rPr>
            </w:pPr>
          </w:p>
        </w:tc>
      </w:tr>
      <w:tr w:rsidR="0072652C" w:rsidRPr="009179E5" w:rsidTr="00F85829">
        <w:trPr>
          <w:trHeight w:val="354"/>
        </w:trPr>
        <w:tc>
          <w:tcPr>
            <w:tcW w:w="3898" w:type="dxa"/>
            <w:gridSpan w:val="2"/>
          </w:tcPr>
          <w:p w:rsidR="0072652C" w:rsidRPr="009179E5" w:rsidRDefault="0072652C" w:rsidP="00E3081B">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szCs w:val="18"/>
                <w:lang w:val="lv-LV"/>
              </w:rPr>
              <w:t>Pasākuma nr.</w:t>
            </w:r>
          </w:p>
        </w:tc>
        <w:tc>
          <w:tcPr>
            <w:tcW w:w="5271"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CS.</w:t>
            </w:r>
            <w:r w:rsidR="00536D18" w:rsidRPr="009179E5">
              <w:rPr>
                <w:rFonts w:ascii="Times New Roman" w:hAnsi="Times New Roman"/>
                <w:b/>
                <w:szCs w:val="18"/>
                <w:lang w:val="lv-LV"/>
              </w:rPr>
              <w:t>5.</w:t>
            </w:r>
            <w:r w:rsidRPr="009179E5">
              <w:rPr>
                <w:rFonts w:ascii="Times New Roman" w:hAnsi="Times New Roman"/>
                <w:b/>
                <w:szCs w:val="18"/>
                <w:lang w:val="lv-LV"/>
              </w:rPr>
              <w:t>2.</w:t>
            </w:r>
          </w:p>
        </w:tc>
      </w:tr>
      <w:tr w:rsidR="0072652C" w:rsidRPr="009179E5" w:rsidTr="00F85829">
        <w:trPr>
          <w:trHeight w:val="284"/>
        </w:trPr>
        <w:tc>
          <w:tcPr>
            <w:tcW w:w="1134" w:type="dxa"/>
            <w:vMerge w:val="restart"/>
          </w:tcPr>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p>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lastRenderedPageBreak/>
              <w:t>Apraksts</w:t>
            </w:r>
          </w:p>
        </w:tc>
        <w:tc>
          <w:tcPr>
            <w:tcW w:w="2764" w:type="dxa"/>
          </w:tcPr>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lastRenderedPageBreak/>
              <w:t>Kategorija</w:t>
            </w:r>
          </w:p>
        </w:tc>
        <w:tc>
          <w:tcPr>
            <w:tcW w:w="5271"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Procesu tehniski uzlabojumi</w:t>
            </w:r>
          </w:p>
        </w:tc>
      </w:tr>
      <w:tr w:rsidR="0072652C" w:rsidRPr="009179E5" w:rsidTr="00F85829">
        <w:trPr>
          <w:trHeight w:val="476"/>
        </w:trPr>
        <w:tc>
          <w:tcPr>
            <w:tcW w:w="1134" w:type="dxa"/>
            <w:vMerge/>
          </w:tcPr>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p>
        </w:tc>
        <w:tc>
          <w:tcPr>
            <w:tcW w:w="2764" w:type="dxa"/>
          </w:tcPr>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Īstenošanas laika grafiks</w:t>
            </w:r>
          </w:p>
        </w:tc>
        <w:tc>
          <w:tcPr>
            <w:tcW w:w="527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
              <w:gridCol w:w="1701"/>
              <w:gridCol w:w="1944"/>
            </w:tblGrid>
            <w:tr w:rsidR="0072652C" w:rsidRPr="009179E5" w:rsidTr="001C33A4">
              <w:tc>
                <w:tcPr>
                  <w:tcW w:w="1021"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Kārta </w:t>
                  </w:r>
                </w:p>
              </w:tc>
              <w:tc>
                <w:tcPr>
                  <w:tcW w:w="1701"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Sākums </w:t>
                  </w:r>
                </w:p>
              </w:tc>
              <w:tc>
                <w:tcPr>
                  <w:tcW w:w="1944"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Beigas </w:t>
                  </w:r>
                </w:p>
              </w:tc>
            </w:tr>
            <w:tr w:rsidR="0072652C" w:rsidRPr="009179E5" w:rsidTr="001C33A4">
              <w:tc>
                <w:tcPr>
                  <w:tcW w:w="1021"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1.</w:t>
                  </w:r>
                </w:p>
              </w:tc>
              <w:tc>
                <w:tcPr>
                  <w:tcW w:w="1701"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2010.g.</w:t>
                  </w:r>
                </w:p>
              </w:tc>
              <w:tc>
                <w:tcPr>
                  <w:tcW w:w="1944" w:type="dxa"/>
                </w:tcPr>
                <w:p w:rsidR="0072652C" w:rsidRPr="009179E5" w:rsidRDefault="00527F73" w:rsidP="00E3081B">
                  <w:pPr>
                    <w:pStyle w:val="Tabletext"/>
                    <w:tabs>
                      <w:tab w:val="left" w:pos="1440"/>
                      <w:tab w:val="left" w:pos="5040"/>
                    </w:tabs>
                    <w:spacing w:before="0" w:after="0" w:line="240" w:lineRule="auto"/>
                    <w:rPr>
                      <w:rFonts w:ascii="Times New Roman" w:hAnsi="Times New Roman"/>
                      <w:b/>
                      <w:szCs w:val="18"/>
                      <w:lang w:val="lv-LV"/>
                    </w:rPr>
                  </w:pPr>
                  <w:r>
                    <w:rPr>
                      <w:rFonts w:ascii="Times New Roman" w:hAnsi="Times New Roman"/>
                      <w:b/>
                      <w:szCs w:val="18"/>
                      <w:lang w:val="lv-LV"/>
                    </w:rPr>
                    <w:t>2011</w:t>
                  </w:r>
                  <w:r w:rsidR="0072652C" w:rsidRPr="009179E5">
                    <w:rPr>
                      <w:rFonts w:ascii="Times New Roman" w:hAnsi="Times New Roman"/>
                      <w:b/>
                      <w:szCs w:val="18"/>
                      <w:lang w:val="lv-LV"/>
                    </w:rPr>
                    <w:t>.g.</w:t>
                  </w:r>
                </w:p>
              </w:tc>
            </w:tr>
            <w:tr w:rsidR="0072652C" w:rsidRPr="009179E5" w:rsidTr="001C33A4">
              <w:tc>
                <w:tcPr>
                  <w:tcW w:w="1021"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2.</w:t>
                  </w:r>
                </w:p>
              </w:tc>
              <w:tc>
                <w:tcPr>
                  <w:tcW w:w="1701"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2011.</w:t>
                  </w:r>
                </w:p>
              </w:tc>
              <w:tc>
                <w:tcPr>
                  <w:tcW w:w="1944"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2013.</w:t>
                  </w:r>
                </w:p>
              </w:tc>
            </w:tr>
            <w:tr w:rsidR="0072652C" w:rsidRPr="009179E5" w:rsidTr="001C33A4">
              <w:tc>
                <w:tcPr>
                  <w:tcW w:w="1021"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3.</w:t>
                  </w:r>
                </w:p>
              </w:tc>
              <w:tc>
                <w:tcPr>
                  <w:tcW w:w="1701"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2012.</w:t>
                  </w:r>
                </w:p>
              </w:tc>
              <w:tc>
                <w:tcPr>
                  <w:tcW w:w="1944"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2015.</w:t>
                  </w:r>
                </w:p>
              </w:tc>
            </w:tr>
          </w:tbl>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p>
        </w:tc>
      </w:tr>
      <w:tr w:rsidR="0072652C" w:rsidRPr="009179E5" w:rsidTr="00F85829">
        <w:trPr>
          <w:trHeight w:val="476"/>
        </w:trPr>
        <w:tc>
          <w:tcPr>
            <w:tcW w:w="1134" w:type="dxa"/>
            <w:vMerge/>
          </w:tcPr>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p>
        </w:tc>
        <w:tc>
          <w:tcPr>
            <w:tcW w:w="2764" w:type="dxa"/>
          </w:tcPr>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Mērķis</w:t>
            </w:r>
          </w:p>
        </w:tc>
        <w:tc>
          <w:tcPr>
            <w:tcW w:w="5271"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Papildus siltumenerģijas izstrāde bez kurināmā sadedzināšanas</w:t>
            </w:r>
          </w:p>
        </w:tc>
      </w:tr>
      <w:tr w:rsidR="0072652C" w:rsidRPr="009179E5" w:rsidTr="00F85829">
        <w:trPr>
          <w:trHeight w:val="395"/>
        </w:trPr>
        <w:tc>
          <w:tcPr>
            <w:tcW w:w="1134" w:type="dxa"/>
            <w:vMerge/>
          </w:tcPr>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p>
        </w:tc>
        <w:tc>
          <w:tcPr>
            <w:tcW w:w="2764" w:type="dxa"/>
          </w:tcPr>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galapatēriņa sektors</w:t>
            </w:r>
          </w:p>
        </w:tc>
        <w:tc>
          <w:tcPr>
            <w:tcW w:w="5271"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Pilsētas siltumapgādes sistēma</w:t>
            </w:r>
          </w:p>
        </w:tc>
      </w:tr>
      <w:tr w:rsidR="0072652C" w:rsidRPr="009179E5" w:rsidTr="00F85829">
        <w:trPr>
          <w:trHeight w:val="380"/>
        </w:trPr>
        <w:tc>
          <w:tcPr>
            <w:tcW w:w="1134" w:type="dxa"/>
            <w:vMerge/>
          </w:tcPr>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p>
        </w:tc>
        <w:tc>
          <w:tcPr>
            <w:tcW w:w="2764" w:type="dxa"/>
          </w:tcPr>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Mērķauditorija</w:t>
            </w:r>
          </w:p>
        </w:tc>
        <w:tc>
          <w:tcPr>
            <w:tcW w:w="5271"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Pašvaldības, siltumapgādes uzņēmumi </w:t>
            </w:r>
          </w:p>
        </w:tc>
      </w:tr>
      <w:tr w:rsidR="0072652C" w:rsidRPr="009179E5" w:rsidTr="00F85829">
        <w:trPr>
          <w:trHeight w:val="381"/>
        </w:trPr>
        <w:tc>
          <w:tcPr>
            <w:tcW w:w="1134" w:type="dxa"/>
            <w:vMerge/>
          </w:tcPr>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p>
        </w:tc>
        <w:tc>
          <w:tcPr>
            <w:tcW w:w="2764" w:type="dxa"/>
          </w:tcPr>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Pasākuma ieviešanas teritorija</w:t>
            </w:r>
          </w:p>
        </w:tc>
        <w:tc>
          <w:tcPr>
            <w:tcW w:w="5271"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Latvijas Republika, Rīgas pilsēta </w:t>
            </w:r>
          </w:p>
        </w:tc>
      </w:tr>
      <w:tr w:rsidR="0072652C" w:rsidRPr="009179E5" w:rsidTr="00F85829">
        <w:trPr>
          <w:trHeight w:val="476"/>
        </w:trPr>
        <w:tc>
          <w:tcPr>
            <w:tcW w:w="1134" w:type="dxa"/>
            <w:vMerge w:val="restart"/>
          </w:tcPr>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Informācija un ieviešana</w:t>
            </w:r>
          </w:p>
        </w:tc>
        <w:tc>
          <w:tcPr>
            <w:tcW w:w="2764"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Enerģijas ietaupījumu sasniegšanas pasākumu saraksts un pasākuma pamatapraksts</w:t>
            </w:r>
          </w:p>
        </w:tc>
        <w:tc>
          <w:tcPr>
            <w:tcW w:w="5271" w:type="dxa"/>
          </w:tcPr>
          <w:p w:rsidR="0072652C" w:rsidRPr="009179E5" w:rsidRDefault="0072652C" w:rsidP="00E3081B">
            <w:pPr>
              <w:pStyle w:val="Tabletext"/>
              <w:tabs>
                <w:tab w:val="left" w:pos="175"/>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1.Līdz šim koģenerācijas stacijās iekārtu (gāzes turbīnas, tvaika turbīnas, gāzes kompresora elementi) dzesēšanas ūdens temperatūras pazemināšanai tika ierīkotas atvērtā tipa grādētavas. Vienlaikus, lai nodrošinātu katla-utilizatora normālu darbību AS „Rīgas siltums” siltumcentrāles „Imanta” koģenerācijas blokā, tika drenēts ap 3,5 t/h paaugstināta potenciāla (virs </w:t>
            </w:r>
            <w:smartTag w:uri="urn:schemas-microsoft-com:office:smarttags" w:element="metricconverter">
              <w:smartTagPr>
                <w:attr w:name="ProductID" w:val="100ﾰC"/>
              </w:smartTagPr>
              <w:r w:rsidRPr="009179E5">
                <w:rPr>
                  <w:rFonts w:ascii="Times New Roman" w:hAnsi="Times New Roman"/>
                  <w:b/>
                  <w:szCs w:val="18"/>
                  <w:lang w:val="lv-LV"/>
                </w:rPr>
                <w:t>100°C</w:t>
              </w:r>
            </w:smartTag>
            <w:r w:rsidRPr="009179E5">
              <w:rPr>
                <w:rFonts w:ascii="Times New Roman" w:hAnsi="Times New Roman"/>
                <w:b/>
                <w:szCs w:val="18"/>
                <w:lang w:val="lv-LV"/>
              </w:rPr>
              <w:t xml:space="preserve">) karstais ūdens. Lai novērstu šos nelietderīgos zudumus, </w:t>
            </w:r>
            <w:r w:rsidR="00951671">
              <w:rPr>
                <w:rFonts w:ascii="Times New Roman" w:hAnsi="Times New Roman"/>
                <w:b/>
                <w:szCs w:val="18"/>
                <w:lang w:val="lv-LV"/>
              </w:rPr>
              <w:t xml:space="preserve">2010.gadā </w:t>
            </w:r>
            <w:r w:rsidRPr="009179E5">
              <w:rPr>
                <w:rFonts w:ascii="Times New Roman" w:hAnsi="Times New Roman"/>
                <w:b/>
                <w:szCs w:val="18"/>
                <w:lang w:val="lv-LV"/>
              </w:rPr>
              <w:t>tika uzstādīts jaudīgs absorbcijas tipa siltumsūknis ar 2 MW jaudu.</w:t>
            </w:r>
            <w:r w:rsidR="00527F73">
              <w:rPr>
                <w:rFonts w:ascii="Times New Roman" w:hAnsi="Times New Roman"/>
                <w:b/>
                <w:szCs w:val="18"/>
                <w:lang w:val="lv-LV"/>
              </w:rPr>
              <w:t xml:space="preserve"> </w:t>
            </w:r>
            <w:r w:rsidR="00527F73" w:rsidRPr="003B66D9">
              <w:rPr>
                <w:rFonts w:ascii="Times New Roman" w:hAnsi="Times New Roman"/>
                <w:b/>
                <w:szCs w:val="18"/>
                <w:lang w:val="lv-LV"/>
              </w:rPr>
              <w:t>Jaunā sistēma darbību uzsāka 2011.gadā.</w:t>
            </w:r>
            <w:r w:rsidRPr="009179E5">
              <w:rPr>
                <w:rFonts w:ascii="Times New Roman" w:hAnsi="Times New Roman"/>
                <w:b/>
                <w:szCs w:val="18"/>
                <w:lang w:val="lv-LV"/>
              </w:rPr>
              <w:t xml:space="preserve"> Kopējā papildus siltuma izstrādes jauda  – 5 MW.</w:t>
            </w:r>
          </w:p>
          <w:p w:rsidR="0072652C" w:rsidRPr="009179E5" w:rsidRDefault="0072652C" w:rsidP="00E3081B">
            <w:pPr>
              <w:pStyle w:val="Tabletext"/>
              <w:tabs>
                <w:tab w:val="left" w:pos="175"/>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2. Līdz šim koģenerācijas stacijās iekārtu (gāzes turbīnas, tvaika turbīnas, gāzes kompresora elementi) dzesēšanas ūdens temperatūras pazemināšanai tika ierīkotas atvērtā tipa grādētavas. Lai novērstu šos nelietderīgos zudumus, tiks uzstādīts jaudīgs absorbcijas tipa siltumsūknis. Plānotā  papildus siltuma izstrādes jauda  – 10 MW.</w:t>
            </w:r>
          </w:p>
          <w:p w:rsidR="0072652C" w:rsidRPr="009179E5" w:rsidRDefault="0072652C" w:rsidP="00527F73">
            <w:pPr>
              <w:pStyle w:val="Tabletext"/>
              <w:tabs>
                <w:tab w:val="left" w:pos="175"/>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3. Līdz šim notekūdeņu attīrīšanas iekārtās pēc apstrādes notekūdeņi (ap 75 miljardi m³ gadā) tika aizvadīti jūrā ar temperatūru 8-</w:t>
            </w:r>
            <w:smartTag w:uri="urn:schemas-microsoft-com:office:smarttags" w:element="metricconverter">
              <w:smartTagPr>
                <w:attr w:name="ProductID" w:val="15 °C"/>
              </w:smartTagPr>
              <w:r w:rsidRPr="009179E5">
                <w:rPr>
                  <w:rFonts w:ascii="Times New Roman" w:hAnsi="Times New Roman"/>
                  <w:b/>
                  <w:szCs w:val="18"/>
                  <w:lang w:val="lv-LV"/>
                </w:rPr>
                <w:t>15 °C</w:t>
              </w:r>
            </w:smartTag>
            <w:r w:rsidRPr="009179E5">
              <w:rPr>
                <w:rFonts w:ascii="Times New Roman" w:hAnsi="Times New Roman"/>
                <w:b/>
                <w:szCs w:val="18"/>
                <w:lang w:val="lv-LV"/>
              </w:rPr>
              <w:t>. Temperatūras pazemināšanai un siltuma atguvei  tiks uzstādīti jaudīgi absorbcijas tipa siltumsūkņi. Plānotā  papildus siltuma izstrādes jauda  – 10 MW.</w:t>
            </w:r>
          </w:p>
        </w:tc>
      </w:tr>
      <w:tr w:rsidR="0072652C" w:rsidRPr="009179E5" w:rsidTr="00F85829">
        <w:trPr>
          <w:trHeight w:val="381"/>
        </w:trPr>
        <w:tc>
          <w:tcPr>
            <w:tcW w:w="1134" w:type="dxa"/>
            <w:vMerge/>
          </w:tcPr>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p>
        </w:tc>
        <w:tc>
          <w:tcPr>
            <w:tcW w:w="2764" w:type="dxa"/>
          </w:tcPr>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Budžets un finansējuma avots</w:t>
            </w:r>
          </w:p>
        </w:tc>
        <w:tc>
          <w:tcPr>
            <w:tcW w:w="5271"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Uzņēmumu pašu līdzekļi un kredīts </w:t>
            </w:r>
          </w:p>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p>
        </w:tc>
      </w:tr>
      <w:tr w:rsidR="0072652C" w:rsidRPr="009179E5" w:rsidTr="00F85829">
        <w:trPr>
          <w:trHeight w:val="476"/>
        </w:trPr>
        <w:tc>
          <w:tcPr>
            <w:tcW w:w="1134" w:type="dxa"/>
            <w:vMerge/>
          </w:tcPr>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p>
        </w:tc>
        <w:tc>
          <w:tcPr>
            <w:tcW w:w="2764" w:type="dxa"/>
          </w:tcPr>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Ieviesējs</w:t>
            </w:r>
          </w:p>
        </w:tc>
        <w:tc>
          <w:tcPr>
            <w:tcW w:w="5271"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1.AS „Rīgas siltums”</w:t>
            </w:r>
          </w:p>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2. AS </w:t>
            </w:r>
            <w:r w:rsidR="00174C18" w:rsidRPr="009179E5">
              <w:rPr>
                <w:rFonts w:ascii="Times New Roman" w:hAnsi="Times New Roman"/>
                <w:b/>
                <w:szCs w:val="18"/>
                <w:lang w:val="lv-LV"/>
              </w:rPr>
              <w:t>Latvenergo</w:t>
            </w:r>
          </w:p>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3. AS „Rīgas siltums” un SIA „Rīgas ūdens”</w:t>
            </w:r>
          </w:p>
        </w:tc>
      </w:tr>
      <w:tr w:rsidR="0072652C" w:rsidRPr="009179E5" w:rsidTr="00F85829">
        <w:trPr>
          <w:trHeight w:val="476"/>
        </w:trPr>
        <w:tc>
          <w:tcPr>
            <w:tcW w:w="1134" w:type="dxa"/>
            <w:vMerge/>
          </w:tcPr>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p>
        </w:tc>
        <w:tc>
          <w:tcPr>
            <w:tcW w:w="2764"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Monitoringa (kontroles) institūcija</w:t>
            </w:r>
          </w:p>
        </w:tc>
        <w:tc>
          <w:tcPr>
            <w:tcW w:w="5271"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Rīgas p/a „Rīgas enerģētikas aģentūra”</w:t>
            </w:r>
          </w:p>
        </w:tc>
      </w:tr>
      <w:tr w:rsidR="0072652C" w:rsidRPr="009179E5" w:rsidTr="00F85829">
        <w:trPr>
          <w:trHeight w:val="476"/>
        </w:trPr>
        <w:tc>
          <w:tcPr>
            <w:tcW w:w="1134" w:type="dxa"/>
            <w:vMerge w:val="restart"/>
          </w:tcPr>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ietaupījumi</w:t>
            </w:r>
          </w:p>
        </w:tc>
        <w:tc>
          <w:tcPr>
            <w:tcW w:w="2764"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Sasniegto enerģijas ietaupījumu aprēķina metode</w:t>
            </w:r>
          </w:p>
        </w:tc>
        <w:tc>
          <w:tcPr>
            <w:tcW w:w="5271" w:type="dxa"/>
          </w:tcPr>
          <w:p w:rsidR="0072652C" w:rsidRPr="009179E5" w:rsidRDefault="000E17C9"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Augšupvērstā</w:t>
            </w:r>
          </w:p>
        </w:tc>
      </w:tr>
      <w:tr w:rsidR="0072652C" w:rsidRPr="009179E5" w:rsidTr="00F85829">
        <w:trPr>
          <w:trHeight w:val="476"/>
        </w:trPr>
        <w:tc>
          <w:tcPr>
            <w:tcW w:w="1134" w:type="dxa"/>
            <w:vMerge/>
          </w:tcPr>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p>
        </w:tc>
        <w:tc>
          <w:tcPr>
            <w:tcW w:w="2764" w:type="dxa"/>
          </w:tcPr>
          <w:p w:rsidR="0072652C" w:rsidRPr="009179E5" w:rsidRDefault="0072652C" w:rsidP="00E3081B">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Plānotie enerģijas ietaupījumi 2016</w:t>
            </w:r>
          </w:p>
        </w:tc>
        <w:tc>
          <w:tcPr>
            <w:tcW w:w="5271" w:type="dxa"/>
          </w:tcPr>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1.</w:t>
            </w:r>
            <w:r w:rsidR="008A2B7C" w:rsidRPr="009179E5">
              <w:rPr>
                <w:rFonts w:ascii="Times New Roman" w:hAnsi="Times New Roman"/>
                <w:b/>
                <w:szCs w:val="18"/>
                <w:lang w:val="lv-LV"/>
              </w:rPr>
              <w:t xml:space="preserve"> </w:t>
            </w:r>
            <w:r w:rsidRPr="009179E5">
              <w:rPr>
                <w:rFonts w:ascii="Times New Roman" w:hAnsi="Times New Roman"/>
                <w:b/>
                <w:szCs w:val="18"/>
                <w:lang w:val="lv-LV"/>
              </w:rPr>
              <w:t>8,28     tūkst. MWh</w:t>
            </w:r>
            <w:r w:rsidR="00E3081B" w:rsidRPr="009179E5">
              <w:rPr>
                <w:rFonts w:ascii="Times New Roman" w:hAnsi="Times New Roman"/>
                <w:b/>
                <w:szCs w:val="18"/>
                <w:lang w:val="lv-LV"/>
              </w:rPr>
              <w:t xml:space="preserve"> </w:t>
            </w:r>
            <w:r w:rsidRPr="009179E5">
              <w:rPr>
                <w:rFonts w:ascii="Times New Roman" w:hAnsi="Times New Roman"/>
                <w:b/>
                <w:szCs w:val="18"/>
                <w:lang w:val="lv-LV"/>
              </w:rPr>
              <w:t>gadā</w:t>
            </w:r>
          </w:p>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2. 16,5    tūkst. MWh</w:t>
            </w:r>
            <w:r w:rsidR="00E3081B" w:rsidRPr="009179E5">
              <w:rPr>
                <w:rFonts w:ascii="Times New Roman" w:hAnsi="Times New Roman"/>
                <w:b/>
                <w:szCs w:val="18"/>
                <w:lang w:val="lv-LV"/>
              </w:rPr>
              <w:t xml:space="preserve"> gadā</w:t>
            </w:r>
          </w:p>
          <w:p w:rsidR="0072652C" w:rsidRPr="009179E5" w:rsidRDefault="0072652C" w:rsidP="00E3081B">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3. 16,5    tūkst. MWh</w:t>
            </w:r>
            <w:r w:rsidR="00E3081B" w:rsidRPr="009179E5">
              <w:rPr>
                <w:rFonts w:ascii="Times New Roman" w:hAnsi="Times New Roman"/>
                <w:b/>
                <w:szCs w:val="18"/>
                <w:lang w:val="lv-LV"/>
              </w:rPr>
              <w:t xml:space="preserve"> gadā</w:t>
            </w:r>
          </w:p>
        </w:tc>
      </w:tr>
    </w:tbl>
    <w:p w:rsidR="00F05BF3" w:rsidRPr="009179E5" w:rsidRDefault="00F05BF3" w:rsidP="00F05BF3">
      <w:pPr>
        <w:pStyle w:val="Heading4"/>
        <w:numPr>
          <w:ilvl w:val="0"/>
          <w:numId w:val="0"/>
        </w:numPr>
        <w:spacing w:before="120" w:line="240" w:lineRule="auto"/>
        <w:jc w:val="center"/>
        <w:rPr>
          <w:rFonts w:ascii="Times New Roman Bold" w:hAnsi="Times New Roman Bold"/>
          <w:b/>
          <w:i w:val="0"/>
          <w:caps/>
          <w:color w:val="auto"/>
          <w:sz w:val="28"/>
          <w:u w:val="none"/>
          <w:lang w:val="lv-LV"/>
        </w:rPr>
      </w:pPr>
    </w:p>
    <w:p w:rsidR="007D0FB9" w:rsidRPr="009179E5" w:rsidRDefault="002F51A8" w:rsidP="0095197D">
      <w:pPr>
        <w:pStyle w:val="Heading4"/>
        <w:numPr>
          <w:ilvl w:val="0"/>
          <w:numId w:val="0"/>
        </w:numPr>
        <w:spacing w:line="240" w:lineRule="auto"/>
        <w:jc w:val="center"/>
        <w:rPr>
          <w:rFonts w:ascii="Times New Roman Bold" w:hAnsi="Times New Roman Bold"/>
          <w:b/>
          <w:i w:val="0"/>
          <w:caps/>
          <w:color w:val="auto"/>
          <w:sz w:val="28"/>
          <w:u w:val="none"/>
          <w:lang w:val="lv-LV"/>
        </w:rPr>
      </w:pPr>
      <w:bookmarkStart w:id="36" w:name="_Toc300320581"/>
      <w:r w:rsidRPr="009179E5">
        <w:rPr>
          <w:rFonts w:ascii="Times New Roman Bold" w:hAnsi="Times New Roman Bold"/>
          <w:b/>
          <w:i w:val="0"/>
          <w:caps/>
          <w:color w:val="auto"/>
          <w:sz w:val="28"/>
          <w:u w:val="none"/>
          <w:lang w:val="lv-LV"/>
        </w:rPr>
        <w:t>4.6</w:t>
      </w:r>
      <w:r w:rsidR="000E17C9" w:rsidRPr="009179E5">
        <w:rPr>
          <w:rFonts w:ascii="Times New Roman Bold" w:hAnsi="Times New Roman Bold"/>
          <w:b/>
          <w:i w:val="0"/>
          <w:caps/>
          <w:color w:val="auto"/>
          <w:sz w:val="28"/>
          <w:u w:val="none"/>
          <w:lang w:val="lv-LV"/>
        </w:rPr>
        <w:t>.</w:t>
      </w:r>
      <w:r w:rsidRPr="009179E5">
        <w:rPr>
          <w:rFonts w:ascii="Times New Roman Bold" w:hAnsi="Times New Roman Bold"/>
          <w:b/>
          <w:i w:val="0"/>
          <w:caps/>
          <w:color w:val="auto"/>
          <w:sz w:val="28"/>
          <w:u w:val="none"/>
          <w:lang w:val="lv-LV"/>
        </w:rPr>
        <w:t xml:space="preserve"> </w:t>
      </w:r>
      <w:r w:rsidR="007D0FB9" w:rsidRPr="009179E5">
        <w:rPr>
          <w:rFonts w:ascii="Times New Roman Bold" w:hAnsi="Times New Roman Bold"/>
          <w:b/>
          <w:i w:val="0"/>
          <w:caps/>
          <w:color w:val="auto"/>
          <w:sz w:val="28"/>
          <w:u w:val="none"/>
          <w:lang w:val="lv-LV"/>
        </w:rPr>
        <w:t>Ēku sektors</w:t>
      </w:r>
      <w:bookmarkEnd w:id="36"/>
    </w:p>
    <w:p w:rsidR="009D242A" w:rsidRPr="009179E5" w:rsidRDefault="00B45AAB" w:rsidP="00574AC8">
      <w:pPr>
        <w:spacing w:before="120" w:after="120" w:line="240" w:lineRule="auto"/>
        <w:jc w:val="both"/>
        <w:rPr>
          <w:rFonts w:ascii="Times New Roman" w:hAnsi="Times New Roman"/>
          <w:sz w:val="28"/>
          <w:szCs w:val="28"/>
          <w:lang w:val="lv-LV" w:bidi="en-US"/>
        </w:rPr>
      </w:pPr>
      <w:r w:rsidRPr="009179E5">
        <w:rPr>
          <w:rFonts w:ascii="Times New Roman" w:hAnsi="Times New Roman"/>
          <w:sz w:val="28"/>
          <w:szCs w:val="28"/>
          <w:lang w:val="lv-LV" w:bidi="en-US"/>
        </w:rPr>
        <w:t>Neskatoties uz faktu, ka mājsaimniecības</w:t>
      </w:r>
      <w:r w:rsidR="009D242A" w:rsidRPr="009179E5">
        <w:rPr>
          <w:rFonts w:ascii="Times New Roman" w:hAnsi="Times New Roman"/>
          <w:sz w:val="28"/>
          <w:szCs w:val="28"/>
          <w:lang w:val="lv-LV" w:bidi="en-US"/>
        </w:rPr>
        <w:t xml:space="preserve"> Latvijā ir lielākais gala enerģijas patērētājs, arī citu gala enerģija patēriņa sektoru pamatdarbība noris vai ir izvietota ēkās (pakalpojumi, sabiedriskais sektors, rūpniecība u.tml.).</w:t>
      </w:r>
    </w:p>
    <w:p w:rsidR="007D0FB9" w:rsidRPr="009179E5" w:rsidRDefault="009D242A" w:rsidP="00574AC8">
      <w:pPr>
        <w:spacing w:before="120" w:after="120" w:line="240" w:lineRule="auto"/>
        <w:jc w:val="both"/>
        <w:rPr>
          <w:rFonts w:ascii="Times New Roman" w:hAnsi="Times New Roman"/>
          <w:sz w:val="28"/>
          <w:szCs w:val="28"/>
          <w:lang w:val="lv-LV" w:bidi="en-US"/>
        </w:rPr>
      </w:pPr>
      <w:r w:rsidRPr="009179E5">
        <w:rPr>
          <w:rFonts w:ascii="Times New Roman" w:hAnsi="Times New Roman"/>
          <w:sz w:val="28"/>
          <w:szCs w:val="28"/>
          <w:lang w:val="lv-LV" w:bidi="en-US"/>
        </w:rPr>
        <w:t xml:space="preserve">Energoefektivitātes paaugstināšanas pasākumi, </w:t>
      </w:r>
      <w:r w:rsidR="007D0FB9" w:rsidRPr="009179E5">
        <w:rPr>
          <w:rFonts w:ascii="Times New Roman" w:hAnsi="Times New Roman"/>
          <w:sz w:val="28"/>
          <w:szCs w:val="28"/>
          <w:lang w:val="lv-LV" w:bidi="en-US"/>
        </w:rPr>
        <w:t xml:space="preserve">kas uzrādīti citos gala </w:t>
      </w:r>
      <w:r w:rsidRPr="009179E5">
        <w:rPr>
          <w:rFonts w:ascii="Times New Roman" w:hAnsi="Times New Roman"/>
          <w:sz w:val="28"/>
          <w:szCs w:val="28"/>
          <w:lang w:val="lv-LV" w:bidi="en-US"/>
        </w:rPr>
        <w:t xml:space="preserve">enerģijas </w:t>
      </w:r>
      <w:r w:rsidR="007D0FB9" w:rsidRPr="009179E5">
        <w:rPr>
          <w:rFonts w:ascii="Times New Roman" w:hAnsi="Times New Roman"/>
          <w:sz w:val="28"/>
          <w:szCs w:val="28"/>
          <w:lang w:val="lv-LV" w:bidi="en-US"/>
        </w:rPr>
        <w:t>patēriņa sektoros (mājsaimniecības, pakalpojumu  un sabiedriskais sektors), bet attiecas arī uz ēku sektoru un sniedz priekšstatu par plānotajiem pasākumiem ēku sektorā</w:t>
      </w:r>
      <w:r w:rsidRPr="009179E5">
        <w:rPr>
          <w:rFonts w:ascii="Times New Roman" w:hAnsi="Times New Roman"/>
          <w:sz w:val="28"/>
          <w:szCs w:val="28"/>
          <w:lang w:val="lv-LV" w:bidi="en-US"/>
        </w:rPr>
        <w:t xml:space="preserve"> ietverti </w:t>
      </w:r>
      <w:r w:rsidR="0014051E" w:rsidRPr="009179E5">
        <w:rPr>
          <w:rFonts w:ascii="Times New Roman" w:hAnsi="Times New Roman"/>
          <w:sz w:val="28"/>
          <w:szCs w:val="28"/>
          <w:lang w:val="lv-LV" w:bidi="en-US"/>
        </w:rPr>
        <w:t>2</w:t>
      </w:r>
      <w:r w:rsidR="001874C2" w:rsidRPr="009179E5">
        <w:rPr>
          <w:rFonts w:ascii="Times New Roman" w:hAnsi="Times New Roman"/>
          <w:sz w:val="28"/>
          <w:szCs w:val="28"/>
          <w:lang w:val="lv-LV" w:bidi="en-US"/>
        </w:rPr>
        <w:t>7</w:t>
      </w:r>
      <w:r w:rsidRPr="009179E5">
        <w:rPr>
          <w:rFonts w:ascii="Times New Roman" w:hAnsi="Times New Roman"/>
          <w:sz w:val="28"/>
          <w:szCs w:val="28"/>
          <w:lang w:val="lv-LV" w:bidi="en-US"/>
        </w:rPr>
        <w:t>.tabulā</w:t>
      </w:r>
      <w:r w:rsidR="007D0FB9" w:rsidRPr="009179E5">
        <w:rPr>
          <w:rFonts w:ascii="Times New Roman" w:hAnsi="Times New Roman"/>
          <w:sz w:val="28"/>
          <w:szCs w:val="28"/>
          <w:lang w:val="lv-LV" w:bidi="en-US"/>
        </w:rPr>
        <w:t>.</w:t>
      </w:r>
    </w:p>
    <w:p w:rsidR="007D0FB9" w:rsidRPr="009179E5" w:rsidRDefault="00FC5C11"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lastRenderedPageBreak/>
        <w:t>Baltoties uz Valsts Zemes dienesta sniegto informāciju, nekustamā īpašuma valsts kadastra informācijas sistēmā u</w:t>
      </w:r>
      <w:r w:rsidR="007D0FB9" w:rsidRPr="009179E5">
        <w:rPr>
          <w:rFonts w:ascii="Times New Roman" w:hAnsi="Times New Roman"/>
          <w:sz w:val="28"/>
          <w:szCs w:val="28"/>
          <w:lang w:val="lv-LV"/>
        </w:rPr>
        <w:t xml:space="preserve">z 2010. gada 1. janvāri bija reģistrētas 1,34 milj. ēkas, tajā skaitā dažāda tipa palīgēkas (560 tūkst.) un lauku saimniecību nedzīvojamās ēkas (317 tūkst.). Pēc aplēsēm pastāvīgi enerģiju patērējošu ēku skaits ir vairāk par 400 </w:t>
      </w:r>
      <w:r w:rsidRPr="009179E5">
        <w:rPr>
          <w:rFonts w:ascii="Times New Roman" w:hAnsi="Times New Roman"/>
          <w:sz w:val="28"/>
          <w:szCs w:val="28"/>
          <w:lang w:val="lv-LV"/>
        </w:rPr>
        <w:t>000</w:t>
      </w:r>
      <w:r w:rsidR="007D0FB9" w:rsidRPr="009179E5">
        <w:rPr>
          <w:rFonts w:ascii="Times New Roman" w:hAnsi="Times New Roman"/>
          <w:sz w:val="28"/>
          <w:szCs w:val="28"/>
          <w:lang w:val="lv-LV"/>
        </w:rPr>
        <w:t>.</w:t>
      </w:r>
      <w:r w:rsidR="00DB48CD" w:rsidRPr="009179E5">
        <w:rPr>
          <w:rFonts w:ascii="Times New Roman" w:hAnsi="Times New Roman"/>
          <w:sz w:val="28"/>
          <w:szCs w:val="28"/>
          <w:lang w:val="lv-LV"/>
        </w:rPr>
        <w:t xml:space="preserve"> Informācijas apkopojums sniegts </w:t>
      </w:r>
      <w:r w:rsidR="001874C2" w:rsidRPr="009179E5">
        <w:rPr>
          <w:rFonts w:ascii="Times New Roman" w:hAnsi="Times New Roman"/>
          <w:sz w:val="28"/>
          <w:szCs w:val="28"/>
          <w:lang w:val="lv-LV"/>
        </w:rPr>
        <w:t>26</w:t>
      </w:r>
      <w:r w:rsidR="00DB48CD" w:rsidRPr="009179E5">
        <w:rPr>
          <w:rFonts w:ascii="Times New Roman" w:hAnsi="Times New Roman"/>
          <w:sz w:val="28"/>
          <w:szCs w:val="28"/>
          <w:lang w:val="lv-LV"/>
        </w:rPr>
        <w:t xml:space="preserve">.tabulā. </w:t>
      </w:r>
    </w:p>
    <w:tbl>
      <w:tblPr>
        <w:tblW w:w="9040" w:type="dxa"/>
        <w:tblInd w:w="93" w:type="dxa"/>
        <w:tblCellMar>
          <w:left w:w="0" w:type="dxa"/>
          <w:right w:w="0" w:type="dxa"/>
        </w:tblCellMar>
        <w:tblLook w:val="04A0"/>
      </w:tblPr>
      <w:tblGrid>
        <w:gridCol w:w="5960"/>
        <w:gridCol w:w="1600"/>
        <w:gridCol w:w="1480"/>
      </w:tblGrid>
      <w:tr w:rsidR="007D0FB9" w:rsidRPr="009179E5" w:rsidTr="004F7F14">
        <w:trPr>
          <w:trHeight w:val="315"/>
        </w:trPr>
        <w:tc>
          <w:tcPr>
            <w:tcW w:w="9040" w:type="dxa"/>
            <w:gridSpan w:val="3"/>
            <w:tcBorders>
              <w:top w:val="nil"/>
              <w:left w:val="nil"/>
              <w:bottom w:val="single" w:sz="4" w:space="0" w:color="auto"/>
              <w:right w:val="nil"/>
            </w:tcBorders>
            <w:noWrap/>
            <w:tcMar>
              <w:top w:w="0" w:type="dxa"/>
              <w:left w:w="108" w:type="dxa"/>
              <w:bottom w:w="0" w:type="dxa"/>
              <w:right w:w="108" w:type="dxa"/>
            </w:tcMar>
            <w:vAlign w:val="bottom"/>
            <w:hideMark/>
          </w:tcPr>
          <w:p w:rsidR="00DB48CD" w:rsidRPr="009179E5" w:rsidRDefault="001874C2" w:rsidP="00E42846">
            <w:pPr>
              <w:pStyle w:val="Caption"/>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t>26</w:t>
            </w:r>
            <w:r w:rsidR="007D0FB9" w:rsidRPr="009179E5">
              <w:rPr>
                <w:rFonts w:ascii="Times New Roman" w:hAnsi="Times New Roman"/>
                <w:sz w:val="24"/>
                <w:szCs w:val="24"/>
                <w:lang w:val="lv-LV"/>
              </w:rPr>
              <w:t xml:space="preserve">.tabula  </w:t>
            </w:r>
          </w:p>
          <w:p w:rsidR="007D0FB9" w:rsidRPr="009179E5" w:rsidRDefault="007D0FB9" w:rsidP="00E42846">
            <w:pPr>
              <w:pStyle w:val="Caption"/>
              <w:spacing w:after="0" w:line="240" w:lineRule="auto"/>
              <w:jc w:val="center"/>
              <w:rPr>
                <w:rFonts w:ascii="Times New Roman" w:hAnsi="Times New Roman"/>
                <w:color w:val="000000"/>
                <w:sz w:val="28"/>
                <w:szCs w:val="28"/>
                <w:lang w:val="lv-LV"/>
              </w:rPr>
            </w:pPr>
            <w:r w:rsidRPr="009179E5">
              <w:rPr>
                <w:rFonts w:ascii="Times New Roman" w:hAnsi="Times New Roman"/>
                <w:sz w:val="24"/>
                <w:szCs w:val="24"/>
                <w:lang w:val="lv-LV"/>
              </w:rPr>
              <w:t>Ēku sadalījums pēc to galvenā lietošanas veida (</w:t>
            </w:r>
            <w:r w:rsidR="00DB48CD" w:rsidRPr="009179E5">
              <w:rPr>
                <w:rFonts w:ascii="Times New Roman" w:hAnsi="Times New Roman"/>
                <w:sz w:val="24"/>
                <w:szCs w:val="24"/>
                <w:lang w:val="lv-LV"/>
              </w:rPr>
              <w:t xml:space="preserve">avots: </w:t>
            </w:r>
            <w:r w:rsidRPr="009179E5">
              <w:rPr>
                <w:rFonts w:ascii="Times New Roman" w:hAnsi="Times New Roman"/>
                <w:sz w:val="24"/>
                <w:szCs w:val="24"/>
                <w:lang w:val="lv-LV"/>
              </w:rPr>
              <w:t>NĪVKIS </w:t>
            </w:r>
            <w:r w:rsidR="00DB48CD" w:rsidRPr="009179E5">
              <w:rPr>
                <w:rFonts w:ascii="Times New Roman" w:hAnsi="Times New Roman"/>
                <w:sz w:val="24"/>
                <w:szCs w:val="24"/>
                <w:lang w:val="lv-LV"/>
              </w:rPr>
              <w:t xml:space="preserve">uz </w:t>
            </w:r>
            <w:r w:rsidRPr="009179E5">
              <w:rPr>
                <w:rFonts w:ascii="Times New Roman" w:hAnsi="Times New Roman"/>
                <w:sz w:val="24"/>
                <w:szCs w:val="24"/>
                <w:lang w:val="lv-LV"/>
              </w:rPr>
              <w:t>01.01.2010.)</w:t>
            </w:r>
          </w:p>
        </w:tc>
      </w:tr>
      <w:tr w:rsidR="007D0FB9" w:rsidRPr="009179E5" w:rsidTr="004F7F14">
        <w:trPr>
          <w:trHeight w:val="315"/>
        </w:trPr>
        <w:tc>
          <w:tcPr>
            <w:tcW w:w="5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FB9" w:rsidRPr="009179E5" w:rsidRDefault="007D0FB9" w:rsidP="00E42846">
            <w:pPr>
              <w:spacing w:after="0" w:line="240" w:lineRule="auto"/>
              <w:jc w:val="both"/>
              <w:rPr>
                <w:rFonts w:ascii="Times New Roman" w:hAnsi="Times New Roman"/>
                <w:b/>
                <w:sz w:val="20"/>
                <w:szCs w:val="20"/>
                <w:lang w:val="lv-LV"/>
              </w:rPr>
            </w:pPr>
            <w:r w:rsidRPr="009179E5">
              <w:rPr>
                <w:rFonts w:ascii="Times New Roman" w:hAnsi="Times New Roman"/>
                <w:b/>
                <w:sz w:val="20"/>
                <w:szCs w:val="20"/>
                <w:lang w:val="lv-LV"/>
              </w:rPr>
              <w:t>Galvenais lietošanas veids</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FB9" w:rsidRPr="009179E5" w:rsidRDefault="007D0FB9" w:rsidP="00E42846">
            <w:pPr>
              <w:spacing w:after="0" w:line="240" w:lineRule="auto"/>
              <w:jc w:val="center"/>
              <w:rPr>
                <w:rFonts w:ascii="Times New Roman" w:hAnsi="Times New Roman"/>
                <w:b/>
                <w:sz w:val="20"/>
                <w:szCs w:val="20"/>
                <w:lang w:val="lv-LV"/>
              </w:rPr>
            </w:pPr>
            <w:r w:rsidRPr="009179E5">
              <w:rPr>
                <w:rFonts w:ascii="Times New Roman" w:hAnsi="Times New Roman"/>
                <w:b/>
                <w:sz w:val="20"/>
                <w:szCs w:val="20"/>
                <w:lang w:val="lv-LV"/>
              </w:rPr>
              <w:t>Ēku skaits</w:t>
            </w:r>
          </w:p>
        </w:tc>
        <w:tc>
          <w:tcPr>
            <w:tcW w:w="1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FB9" w:rsidRPr="009179E5" w:rsidRDefault="007D0FB9" w:rsidP="00E42846">
            <w:pPr>
              <w:spacing w:after="0" w:line="240" w:lineRule="auto"/>
              <w:jc w:val="center"/>
              <w:rPr>
                <w:rFonts w:ascii="Times New Roman" w:hAnsi="Times New Roman"/>
                <w:b/>
                <w:sz w:val="20"/>
                <w:szCs w:val="20"/>
                <w:lang w:val="lv-LV"/>
              </w:rPr>
            </w:pPr>
            <w:r w:rsidRPr="009179E5">
              <w:rPr>
                <w:rFonts w:ascii="Times New Roman" w:hAnsi="Times New Roman"/>
                <w:b/>
                <w:sz w:val="20"/>
                <w:szCs w:val="20"/>
                <w:lang w:val="lv-LV"/>
              </w:rPr>
              <w:t>%</w:t>
            </w:r>
          </w:p>
        </w:tc>
      </w:tr>
      <w:tr w:rsidR="007D0FB9" w:rsidRPr="009179E5" w:rsidTr="004F7F14">
        <w:trPr>
          <w:trHeight w:val="315"/>
        </w:trPr>
        <w:tc>
          <w:tcPr>
            <w:tcW w:w="5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Viena un divu dzīvokļu mājas</w:t>
            </w:r>
          </w:p>
        </w:tc>
        <w:tc>
          <w:tcPr>
            <w:tcW w:w="1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312 752</w:t>
            </w:r>
          </w:p>
        </w:tc>
        <w:tc>
          <w:tcPr>
            <w:tcW w:w="14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76.9%</w:t>
            </w:r>
          </w:p>
        </w:tc>
      </w:tr>
      <w:tr w:rsidR="007D0FB9" w:rsidRPr="009179E5" w:rsidTr="004F7F14">
        <w:trPr>
          <w:trHeight w:val="315"/>
        </w:trPr>
        <w:tc>
          <w:tcPr>
            <w:tcW w:w="5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Daudzdzīvokļu mājas</w:t>
            </w:r>
          </w:p>
        </w:tc>
        <w:tc>
          <w:tcPr>
            <w:tcW w:w="1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38 562</w:t>
            </w:r>
          </w:p>
        </w:tc>
        <w:tc>
          <w:tcPr>
            <w:tcW w:w="14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9.5%</w:t>
            </w:r>
          </w:p>
        </w:tc>
      </w:tr>
      <w:tr w:rsidR="007D0FB9" w:rsidRPr="009179E5" w:rsidTr="004F7F14">
        <w:trPr>
          <w:trHeight w:val="315"/>
        </w:trPr>
        <w:tc>
          <w:tcPr>
            <w:tcW w:w="5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Sociālo grupu kopdzīvojamās mājas</w:t>
            </w:r>
          </w:p>
        </w:tc>
        <w:tc>
          <w:tcPr>
            <w:tcW w:w="1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795</w:t>
            </w:r>
          </w:p>
        </w:tc>
        <w:tc>
          <w:tcPr>
            <w:tcW w:w="14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0.2%</w:t>
            </w:r>
          </w:p>
        </w:tc>
      </w:tr>
      <w:tr w:rsidR="007D0FB9" w:rsidRPr="009179E5" w:rsidTr="004F7F14">
        <w:trPr>
          <w:trHeight w:val="315"/>
        </w:trPr>
        <w:tc>
          <w:tcPr>
            <w:tcW w:w="5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Dzīvojamās ēkas kopā:</w:t>
            </w:r>
          </w:p>
        </w:tc>
        <w:tc>
          <w:tcPr>
            <w:tcW w:w="1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ind w:firstLine="201"/>
              <w:jc w:val="center"/>
              <w:rPr>
                <w:rFonts w:ascii="Times New Roman" w:hAnsi="Times New Roman"/>
                <w:sz w:val="20"/>
                <w:szCs w:val="20"/>
                <w:lang w:val="lv-LV"/>
              </w:rPr>
            </w:pPr>
            <w:r w:rsidRPr="009179E5">
              <w:rPr>
                <w:rFonts w:ascii="Times New Roman" w:hAnsi="Times New Roman"/>
                <w:sz w:val="20"/>
                <w:szCs w:val="20"/>
                <w:lang w:val="lv-LV"/>
              </w:rPr>
              <w:t>352 109</w:t>
            </w:r>
          </w:p>
        </w:tc>
        <w:tc>
          <w:tcPr>
            <w:tcW w:w="14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ind w:firstLine="201"/>
              <w:jc w:val="center"/>
              <w:rPr>
                <w:rFonts w:ascii="Times New Roman" w:hAnsi="Times New Roman"/>
                <w:sz w:val="20"/>
                <w:szCs w:val="20"/>
                <w:lang w:val="lv-LV"/>
              </w:rPr>
            </w:pPr>
            <w:r w:rsidRPr="009179E5">
              <w:rPr>
                <w:rFonts w:ascii="Times New Roman" w:hAnsi="Times New Roman"/>
                <w:sz w:val="20"/>
                <w:szCs w:val="20"/>
                <w:lang w:val="lv-LV"/>
              </w:rPr>
              <w:t>86.6%</w:t>
            </w:r>
          </w:p>
        </w:tc>
      </w:tr>
      <w:tr w:rsidR="007D0FB9" w:rsidRPr="009179E5" w:rsidTr="004F7F14">
        <w:trPr>
          <w:trHeight w:val="315"/>
        </w:trPr>
        <w:tc>
          <w:tcPr>
            <w:tcW w:w="5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Rūpnieciskās ražošanas ēkas</w:t>
            </w:r>
          </w:p>
        </w:tc>
        <w:tc>
          <w:tcPr>
            <w:tcW w:w="1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20 987</w:t>
            </w:r>
          </w:p>
        </w:tc>
        <w:tc>
          <w:tcPr>
            <w:tcW w:w="14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5.2%</w:t>
            </w:r>
          </w:p>
        </w:tc>
      </w:tr>
      <w:tr w:rsidR="007D0FB9" w:rsidRPr="009179E5" w:rsidTr="004F7F14">
        <w:trPr>
          <w:trHeight w:val="315"/>
        </w:trPr>
        <w:tc>
          <w:tcPr>
            <w:tcW w:w="5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Vairumtirdzniecības un mazumtirdzniecības ēkas</w:t>
            </w:r>
          </w:p>
        </w:tc>
        <w:tc>
          <w:tcPr>
            <w:tcW w:w="1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11 154</w:t>
            </w:r>
          </w:p>
        </w:tc>
        <w:tc>
          <w:tcPr>
            <w:tcW w:w="14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2.7%</w:t>
            </w:r>
          </w:p>
        </w:tc>
      </w:tr>
      <w:tr w:rsidR="007D0FB9" w:rsidRPr="009179E5" w:rsidTr="004F7F14">
        <w:trPr>
          <w:trHeight w:val="315"/>
        </w:trPr>
        <w:tc>
          <w:tcPr>
            <w:tcW w:w="5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Biroju ēkas</w:t>
            </w:r>
          </w:p>
        </w:tc>
        <w:tc>
          <w:tcPr>
            <w:tcW w:w="1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7 357</w:t>
            </w:r>
          </w:p>
        </w:tc>
        <w:tc>
          <w:tcPr>
            <w:tcW w:w="14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1.8%</w:t>
            </w:r>
          </w:p>
        </w:tc>
      </w:tr>
      <w:tr w:rsidR="007D0FB9" w:rsidRPr="009179E5" w:rsidTr="004F7F14">
        <w:trPr>
          <w:trHeight w:val="315"/>
        </w:trPr>
        <w:tc>
          <w:tcPr>
            <w:tcW w:w="5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Viesnīcas un citas īslaicīgas apmešanās ēkas</w:t>
            </w:r>
          </w:p>
        </w:tc>
        <w:tc>
          <w:tcPr>
            <w:tcW w:w="1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4 665</w:t>
            </w:r>
          </w:p>
        </w:tc>
        <w:tc>
          <w:tcPr>
            <w:tcW w:w="14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1.1%</w:t>
            </w:r>
          </w:p>
        </w:tc>
      </w:tr>
      <w:tr w:rsidR="007D0FB9" w:rsidRPr="009179E5" w:rsidTr="004F7F14">
        <w:trPr>
          <w:trHeight w:val="315"/>
        </w:trPr>
        <w:tc>
          <w:tcPr>
            <w:tcW w:w="5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Skolas, universitātes un zinātniskās pētniecības ēkas</w:t>
            </w:r>
          </w:p>
        </w:tc>
        <w:tc>
          <w:tcPr>
            <w:tcW w:w="1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3 827</w:t>
            </w:r>
          </w:p>
        </w:tc>
        <w:tc>
          <w:tcPr>
            <w:tcW w:w="14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0.9%</w:t>
            </w:r>
          </w:p>
        </w:tc>
      </w:tr>
      <w:tr w:rsidR="007D0FB9" w:rsidRPr="009179E5" w:rsidTr="004F7F14">
        <w:trPr>
          <w:trHeight w:val="315"/>
        </w:trPr>
        <w:tc>
          <w:tcPr>
            <w:tcW w:w="5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Sakaru ēkas, stacijas, termināļi un ar tām saistītās ēkas</w:t>
            </w:r>
          </w:p>
        </w:tc>
        <w:tc>
          <w:tcPr>
            <w:tcW w:w="1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2 619</w:t>
            </w:r>
          </w:p>
        </w:tc>
        <w:tc>
          <w:tcPr>
            <w:tcW w:w="14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0.6%</w:t>
            </w:r>
          </w:p>
        </w:tc>
      </w:tr>
      <w:tr w:rsidR="007D0FB9" w:rsidRPr="009179E5" w:rsidTr="004F7F14">
        <w:trPr>
          <w:trHeight w:val="315"/>
        </w:trPr>
        <w:tc>
          <w:tcPr>
            <w:tcW w:w="5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Ārstniecības un veselības aprūpes ēkas</w:t>
            </w:r>
          </w:p>
        </w:tc>
        <w:tc>
          <w:tcPr>
            <w:tcW w:w="1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1 283</w:t>
            </w:r>
          </w:p>
        </w:tc>
        <w:tc>
          <w:tcPr>
            <w:tcW w:w="14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0.3%</w:t>
            </w:r>
          </w:p>
        </w:tc>
      </w:tr>
      <w:tr w:rsidR="007D0FB9" w:rsidRPr="009179E5" w:rsidTr="004F7F14">
        <w:trPr>
          <w:trHeight w:val="315"/>
        </w:trPr>
        <w:tc>
          <w:tcPr>
            <w:tcW w:w="5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Plašizklaides pasākumu ēkas</w:t>
            </w:r>
          </w:p>
        </w:tc>
        <w:tc>
          <w:tcPr>
            <w:tcW w:w="1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1 179</w:t>
            </w:r>
          </w:p>
        </w:tc>
        <w:tc>
          <w:tcPr>
            <w:tcW w:w="14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0.3%</w:t>
            </w:r>
          </w:p>
        </w:tc>
      </w:tr>
      <w:tr w:rsidR="007D0FB9" w:rsidRPr="009179E5" w:rsidTr="004F7F14">
        <w:trPr>
          <w:trHeight w:val="315"/>
        </w:trPr>
        <w:tc>
          <w:tcPr>
            <w:tcW w:w="5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Sporta ēkas</w:t>
            </w:r>
          </w:p>
        </w:tc>
        <w:tc>
          <w:tcPr>
            <w:tcW w:w="1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981</w:t>
            </w:r>
          </w:p>
        </w:tc>
        <w:tc>
          <w:tcPr>
            <w:tcW w:w="14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0.2%</w:t>
            </w:r>
          </w:p>
        </w:tc>
      </w:tr>
      <w:tr w:rsidR="007D0FB9" w:rsidRPr="009179E5" w:rsidTr="004F7F14">
        <w:trPr>
          <w:trHeight w:val="315"/>
        </w:trPr>
        <w:tc>
          <w:tcPr>
            <w:tcW w:w="5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Muzeji un bibliotēkas</w:t>
            </w:r>
          </w:p>
        </w:tc>
        <w:tc>
          <w:tcPr>
            <w:tcW w:w="1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441</w:t>
            </w:r>
          </w:p>
        </w:tc>
        <w:tc>
          <w:tcPr>
            <w:tcW w:w="14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center"/>
              <w:rPr>
                <w:rFonts w:ascii="Times New Roman" w:hAnsi="Times New Roman"/>
                <w:sz w:val="20"/>
                <w:szCs w:val="20"/>
                <w:lang w:val="lv-LV"/>
              </w:rPr>
            </w:pPr>
            <w:r w:rsidRPr="009179E5">
              <w:rPr>
                <w:rFonts w:ascii="Times New Roman" w:hAnsi="Times New Roman"/>
                <w:sz w:val="20"/>
                <w:szCs w:val="20"/>
                <w:lang w:val="lv-LV"/>
              </w:rPr>
              <w:t>0.1%</w:t>
            </w:r>
          </w:p>
        </w:tc>
      </w:tr>
      <w:tr w:rsidR="007D0FB9" w:rsidRPr="009179E5" w:rsidTr="004F7F14">
        <w:trPr>
          <w:trHeight w:val="315"/>
        </w:trPr>
        <w:tc>
          <w:tcPr>
            <w:tcW w:w="5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both"/>
              <w:rPr>
                <w:rFonts w:ascii="Times New Roman" w:hAnsi="Times New Roman"/>
                <w:sz w:val="20"/>
                <w:szCs w:val="20"/>
                <w:lang w:val="lv-LV"/>
              </w:rPr>
            </w:pPr>
            <w:r w:rsidRPr="009179E5">
              <w:rPr>
                <w:rFonts w:ascii="Times New Roman" w:hAnsi="Times New Roman"/>
                <w:sz w:val="20"/>
                <w:szCs w:val="20"/>
                <w:lang w:val="lv-LV"/>
              </w:rPr>
              <w:t>Nedzīvojamās ēkas kopā:</w:t>
            </w:r>
          </w:p>
        </w:tc>
        <w:tc>
          <w:tcPr>
            <w:tcW w:w="16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ind w:firstLine="201"/>
              <w:jc w:val="center"/>
              <w:rPr>
                <w:rFonts w:ascii="Times New Roman" w:hAnsi="Times New Roman"/>
                <w:sz w:val="20"/>
                <w:szCs w:val="20"/>
                <w:lang w:val="lv-LV"/>
              </w:rPr>
            </w:pPr>
            <w:r w:rsidRPr="009179E5">
              <w:rPr>
                <w:rFonts w:ascii="Times New Roman" w:hAnsi="Times New Roman"/>
                <w:sz w:val="20"/>
                <w:szCs w:val="20"/>
                <w:lang w:val="lv-LV"/>
              </w:rPr>
              <w:t>54 493</w:t>
            </w:r>
          </w:p>
        </w:tc>
        <w:tc>
          <w:tcPr>
            <w:tcW w:w="14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ind w:firstLine="201"/>
              <w:jc w:val="center"/>
              <w:rPr>
                <w:rFonts w:ascii="Times New Roman" w:hAnsi="Times New Roman"/>
                <w:sz w:val="20"/>
                <w:szCs w:val="20"/>
                <w:lang w:val="lv-LV"/>
              </w:rPr>
            </w:pPr>
            <w:r w:rsidRPr="009179E5">
              <w:rPr>
                <w:rFonts w:ascii="Times New Roman" w:hAnsi="Times New Roman"/>
                <w:sz w:val="20"/>
                <w:szCs w:val="20"/>
                <w:lang w:val="lv-LV"/>
              </w:rPr>
              <w:t>13.4%</w:t>
            </w:r>
          </w:p>
        </w:tc>
      </w:tr>
      <w:tr w:rsidR="007D0FB9" w:rsidRPr="009179E5" w:rsidTr="004F7F14">
        <w:trPr>
          <w:trHeight w:val="315"/>
        </w:trPr>
        <w:tc>
          <w:tcPr>
            <w:tcW w:w="596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jc w:val="both"/>
              <w:rPr>
                <w:rFonts w:ascii="Times New Roman" w:hAnsi="Times New Roman"/>
                <w:b/>
                <w:sz w:val="20"/>
                <w:szCs w:val="20"/>
                <w:lang w:val="lv-LV"/>
              </w:rPr>
            </w:pPr>
            <w:r w:rsidRPr="009179E5">
              <w:rPr>
                <w:rFonts w:ascii="Times New Roman" w:hAnsi="Times New Roman"/>
                <w:b/>
                <w:sz w:val="20"/>
                <w:szCs w:val="20"/>
                <w:lang w:val="lv-LV"/>
              </w:rPr>
              <w:t>Kopā:</w:t>
            </w:r>
          </w:p>
        </w:tc>
        <w:tc>
          <w:tcPr>
            <w:tcW w:w="160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ind w:firstLine="201"/>
              <w:jc w:val="center"/>
              <w:rPr>
                <w:rFonts w:ascii="Times New Roman" w:hAnsi="Times New Roman"/>
                <w:b/>
                <w:sz w:val="20"/>
                <w:szCs w:val="20"/>
                <w:lang w:val="lv-LV"/>
              </w:rPr>
            </w:pPr>
            <w:r w:rsidRPr="009179E5">
              <w:rPr>
                <w:rFonts w:ascii="Times New Roman" w:hAnsi="Times New Roman"/>
                <w:b/>
                <w:sz w:val="20"/>
                <w:szCs w:val="20"/>
                <w:lang w:val="lv-LV"/>
              </w:rPr>
              <w:t>406 602</w:t>
            </w:r>
          </w:p>
        </w:tc>
        <w:tc>
          <w:tcPr>
            <w:tcW w:w="14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D0FB9" w:rsidRPr="009179E5" w:rsidRDefault="007D0FB9" w:rsidP="00E42846">
            <w:pPr>
              <w:spacing w:after="0" w:line="240" w:lineRule="auto"/>
              <w:ind w:firstLine="201"/>
              <w:jc w:val="center"/>
              <w:rPr>
                <w:rFonts w:ascii="Times New Roman" w:hAnsi="Times New Roman"/>
                <w:b/>
                <w:sz w:val="20"/>
                <w:szCs w:val="20"/>
                <w:lang w:val="lv-LV"/>
              </w:rPr>
            </w:pPr>
            <w:r w:rsidRPr="009179E5">
              <w:rPr>
                <w:rFonts w:ascii="Times New Roman" w:hAnsi="Times New Roman"/>
                <w:b/>
                <w:sz w:val="20"/>
                <w:szCs w:val="20"/>
                <w:lang w:val="lv-LV"/>
              </w:rPr>
              <w:t>100.0%</w:t>
            </w:r>
          </w:p>
        </w:tc>
      </w:tr>
    </w:tbl>
    <w:p w:rsidR="007D0FB9" w:rsidRDefault="007D0FB9"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Līdz šim visplašāk ir </w:t>
      </w:r>
      <w:r w:rsidR="007F2858" w:rsidRPr="009179E5">
        <w:rPr>
          <w:rFonts w:ascii="Times New Roman" w:hAnsi="Times New Roman"/>
          <w:sz w:val="28"/>
          <w:szCs w:val="28"/>
          <w:lang w:val="lv-LV"/>
        </w:rPr>
        <w:t>īstenoti</w:t>
      </w:r>
      <w:r w:rsidRPr="009179E5">
        <w:rPr>
          <w:rFonts w:ascii="Times New Roman" w:hAnsi="Times New Roman"/>
          <w:sz w:val="28"/>
          <w:szCs w:val="28"/>
          <w:lang w:val="lv-LV"/>
        </w:rPr>
        <w:t xml:space="preserve"> energoefektivitātes pasākumi daudzdzīvokļu dzīvojamo ēku sektorā (pasākumus skatīt sadaļā „Mājsaimniecību sektors”).</w:t>
      </w:r>
      <w:r w:rsidR="00706A49" w:rsidRPr="009179E5">
        <w:rPr>
          <w:rFonts w:ascii="Times New Roman" w:hAnsi="Times New Roman"/>
          <w:sz w:val="28"/>
          <w:szCs w:val="28"/>
          <w:lang w:val="lv-LV"/>
        </w:rPr>
        <w:t xml:space="preserve"> </w:t>
      </w:r>
      <w:r w:rsidRPr="009179E5">
        <w:rPr>
          <w:rFonts w:ascii="Times New Roman" w:hAnsi="Times New Roman"/>
          <w:sz w:val="28"/>
          <w:szCs w:val="28"/>
          <w:lang w:val="lv-LV"/>
        </w:rPr>
        <w:t xml:space="preserve">Taču dažāda veida energoefektivitātes pasākumi </w:t>
      </w:r>
      <w:r w:rsidR="007F2858" w:rsidRPr="009179E5">
        <w:rPr>
          <w:rFonts w:ascii="Times New Roman" w:hAnsi="Times New Roman"/>
          <w:sz w:val="28"/>
          <w:szCs w:val="28"/>
          <w:lang w:val="lv-LV"/>
        </w:rPr>
        <w:t>īstenoti</w:t>
      </w:r>
      <w:r w:rsidRPr="009179E5">
        <w:rPr>
          <w:rFonts w:ascii="Times New Roman" w:hAnsi="Times New Roman"/>
          <w:sz w:val="28"/>
          <w:szCs w:val="28"/>
          <w:lang w:val="lv-LV"/>
        </w:rPr>
        <w:t xml:space="preserve"> arī citām ēku grupām</w:t>
      </w:r>
      <w:r w:rsidR="00706A49" w:rsidRPr="009179E5">
        <w:rPr>
          <w:rFonts w:ascii="Times New Roman" w:hAnsi="Times New Roman"/>
          <w:sz w:val="28"/>
          <w:szCs w:val="28"/>
          <w:lang w:val="lv-LV"/>
        </w:rPr>
        <w:t xml:space="preserve"> –</w:t>
      </w:r>
      <w:r w:rsidRPr="009179E5">
        <w:rPr>
          <w:rFonts w:ascii="Times New Roman" w:hAnsi="Times New Roman"/>
          <w:sz w:val="28"/>
          <w:szCs w:val="28"/>
          <w:lang w:val="lv-LV"/>
        </w:rPr>
        <w:t xml:space="preserve"> izglītības</w:t>
      </w:r>
      <w:r w:rsidR="00706A49" w:rsidRPr="009179E5">
        <w:rPr>
          <w:rFonts w:ascii="Times New Roman" w:hAnsi="Times New Roman"/>
          <w:sz w:val="28"/>
          <w:szCs w:val="28"/>
          <w:lang w:val="lv-LV"/>
        </w:rPr>
        <w:t xml:space="preserve"> </w:t>
      </w:r>
      <w:r w:rsidRPr="009179E5">
        <w:rPr>
          <w:rFonts w:ascii="Times New Roman" w:hAnsi="Times New Roman"/>
          <w:sz w:val="28"/>
          <w:szCs w:val="28"/>
          <w:lang w:val="lv-LV"/>
        </w:rPr>
        <w:t>iestāžu ēkām, valsts un pašvaldību ēkām, rūpnieciskās ražošanas ēkām.</w:t>
      </w:r>
    </w:p>
    <w:p w:rsidR="001960CF" w:rsidRDefault="001960CF" w:rsidP="00574AC8">
      <w:pPr>
        <w:spacing w:before="120" w:after="120" w:line="240" w:lineRule="auto"/>
        <w:jc w:val="both"/>
        <w:rPr>
          <w:rFonts w:ascii="Times New Roman" w:hAnsi="Times New Roman"/>
          <w:sz w:val="28"/>
          <w:szCs w:val="28"/>
          <w:lang w:val="lv-LV"/>
        </w:rPr>
      </w:pPr>
    </w:p>
    <w:p w:rsidR="001960CF" w:rsidRDefault="001960CF" w:rsidP="00574AC8">
      <w:pPr>
        <w:spacing w:before="120" w:after="120" w:line="240" w:lineRule="auto"/>
        <w:jc w:val="both"/>
        <w:rPr>
          <w:rFonts w:ascii="Times New Roman" w:hAnsi="Times New Roman"/>
          <w:sz w:val="28"/>
          <w:szCs w:val="28"/>
          <w:lang w:val="lv-LV"/>
        </w:rPr>
      </w:pPr>
    </w:p>
    <w:p w:rsidR="001960CF" w:rsidRDefault="001960CF" w:rsidP="00574AC8">
      <w:pPr>
        <w:spacing w:before="120" w:after="120" w:line="240" w:lineRule="auto"/>
        <w:jc w:val="both"/>
        <w:rPr>
          <w:rFonts w:ascii="Times New Roman" w:hAnsi="Times New Roman"/>
          <w:sz w:val="28"/>
          <w:szCs w:val="28"/>
          <w:lang w:val="lv-LV"/>
        </w:rPr>
      </w:pPr>
    </w:p>
    <w:p w:rsidR="001960CF" w:rsidRDefault="001960CF" w:rsidP="00574AC8">
      <w:pPr>
        <w:spacing w:before="120" w:after="120" w:line="240" w:lineRule="auto"/>
        <w:jc w:val="both"/>
        <w:rPr>
          <w:rFonts w:ascii="Times New Roman" w:hAnsi="Times New Roman"/>
          <w:sz w:val="28"/>
          <w:szCs w:val="28"/>
          <w:lang w:val="lv-LV"/>
        </w:rPr>
      </w:pPr>
    </w:p>
    <w:p w:rsidR="001960CF" w:rsidRDefault="001960CF" w:rsidP="00574AC8">
      <w:pPr>
        <w:spacing w:before="120" w:after="120" w:line="240" w:lineRule="auto"/>
        <w:jc w:val="both"/>
        <w:rPr>
          <w:rFonts w:ascii="Times New Roman" w:hAnsi="Times New Roman"/>
          <w:sz w:val="28"/>
          <w:szCs w:val="28"/>
          <w:lang w:val="lv-LV"/>
        </w:rPr>
      </w:pPr>
    </w:p>
    <w:p w:rsidR="001960CF" w:rsidRDefault="001960CF" w:rsidP="00574AC8">
      <w:pPr>
        <w:spacing w:before="120" w:after="120" w:line="240" w:lineRule="auto"/>
        <w:jc w:val="both"/>
        <w:rPr>
          <w:rFonts w:ascii="Times New Roman" w:hAnsi="Times New Roman"/>
          <w:sz w:val="28"/>
          <w:szCs w:val="28"/>
          <w:lang w:val="lv-LV"/>
        </w:rPr>
      </w:pPr>
    </w:p>
    <w:p w:rsidR="001960CF" w:rsidRDefault="001960CF" w:rsidP="00574AC8">
      <w:pPr>
        <w:spacing w:before="120" w:after="120" w:line="240" w:lineRule="auto"/>
        <w:jc w:val="both"/>
        <w:rPr>
          <w:rFonts w:ascii="Times New Roman" w:hAnsi="Times New Roman"/>
          <w:sz w:val="28"/>
          <w:szCs w:val="28"/>
          <w:lang w:val="lv-LV"/>
        </w:rPr>
      </w:pPr>
    </w:p>
    <w:p w:rsidR="001960CF" w:rsidRDefault="001960CF" w:rsidP="00574AC8">
      <w:pPr>
        <w:spacing w:before="120" w:after="120" w:line="240" w:lineRule="auto"/>
        <w:jc w:val="both"/>
        <w:rPr>
          <w:rFonts w:ascii="Times New Roman" w:hAnsi="Times New Roman"/>
          <w:sz w:val="28"/>
          <w:szCs w:val="28"/>
          <w:lang w:val="lv-LV"/>
        </w:rPr>
      </w:pPr>
    </w:p>
    <w:p w:rsidR="001960CF" w:rsidRPr="009179E5" w:rsidRDefault="001960CF" w:rsidP="00574AC8">
      <w:pPr>
        <w:spacing w:before="120" w:after="120" w:line="240" w:lineRule="auto"/>
        <w:jc w:val="both"/>
        <w:rPr>
          <w:rFonts w:ascii="Times New Roman" w:hAnsi="Times New Roman"/>
          <w:sz w:val="28"/>
          <w:szCs w:val="28"/>
          <w:lang w:val="lv-LV"/>
        </w:rPr>
      </w:pPr>
    </w:p>
    <w:p w:rsidR="007D0FB9" w:rsidRPr="009179E5" w:rsidRDefault="001874C2" w:rsidP="00E42846">
      <w:pPr>
        <w:pStyle w:val="Caption"/>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lastRenderedPageBreak/>
        <w:t>27</w:t>
      </w:r>
      <w:r w:rsidR="009D242A" w:rsidRPr="009179E5">
        <w:rPr>
          <w:rFonts w:ascii="Times New Roman" w:hAnsi="Times New Roman"/>
          <w:sz w:val="24"/>
          <w:szCs w:val="24"/>
          <w:lang w:val="lv-LV"/>
        </w:rPr>
        <w:t>.tabula</w:t>
      </w:r>
    </w:p>
    <w:p w:rsidR="007D0FB9" w:rsidRPr="009179E5" w:rsidRDefault="007D0FB9" w:rsidP="00E42846">
      <w:pPr>
        <w:pStyle w:val="Caption"/>
        <w:spacing w:after="0" w:line="240" w:lineRule="auto"/>
        <w:jc w:val="center"/>
        <w:rPr>
          <w:rFonts w:ascii="Times New Roman" w:hAnsi="Times New Roman"/>
          <w:sz w:val="24"/>
          <w:szCs w:val="24"/>
          <w:lang w:val="lv-LV"/>
        </w:rPr>
      </w:pPr>
      <w:r w:rsidRPr="009179E5">
        <w:rPr>
          <w:rFonts w:ascii="Times New Roman" w:hAnsi="Times New Roman"/>
          <w:sz w:val="24"/>
          <w:szCs w:val="24"/>
          <w:lang w:val="lv-LV"/>
        </w:rPr>
        <w:t>Energoefektivitātes paaugstināšanas pasākum</w:t>
      </w:r>
      <w:r w:rsidR="009D242A" w:rsidRPr="009179E5">
        <w:rPr>
          <w:rFonts w:ascii="Times New Roman" w:hAnsi="Times New Roman"/>
          <w:sz w:val="24"/>
          <w:szCs w:val="24"/>
          <w:lang w:val="lv-LV"/>
        </w:rPr>
        <w:t>u</w:t>
      </w:r>
      <w:r w:rsidRPr="009179E5">
        <w:rPr>
          <w:rFonts w:ascii="Times New Roman" w:hAnsi="Times New Roman"/>
          <w:sz w:val="24"/>
          <w:szCs w:val="24"/>
          <w:lang w:val="lv-LV"/>
        </w:rPr>
        <w:t xml:space="preserve"> ēku sektorā</w:t>
      </w:r>
      <w:r w:rsidR="009D242A" w:rsidRPr="009179E5">
        <w:rPr>
          <w:rFonts w:ascii="Times New Roman" w:hAnsi="Times New Roman"/>
          <w:sz w:val="24"/>
          <w:szCs w:val="24"/>
          <w:lang w:val="lv-LV"/>
        </w:rPr>
        <w:t xml:space="preserve"> </w:t>
      </w:r>
      <w:r w:rsidRPr="009179E5">
        <w:rPr>
          <w:rFonts w:ascii="Times New Roman" w:hAnsi="Times New Roman"/>
          <w:sz w:val="24"/>
          <w:szCs w:val="24"/>
          <w:lang w:val="lv-LV"/>
        </w:rPr>
        <w:t>kopsavilkuma 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8"/>
        <w:gridCol w:w="3337"/>
        <w:gridCol w:w="3657"/>
        <w:gridCol w:w="1361"/>
      </w:tblGrid>
      <w:tr w:rsidR="007A2876" w:rsidRPr="009179E5" w:rsidTr="004F7F14">
        <w:tc>
          <w:tcPr>
            <w:tcW w:w="481" w:type="pct"/>
          </w:tcPr>
          <w:p w:rsidR="007A2876" w:rsidRPr="009179E5" w:rsidRDefault="007A2876" w:rsidP="004F7F14">
            <w:pPr>
              <w:pStyle w:val="Tabletext"/>
              <w:keepNext/>
              <w:keepLines/>
              <w:spacing w:before="0" w:after="0" w:line="240" w:lineRule="auto"/>
              <w:rPr>
                <w:rFonts w:ascii="Times New Roman" w:hAnsi="Times New Roman"/>
                <w:b/>
                <w:szCs w:val="18"/>
                <w:lang w:val="lv-LV"/>
              </w:rPr>
            </w:pPr>
            <w:r w:rsidRPr="009179E5">
              <w:rPr>
                <w:rFonts w:ascii="Times New Roman" w:hAnsi="Times New Roman"/>
                <w:b/>
                <w:szCs w:val="18"/>
                <w:lang w:val="lv-LV"/>
              </w:rPr>
              <w:t>Nr.</w:t>
            </w:r>
          </w:p>
        </w:tc>
        <w:tc>
          <w:tcPr>
            <w:tcW w:w="1805" w:type="pct"/>
          </w:tcPr>
          <w:p w:rsidR="007A2876" w:rsidRPr="009179E5" w:rsidRDefault="007A2876" w:rsidP="004F7F14">
            <w:pPr>
              <w:pStyle w:val="Tabletext"/>
              <w:keepNext/>
              <w:keepLines/>
              <w:spacing w:before="0" w:after="0" w:line="240" w:lineRule="auto"/>
              <w:jc w:val="left"/>
              <w:rPr>
                <w:rFonts w:ascii="Times New Roman" w:hAnsi="Times New Roman"/>
                <w:b/>
                <w:szCs w:val="18"/>
                <w:lang w:val="lv-LV"/>
              </w:rPr>
            </w:pPr>
            <w:r w:rsidRPr="009179E5">
              <w:rPr>
                <w:rFonts w:ascii="Times New Roman" w:hAnsi="Times New Roman"/>
                <w:b/>
                <w:szCs w:val="18"/>
                <w:lang w:val="lv-LV"/>
              </w:rPr>
              <w:t>Pasākums</w:t>
            </w:r>
          </w:p>
        </w:tc>
        <w:tc>
          <w:tcPr>
            <w:tcW w:w="1978" w:type="pct"/>
          </w:tcPr>
          <w:p w:rsidR="007A2876" w:rsidRPr="009179E5" w:rsidRDefault="007A2876" w:rsidP="004F7F14">
            <w:pPr>
              <w:pStyle w:val="Tabletext"/>
              <w:keepNext/>
              <w:keepLines/>
              <w:spacing w:before="0" w:after="0" w:line="240" w:lineRule="auto"/>
              <w:jc w:val="left"/>
              <w:rPr>
                <w:rFonts w:ascii="Times New Roman" w:hAnsi="Times New Roman"/>
                <w:b/>
                <w:szCs w:val="18"/>
                <w:lang w:val="lv-LV"/>
              </w:rPr>
            </w:pPr>
            <w:r w:rsidRPr="009179E5">
              <w:rPr>
                <w:rFonts w:ascii="Times New Roman" w:hAnsi="Times New Roman"/>
                <w:b/>
                <w:szCs w:val="18"/>
                <w:lang w:val="lv-LV"/>
              </w:rPr>
              <w:t>Mērķauditorija</w:t>
            </w:r>
          </w:p>
        </w:tc>
        <w:tc>
          <w:tcPr>
            <w:tcW w:w="736" w:type="pct"/>
          </w:tcPr>
          <w:p w:rsidR="007A2876" w:rsidRPr="009179E5" w:rsidRDefault="007A2876" w:rsidP="004F7F14">
            <w:pPr>
              <w:pStyle w:val="Tabletext"/>
              <w:keepNext/>
              <w:keepLines/>
              <w:spacing w:before="0" w:after="0" w:line="240" w:lineRule="auto"/>
              <w:rPr>
                <w:rFonts w:ascii="Times New Roman" w:hAnsi="Times New Roman"/>
                <w:b/>
                <w:szCs w:val="18"/>
                <w:lang w:val="lv-LV"/>
              </w:rPr>
            </w:pPr>
            <w:r w:rsidRPr="009179E5">
              <w:rPr>
                <w:rFonts w:ascii="Times New Roman" w:hAnsi="Times New Roman"/>
                <w:b/>
                <w:szCs w:val="18"/>
                <w:lang w:val="lv-LV"/>
              </w:rPr>
              <w:t>Periods</w:t>
            </w:r>
          </w:p>
        </w:tc>
      </w:tr>
      <w:tr w:rsidR="007A2876" w:rsidRPr="009179E5" w:rsidTr="004F7F14">
        <w:tc>
          <w:tcPr>
            <w:tcW w:w="481" w:type="pct"/>
          </w:tcPr>
          <w:p w:rsidR="007A2876" w:rsidRPr="009179E5" w:rsidRDefault="007A2876" w:rsidP="004F7F14">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MA.1.1.</w:t>
            </w:r>
          </w:p>
        </w:tc>
        <w:tc>
          <w:tcPr>
            <w:tcW w:w="1805" w:type="pct"/>
          </w:tcPr>
          <w:p w:rsidR="007A2876" w:rsidRPr="009179E5" w:rsidRDefault="007A2876" w:rsidP="004F7F14">
            <w:pPr>
              <w:pStyle w:val="Tabletext"/>
              <w:keepNext/>
              <w:keepLines/>
              <w:spacing w:before="0" w:after="0" w:line="240" w:lineRule="auto"/>
              <w:rPr>
                <w:rFonts w:ascii="Times New Roman" w:hAnsi="Times New Roman"/>
                <w:szCs w:val="18"/>
                <w:lang w:val="lv-LV"/>
              </w:rPr>
            </w:pPr>
            <w:r w:rsidRPr="009179E5">
              <w:rPr>
                <w:rFonts w:ascii="Times New Roman" w:hAnsi="Times New Roman"/>
                <w:bCs/>
                <w:szCs w:val="18"/>
                <w:lang w:val="lv-LV"/>
              </w:rPr>
              <w:t>Darbības programmas „Infrastruktūra un pakalpojumi” papildinājuma 3.4.4.1.aktivitāte „Daudzdzīvokļu māju siltumnoturības uzlabošanas pasākumi”</w:t>
            </w:r>
          </w:p>
        </w:tc>
        <w:tc>
          <w:tcPr>
            <w:tcW w:w="1978" w:type="pct"/>
          </w:tcPr>
          <w:p w:rsidR="007A2876" w:rsidRPr="009179E5" w:rsidRDefault="007A2876" w:rsidP="004F7F14">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 xml:space="preserve">Daudzdzīvokļu māju dzīvokļu īpašnieki </w:t>
            </w:r>
          </w:p>
        </w:tc>
        <w:tc>
          <w:tcPr>
            <w:tcW w:w="736" w:type="pct"/>
          </w:tcPr>
          <w:p w:rsidR="007A2876" w:rsidRPr="009179E5" w:rsidRDefault="007A2876" w:rsidP="004F7F14">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11.02.2009. līdz 31.12.2013.</w:t>
            </w:r>
          </w:p>
        </w:tc>
      </w:tr>
      <w:tr w:rsidR="007A2876" w:rsidRPr="009179E5" w:rsidTr="004F7F14">
        <w:tc>
          <w:tcPr>
            <w:tcW w:w="481" w:type="pct"/>
          </w:tcPr>
          <w:p w:rsidR="007A2876" w:rsidRPr="009179E5" w:rsidRDefault="007A2876" w:rsidP="004F7F14">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MA.1.2.</w:t>
            </w:r>
          </w:p>
        </w:tc>
        <w:tc>
          <w:tcPr>
            <w:tcW w:w="1805" w:type="pct"/>
          </w:tcPr>
          <w:p w:rsidR="007A2876" w:rsidRPr="009179E5" w:rsidRDefault="007A2876" w:rsidP="004F7F14">
            <w:pPr>
              <w:pStyle w:val="Tabletext"/>
              <w:keepNext/>
              <w:keepLines/>
              <w:spacing w:before="0" w:after="0" w:line="240" w:lineRule="auto"/>
              <w:rPr>
                <w:rFonts w:ascii="Times New Roman" w:hAnsi="Times New Roman"/>
                <w:szCs w:val="18"/>
                <w:lang w:val="lv-LV"/>
              </w:rPr>
            </w:pPr>
            <w:r w:rsidRPr="009179E5">
              <w:rPr>
                <w:rFonts w:ascii="Times New Roman" w:hAnsi="Times New Roman"/>
                <w:bCs/>
                <w:szCs w:val="18"/>
                <w:lang w:val="lv-LV"/>
              </w:rPr>
              <w:t>Darbības programmas „Infrastruktūra un pakalpojumi” papildinājuma 3.4.4.2.aktivitāte „Sociālo dzīvojamo māju siltumnoturības uzlabošanas pasākumi”</w:t>
            </w:r>
          </w:p>
        </w:tc>
        <w:tc>
          <w:tcPr>
            <w:tcW w:w="1978" w:type="pct"/>
          </w:tcPr>
          <w:p w:rsidR="007A2876" w:rsidRPr="009179E5" w:rsidRDefault="007A2876" w:rsidP="004F7F14">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Sociālo dzīvojamo māju dzīvokļu īrnieki</w:t>
            </w:r>
          </w:p>
        </w:tc>
        <w:tc>
          <w:tcPr>
            <w:tcW w:w="736" w:type="pct"/>
          </w:tcPr>
          <w:p w:rsidR="007A2876" w:rsidRPr="009179E5" w:rsidRDefault="007A2876" w:rsidP="004F7F14">
            <w:pPr>
              <w:spacing w:after="0" w:line="240" w:lineRule="auto"/>
              <w:rPr>
                <w:rFonts w:ascii="Times New Roman" w:hAnsi="Times New Roman"/>
                <w:sz w:val="18"/>
                <w:szCs w:val="18"/>
                <w:lang w:val="lv-LV"/>
              </w:rPr>
            </w:pPr>
            <w:r w:rsidRPr="009179E5">
              <w:rPr>
                <w:rFonts w:ascii="Times New Roman" w:hAnsi="Times New Roman"/>
                <w:sz w:val="18"/>
                <w:szCs w:val="18"/>
                <w:lang w:val="lv-LV"/>
              </w:rPr>
              <w:t>16.01.2008. līdz 31.12.2013.</w:t>
            </w:r>
          </w:p>
        </w:tc>
      </w:tr>
      <w:tr w:rsidR="007A2876" w:rsidRPr="009179E5" w:rsidTr="004F7F14">
        <w:tc>
          <w:tcPr>
            <w:tcW w:w="481" w:type="pct"/>
          </w:tcPr>
          <w:p w:rsidR="007A2876" w:rsidRPr="009179E5" w:rsidRDefault="007A2876" w:rsidP="004F7F14">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MA.1.3.</w:t>
            </w:r>
          </w:p>
        </w:tc>
        <w:tc>
          <w:tcPr>
            <w:tcW w:w="1805" w:type="pct"/>
          </w:tcPr>
          <w:p w:rsidR="007A2876" w:rsidRPr="009179E5" w:rsidRDefault="007A2876" w:rsidP="004F7F14">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 xml:space="preserve">Informatīvā kampaņa “Dzīvosim siltāk” daudzdzīvokļu dzīvojamo māju iedzīvotājiem </w:t>
            </w:r>
          </w:p>
        </w:tc>
        <w:tc>
          <w:tcPr>
            <w:tcW w:w="1978" w:type="pct"/>
          </w:tcPr>
          <w:p w:rsidR="007A2876" w:rsidRPr="009179E5" w:rsidRDefault="007A2876" w:rsidP="004F7F14">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Daudzdzīvokļu māju dzīvokļu īpašnieki</w:t>
            </w:r>
          </w:p>
        </w:tc>
        <w:tc>
          <w:tcPr>
            <w:tcW w:w="736" w:type="pct"/>
          </w:tcPr>
          <w:p w:rsidR="007A2876" w:rsidRPr="009179E5" w:rsidRDefault="007A2876" w:rsidP="004F7F14">
            <w:pPr>
              <w:spacing w:after="0" w:line="240" w:lineRule="auto"/>
              <w:rPr>
                <w:rFonts w:ascii="Times New Roman" w:hAnsi="Times New Roman"/>
                <w:sz w:val="18"/>
                <w:szCs w:val="18"/>
                <w:lang w:val="lv-LV"/>
              </w:rPr>
            </w:pPr>
            <w:r w:rsidRPr="009179E5">
              <w:rPr>
                <w:rFonts w:ascii="Times New Roman" w:hAnsi="Times New Roman"/>
                <w:sz w:val="18"/>
                <w:szCs w:val="18"/>
                <w:lang w:val="lv-LV"/>
              </w:rPr>
              <w:t>No 2010.gada</w:t>
            </w:r>
          </w:p>
        </w:tc>
      </w:tr>
      <w:tr w:rsidR="007A2876" w:rsidRPr="009179E5" w:rsidTr="004F7F14">
        <w:tc>
          <w:tcPr>
            <w:tcW w:w="481" w:type="pct"/>
          </w:tcPr>
          <w:p w:rsidR="007A2876" w:rsidRPr="009179E5" w:rsidRDefault="007A2876" w:rsidP="004F7F14">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PA.3.1.</w:t>
            </w:r>
          </w:p>
        </w:tc>
        <w:tc>
          <w:tcPr>
            <w:tcW w:w="1805" w:type="pct"/>
          </w:tcPr>
          <w:p w:rsidR="007A2876" w:rsidRPr="009179E5" w:rsidRDefault="00E86DD9" w:rsidP="004F7F14">
            <w:pPr>
              <w:pStyle w:val="Tabletext"/>
              <w:keepNext/>
              <w:keepLines/>
              <w:spacing w:before="0" w:after="0" w:line="240" w:lineRule="auto"/>
              <w:rPr>
                <w:rFonts w:ascii="Times New Roman" w:hAnsi="Times New Roman"/>
                <w:szCs w:val="18"/>
                <w:lang w:val="lv-LV"/>
              </w:rPr>
            </w:pPr>
            <w:hyperlink r:id="rId51" w:tgtFrame="_self" w:history="1">
              <w:r w:rsidR="007A2876" w:rsidRPr="009179E5">
                <w:rPr>
                  <w:rFonts w:ascii="Times New Roman" w:hAnsi="Times New Roman"/>
                  <w:bCs/>
                  <w:szCs w:val="18"/>
                  <w:lang w:val="lv-LV"/>
                </w:rPr>
                <w:t>Zema enerģijas patēriņa ēkas</w:t>
              </w:r>
            </w:hyperlink>
            <w:r w:rsidR="007A2876" w:rsidRPr="009179E5">
              <w:rPr>
                <w:rFonts w:ascii="Times New Roman" w:hAnsi="Times New Roman"/>
                <w:bCs/>
                <w:szCs w:val="18"/>
                <w:lang w:val="lv-LV"/>
              </w:rPr>
              <w:t xml:space="preserve"> (KPFI)</w:t>
            </w:r>
          </w:p>
        </w:tc>
        <w:tc>
          <w:tcPr>
            <w:tcW w:w="1978" w:type="pct"/>
          </w:tcPr>
          <w:p w:rsidR="007A2876" w:rsidRPr="009179E5" w:rsidRDefault="007A2876" w:rsidP="004F7F14">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Tiešās vai pastarpinātās pārvaldes iestāde, Latvijas Republikas pilsētas vai novada pašvaldības dome, Latvijas Republikā reģistrēts sīkais (mikro), mazais vai vidējais komersants un fiziska persona</w:t>
            </w:r>
          </w:p>
        </w:tc>
        <w:tc>
          <w:tcPr>
            <w:tcW w:w="736" w:type="pct"/>
          </w:tcPr>
          <w:p w:rsidR="007A2876" w:rsidRPr="009179E5" w:rsidRDefault="007A2876" w:rsidP="004F7F14">
            <w:pPr>
              <w:spacing w:after="0" w:line="240" w:lineRule="auto"/>
              <w:rPr>
                <w:rFonts w:ascii="Times New Roman" w:hAnsi="Times New Roman"/>
                <w:sz w:val="18"/>
                <w:szCs w:val="18"/>
                <w:lang w:val="lv-LV"/>
              </w:rPr>
            </w:pPr>
            <w:r w:rsidRPr="009179E5">
              <w:rPr>
                <w:rFonts w:ascii="Times New Roman" w:hAnsi="Times New Roman"/>
                <w:sz w:val="18"/>
                <w:szCs w:val="18"/>
                <w:lang w:val="lv-LV"/>
              </w:rPr>
              <w:t>2011.gadā izsludināts konkurss</w:t>
            </w:r>
          </w:p>
        </w:tc>
      </w:tr>
      <w:tr w:rsidR="007A2876" w:rsidRPr="009179E5" w:rsidTr="004F7F14">
        <w:tc>
          <w:tcPr>
            <w:tcW w:w="481" w:type="pct"/>
          </w:tcPr>
          <w:p w:rsidR="007A2876" w:rsidRPr="009179E5" w:rsidRDefault="007A2876" w:rsidP="004F7F14">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PA.3.2.</w:t>
            </w:r>
          </w:p>
        </w:tc>
        <w:tc>
          <w:tcPr>
            <w:tcW w:w="1805" w:type="pct"/>
          </w:tcPr>
          <w:p w:rsidR="007A2876" w:rsidRPr="009179E5" w:rsidRDefault="00E86DD9" w:rsidP="004F7F14">
            <w:pPr>
              <w:pStyle w:val="Tabletext"/>
              <w:keepNext/>
              <w:keepLines/>
              <w:spacing w:before="0" w:after="0" w:line="240" w:lineRule="auto"/>
              <w:rPr>
                <w:rFonts w:ascii="Times New Roman" w:hAnsi="Times New Roman"/>
                <w:b/>
                <w:szCs w:val="18"/>
                <w:lang w:val="lv-LV"/>
              </w:rPr>
            </w:pPr>
            <w:hyperlink r:id="rId52" w:tgtFrame="_self" w:history="1">
              <w:r w:rsidR="007A2876" w:rsidRPr="009179E5">
                <w:rPr>
                  <w:rStyle w:val="Strong"/>
                  <w:rFonts w:ascii="Times New Roman" w:hAnsi="Times New Roman"/>
                  <w:b w:val="0"/>
                  <w:szCs w:val="18"/>
                  <w:lang w:val="lv-LV"/>
                </w:rPr>
                <w:t>Energoefektivitātes paaugstināšana augstākās izglītības iestāžu ēkās</w:t>
              </w:r>
            </w:hyperlink>
          </w:p>
        </w:tc>
        <w:tc>
          <w:tcPr>
            <w:tcW w:w="1978" w:type="pct"/>
          </w:tcPr>
          <w:p w:rsidR="007A2876" w:rsidRPr="009179E5" w:rsidRDefault="007A2876" w:rsidP="004F7F14">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Tiešās vai pastarpinātās pārvaldes iestāde, Latvijas Republikas pilsētas vai novada pašvaldības dome, Latvijas Republikā reģistrēts sīkais (mikro), mazais vai vidējais komersants un fiziska persona</w:t>
            </w:r>
          </w:p>
        </w:tc>
        <w:tc>
          <w:tcPr>
            <w:tcW w:w="736" w:type="pct"/>
          </w:tcPr>
          <w:p w:rsidR="007A2876" w:rsidRPr="009179E5" w:rsidRDefault="007A2876" w:rsidP="004F7F14">
            <w:pPr>
              <w:spacing w:after="0" w:line="240" w:lineRule="auto"/>
              <w:rPr>
                <w:rFonts w:ascii="Times New Roman" w:hAnsi="Times New Roman"/>
                <w:sz w:val="18"/>
                <w:szCs w:val="18"/>
                <w:lang w:val="lv-LV"/>
              </w:rPr>
            </w:pPr>
            <w:r w:rsidRPr="009179E5">
              <w:rPr>
                <w:rFonts w:ascii="Times New Roman" w:hAnsi="Times New Roman"/>
                <w:sz w:val="18"/>
                <w:szCs w:val="18"/>
                <w:lang w:val="lv-LV"/>
              </w:rPr>
              <w:t>No 2010.gada līdz 01.12.2011.</w:t>
            </w:r>
          </w:p>
        </w:tc>
      </w:tr>
      <w:tr w:rsidR="007A2876" w:rsidRPr="009179E5" w:rsidTr="004F7F14">
        <w:tc>
          <w:tcPr>
            <w:tcW w:w="481" w:type="pct"/>
          </w:tcPr>
          <w:p w:rsidR="007A2876" w:rsidRPr="009179E5" w:rsidRDefault="007A2876" w:rsidP="004F7F14">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PA.3.3.</w:t>
            </w:r>
          </w:p>
        </w:tc>
        <w:tc>
          <w:tcPr>
            <w:tcW w:w="1805" w:type="pct"/>
          </w:tcPr>
          <w:p w:rsidR="007A2876" w:rsidRPr="009179E5" w:rsidRDefault="007A2876" w:rsidP="004F7F14">
            <w:pPr>
              <w:spacing w:after="0" w:line="240" w:lineRule="auto"/>
              <w:jc w:val="both"/>
              <w:rPr>
                <w:rFonts w:ascii="Times New Roman" w:hAnsi="Times New Roman"/>
                <w:sz w:val="18"/>
                <w:szCs w:val="18"/>
                <w:lang w:val="lv-LV"/>
              </w:rPr>
            </w:pPr>
            <w:r w:rsidRPr="009179E5">
              <w:rPr>
                <w:rFonts w:ascii="Times New Roman" w:hAnsi="Times New Roman"/>
                <w:sz w:val="18"/>
                <w:szCs w:val="18"/>
                <w:lang w:val="lv-LV"/>
              </w:rPr>
              <w:t>Energoefektivitātes paaugstināšana pašvaldību ēkās 1.kārta</w:t>
            </w:r>
          </w:p>
          <w:p w:rsidR="007A2876" w:rsidRPr="009179E5" w:rsidRDefault="007A2876" w:rsidP="004F7F14">
            <w:pPr>
              <w:spacing w:after="0" w:line="240" w:lineRule="auto"/>
              <w:jc w:val="both"/>
              <w:rPr>
                <w:rFonts w:ascii="Times New Roman" w:hAnsi="Times New Roman"/>
                <w:sz w:val="18"/>
                <w:szCs w:val="18"/>
                <w:lang w:val="lv-LV"/>
              </w:rPr>
            </w:pPr>
            <w:r w:rsidRPr="009179E5">
              <w:rPr>
                <w:rFonts w:ascii="Times New Roman" w:hAnsi="Times New Roman"/>
                <w:sz w:val="18"/>
                <w:szCs w:val="18"/>
                <w:lang w:val="lv-LV"/>
              </w:rPr>
              <w:t>Kompleksi risinājumi siltumnīcefekta gāzu emisiju samazināšanai pašvaldību ēkās 2.kārta</w:t>
            </w:r>
          </w:p>
        </w:tc>
        <w:tc>
          <w:tcPr>
            <w:tcW w:w="1978" w:type="pct"/>
          </w:tcPr>
          <w:p w:rsidR="007A2876" w:rsidRPr="009179E5" w:rsidRDefault="007A2876" w:rsidP="004F7F14">
            <w:pPr>
              <w:pStyle w:val="Tabletext"/>
              <w:keepNext/>
              <w:keepLines/>
              <w:spacing w:before="0" w:after="0" w:line="240" w:lineRule="auto"/>
              <w:rPr>
                <w:rFonts w:ascii="Times New Roman" w:hAnsi="Times New Roman"/>
                <w:szCs w:val="18"/>
                <w:lang w:val="lv-LV"/>
              </w:rPr>
            </w:pPr>
            <w:r w:rsidRPr="009179E5">
              <w:rPr>
                <w:rFonts w:ascii="Times New Roman" w:hAnsi="Times New Roman"/>
                <w:color w:val="000000"/>
                <w:szCs w:val="18"/>
                <w:lang w:val="lv-LV"/>
              </w:rPr>
              <w:t>Pilsētas vai novada pašvaldība</w:t>
            </w:r>
          </w:p>
        </w:tc>
        <w:tc>
          <w:tcPr>
            <w:tcW w:w="736" w:type="pct"/>
          </w:tcPr>
          <w:p w:rsidR="007A2876" w:rsidRPr="009179E5" w:rsidRDefault="007A2876" w:rsidP="004F7F14">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no 01.12.2010.</w:t>
            </w:r>
          </w:p>
          <w:p w:rsidR="007A2876" w:rsidRPr="009179E5" w:rsidRDefault="007A2876" w:rsidP="004F7F14">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līdz 01.12.2011.</w:t>
            </w:r>
          </w:p>
        </w:tc>
      </w:tr>
      <w:tr w:rsidR="007A2876" w:rsidRPr="009179E5" w:rsidTr="004F7F14">
        <w:tc>
          <w:tcPr>
            <w:tcW w:w="481" w:type="pct"/>
          </w:tcPr>
          <w:p w:rsidR="007A2876" w:rsidRPr="009179E5" w:rsidRDefault="007A2876" w:rsidP="004F7F14">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PA.3.4.</w:t>
            </w:r>
          </w:p>
        </w:tc>
        <w:tc>
          <w:tcPr>
            <w:tcW w:w="1805" w:type="pct"/>
          </w:tcPr>
          <w:p w:rsidR="007A2876" w:rsidRPr="009179E5" w:rsidRDefault="00E86DD9" w:rsidP="004F7F14">
            <w:pPr>
              <w:spacing w:after="0" w:line="240" w:lineRule="auto"/>
              <w:jc w:val="both"/>
              <w:rPr>
                <w:rFonts w:ascii="Times New Roman" w:hAnsi="Times New Roman"/>
                <w:sz w:val="18"/>
                <w:szCs w:val="18"/>
                <w:lang w:val="lv-LV"/>
              </w:rPr>
            </w:pPr>
            <w:hyperlink r:id="rId53" w:tgtFrame="_self" w:history="1">
              <w:r w:rsidR="007A2876" w:rsidRPr="009179E5">
                <w:rPr>
                  <w:rStyle w:val="Strong"/>
                  <w:rFonts w:ascii="Times New Roman" w:hAnsi="Times New Roman"/>
                  <w:b w:val="0"/>
                  <w:sz w:val="18"/>
                  <w:szCs w:val="18"/>
                  <w:lang w:val="lv-LV"/>
                </w:rPr>
                <w:t>Kompleksi risinājumi siltumnīcefekta gāzu emisijas samazināšanai valsts un pašvaldību profesionālās izglītības iestāžu ēkās</w:t>
              </w:r>
            </w:hyperlink>
          </w:p>
        </w:tc>
        <w:tc>
          <w:tcPr>
            <w:tcW w:w="1978" w:type="pct"/>
          </w:tcPr>
          <w:p w:rsidR="007A2876" w:rsidRPr="009179E5" w:rsidRDefault="007A2876" w:rsidP="004F7F14">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eastAsia="lv-LV"/>
              </w:rPr>
              <w:t>Valsts vai pašvaldību profesionālās izglītības iestādes</w:t>
            </w:r>
          </w:p>
        </w:tc>
        <w:tc>
          <w:tcPr>
            <w:tcW w:w="736" w:type="pct"/>
          </w:tcPr>
          <w:p w:rsidR="007A2876" w:rsidRPr="009179E5" w:rsidRDefault="007A2876" w:rsidP="004F7F14">
            <w:pPr>
              <w:pStyle w:val="Tabletext"/>
              <w:keepNext/>
              <w:keepLines/>
              <w:spacing w:before="0" w:after="0" w:line="240" w:lineRule="auto"/>
              <w:rPr>
                <w:rFonts w:ascii="Times New Roman" w:hAnsi="Times New Roman"/>
                <w:szCs w:val="18"/>
                <w:lang w:val="lv-LV"/>
              </w:rPr>
            </w:pPr>
            <w:r w:rsidRPr="009179E5">
              <w:rPr>
                <w:rFonts w:ascii="Times New Roman" w:hAnsi="Times New Roman"/>
                <w:szCs w:val="18"/>
                <w:lang w:val="lv-LV"/>
              </w:rPr>
              <w:t>No 2010.gada  līdz 01.12.2011.</w:t>
            </w:r>
          </w:p>
        </w:tc>
      </w:tr>
    </w:tbl>
    <w:p w:rsidR="00F05BF3" w:rsidRPr="009179E5" w:rsidRDefault="00F05BF3" w:rsidP="007A2876">
      <w:pPr>
        <w:rPr>
          <w:lang w:val="lv-LV"/>
        </w:rPr>
      </w:pPr>
    </w:p>
    <w:p w:rsidR="00B327DF" w:rsidRPr="009179E5" w:rsidRDefault="001959EA" w:rsidP="0095197D">
      <w:pPr>
        <w:pStyle w:val="Heading4"/>
        <w:numPr>
          <w:ilvl w:val="0"/>
          <w:numId w:val="0"/>
        </w:numPr>
        <w:spacing w:line="240" w:lineRule="auto"/>
        <w:jc w:val="center"/>
        <w:rPr>
          <w:highlight w:val="yellow"/>
          <w:lang w:val="lv-LV"/>
        </w:rPr>
      </w:pPr>
      <w:bookmarkStart w:id="37" w:name="_Toc274304032"/>
      <w:bookmarkStart w:id="38" w:name="_Toc300320582"/>
      <w:r w:rsidRPr="009179E5">
        <w:rPr>
          <w:rFonts w:ascii="Times New Roman Bold" w:hAnsi="Times New Roman Bold"/>
          <w:b/>
          <w:i w:val="0"/>
          <w:caps/>
          <w:color w:val="auto"/>
          <w:sz w:val="28"/>
          <w:u w:val="none"/>
          <w:lang w:val="lv-LV"/>
        </w:rPr>
        <w:t>4.7</w:t>
      </w:r>
      <w:r w:rsidR="000E17C9" w:rsidRPr="009179E5">
        <w:rPr>
          <w:rFonts w:ascii="Times New Roman Bold" w:hAnsi="Times New Roman Bold"/>
          <w:b/>
          <w:i w:val="0"/>
          <w:caps/>
          <w:color w:val="auto"/>
          <w:sz w:val="28"/>
          <w:u w:val="none"/>
          <w:lang w:val="lv-LV"/>
        </w:rPr>
        <w:t>.</w:t>
      </w:r>
      <w:r w:rsidRPr="009179E5">
        <w:rPr>
          <w:rFonts w:ascii="Times New Roman Bold" w:hAnsi="Times New Roman Bold"/>
          <w:b/>
          <w:i w:val="0"/>
          <w:caps/>
          <w:color w:val="auto"/>
          <w:sz w:val="28"/>
          <w:u w:val="none"/>
          <w:lang w:val="lv-LV"/>
        </w:rPr>
        <w:t xml:space="preserve"> </w:t>
      </w:r>
      <w:r w:rsidR="00B327DF" w:rsidRPr="009179E5">
        <w:rPr>
          <w:rFonts w:ascii="Times New Roman Bold" w:hAnsi="Times New Roman Bold"/>
          <w:b/>
          <w:i w:val="0"/>
          <w:caps/>
          <w:color w:val="auto"/>
          <w:sz w:val="28"/>
          <w:u w:val="none"/>
          <w:lang w:val="lv-LV"/>
        </w:rPr>
        <w:t>Horizont</w:t>
      </w:r>
      <w:r w:rsidR="00CB52D3" w:rsidRPr="009179E5">
        <w:rPr>
          <w:rFonts w:ascii="Times New Roman Bold" w:hAnsi="Times New Roman Bold"/>
          <w:b/>
          <w:i w:val="0"/>
          <w:caps/>
          <w:color w:val="auto"/>
          <w:sz w:val="28"/>
          <w:u w:val="none"/>
          <w:lang w:val="lv-LV"/>
        </w:rPr>
        <w:t xml:space="preserve">ālie </w:t>
      </w:r>
      <w:bookmarkEnd w:id="37"/>
      <w:r w:rsidR="00CB52D3" w:rsidRPr="009179E5">
        <w:rPr>
          <w:rFonts w:ascii="Times New Roman Bold" w:hAnsi="Times New Roman Bold"/>
          <w:b/>
          <w:i w:val="0"/>
          <w:caps/>
          <w:color w:val="auto"/>
          <w:sz w:val="28"/>
          <w:u w:val="none"/>
          <w:lang w:val="lv-LV"/>
        </w:rPr>
        <w:t>pasākumi</w:t>
      </w:r>
      <w:bookmarkEnd w:id="38"/>
    </w:p>
    <w:p w:rsidR="00384651" w:rsidRDefault="00384651" w:rsidP="00574AC8">
      <w:pPr>
        <w:pStyle w:val="Caption"/>
        <w:keepNext/>
        <w:spacing w:before="120" w:after="120" w:line="240" w:lineRule="auto"/>
        <w:jc w:val="both"/>
        <w:rPr>
          <w:rFonts w:ascii="Times New Roman" w:hAnsi="Times New Roman"/>
          <w:b w:val="0"/>
          <w:sz w:val="28"/>
          <w:lang w:val="lv-LV"/>
        </w:rPr>
      </w:pPr>
      <w:bookmarkStart w:id="39" w:name="_Ref275804017"/>
      <w:r w:rsidRPr="009179E5">
        <w:rPr>
          <w:rFonts w:ascii="Times New Roman" w:hAnsi="Times New Roman"/>
          <w:b w:val="0"/>
          <w:sz w:val="28"/>
          <w:lang w:val="lv-LV"/>
        </w:rPr>
        <w:t>Ar energoefektivitātes horizontāliem pa</w:t>
      </w:r>
      <w:r w:rsidR="005D4800" w:rsidRPr="009179E5">
        <w:rPr>
          <w:rFonts w:ascii="Times New Roman" w:hAnsi="Times New Roman"/>
          <w:b w:val="0"/>
          <w:sz w:val="28"/>
          <w:lang w:val="lv-LV"/>
        </w:rPr>
        <w:t>sā</w:t>
      </w:r>
      <w:r w:rsidRPr="009179E5">
        <w:rPr>
          <w:rFonts w:ascii="Times New Roman" w:hAnsi="Times New Roman"/>
          <w:b w:val="0"/>
          <w:sz w:val="28"/>
          <w:lang w:val="lv-LV"/>
        </w:rPr>
        <w:t xml:space="preserve">kumiem tiek saprasti tādi pasākumi, kas </w:t>
      </w:r>
      <w:r w:rsidR="005D4800" w:rsidRPr="009179E5">
        <w:rPr>
          <w:rFonts w:ascii="Times New Roman" w:hAnsi="Times New Roman"/>
          <w:b w:val="0"/>
          <w:sz w:val="28"/>
          <w:lang w:val="lv-LV"/>
        </w:rPr>
        <w:t>attiecas uz vairāk kā vienu gala enerģijas patēriņa sektoru</w:t>
      </w:r>
      <w:r w:rsidR="00D05F23" w:rsidRPr="009179E5">
        <w:rPr>
          <w:rFonts w:ascii="Times New Roman" w:hAnsi="Times New Roman"/>
          <w:b w:val="0"/>
          <w:sz w:val="28"/>
          <w:lang w:val="lv-LV"/>
        </w:rPr>
        <w:t xml:space="preserve"> (nav vertikāli)</w:t>
      </w:r>
      <w:r w:rsidR="005D4800" w:rsidRPr="009179E5">
        <w:rPr>
          <w:rFonts w:ascii="Times New Roman" w:hAnsi="Times New Roman"/>
          <w:b w:val="0"/>
          <w:sz w:val="28"/>
          <w:lang w:val="lv-LV"/>
        </w:rPr>
        <w:t xml:space="preserve"> un ilgtermiņā šāds pasākums var uzrādīt reālus enerģijas ietaupījumus, piemēram, vienošanās par energoefektivitātes paaugstināšanu, „zaļais” </w:t>
      </w:r>
      <w:r w:rsidR="008F583D" w:rsidRPr="009179E5">
        <w:rPr>
          <w:rFonts w:ascii="Times New Roman" w:hAnsi="Times New Roman"/>
          <w:b w:val="0"/>
          <w:sz w:val="28"/>
          <w:lang w:val="lv-LV"/>
        </w:rPr>
        <w:t xml:space="preserve">publiskais </w:t>
      </w:r>
      <w:r w:rsidR="005D4800" w:rsidRPr="009179E5">
        <w:rPr>
          <w:rFonts w:ascii="Times New Roman" w:hAnsi="Times New Roman"/>
          <w:b w:val="0"/>
          <w:sz w:val="28"/>
          <w:lang w:val="lv-LV"/>
        </w:rPr>
        <w:t>iepirkums, nodokļu politika</w:t>
      </w:r>
      <w:r w:rsidR="006A4BF7" w:rsidRPr="009179E5">
        <w:rPr>
          <w:rFonts w:ascii="Times New Roman" w:hAnsi="Times New Roman"/>
          <w:b w:val="0"/>
          <w:sz w:val="28"/>
          <w:lang w:val="lv-LV"/>
        </w:rPr>
        <w:t xml:space="preserve"> un citas iniciatīvas</w:t>
      </w:r>
      <w:r w:rsidR="005D4800" w:rsidRPr="009179E5">
        <w:rPr>
          <w:rFonts w:ascii="Times New Roman" w:hAnsi="Times New Roman"/>
          <w:b w:val="0"/>
          <w:sz w:val="28"/>
          <w:lang w:val="lv-LV"/>
        </w:rPr>
        <w:t>.</w:t>
      </w:r>
      <w:r w:rsidR="006A4BF7" w:rsidRPr="009179E5">
        <w:rPr>
          <w:rFonts w:ascii="Times New Roman" w:hAnsi="Times New Roman"/>
          <w:b w:val="0"/>
          <w:sz w:val="28"/>
          <w:lang w:val="lv-LV"/>
        </w:rPr>
        <w:t xml:space="preserve"> </w:t>
      </w:r>
      <w:r w:rsidR="008F583D" w:rsidRPr="009179E5">
        <w:rPr>
          <w:rFonts w:ascii="Times New Roman" w:hAnsi="Times New Roman"/>
          <w:b w:val="0"/>
          <w:sz w:val="28"/>
          <w:lang w:val="lv-LV"/>
        </w:rPr>
        <w:t>Latvijā šobrīd valsts un pašvaldības sektors var veikt zaļo publisko iepirkumu (ZPI), balstoties uz Vides aizsardzības un reģionāl</w:t>
      </w:r>
      <w:r w:rsidR="00D05F23" w:rsidRPr="009179E5">
        <w:rPr>
          <w:rFonts w:ascii="Times New Roman" w:hAnsi="Times New Roman"/>
          <w:b w:val="0"/>
          <w:sz w:val="28"/>
          <w:lang w:val="lv-LV"/>
        </w:rPr>
        <w:t>ās</w:t>
      </w:r>
      <w:r w:rsidR="008F583D" w:rsidRPr="009179E5">
        <w:rPr>
          <w:rFonts w:ascii="Times New Roman" w:hAnsi="Times New Roman"/>
          <w:b w:val="0"/>
          <w:sz w:val="28"/>
          <w:lang w:val="lv-LV"/>
        </w:rPr>
        <w:t xml:space="preserve"> attīstības ministrijas izstrādātām ZPI vadlīnijām. Tāpat plānots, ka 2011.gada laikā pakāpeniski tiks ieviesta vienošanās par energoefektivitātes paaugstināšanu sistēma, dodot iespēju pašvaldībām, komersantiem, asociācijām noslēgt vienošanos ar Ekonomikas ministriju par konkrētu energoefektivitātes paaugstināšanas pasākumu ieviešanu pašvaldībā, uzņēmumā vai vairākos uzņēmumos, kuru intereses pārstāv konkrētā sektora asociācija.</w:t>
      </w:r>
    </w:p>
    <w:p w:rsidR="00012F78" w:rsidRPr="003B66D9" w:rsidRDefault="00012F78" w:rsidP="00012F78">
      <w:pPr>
        <w:pStyle w:val="BodyTEXT"/>
      </w:pPr>
      <w:r w:rsidRPr="003B66D9">
        <w:t xml:space="preserve">Viens no papildu stimuliem, kurš veicina energoefektivitātes paaugstināšanas pasākumuīstenošanu, ir energoresursu sadārdzināšanās, piemēram, izmantojot nodokļu politikas instrumentu </w:t>
      </w:r>
      <w:r w:rsidR="001960CF" w:rsidRPr="003B66D9">
        <w:t>–</w:t>
      </w:r>
      <w:r w:rsidRPr="003B66D9">
        <w:t xml:space="preserve"> akcīzes nodokļa likmju paaugstināšanu degvielai un gāzei. </w:t>
      </w:r>
    </w:p>
    <w:p w:rsidR="00012F78" w:rsidRPr="003B66D9" w:rsidRDefault="00012F78" w:rsidP="00012F78">
      <w:pPr>
        <w:pStyle w:val="BodyTEXT"/>
      </w:pPr>
      <w:r w:rsidRPr="003B66D9">
        <w:lastRenderedPageBreak/>
        <w:t>Akcīzes nodokļa likme Latvijā no 2011.gada 1.jūnija svinu nesaturošam benzīnam tika palielināta no 269 LVL par 1000 litriem uz 289 LVL par 1000 litriem, savukārt svinu saturošam benzīnam palielināta no 300 LVL par 1000 litriem uz 320 LVL par 1000 litriem, kopumā sadārdzinot katru benzīna litru galapatēriņā par aptuveni 2,5 santīmiem. Tādējādi caur augstākām akcīzes nodokļa likmēm pakāpeniski tiek veicināta energoefektivitātes paaugstināšanas pasākumu īstenošana, kas izpaužas galapatērētāja uzvedības maiņā ikdienā, domājot par enerģijas (degvielas) taupīšanas pasākumiem.</w:t>
      </w:r>
    </w:p>
    <w:p w:rsidR="001960CF" w:rsidRDefault="00012F78" w:rsidP="00012F78">
      <w:pPr>
        <w:pStyle w:val="BodyTEXT"/>
      </w:pPr>
      <w:r w:rsidRPr="003B66D9">
        <w:t xml:space="preserve">Akcīzes nodoklis galalietotājiem piegādātai dabasgāzei </w:t>
      </w:r>
      <w:r w:rsidR="003C192E" w:rsidRPr="003B66D9">
        <w:t>ir spēkā no 2011.gada 1.jūlija</w:t>
      </w:r>
      <w:r w:rsidR="003B66D9">
        <w:t>.</w:t>
      </w:r>
      <w:r w:rsidR="003C192E" w:rsidRPr="003B66D9">
        <w:t xml:space="preserve"> Līdz ar akcīzes nodokļa paaugstināšanos, pieauga apkures izmaksas un veidojās </w:t>
      </w:r>
      <w:r w:rsidRPr="003B66D9">
        <w:t>papildu stimuls energoefektivitātes paaugstināšanas pasākumu ieviešanai savā dzīvojamā (it īpaši daudzdzīvokļu ēkā) ēkā, piemēram, piesakoties Eiropas Reģionālās attīstības fonda finansējumam ēkas siltināšanai.</w:t>
      </w:r>
    </w:p>
    <w:p w:rsidR="00012F78" w:rsidRPr="001960CF" w:rsidRDefault="00012F78" w:rsidP="00012F78">
      <w:pPr>
        <w:pStyle w:val="BodyTEXT"/>
        <w:rPr>
          <w:sz w:val="20"/>
        </w:rPr>
      </w:pPr>
      <w:r w:rsidRPr="00012F78">
        <w:t xml:space="preserve"> </w:t>
      </w:r>
    </w:p>
    <w:bookmarkEnd w:id="39"/>
    <w:p w:rsidR="001F2EDC" w:rsidRPr="009179E5" w:rsidRDefault="001874C2" w:rsidP="001173C6">
      <w:pPr>
        <w:pStyle w:val="Caption"/>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t>28</w:t>
      </w:r>
      <w:r w:rsidR="00B327DF" w:rsidRPr="009179E5">
        <w:rPr>
          <w:rFonts w:ascii="Times New Roman" w:hAnsi="Times New Roman"/>
          <w:sz w:val="24"/>
          <w:szCs w:val="24"/>
          <w:lang w:val="lv-LV"/>
        </w:rPr>
        <w:t>.</w:t>
      </w:r>
      <w:r w:rsidR="001F2EDC" w:rsidRPr="009179E5">
        <w:rPr>
          <w:rFonts w:ascii="Times New Roman" w:hAnsi="Times New Roman"/>
          <w:sz w:val="24"/>
          <w:szCs w:val="24"/>
          <w:lang w:val="lv-LV"/>
        </w:rPr>
        <w:t>tabula</w:t>
      </w:r>
      <w:r w:rsidR="00B327DF" w:rsidRPr="009179E5">
        <w:rPr>
          <w:rFonts w:ascii="Times New Roman" w:hAnsi="Times New Roman"/>
          <w:sz w:val="24"/>
          <w:szCs w:val="24"/>
          <w:lang w:val="lv-LV"/>
        </w:rPr>
        <w:t xml:space="preserve"> </w:t>
      </w:r>
    </w:p>
    <w:p w:rsidR="00B327DF" w:rsidRPr="009179E5" w:rsidRDefault="001F2EDC" w:rsidP="001173C6">
      <w:pPr>
        <w:pStyle w:val="Caption"/>
        <w:spacing w:after="0" w:line="240" w:lineRule="auto"/>
        <w:jc w:val="center"/>
        <w:rPr>
          <w:lang w:val="lv-LV"/>
        </w:rPr>
      </w:pPr>
      <w:r w:rsidRPr="009179E5">
        <w:rPr>
          <w:rFonts w:ascii="Times New Roman" w:hAnsi="Times New Roman"/>
          <w:sz w:val="24"/>
          <w:szCs w:val="24"/>
          <w:lang w:val="lv-LV"/>
        </w:rPr>
        <w:t xml:space="preserve">Energoefektivitātes </w:t>
      </w:r>
      <w:r w:rsidR="005D4800" w:rsidRPr="009179E5">
        <w:rPr>
          <w:rFonts w:ascii="Times New Roman" w:hAnsi="Times New Roman"/>
          <w:sz w:val="24"/>
          <w:szCs w:val="24"/>
          <w:lang w:val="lv-LV"/>
        </w:rPr>
        <w:t>horizontālo</w:t>
      </w:r>
      <w:r w:rsidRPr="009179E5">
        <w:rPr>
          <w:rFonts w:ascii="Times New Roman" w:hAnsi="Times New Roman"/>
          <w:sz w:val="24"/>
          <w:szCs w:val="24"/>
          <w:lang w:val="lv-LV"/>
        </w:rPr>
        <w:t xml:space="preserve"> paaugstināšanas pasākumu kopsavilkuma tabula</w:t>
      </w:r>
    </w:p>
    <w:tbl>
      <w:tblPr>
        <w:tblW w:w="0" w:type="auto"/>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60"/>
        <w:gridCol w:w="4633"/>
        <w:gridCol w:w="1795"/>
        <w:gridCol w:w="1507"/>
      </w:tblGrid>
      <w:tr w:rsidR="007055E6" w:rsidRPr="009179E5" w:rsidTr="00263A5E">
        <w:trPr>
          <w:jc w:val="center"/>
        </w:trPr>
        <w:tc>
          <w:tcPr>
            <w:tcW w:w="564" w:type="dxa"/>
          </w:tcPr>
          <w:p w:rsidR="007055E6" w:rsidRPr="009179E5" w:rsidRDefault="007055E6" w:rsidP="00340303">
            <w:pPr>
              <w:pStyle w:val="Tabletext"/>
              <w:keepNext/>
              <w:keepLines/>
              <w:spacing w:before="0" w:after="0" w:line="240" w:lineRule="auto"/>
              <w:rPr>
                <w:rFonts w:ascii="Times New Roman" w:hAnsi="Times New Roman"/>
                <w:b/>
                <w:sz w:val="20"/>
                <w:lang w:val="lv-LV"/>
              </w:rPr>
            </w:pPr>
            <w:r w:rsidRPr="009179E5">
              <w:rPr>
                <w:rFonts w:ascii="Times New Roman" w:hAnsi="Times New Roman"/>
                <w:b/>
                <w:sz w:val="20"/>
                <w:lang w:val="lv-LV"/>
              </w:rPr>
              <w:t>Nr.</w:t>
            </w:r>
          </w:p>
        </w:tc>
        <w:tc>
          <w:tcPr>
            <w:tcW w:w="4707" w:type="dxa"/>
          </w:tcPr>
          <w:p w:rsidR="007055E6" w:rsidRPr="009179E5" w:rsidRDefault="007055E6" w:rsidP="00340303">
            <w:pPr>
              <w:pStyle w:val="Tabletext"/>
              <w:keepNext/>
              <w:keepLines/>
              <w:spacing w:before="0" w:after="0" w:line="240" w:lineRule="auto"/>
              <w:jc w:val="left"/>
              <w:rPr>
                <w:rFonts w:ascii="Times New Roman" w:hAnsi="Times New Roman"/>
                <w:b/>
                <w:sz w:val="20"/>
                <w:lang w:val="lv-LV"/>
              </w:rPr>
            </w:pPr>
            <w:r w:rsidRPr="009179E5">
              <w:rPr>
                <w:rFonts w:ascii="Times New Roman" w:hAnsi="Times New Roman"/>
                <w:b/>
                <w:sz w:val="20"/>
                <w:lang w:val="lv-LV"/>
              </w:rPr>
              <w:t xml:space="preserve">Pasākums  </w:t>
            </w:r>
            <w:r w:rsidRPr="009179E5">
              <w:rPr>
                <w:rFonts w:ascii="Times New Roman" w:hAnsi="Times New Roman"/>
                <w:b/>
                <w:sz w:val="20"/>
                <w:lang w:val="lv-LV"/>
              </w:rPr>
              <w:br/>
            </w:r>
          </w:p>
        </w:tc>
        <w:tc>
          <w:tcPr>
            <w:tcW w:w="1802" w:type="dxa"/>
          </w:tcPr>
          <w:p w:rsidR="007055E6" w:rsidRPr="009179E5" w:rsidRDefault="007055E6" w:rsidP="00340303">
            <w:pPr>
              <w:pStyle w:val="Tabletext"/>
              <w:keepNext/>
              <w:keepLines/>
              <w:spacing w:before="0" w:after="0" w:line="240" w:lineRule="auto"/>
              <w:jc w:val="left"/>
              <w:rPr>
                <w:rFonts w:ascii="Times New Roman" w:hAnsi="Times New Roman"/>
                <w:b/>
                <w:sz w:val="20"/>
                <w:lang w:val="lv-LV"/>
              </w:rPr>
            </w:pPr>
            <w:r w:rsidRPr="009179E5">
              <w:rPr>
                <w:rFonts w:ascii="Times New Roman" w:hAnsi="Times New Roman"/>
                <w:b/>
                <w:sz w:val="20"/>
                <w:lang w:val="lv-LV"/>
              </w:rPr>
              <w:t>Mērķauditorija</w:t>
            </w:r>
          </w:p>
        </w:tc>
        <w:tc>
          <w:tcPr>
            <w:tcW w:w="1516" w:type="dxa"/>
          </w:tcPr>
          <w:p w:rsidR="007055E6" w:rsidRPr="009179E5" w:rsidRDefault="007055E6" w:rsidP="00340303">
            <w:pPr>
              <w:pStyle w:val="Tabletext"/>
              <w:keepNext/>
              <w:keepLines/>
              <w:spacing w:before="0" w:after="0" w:line="240" w:lineRule="auto"/>
              <w:rPr>
                <w:rFonts w:ascii="Times New Roman" w:hAnsi="Times New Roman"/>
                <w:b/>
                <w:sz w:val="20"/>
                <w:lang w:val="lv-LV"/>
              </w:rPr>
            </w:pPr>
            <w:r w:rsidRPr="009179E5">
              <w:rPr>
                <w:rFonts w:ascii="Times New Roman" w:hAnsi="Times New Roman"/>
                <w:b/>
                <w:sz w:val="20"/>
                <w:lang w:val="lv-LV"/>
              </w:rPr>
              <w:t>Periods</w:t>
            </w:r>
          </w:p>
        </w:tc>
      </w:tr>
      <w:tr w:rsidR="007055E6" w:rsidRPr="009179E5" w:rsidTr="00263A5E">
        <w:trPr>
          <w:jc w:val="center"/>
        </w:trPr>
        <w:tc>
          <w:tcPr>
            <w:tcW w:w="564" w:type="dxa"/>
          </w:tcPr>
          <w:p w:rsidR="007055E6" w:rsidRPr="009179E5" w:rsidRDefault="007055E6" w:rsidP="00340303">
            <w:pPr>
              <w:pStyle w:val="Tabletext"/>
              <w:keepNext/>
              <w:keepLines/>
              <w:spacing w:before="0" w:after="0" w:line="240" w:lineRule="auto"/>
              <w:rPr>
                <w:rFonts w:ascii="Times New Roman" w:hAnsi="Times New Roman"/>
                <w:sz w:val="22"/>
                <w:szCs w:val="22"/>
                <w:lang w:val="lv-LV"/>
              </w:rPr>
            </w:pPr>
            <w:r w:rsidRPr="009179E5">
              <w:rPr>
                <w:rFonts w:ascii="Times New Roman" w:hAnsi="Times New Roman"/>
                <w:sz w:val="22"/>
                <w:szCs w:val="22"/>
                <w:lang w:val="lv-LV"/>
              </w:rPr>
              <w:t>H.</w:t>
            </w:r>
            <w:r w:rsidR="009B416F" w:rsidRPr="009179E5">
              <w:rPr>
                <w:rFonts w:ascii="Times New Roman" w:hAnsi="Times New Roman"/>
                <w:sz w:val="22"/>
                <w:szCs w:val="22"/>
                <w:lang w:val="lv-LV"/>
              </w:rPr>
              <w:t>7.</w:t>
            </w:r>
            <w:r w:rsidRPr="009179E5">
              <w:rPr>
                <w:rFonts w:ascii="Times New Roman" w:hAnsi="Times New Roman"/>
                <w:sz w:val="22"/>
                <w:szCs w:val="22"/>
                <w:lang w:val="lv-LV"/>
              </w:rPr>
              <w:t>1.</w:t>
            </w:r>
          </w:p>
        </w:tc>
        <w:tc>
          <w:tcPr>
            <w:tcW w:w="4707" w:type="dxa"/>
          </w:tcPr>
          <w:p w:rsidR="007055E6" w:rsidRPr="009179E5" w:rsidRDefault="007055E6" w:rsidP="00340303">
            <w:pPr>
              <w:pStyle w:val="Tabletext"/>
              <w:keepNext/>
              <w:keepLines/>
              <w:spacing w:before="0" w:after="0" w:line="240" w:lineRule="auto"/>
              <w:rPr>
                <w:rFonts w:ascii="Times New Roman" w:hAnsi="Times New Roman"/>
                <w:sz w:val="22"/>
                <w:szCs w:val="22"/>
                <w:lang w:val="lv-LV"/>
              </w:rPr>
            </w:pPr>
            <w:r w:rsidRPr="009179E5">
              <w:rPr>
                <w:rFonts w:ascii="Times New Roman" w:hAnsi="Times New Roman"/>
                <w:sz w:val="22"/>
                <w:szCs w:val="22"/>
                <w:lang w:val="lv-LV"/>
              </w:rPr>
              <w:t>Vienošanās par energoefektivitātes paaugstināšanu ieviešana, veicinot gan rūpniecisko energoauditu un uzņēmumu energovadības sistēmu ieviešanu, gan pašvaldību energoefektivitātes rīcības plānu izstrādi un ieviešanu</w:t>
            </w:r>
          </w:p>
        </w:tc>
        <w:tc>
          <w:tcPr>
            <w:tcW w:w="1802" w:type="dxa"/>
          </w:tcPr>
          <w:p w:rsidR="007055E6" w:rsidRPr="009179E5" w:rsidRDefault="007055E6" w:rsidP="00340303">
            <w:pPr>
              <w:pStyle w:val="Tabletext"/>
              <w:keepNext/>
              <w:keepLines/>
              <w:spacing w:before="0" w:after="0" w:line="240" w:lineRule="auto"/>
              <w:rPr>
                <w:rFonts w:ascii="Times New Roman" w:hAnsi="Times New Roman"/>
                <w:sz w:val="22"/>
                <w:szCs w:val="22"/>
                <w:lang w:val="lv-LV"/>
              </w:rPr>
            </w:pPr>
            <w:r w:rsidRPr="009179E5">
              <w:rPr>
                <w:rFonts w:ascii="Times New Roman" w:hAnsi="Times New Roman"/>
                <w:sz w:val="22"/>
                <w:szCs w:val="22"/>
                <w:lang w:val="lv-LV"/>
              </w:rPr>
              <w:t>Komersanti,</w:t>
            </w:r>
          </w:p>
          <w:p w:rsidR="007055E6" w:rsidRPr="009179E5" w:rsidRDefault="007055E6" w:rsidP="00340303">
            <w:pPr>
              <w:pStyle w:val="Tabletext"/>
              <w:keepNext/>
              <w:keepLines/>
              <w:spacing w:before="0" w:after="0" w:line="240" w:lineRule="auto"/>
              <w:rPr>
                <w:rFonts w:ascii="Times New Roman" w:hAnsi="Times New Roman"/>
                <w:sz w:val="22"/>
                <w:szCs w:val="22"/>
                <w:lang w:val="lv-LV"/>
              </w:rPr>
            </w:pPr>
            <w:r w:rsidRPr="009179E5">
              <w:rPr>
                <w:rFonts w:ascii="Times New Roman" w:hAnsi="Times New Roman"/>
                <w:sz w:val="22"/>
                <w:szCs w:val="22"/>
                <w:lang w:val="lv-LV"/>
              </w:rPr>
              <w:t>Pašvaldības,</w:t>
            </w:r>
          </w:p>
          <w:p w:rsidR="007055E6" w:rsidRPr="009179E5" w:rsidRDefault="007055E6" w:rsidP="00340303">
            <w:pPr>
              <w:pStyle w:val="Tabletext"/>
              <w:keepNext/>
              <w:keepLines/>
              <w:spacing w:before="0" w:after="0" w:line="240" w:lineRule="auto"/>
              <w:rPr>
                <w:rFonts w:ascii="Times New Roman" w:hAnsi="Times New Roman"/>
                <w:sz w:val="22"/>
                <w:szCs w:val="22"/>
                <w:lang w:val="lv-LV"/>
              </w:rPr>
            </w:pPr>
            <w:r w:rsidRPr="009179E5">
              <w:rPr>
                <w:rFonts w:ascii="Times New Roman" w:hAnsi="Times New Roman"/>
                <w:sz w:val="22"/>
                <w:szCs w:val="22"/>
                <w:lang w:val="lv-LV"/>
              </w:rPr>
              <w:t xml:space="preserve">Asociācijas </w:t>
            </w:r>
          </w:p>
        </w:tc>
        <w:tc>
          <w:tcPr>
            <w:tcW w:w="1516" w:type="dxa"/>
          </w:tcPr>
          <w:p w:rsidR="007055E6" w:rsidRPr="009179E5" w:rsidRDefault="007055E6" w:rsidP="00340303">
            <w:pPr>
              <w:spacing w:after="0" w:line="240" w:lineRule="auto"/>
              <w:rPr>
                <w:rFonts w:ascii="Times New Roman" w:hAnsi="Times New Roman"/>
                <w:lang w:val="lv-LV"/>
              </w:rPr>
            </w:pPr>
            <w:r w:rsidRPr="009179E5">
              <w:rPr>
                <w:rFonts w:ascii="Times New Roman" w:hAnsi="Times New Roman"/>
                <w:lang w:val="lv-LV"/>
              </w:rPr>
              <w:t>2011.-2016.</w:t>
            </w:r>
          </w:p>
        </w:tc>
      </w:tr>
      <w:tr w:rsidR="007055E6" w:rsidRPr="009179E5" w:rsidTr="00263A5E">
        <w:trPr>
          <w:jc w:val="center"/>
        </w:trPr>
        <w:tc>
          <w:tcPr>
            <w:tcW w:w="564" w:type="dxa"/>
          </w:tcPr>
          <w:p w:rsidR="007055E6" w:rsidRPr="009179E5" w:rsidRDefault="007055E6" w:rsidP="00340303">
            <w:pPr>
              <w:pStyle w:val="Tabletext"/>
              <w:keepNext/>
              <w:keepLines/>
              <w:spacing w:before="0" w:after="0" w:line="240" w:lineRule="auto"/>
              <w:rPr>
                <w:rFonts w:ascii="Times New Roman" w:hAnsi="Times New Roman"/>
                <w:sz w:val="22"/>
                <w:szCs w:val="22"/>
                <w:lang w:val="lv-LV"/>
              </w:rPr>
            </w:pPr>
            <w:r w:rsidRPr="009179E5">
              <w:rPr>
                <w:rFonts w:ascii="Times New Roman" w:hAnsi="Times New Roman"/>
                <w:sz w:val="22"/>
                <w:szCs w:val="22"/>
                <w:lang w:val="lv-LV"/>
              </w:rPr>
              <w:t>H.</w:t>
            </w:r>
            <w:r w:rsidR="009B416F" w:rsidRPr="009179E5">
              <w:rPr>
                <w:rFonts w:ascii="Times New Roman" w:hAnsi="Times New Roman"/>
                <w:sz w:val="22"/>
                <w:szCs w:val="22"/>
                <w:lang w:val="lv-LV"/>
              </w:rPr>
              <w:t>7.</w:t>
            </w:r>
            <w:r w:rsidRPr="009179E5">
              <w:rPr>
                <w:rFonts w:ascii="Times New Roman" w:hAnsi="Times New Roman"/>
                <w:sz w:val="22"/>
                <w:szCs w:val="22"/>
                <w:lang w:val="lv-LV"/>
              </w:rPr>
              <w:t>2.</w:t>
            </w:r>
          </w:p>
        </w:tc>
        <w:tc>
          <w:tcPr>
            <w:tcW w:w="4707" w:type="dxa"/>
          </w:tcPr>
          <w:p w:rsidR="007055E6" w:rsidRPr="009179E5" w:rsidRDefault="005E5BD7" w:rsidP="00340303">
            <w:pPr>
              <w:pStyle w:val="Tabletext"/>
              <w:keepNext/>
              <w:keepLines/>
              <w:spacing w:before="0" w:after="0" w:line="240" w:lineRule="auto"/>
              <w:rPr>
                <w:rFonts w:ascii="Times New Roman" w:hAnsi="Times New Roman"/>
                <w:sz w:val="20"/>
                <w:lang w:val="lv-LV"/>
              </w:rPr>
            </w:pPr>
            <w:r w:rsidRPr="009179E5">
              <w:rPr>
                <w:rFonts w:ascii="Times New Roman" w:hAnsi="Times New Roman"/>
                <w:sz w:val="22"/>
                <w:szCs w:val="22"/>
                <w:lang w:val="lv-LV"/>
              </w:rPr>
              <w:t>Zaļais publiskais iepirkums</w:t>
            </w:r>
          </w:p>
        </w:tc>
        <w:tc>
          <w:tcPr>
            <w:tcW w:w="1802" w:type="dxa"/>
          </w:tcPr>
          <w:p w:rsidR="007055E6" w:rsidRPr="009179E5" w:rsidRDefault="005E5BD7" w:rsidP="00340303">
            <w:pPr>
              <w:pStyle w:val="Tabletext"/>
              <w:keepNext/>
              <w:keepLines/>
              <w:spacing w:before="0" w:after="0" w:line="240" w:lineRule="auto"/>
              <w:rPr>
                <w:rFonts w:ascii="Times New Roman" w:hAnsi="Times New Roman"/>
                <w:sz w:val="22"/>
                <w:szCs w:val="22"/>
                <w:lang w:val="lv-LV"/>
              </w:rPr>
            </w:pPr>
            <w:r w:rsidRPr="009179E5">
              <w:rPr>
                <w:rFonts w:ascii="Times New Roman" w:hAnsi="Times New Roman"/>
                <w:sz w:val="22"/>
                <w:szCs w:val="22"/>
                <w:lang w:val="lv-LV"/>
              </w:rPr>
              <w:t>Valsts iestādes,</w:t>
            </w:r>
          </w:p>
          <w:p w:rsidR="005E5BD7" w:rsidRPr="009179E5" w:rsidRDefault="005E5BD7" w:rsidP="00340303">
            <w:pPr>
              <w:pStyle w:val="Tabletext"/>
              <w:keepNext/>
              <w:keepLines/>
              <w:spacing w:before="0" w:after="0" w:line="240" w:lineRule="auto"/>
              <w:rPr>
                <w:rFonts w:ascii="Times New Roman" w:hAnsi="Times New Roman"/>
                <w:sz w:val="22"/>
                <w:szCs w:val="22"/>
                <w:lang w:val="lv-LV"/>
              </w:rPr>
            </w:pPr>
            <w:r w:rsidRPr="009179E5">
              <w:rPr>
                <w:rFonts w:ascii="Times New Roman" w:hAnsi="Times New Roman"/>
                <w:sz w:val="22"/>
                <w:szCs w:val="22"/>
                <w:lang w:val="lv-LV"/>
              </w:rPr>
              <w:t xml:space="preserve">Pašvaldības </w:t>
            </w:r>
          </w:p>
        </w:tc>
        <w:tc>
          <w:tcPr>
            <w:tcW w:w="1516" w:type="dxa"/>
          </w:tcPr>
          <w:p w:rsidR="007055E6" w:rsidRPr="009179E5" w:rsidRDefault="00E30368" w:rsidP="00340303">
            <w:pPr>
              <w:spacing w:after="0" w:line="240" w:lineRule="auto"/>
              <w:rPr>
                <w:rFonts w:ascii="Times New Roman" w:hAnsi="Times New Roman"/>
                <w:lang w:val="lv-LV"/>
              </w:rPr>
            </w:pPr>
            <w:r w:rsidRPr="009179E5">
              <w:rPr>
                <w:rFonts w:ascii="Times New Roman" w:hAnsi="Times New Roman"/>
                <w:lang w:val="lv-LV"/>
              </w:rPr>
              <w:t>2009.-2016.</w:t>
            </w:r>
          </w:p>
        </w:tc>
      </w:tr>
      <w:tr w:rsidR="0077664D" w:rsidRPr="009179E5" w:rsidTr="00263A5E">
        <w:trPr>
          <w:jc w:val="center"/>
        </w:trPr>
        <w:tc>
          <w:tcPr>
            <w:tcW w:w="564" w:type="dxa"/>
          </w:tcPr>
          <w:p w:rsidR="0077664D" w:rsidRPr="009179E5" w:rsidRDefault="0077664D" w:rsidP="00340303">
            <w:pPr>
              <w:pStyle w:val="Tabletext"/>
              <w:keepNext/>
              <w:keepLines/>
              <w:spacing w:before="0" w:after="0" w:line="240" w:lineRule="auto"/>
              <w:rPr>
                <w:rFonts w:ascii="Times New Roman" w:hAnsi="Times New Roman"/>
                <w:sz w:val="22"/>
                <w:szCs w:val="22"/>
                <w:lang w:val="lv-LV"/>
              </w:rPr>
            </w:pPr>
            <w:r>
              <w:rPr>
                <w:rFonts w:ascii="Times New Roman" w:hAnsi="Times New Roman"/>
                <w:sz w:val="22"/>
                <w:szCs w:val="22"/>
                <w:lang w:val="lv-LV"/>
              </w:rPr>
              <w:t>H.7.3.</w:t>
            </w:r>
          </w:p>
        </w:tc>
        <w:tc>
          <w:tcPr>
            <w:tcW w:w="4707" w:type="dxa"/>
          </w:tcPr>
          <w:p w:rsidR="0077664D" w:rsidRPr="0077664D" w:rsidRDefault="0077664D" w:rsidP="00340303">
            <w:pPr>
              <w:pStyle w:val="Tabletext"/>
              <w:keepNext/>
              <w:keepLines/>
              <w:spacing w:before="0" w:after="0" w:line="240" w:lineRule="auto"/>
              <w:rPr>
                <w:rFonts w:ascii="Times New Roman" w:hAnsi="Times New Roman"/>
                <w:sz w:val="22"/>
                <w:szCs w:val="22"/>
                <w:lang w:val="lv-LV"/>
              </w:rPr>
            </w:pPr>
            <w:r w:rsidRPr="0077664D">
              <w:rPr>
                <w:rFonts w:ascii="Times New Roman" w:hAnsi="Times New Roman"/>
                <w:sz w:val="24"/>
                <w:szCs w:val="24"/>
                <w:lang w:val="lv-LV"/>
              </w:rPr>
              <w:t>Minimālo energoefektivitātes prasību paaugstināšana jaunbūvēm un rekonstruējamām ēkām</w:t>
            </w:r>
          </w:p>
        </w:tc>
        <w:tc>
          <w:tcPr>
            <w:tcW w:w="1802" w:type="dxa"/>
          </w:tcPr>
          <w:p w:rsidR="0077664D" w:rsidRPr="009179E5" w:rsidRDefault="0077664D" w:rsidP="00340303">
            <w:pPr>
              <w:pStyle w:val="Tabletext"/>
              <w:keepNext/>
              <w:keepLines/>
              <w:spacing w:before="0" w:after="0" w:line="240" w:lineRule="auto"/>
              <w:rPr>
                <w:rFonts w:ascii="Times New Roman" w:hAnsi="Times New Roman"/>
                <w:sz w:val="22"/>
                <w:szCs w:val="22"/>
                <w:lang w:val="lv-LV"/>
              </w:rPr>
            </w:pPr>
            <w:r>
              <w:rPr>
                <w:rFonts w:ascii="Times New Roman" w:hAnsi="Times New Roman"/>
                <w:sz w:val="22"/>
                <w:szCs w:val="22"/>
                <w:lang w:val="lv-LV"/>
              </w:rPr>
              <w:t>Ēku īpašnieki, būvkomersanti</w:t>
            </w:r>
          </w:p>
        </w:tc>
        <w:tc>
          <w:tcPr>
            <w:tcW w:w="1516" w:type="dxa"/>
          </w:tcPr>
          <w:p w:rsidR="0077664D" w:rsidRPr="009179E5" w:rsidRDefault="0077664D" w:rsidP="00340303">
            <w:pPr>
              <w:spacing w:after="0" w:line="240" w:lineRule="auto"/>
              <w:rPr>
                <w:rFonts w:ascii="Times New Roman" w:hAnsi="Times New Roman"/>
                <w:lang w:val="lv-LV"/>
              </w:rPr>
            </w:pPr>
            <w:r>
              <w:rPr>
                <w:rFonts w:ascii="Times New Roman" w:hAnsi="Times New Roman"/>
                <w:lang w:val="lv-LV"/>
              </w:rPr>
              <w:t>Sākot no 01.06.2012</w:t>
            </w:r>
          </w:p>
        </w:tc>
      </w:tr>
    </w:tbl>
    <w:p w:rsidR="00D911B4" w:rsidRPr="009179E5" w:rsidRDefault="00D911B4" w:rsidP="00574AC8">
      <w:pPr>
        <w:pStyle w:val="Caption"/>
        <w:keepNext/>
        <w:spacing w:before="120" w:after="120" w:line="240" w:lineRule="auto"/>
        <w:jc w:val="right"/>
        <w:rPr>
          <w:lang w:val="lv-LV"/>
        </w:rPr>
      </w:pPr>
    </w:p>
    <w:p w:rsidR="00263A5E" w:rsidRPr="009179E5" w:rsidRDefault="001874C2" w:rsidP="00340303">
      <w:pPr>
        <w:pStyle w:val="Caption"/>
        <w:spacing w:after="0" w:line="240" w:lineRule="auto"/>
        <w:jc w:val="right"/>
        <w:rPr>
          <w:rFonts w:ascii="Times New Roman" w:hAnsi="Times New Roman"/>
          <w:sz w:val="24"/>
          <w:szCs w:val="24"/>
          <w:lang w:val="lv-LV"/>
        </w:rPr>
      </w:pPr>
      <w:bookmarkStart w:id="40" w:name="_Toc274298540"/>
      <w:bookmarkStart w:id="41" w:name="_Toc274304035"/>
      <w:bookmarkStart w:id="42" w:name="_Toc217240853"/>
      <w:bookmarkStart w:id="43" w:name="_Toc219544021"/>
      <w:r w:rsidRPr="009179E5">
        <w:rPr>
          <w:rFonts w:ascii="Times New Roman" w:hAnsi="Times New Roman"/>
          <w:sz w:val="24"/>
          <w:szCs w:val="24"/>
          <w:lang w:val="lv-LV"/>
        </w:rPr>
        <w:t>29</w:t>
      </w:r>
      <w:r w:rsidR="00263A5E" w:rsidRPr="009179E5">
        <w:rPr>
          <w:rFonts w:ascii="Times New Roman" w:hAnsi="Times New Roman"/>
          <w:sz w:val="24"/>
          <w:szCs w:val="24"/>
          <w:lang w:val="lv-LV"/>
        </w:rPr>
        <w:t>.tabula</w:t>
      </w:r>
    </w:p>
    <w:p w:rsidR="00263A5E" w:rsidRPr="009179E5" w:rsidRDefault="00263A5E" w:rsidP="00340303">
      <w:pPr>
        <w:pStyle w:val="Caption"/>
        <w:spacing w:after="0" w:line="240" w:lineRule="auto"/>
        <w:jc w:val="center"/>
        <w:rPr>
          <w:rFonts w:ascii="Times New Roman" w:hAnsi="Times New Roman"/>
          <w:sz w:val="28"/>
          <w:szCs w:val="28"/>
          <w:lang w:val="lv-LV"/>
        </w:rPr>
      </w:pPr>
      <w:r w:rsidRPr="009179E5">
        <w:rPr>
          <w:rFonts w:ascii="Times New Roman" w:hAnsi="Times New Roman"/>
          <w:sz w:val="24"/>
          <w:szCs w:val="24"/>
          <w:lang w:val="lv-LV"/>
        </w:rPr>
        <w:t>Pasākuma Nr.H.</w:t>
      </w:r>
      <w:r w:rsidR="00340303" w:rsidRPr="009179E5">
        <w:rPr>
          <w:rFonts w:ascii="Times New Roman" w:hAnsi="Times New Roman"/>
          <w:sz w:val="24"/>
          <w:szCs w:val="24"/>
          <w:lang w:val="lv-LV"/>
        </w:rPr>
        <w:t>7.</w:t>
      </w:r>
      <w:r w:rsidRPr="009179E5">
        <w:rPr>
          <w:rFonts w:ascii="Times New Roman" w:hAnsi="Times New Roman"/>
          <w:sz w:val="24"/>
          <w:szCs w:val="24"/>
          <w:lang w:val="lv-LV"/>
        </w:rPr>
        <w:t>1. „Vienošanās par energoefektivitātes paaugstināšanu ieviešana” apraksts</w:t>
      </w:r>
    </w:p>
    <w:tbl>
      <w:tblPr>
        <w:tblW w:w="8593"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9"/>
        <w:gridCol w:w="2410"/>
        <w:gridCol w:w="4944"/>
      </w:tblGrid>
      <w:tr w:rsidR="00263A5E" w:rsidRPr="009179E5" w:rsidTr="00B220B3">
        <w:trPr>
          <w:trHeight w:val="711"/>
          <w:jc w:val="center"/>
        </w:trPr>
        <w:tc>
          <w:tcPr>
            <w:tcW w:w="3649" w:type="dxa"/>
            <w:gridSpan w:val="2"/>
          </w:tcPr>
          <w:p w:rsidR="00263A5E" w:rsidRPr="009179E5" w:rsidRDefault="00263A5E" w:rsidP="00340303">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szCs w:val="18"/>
                <w:lang w:val="lv-LV"/>
              </w:rPr>
              <w:t>Enerģijas ietaupījumu sasniegšanas pasākuma nosaukums</w:t>
            </w:r>
          </w:p>
        </w:tc>
        <w:tc>
          <w:tcPr>
            <w:tcW w:w="4944" w:type="dxa"/>
          </w:tcPr>
          <w:p w:rsidR="00263A5E" w:rsidRPr="009179E5" w:rsidRDefault="00263A5E" w:rsidP="00340303">
            <w:pPr>
              <w:spacing w:after="0" w:line="240" w:lineRule="auto"/>
              <w:jc w:val="both"/>
              <w:rPr>
                <w:rFonts w:ascii="Times New Roman" w:hAnsi="Times New Roman"/>
                <w:b/>
                <w:sz w:val="18"/>
                <w:szCs w:val="18"/>
                <w:lang w:val="lv-LV" w:bidi="en-US"/>
              </w:rPr>
            </w:pPr>
            <w:r w:rsidRPr="009179E5">
              <w:rPr>
                <w:rFonts w:ascii="Times New Roman" w:hAnsi="Times New Roman"/>
                <w:b/>
                <w:sz w:val="18"/>
                <w:szCs w:val="18"/>
                <w:lang w:val="lv-LV"/>
              </w:rPr>
              <w:t>Vienošanās par energoefektivitātes paaugstināšanu ieviešana, veicinot gan rūpniecisko energoauditu un uzņēmumu energovadības sistēmu ieviešanu, gan pašvaldību energoefektivitātes rīcības plānu izstrādi un ieviešanu</w:t>
            </w:r>
          </w:p>
        </w:tc>
      </w:tr>
      <w:tr w:rsidR="00263A5E" w:rsidRPr="009179E5" w:rsidTr="00B220B3">
        <w:trPr>
          <w:trHeight w:val="480"/>
          <w:jc w:val="center"/>
        </w:trPr>
        <w:tc>
          <w:tcPr>
            <w:tcW w:w="3649" w:type="dxa"/>
            <w:gridSpan w:val="2"/>
          </w:tcPr>
          <w:p w:rsidR="00263A5E" w:rsidRPr="009179E5" w:rsidRDefault="00263A5E" w:rsidP="00340303">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szCs w:val="18"/>
                <w:lang w:val="lv-LV"/>
              </w:rPr>
              <w:t>Pasākuma nr.</w:t>
            </w:r>
          </w:p>
        </w:tc>
        <w:tc>
          <w:tcPr>
            <w:tcW w:w="4944" w:type="dxa"/>
          </w:tcPr>
          <w:p w:rsidR="00263A5E" w:rsidRPr="009179E5" w:rsidRDefault="00263A5E" w:rsidP="00340303">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H.</w:t>
            </w:r>
            <w:r w:rsidR="00340303" w:rsidRPr="009179E5">
              <w:rPr>
                <w:rFonts w:ascii="Times New Roman" w:hAnsi="Times New Roman"/>
                <w:b/>
                <w:szCs w:val="18"/>
                <w:lang w:val="lv-LV"/>
              </w:rPr>
              <w:t>7.</w:t>
            </w:r>
            <w:r w:rsidRPr="009179E5">
              <w:rPr>
                <w:rFonts w:ascii="Times New Roman" w:hAnsi="Times New Roman"/>
                <w:b/>
                <w:szCs w:val="18"/>
                <w:lang w:val="lv-LV"/>
              </w:rPr>
              <w:t>1.</w:t>
            </w:r>
          </w:p>
        </w:tc>
      </w:tr>
      <w:tr w:rsidR="00263A5E" w:rsidRPr="009179E5" w:rsidTr="00B220B3">
        <w:trPr>
          <w:trHeight w:val="476"/>
          <w:jc w:val="center"/>
        </w:trPr>
        <w:tc>
          <w:tcPr>
            <w:tcW w:w="1239" w:type="dxa"/>
            <w:vMerge w:val="restart"/>
          </w:tcPr>
          <w:p w:rsidR="00263A5E" w:rsidRPr="009179E5" w:rsidRDefault="00263A5E" w:rsidP="00340303">
            <w:pPr>
              <w:pStyle w:val="Tabletext"/>
              <w:tabs>
                <w:tab w:val="left" w:pos="1440"/>
                <w:tab w:val="left" w:pos="5040"/>
              </w:tabs>
              <w:spacing w:before="0" w:after="0" w:line="240" w:lineRule="auto"/>
              <w:jc w:val="left"/>
              <w:rPr>
                <w:rFonts w:ascii="Times New Roman" w:hAnsi="Times New Roman"/>
                <w:szCs w:val="18"/>
                <w:lang w:val="lv-LV"/>
              </w:rPr>
            </w:pPr>
          </w:p>
          <w:p w:rsidR="00263A5E" w:rsidRPr="009179E5" w:rsidRDefault="00263A5E" w:rsidP="00340303">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Apraksts</w:t>
            </w:r>
          </w:p>
        </w:tc>
        <w:tc>
          <w:tcPr>
            <w:tcW w:w="2410" w:type="dxa"/>
          </w:tcPr>
          <w:p w:rsidR="00263A5E" w:rsidRPr="009179E5" w:rsidRDefault="00263A5E" w:rsidP="00340303">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Kategorija</w:t>
            </w:r>
          </w:p>
        </w:tc>
        <w:tc>
          <w:tcPr>
            <w:tcW w:w="4944" w:type="dxa"/>
          </w:tcPr>
          <w:p w:rsidR="00263A5E" w:rsidRPr="009179E5" w:rsidRDefault="00796889" w:rsidP="00340303">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Savstarpējās sadarbības instruments </w:t>
            </w:r>
          </w:p>
        </w:tc>
      </w:tr>
      <w:tr w:rsidR="00796889" w:rsidRPr="009179E5" w:rsidTr="00B220B3">
        <w:trPr>
          <w:trHeight w:val="476"/>
          <w:jc w:val="center"/>
        </w:trPr>
        <w:tc>
          <w:tcPr>
            <w:tcW w:w="1239" w:type="dxa"/>
            <w:vMerge/>
          </w:tcPr>
          <w:p w:rsidR="00796889" w:rsidRPr="009179E5" w:rsidRDefault="00796889" w:rsidP="00340303">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96889" w:rsidRPr="009179E5" w:rsidRDefault="00796889" w:rsidP="00340303">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Īstenošanas laika grafiks</w:t>
            </w:r>
          </w:p>
        </w:tc>
        <w:tc>
          <w:tcPr>
            <w:tcW w:w="4944" w:type="dxa"/>
          </w:tcPr>
          <w:p w:rsidR="00796889" w:rsidRPr="009179E5" w:rsidRDefault="00796889" w:rsidP="00340303">
            <w:pPr>
              <w:autoSpaceDE w:val="0"/>
              <w:autoSpaceDN w:val="0"/>
              <w:adjustRightInd w:val="0"/>
              <w:spacing w:after="0" w:line="240" w:lineRule="auto"/>
              <w:jc w:val="both"/>
              <w:rPr>
                <w:rFonts w:ascii="Times New Roman" w:hAnsi="Times New Roman"/>
                <w:b/>
                <w:sz w:val="18"/>
                <w:szCs w:val="18"/>
                <w:lang w:val="lv-LV" w:eastAsia="lv-LV"/>
              </w:rPr>
            </w:pPr>
            <w:r w:rsidRPr="009179E5">
              <w:rPr>
                <w:rFonts w:ascii="Times New Roman" w:hAnsi="Times New Roman"/>
                <w:b/>
                <w:sz w:val="18"/>
                <w:szCs w:val="18"/>
                <w:lang w:val="lv-LV" w:eastAsia="lv-LV"/>
              </w:rPr>
              <w:t>2011. – 2016.</w:t>
            </w:r>
          </w:p>
        </w:tc>
      </w:tr>
      <w:tr w:rsidR="00796889" w:rsidRPr="009179E5" w:rsidTr="00B220B3">
        <w:trPr>
          <w:trHeight w:val="476"/>
          <w:jc w:val="center"/>
        </w:trPr>
        <w:tc>
          <w:tcPr>
            <w:tcW w:w="1239" w:type="dxa"/>
            <w:vMerge/>
          </w:tcPr>
          <w:p w:rsidR="00796889" w:rsidRPr="009179E5" w:rsidRDefault="00796889" w:rsidP="00340303">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96889" w:rsidRPr="009179E5" w:rsidRDefault="00796889" w:rsidP="00340303">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Mērķis</w:t>
            </w:r>
          </w:p>
        </w:tc>
        <w:tc>
          <w:tcPr>
            <w:tcW w:w="4944" w:type="dxa"/>
          </w:tcPr>
          <w:p w:rsidR="00796889" w:rsidRPr="009179E5" w:rsidRDefault="00796889" w:rsidP="00340303">
            <w:pPr>
              <w:autoSpaceDE w:val="0"/>
              <w:autoSpaceDN w:val="0"/>
              <w:adjustRightInd w:val="0"/>
              <w:spacing w:after="0" w:line="240" w:lineRule="auto"/>
              <w:jc w:val="both"/>
              <w:rPr>
                <w:rFonts w:ascii="Times New Roman" w:hAnsi="Times New Roman"/>
                <w:b/>
                <w:sz w:val="18"/>
                <w:szCs w:val="18"/>
                <w:lang w:val="lv-LV" w:eastAsia="lv-LV"/>
              </w:rPr>
            </w:pPr>
            <w:r w:rsidRPr="009179E5">
              <w:rPr>
                <w:rFonts w:ascii="Times New Roman" w:hAnsi="Times New Roman"/>
                <w:b/>
                <w:sz w:val="18"/>
                <w:szCs w:val="18"/>
                <w:lang w:val="lv-LV" w:eastAsia="lv-LV"/>
              </w:rPr>
              <w:t>Energoefektivitātes paaugstināšana rūpniecībā un sabiedrisk</w:t>
            </w:r>
            <w:r w:rsidR="00044CC7" w:rsidRPr="009179E5">
              <w:rPr>
                <w:rFonts w:ascii="Times New Roman" w:hAnsi="Times New Roman"/>
                <w:b/>
                <w:sz w:val="18"/>
                <w:szCs w:val="18"/>
                <w:lang w:val="lv-LV" w:eastAsia="lv-LV"/>
              </w:rPr>
              <w:t>a</w:t>
            </w:r>
            <w:r w:rsidRPr="009179E5">
              <w:rPr>
                <w:rFonts w:ascii="Times New Roman" w:hAnsi="Times New Roman"/>
                <w:b/>
                <w:sz w:val="18"/>
                <w:szCs w:val="18"/>
                <w:lang w:val="lv-LV" w:eastAsia="lv-LV"/>
              </w:rPr>
              <w:t>jā sektorā</w:t>
            </w:r>
          </w:p>
        </w:tc>
      </w:tr>
      <w:tr w:rsidR="00796889" w:rsidRPr="009179E5" w:rsidTr="00B220B3">
        <w:trPr>
          <w:trHeight w:val="476"/>
          <w:jc w:val="center"/>
        </w:trPr>
        <w:tc>
          <w:tcPr>
            <w:tcW w:w="1239" w:type="dxa"/>
            <w:vMerge/>
          </w:tcPr>
          <w:p w:rsidR="00796889" w:rsidRPr="009179E5" w:rsidRDefault="00796889" w:rsidP="00340303">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96889" w:rsidRPr="009179E5" w:rsidRDefault="00796889" w:rsidP="00340303">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galapatēriņa sektors</w:t>
            </w:r>
          </w:p>
        </w:tc>
        <w:tc>
          <w:tcPr>
            <w:tcW w:w="4944" w:type="dxa"/>
          </w:tcPr>
          <w:p w:rsidR="00796889" w:rsidRPr="009179E5" w:rsidRDefault="00044CC7" w:rsidP="00340303">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Rūpniecība un sabiedriskais sektors  </w:t>
            </w:r>
          </w:p>
        </w:tc>
      </w:tr>
      <w:tr w:rsidR="00796889" w:rsidRPr="009179E5" w:rsidTr="00B220B3">
        <w:trPr>
          <w:trHeight w:val="476"/>
          <w:jc w:val="center"/>
        </w:trPr>
        <w:tc>
          <w:tcPr>
            <w:tcW w:w="1239" w:type="dxa"/>
            <w:vMerge/>
          </w:tcPr>
          <w:p w:rsidR="00796889" w:rsidRPr="009179E5" w:rsidRDefault="00796889" w:rsidP="00340303">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96889" w:rsidRPr="009179E5" w:rsidRDefault="00796889" w:rsidP="00340303">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Mērķauditorija</w:t>
            </w:r>
          </w:p>
        </w:tc>
        <w:tc>
          <w:tcPr>
            <w:tcW w:w="4944" w:type="dxa"/>
          </w:tcPr>
          <w:p w:rsidR="00796889" w:rsidRPr="009179E5" w:rsidRDefault="00796889" w:rsidP="00340303">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Komersanti</w:t>
            </w:r>
            <w:r w:rsidR="00044CC7" w:rsidRPr="009179E5">
              <w:rPr>
                <w:rFonts w:ascii="Times New Roman" w:hAnsi="Times New Roman"/>
                <w:b/>
                <w:szCs w:val="18"/>
                <w:lang w:val="lv-LV"/>
              </w:rPr>
              <w:t>, pašvaldības, asociācijas</w:t>
            </w:r>
            <w:r w:rsidRPr="009179E5">
              <w:rPr>
                <w:rFonts w:ascii="Times New Roman" w:hAnsi="Times New Roman"/>
                <w:b/>
                <w:szCs w:val="18"/>
                <w:lang w:val="lv-LV"/>
              </w:rPr>
              <w:t xml:space="preserve"> </w:t>
            </w:r>
          </w:p>
        </w:tc>
      </w:tr>
      <w:tr w:rsidR="00796889" w:rsidRPr="009179E5" w:rsidTr="00B220B3">
        <w:trPr>
          <w:trHeight w:val="476"/>
          <w:jc w:val="center"/>
        </w:trPr>
        <w:tc>
          <w:tcPr>
            <w:tcW w:w="1239" w:type="dxa"/>
            <w:vMerge/>
          </w:tcPr>
          <w:p w:rsidR="00796889" w:rsidRPr="009179E5" w:rsidRDefault="00796889" w:rsidP="00340303">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96889" w:rsidRPr="009179E5" w:rsidRDefault="00796889" w:rsidP="00340303">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Pasākuma ieviešanas teritorija</w:t>
            </w:r>
          </w:p>
        </w:tc>
        <w:tc>
          <w:tcPr>
            <w:tcW w:w="4944" w:type="dxa"/>
          </w:tcPr>
          <w:p w:rsidR="00796889" w:rsidRPr="009179E5" w:rsidRDefault="00796889" w:rsidP="00340303">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Latvijas Republika </w:t>
            </w:r>
          </w:p>
        </w:tc>
      </w:tr>
      <w:tr w:rsidR="00796889" w:rsidRPr="009179E5" w:rsidTr="00B220B3">
        <w:trPr>
          <w:trHeight w:val="476"/>
          <w:jc w:val="center"/>
        </w:trPr>
        <w:tc>
          <w:tcPr>
            <w:tcW w:w="1239" w:type="dxa"/>
            <w:vMerge w:val="restart"/>
          </w:tcPr>
          <w:p w:rsidR="00796889" w:rsidRPr="009179E5" w:rsidRDefault="00796889" w:rsidP="00340303">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Informācija un ieviešana</w:t>
            </w:r>
          </w:p>
        </w:tc>
        <w:tc>
          <w:tcPr>
            <w:tcW w:w="2410" w:type="dxa"/>
          </w:tcPr>
          <w:p w:rsidR="00796889" w:rsidRPr="009179E5" w:rsidRDefault="00796889" w:rsidP="00340303">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Enerģijas ietaupījumu sasniegšanas pasākumu saraksts un pasākuma pamatapraksts</w:t>
            </w:r>
          </w:p>
        </w:tc>
        <w:tc>
          <w:tcPr>
            <w:tcW w:w="4944" w:type="dxa"/>
          </w:tcPr>
          <w:p w:rsidR="00461220" w:rsidRPr="009179E5" w:rsidRDefault="00796889" w:rsidP="00340303">
            <w:pPr>
              <w:pStyle w:val="bodytext1"/>
              <w:tabs>
                <w:tab w:val="left" w:pos="462"/>
              </w:tabs>
              <w:spacing w:before="0" w:beforeAutospacing="0" w:after="0" w:afterAutospacing="0"/>
              <w:jc w:val="both"/>
              <w:rPr>
                <w:b/>
                <w:sz w:val="18"/>
                <w:szCs w:val="18"/>
              </w:rPr>
            </w:pPr>
            <w:r w:rsidRPr="009179E5">
              <w:rPr>
                <w:b/>
                <w:sz w:val="18"/>
                <w:szCs w:val="18"/>
              </w:rPr>
              <w:t>1.Atbilstoši „Enerģijas galapatēriņa efektivitātes likuma prasībām Ekonomikas ministrija ir izstrādājusi Ministru kabineta noteikumu</w:t>
            </w:r>
            <w:r w:rsidR="00461220" w:rsidRPr="009179E5">
              <w:rPr>
                <w:b/>
                <w:sz w:val="18"/>
                <w:szCs w:val="18"/>
              </w:rPr>
              <w:t xml:space="preserve"> projektu</w:t>
            </w:r>
            <w:r w:rsidRPr="009179E5">
              <w:rPr>
                <w:b/>
                <w:sz w:val="18"/>
                <w:szCs w:val="18"/>
              </w:rPr>
              <w:t xml:space="preserve"> „Kārtība kādā noslēdz un pārrauga vienošanās par energoefekltivitātes paaugstināšanu”. </w:t>
            </w:r>
          </w:p>
          <w:p w:rsidR="00796889" w:rsidRPr="009179E5" w:rsidRDefault="00796889" w:rsidP="00340303">
            <w:pPr>
              <w:pStyle w:val="bodytext1"/>
              <w:tabs>
                <w:tab w:val="left" w:pos="462"/>
              </w:tabs>
              <w:spacing w:before="0" w:beforeAutospacing="0" w:after="0" w:afterAutospacing="0"/>
              <w:jc w:val="both"/>
              <w:rPr>
                <w:rStyle w:val="Emphasis"/>
                <w:b/>
                <w:iCs w:val="0"/>
                <w:sz w:val="18"/>
                <w:szCs w:val="18"/>
              </w:rPr>
            </w:pPr>
            <w:r w:rsidRPr="009179E5">
              <w:rPr>
                <w:b/>
                <w:sz w:val="18"/>
                <w:szCs w:val="18"/>
              </w:rPr>
              <w:t>Vienošanās mērķis ir sasniegt ne mazāku kā 10% enerģijas ietaupījumu  nozarē, uzņēmumā vai pašvaldībā. Enerģijas ietaupījumu mērķa sasniegšanu   pamato energoefektivitātes rīcības plāns.</w:t>
            </w:r>
          </w:p>
          <w:p w:rsidR="002F03D7" w:rsidRPr="009179E5" w:rsidRDefault="002F03D7" w:rsidP="00340303">
            <w:pPr>
              <w:spacing w:after="0" w:line="240" w:lineRule="auto"/>
              <w:jc w:val="both"/>
              <w:rPr>
                <w:rFonts w:ascii="Times New Roman" w:hAnsi="Times New Roman"/>
                <w:b/>
                <w:sz w:val="18"/>
                <w:szCs w:val="18"/>
                <w:lang w:val="lv-LV"/>
              </w:rPr>
            </w:pPr>
            <w:r w:rsidRPr="009179E5">
              <w:rPr>
                <w:rFonts w:ascii="Times New Roman" w:hAnsi="Times New Roman"/>
                <w:b/>
                <w:sz w:val="18"/>
                <w:szCs w:val="18"/>
                <w:lang w:val="lv-LV"/>
              </w:rPr>
              <w:t>1.Noslēgta vienošanās starp ministriju un nozares asociāciju ietver:</w:t>
            </w:r>
          </w:p>
          <w:p w:rsidR="002F03D7" w:rsidRPr="009179E5" w:rsidRDefault="002F03D7" w:rsidP="00340303">
            <w:pPr>
              <w:spacing w:after="0" w:line="240" w:lineRule="auto"/>
              <w:jc w:val="both"/>
              <w:rPr>
                <w:rFonts w:ascii="Times New Roman" w:hAnsi="Times New Roman"/>
                <w:b/>
                <w:sz w:val="18"/>
                <w:szCs w:val="18"/>
                <w:lang w:val="lv-LV"/>
              </w:rPr>
            </w:pPr>
            <w:r w:rsidRPr="009179E5">
              <w:rPr>
                <w:rFonts w:ascii="Times New Roman" w:hAnsi="Times New Roman"/>
                <w:b/>
                <w:sz w:val="18"/>
                <w:szCs w:val="18"/>
                <w:lang w:val="lv-LV"/>
              </w:rPr>
              <w:t>nozares asociācijas energoefektivitātes rīcības plānu;</w:t>
            </w:r>
          </w:p>
          <w:p w:rsidR="002F03D7" w:rsidRPr="009179E5" w:rsidRDefault="002F03D7" w:rsidP="00340303">
            <w:pPr>
              <w:spacing w:after="0" w:line="240" w:lineRule="auto"/>
              <w:jc w:val="both"/>
              <w:rPr>
                <w:rFonts w:ascii="Times New Roman" w:hAnsi="Times New Roman"/>
                <w:b/>
                <w:sz w:val="18"/>
                <w:szCs w:val="18"/>
                <w:lang w:val="lv-LV"/>
              </w:rPr>
            </w:pPr>
            <w:r w:rsidRPr="009179E5">
              <w:rPr>
                <w:rFonts w:ascii="Times New Roman" w:hAnsi="Times New Roman"/>
                <w:b/>
                <w:sz w:val="18"/>
                <w:szCs w:val="18"/>
                <w:lang w:val="lv-LV"/>
              </w:rPr>
              <w:t>nozares asociācijas pienākumus savu biedru informēšanai par energoefektivitātes paaugstināšanas jautājumiem;</w:t>
            </w:r>
          </w:p>
          <w:p w:rsidR="002F03D7" w:rsidRPr="009179E5" w:rsidRDefault="002F03D7" w:rsidP="00340303">
            <w:pPr>
              <w:spacing w:after="0" w:line="240" w:lineRule="auto"/>
              <w:jc w:val="both"/>
              <w:rPr>
                <w:rFonts w:ascii="Times New Roman" w:hAnsi="Times New Roman"/>
                <w:b/>
                <w:sz w:val="18"/>
                <w:szCs w:val="18"/>
                <w:lang w:val="lv-LV"/>
              </w:rPr>
            </w:pPr>
            <w:r w:rsidRPr="009179E5">
              <w:rPr>
                <w:rFonts w:ascii="Times New Roman" w:hAnsi="Times New Roman"/>
                <w:b/>
                <w:sz w:val="18"/>
                <w:szCs w:val="18"/>
                <w:lang w:val="lv-LV"/>
              </w:rPr>
              <w:t>nozares asociācijas pienākumus informācijas sniegšanā ministrijai;</w:t>
            </w:r>
          </w:p>
          <w:p w:rsidR="002F03D7" w:rsidRPr="009179E5" w:rsidRDefault="002F03D7" w:rsidP="00340303">
            <w:pPr>
              <w:spacing w:after="0" w:line="240" w:lineRule="auto"/>
              <w:jc w:val="both"/>
              <w:rPr>
                <w:rFonts w:ascii="Times New Roman" w:hAnsi="Times New Roman"/>
                <w:b/>
                <w:sz w:val="18"/>
                <w:szCs w:val="18"/>
                <w:lang w:val="lv-LV"/>
              </w:rPr>
            </w:pPr>
            <w:r w:rsidRPr="009179E5">
              <w:rPr>
                <w:rFonts w:ascii="Times New Roman" w:hAnsi="Times New Roman"/>
                <w:b/>
                <w:sz w:val="18"/>
                <w:szCs w:val="18"/>
                <w:lang w:val="lv-LV"/>
              </w:rPr>
              <w:t>citu informāciju, kas nepieciešama noslēgtās vienošanās  izpildei.</w:t>
            </w:r>
          </w:p>
          <w:p w:rsidR="002F03D7" w:rsidRPr="009179E5" w:rsidRDefault="002F03D7" w:rsidP="00340303">
            <w:pPr>
              <w:spacing w:after="0" w:line="240" w:lineRule="auto"/>
              <w:jc w:val="both"/>
              <w:rPr>
                <w:rFonts w:ascii="Times New Roman" w:hAnsi="Times New Roman"/>
                <w:b/>
                <w:sz w:val="18"/>
                <w:szCs w:val="18"/>
                <w:lang w:val="lv-LV"/>
              </w:rPr>
            </w:pPr>
            <w:r w:rsidRPr="009179E5">
              <w:rPr>
                <w:rFonts w:ascii="Times New Roman" w:hAnsi="Times New Roman"/>
                <w:b/>
                <w:sz w:val="18"/>
                <w:szCs w:val="18"/>
                <w:lang w:val="lv-LV"/>
              </w:rPr>
              <w:t>2. Noslēgta vienošanās starp ministriju un komersantu ietver:</w:t>
            </w:r>
          </w:p>
          <w:p w:rsidR="002F03D7" w:rsidRPr="009179E5" w:rsidRDefault="002F03D7" w:rsidP="00340303">
            <w:pPr>
              <w:spacing w:after="0" w:line="240" w:lineRule="auto"/>
              <w:jc w:val="both"/>
              <w:rPr>
                <w:rFonts w:ascii="Times New Roman" w:hAnsi="Times New Roman"/>
                <w:b/>
                <w:sz w:val="18"/>
                <w:szCs w:val="18"/>
                <w:lang w:val="lv-LV"/>
              </w:rPr>
            </w:pPr>
            <w:r w:rsidRPr="009179E5">
              <w:rPr>
                <w:rFonts w:ascii="Times New Roman" w:hAnsi="Times New Roman"/>
                <w:b/>
                <w:sz w:val="18"/>
                <w:szCs w:val="18"/>
                <w:lang w:val="lv-LV"/>
              </w:rPr>
              <w:t>komersanta energoefektivitātes rīcības plānu;</w:t>
            </w:r>
          </w:p>
          <w:p w:rsidR="002F03D7" w:rsidRPr="009179E5" w:rsidRDefault="002F03D7" w:rsidP="00340303">
            <w:pPr>
              <w:spacing w:after="0" w:line="240" w:lineRule="auto"/>
              <w:jc w:val="both"/>
              <w:rPr>
                <w:rFonts w:ascii="Times New Roman" w:hAnsi="Times New Roman"/>
                <w:b/>
                <w:sz w:val="18"/>
                <w:szCs w:val="18"/>
                <w:lang w:val="lv-LV"/>
              </w:rPr>
            </w:pPr>
            <w:r w:rsidRPr="009179E5">
              <w:rPr>
                <w:rFonts w:ascii="Times New Roman" w:hAnsi="Times New Roman"/>
                <w:b/>
                <w:sz w:val="18"/>
                <w:szCs w:val="18"/>
                <w:lang w:val="lv-LV"/>
              </w:rPr>
              <w:t>komersanta pienākumus veikt energoefektivitātes paaugstināšanas pasākumus savā darbības jomā, ja komersants piedāvā energopakalpojumus;</w:t>
            </w:r>
          </w:p>
          <w:p w:rsidR="002F03D7" w:rsidRPr="009179E5" w:rsidRDefault="002F03D7" w:rsidP="00340303">
            <w:pPr>
              <w:spacing w:after="0" w:line="240" w:lineRule="auto"/>
              <w:jc w:val="both"/>
              <w:rPr>
                <w:rFonts w:ascii="Times New Roman" w:hAnsi="Times New Roman"/>
                <w:b/>
                <w:sz w:val="18"/>
                <w:szCs w:val="18"/>
                <w:lang w:val="lv-LV"/>
              </w:rPr>
            </w:pPr>
            <w:r w:rsidRPr="009179E5">
              <w:rPr>
                <w:rFonts w:ascii="Times New Roman" w:hAnsi="Times New Roman"/>
                <w:b/>
                <w:sz w:val="18"/>
                <w:szCs w:val="18"/>
                <w:lang w:val="lv-LV"/>
              </w:rPr>
              <w:t>komersanta pienākumus informācijas sniegšanā ministrijai;</w:t>
            </w:r>
          </w:p>
          <w:p w:rsidR="002F03D7" w:rsidRPr="009179E5" w:rsidRDefault="002F03D7" w:rsidP="00340303">
            <w:pPr>
              <w:spacing w:after="0" w:line="240" w:lineRule="auto"/>
              <w:jc w:val="both"/>
              <w:rPr>
                <w:rFonts w:ascii="Times New Roman" w:hAnsi="Times New Roman"/>
                <w:b/>
                <w:sz w:val="18"/>
                <w:szCs w:val="18"/>
                <w:lang w:val="lv-LV"/>
              </w:rPr>
            </w:pPr>
            <w:r w:rsidRPr="009179E5">
              <w:rPr>
                <w:rFonts w:ascii="Times New Roman" w:hAnsi="Times New Roman"/>
                <w:b/>
                <w:sz w:val="18"/>
                <w:szCs w:val="18"/>
                <w:lang w:val="lv-LV"/>
              </w:rPr>
              <w:t>citu informāciju, kas nepieciešama noslēgtās vienošanās  izpildei.</w:t>
            </w:r>
          </w:p>
          <w:p w:rsidR="002F03D7" w:rsidRPr="009179E5" w:rsidRDefault="002F03D7" w:rsidP="00340303">
            <w:pPr>
              <w:spacing w:after="0" w:line="240" w:lineRule="auto"/>
              <w:jc w:val="both"/>
              <w:rPr>
                <w:rFonts w:ascii="Times New Roman" w:hAnsi="Times New Roman"/>
                <w:b/>
                <w:sz w:val="18"/>
                <w:szCs w:val="18"/>
                <w:lang w:val="lv-LV"/>
              </w:rPr>
            </w:pPr>
            <w:r w:rsidRPr="009179E5">
              <w:rPr>
                <w:rFonts w:ascii="Times New Roman" w:hAnsi="Times New Roman"/>
                <w:b/>
                <w:sz w:val="18"/>
                <w:szCs w:val="18"/>
                <w:lang w:val="lv-LV"/>
              </w:rPr>
              <w:t>3.  Noslēgta vienošanās starp ministriju un pašvaldību ietver:</w:t>
            </w:r>
          </w:p>
          <w:p w:rsidR="002F03D7" w:rsidRPr="009179E5" w:rsidRDefault="002F03D7" w:rsidP="00340303">
            <w:pPr>
              <w:spacing w:after="0" w:line="240" w:lineRule="auto"/>
              <w:jc w:val="both"/>
              <w:rPr>
                <w:rFonts w:ascii="Times New Roman" w:hAnsi="Times New Roman"/>
                <w:b/>
                <w:sz w:val="18"/>
                <w:szCs w:val="18"/>
                <w:lang w:val="lv-LV"/>
              </w:rPr>
            </w:pPr>
            <w:r w:rsidRPr="009179E5">
              <w:rPr>
                <w:rFonts w:ascii="Times New Roman" w:hAnsi="Times New Roman"/>
                <w:b/>
                <w:sz w:val="18"/>
                <w:szCs w:val="18"/>
                <w:lang w:val="lv-LV"/>
              </w:rPr>
              <w:t>pašvaldības energoefektivitātes rīcības plānu, kas ir atsevišķs dokuments vai pašvaldības attīstības plāna sastāvdaļa;</w:t>
            </w:r>
          </w:p>
          <w:p w:rsidR="002F03D7" w:rsidRPr="009179E5" w:rsidRDefault="002F03D7" w:rsidP="00340303">
            <w:pPr>
              <w:spacing w:after="0" w:line="240" w:lineRule="auto"/>
              <w:jc w:val="both"/>
              <w:rPr>
                <w:rFonts w:ascii="Times New Roman" w:hAnsi="Times New Roman"/>
                <w:b/>
                <w:sz w:val="18"/>
                <w:szCs w:val="18"/>
                <w:lang w:val="lv-LV"/>
              </w:rPr>
            </w:pPr>
            <w:r w:rsidRPr="009179E5">
              <w:rPr>
                <w:rFonts w:ascii="Times New Roman" w:hAnsi="Times New Roman"/>
                <w:b/>
                <w:sz w:val="18"/>
                <w:szCs w:val="18"/>
                <w:lang w:val="lv-LV"/>
              </w:rPr>
              <w:t>pašvaldības pienākumus informācijas sniegšanā savas administratīvās teritorijas iedzīvotājiem energoefektivitātes jomā;</w:t>
            </w:r>
          </w:p>
          <w:p w:rsidR="002F03D7" w:rsidRPr="009179E5" w:rsidRDefault="002F03D7" w:rsidP="00340303">
            <w:pPr>
              <w:spacing w:after="0" w:line="240" w:lineRule="auto"/>
              <w:jc w:val="both"/>
              <w:rPr>
                <w:rFonts w:ascii="Times New Roman" w:hAnsi="Times New Roman"/>
                <w:b/>
                <w:sz w:val="18"/>
                <w:szCs w:val="18"/>
                <w:lang w:val="lv-LV"/>
              </w:rPr>
            </w:pPr>
            <w:r w:rsidRPr="009179E5">
              <w:rPr>
                <w:rFonts w:ascii="Times New Roman" w:hAnsi="Times New Roman"/>
                <w:b/>
                <w:sz w:val="18"/>
                <w:szCs w:val="18"/>
                <w:lang w:val="lv-LV"/>
              </w:rPr>
              <w:t>pašvaldības pienākumus informācijas sniegšanā energoefektivitātes jomā ministrijai;</w:t>
            </w:r>
          </w:p>
          <w:p w:rsidR="00685D60" w:rsidRPr="009179E5" w:rsidRDefault="002F03D7" w:rsidP="00340303">
            <w:pPr>
              <w:pStyle w:val="bodytext1"/>
              <w:spacing w:before="0" w:beforeAutospacing="0" w:after="0" w:afterAutospacing="0"/>
              <w:jc w:val="both"/>
              <w:rPr>
                <w:b/>
                <w:sz w:val="18"/>
                <w:szCs w:val="18"/>
              </w:rPr>
            </w:pPr>
            <w:r w:rsidRPr="009179E5">
              <w:rPr>
                <w:b/>
                <w:sz w:val="18"/>
                <w:szCs w:val="18"/>
              </w:rPr>
              <w:t>citu informāciju, kas nepieciešama noslēgtās vienošanās izpildei.</w:t>
            </w:r>
          </w:p>
          <w:p w:rsidR="00796889" w:rsidRPr="009179E5" w:rsidRDefault="00796889" w:rsidP="00340303">
            <w:pPr>
              <w:pStyle w:val="bodytext1"/>
              <w:spacing w:before="0" w:beforeAutospacing="0" w:after="0" w:afterAutospacing="0"/>
              <w:jc w:val="both"/>
              <w:rPr>
                <w:b/>
                <w:sz w:val="18"/>
                <w:szCs w:val="18"/>
              </w:rPr>
            </w:pPr>
            <w:r w:rsidRPr="009179E5">
              <w:rPr>
                <w:b/>
                <w:sz w:val="18"/>
                <w:szCs w:val="18"/>
              </w:rPr>
              <w:t>Atbilstoši „Enerģijas galapatēriņa efektivitātes likuma prasībām Ek</w:t>
            </w:r>
            <w:r w:rsidR="007F2858" w:rsidRPr="009179E5">
              <w:rPr>
                <w:b/>
                <w:sz w:val="18"/>
                <w:szCs w:val="18"/>
              </w:rPr>
              <w:t>onomikas ministrijai jāizstrādā</w:t>
            </w:r>
            <w:r w:rsidRPr="009179E5">
              <w:rPr>
                <w:b/>
                <w:sz w:val="18"/>
                <w:szCs w:val="18"/>
              </w:rPr>
              <w:t xml:space="preserve"> Ministru kabineta noteikumi „</w:t>
            </w:r>
            <w:r w:rsidR="007F2858" w:rsidRPr="009179E5">
              <w:rPr>
                <w:b/>
                <w:sz w:val="18"/>
                <w:szCs w:val="18"/>
              </w:rPr>
              <w:t>Noteikumi par rūpnieciskajiem energoauditoriem un rūpniecisko energoauditu veikšanas kārtību</w:t>
            </w:r>
            <w:r w:rsidRPr="009179E5">
              <w:rPr>
                <w:b/>
                <w:sz w:val="18"/>
                <w:szCs w:val="18"/>
              </w:rPr>
              <w:t>”. Šie ministru kabineta noteikumi noteiks kārtību, kādā jāveic rūpnieciskais energoaudits, kā arī noteiks tā saturu un prasības rūpniecisko energoauditu veicējiem.</w:t>
            </w:r>
          </w:p>
        </w:tc>
      </w:tr>
      <w:tr w:rsidR="00796889" w:rsidRPr="009179E5" w:rsidTr="00B220B3">
        <w:trPr>
          <w:trHeight w:val="476"/>
          <w:jc w:val="center"/>
        </w:trPr>
        <w:tc>
          <w:tcPr>
            <w:tcW w:w="1239" w:type="dxa"/>
            <w:vMerge/>
          </w:tcPr>
          <w:p w:rsidR="00796889" w:rsidRPr="009179E5" w:rsidRDefault="00796889" w:rsidP="00340303">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96889" w:rsidRPr="009179E5" w:rsidRDefault="00796889" w:rsidP="00340303">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Budžets un finansējuma avots</w:t>
            </w:r>
          </w:p>
        </w:tc>
        <w:tc>
          <w:tcPr>
            <w:tcW w:w="4944" w:type="dxa"/>
          </w:tcPr>
          <w:p w:rsidR="00796889" w:rsidRPr="009179E5" w:rsidRDefault="00796889" w:rsidP="00A42B19">
            <w:pPr>
              <w:pStyle w:val="Default"/>
              <w:jc w:val="both"/>
              <w:rPr>
                <w:b/>
                <w:sz w:val="18"/>
                <w:szCs w:val="18"/>
              </w:rPr>
            </w:pPr>
            <w:r w:rsidRPr="009179E5">
              <w:rPr>
                <w:b/>
                <w:sz w:val="18"/>
                <w:szCs w:val="18"/>
              </w:rPr>
              <w:t>Komersantu</w:t>
            </w:r>
            <w:r w:rsidR="00A42B19" w:rsidRPr="009179E5">
              <w:rPr>
                <w:b/>
                <w:sz w:val="18"/>
                <w:szCs w:val="18"/>
              </w:rPr>
              <w:t xml:space="preserve">, pašvaldību </w:t>
            </w:r>
            <w:r w:rsidRPr="009179E5">
              <w:rPr>
                <w:b/>
                <w:sz w:val="18"/>
                <w:szCs w:val="18"/>
              </w:rPr>
              <w:t>līdzekļi</w:t>
            </w:r>
          </w:p>
        </w:tc>
      </w:tr>
      <w:tr w:rsidR="00796889" w:rsidRPr="009179E5" w:rsidTr="00B220B3">
        <w:trPr>
          <w:trHeight w:val="476"/>
          <w:jc w:val="center"/>
        </w:trPr>
        <w:tc>
          <w:tcPr>
            <w:tcW w:w="1239" w:type="dxa"/>
            <w:vMerge/>
          </w:tcPr>
          <w:p w:rsidR="00796889" w:rsidRPr="009179E5" w:rsidRDefault="00796889" w:rsidP="00340303">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96889" w:rsidRPr="009179E5" w:rsidRDefault="00796889" w:rsidP="00340303">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Ieviesējs</w:t>
            </w:r>
          </w:p>
        </w:tc>
        <w:tc>
          <w:tcPr>
            <w:tcW w:w="4944" w:type="dxa"/>
          </w:tcPr>
          <w:p w:rsidR="00796889" w:rsidRPr="009179E5" w:rsidRDefault="00796889" w:rsidP="00340303">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EM</w:t>
            </w:r>
          </w:p>
        </w:tc>
      </w:tr>
      <w:tr w:rsidR="00796889" w:rsidRPr="009179E5" w:rsidTr="00B220B3">
        <w:trPr>
          <w:trHeight w:val="476"/>
          <w:jc w:val="center"/>
        </w:trPr>
        <w:tc>
          <w:tcPr>
            <w:tcW w:w="1239" w:type="dxa"/>
            <w:vMerge w:val="restart"/>
          </w:tcPr>
          <w:p w:rsidR="00796889" w:rsidRPr="009179E5" w:rsidRDefault="00796889" w:rsidP="00340303">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ietaupījumi</w:t>
            </w:r>
          </w:p>
        </w:tc>
        <w:tc>
          <w:tcPr>
            <w:tcW w:w="2410" w:type="dxa"/>
          </w:tcPr>
          <w:p w:rsidR="00796889" w:rsidRPr="009179E5" w:rsidRDefault="00796889" w:rsidP="00340303">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Sasniegto enerģijas ietaupījumu aprēķina metode</w:t>
            </w:r>
          </w:p>
        </w:tc>
        <w:tc>
          <w:tcPr>
            <w:tcW w:w="4944" w:type="dxa"/>
          </w:tcPr>
          <w:p w:rsidR="00796889" w:rsidRPr="009179E5" w:rsidRDefault="00796889" w:rsidP="005128A7">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Lejup</w:t>
            </w:r>
            <w:r w:rsidR="005128A7" w:rsidRPr="009179E5">
              <w:rPr>
                <w:rFonts w:ascii="Times New Roman" w:hAnsi="Times New Roman"/>
                <w:b/>
                <w:szCs w:val="18"/>
                <w:lang w:val="lv-LV"/>
              </w:rPr>
              <w:t>vērstā</w:t>
            </w:r>
          </w:p>
        </w:tc>
      </w:tr>
      <w:tr w:rsidR="00796889" w:rsidRPr="009179E5" w:rsidTr="00B220B3">
        <w:trPr>
          <w:trHeight w:val="476"/>
          <w:jc w:val="center"/>
        </w:trPr>
        <w:tc>
          <w:tcPr>
            <w:tcW w:w="1239" w:type="dxa"/>
            <w:vMerge/>
          </w:tcPr>
          <w:p w:rsidR="00796889" w:rsidRPr="009179E5" w:rsidRDefault="00796889" w:rsidP="00340303">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96889" w:rsidRPr="009179E5" w:rsidRDefault="00796889" w:rsidP="00340303">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Plānotie enerģijas ietaupījumi 2016</w:t>
            </w:r>
          </w:p>
        </w:tc>
        <w:tc>
          <w:tcPr>
            <w:tcW w:w="4944" w:type="dxa"/>
          </w:tcPr>
          <w:p w:rsidR="00796889" w:rsidRPr="009179E5" w:rsidRDefault="00796889" w:rsidP="00340303">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Pasākums ieviests no 2011 gada</w:t>
            </w:r>
          </w:p>
        </w:tc>
      </w:tr>
    </w:tbl>
    <w:p w:rsidR="00683BDE" w:rsidRPr="009179E5" w:rsidRDefault="00683BDE" w:rsidP="00683BDE">
      <w:pPr>
        <w:pStyle w:val="Caption"/>
        <w:spacing w:after="0" w:line="240" w:lineRule="auto"/>
        <w:jc w:val="right"/>
        <w:rPr>
          <w:rFonts w:ascii="Times New Roman" w:hAnsi="Times New Roman"/>
          <w:lang w:val="lv-LV"/>
        </w:rPr>
      </w:pPr>
    </w:p>
    <w:p w:rsidR="004D4A33" w:rsidRPr="009179E5" w:rsidRDefault="004D4A33" w:rsidP="00683BDE">
      <w:pPr>
        <w:pStyle w:val="Caption"/>
        <w:spacing w:after="0" w:line="240" w:lineRule="auto"/>
        <w:jc w:val="right"/>
        <w:rPr>
          <w:rFonts w:ascii="Times New Roman" w:hAnsi="Times New Roman"/>
          <w:sz w:val="24"/>
          <w:szCs w:val="24"/>
          <w:lang w:val="lv-LV"/>
        </w:rPr>
      </w:pPr>
      <w:r w:rsidRPr="009179E5">
        <w:rPr>
          <w:rFonts w:ascii="Times New Roman" w:hAnsi="Times New Roman"/>
          <w:sz w:val="24"/>
          <w:szCs w:val="24"/>
          <w:lang w:val="lv-LV"/>
        </w:rPr>
        <w:t>3</w:t>
      </w:r>
      <w:r w:rsidR="001874C2" w:rsidRPr="009179E5">
        <w:rPr>
          <w:rFonts w:ascii="Times New Roman" w:hAnsi="Times New Roman"/>
          <w:sz w:val="24"/>
          <w:szCs w:val="24"/>
          <w:lang w:val="lv-LV"/>
        </w:rPr>
        <w:t>0</w:t>
      </w:r>
      <w:r w:rsidRPr="009179E5">
        <w:rPr>
          <w:rFonts w:ascii="Times New Roman" w:hAnsi="Times New Roman"/>
          <w:sz w:val="24"/>
          <w:szCs w:val="24"/>
          <w:lang w:val="lv-LV"/>
        </w:rPr>
        <w:t>.tabula</w:t>
      </w:r>
    </w:p>
    <w:p w:rsidR="004D4A33" w:rsidRPr="009179E5" w:rsidRDefault="004D4A33" w:rsidP="00683BDE">
      <w:pPr>
        <w:pStyle w:val="Caption"/>
        <w:spacing w:after="0" w:line="240" w:lineRule="auto"/>
        <w:jc w:val="center"/>
        <w:rPr>
          <w:rFonts w:ascii="Times New Roman" w:hAnsi="Times New Roman"/>
          <w:sz w:val="28"/>
          <w:szCs w:val="28"/>
          <w:lang w:val="lv-LV"/>
        </w:rPr>
      </w:pPr>
      <w:r w:rsidRPr="009179E5">
        <w:rPr>
          <w:rFonts w:ascii="Times New Roman" w:hAnsi="Times New Roman"/>
          <w:sz w:val="24"/>
          <w:szCs w:val="24"/>
          <w:lang w:val="lv-LV"/>
        </w:rPr>
        <w:t>Pasākuma Nr.H.</w:t>
      </w:r>
      <w:r w:rsidR="00683BDE" w:rsidRPr="009179E5">
        <w:rPr>
          <w:rFonts w:ascii="Times New Roman" w:hAnsi="Times New Roman"/>
          <w:sz w:val="24"/>
          <w:szCs w:val="24"/>
          <w:lang w:val="lv-LV"/>
        </w:rPr>
        <w:t>7.</w:t>
      </w:r>
      <w:r w:rsidRPr="009179E5">
        <w:rPr>
          <w:rFonts w:ascii="Times New Roman" w:hAnsi="Times New Roman"/>
          <w:sz w:val="24"/>
          <w:szCs w:val="24"/>
          <w:lang w:val="lv-LV"/>
        </w:rPr>
        <w:t>2. „Zaļais publiskais iepirkums” apraksts</w:t>
      </w:r>
    </w:p>
    <w:tbl>
      <w:tblPr>
        <w:tblW w:w="8593"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9"/>
        <w:gridCol w:w="2410"/>
        <w:gridCol w:w="4944"/>
      </w:tblGrid>
      <w:tr w:rsidR="004D4A33" w:rsidRPr="009179E5" w:rsidTr="00A66E7B">
        <w:trPr>
          <w:trHeight w:val="414"/>
          <w:jc w:val="center"/>
        </w:trPr>
        <w:tc>
          <w:tcPr>
            <w:tcW w:w="3649" w:type="dxa"/>
            <w:gridSpan w:val="2"/>
          </w:tcPr>
          <w:p w:rsidR="004D4A33" w:rsidRPr="009179E5" w:rsidRDefault="004D4A33" w:rsidP="00683BDE">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szCs w:val="18"/>
                <w:lang w:val="lv-LV"/>
              </w:rPr>
              <w:t>Enerģijas ietaupījumu sasniegšanas pasākuma nosaukums</w:t>
            </w:r>
          </w:p>
        </w:tc>
        <w:tc>
          <w:tcPr>
            <w:tcW w:w="4944" w:type="dxa"/>
          </w:tcPr>
          <w:p w:rsidR="004D4A33" w:rsidRPr="009179E5" w:rsidRDefault="00EF518D" w:rsidP="00683BDE">
            <w:pPr>
              <w:pStyle w:val="Caption"/>
              <w:spacing w:after="0" w:line="240" w:lineRule="auto"/>
              <w:rPr>
                <w:rFonts w:ascii="Times New Roman" w:hAnsi="Times New Roman"/>
                <w:sz w:val="18"/>
                <w:szCs w:val="18"/>
                <w:lang w:val="lv-LV"/>
              </w:rPr>
            </w:pPr>
            <w:r w:rsidRPr="009179E5">
              <w:rPr>
                <w:rFonts w:ascii="Times New Roman" w:hAnsi="Times New Roman"/>
                <w:sz w:val="18"/>
                <w:szCs w:val="18"/>
                <w:lang w:val="lv-LV"/>
              </w:rPr>
              <w:t>Zaļais publiskais iepirkums</w:t>
            </w:r>
          </w:p>
        </w:tc>
      </w:tr>
      <w:tr w:rsidR="004D4A33" w:rsidRPr="009179E5" w:rsidTr="00A42B19">
        <w:trPr>
          <w:trHeight w:val="257"/>
          <w:jc w:val="center"/>
        </w:trPr>
        <w:tc>
          <w:tcPr>
            <w:tcW w:w="3649" w:type="dxa"/>
            <w:gridSpan w:val="2"/>
          </w:tcPr>
          <w:p w:rsidR="004D4A33" w:rsidRPr="009179E5" w:rsidRDefault="004D4A33" w:rsidP="00683BDE">
            <w:pPr>
              <w:pStyle w:val="Tabletext"/>
              <w:tabs>
                <w:tab w:val="left" w:pos="1440"/>
                <w:tab w:val="left" w:pos="5040"/>
              </w:tabs>
              <w:spacing w:before="0" w:after="0" w:line="240" w:lineRule="auto"/>
              <w:rPr>
                <w:rFonts w:ascii="Times New Roman" w:hAnsi="Times New Roman"/>
                <w:i/>
                <w:szCs w:val="18"/>
                <w:lang w:val="lv-LV"/>
              </w:rPr>
            </w:pPr>
            <w:r w:rsidRPr="009179E5">
              <w:rPr>
                <w:rFonts w:ascii="Times New Roman" w:hAnsi="Times New Roman"/>
                <w:i/>
                <w:szCs w:val="18"/>
                <w:lang w:val="lv-LV"/>
              </w:rPr>
              <w:t>Pasākuma nr.</w:t>
            </w:r>
          </w:p>
        </w:tc>
        <w:tc>
          <w:tcPr>
            <w:tcW w:w="4944" w:type="dxa"/>
          </w:tcPr>
          <w:p w:rsidR="004D4A33" w:rsidRPr="009179E5" w:rsidRDefault="004D4A33" w:rsidP="00683BD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H.</w:t>
            </w:r>
            <w:r w:rsidR="00683BDE" w:rsidRPr="009179E5">
              <w:rPr>
                <w:rFonts w:ascii="Times New Roman" w:hAnsi="Times New Roman"/>
                <w:b/>
                <w:szCs w:val="18"/>
                <w:lang w:val="lv-LV"/>
              </w:rPr>
              <w:t>7.</w:t>
            </w:r>
            <w:r w:rsidRPr="009179E5">
              <w:rPr>
                <w:rFonts w:ascii="Times New Roman" w:hAnsi="Times New Roman"/>
                <w:b/>
                <w:szCs w:val="18"/>
                <w:lang w:val="lv-LV"/>
              </w:rPr>
              <w:t>2.</w:t>
            </w:r>
          </w:p>
        </w:tc>
      </w:tr>
      <w:tr w:rsidR="004D4A33" w:rsidRPr="009179E5" w:rsidTr="00C46E0F">
        <w:trPr>
          <w:trHeight w:val="339"/>
          <w:jc w:val="center"/>
        </w:trPr>
        <w:tc>
          <w:tcPr>
            <w:tcW w:w="1239" w:type="dxa"/>
            <w:vMerge w:val="restart"/>
          </w:tcPr>
          <w:p w:rsidR="004D4A33" w:rsidRPr="009179E5" w:rsidRDefault="004D4A33" w:rsidP="00683BDE">
            <w:pPr>
              <w:pStyle w:val="Tabletext"/>
              <w:tabs>
                <w:tab w:val="left" w:pos="1440"/>
                <w:tab w:val="left" w:pos="5040"/>
              </w:tabs>
              <w:spacing w:before="0" w:after="0" w:line="240" w:lineRule="auto"/>
              <w:jc w:val="left"/>
              <w:rPr>
                <w:rFonts w:ascii="Times New Roman" w:hAnsi="Times New Roman"/>
                <w:szCs w:val="18"/>
                <w:lang w:val="lv-LV"/>
              </w:rPr>
            </w:pPr>
          </w:p>
          <w:p w:rsidR="004D4A33" w:rsidRPr="009179E5" w:rsidRDefault="004D4A33" w:rsidP="00683BD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Apraksts</w:t>
            </w:r>
          </w:p>
        </w:tc>
        <w:tc>
          <w:tcPr>
            <w:tcW w:w="2410" w:type="dxa"/>
          </w:tcPr>
          <w:p w:rsidR="004D4A33" w:rsidRPr="009179E5" w:rsidRDefault="004D4A33" w:rsidP="00683BD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Kategorija</w:t>
            </w:r>
          </w:p>
        </w:tc>
        <w:tc>
          <w:tcPr>
            <w:tcW w:w="4944" w:type="dxa"/>
          </w:tcPr>
          <w:p w:rsidR="004D4A33" w:rsidRPr="009179E5" w:rsidRDefault="00A56D09" w:rsidP="00683BD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Finanšu</w:t>
            </w:r>
            <w:r w:rsidR="004D4A33" w:rsidRPr="009179E5">
              <w:rPr>
                <w:rFonts w:ascii="Times New Roman" w:hAnsi="Times New Roman"/>
                <w:b/>
                <w:szCs w:val="18"/>
                <w:lang w:val="lv-LV"/>
              </w:rPr>
              <w:t xml:space="preserve"> instruments </w:t>
            </w:r>
          </w:p>
        </w:tc>
      </w:tr>
      <w:tr w:rsidR="004D4A33" w:rsidRPr="009179E5" w:rsidTr="00A42B19">
        <w:trPr>
          <w:trHeight w:val="280"/>
          <w:jc w:val="center"/>
        </w:trPr>
        <w:tc>
          <w:tcPr>
            <w:tcW w:w="1239" w:type="dxa"/>
            <w:vMerge/>
          </w:tcPr>
          <w:p w:rsidR="004D4A33" w:rsidRPr="009179E5" w:rsidRDefault="004D4A33" w:rsidP="00683BDE">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D4A33" w:rsidRPr="009179E5" w:rsidRDefault="004D4A33" w:rsidP="00683BD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Īstenošanas laika grafiks</w:t>
            </w:r>
          </w:p>
        </w:tc>
        <w:tc>
          <w:tcPr>
            <w:tcW w:w="4944" w:type="dxa"/>
          </w:tcPr>
          <w:p w:rsidR="004D4A33" w:rsidRPr="009179E5" w:rsidRDefault="004D4A33" w:rsidP="00683BDE">
            <w:pPr>
              <w:autoSpaceDE w:val="0"/>
              <w:autoSpaceDN w:val="0"/>
              <w:adjustRightInd w:val="0"/>
              <w:spacing w:after="0" w:line="240" w:lineRule="auto"/>
              <w:jc w:val="both"/>
              <w:rPr>
                <w:rFonts w:ascii="Times New Roman" w:hAnsi="Times New Roman"/>
                <w:b/>
                <w:sz w:val="18"/>
                <w:szCs w:val="18"/>
                <w:lang w:val="lv-LV" w:eastAsia="lv-LV"/>
              </w:rPr>
            </w:pPr>
            <w:r w:rsidRPr="009179E5">
              <w:rPr>
                <w:rFonts w:ascii="Times New Roman" w:hAnsi="Times New Roman"/>
                <w:b/>
                <w:sz w:val="18"/>
                <w:szCs w:val="18"/>
                <w:lang w:val="lv-LV" w:eastAsia="lv-LV"/>
              </w:rPr>
              <w:t>20</w:t>
            </w:r>
            <w:r w:rsidR="00A56D09" w:rsidRPr="009179E5">
              <w:rPr>
                <w:rFonts w:ascii="Times New Roman" w:hAnsi="Times New Roman"/>
                <w:b/>
                <w:sz w:val="18"/>
                <w:szCs w:val="18"/>
                <w:lang w:val="lv-LV" w:eastAsia="lv-LV"/>
              </w:rPr>
              <w:t>09</w:t>
            </w:r>
            <w:r w:rsidRPr="009179E5">
              <w:rPr>
                <w:rFonts w:ascii="Times New Roman" w:hAnsi="Times New Roman"/>
                <w:b/>
                <w:sz w:val="18"/>
                <w:szCs w:val="18"/>
                <w:lang w:val="lv-LV" w:eastAsia="lv-LV"/>
              </w:rPr>
              <w:t>. – 2016.</w:t>
            </w:r>
          </w:p>
        </w:tc>
      </w:tr>
      <w:tr w:rsidR="004D4A33" w:rsidRPr="009179E5" w:rsidTr="003F67CE">
        <w:trPr>
          <w:trHeight w:val="476"/>
          <w:jc w:val="center"/>
        </w:trPr>
        <w:tc>
          <w:tcPr>
            <w:tcW w:w="1239" w:type="dxa"/>
            <w:vMerge/>
          </w:tcPr>
          <w:p w:rsidR="004D4A33" w:rsidRPr="009179E5" w:rsidRDefault="004D4A33" w:rsidP="00683BDE">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D4A33" w:rsidRPr="009179E5" w:rsidRDefault="004D4A33" w:rsidP="00683BD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Mērķis</w:t>
            </w:r>
          </w:p>
        </w:tc>
        <w:tc>
          <w:tcPr>
            <w:tcW w:w="4944" w:type="dxa"/>
          </w:tcPr>
          <w:p w:rsidR="004C7719" w:rsidRPr="009179E5" w:rsidRDefault="0077664D" w:rsidP="00683BDE">
            <w:pPr>
              <w:autoSpaceDE w:val="0"/>
              <w:autoSpaceDN w:val="0"/>
              <w:adjustRightInd w:val="0"/>
              <w:spacing w:after="0" w:line="240" w:lineRule="auto"/>
              <w:jc w:val="both"/>
              <w:rPr>
                <w:rFonts w:ascii="Times New Roman" w:hAnsi="Times New Roman"/>
                <w:b/>
                <w:sz w:val="18"/>
                <w:szCs w:val="18"/>
                <w:lang w:val="lv-LV" w:eastAsia="lv-LV"/>
              </w:rPr>
            </w:pPr>
            <w:r>
              <w:rPr>
                <w:rFonts w:ascii="Times New Roman" w:hAnsi="Times New Roman"/>
                <w:b/>
                <w:sz w:val="18"/>
                <w:szCs w:val="18"/>
                <w:lang w:val="lv-LV" w:eastAsia="lv-LV"/>
              </w:rPr>
              <w:t>S</w:t>
            </w:r>
            <w:r w:rsidR="004C7719" w:rsidRPr="009179E5">
              <w:rPr>
                <w:rFonts w:ascii="Times New Roman" w:hAnsi="Times New Roman"/>
                <w:b/>
                <w:sz w:val="18"/>
                <w:szCs w:val="18"/>
                <w:lang w:val="lv-LV" w:eastAsia="lv-LV"/>
              </w:rPr>
              <w:t xml:space="preserve">amazināt ietekmi uz vidi – katra nopirktā prece (vai pakalpojums) atstāj ietekmi uz vidi visās tās aprites cikla stadijās (ražošana – lietošana – pārstrāde otrreizējai izmantošanai vai noglabāšana atkritumu izgāztuvē); </w:t>
            </w:r>
          </w:p>
          <w:p w:rsidR="004C7719" w:rsidRPr="009179E5" w:rsidRDefault="004C7719" w:rsidP="00683BDE">
            <w:pPr>
              <w:autoSpaceDE w:val="0"/>
              <w:autoSpaceDN w:val="0"/>
              <w:adjustRightInd w:val="0"/>
              <w:spacing w:after="0" w:line="240" w:lineRule="auto"/>
              <w:jc w:val="both"/>
              <w:rPr>
                <w:rFonts w:ascii="Times New Roman" w:hAnsi="Times New Roman"/>
                <w:b/>
                <w:sz w:val="18"/>
                <w:szCs w:val="18"/>
                <w:lang w:val="lv-LV" w:eastAsia="lv-LV"/>
              </w:rPr>
            </w:pPr>
            <w:r w:rsidRPr="009179E5">
              <w:rPr>
                <w:rFonts w:ascii="Times New Roman" w:hAnsi="Times New Roman"/>
                <w:b/>
                <w:sz w:val="18"/>
                <w:szCs w:val="18"/>
                <w:lang w:val="lv-LV" w:eastAsia="lv-LV"/>
              </w:rPr>
              <w:t xml:space="preserve">veicināt sociālus uzlabojumus – ar iepirkumu procedūrā iestrādātu nosacījumu palīdzību iespējams nodrošināt labākus darba apstākļus, piemēram, būvniecībā, vai nodrošināt jaunbūves pieejamību invalīdiem; </w:t>
            </w:r>
          </w:p>
          <w:p w:rsidR="004D4A33" w:rsidRPr="009179E5" w:rsidRDefault="004C7719" w:rsidP="00683BDE">
            <w:pPr>
              <w:autoSpaceDE w:val="0"/>
              <w:autoSpaceDN w:val="0"/>
              <w:adjustRightInd w:val="0"/>
              <w:spacing w:after="0" w:line="240" w:lineRule="auto"/>
              <w:jc w:val="both"/>
              <w:rPr>
                <w:rFonts w:ascii="Times New Roman" w:hAnsi="Times New Roman"/>
                <w:b/>
                <w:sz w:val="18"/>
                <w:szCs w:val="18"/>
                <w:lang w:val="lv-LV" w:eastAsia="lv-LV"/>
              </w:rPr>
            </w:pPr>
            <w:r w:rsidRPr="009179E5">
              <w:rPr>
                <w:rFonts w:ascii="Times New Roman" w:hAnsi="Times New Roman"/>
                <w:b/>
                <w:sz w:val="18"/>
                <w:szCs w:val="18"/>
                <w:lang w:val="lv-LV" w:eastAsia="lv-LV"/>
              </w:rPr>
              <w:t>panākt ietaupījumus budžetā</w:t>
            </w:r>
          </w:p>
        </w:tc>
      </w:tr>
      <w:tr w:rsidR="004D4A33" w:rsidRPr="009179E5" w:rsidTr="00A42B19">
        <w:trPr>
          <w:trHeight w:val="396"/>
          <w:jc w:val="center"/>
        </w:trPr>
        <w:tc>
          <w:tcPr>
            <w:tcW w:w="1239" w:type="dxa"/>
            <w:vMerge/>
          </w:tcPr>
          <w:p w:rsidR="004D4A33" w:rsidRPr="009179E5" w:rsidRDefault="004D4A33" w:rsidP="00683BDE">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D4A33" w:rsidRPr="009179E5" w:rsidRDefault="004D4A33" w:rsidP="00683BD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galapatēriņa sektors</w:t>
            </w:r>
          </w:p>
        </w:tc>
        <w:tc>
          <w:tcPr>
            <w:tcW w:w="4944" w:type="dxa"/>
          </w:tcPr>
          <w:p w:rsidR="004D4A33" w:rsidRPr="009179E5" w:rsidRDefault="004C7719" w:rsidP="00683BD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S</w:t>
            </w:r>
            <w:r w:rsidR="004D4A33" w:rsidRPr="009179E5">
              <w:rPr>
                <w:rFonts w:ascii="Times New Roman" w:hAnsi="Times New Roman"/>
                <w:b/>
                <w:szCs w:val="18"/>
                <w:lang w:val="lv-LV"/>
              </w:rPr>
              <w:t xml:space="preserve">abiedriskais sektors  </w:t>
            </w:r>
          </w:p>
        </w:tc>
      </w:tr>
      <w:tr w:rsidR="004D4A33" w:rsidRPr="009179E5" w:rsidTr="003F67CE">
        <w:trPr>
          <w:trHeight w:val="476"/>
          <w:jc w:val="center"/>
        </w:trPr>
        <w:tc>
          <w:tcPr>
            <w:tcW w:w="1239" w:type="dxa"/>
            <w:vMerge/>
          </w:tcPr>
          <w:p w:rsidR="004D4A33" w:rsidRPr="009179E5" w:rsidRDefault="004D4A33" w:rsidP="00683BDE">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D4A33" w:rsidRPr="009179E5" w:rsidRDefault="004D4A33" w:rsidP="00683BD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Mērķauditorija</w:t>
            </w:r>
          </w:p>
        </w:tc>
        <w:tc>
          <w:tcPr>
            <w:tcW w:w="4944" w:type="dxa"/>
          </w:tcPr>
          <w:p w:rsidR="004C7719" w:rsidRPr="009179E5" w:rsidRDefault="004C7719" w:rsidP="00683BD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Valsts iestādes,</w:t>
            </w:r>
          </w:p>
          <w:p w:rsidR="004D4A33" w:rsidRPr="009179E5" w:rsidRDefault="004C7719" w:rsidP="00683BD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P</w:t>
            </w:r>
            <w:r w:rsidR="004D4A33" w:rsidRPr="009179E5">
              <w:rPr>
                <w:rFonts w:ascii="Times New Roman" w:hAnsi="Times New Roman"/>
                <w:b/>
                <w:szCs w:val="18"/>
                <w:lang w:val="lv-LV"/>
              </w:rPr>
              <w:t>ašvaldības</w:t>
            </w:r>
          </w:p>
        </w:tc>
      </w:tr>
      <w:tr w:rsidR="004D4A33" w:rsidRPr="009179E5" w:rsidTr="00A42B19">
        <w:trPr>
          <w:trHeight w:val="339"/>
          <w:jc w:val="center"/>
        </w:trPr>
        <w:tc>
          <w:tcPr>
            <w:tcW w:w="1239" w:type="dxa"/>
            <w:vMerge/>
          </w:tcPr>
          <w:p w:rsidR="004D4A33" w:rsidRPr="009179E5" w:rsidRDefault="004D4A33" w:rsidP="00683BDE">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D4A33" w:rsidRPr="009179E5" w:rsidRDefault="004D4A33" w:rsidP="00683BD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Pasākuma ieviešanas teritorija</w:t>
            </w:r>
          </w:p>
        </w:tc>
        <w:tc>
          <w:tcPr>
            <w:tcW w:w="4944" w:type="dxa"/>
          </w:tcPr>
          <w:p w:rsidR="004D4A33" w:rsidRPr="009179E5" w:rsidRDefault="004D4A33" w:rsidP="00683BD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 xml:space="preserve">Latvijas Republika </w:t>
            </w:r>
          </w:p>
        </w:tc>
      </w:tr>
      <w:tr w:rsidR="004D4A33" w:rsidRPr="009179E5" w:rsidTr="003F67CE">
        <w:trPr>
          <w:trHeight w:val="476"/>
          <w:jc w:val="center"/>
        </w:trPr>
        <w:tc>
          <w:tcPr>
            <w:tcW w:w="1239" w:type="dxa"/>
            <w:vMerge w:val="restart"/>
          </w:tcPr>
          <w:p w:rsidR="004D4A33" w:rsidRPr="009179E5" w:rsidRDefault="004D4A33" w:rsidP="00683BD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Informācija un ieviešana</w:t>
            </w:r>
          </w:p>
        </w:tc>
        <w:tc>
          <w:tcPr>
            <w:tcW w:w="2410" w:type="dxa"/>
          </w:tcPr>
          <w:p w:rsidR="004D4A33" w:rsidRPr="009179E5" w:rsidRDefault="004D4A33" w:rsidP="00683BDE">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Enerģijas ietaupījumu sasniegšanas pasākumu saraksts un pasākuma pamatapraksts</w:t>
            </w:r>
          </w:p>
        </w:tc>
        <w:tc>
          <w:tcPr>
            <w:tcW w:w="4944" w:type="dxa"/>
          </w:tcPr>
          <w:p w:rsidR="004D4A33" w:rsidRPr="009179E5" w:rsidRDefault="0040554E" w:rsidP="00683BDE">
            <w:pPr>
              <w:pStyle w:val="bodytext1"/>
              <w:spacing w:before="0" w:beforeAutospacing="0" w:after="0" w:afterAutospacing="0"/>
              <w:jc w:val="both"/>
              <w:rPr>
                <w:b/>
                <w:sz w:val="18"/>
                <w:szCs w:val="18"/>
              </w:rPr>
            </w:pPr>
            <w:r w:rsidRPr="009179E5">
              <w:rPr>
                <w:b/>
                <w:sz w:val="18"/>
                <w:szCs w:val="18"/>
              </w:rPr>
              <w:t>Iepirkumos pasūtītājs izvirza vides prasības piegādātāju spējām, iekļauj tās iepirkuma priekšmetu tehniskajās specifikācijās, tostarp izmatojot attiecīgus standartus un ekomarķējumus, kā arī iekļaut vides un energoefektivitātes faktorus saimnieciski visizdevīgākā piedāvājuma izvēles kritērijos</w:t>
            </w:r>
          </w:p>
        </w:tc>
      </w:tr>
      <w:tr w:rsidR="004D4A33" w:rsidRPr="009179E5" w:rsidTr="003F67CE">
        <w:trPr>
          <w:trHeight w:val="476"/>
          <w:jc w:val="center"/>
        </w:trPr>
        <w:tc>
          <w:tcPr>
            <w:tcW w:w="1239" w:type="dxa"/>
            <w:vMerge/>
          </w:tcPr>
          <w:p w:rsidR="004D4A33" w:rsidRPr="009179E5" w:rsidRDefault="004D4A33" w:rsidP="00683BDE">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D4A33" w:rsidRPr="009179E5" w:rsidRDefault="004D4A33" w:rsidP="00683BD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Budžets un finansējuma avots</w:t>
            </w:r>
          </w:p>
        </w:tc>
        <w:tc>
          <w:tcPr>
            <w:tcW w:w="4944" w:type="dxa"/>
          </w:tcPr>
          <w:p w:rsidR="004D4A33" w:rsidRPr="009179E5" w:rsidRDefault="001874C2" w:rsidP="00683BDE">
            <w:pPr>
              <w:pStyle w:val="Default"/>
              <w:jc w:val="both"/>
              <w:rPr>
                <w:b/>
                <w:sz w:val="18"/>
                <w:szCs w:val="18"/>
              </w:rPr>
            </w:pPr>
            <w:r w:rsidRPr="009179E5">
              <w:rPr>
                <w:b/>
                <w:sz w:val="18"/>
                <w:szCs w:val="18"/>
              </w:rPr>
              <w:t>Valsts vai pašvaldības iestāžu budžets, atbilstoši iestāžu iepirkuma plānam</w:t>
            </w:r>
          </w:p>
        </w:tc>
      </w:tr>
      <w:tr w:rsidR="004D4A33" w:rsidRPr="009179E5" w:rsidTr="003F67CE">
        <w:trPr>
          <w:trHeight w:val="476"/>
          <w:jc w:val="center"/>
        </w:trPr>
        <w:tc>
          <w:tcPr>
            <w:tcW w:w="1239" w:type="dxa"/>
            <w:vMerge/>
          </w:tcPr>
          <w:p w:rsidR="004D4A33" w:rsidRPr="009179E5" w:rsidRDefault="004D4A33" w:rsidP="00683BDE">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D4A33" w:rsidRPr="009179E5" w:rsidRDefault="004D4A33" w:rsidP="00683BD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Ieviesējs</w:t>
            </w:r>
          </w:p>
        </w:tc>
        <w:tc>
          <w:tcPr>
            <w:tcW w:w="4944" w:type="dxa"/>
          </w:tcPr>
          <w:p w:rsidR="004D4A33" w:rsidRPr="009179E5" w:rsidRDefault="00204970" w:rsidP="00683BD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VARAM</w:t>
            </w:r>
          </w:p>
        </w:tc>
      </w:tr>
      <w:tr w:rsidR="004D4A33" w:rsidRPr="009179E5" w:rsidTr="003F67CE">
        <w:trPr>
          <w:trHeight w:val="476"/>
          <w:jc w:val="center"/>
        </w:trPr>
        <w:tc>
          <w:tcPr>
            <w:tcW w:w="1239" w:type="dxa"/>
            <w:vMerge w:val="restart"/>
          </w:tcPr>
          <w:p w:rsidR="004D4A33" w:rsidRPr="009179E5" w:rsidRDefault="004D4A33" w:rsidP="00683BD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Enerģijas ietaupījumi</w:t>
            </w:r>
          </w:p>
        </w:tc>
        <w:tc>
          <w:tcPr>
            <w:tcW w:w="2410" w:type="dxa"/>
          </w:tcPr>
          <w:p w:rsidR="004D4A33" w:rsidRPr="009179E5" w:rsidRDefault="004D4A33" w:rsidP="00683BDE">
            <w:pPr>
              <w:pStyle w:val="Tabletext"/>
              <w:tabs>
                <w:tab w:val="left" w:pos="1440"/>
                <w:tab w:val="left" w:pos="5040"/>
              </w:tabs>
              <w:spacing w:before="0" w:after="0" w:line="240" w:lineRule="auto"/>
              <w:rPr>
                <w:rFonts w:ascii="Times New Roman" w:hAnsi="Times New Roman"/>
                <w:szCs w:val="18"/>
                <w:lang w:val="lv-LV"/>
              </w:rPr>
            </w:pPr>
            <w:r w:rsidRPr="009179E5">
              <w:rPr>
                <w:rFonts w:ascii="Times New Roman" w:hAnsi="Times New Roman"/>
                <w:szCs w:val="18"/>
                <w:lang w:val="lv-LV"/>
              </w:rPr>
              <w:t>Sasniegto enerģijas ietaupījumu aprēķina metode</w:t>
            </w:r>
          </w:p>
        </w:tc>
        <w:tc>
          <w:tcPr>
            <w:tcW w:w="4944" w:type="dxa"/>
          </w:tcPr>
          <w:p w:rsidR="004D4A33" w:rsidRPr="009179E5" w:rsidRDefault="004D4A33" w:rsidP="005440D8">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Lejup</w:t>
            </w:r>
            <w:r w:rsidR="005440D8" w:rsidRPr="009179E5">
              <w:rPr>
                <w:rFonts w:ascii="Times New Roman" w:hAnsi="Times New Roman"/>
                <w:b/>
                <w:szCs w:val="18"/>
                <w:lang w:val="lv-LV"/>
              </w:rPr>
              <w:t>vērstā</w:t>
            </w:r>
          </w:p>
        </w:tc>
      </w:tr>
      <w:tr w:rsidR="004D4A33" w:rsidRPr="009179E5" w:rsidTr="003F67CE">
        <w:trPr>
          <w:trHeight w:val="476"/>
          <w:jc w:val="center"/>
        </w:trPr>
        <w:tc>
          <w:tcPr>
            <w:tcW w:w="1239" w:type="dxa"/>
            <w:vMerge/>
          </w:tcPr>
          <w:p w:rsidR="004D4A33" w:rsidRPr="009179E5" w:rsidRDefault="004D4A33" w:rsidP="00683BDE">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4D4A33" w:rsidRPr="009179E5" w:rsidRDefault="004D4A33" w:rsidP="00683BDE">
            <w:pPr>
              <w:pStyle w:val="Tabletext"/>
              <w:tabs>
                <w:tab w:val="left" w:pos="1440"/>
                <w:tab w:val="left" w:pos="5040"/>
              </w:tabs>
              <w:spacing w:before="0" w:after="0" w:line="240" w:lineRule="auto"/>
              <w:jc w:val="left"/>
              <w:rPr>
                <w:rFonts w:ascii="Times New Roman" w:hAnsi="Times New Roman"/>
                <w:szCs w:val="18"/>
                <w:lang w:val="lv-LV"/>
              </w:rPr>
            </w:pPr>
            <w:r w:rsidRPr="009179E5">
              <w:rPr>
                <w:rFonts w:ascii="Times New Roman" w:hAnsi="Times New Roman"/>
                <w:szCs w:val="18"/>
                <w:lang w:val="lv-LV"/>
              </w:rPr>
              <w:t>Plānotie enerģijas ietaupījumi 2016</w:t>
            </w:r>
          </w:p>
        </w:tc>
        <w:tc>
          <w:tcPr>
            <w:tcW w:w="4944" w:type="dxa"/>
          </w:tcPr>
          <w:p w:rsidR="004D4A33" w:rsidRPr="009179E5" w:rsidRDefault="00204970" w:rsidP="00683BDE">
            <w:pPr>
              <w:pStyle w:val="Tabletext"/>
              <w:tabs>
                <w:tab w:val="left" w:pos="1440"/>
                <w:tab w:val="left" w:pos="5040"/>
              </w:tabs>
              <w:spacing w:before="0" w:after="0" w:line="240" w:lineRule="auto"/>
              <w:rPr>
                <w:rFonts w:ascii="Times New Roman" w:hAnsi="Times New Roman"/>
                <w:b/>
                <w:szCs w:val="18"/>
                <w:lang w:val="lv-LV"/>
              </w:rPr>
            </w:pPr>
            <w:r w:rsidRPr="009179E5">
              <w:rPr>
                <w:rFonts w:ascii="Times New Roman" w:hAnsi="Times New Roman"/>
                <w:b/>
                <w:szCs w:val="18"/>
                <w:lang w:val="lv-LV"/>
              </w:rPr>
              <w:t>ZPI vadlīnijas pieņemtas 2008.gada decembrī, sākts ieviest no 2009.gada</w:t>
            </w:r>
          </w:p>
        </w:tc>
      </w:tr>
    </w:tbl>
    <w:p w:rsidR="0077664D" w:rsidRDefault="0077664D" w:rsidP="0077664D">
      <w:pPr>
        <w:rPr>
          <w:rFonts w:ascii="Times New Roman" w:hAnsi="Times New Roman"/>
          <w:b/>
          <w:sz w:val="24"/>
          <w:szCs w:val="24"/>
        </w:rPr>
      </w:pPr>
    </w:p>
    <w:p w:rsidR="0077664D" w:rsidRPr="003B66D9" w:rsidRDefault="00D31158" w:rsidP="001960CF">
      <w:pPr>
        <w:spacing w:line="240" w:lineRule="auto"/>
        <w:jc w:val="right"/>
        <w:rPr>
          <w:rFonts w:ascii="Times New Roman" w:hAnsi="Times New Roman"/>
          <w:b/>
          <w:sz w:val="24"/>
          <w:szCs w:val="24"/>
        </w:rPr>
      </w:pPr>
      <w:r w:rsidRPr="003B66D9">
        <w:rPr>
          <w:rFonts w:ascii="Times New Roman" w:hAnsi="Times New Roman"/>
          <w:b/>
          <w:sz w:val="24"/>
          <w:szCs w:val="24"/>
        </w:rPr>
        <w:t xml:space="preserve">31. </w:t>
      </w:r>
      <w:r w:rsidR="0077664D" w:rsidRPr="003B66D9">
        <w:rPr>
          <w:rFonts w:ascii="Times New Roman" w:hAnsi="Times New Roman"/>
          <w:b/>
          <w:sz w:val="24"/>
          <w:szCs w:val="24"/>
        </w:rPr>
        <w:t>tabula</w:t>
      </w:r>
    </w:p>
    <w:p w:rsidR="00222B5B" w:rsidRPr="003B66D9" w:rsidRDefault="0077664D" w:rsidP="001960CF">
      <w:pPr>
        <w:spacing w:line="240" w:lineRule="auto"/>
        <w:jc w:val="center"/>
        <w:rPr>
          <w:rFonts w:ascii="Times New Roman" w:hAnsi="Times New Roman"/>
          <w:b/>
          <w:sz w:val="24"/>
          <w:szCs w:val="24"/>
          <w:lang w:val="lv-LV"/>
        </w:rPr>
      </w:pPr>
      <w:r w:rsidRPr="003B66D9">
        <w:rPr>
          <w:rFonts w:ascii="Times New Roman" w:hAnsi="Times New Roman"/>
          <w:b/>
          <w:sz w:val="24"/>
          <w:szCs w:val="24"/>
        </w:rPr>
        <w:t>Pasākuma Nr.H.7.3. “</w:t>
      </w:r>
      <w:r w:rsidRPr="003B66D9">
        <w:rPr>
          <w:rFonts w:ascii="Times New Roman" w:hAnsi="Times New Roman"/>
          <w:b/>
          <w:sz w:val="24"/>
          <w:szCs w:val="24"/>
          <w:lang w:val="lv-LV"/>
        </w:rPr>
        <w:t>Minimālo energoefektivitātes prasību paaugstināšana jaunbūvēm un rekonstruējamām ēkām” apraksts</w:t>
      </w:r>
    </w:p>
    <w:tbl>
      <w:tblPr>
        <w:tblW w:w="850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2410"/>
        <w:gridCol w:w="4897"/>
      </w:tblGrid>
      <w:tr w:rsidR="0077664D" w:rsidRPr="003B66D9" w:rsidTr="00012F78">
        <w:trPr>
          <w:trHeight w:val="480"/>
        </w:trPr>
        <w:tc>
          <w:tcPr>
            <w:tcW w:w="3608" w:type="dxa"/>
            <w:gridSpan w:val="2"/>
          </w:tcPr>
          <w:p w:rsidR="0077664D" w:rsidRPr="003B66D9" w:rsidRDefault="0077664D" w:rsidP="00012F78">
            <w:pPr>
              <w:pStyle w:val="Tabletext"/>
              <w:tabs>
                <w:tab w:val="left" w:pos="1440"/>
                <w:tab w:val="left" w:pos="5040"/>
              </w:tabs>
              <w:spacing w:before="0" w:after="0" w:line="240" w:lineRule="auto"/>
              <w:rPr>
                <w:rFonts w:ascii="Times New Roman" w:hAnsi="Times New Roman"/>
                <w:i/>
                <w:szCs w:val="18"/>
                <w:lang w:val="lv-LV"/>
              </w:rPr>
            </w:pPr>
            <w:r w:rsidRPr="003B66D9">
              <w:rPr>
                <w:rFonts w:ascii="Times New Roman" w:hAnsi="Times New Roman"/>
                <w:i/>
                <w:szCs w:val="18"/>
                <w:lang w:val="lv-LV"/>
              </w:rPr>
              <w:t>Enerģijas ietaupījumu sasniegšanas pasākuma nosaukums</w:t>
            </w:r>
          </w:p>
        </w:tc>
        <w:tc>
          <w:tcPr>
            <w:tcW w:w="4897" w:type="dxa"/>
          </w:tcPr>
          <w:p w:rsidR="0077664D" w:rsidRPr="003B66D9" w:rsidRDefault="0077664D" w:rsidP="00012F78">
            <w:pPr>
              <w:pStyle w:val="Tabletext"/>
              <w:tabs>
                <w:tab w:val="left" w:pos="1440"/>
                <w:tab w:val="left" w:pos="5040"/>
              </w:tabs>
              <w:spacing w:before="0" w:after="0" w:line="240" w:lineRule="auto"/>
              <w:rPr>
                <w:rFonts w:ascii="Times New Roman" w:hAnsi="Times New Roman"/>
                <w:b/>
                <w:szCs w:val="18"/>
                <w:lang w:val="lv-LV"/>
              </w:rPr>
            </w:pPr>
            <w:r w:rsidRPr="003B66D9">
              <w:rPr>
                <w:rFonts w:ascii="Times New Roman" w:hAnsi="Times New Roman"/>
                <w:b/>
                <w:szCs w:val="18"/>
                <w:lang w:val="lv-LV"/>
              </w:rPr>
              <w:t>Minimālo energoefektivitātes prasību paaugstināšana jaunbūvēm un rekonstruējamām ēkām</w:t>
            </w:r>
          </w:p>
        </w:tc>
      </w:tr>
      <w:tr w:rsidR="0077664D" w:rsidRPr="003B66D9" w:rsidTr="00012F78">
        <w:trPr>
          <w:trHeight w:val="480"/>
        </w:trPr>
        <w:tc>
          <w:tcPr>
            <w:tcW w:w="3608" w:type="dxa"/>
            <w:gridSpan w:val="2"/>
          </w:tcPr>
          <w:p w:rsidR="0077664D" w:rsidRPr="003B66D9" w:rsidRDefault="0077664D" w:rsidP="00012F78">
            <w:pPr>
              <w:pStyle w:val="Tabletext"/>
              <w:tabs>
                <w:tab w:val="left" w:pos="1440"/>
                <w:tab w:val="left" w:pos="5040"/>
              </w:tabs>
              <w:spacing w:before="0" w:after="0" w:line="240" w:lineRule="auto"/>
              <w:rPr>
                <w:rFonts w:ascii="Times New Roman" w:hAnsi="Times New Roman"/>
                <w:i/>
                <w:szCs w:val="18"/>
                <w:lang w:val="lv-LV"/>
              </w:rPr>
            </w:pPr>
            <w:r w:rsidRPr="003B66D9">
              <w:rPr>
                <w:rFonts w:ascii="Times New Roman" w:hAnsi="Times New Roman"/>
                <w:i/>
                <w:szCs w:val="18"/>
                <w:lang w:val="lv-LV"/>
              </w:rPr>
              <w:t>Pasākuma nr.</w:t>
            </w:r>
          </w:p>
        </w:tc>
        <w:tc>
          <w:tcPr>
            <w:tcW w:w="4897" w:type="dxa"/>
          </w:tcPr>
          <w:p w:rsidR="0077664D" w:rsidRPr="003B66D9" w:rsidRDefault="0077664D" w:rsidP="00012F78">
            <w:pPr>
              <w:pStyle w:val="Tabletext"/>
              <w:tabs>
                <w:tab w:val="left" w:pos="1440"/>
                <w:tab w:val="left" w:pos="5040"/>
              </w:tabs>
              <w:spacing w:before="0" w:after="0" w:line="240" w:lineRule="auto"/>
              <w:rPr>
                <w:rFonts w:ascii="Times New Roman" w:hAnsi="Times New Roman"/>
                <w:b/>
                <w:szCs w:val="18"/>
                <w:lang w:val="en-GB"/>
              </w:rPr>
            </w:pPr>
            <w:r w:rsidRPr="003B66D9">
              <w:rPr>
                <w:rFonts w:ascii="Times New Roman" w:hAnsi="Times New Roman"/>
                <w:b/>
                <w:szCs w:val="18"/>
                <w:lang w:val="en-GB"/>
              </w:rPr>
              <w:t>H.7.3.</w:t>
            </w:r>
          </w:p>
        </w:tc>
      </w:tr>
      <w:tr w:rsidR="0077664D" w:rsidRPr="003B66D9" w:rsidTr="00012F78">
        <w:trPr>
          <w:trHeight w:val="476"/>
        </w:trPr>
        <w:tc>
          <w:tcPr>
            <w:tcW w:w="1198" w:type="dxa"/>
            <w:vMerge w:val="restart"/>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en-GB"/>
              </w:rPr>
            </w:pPr>
          </w:p>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lv-LV"/>
              </w:rPr>
            </w:pPr>
            <w:r w:rsidRPr="003B66D9">
              <w:rPr>
                <w:rFonts w:ascii="Times New Roman" w:hAnsi="Times New Roman"/>
                <w:szCs w:val="18"/>
                <w:lang w:val="lv-LV"/>
              </w:rPr>
              <w:t>Apraksts</w:t>
            </w:r>
          </w:p>
        </w:tc>
        <w:tc>
          <w:tcPr>
            <w:tcW w:w="2410" w:type="dxa"/>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lv-LV"/>
              </w:rPr>
            </w:pPr>
            <w:r w:rsidRPr="003B66D9">
              <w:rPr>
                <w:rFonts w:ascii="Times New Roman" w:hAnsi="Times New Roman"/>
                <w:szCs w:val="18"/>
                <w:lang w:val="lv-LV"/>
              </w:rPr>
              <w:t>Kategorija</w:t>
            </w:r>
          </w:p>
        </w:tc>
        <w:tc>
          <w:tcPr>
            <w:tcW w:w="4897" w:type="dxa"/>
          </w:tcPr>
          <w:p w:rsidR="0077664D" w:rsidRPr="003B66D9" w:rsidRDefault="0077664D" w:rsidP="00012F78">
            <w:pPr>
              <w:pStyle w:val="Tabletext"/>
              <w:tabs>
                <w:tab w:val="left" w:pos="1440"/>
                <w:tab w:val="left" w:pos="5040"/>
              </w:tabs>
              <w:spacing w:before="0" w:after="0" w:line="240" w:lineRule="auto"/>
              <w:rPr>
                <w:rFonts w:ascii="Times New Roman" w:hAnsi="Times New Roman"/>
                <w:b/>
                <w:szCs w:val="18"/>
                <w:lang w:val="lv-LV"/>
              </w:rPr>
            </w:pPr>
            <w:r w:rsidRPr="003B66D9">
              <w:rPr>
                <w:rFonts w:ascii="Times New Roman" w:hAnsi="Times New Roman"/>
                <w:b/>
                <w:szCs w:val="18"/>
                <w:lang w:val="lv-LV"/>
              </w:rPr>
              <w:t>Likumdošana</w:t>
            </w:r>
          </w:p>
        </w:tc>
      </w:tr>
      <w:tr w:rsidR="0077664D" w:rsidRPr="003B66D9" w:rsidTr="00012F78">
        <w:trPr>
          <w:trHeight w:val="476"/>
        </w:trPr>
        <w:tc>
          <w:tcPr>
            <w:tcW w:w="1198" w:type="dxa"/>
            <w:vMerge/>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en-GB"/>
              </w:rPr>
            </w:pPr>
          </w:p>
        </w:tc>
        <w:tc>
          <w:tcPr>
            <w:tcW w:w="2410" w:type="dxa"/>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lv-LV"/>
              </w:rPr>
            </w:pPr>
            <w:r w:rsidRPr="003B66D9">
              <w:rPr>
                <w:rFonts w:ascii="Times New Roman" w:hAnsi="Times New Roman"/>
                <w:szCs w:val="18"/>
                <w:lang w:val="lv-LV"/>
              </w:rPr>
              <w:t>Īstenošanas laika grafiks</w:t>
            </w:r>
          </w:p>
        </w:tc>
        <w:tc>
          <w:tcPr>
            <w:tcW w:w="489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
              <w:gridCol w:w="1701"/>
              <w:gridCol w:w="1944"/>
            </w:tblGrid>
            <w:tr w:rsidR="0077664D" w:rsidRPr="003B66D9" w:rsidTr="00012F78">
              <w:tc>
                <w:tcPr>
                  <w:tcW w:w="1021" w:type="dxa"/>
                </w:tcPr>
                <w:p w:rsidR="0077664D" w:rsidRPr="003B66D9" w:rsidRDefault="0077664D" w:rsidP="00012F78">
                  <w:pPr>
                    <w:pStyle w:val="Tabletext"/>
                    <w:tabs>
                      <w:tab w:val="left" w:pos="1440"/>
                      <w:tab w:val="left" w:pos="5040"/>
                    </w:tabs>
                    <w:spacing w:before="0" w:after="0" w:line="240" w:lineRule="auto"/>
                    <w:rPr>
                      <w:rFonts w:ascii="Times New Roman" w:hAnsi="Times New Roman"/>
                      <w:b/>
                      <w:szCs w:val="18"/>
                      <w:lang w:val="lv-LV"/>
                    </w:rPr>
                  </w:pPr>
                  <w:r w:rsidRPr="003B66D9">
                    <w:rPr>
                      <w:rFonts w:ascii="Times New Roman" w:hAnsi="Times New Roman"/>
                      <w:b/>
                      <w:szCs w:val="18"/>
                      <w:lang w:val="lv-LV"/>
                    </w:rPr>
                    <w:t xml:space="preserve">Kārta </w:t>
                  </w:r>
                </w:p>
              </w:tc>
              <w:tc>
                <w:tcPr>
                  <w:tcW w:w="1701" w:type="dxa"/>
                </w:tcPr>
                <w:p w:rsidR="0077664D" w:rsidRPr="003B66D9" w:rsidRDefault="0077664D" w:rsidP="00012F78">
                  <w:pPr>
                    <w:pStyle w:val="Tabletext"/>
                    <w:tabs>
                      <w:tab w:val="left" w:pos="1440"/>
                      <w:tab w:val="left" w:pos="5040"/>
                    </w:tabs>
                    <w:spacing w:before="0" w:after="0" w:line="240" w:lineRule="auto"/>
                    <w:rPr>
                      <w:rFonts w:ascii="Times New Roman" w:hAnsi="Times New Roman"/>
                      <w:b/>
                      <w:szCs w:val="18"/>
                      <w:lang w:val="lv-LV"/>
                    </w:rPr>
                  </w:pPr>
                  <w:r w:rsidRPr="003B66D9">
                    <w:rPr>
                      <w:rFonts w:ascii="Times New Roman" w:hAnsi="Times New Roman"/>
                      <w:b/>
                      <w:szCs w:val="18"/>
                      <w:lang w:val="lv-LV"/>
                    </w:rPr>
                    <w:t xml:space="preserve">Sākums </w:t>
                  </w:r>
                </w:p>
              </w:tc>
              <w:tc>
                <w:tcPr>
                  <w:tcW w:w="1944" w:type="dxa"/>
                </w:tcPr>
                <w:p w:rsidR="0077664D" w:rsidRPr="003B66D9" w:rsidRDefault="0077664D" w:rsidP="00012F78">
                  <w:pPr>
                    <w:pStyle w:val="Tabletext"/>
                    <w:tabs>
                      <w:tab w:val="left" w:pos="1440"/>
                      <w:tab w:val="left" w:pos="5040"/>
                    </w:tabs>
                    <w:spacing w:before="0" w:after="0" w:line="240" w:lineRule="auto"/>
                    <w:rPr>
                      <w:rFonts w:ascii="Times New Roman" w:hAnsi="Times New Roman"/>
                      <w:b/>
                      <w:szCs w:val="18"/>
                      <w:lang w:val="lv-LV"/>
                    </w:rPr>
                  </w:pPr>
                  <w:r w:rsidRPr="003B66D9">
                    <w:rPr>
                      <w:rFonts w:ascii="Times New Roman" w:hAnsi="Times New Roman"/>
                      <w:b/>
                      <w:szCs w:val="18"/>
                      <w:lang w:val="lv-LV"/>
                    </w:rPr>
                    <w:t xml:space="preserve">Beigas </w:t>
                  </w:r>
                </w:p>
              </w:tc>
            </w:tr>
            <w:tr w:rsidR="0077664D" w:rsidRPr="003B66D9" w:rsidTr="00012F78">
              <w:tc>
                <w:tcPr>
                  <w:tcW w:w="1021" w:type="dxa"/>
                </w:tcPr>
                <w:p w:rsidR="0077664D" w:rsidRPr="003B66D9" w:rsidRDefault="0077664D" w:rsidP="00012F78">
                  <w:pPr>
                    <w:pStyle w:val="Tabletext"/>
                    <w:tabs>
                      <w:tab w:val="left" w:pos="1440"/>
                      <w:tab w:val="left" w:pos="5040"/>
                    </w:tabs>
                    <w:spacing w:before="0" w:after="0" w:line="240" w:lineRule="auto"/>
                    <w:rPr>
                      <w:rFonts w:ascii="Times New Roman" w:hAnsi="Times New Roman"/>
                      <w:b/>
                      <w:szCs w:val="18"/>
                      <w:lang w:val="lv-LV"/>
                    </w:rPr>
                  </w:pPr>
                  <w:r w:rsidRPr="003B66D9">
                    <w:rPr>
                      <w:rFonts w:ascii="Times New Roman" w:hAnsi="Times New Roman"/>
                      <w:b/>
                      <w:szCs w:val="18"/>
                      <w:lang w:val="lv-LV"/>
                    </w:rPr>
                    <w:t>1.</w:t>
                  </w:r>
                </w:p>
              </w:tc>
              <w:tc>
                <w:tcPr>
                  <w:tcW w:w="1701" w:type="dxa"/>
                </w:tcPr>
                <w:p w:rsidR="0077664D" w:rsidRPr="003B66D9" w:rsidRDefault="0077664D" w:rsidP="00012F78">
                  <w:pPr>
                    <w:pStyle w:val="Tabletext"/>
                    <w:tabs>
                      <w:tab w:val="left" w:pos="1440"/>
                      <w:tab w:val="left" w:pos="5040"/>
                    </w:tabs>
                    <w:spacing w:before="0" w:after="0" w:line="240" w:lineRule="auto"/>
                    <w:rPr>
                      <w:rFonts w:ascii="Times New Roman" w:hAnsi="Times New Roman"/>
                      <w:b/>
                      <w:szCs w:val="18"/>
                      <w:lang w:val="lv-LV"/>
                    </w:rPr>
                  </w:pPr>
                  <w:r w:rsidRPr="003B66D9">
                    <w:rPr>
                      <w:rFonts w:ascii="Times New Roman" w:hAnsi="Times New Roman"/>
                      <w:b/>
                      <w:szCs w:val="18"/>
                      <w:lang w:val="lv-LV"/>
                    </w:rPr>
                    <w:t>01/06/2012</w:t>
                  </w:r>
                </w:p>
              </w:tc>
              <w:tc>
                <w:tcPr>
                  <w:tcW w:w="1944" w:type="dxa"/>
                </w:tcPr>
                <w:p w:rsidR="0077664D" w:rsidRPr="003B66D9" w:rsidRDefault="0077664D" w:rsidP="00012F78">
                  <w:pPr>
                    <w:pStyle w:val="Tabletext"/>
                    <w:tabs>
                      <w:tab w:val="left" w:pos="1440"/>
                      <w:tab w:val="left" w:pos="5040"/>
                    </w:tabs>
                    <w:spacing w:before="0" w:after="0" w:line="240" w:lineRule="auto"/>
                    <w:rPr>
                      <w:rFonts w:ascii="Times New Roman" w:hAnsi="Times New Roman"/>
                      <w:b/>
                      <w:szCs w:val="18"/>
                      <w:lang w:val="lv-LV"/>
                    </w:rPr>
                  </w:pPr>
                  <w:r w:rsidRPr="003B66D9">
                    <w:rPr>
                      <w:rFonts w:ascii="Times New Roman" w:hAnsi="Times New Roman"/>
                      <w:b/>
                      <w:szCs w:val="18"/>
                      <w:lang w:val="lv-LV"/>
                    </w:rPr>
                    <w:t>-</w:t>
                  </w:r>
                </w:p>
              </w:tc>
            </w:tr>
          </w:tbl>
          <w:p w:rsidR="0077664D" w:rsidRPr="003B66D9" w:rsidRDefault="0077664D" w:rsidP="00012F78">
            <w:pPr>
              <w:pStyle w:val="Tabletext"/>
              <w:tabs>
                <w:tab w:val="left" w:pos="1440"/>
                <w:tab w:val="left" w:pos="5040"/>
              </w:tabs>
              <w:spacing w:before="0" w:after="0" w:line="240" w:lineRule="auto"/>
              <w:rPr>
                <w:rFonts w:ascii="Times New Roman" w:hAnsi="Times New Roman"/>
                <w:b/>
                <w:szCs w:val="18"/>
                <w:lang w:val="lv-LV"/>
              </w:rPr>
            </w:pPr>
          </w:p>
        </w:tc>
      </w:tr>
      <w:tr w:rsidR="0077664D" w:rsidRPr="003B66D9" w:rsidTr="00012F78">
        <w:trPr>
          <w:trHeight w:val="476"/>
        </w:trPr>
        <w:tc>
          <w:tcPr>
            <w:tcW w:w="1198" w:type="dxa"/>
            <w:vMerge/>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lv-LV"/>
              </w:rPr>
            </w:pPr>
            <w:r w:rsidRPr="003B66D9">
              <w:rPr>
                <w:rFonts w:ascii="Times New Roman" w:hAnsi="Times New Roman"/>
                <w:szCs w:val="18"/>
                <w:lang w:val="lv-LV"/>
              </w:rPr>
              <w:t>Mērķis</w:t>
            </w:r>
          </w:p>
        </w:tc>
        <w:tc>
          <w:tcPr>
            <w:tcW w:w="4897" w:type="dxa"/>
          </w:tcPr>
          <w:p w:rsidR="0077664D" w:rsidRPr="003B66D9" w:rsidRDefault="0077664D" w:rsidP="0077664D">
            <w:pPr>
              <w:pStyle w:val="Tabletext"/>
              <w:tabs>
                <w:tab w:val="left" w:pos="1440"/>
                <w:tab w:val="left" w:pos="5040"/>
              </w:tabs>
              <w:spacing w:before="0" w:after="0" w:line="240" w:lineRule="auto"/>
              <w:rPr>
                <w:rFonts w:ascii="Times New Roman" w:hAnsi="Times New Roman"/>
                <w:b/>
                <w:szCs w:val="18"/>
                <w:lang w:val="lv-LV"/>
              </w:rPr>
            </w:pPr>
            <w:r w:rsidRPr="003B66D9">
              <w:rPr>
                <w:rFonts w:ascii="Times New Roman" w:hAnsi="Times New Roman"/>
                <w:b/>
                <w:szCs w:val="18"/>
                <w:lang w:val="lv-LV"/>
              </w:rPr>
              <w:t xml:space="preserve">Sekmēt ēku energoefektivitātes paaugstināšanu, nosakot augstākas minimālās energoefektivitātes prasības jaunbūvētām rekonstruētām ēkām </w:t>
            </w:r>
          </w:p>
        </w:tc>
      </w:tr>
      <w:tr w:rsidR="0077664D" w:rsidRPr="003B66D9" w:rsidTr="00012F78">
        <w:trPr>
          <w:trHeight w:val="476"/>
        </w:trPr>
        <w:tc>
          <w:tcPr>
            <w:tcW w:w="1198" w:type="dxa"/>
            <w:vMerge/>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lv-LV"/>
              </w:rPr>
            </w:pPr>
            <w:r w:rsidRPr="003B66D9">
              <w:rPr>
                <w:rFonts w:ascii="Times New Roman" w:hAnsi="Times New Roman"/>
                <w:szCs w:val="18"/>
                <w:lang w:val="lv-LV"/>
              </w:rPr>
              <w:t>Enerģijas galapatēriņa sektors</w:t>
            </w:r>
          </w:p>
        </w:tc>
        <w:tc>
          <w:tcPr>
            <w:tcW w:w="4897" w:type="dxa"/>
          </w:tcPr>
          <w:p w:rsidR="0077664D" w:rsidRPr="003B66D9" w:rsidRDefault="0077664D" w:rsidP="00012F78">
            <w:pPr>
              <w:pStyle w:val="Tabletext"/>
              <w:tabs>
                <w:tab w:val="left" w:pos="1440"/>
                <w:tab w:val="left" w:pos="5040"/>
              </w:tabs>
              <w:spacing w:before="0" w:after="0" w:line="240" w:lineRule="auto"/>
              <w:rPr>
                <w:rFonts w:ascii="Times New Roman" w:hAnsi="Times New Roman"/>
                <w:b/>
                <w:szCs w:val="18"/>
                <w:lang w:val="lv-LV"/>
              </w:rPr>
            </w:pPr>
            <w:r w:rsidRPr="003B66D9">
              <w:rPr>
                <w:rFonts w:ascii="Times New Roman" w:hAnsi="Times New Roman"/>
                <w:b/>
                <w:szCs w:val="18"/>
                <w:lang w:val="lv-LV"/>
              </w:rPr>
              <w:t>Ēkas</w:t>
            </w:r>
          </w:p>
        </w:tc>
      </w:tr>
      <w:tr w:rsidR="0077664D" w:rsidRPr="003B66D9" w:rsidTr="00012F78">
        <w:trPr>
          <w:trHeight w:val="476"/>
        </w:trPr>
        <w:tc>
          <w:tcPr>
            <w:tcW w:w="1198" w:type="dxa"/>
            <w:vMerge/>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en-GB"/>
              </w:rPr>
            </w:pPr>
          </w:p>
        </w:tc>
        <w:tc>
          <w:tcPr>
            <w:tcW w:w="2410" w:type="dxa"/>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lv-LV"/>
              </w:rPr>
            </w:pPr>
            <w:r w:rsidRPr="003B66D9">
              <w:rPr>
                <w:rFonts w:ascii="Times New Roman" w:hAnsi="Times New Roman"/>
                <w:szCs w:val="18"/>
                <w:lang w:val="lv-LV"/>
              </w:rPr>
              <w:t>Mērķauditorija</w:t>
            </w:r>
          </w:p>
        </w:tc>
        <w:tc>
          <w:tcPr>
            <w:tcW w:w="4897" w:type="dxa"/>
          </w:tcPr>
          <w:p w:rsidR="0077664D" w:rsidRPr="003B66D9" w:rsidRDefault="0077664D" w:rsidP="00012F78">
            <w:pPr>
              <w:pStyle w:val="Tabletext"/>
              <w:tabs>
                <w:tab w:val="left" w:pos="1440"/>
                <w:tab w:val="left" w:pos="5040"/>
              </w:tabs>
              <w:spacing w:before="0" w:after="0" w:line="240" w:lineRule="auto"/>
              <w:rPr>
                <w:rFonts w:ascii="Times New Roman" w:hAnsi="Times New Roman"/>
                <w:b/>
                <w:szCs w:val="18"/>
                <w:lang w:val="lv-LV"/>
              </w:rPr>
            </w:pPr>
            <w:r w:rsidRPr="003B66D9">
              <w:rPr>
                <w:rFonts w:ascii="Times New Roman" w:hAnsi="Times New Roman"/>
                <w:b/>
                <w:szCs w:val="18"/>
                <w:lang w:val="lv-LV"/>
              </w:rPr>
              <w:t>Ēku īpašnieki, būvkomersanti</w:t>
            </w:r>
          </w:p>
        </w:tc>
      </w:tr>
      <w:tr w:rsidR="0077664D" w:rsidRPr="003B66D9" w:rsidTr="00012F78">
        <w:trPr>
          <w:trHeight w:val="476"/>
        </w:trPr>
        <w:tc>
          <w:tcPr>
            <w:tcW w:w="1198" w:type="dxa"/>
            <w:vMerge/>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en-GB"/>
              </w:rPr>
            </w:pPr>
          </w:p>
        </w:tc>
        <w:tc>
          <w:tcPr>
            <w:tcW w:w="2410" w:type="dxa"/>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lv-LV"/>
              </w:rPr>
            </w:pPr>
            <w:r w:rsidRPr="003B66D9">
              <w:rPr>
                <w:rFonts w:ascii="Times New Roman" w:hAnsi="Times New Roman"/>
                <w:szCs w:val="18"/>
                <w:lang w:val="lv-LV"/>
              </w:rPr>
              <w:t>Pasākuma ieviešanas teritorija</w:t>
            </w:r>
          </w:p>
        </w:tc>
        <w:tc>
          <w:tcPr>
            <w:tcW w:w="4897" w:type="dxa"/>
          </w:tcPr>
          <w:p w:rsidR="0077664D" w:rsidRPr="003B66D9" w:rsidRDefault="0077664D" w:rsidP="00012F78">
            <w:pPr>
              <w:pStyle w:val="Tabletext"/>
              <w:tabs>
                <w:tab w:val="left" w:pos="1440"/>
                <w:tab w:val="left" w:pos="5040"/>
              </w:tabs>
              <w:spacing w:before="0" w:after="0" w:line="240" w:lineRule="auto"/>
              <w:rPr>
                <w:rFonts w:ascii="Times New Roman" w:hAnsi="Times New Roman"/>
                <w:b/>
                <w:szCs w:val="18"/>
                <w:lang w:val="lv-LV"/>
              </w:rPr>
            </w:pPr>
            <w:r w:rsidRPr="003B66D9">
              <w:rPr>
                <w:rFonts w:ascii="Times New Roman" w:hAnsi="Times New Roman"/>
                <w:b/>
                <w:szCs w:val="18"/>
                <w:lang w:val="lv-LV"/>
              </w:rPr>
              <w:t xml:space="preserve">Latvijas Republika </w:t>
            </w:r>
          </w:p>
        </w:tc>
      </w:tr>
      <w:tr w:rsidR="0077664D" w:rsidRPr="003B66D9" w:rsidTr="00012F78">
        <w:trPr>
          <w:trHeight w:val="476"/>
        </w:trPr>
        <w:tc>
          <w:tcPr>
            <w:tcW w:w="1198" w:type="dxa"/>
            <w:vMerge w:val="restart"/>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lv-LV"/>
              </w:rPr>
            </w:pPr>
            <w:r w:rsidRPr="003B66D9">
              <w:rPr>
                <w:rFonts w:ascii="Times New Roman" w:hAnsi="Times New Roman"/>
                <w:szCs w:val="18"/>
                <w:lang w:val="lv-LV"/>
              </w:rPr>
              <w:t>Informācija un ieviešana</w:t>
            </w:r>
          </w:p>
        </w:tc>
        <w:tc>
          <w:tcPr>
            <w:tcW w:w="2410" w:type="dxa"/>
          </w:tcPr>
          <w:p w:rsidR="0077664D" w:rsidRPr="003B66D9" w:rsidRDefault="0077664D" w:rsidP="00012F78">
            <w:pPr>
              <w:pStyle w:val="Tabletext"/>
              <w:tabs>
                <w:tab w:val="left" w:pos="1440"/>
                <w:tab w:val="left" w:pos="5040"/>
              </w:tabs>
              <w:spacing w:before="0" w:after="0" w:line="240" w:lineRule="auto"/>
              <w:rPr>
                <w:rFonts w:ascii="Times New Roman" w:hAnsi="Times New Roman"/>
                <w:szCs w:val="18"/>
                <w:lang w:val="lv-LV"/>
              </w:rPr>
            </w:pPr>
            <w:r w:rsidRPr="003B66D9">
              <w:rPr>
                <w:rFonts w:ascii="Times New Roman" w:hAnsi="Times New Roman"/>
                <w:szCs w:val="18"/>
                <w:lang w:val="lv-LV"/>
              </w:rPr>
              <w:t>Enerģijas ietaupījumu sasniegšanas pasākumu saraksts un pasākuma pamatapraksts</w:t>
            </w:r>
          </w:p>
        </w:tc>
        <w:tc>
          <w:tcPr>
            <w:tcW w:w="4897" w:type="dxa"/>
          </w:tcPr>
          <w:p w:rsidR="0077664D" w:rsidRPr="003B66D9" w:rsidRDefault="0077664D" w:rsidP="00012F78">
            <w:pPr>
              <w:pStyle w:val="Tabletext"/>
              <w:tabs>
                <w:tab w:val="left" w:pos="1440"/>
                <w:tab w:val="left" w:pos="5040"/>
              </w:tabs>
              <w:spacing w:after="0" w:line="240" w:lineRule="auto"/>
              <w:rPr>
                <w:rFonts w:ascii="Times New Roman" w:hAnsi="Times New Roman"/>
                <w:b/>
                <w:szCs w:val="18"/>
                <w:lang w:val="lv-LV"/>
              </w:rPr>
            </w:pPr>
            <w:r w:rsidRPr="003B66D9">
              <w:rPr>
                <w:rFonts w:ascii="Times New Roman" w:hAnsi="Times New Roman"/>
                <w:b/>
                <w:szCs w:val="18"/>
                <w:lang w:val="lv-LV"/>
              </w:rPr>
              <w:t>Minimālo energoefektivitātes prasību noteikšana jaunbūvēm un rekonstruējamām ēkām:</w:t>
            </w:r>
          </w:p>
          <w:p w:rsidR="0077664D" w:rsidRPr="003B66D9" w:rsidRDefault="0077664D" w:rsidP="0077664D">
            <w:pPr>
              <w:pStyle w:val="Tabletext"/>
              <w:numPr>
                <w:ilvl w:val="0"/>
                <w:numId w:val="4"/>
              </w:numPr>
              <w:tabs>
                <w:tab w:val="left" w:pos="175"/>
                <w:tab w:val="left" w:pos="5040"/>
              </w:tabs>
              <w:spacing w:after="0" w:line="240" w:lineRule="auto"/>
              <w:ind w:left="33" w:firstLine="0"/>
              <w:rPr>
                <w:rFonts w:ascii="Times New Roman" w:hAnsi="Times New Roman"/>
                <w:b/>
                <w:szCs w:val="18"/>
                <w:lang w:val="lv-LV"/>
              </w:rPr>
            </w:pPr>
            <w:r w:rsidRPr="003B66D9">
              <w:rPr>
                <w:rFonts w:ascii="Times New Roman" w:hAnsi="Times New Roman"/>
                <w:b/>
                <w:szCs w:val="18"/>
                <w:lang w:val="lv-LV"/>
              </w:rPr>
              <w:t>logiem;</w:t>
            </w:r>
          </w:p>
          <w:p w:rsidR="0077664D" w:rsidRPr="003B66D9" w:rsidRDefault="0077664D" w:rsidP="0077664D">
            <w:pPr>
              <w:pStyle w:val="Tabletext"/>
              <w:numPr>
                <w:ilvl w:val="0"/>
                <w:numId w:val="4"/>
              </w:numPr>
              <w:tabs>
                <w:tab w:val="left" w:pos="175"/>
                <w:tab w:val="left" w:pos="5040"/>
              </w:tabs>
              <w:spacing w:after="0" w:line="240" w:lineRule="auto"/>
              <w:ind w:left="33" w:firstLine="0"/>
              <w:rPr>
                <w:rFonts w:ascii="Times New Roman" w:hAnsi="Times New Roman"/>
                <w:b/>
                <w:szCs w:val="18"/>
                <w:lang w:val="lv-LV"/>
              </w:rPr>
            </w:pPr>
            <w:r w:rsidRPr="003B66D9">
              <w:rPr>
                <w:rFonts w:ascii="Times New Roman" w:hAnsi="Times New Roman"/>
                <w:b/>
                <w:szCs w:val="18"/>
                <w:lang w:val="lv-LV"/>
              </w:rPr>
              <w:t>norobežojošām konstrukcijām;</w:t>
            </w:r>
          </w:p>
          <w:p w:rsidR="0077664D" w:rsidRPr="003B66D9" w:rsidRDefault="0077664D" w:rsidP="0077664D">
            <w:pPr>
              <w:pStyle w:val="Tabletext"/>
              <w:numPr>
                <w:ilvl w:val="0"/>
                <w:numId w:val="4"/>
              </w:numPr>
              <w:tabs>
                <w:tab w:val="left" w:pos="175"/>
                <w:tab w:val="left" w:pos="5040"/>
              </w:tabs>
              <w:spacing w:after="0" w:line="240" w:lineRule="auto"/>
              <w:ind w:left="33" w:firstLine="0"/>
              <w:rPr>
                <w:rFonts w:ascii="Times New Roman" w:hAnsi="Times New Roman"/>
                <w:b/>
                <w:szCs w:val="18"/>
                <w:lang w:val="lv-LV"/>
              </w:rPr>
            </w:pPr>
            <w:r w:rsidRPr="003B66D9">
              <w:rPr>
                <w:rFonts w:ascii="Times New Roman" w:hAnsi="Times New Roman"/>
                <w:b/>
                <w:szCs w:val="18"/>
                <w:lang w:val="lv-LV"/>
              </w:rPr>
              <w:t>ēku tehniskajām sistēmām</w:t>
            </w:r>
          </w:p>
        </w:tc>
      </w:tr>
      <w:tr w:rsidR="0077664D" w:rsidRPr="003B66D9" w:rsidTr="00012F78">
        <w:trPr>
          <w:trHeight w:val="476"/>
        </w:trPr>
        <w:tc>
          <w:tcPr>
            <w:tcW w:w="1198" w:type="dxa"/>
            <w:vMerge/>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lv-LV"/>
              </w:rPr>
            </w:pPr>
            <w:r w:rsidRPr="003B66D9">
              <w:rPr>
                <w:rFonts w:ascii="Times New Roman" w:hAnsi="Times New Roman"/>
                <w:szCs w:val="18"/>
                <w:lang w:val="lv-LV"/>
              </w:rPr>
              <w:t>Budžets un finansējuma avots</w:t>
            </w:r>
          </w:p>
        </w:tc>
        <w:tc>
          <w:tcPr>
            <w:tcW w:w="4897" w:type="dxa"/>
          </w:tcPr>
          <w:p w:rsidR="0077664D" w:rsidRPr="003B66D9" w:rsidRDefault="0077664D" w:rsidP="00012F78">
            <w:pPr>
              <w:pStyle w:val="Tabletext"/>
              <w:tabs>
                <w:tab w:val="left" w:pos="1440"/>
                <w:tab w:val="left" w:pos="5040"/>
              </w:tabs>
              <w:spacing w:before="0" w:after="0" w:line="240" w:lineRule="auto"/>
              <w:rPr>
                <w:rFonts w:ascii="Times New Roman" w:hAnsi="Times New Roman"/>
                <w:b/>
                <w:szCs w:val="18"/>
                <w:lang w:val="lv-LV"/>
              </w:rPr>
            </w:pPr>
            <w:r w:rsidRPr="003B66D9">
              <w:rPr>
                <w:rFonts w:ascii="Times New Roman" w:hAnsi="Times New Roman"/>
                <w:b/>
                <w:szCs w:val="18"/>
                <w:lang w:val="lv-LV"/>
              </w:rPr>
              <w:t>EM budžeta ietvaros</w:t>
            </w:r>
          </w:p>
        </w:tc>
      </w:tr>
      <w:tr w:rsidR="0077664D" w:rsidRPr="003B66D9" w:rsidTr="00012F78">
        <w:trPr>
          <w:trHeight w:val="476"/>
        </w:trPr>
        <w:tc>
          <w:tcPr>
            <w:tcW w:w="1198" w:type="dxa"/>
            <w:vMerge/>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lv-LV"/>
              </w:rPr>
            </w:pPr>
            <w:r w:rsidRPr="003B66D9">
              <w:rPr>
                <w:rFonts w:ascii="Times New Roman" w:hAnsi="Times New Roman"/>
                <w:szCs w:val="18"/>
                <w:lang w:val="lv-LV"/>
              </w:rPr>
              <w:t>Ieviesējs</w:t>
            </w:r>
          </w:p>
        </w:tc>
        <w:tc>
          <w:tcPr>
            <w:tcW w:w="4897" w:type="dxa"/>
          </w:tcPr>
          <w:p w:rsidR="0077664D" w:rsidRPr="003B66D9" w:rsidRDefault="0077664D" w:rsidP="00012F78">
            <w:pPr>
              <w:pStyle w:val="Tabletext"/>
              <w:tabs>
                <w:tab w:val="left" w:pos="1440"/>
                <w:tab w:val="left" w:pos="5040"/>
              </w:tabs>
              <w:spacing w:before="0" w:after="0" w:line="240" w:lineRule="auto"/>
              <w:rPr>
                <w:rFonts w:ascii="Times New Roman" w:hAnsi="Times New Roman"/>
                <w:b/>
                <w:szCs w:val="18"/>
                <w:lang w:val="lv-LV"/>
              </w:rPr>
            </w:pPr>
            <w:r w:rsidRPr="003B66D9">
              <w:rPr>
                <w:rFonts w:ascii="Times New Roman" w:hAnsi="Times New Roman"/>
                <w:b/>
                <w:szCs w:val="18"/>
                <w:lang w:val="lv-LV"/>
              </w:rPr>
              <w:t>EM</w:t>
            </w:r>
          </w:p>
        </w:tc>
      </w:tr>
      <w:tr w:rsidR="0077664D" w:rsidRPr="003B66D9" w:rsidTr="00012F78">
        <w:trPr>
          <w:trHeight w:val="476"/>
        </w:trPr>
        <w:tc>
          <w:tcPr>
            <w:tcW w:w="1198" w:type="dxa"/>
            <w:vMerge/>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7664D" w:rsidRPr="003B66D9" w:rsidRDefault="0077664D" w:rsidP="00012F78">
            <w:pPr>
              <w:pStyle w:val="Tabletext"/>
              <w:tabs>
                <w:tab w:val="left" w:pos="1440"/>
                <w:tab w:val="left" w:pos="5040"/>
              </w:tabs>
              <w:spacing w:before="0" w:after="0" w:line="240" w:lineRule="auto"/>
              <w:rPr>
                <w:rFonts w:ascii="Times New Roman" w:hAnsi="Times New Roman"/>
                <w:szCs w:val="18"/>
                <w:lang w:val="lv-LV"/>
              </w:rPr>
            </w:pPr>
            <w:r w:rsidRPr="003B66D9">
              <w:rPr>
                <w:rFonts w:ascii="Times New Roman" w:hAnsi="Times New Roman"/>
                <w:szCs w:val="18"/>
                <w:lang w:val="lv-LV"/>
              </w:rPr>
              <w:t>Monitoringa (kontroles) institūcija</w:t>
            </w:r>
          </w:p>
        </w:tc>
        <w:tc>
          <w:tcPr>
            <w:tcW w:w="4897" w:type="dxa"/>
          </w:tcPr>
          <w:p w:rsidR="0077664D" w:rsidRPr="003B66D9" w:rsidRDefault="0077664D" w:rsidP="00012F78">
            <w:pPr>
              <w:pStyle w:val="Tabletext"/>
              <w:tabs>
                <w:tab w:val="left" w:pos="1440"/>
                <w:tab w:val="left" w:pos="5040"/>
              </w:tabs>
              <w:spacing w:before="0" w:after="0" w:line="240" w:lineRule="auto"/>
              <w:rPr>
                <w:rFonts w:ascii="Times New Roman" w:hAnsi="Times New Roman"/>
                <w:b/>
                <w:szCs w:val="18"/>
                <w:lang w:val="lv-LV"/>
              </w:rPr>
            </w:pPr>
            <w:r w:rsidRPr="003B66D9">
              <w:rPr>
                <w:rFonts w:ascii="Times New Roman" w:hAnsi="Times New Roman"/>
                <w:b/>
                <w:szCs w:val="18"/>
                <w:lang w:val="lv-LV"/>
              </w:rPr>
              <w:t>EM, pašvaldību būvvaldes</w:t>
            </w:r>
          </w:p>
        </w:tc>
      </w:tr>
      <w:tr w:rsidR="0077664D" w:rsidRPr="003B66D9" w:rsidTr="00012F78">
        <w:trPr>
          <w:trHeight w:val="476"/>
        </w:trPr>
        <w:tc>
          <w:tcPr>
            <w:tcW w:w="1198" w:type="dxa"/>
            <w:vMerge w:val="restart"/>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lv-LV"/>
              </w:rPr>
            </w:pPr>
            <w:r w:rsidRPr="003B66D9">
              <w:rPr>
                <w:rFonts w:ascii="Times New Roman" w:hAnsi="Times New Roman"/>
                <w:szCs w:val="18"/>
                <w:lang w:val="lv-LV"/>
              </w:rPr>
              <w:t>Enerģijas ietaupījumi</w:t>
            </w:r>
          </w:p>
        </w:tc>
        <w:tc>
          <w:tcPr>
            <w:tcW w:w="2410" w:type="dxa"/>
          </w:tcPr>
          <w:p w:rsidR="0077664D" w:rsidRPr="003B66D9" w:rsidRDefault="0077664D" w:rsidP="00012F78">
            <w:pPr>
              <w:pStyle w:val="Tabletext"/>
              <w:tabs>
                <w:tab w:val="left" w:pos="1440"/>
                <w:tab w:val="left" w:pos="5040"/>
              </w:tabs>
              <w:spacing w:before="0" w:after="0" w:line="240" w:lineRule="auto"/>
              <w:rPr>
                <w:rFonts w:ascii="Times New Roman" w:hAnsi="Times New Roman"/>
                <w:szCs w:val="18"/>
                <w:lang w:val="lv-LV"/>
              </w:rPr>
            </w:pPr>
            <w:r w:rsidRPr="003B66D9">
              <w:rPr>
                <w:rFonts w:ascii="Times New Roman" w:hAnsi="Times New Roman"/>
                <w:szCs w:val="18"/>
                <w:lang w:val="lv-LV"/>
              </w:rPr>
              <w:t>Sasniegto enerģijas ietaupījumu aprēķina metode</w:t>
            </w:r>
          </w:p>
        </w:tc>
        <w:tc>
          <w:tcPr>
            <w:tcW w:w="4897" w:type="dxa"/>
          </w:tcPr>
          <w:p w:rsidR="0077664D" w:rsidRPr="003B66D9" w:rsidRDefault="0077664D" w:rsidP="00012F78">
            <w:pPr>
              <w:pStyle w:val="Tabletext"/>
              <w:tabs>
                <w:tab w:val="left" w:pos="1440"/>
                <w:tab w:val="left" w:pos="5040"/>
              </w:tabs>
              <w:spacing w:before="0" w:after="0" w:line="240" w:lineRule="auto"/>
              <w:rPr>
                <w:rFonts w:ascii="Times New Roman" w:hAnsi="Times New Roman"/>
                <w:b/>
                <w:szCs w:val="18"/>
                <w:lang w:val="en-GB"/>
              </w:rPr>
            </w:pPr>
            <w:r w:rsidRPr="003B66D9">
              <w:rPr>
                <w:rFonts w:ascii="Times New Roman" w:hAnsi="Times New Roman"/>
                <w:b/>
                <w:szCs w:val="18"/>
                <w:lang w:val="en-GB"/>
              </w:rPr>
              <w:t>Lejupejošā</w:t>
            </w:r>
          </w:p>
        </w:tc>
      </w:tr>
      <w:tr w:rsidR="0077664D" w:rsidRPr="003B66D9" w:rsidTr="00012F78">
        <w:trPr>
          <w:trHeight w:val="476"/>
        </w:trPr>
        <w:tc>
          <w:tcPr>
            <w:tcW w:w="1198" w:type="dxa"/>
            <w:vMerge/>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lv-LV"/>
              </w:rPr>
            </w:pPr>
          </w:p>
        </w:tc>
        <w:tc>
          <w:tcPr>
            <w:tcW w:w="2410" w:type="dxa"/>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en-GB"/>
              </w:rPr>
            </w:pPr>
            <w:r w:rsidRPr="003B66D9">
              <w:rPr>
                <w:rFonts w:ascii="Times New Roman" w:hAnsi="Times New Roman"/>
                <w:szCs w:val="18"/>
                <w:lang w:val="lv-LV"/>
              </w:rPr>
              <w:t>Plānotie enerģijas ietaupījumi</w:t>
            </w:r>
            <w:r w:rsidRPr="003B66D9">
              <w:rPr>
                <w:rFonts w:ascii="Times New Roman" w:hAnsi="Times New Roman"/>
                <w:szCs w:val="18"/>
                <w:lang w:val="en-GB"/>
              </w:rPr>
              <w:t xml:space="preserve"> 2016</w:t>
            </w:r>
          </w:p>
        </w:tc>
        <w:tc>
          <w:tcPr>
            <w:tcW w:w="4897" w:type="dxa"/>
          </w:tcPr>
          <w:p w:rsidR="0077664D" w:rsidRPr="003B66D9" w:rsidRDefault="0077664D" w:rsidP="00012F78">
            <w:pPr>
              <w:pStyle w:val="Tabletext"/>
              <w:tabs>
                <w:tab w:val="left" w:pos="1440"/>
                <w:tab w:val="left" w:pos="5040"/>
              </w:tabs>
              <w:spacing w:before="0" w:after="0" w:line="240" w:lineRule="auto"/>
              <w:rPr>
                <w:rFonts w:ascii="Times New Roman" w:hAnsi="Times New Roman"/>
                <w:b/>
                <w:szCs w:val="18"/>
                <w:lang w:val="en-GB"/>
              </w:rPr>
            </w:pPr>
            <w:r w:rsidRPr="003B66D9">
              <w:rPr>
                <w:rFonts w:ascii="Times New Roman" w:hAnsi="Times New Roman"/>
                <w:b/>
                <w:szCs w:val="18"/>
                <w:lang w:val="en-GB"/>
              </w:rPr>
              <w:t>150 GWh</w:t>
            </w:r>
          </w:p>
        </w:tc>
      </w:tr>
      <w:tr w:rsidR="0077664D" w:rsidRPr="003B66D9" w:rsidTr="00012F78">
        <w:trPr>
          <w:trHeight w:val="476"/>
        </w:trPr>
        <w:tc>
          <w:tcPr>
            <w:tcW w:w="1198" w:type="dxa"/>
            <w:vMerge/>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en-GB"/>
              </w:rPr>
            </w:pPr>
          </w:p>
        </w:tc>
        <w:tc>
          <w:tcPr>
            <w:tcW w:w="2410" w:type="dxa"/>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lv-LV"/>
              </w:rPr>
            </w:pPr>
            <w:r w:rsidRPr="003B66D9">
              <w:rPr>
                <w:rFonts w:ascii="Times New Roman" w:hAnsi="Times New Roman"/>
                <w:szCs w:val="18"/>
                <w:lang w:val="lv-LV"/>
              </w:rPr>
              <w:t>Ietekme uz enerģijas ietaupījumiem 2020 (ja pieejama informācija)</w:t>
            </w:r>
          </w:p>
        </w:tc>
        <w:tc>
          <w:tcPr>
            <w:tcW w:w="4897" w:type="dxa"/>
          </w:tcPr>
          <w:p w:rsidR="0077664D" w:rsidRPr="003B66D9" w:rsidRDefault="0077664D" w:rsidP="00012F78">
            <w:pPr>
              <w:pStyle w:val="Tabletext"/>
              <w:tabs>
                <w:tab w:val="left" w:pos="1440"/>
                <w:tab w:val="left" w:pos="5040"/>
              </w:tabs>
              <w:spacing w:before="0" w:after="0" w:line="240" w:lineRule="auto"/>
              <w:rPr>
                <w:rFonts w:ascii="Times New Roman" w:hAnsi="Times New Roman"/>
                <w:b/>
                <w:szCs w:val="18"/>
                <w:lang w:val="en-GB"/>
              </w:rPr>
            </w:pPr>
            <w:r w:rsidRPr="003B66D9">
              <w:rPr>
                <w:rFonts w:ascii="Times New Roman" w:hAnsi="Times New Roman"/>
                <w:b/>
                <w:szCs w:val="18"/>
                <w:lang w:val="en-GB"/>
              </w:rPr>
              <w:t>270 GWh</w:t>
            </w:r>
          </w:p>
        </w:tc>
      </w:tr>
      <w:tr w:rsidR="0077664D" w:rsidRPr="008476CD" w:rsidTr="00012F78">
        <w:trPr>
          <w:trHeight w:val="476"/>
        </w:trPr>
        <w:tc>
          <w:tcPr>
            <w:tcW w:w="1198" w:type="dxa"/>
            <w:vMerge/>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en-GB"/>
              </w:rPr>
            </w:pPr>
          </w:p>
        </w:tc>
        <w:tc>
          <w:tcPr>
            <w:tcW w:w="2410" w:type="dxa"/>
          </w:tcPr>
          <w:p w:rsidR="0077664D" w:rsidRPr="003B66D9" w:rsidRDefault="0077664D" w:rsidP="00012F78">
            <w:pPr>
              <w:pStyle w:val="Tabletext"/>
              <w:tabs>
                <w:tab w:val="left" w:pos="1440"/>
                <w:tab w:val="left" w:pos="5040"/>
              </w:tabs>
              <w:spacing w:before="0" w:after="0" w:line="240" w:lineRule="auto"/>
              <w:jc w:val="left"/>
              <w:rPr>
                <w:rFonts w:ascii="Times New Roman" w:hAnsi="Times New Roman"/>
                <w:szCs w:val="18"/>
                <w:lang w:val="en-GB"/>
              </w:rPr>
            </w:pPr>
            <w:r w:rsidRPr="003B66D9">
              <w:rPr>
                <w:rFonts w:ascii="Times New Roman" w:hAnsi="Times New Roman"/>
                <w:szCs w:val="18"/>
                <w:lang w:val="en-GB"/>
              </w:rPr>
              <w:t>Pieņēmumi</w:t>
            </w:r>
          </w:p>
        </w:tc>
        <w:tc>
          <w:tcPr>
            <w:tcW w:w="4897" w:type="dxa"/>
          </w:tcPr>
          <w:p w:rsidR="0077664D" w:rsidRPr="008476CD" w:rsidRDefault="0077664D" w:rsidP="00012F78">
            <w:pPr>
              <w:pStyle w:val="Tabletext"/>
              <w:tabs>
                <w:tab w:val="left" w:pos="1440"/>
                <w:tab w:val="left" w:pos="5040"/>
              </w:tabs>
              <w:spacing w:before="0" w:after="0" w:line="240" w:lineRule="auto"/>
              <w:rPr>
                <w:rFonts w:ascii="Times New Roman" w:hAnsi="Times New Roman"/>
                <w:b/>
                <w:szCs w:val="18"/>
                <w:lang w:val="lv-LV"/>
              </w:rPr>
            </w:pPr>
            <w:r w:rsidRPr="003B66D9">
              <w:rPr>
                <w:rFonts w:ascii="Times New Roman" w:hAnsi="Times New Roman"/>
                <w:b/>
                <w:szCs w:val="18"/>
                <w:lang w:val="en-GB"/>
              </w:rPr>
              <w:t>Plānotais enerģijas ietaupījums 20 kWh/m2 gadā no jauna uzbūvētām un rekonstruētām ēkām. No jauna uzbūvēto vai rekonstruēto platību apjoms vidēji 1,500 milj. kv.m gadā (ietaupijums 30</w:t>
            </w:r>
            <w:r w:rsidR="003B66D9">
              <w:rPr>
                <w:rFonts w:ascii="Times New Roman" w:hAnsi="Times New Roman"/>
                <w:b/>
                <w:szCs w:val="18"/>
                <w:lang w:val="en-GB"/>
              </w:rPr>
              <w:t xml:space="preserve"> </w:t>
            </w:r>
            <w:r w:rsidRPr="003B66D9">
              <w:rPr>
                <w:rFonts w:ascii="Times New Roman" w:hAnsi="Times New Roman"/>
                <w:b/>
                <w:szCs w:val="18"/>
                <w:lang w:val="en-GB"/>
              </w:rPr>
              <w:t>GWh gadā)</w:t>
            </w:r>
          </w:p>
        </w:tc>
      </w:tr>
    </w:tbl>
    <w:p w:rsidR="0077664D" w:rsidRPr="001960CF" w:rsidRDefault="0077664D" w:rsidP="0077664D">
      <w:pPr>
        <w:rPr>
          <w:sz w:val="28"/>
          <w:lang w:val="lv-LV"/>
        </w:rPr>
      </w:pPr>
    </w:p>
    <w:p w:rsidR="00B16EC2" w:rsidRPr="009179E5" w:rsidRDefault="0095197D" w:rsidP="0095197D">
      <w:pPr>
        <w:pStyle w:val="Heading4"/>
        <w:numPr>
          <w:ilvl w:val="0"/>
          <w:numId w:val="0"/>
        </w:numPr>
        <w:spacing w:line="240" w:lineRule="auto"/>
        <w:jc w:val="center"/>
        <w:rPr>
          <w:rFonts w:ascii="Times New Roman Bold" w:hAnsi="Times New Roman Bold"/>
          <w:b/>
          <w:i w:val="0"/>
          <w:caps/>
          <w:color w:val="auto"/>
          <w:sz w:val="28"/>
          <w:u w:val="none"/>
          <w:lang w:val="lv-LV"/>
        </w:rPr>
      </w:pPr>
      <w:bookmarkStart w:id="44" w:name="_Toc300320583"/>
      <w:r w:rsidRPr="009179E5">
        <w:rPr>
          <w:rFonts w:ascii="Times New Roman Bold" w:hAnsi="Times New Roman Bold"/>
          <w:b/>
          <w:i w:val="0"/>
          <w:caps/>
          <w:color w:val="auto"/>
          <w:sz w:val="28"/>
          <w:u w:val="none"/>
          <w:lang w:val="lv-LV"/>
        </w:rPr>
        <w:t>4.8.</w:t>
      </w:r>
      <w:r w:rsidR="00222B5B" w:rsidRPr="009179E5">
        <w:rPr>
          <w:rFonts w:ascii="Times New Roman Bold" w:hAnsi="Times New Roman Bold"/>
          <w:b/>
          <w:i w:val="0"/>
          <w:caps/>
          <w:color w:val="auto"/>
          <w:sz w:val="28"/>
          <w:u w:val="none"/>
          <w:lang w:val="lv-LV"/>
        </w:rPr>
        <w:t xml:space="preserve"> </w:t>
      </w:r>
      <w:r w:rsidR="00C81AE5" w:rsidRPr="009179E5">
        <w:rPr>
          <w:rFonts w:ascii="Times New Roman Bold" w:hAnsi="Times New Roman Bold"/>
          <w:b/>
          <w:i w:val="0"/>
          <w:caps/>
          <w:color w:val="auto"/>
          <w:sz w:val="28"/>
          <w:u w:val="none"/>
          <w:lang w:val="lv-LV"/>
        </w:rPr>
        <w:t>SABIEDRISKĀ</w:t>
      </w:r>
      <w:r w:rsidR="00CF2186" w:rsidRPr="009179E5">
        <w:rPr>
          <w:rFonts w:ascii="Times New Roman Bold" w:hAnsi="Times New Roman Bold"/>
          <w:b/>
          <w:i w:val="0"/>
          <w:caps/>
          <w:color w:val="auto"/>
          <w:sz w:val="28"/>
          <w:u w:val="none"/>
          <w:lang w:val="lv-LV"/>
        </w:rPr>
        <w:t xml:space="preserve"> sektora </w:t>
      </w:r>
      <w:r w:rsidR="00E95564" w:rsidRPr="009179E5">
        <w:rPr>
          <w:rFonts w:ascii="Times New Roman Bold" w:hAnsi="Times New Roman Bold"/>
          <w:b/>
          <w:i w:val="0"/>
          <w:caps/>
          <w:color w:val="auto"/>
          <w:sz w:val="28"/>
          <w:u w:val="none"/>
          <w:lang w:val="lv-LV"/>
        </w:rPr>
        <w:t xml:space="preserve">(valsts un pašvaldības) </w:t>
      </w:r>
      <w:r w:rsidR="00CF2186" w:rsidRPr="009179E5">
        <w:rPr>
          <w:rFonts w:ascii="Times New Roman Bold" w:hAnsi="Times New Roman Bold"/>
          <w:b/>
          <w:i w:val="0"/>
          <w:caps/>
          <w:color w:val="auto"/>
          <w:sz w:val="28"/>
          <w:u w:val="none"/>
          <w:lang w:val="lv-LV"/>
        </w:rPr>
        <w:t>vadošā loma Ēku energoefektivitātes direktīvas prasību ieviešanā</w:t>
      </w:r>
      <w:bookmarkEnd w:id="40"/>
      <w:bookmarkEnd w:id="41"/>
      <w:bookmarkEnd w:id="44"/>
    </w:p>
    <w:p w:rsidR="002F176C" w:rsidRPr="009179E5" w:rsidRDefault="002F176C" w:rsidP="00574AC8">
      <w:pPr>
        <w:pStyle w:val="NormalWeb"/>
        <w:spacing w:before="120" w:beforeAutospacing="0" w:after="120" w:afterAutospacing="0"/>
        <w:jc w:val="both"/>
        <w:rPr>
          <w:bCs/>
          <w:sz w:val="28"/>
          <w:szCs w:val="28"/>
        </w:rPr>
      </w:pPr>
      <w:r w:rsidRPr="009179E5">
        <w:rPr>
          <w:bCs/>
          <w:sz w:val="28"/>
          <w:szCs w:val="28"/>
        </w:rPr>
        <w:t xml:space="preserve">Sabiedriskā sektora lomu energoefektivitātes pasākumu realizēšanā nosaka „Enerģijas galapatēriņa efektivitātes  likuma” 9.pants, </w:t>
      </w:r>
      <w:r w:rsidR="00C24203" w:rsidRPr="009179E5">
        <w:rPr>
          <w:bCs/>
          <w:sz w:val="28"/>
          <w:szCs w:val="28"/>
        </w:rPr>
        <w:t>ar ko n</w:t>
      </w:r>
      <w:r w:rsidRPr="009179E5">
        <w:rPr>
          <w:bCs/>
          <w:sz w:val="28"/>
          <w:szCs w:val="28"/>
        </w:rPr>
        <w:t xml:space="preserve">oteikts valsts un pašvaldības iestāžu pienākums veicināt energoefektivitātes paaugstināšanu. </w:t>
      </w:r>
      <w:r w:rsidR="00593B54" w:rsidRPr="009179E5">
        <w:rPr>
          <w:bCs/>
          <w:sz w:val="28"/>
          <w:szCs w:val="28"/>
        </w:rPr>
        <w:t xml:space="preserve">Ministru kabinets </w:t>
      </w:r>
      <w:r w:rsidRPr="009179E5">
        <w:rPr>
          <w:bCs/>
          <w:sz w:val="28"/>
          <w:szCs w:val="28"/>
        </w:rPr>
        <w:t xml:space="preserve">2011.gada 21.martā apstiprināja Ekonomikas ministrijas izstrādāto </w:t>
      </w:r>
      <w:r w:rsidR="00593B54" w:rsidRPr="009179E5">
        <w:rPr>
          <w:bCs/>
          <w:sz w:val="28"/>
          <w:szCs w:val="28"/>
        </w:rPr>
        <w:t xml:space="preserve">informatīvo </w:t>
      </w:r>
      <w:r w:rsidRPr="009179E5">
        <w:rPr>
          <w:bCs/>
          <w:sz w:val="28"/>
          <w:szCs w:val="28"/>
        </w:rPr>
        <w:t>ziņojumu „Informatīvais ziņojums par energoefektivitātes paaugstināšanu valsts iestādēs”. Ziņojumā norādīts, ka jāizstrādā detalizētāks pētījums par energoefektivitātes pasākumu realizācijas iespējām valsts iestādēs, ņemot vērā gan ēku vispārējo tehnisko stāvokli, gan iespējas atjaunot ēkas vēsturiskajā zonā. Informatīvajā ziņojumā nav veikts paredzamo enerģijas ietaupījumu aprēķins.</w:t>
      </w:r>
    </w:p>
    <w:p w:rsidR="002F176C" w:rsidRPr="009179E5" w:rsidRDefault="00593B54" w:rsidP="00574AC8">
      <w:pPr>
        <w:autoSpaceDE w:val="0"/>
        <w:autoSpaceDN w:val="0"/>
        <w:adjustRightInd w:val="0"/>
        <w:spacing w:before="120" w:after="120" w:line="240" w:lineRule="auto"/>
        <w:jc w:val="both"/>
        <w:rPr>
          <w:rFonts w:ascii="Times New Roman" w:hAnsi="Times New Roman"/>
          <w:color w:val="000000"/>
          <w:sz w:val="28"/>
          <w:szCs w:val="28"/>
          <w:lang w:val="lv-LV" w:eastAsia="lv-LV"/>
        </w:rPr>
      </w:pPr>
      <w:r w:rsidRPr="009179E5">
        <w:rPr>
          <w:rFonts w:ascii="Times New Roman" w:hAnsi="Times New Roman"/>
          <w:bCs/>
          <w:color w:val="000000"/>
          <w:sz w:val="28"/>
          <w:szCs w:val="28"/>
          <w:lang w:val="lv-LV" w:eastAsia="lv-LV"/>
        </w:rPr>
        <w:t xml:space="preserve">Eiropas Parlamenta un </w:t>
      </w:r>
      <w:r w:rsidR="00285FB7" w:rsidRPr="009179E5">
        <w:rPr>
          <w:rFonts w:ascii="Times New Roman" w:hAnsi="Times New Roman"/>
          <w:bCs/>
          <w:color w:val="000000"/>
          <w:sz w:val="28"/>
          <w:szCs w:val="28"/>
          <w:lang w:val="lv-LV" w:eastAsia="lv-LV"/>
        </w:rPr>
        <w:t>P</w:t>
      </w:r>
      <w:r w:rsidRPr="009179E5">
        <w:rPr>
          <w:rFonts w:ascii="Times New Roman" w:hAnsi="Times New Roman"/>
          <w:bCs/>
          <w:color w:val="000000"/>
          <w:sz w:val="28"/>
          <w:szCs w:val="28"/>
          <w:lang w:val="lv-LV" w:eastAsia="lv-LV"/>
        </w:rPr>
        <w:t xml:space="preserve">adomes </w:t>
      </w:r>
      <w:r w:rsidR="002F176C" w:rsidRPr="009179E5">
        <w:rPr>
          <w:rFonts w:ascii="Times New Roman" w:hAnsi="Times New Roman"/>
          <w:bCs/>
          <w:color w:val="000000"/>
          <w:sz w:val="28"/>
          <w:szCs w:val="28"/>
          <w:lang w:val="lv-LV" w:eastAsia="lv-LV"/>
        </w:rPr>
        <w:t xml:space="preserve">2010.gada 19.maija direktīva 2010/31/ES  </w:t>
      </w:r>
      <w:r w:rsidR="002F176C" w:rsidRPr="009179E5">
        <w:rPr>
          <w:rFonts w:ascii="Times New Roman" w:hAnsi="Times New Roman"/>
          <w:bCs/>
          <w:color w:val="000000"/>
          <w:sz w:val="28"/>
          <w:szCs w:val="28"/>
          <w:lang w:val="lv-LV"/>
        </w:rPr>
        <w:t xml:space="preserve">par ēku energoefektivitāti nosaka dalībvalstīm pienākumu nodrošināt, ka </w:t>
      </w:r>
      <w:r w:rsidR="002F176C" w:rsidRPr="009179E5">
        <w:rPr>
          <w:rFonts w:ascii="Times New Roman" w:hAnsi="Times New Roman"/>
          <w:color w:val="000000"/>
          <w:sz w:val="28"/>
          <w:szCs w:val="28"/>
          <w:lang w:val="lv-LV"/>
        </w:rPr>
        <w:t>pēc 2018.gada 31. decembra jaunās ēkās, kurās atrodas valsts iestādes un kuru īpašnieces ir valsts iestādes, ir „gandrīz nulles enerģijas” ēkas.</w:t>
      </w:r>
    </w:p>
    <w:p w:rsidR="002F176C" w:rsidRPr="009179E5" w:rsidRDefault="002F176C"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Ņemot vērā, ka Latvijai nav iepriekšējas pieredzes “gandrīz nulles” enerģijas patēriņa ēku būvniecībā, konkrētu mērķu noteikšana vēl ir izpētes stadijā. 2011.gadā VARAM ar KPFI finansējumu īstenos konkursu “Zema enerģijas patēriņa ēkas”, iegūtie rezultāti tiks izvērtēti un ļaus labāk izstrādāt tālākos plānus “gandrīz </w:t>
      </w:r>
      <w:r w:rsidR="00174C18" w:rsidRPr="009179E5">
        <w:rPr>
          <w:rFonts w:ascii="Times New Roman" w:hAnsi="Times New Roman"/>
          <w:sz w:val="28"/>
          <w:szCs w:val="28"/>
          <w:lang w:val="lv-LV"/>
        </w:rPr>
        <w:t>nulles</w:t>
      </w:r>
      <w:r w:rsidRPr="009179E5">
        <w:rPr>
          <w:rFonts w:ascii="Times New Roman" w:hAnsi="Times New Roman"/>
          <w:sz w:val="28"/>
          <w:szCs w:val="28"/>
          <w:lang w:val="lv-LV"/>
        </w:rPr>
        <w:t>” enerģ</w:t>
      </w:r>
      <w:r w:rsidR="00F02F4A" w:rsidRPr="009179E5">
        <w:rPr>
          <w:rFonts w:ascii="Times New Roman" w:hAnsi="Times New Roman"/>
          <w:sz w:val="28"/>
          <w:szCs w:val="28"/>
          <w:lang w:val="lv-LV"/>
        </w:rPr>
        <w:t>i</w:t>
      </w:r>
      <w:r w:rsidRPr="009179E5">
        <w:rPr>
          <w:rFonts w:ascii="Times New Roman" w:hAnsi="Times New Roman"/>
          <w:sz w:val="28"/>
          <w:szCs w:val="28"/>
          <w:lang w:val="lv-LV"/>
        </w:rPr>
        <w:t>jas ēku būvniecībā. Normatīvais regulējums, t.sk. valsts sektora loma, “gandrīz nulles” enerģijas patēriņa ēku būvniecībai tiks izstrādāts saskaņā ar Ēku energoefektivitātes direktīvas prasībām līdz 2012.g</w:t>
      </w:r>
      <w:r w:rsidR="00765030" w:rsidRPr="009179E5">
        <w:rPr>
          <w:rFonts w:ascii="Times New Roman" w:hAnsi="Times New Roman"/>
          <w:sz w:val="28"/>
          <w:szCs w:val="28"/>
          <w:lang w:val="lv-LV"/>
        </w:rPr>
        <w:t>ada</w:t>
      </w:r>
      <w:r w:rsidRPr="009179E5">
        <w:rPr>
          <w:rFonts w:ascii="Times New Roman" w:hAnsi="Times New Roman"/>
          <w:sz w:val="28"/>
          <w:szCs w:val="28"/>
          <w:lang w:val="lv-LV"/>
        </w:rPr>
        <w:t xml:space="preserve"> 9.jūlijam.  </w:t>
      </w:r>
    </w:p>
    <w:p w:rsidR="002F176C" w:rsidRPr="009179E5" w:rsidRDefault="002F176C"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Latvijā šobrīd spēkā esošām siltumtehniskām prasībām atbilst mazāk par 10% ēku – t.i. tādas, kas uzbūvētas vai renovētas pēc 2003. gada, kad būtiski tika paceltas prasības ēku norobežojošām konstrukcijām. Esošo ēku sektora energoefektivitātes uzlabošana tiek īstenota ar KPFI finansējumu. KPFI ietvaros </w:t>
      </w:r>
      <w:r w:rsidRPr="009179E5">
        <w:rPr>
          <w:rFonts w:ascii="Times New Roman" w:hAnsi="Times New Roman"/>
          <w:sz w:val="28"/>
          <w:szCs w:val="28"/>
          <w:lang w:val="lv-LV"/>
        </w:rPr>
        <w:lastRenderedPageBreak/>
        <w:t xml:space="preserve">īstenoti ēku energoefektivitātes uzlabošanas pasākumi izglītības ēkām, pašvaldību ēkām, ražošanas ēkām. </w:t>
      </w:r>
      <w:r w:rsidR="006B66F3" w:rsidRPr="009179E5">
        <w:rPr>
          <w:rFonts w:ascii="Times New Roman" w:hAnsi="Times New Roman"/>
          <w:sz w:val="28"/>
          <w:szCs w:val="28"/>
          <w:lang w:val="lv-LV"/>
        </w:rPr>
        <w:t>Sīkāku i</w:t>
      </w:r>
      <w:r w:rsidRPr="009179E5">
        <w:rPr>
          <w:rFonts w:ascii="Times New Roman" w:hAnsi="Times New Roman"/>
          <w:sz w:val="28"/>
          <w:szCs w:val="28"/>
          <w:lang w:val="lv-LV"/>
        </w:rPr>
        <w:t xml:space="preserve">nformāciju par pasākumiem skatīt </w:t>
      </w:r>
      <w:r w:rsidR="00DE15FA" w:rsidRPr="009179E5">
        <w:rPr>
          <w:rFonts w:ascii="Times New Roman" w:hAnsi="Times New Roman"/>
          <w:sz w:val="28"/>
          <w:szCs w:val="28"/>
          <w:lang w:val="lv-LV"/>
        </w:rPr>
        <w:t>plāna 3.4.3.nodaļā un 3.4.6.nodaļā</w:t>
      </w:r>
      <w:r w:rsidRPr="009179E5">
        <w:rPr>
          <w:rFonts w:ascii="Times New Roman" w:hAnsi="Times New Roman"/>
          <w:sz w:val="28"/>
          <w:szCs w:val="28"/>
          <w:lang w:val="lv-LV"/>
        </w:rPr>
        <w:t>.</w:t>
      </w:r>
    </w:p>
    <w:p w:rsidR="002F176C" w:rsidRPr="009179E5" w:rsidRDefault="002F176C"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Šobrīd normatīvos aktos nav </w:t>
      </w:r>
      <w:r w:rsidR="009718F0" w:rsidRPr="009179E5">
        <w:rPr>
          <w:rFonts w:ascii="Times New Roman" w:hAnsi="Times New Roman"/>
          <w:sz w:val="28"/>
          <w:szCs w:val="28"/>
          <w:lang w:val="lv-LV"/>
        </w:rPr>
        <w:t xml:space="preserve">noteikts </w:t>
      </w:r>
      <w:r w:rsidRPr="009179E5">
        <w:rPr>
          <w:rFonts w:ascii="Times New Roman" w:hAnsi="Times New Roman"/>
          <w:sz w:val="28"/>
          <w:szCs w:val="28"/>
          <w:lang w:val="lv-LV"/>
        </w:rPr>
        <w:t>regulē</w:t>
      </w:r>
      <w:r w:rsidR="009718F0" w:rsidRPr="009179E5">
        <w:rPr>
          <w:rFonts w:ascii="Times New Roman" w:hAnsi="Times New Roman"/>
          <w:sz w:val="28"/>
          <w:szCs w:val="28"/>
          <w:lang w:val="lv-LV"/>
        </w:rPr>
        <w:t>jums</w:t>
      </w:r>
      <w:r w:rsidRPr="009179E5">
        <w:rPr>
          <w:rFonts w:ascii="Times New Roman" w:hAnsi="Times New Roman"/>
          <w:sz w:val="28"/>
          <w:szCs w:val="28"/>
          <w:lang w:val="lv-LV"/>
        </w:rPr>
        <w:t>, kādā veidā tiek īstenoti ēkas energoefektivitātes sertifikātā sniegtie ieteikumi ēkas energoefektivitātes uzlabošanai. Jautājumi par publiskā sektora vadošo lomu ēku energoefektivitātes uzlabošanā tiks izskatīti</w:t>
      </w:r>
      <w:r w:rsidR="009718F0" w:rsidRPr="009179E5">
        <w:rPr>
          <w:rFonts w:ascii="Times New Roman" w:hAnsi="Times New Roman"/>
          <w:sz w:val="28"/>
          <w:szCs w:val="28"/>
          <w:lang w:val="lv-LV"/>
        </w:rPr>
        <w:t>,</w:t>
      </w:r>
      <w:r w:rsidRPr="009179E5">
        <w:rPr>
          <w:rFonts w:ascii="Times New Roman" w:hAnsi="Times New Roman"/>
          <w:sz w:val="28"/>
          <w:szCs w:val="28"/>
          <w:lang w:val="lv-LV"/>
        </w:rPr>
        <w:t xml:space="preserve"> izstrādājot regulējumu (transponējot) pārstrādātās </w:t>
      </w:r>
      <w:r w:rsidR="009718F0" w:rsidRPr="009179E5">
        <w:rPr>
          <w:rFonts w:ascii="Times New Roman" w:hAnsi="Times New Roman"/>
          <w:sz w:val="28"/>
          <w:szCs w:val="28"/>
          <w:lang w:val="lv-LV"/>
        </w:rPr>
        <w:t xml:space="preserve">(ar grozījumiem) </w:t>
      </w:r>
      <w:r w:rsidRPr="009179E5">
        <w:rPr>
          <w:rFonts w:ascii="Times New Roman" w:hAnsi="Times New Roman"/>
          <w:sz w:val="28"/>
          <w:szCs w:val="28"/>
          <w:lang w:val="lv-LV"/>
        </w:rPr>
        <w:t xml:space="preserve">ēku energoefektivitātes direktīvas 2010/31/ES prasības nacionālajā likumdošanā. </w:t>
      </w:r>
    </w:p>
    <w:bookmarkEnd w:id="42"/>
    <w:bookmarkEnd w:id="43"/>
    <w:p w:rsidR="002F176C" w:rsidRPr="009179E5" w:rsidRDefault="002F176C" w:rsidP="009C5ACE">
      <w:pPr>
        <w:pStyle w:val="NormalWeb"/>
        <w:spacing w:before="120" w:beforeAutospacing="0" w:after="120" w:afterAutospacing="0"/>
        <w:jc w:val="both"/>
        <w:rPr>
          <w:sz w:val="28"/>
          <w:szCs w:val="28"/>
        </w:rPr>
      </w:pPr>
      <w:r w:rsidRPr="009179E5">
        <w:rPr>
          <w:sz w:val="28"/>
          <w:szCs w:val="28"/>
        </w:rPr>
        <w:t xml:space="preserve">Atbilstoši </w:t>
      </w:r>
      <w:r w:rsidRPr="009179E5">
        <w:rPr>
          <w:bCs/>
          <w:sz w:val="28"/>
          <w:szCs w:val="28"/>
        </w:rPr>
        <w:t>„Enerģijas galapatēriņa efektivitātes  likuma” 17.panta treša</w:t>
      </w:r>
      <w:r w:rsidR="00382482">
        <w:rPr>
          <w:bCs/>
          <w:sz w:val="28"/>
          <w:szCs w:val="28"/>
        </w:rPr>
        <w:t>jai</w:t>
      </w:r>
      <w:r w:rsidRPr="009179E5">
        <w:rPr>
          <w:bCs/>
          <w:sz w:val="28"/>
          <w:szCs w:val="28"/>
        </w:rPr>
        <w:t xml:space="preserve"> </w:t>
      </w:r>
      <w:r w:rsidR="00AB370A" w:rsidRPr="009179E5">
        <w:rPr>
          <w:bCs/>
          <w:sz w:val="28"/>
          <w:szCs w:val="28"/>
        </w:rPr>
        <w:t>daļai</w:t>
      </w:r>
      <w:r w:rsidRPr="009179E5">
        <w:rPr>
          <w:bCs/>
          <w:sz w:val="28"/>
          <w:szCs w:val="28"/>
        </w:rPr>
        <w:t>,</w:t>
      </w:r>
      <w:r w:rsidRPr="009179E5">
        <w:rPr>
          <w:sz w:val="28"/>
          <w:szCs w:val="28"/>
        </w:rPr>
        <w:t xml:space="preserve"> valsts energoefektivitātes rīcības plānā iekļaujami vismaz divi no šādiem sabiedriskā sektora energoefektivitātes paaugstināšanas pasākumiem:</w:t>
      </w:r>
    </w:p>
    <w:p w:rsidR="002F176C" w:rsidRPr="009179E5" w:rsidRDefault="002F176C" w:rsidP="009C5ACE">
      <w:pPr>
        <w:pStyle w:val="NormalWeb"/>
        <w:spacing w:before="120" w:beforeAutospacing="0" w:after="120" w:afterAutospacing="0"/>
        <w:jc w:val="both"/>
        <w:rPr>
          <w:sz w:val="28"/>
          <w:szCs w:val="28"/>
        </w:rPr>
      </w:pPr>
      <w:r w:rsidRPr="009179E5">
        <w:rPr>
          <w:sz w:val="28"/>
          <w:szCs w:val="28"/>
        </w:rPr>
        <w:t xml:space="preserve">1) </w:t>
      </w:r>
      <w:r w:rsidR="00AB370A" w:rsidRPr="009179E5">
        <w:rPr>
          <w:sz w:val="28"/>
          <w:szCs w:val="28"/>
        </w:rPr>
        <w:t xml:space="preserve">  </w:t>
      </w:r>
      <w:r w:rsidRPr="009179E5">
        <w:rPr>
          <w:sz w:val="28"/>
          <w:szCs w:val="28"/>
        </w:rPr>
        <w:t>enerģijas ietaupījuma panākšanai paredzētie finanšu instrumenti;</w:t>
      </w:r>
    </w:p>
    <w:p w:rsidR="002F176C" w:rsidRPr="009179E5" w:rsidRDefault="002F176C" w:rsidP="009C5ACE">
      <w:pPr>
        <w:pStyle w:val="NormalWeb"/>
        <w:spacing w:before="120" w:beforeAutospacing="0" w:after="120" w:afterAutospacing="0"/>
        <w:jc w:val="both"/>
        <w:rPr>
          <w:sz w:val="28"/>
          <w:szCs w:val="28"/>
        </w:rPr>
      </w:pPr>
      <w:r w:rsidRPr="009179E5">
        <w:rPr>
          <w:sz w:val="28"/>
          <w:szCs w:val="28"/>
        </w:rPr>
        <w:t>2) dažādu kategoriju energoefektīvu preču sarakstos ietvertu iekārtu un transportlīdzekļu iepirkums;</w:t>
      </w:r>
    </w:p>
    <w:p w:rsidR="002F176C" w:rsidRPr="009179E5" w:rsidRDefault="002F176C" w:rsidP="009C5ACE">
      <w:pPr>
        <w:pStyle w:val="NormalWeb"/>
        <w:spacing w:before="120" w:beforeAutospacing="0" w:after="120" w:afterAutospacing="0"/>
        <w:jc w:val="both"/>
        <w:rPr>
          <w:sz w:val="28"/>
          <w:szCs w:val="28"/>
        </w:rPr>
      </w:pPr>
      <w:r w:rsidRPr="009179E5">
        <w:rPr>
          <w:sz w:val="28"/>
          <w:szCs w:val="28"/>
        </w:rPr>
        <w:t>3) tādu energoefektīvu iekārtu iepirkums, kuras savu energoefektivitāti saglabā visos darbības režīmos, arī gaidīšanas režīmā;</w:t>
      </w:r>
    </w:p>
    <w:p w:rsidR="002F176C" w:rsidRPr="009179E5" w:rsidRDefault="002F176C" w:rsidP="009C5ACE">
      <w:pPr>
        <w:pStyle w:val="NormalWeb"/>
        <w:spacing w:before="120" w:beforeAutospacing="0" w:after="120" w:afterAutospacing="0"/>
        <w:jc w:val="both"/>
        <w:rPr>
          <w:sz w:val="28"/>
          <w:szCs w:val="28"/>
        </w:rPr>
      </w:pPr>
      <w:r w:rsidRPr="009179E5">
        <w:rPr>
          <w:sz w:val="28"/>
          <w:szCs w:val="28"/>
        </w:rPr>
        <w:t>4) esošo iekārtu vai transportlīdzekļu nomaiņa ar 2. un 3.punktā minētajām iekārtām un transportlīdzekļiem vai atjaunošana;</w:t>
      </w:r>
    </w:p>
    <w:p w:rsidR="002F176C" w:rsidRPr="009179E5" w:rsidRDefault="002F176C" w:rsidP="009C5ACE">
      <w:pPr>
        <w:pStyle w:val="NormalWeb"/>
        <w:spacing w:before="120" w:beforeAutospacing="0" w:after="120" w:afterAutospacing="0"/>
        <w:jc w:val="both"/>
        <w:rPr>
          <w:sz w:val="28"/>
          <w:szCs w:val="28"/>
        </w:rPr>
      </w:pPr>
      <w:r w:rsidRPr="009179E5">
        <w:rPr>
          <w:sz w:val="28"/>
          <w:szCs w:val="28"/>
        </w:rPr>
        <w:t>5) energoauditu veikšana un to atzinumos iekļauto ekonomiski pamatoto ieteikumu īstenošana;</w:t>
      </w:r>
    </w:p>
    <w:p w:rsidR="002F176C" w:rsidRPr="009179E5" w:rsidRDefault="002F176C" w:rsidP="009C5ACE">
      <w:pPr>
        <w:pStyle w:val="NormalWeb"/>
        <w:spacing w:before="120" w:beforeAutospacing="0" w:after="120" w:afterAutospacing="0"/>
        <w:jc w:val="both"/>
        <w:rPr>
          <w:sz w:val="28"/>
          <w:szCs w:val="28"/>
        </w:rPr>
      </w:pPr>
      <w:r w:rsidRPr="009179E5">
        <w:rPr>
          <w:sz w:val="28"/>
          <w:szCs w:val="28"/>
        </w:rPr>
        <w:t>6) energoefektīvu ēku vai to daļu iegāde vai īre, kā arī nopirkto vai noīrēto ēku vai to daļu rekonstrukcija (arī vienkāršota rekonstrukcija) vai renovācija (arī vienkāršota renovācija).</w:t>
      </w:r>
    </w:p>
    <w:p w:rsidR="00AB370A" w:rsidRPr="009179E5" w:rsidRDefault="00C13D77" w:rsidP="009C5ACE">
      <w:pPr>
        <w:pStyle w:val="NormalWeb"/>
        <w:spacing w:before="120" w:beforeAutospacing="0" w:after="120" w:afterAutospacing="0"/>
        <w:jc w:val="both"/>
        <w:rPr>
          <w:sz w:val="28"/>
          <w:szCs w:val="28"/>
        </w:rPr>
      </w:pPr>
      <w:r w:rsidRPr="009179E5">
        <w:rPr>
          <w:sz w:val="28"/>
          <w:szCs w:val="28"/>
        </w:rPr>
        <w:t>2.EERP</w:t>
      </w:r>
      <w:r w:rsidR="002F176C" w:rsidRPr="009179E5">
        <w:rPr>
          <w:sz w:val="28"/>
          <w:szCs w:val="28"/>
        </w:rPr>
        <w:t xml:space="preserve"> sabiedriskā sektora parauga</w:t>
      </w:r>
      <w:r w:rsidR="00AB370A" w:rsidRPr="009179E5">
        <w:rPr>
          <w:sz w:val="28"/>
          <w:szCs w:val="28"/>
        </w:rPr>
        <w:t xml:space="preserve"> </w:t>
      </w:r>
      <w:r w:rsidR="002F176C" w:rsidRPr="009179E5">
        <w:rPr>
          <w:sz w:val="28"/>
          <w:szCs w:val="28"/>
        </w:rPr>
        <w:t>nodrošināšanai izvēlēti pasākumi</w:t>
      </w:r>
      <w:r w:rsidR="00AB370A" w:rsidRPr="009179E5">
        <w:rPr>
          <w:sz w:val="28"/>
          <w:szCs w:val="28"/>
        </w:rPr>
        <w:t xml:space="preserve"> ir šādi</w:t>
      </w:r>
      <w:r w:rsidR="002F176C" w:rsidRPr="009179E5">
        <w:rPr>
          <w:sz w:val="28"/>
          <w:szCs w:val="28"/>
        </w:rPr>
        <w:t>:</w:t>
      </w:r>
    </w:p>
    <w:p w:rsidR="002F176C" w:rsidRPr="009179E5" w:rsidRDefault="002F176C" w:rsidP="00574AC8">
      <w:pPr>
        <w:pStyle w:val="NormalWeb"/>
        <w:spacing w:before="120" w:beforeAutospacing="0" w:after="120" w:afterAutospacing="0"/>
        <w:jc w:val="both"/>
        <w:rPr>
          <w:sz w:val="28"/>
          <w:szCs w:val="28"/>
        </w:rPr>
      </w:pPr>
      <w:r w:rsidRPr="009179E5">
        <w:rPr>
          <w:sz w:val="28"/>
          <w:szCs w:val="28"/>
        </w:rPr>
        <w:t xml:space="preserve">- </w:t>
      </w:r>
      <w:r w:rsidRPr="009179E5">
        <w:rPr>
          <w:b/>
          <w:sz w:val="28"/>
          <w:szCs w:val="28"/>
        </w:rPr>
        <w:t>tādu energoefektīvu iekārtu iepirkums, kuras savu energoefektivitāti saglabā visos darbības režīmos, arī gaidīšanas režīmā;</w:t>
      </w:r>
    </w:p>
    <w:p w:rsidR="002F176C" w:rsidRPr="009179E5" w:rsidRDefault="002F176C" w:rsidP="00574AC8">
      <w:pPr>
        <w:pStyle w:val="NormalWeb"/>
        <w:spacing w:before="120" w:beforeAutospacing="0" w:after="120" w:afterAutospacing="0"/>
        <w:jc w:val="both"/>
        <w:rPr>
          <w:sz w:val="28"/>
          <w:szCs w:val="28"/>
        </w:rPr>
      </w:pPr>
      <w:r w:rsidRPr="009179E5">
        <w:rPr>
          <w:sz w:val="28"/>
          <w:szCs w:val="28"/>
        </w:rPr>
        <w:t xml:space="preserve">- </w:t>
      </w:r>
      <w:r w:rsidRPr="009179E5">
        <w:rPr>
          <w:b/>
          <w:sz w:val="28"/>
          <w:szCs w:val="28"/>
        </w:rPr>
        <w:t>energoauditu veikšana un to atzinumos iekļauto ekonomiski pamatoto ieteikumu īstenošana;</w:t>
      </w:r>
    </w:p>
    <w:p w:rsidR="002F176C" w:rsidRPr="009179E5" w:rsidRDefault="002F176C" w:rsidP="00574AC8">
      <w:pPr>
        <w:pStyle w:val="NormalWeb"/>
        <w:spacing w:before="120" w:beforeAutospacing="0" w:after="120" w:afterAutospacing="0"/>
        <w:jc w:val="both"/>
        <w:rPr>
          <w:bCs/>
          <w:sz w:val="28"/>
          <w:szCs w:val="28"/>
        </w:rPr>
      </w:pPr>
      <w:r w:rsidRPr="009179E5">
        <w:rPr>
          <w:sz w:val="28"/>
          <w:szCs w:val="28"/>
        </w:rPr>
        <w:t>Energoefektīvu iekārtu iepirkuma nosacījumus nosaka atbilstoši Publ</w:t>
      </w:r>
      <w:r w:rsidR="00952987" w:rsidRPr="009179E5">
        <w:rPr>
          <w:sz w:val="28"/>
          <w:szCs w:val="28"/>
        </w:rPr>
        <w:t>isko iepirkumu likuma 17.pantam – „</w:t>
      </w:r>
      <w:r w:rsidRPr="009179E5">
        <w:rPr>
          <w:sz w:val="28"/>
          <w:szCs w:val="28"/>
        </w:rPr>
        <w:t>Tehniskās</w:t>
      </w:r>
      <w:r w:rsidR="00952987" w:rsidRPr="009179E5">
        <w:rPr>
          <w:sz w:val="28"/>
          <w:szCs w:val="28"/>
        </w:rPr>
        <w:t xml:space="preserve"> </w:t>
      </w:r>
      <w:r w:rsidRPr="009179E5">
        <w:rPr>
          <w:sz w:val="28"/>
          <w:szCs w:val="28"/>
        </w:rPr>
        <w:t>specifikācijas”.</w:t>
      </w:r>
    </w:p>
    <w:p w:rsidR="002F176C" w:rsidRPr="009179E5" w:rsidRDefault="002F176C" w:rsidP="00574AC8">
      <w:pPr>
        <w:spacing w:before="120" w:after="120" w:line="240" w:lineRule="auto"/>
        <w:jc w:val="both"/>
        <w:rPr>
          <w:rFonts w:ascii="Times New Roman" w:hAnsi="Times New Roman"/>
          <w:bCs/>
          <w:sz w:val="28"/>
          <w:szCs w:val="28"/>
          <w:lang w:val="lv-LV" w:eastAsia="lv-LV"/>
        </w:rPr>
      </w:pPr>
      <w:r w:rsidRPr="009179E5">
        <w:rPr>
          <w:rFonts w:ascii="Times New Roman" w:hAnsi="Times New Roman"/>
          <w:bCs/>
          <w:sz w:val="28"/>
          <w:szCs w:val="28"/>
          <w:lang w:val="lv-LV" w:eastAsia="lv-LV"/>
        </w:rPr>
        <w:t xml:space="preserve">Energoauditu veikšana ir iekļauta visu iespējamo finanšu instrumentu </w:t>
      </w:r>
      <w:r w:rsidR="00CE16E1" w:rsidRPr="009179E5">
        <w:rPr>
          <w:rFonts w:ascii="Times New Roman" w:hAnsi="Times New Roman"/>
          <w:bCs/>
          <w:sz w:val="28"/>
          <w:szCs w:val="28"/>
          <w:lang w:val="lv-LV" w:eastAsia="lv-LV"/>
        </w:rPr>
        <w:t>attiecināmo izmaksu pozīcijā</w:t>
      </w:r>
      <w:r w:rsidRPr="009179E5">
        <w:rPr>
          <w:rFonts w:ascii="Times New Roman" w:hAnsi="Times New Roman"/>
          <w:bCs/>
          <w:sz w:val="28"/>
          <w:szCs w:val="28"/>
          <w:lang w:val="lv-LV" w:eastAsia="lv-LV"/>
        </w:rPr>
        <w:t>, tostarp KPFI un ES struktūrfondu un Kohēzijas fond</w:t>
      </w:r>
      <w:r w:rsidR="00CE16E1" w:rsidRPr="009179E5">
        <w:rPr>
          <w:rFonts w:ascii="Times New Roman" w:hAnsi="Times New Roman"/>
          <w:bCs/>
          <w:sz w:val="28"/>
          <w:szCs w:val="28"/>
          <w:lang w:val="lv-LV" w:eastAsia="lv-LV"/>
        </w:rPr>
        <w:t>a atbalstā</w:t>
      </w:r>
      <w:r w:rsidRPr="009179E5">
        <w:rPr>
          <w:rFonts w:ascii="Times New Roman" w:hAnsi="Times New Roman"/>
          <w:bCs/>
          <w:sz w:val="28"/>
          <w:szCs w:val="28"/>
          <w:lang w:val="lv-LV" w:eastAsia="lv-LV"/>
        </w:rPr>
        <w:t>.</w:t>
      </w:r>
    </w:p>
    <w:p w:rsidR="008510BC" w:rsidRPr="009179E5" w:rsidRDefault="00C81AE5" w:rsidP="00574AC8">
      <w:pPr>
        <w:pStyle w:val="Default"/>
        <w:spacing w:before="120" w:after="120"/>
        <w:jc w:val="both"/>
        <w:rPr>
          <w:sz w:val="28"/>
          <w:szCs w:val="28"/>
        </w:rPr>
      </w:pPr>
      <w:r w:rsidRPr="009179E5">
        <w:rPr>
          <w:bCs/>
          <w:sz w:val="28"/>
          <w:szCs w:val="28"/>
        </w:rPr>
        <w:t xml:space="preserve">Energoefektivitātes paaugstināšanas pasākumu ieviešanā nozīmīga loma  jāiegūst vietējām pašvaldībām. </w:t>
      </w:r>
      <w:r w:rsidR="008510BC" w:rsidRPr="009179E5">
        <w:rPr>
          <w:bCs/>
          <w:sz w:val="28"/>
          <w:szCs w:val="28"/>
        </w:rPr>
        <w:t xml:space="preserve">Atbalstāma ir pašvaldību iesaistīšanās </w:t>
      </w:r>
      <w:r w:rsidRPr="009179E5">
        <w:rPr>
          <w:bCs/>
          <w:sz w:val="28"/>
          <w:szCs w:val="28"/>
        </w:rPr>
        <w:t xml:space="preserve"> </w:t>
      </w:r>
      <w:r w:rsidR="008510BC" w:rsidRPr="009179E5">
        <w:rPr>
          <w:bCs/>
          <w:sz w:val="28"/>
          <w:szCs w:val="28"/>
        </w:rPr>
        <w:t xml:space="preserve">Pilsētas Mēru paktā. </w:t>
      </w:r>
      <w:r w:rsidR="008510BC" w:rsidRPr="009179E5">
        <w:rPr>
          <w:sz w:val="28"/>
          <w:szCs w:val="28"/>
        </w:rPr>
        <w:t xml:space="preserve">„Rīgas pilsētas ilgtspējīgas enerģētikas rīcības plāns 2010.-2020.g.” izstrādāts saistībā ar to, ka, Rīga kā pirmā Eiropas valstu galvaspilsēta parakstīja </w:t>
      </w:r>
      <w:r w:rsidR="008510BC" w:rsidRPr="009179E5">
        <w:rPr>
          <w:sz w:val="28"/>
          <w:szCs w:val="28"/>
        </w:rPr>
        <w:lastRenderedPageBreak/>
        <w:t xml:space="preserve">„PILSĒTAS MĒRU PAKTU” un Rīcības plāna izstrāde atbilst „PILSĒTAS MĒRU PAKTA” </w:t>
      </w:r>
      <w:r w:rsidR="00174C18" w:rsidRPr="009179E5">
        <w:rPr>
          <w:sz w:val="28"/>
          <w:szCs w:val="28"/>
        </w:rPr>
        <w:t>noteikumiem. Tas</w:t>
      </w:r>
      <w:r w:rsidR="008510BC" w:rsidRPr="009179E5">
        <w:rPr>
          <w:sz w:val="28"/>
          <w:szCs w:val="28"/>
        </w:rPr>
        <w:t xml:space="preserve"> nozīmē, ka uz 2020. gadu Rīgas pilsēta apņemas vismaz par 20% samazināt CO2 emisijas, ko panāk, sasniedzot par 20% energoefektivitātes paaugstinājumu un 20% no izmantojamās enerģijas apjoma piesaistot atjaunojamos energoresursus. Plāns ietver rīcības pasākumus energopatēriņa samazināšanai, energoefektivitātes uzlabošanai un atjaunojamo energoresursu piesaistei Rīgas pilsētas administratīvajā teritorijā, kā arī kritērijus Rīcības plāna mērķu sasniegšanas izvērtēšanai.</w:t>
      </w:r>
    </w:p>
    <w:p w:rsidR="00C81AE5" w:rsidRPr="009179E5" w:rsidRDefault="008510BC" w:rsidP="00574AC8">
      <w:pPr>
        <w:spacing w:before="120" w:after="120" w:line="240" w:lineRule="auto"/>
        <w:jc w:val="both"/>
        <w:rPr>
          <w:rFonts w:ascii="Times New Roman" w:hAnsi="Times New Roman"/>
          <w:bCs/>
          <w:sz w:val="28"/>
          <w:szCs w:val="28"/>
          <w:lang w:val="lv-LV" w:eastAsia="lv-LV"/>
        </w:rPr>
      </w:pPr>
      <w:r w:rsidRPr="009179E5">
        <w:rPr>
          <w:rFonts w:ascii="Times New Roman" w:hAnsi="Times New Roman"/>
          <w:bCs/>
          <w:sz w:val="28"/>
          <w:szCs w:val="28"/>
          <w:lang w:val="lv-LV" w:eastAsia="lv-LV"/>
        </w:rPr>
        <w:t>Līdzīgi pilsētu ilgtspējīgas rīcības plāni ir izstrādāti arī Jelgavas un Jēkabpils pilsētām, kuras arī ir parakstījušas Pilsētu Mēru paktu.</w:t>
      </w:r>
    </w:p>
    <w:p w:rsidR="00F05BF3" w:rsidRPr="009179E5" w:rsidRDefault="00F05BF3" w:rsidP="00574AC8">
      <w:pPr>
        <w:spacing w:before="120" w:after="120" w:line="240" w:lineRule="auto"/>
        <w:jc w:val="both"/>
        <w:rPr>
          <w:rFonts w:ascii="Times New Roman" w:hAnsi="Times New Roman"/>
          <w:bCs/>
          <w:sz w:val="28"/>
          <w:szCs w:val="28"/>
          <w:lang w:val="lv-LV" w:eastAsia="lv-LV"/>
        </w:rPr>
      </w:pPr>
    </w:p>
    <w:p w:rsidR="002F176C" w:rsidRPr="009179E5" w:rsidRDefault="0095197D" w:rsidP="0095197D">
      <w:pPr>
        <w:pStyle w:val="Heading4"/>
        <w:numPr>
          <w:ilvl w:val="0"/>
          <w:numId w:val="0"/>
        </w:numPr>
        <w:spacing w:line="240" w:lineRule="auto"/>
        <w:jc w:val="center"/>
        <w:rPr>
          <w:rFonts w:ascii="Times New Roman" w:hAnsi="Times New Roman"/>
          <w:b/>
          <w:sz w:val="28"/>
          <w:lang w:val="lv-LV"/>
        </w:rPr>
      </w:pPr>
      <w:bookmarkStart w:id="45" w:name="_Toc300320584"/>
      <w:r w:rsidRPr="009179E5">
        <w:rPr>
          <w:rFonts w:ascii="Times New Roman Bold" w:hAnsi="Times New Roman Bold"/>
          <w:b/>
          <w:i w:val="0"/>
          <w:caps/>
          <w:color w:val="auto"/>
          <w:sz w:val="28"/>
          <w:u w:val="none"/>
          <w:lang w:val="lv-LV"/>
        </w:rPr>
        <w:t xml:space="preserve">4.9. </w:t>
      </w:r>
      <w:r w:rsidR="00CE16E1" w:rsidRPr="009179E5">
        <w:rPr>
          <w:rFonts w:ascii="Times New Roman Bold" w:hAnsi="Times New Roman Bold"/>
          <w:b/>
          <w:i w:val="0"/>
          <w:caps/>
          <w:color w:val="auto"/>
          <w:sz w:val="28"/>
          <w:u w:val="none"/>
          <w:lang w:val="lv-LV"/>
        </w:rPr>
        <w:t xml:space="preserve"> </w:t>
      </w:r>
      <w:r w:rsidR="002F176C" w:rsidRPr="009179E5">
        <w:rPr>
          <w:rFonts w:ascii="Times New Roman Bold" w:hAnsi="Times New Roman Bold"/>
          <w:b/>
          <w:i w:val="0"/>
          <w:caps/>
          <w:color w:val="auto"/>
          <w:sz w:val="28"/>
          <w:u w:val="none"/>
          <w:lang w:val="lv-LV"/>
        </w:rPr>
        <w:t>Konsultācijas un informācija</w:t>
      </w:r>
      <w:bookmarkEnd w:id="45"/>
    </w:p>
    <w:p w:rsidR="002F176C" w:rsidRPr="009179E5" w:rsidRDefault="002F176C" w:rsidP="00574AC8">
      <w:pPr>
        <w:spacing w:before="120" w:after="120" w:line="240" w:lineRule="auto"/>
        <w:jc w:val="both"/>
        <w:rPr>
          <w:rFonts w:ascii="Times New Roman" w:hAnsi="Times New Roman"/>
          <w:b/>
          <w:sz w:val="28"/>
          <w:szCs w:val="28"/>
          <w:lang w:val="lv-LV"/>
        </w:rPr>
      </w:pPr>
      <w:r w:rsidRPr="009179E5">
        <w:rPr>
          <w:rFonts w:ascii="Times New Roman" w:hAnsi="Times New Roman"/>
          <w:b/>
          <w:sz w:val="28"/>
          <w:szCs w:val="28"/>
          <w:lang w:val="lv-LV"/>
        </w:rPr>
        <w:t>Prasības energoapgādes uzņēmumiem</w:t>
      </w:r>
    </w:p>
    <w:p w:rsidR="004743B7" w:rsidRPr="009179E5" w:rsidRDefault="002F176C" w:rsidP="00574AC8">
      <w:pPr>
        <w:pStyle w:val="NormalWeb"/>
        <w:spacing w:before="120" w:beforeAutospacing="0" w:after="120" w:afterAutospacing="0"/>
        <w:jc w:val="both"/>
        <w:rPr>
          <w:sz w:val="28"/>
          <w:szCs w:val="28"/>
        </w:rPr>
      </w:pPr>
      <w:r w:rsidRPr="009179E5">
        <w:rPr>
          <w:bCs/>
          <w:sz w:val="28"/>
          <w:szCs w:val="28"/>
        </w:rPr>
        <w:t>„Enerģijas galapatēriņa efektivitātes  likuma” 13.pants</w:t>
      </w:r>
      <w:r w:rsidR="004743B7" w:rsidRPr="009179E5">
        <w:rPr>
          <w:bCs/>
          <w:sz w:val="28"/>
          <w:szCs w:val="28"/>
        </w:rPr>
        <w:t xml:space="preserve"> </w:t>
      </w:r>
      <w:r w:rsidRPr="009179E5">
        <w:rPr>
          <w:bCs/>
          <w:sz w:val="28"/>
          <w:szCs w:val="28"/>
        </w:rPr>
        <w:t>„Sadales sistēmu operatori un enerģijas tirgotāji” nosaka sadales sistēmu operatoru un enerģijas tirgotāju pienākumu sniegt informāciju par realizētajiem energoefektivitātes paaugstināšanas pasākumiem. Bez tam šī panta treš</w:t>
      </w:r>
      <w:r w:rsidR="004743B7" w:rsidRPr="009179E5">
        <w:rPr>
          <w:bCs/>
          <w:sz w:val="28"/>
          <w:szCs w:val="28"/>
        </w:rPr>
        <w:t>ā</w:t>
      </w:r>
      <w:r w:rsidRPr="009179E5">
        <w:rPr>
          <w:bCs/>
          <w:sz w:val="28"/>
          <w:szCs w:val="28"/>
        </w:rPr>
        <w:t xml:space="preserve"> </w:t>
      </w:r>
      <w:r w:rsidR="004743B7" w:rsidRPr="009179E5">
        <w:rPr>
          <w:bCs/>
          <w:sz w:val="28"/>
          <w:szCs w:val="28"/>
        </w:rPr>
        <w:t>daļa</w:t>
      </w:r>
      <w:r w:rsidRPr="009179E5">
        <w:rPr>
          <w:bCs/>
          <w:sz w:val="28"/>
          <w:szCs w:val="28"/>
        </w:rPr>
        <w:t xml:space="preserve"> nosaka, ka s</w:t>
      </w:r>
      <w:r w:rsidRPr="009179E5">
        <w:rPr>
          <w:sz w:val="28"/>
          <w:szCs w:val="28"/>
        </w:rPr>
        <w:t xml:space="preserve">adales sistēmu operatori un enerģijas tirgotāji piedāvā tiešajiem patērētājiem energopakalpojumus un ir tiesīgi noslēgt vienošanos vai līgumu ar tiešajiem patērētājiem par energoefektivitātes paaugstināšanas pasākumu īstenošanu. </w:t>
      </w:r>
    </w:p>
    <w:p w:rsidR="002F176C" w:rsidRPr="009179E5" w:rsidRDefault="002F176C" w:rsidP="00574AC8">
      <w:pPr>
        <w:pStyle w:val="NormalWeb"/>
        <w:spacing w:before="120" w:beforeAutospacing="0" w:after="120" w:afterAutospacing="0"/>
        <w:jc w:val="both"/>
        <w:rPr>
          <w:sz w:val="28"/>
          <w:szCs w:val="28"/>
        </w:rPr>
      </w:pPr>
      <w:r w:rsidRPr="009179E5">
        <w:rPr>
          <w:sz w:val="28"/>
          <w:szCs w:val="28"/>
        </w:rPr>
        <w:t xml:space="preserve">Pēc </w:t>
      </w:r>
      <w:r w:rsidR="00EE0771" w:rsidRPr="009179E5">
        <w:rPr>
          <w:sz w:val="28"/>
          <w:szCs w:val="28"/>
        </w:rPr>
        <w:t xml:space="preserve">Ekonomikas ministrijas rīcībā </w:t>
      </w:r>
      <w:r w:rsidRPr="009179E5">
        <w:rPr>
          <w:sz w:val="28"/>
          <w:szCs w:val="28"/>
        </w:rPr>
        <w:t>esošās informācijas</w:t>
      </w:r>
      <w:r w:rsidR="00EE0771" w:rsidRPr="009179E5">
        <w:rPr>
          <w:sz w:val="28"/>
          <w:szCs w:val="28"/>
        </w:rPr>
        <w:t>, vēl</w:t>
      </w:r>
      <w:r w:rsidRPr="009179E5">
        <w:rPr>
          <w:sz w:val="28"/>
          <w:szCs w:val="28"/>
        </w:rPr>
        <w:t xml:space="preserve"> neviens no sadales sistēmu operatoriem vai enerģijas tirgotājiem nav noslēdzis līgumu par energoefektivitātes pasākumu realizēšanu pie tiešajiem patērētājiem.</w:t>
      </w:r>
    </w:p>
    <w:p w:rsidR="002F176C" w:rsidRPr="009179E5" w:rsidRDefault="002F176C" w:rsidP="00574AC8">
      <w:pPr>
        <w:spacing w:before="120" w:after="120" w:line="240" w:lineRule="auto"/>
        <w:jc w:val="both"/>
        <w:rPr>
          <w:rFonts w:ascii="Times New Roman" w:hAnsi="Times New Roman"/>
          <w:b/>
          <w:sz w:val="28"/>
          <w:szCs w:val="28"/>
          <w:lang w:val="lv-LV"/>
        </w:rPr>
      </w:pPr>
      <w:r w:rsidRPr="009179E5">
        <w:rPr>
          <w:rFonts w:ascii="Times New Roman" w:hAnsi="Times New Roman"/>
          <w:b/>
          <w:sz w:val="28"/>
          <w:szCs w:val="28"/>
          <w:lang w:val="lv-LV"/>
        </w:rPr>
        <w:t>Energopakalpojumu tirgus attīstība</w:t>
      </w:r>
    </w:p>
    <w:p w:rsidR="00A874A1" w:rsidRPr="009179E5" w:rsidRDefault="00C7069A"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Pirmās energoservisa kompānijas</w:t>
      </w:r>
      <w:r w:rsidR="00A874A1" w:rsidRPr="009179E5">
        <w:rPr>
          <w:rFonts w:ascii="Times New Roman" w:hAnsi="Times New Roman"/>
          <w:sz w:val="28"/>
          <w:szCs w:val="28"/>
          <w:lang w:val="lv-LV"/>
        </w:rPr>
        <w:t xml:space="preserve"> </w:t>
      </w:r>
      <w:r w:rsidRPr="009179E5">
        <w:rPr>
          <w:rFonts w:ascii="Times New Roman" w:hAnsi="Times New Roman"/>
          <w:sz w:val="28"/>
          <w:szCs w:val="28"/>
          <w:lang w:val="lv-LV"/>
        </w:rPr>
        <w:t>(ESKO)</w:t>
      </w:r>
      <w:r w:rsidR="00A874A1" w:rsidRPr="009179E5">
        <w:rPr>
          <w:rFonts w:ascii="Times New Roman" w:hAnsi="Times New Roman"/>
          <w:sz w:val="28"/>
          <w:szCs w:val="28"/>
          <w:lang w:val="lv-LV"/>
        </w:rPr>
        <w:t xml:space="preserve"> </w:t>
      </w:r>
      <w:r w:rsidRPr="009179E5">
        <w:rPr>
          <w:rFonts w:ascii="Times New Roman" w:hAnsi="Times New Roman"/>
          <w:sz w:val="28"/>
          <w:szCs w:val="28"/>
          <w:lang w:val="lv-LV"/>
        </w:rPr>
        <w:t xml:space="preserve">Latvijā uzsāka savu darbību 2000.gadā, piedāvājot profesionālu servisu ielu apgaismošanā. Tomēr līgumu realizācijas laikā parādījās galvenokārt juridiskas problēmas, kuras apgrūtināja līguma nosacījumu realizāciju. </w:t>
      </w:r>
    </w:p>
    <w:p w:rsidR="00C7069A" w:rsidRPr="009179E5" w:rsidRDefault="00C7069A"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Energopakalpojumu tirgus attīstību kavē neskaidrie juridiskie jautājumi pakalpojumu līgumu slēgšanā, energoapgādes (centralizētā siltumapgāde) uzņēmumu neieinteresētība energoservisa pakalpojumu sniegšanā, zema patērētāju informētība par ESKO kompāniju iespējām un pozitīvo piemēru trūkums. Energopakalpojumu tirgus attīstību kavē arī neskaidrie finanšu jautājumi saistībā ar ESKO ieviešanu, kā arī valsts garantiju trūkums ESKO kredīt</w:t>
      </w:r>
      <w:r w:rsidR="00A874A1" w:rsidRPr="009179E5">
        <w:rPr>
          <w:rFonts w:ascii="Times New Roman" w:hAnsi="Times New Roman"/>
          <w:sz w:val="28"/>
          <w:szCs w:val="28"/>
          <w:lang w:val="lv-LV"/>
        </w:rPr>
        <w:t>u izsniegšanai</w:t>
      </w:r>
      <w:r w:rsidRPr="009179E5">
        <w:rPr>
          <w:rFonts w:ascii="Times New Roman" w:hAnsi="Times New Roman"/>
          <w:sz w:val="28"/>
          <w:szCs w:val="28"/>
          <w:lang w:val="lv-LV"/>
        </w:rPr>
        <w:t>.</w:t>
      </w:r>
    </w:p>
    <w:p w:rsidR="001960CF" w:rsidRDefault="001960CF" w:rsidP="00574AC8">
      <w:pPr>
        <w:spacing w:before="120" w:after="120" w:line="240" w:lineRule="auto"/>
        <w:jc w:val="both"/>
        <w:rPr>
          <w:rFonts w:ascii="Times New Roman" w:hAnsi="Times New Roman"/>
          <w:b/>
          <w:sz w:val="28"/>
          <w:szCs w:val="28"/>
          <w:lang w:val="lv-LV"/>
        </w:rPr>
      </w:pPr>
    </w:p>
    <w:p w:rsidR="001960CF" w:rsidRDefault="001960CF" w:rsidP="00574AC8">
      <w:pPr>
        <w:spacing w:before="120" w:after="120" w:line="240" w:lineRule="auto"/>
        <w:jc w:val="both"/>
        <w:rPr>
          <w:rFonts w:ascii="Times New Roman" w:hAnsi="Times New Roman"/>
          <w:b/>
          <w:sz w:val="28"/>
          <w:szCs w:val="28"/>
          <w:lang w:val="lv-LV"/>
        </w:rPr>
      </w:pPr>
    </w:p>
    <w:p w:rsidR="001960CF" w:rsidRDefault="001960CF" w:rsidP="00574AC8">
      <w:pPr>
        <w:spacing w:before="120" w:after="120" w:line="240" w:lineRule="auto"/>
        <w:jc w:val="both"/>
        <w:rPr>
          <w:rFonts w:ascii="Times New Roman" w:hAnsi="Times New Roman"/>
          <w:b/>
          <w:sz w:val="28"/>
          <w:szCs w:val="28"/>
          <w:lang w:val="lv-LV"/>
        </w:rPr>
      </w:pPr>
    </w:p>
    <w:p w:rsidR="00F977B9" w:rsidRPr="009179E5" w:rsidRDefault="00F977B9" w:rsidP="00574AC8">
      <w:pPr>
        <w:spacing w:before="120" w:after="120" w:line="240" w:lineRule="auto"/>
        <w:jc w:val="both"/>
        <w:rPr>
          <w:rFonts w:ascii="Times New Roman" w:hAnsi="Times New Roman"/>
          <w:b/>
          <w:sz w:val="28"/>
          <w:szCs w:val="28"/>
          <w:lang w:val="lv-LV"/>
        </w:rPr>
      </w:pPr>
      <w:r w:rsidRPr="009179E5">
        <w:rPr>
          <w:rFonts w:ascii="Times New Roman" w:hAnsi="Times New Roman"/>
          <w:b/>
          <w:sz w:val="28"/>
          <w:szCs w:val="28"/>
          <w:lang w:val="lv-LV"/>
        </w:rPr>
        <w:lastRenderedPageBreak/>
        <w:t>Konsultācijas un informācija</w:t>
      </w:r>
    </w:p>
    <w:p w:rsidR="00F977B9" w:rsidRPr="009179E5" w:rsidRDefault="004F542A"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Dažāda veida informāciju un konsultācijas par energoefektivitātes jautājumiem ir iespējas atrast un saņemt Ekonomikas ministrijas ārējā mājas lapā internetā </w:t>
      </w:r>
      <w:hyperlink r:id="rId54" w:history="1">
        <w:r w:rsidRPr="009179E5">
          <w:rPr>
            <w:rStyle w:val="Hyperlink"/>
            <w:rFonts w:ascii="Times New Roman" w:hAnsi="Times New Roman"/>
            <w:sz w:val="28"/>
            <w:szCs w:val="28"/>
            <w:lang w:val="lv-LV"/>
          </w:rPr>
          <w:t>http://www.em.gov.lv/em/2nd/?cat=30173</w:t>
        </w:r>
      </w:hyperlink>
      <w:r w:rsidRPr="009179E5">
        <w:rPr>
          <w:rFonts w:ascii="Times New Roman" w:hAnsi="Times New Roman"/>
          <w:sz w:val="28"/>
          <w:szCs w:val="28"/>
          <w:lang w:val="lv-LV"/>
        </w:rPr>
        <w:t xml:space="preserve">. </w:t>
      </w:r>
    </w:p>
    <w:p w:rsidR="00EA182B" w:rsidRPr="009179E5" w:rsidRDefault="00EA182B" w:rsidP="00061EFD">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Klientu informēšanai par elektroenerģijas racionālu izmantošanu, kā arī citiem ar energoefektivitātes paaugstināšanu </w:t>
      </w:r>
      <w:r w:rsidR="00174C18" w:rsidRPr="009179E5">
        <w:rPr>
          <w:rFonts w:ascii="Times New Roman" w:hAnsi="Times New Roman"/>
          <w:sz w:val="28"/>
          <w:szCs w:val="28"/>
          <w:lang w:val="lv-LV"/>
        </w:rPr>
        <w:t>saistītiem</w:t>
      </w:r>
      <w:r w:rsidRPr="009179E5">
        <w:rPr>
          <w:rFonts w:ascii="Times New Roman" w:hAnsi="Times New Roman"/>
          <w:sz w:val="28"/>
          <w:szCs w:val="28"/>
          <w:lang w:val="lv-LV"/>
        </w:rPr>
        <w:t xml:space="preserve"> jautājumiem sekmīgi darbojas AS </w:t>
      </w:r>
      <w:r w:rsidR="00C0626D" w:rsidRPr="009179E5">
        <w:rPr>
          <w:rFonts w:ascii="Times New Roman" w:hAnsi="Times New Roman"/>
          <w:sz w:val="28"/>
          <w:szCs w:val="28"/>
          <w:lang w:val="lv-LV"/>
        </w:rPr>
        <w:t>„</w:t>
      </w:r>
      <w:r w:rsidRPr="009179E5">
        <w:rPr>
          <w:rFonts w:ascii="Times New Roman" w:hAnsi="Times New Roman"/>
          <w:sz w:val="28"/>
          <w:szCs w:val="28"/>
          <w:lang w:val="lv-LV"/>
        </w:rPr>
        <w:t>Latvenergo</w:t>
      </w:r>
      <w:r w:rsidR="00C0626D" w:rsidRPr="009179E5">
        <w:rPr>
          <w:rFonts w:ascii="Times New Roman" w:hAnsi="Times New Roman"/>
          <w:sz w:val="28"/>
          <w:szCs w:val="28"/>
          <w:lang w:val="lv-LV"/>
        </w:rPr>
        <w:t>”</w:t>
      </w:r>
      <w:r w:rsidRPr="009179E5">
        <w:rPr>
          <w:rFonts w:ascii="Times New Roman" w:hAnsi="Times New Roman"/>
          <w:sz w:val="28"/>
          <w:szCs w:val="28"/>
          <w:lang w:val="lv-LV"/>
        </w:rPr>
        <w:t xml:space="preserve"> Energoefektivitātes centrs. Pēdējo triju gadu centra aktivitātes apkopotas 3</w:t>
      </w:r>
      <w:r w:rsidR="00293DCE" w:rsidRPr="009179E5">
        <w:rPr>
          <w:rFonts w:ascii="Times New Roman" w:hAnsi="Times New Roman"/>
          <w:sz w:val="28"/>
          <w:szCs w:val="28"/>
          <w:lang w:val="lv-LV"/>
        </w:rPr>
        <w:t>2</w:t>
      </w:r>
      <w:r w:rsidRPr="009179E5">
        <w:rPr>
          <w:rFonts w:ascii="Times New Roman" w:hAnsi="Times New Roman"/>
          <w:sz w:val="28"/>
          <w:szCs w:val="28"/>
          <w:lang w:val="lv-LV"/>
        </w:rPr>
        <w:t>.tabulā.</w:t>
      </w:r>
    </w:p>
    <w:p w:rsidR="00EA182B" w:rsidRPr="009179E5" w:rsidRDefault="00EA182B" w:rsidP="006A4C0E">
      <w:pPr>
        <w:spacing w:after="0" w:line="240" w:lineRule="auto"/>
        <w:jc w:val="right"/>
        <w:rPr>
          <w:rFonts w:ascii="Times New Roman" w:hAnsi="Times New Roman"/>
          <w:b/>
          <w:sz w:val="24"/>
          <w:szCs w:val="24"/>
          <w:lang w:val="lv-LV"/>
        </w:rPr>
      </w:pPr>
      <w:r w:rsidRPr="009179E5">
        <w:rPr>
          <w:rFonts w:ascii="Times New Roman" w:hAnsi="Times New Roman"/>
          <w:b/>
          <w:sz w:val="24"/>
          <w:szCs w:val="24"/>
          <w:lang w:val="lv-LV"/>
        </w:rPr>
        <w:t>3</w:t>
      </w:r>
      <w:r w:rsidR="00D31158">
        <w:rPr>
          <w:rFonts w:ascii="Times New Roman" w:hAnsi="Times New Roman"/>
          <w:b/>
          <w:sz w:val="24"/>
          <w:szCs w:val="24"/>
          <w:lang w:val="lv-LV"/>
        </w:rPr>
        <w:t>2</w:t>
      </w:r>
      <w:r w:rsidRPr="009179E5">
        <w:rPr>
          <w:rFonts w:ascii="Times New Roman" w:hAnsi="Times New Roman"/>
          <w:b/>
          <w:sz w:val="24"/>
          <w:szCs w:val="24"/>
          <w:lang w:val="lv-LV"/>
        </w:rPr>
        <w:t>.tabula</w:t>
      </w:r>
    </w:p>
    <w:p w:rsidR="00EA182B" w:rsidRPr="009179E5" w:rsidRDefault="00EA182B" w:rsidP="006A4C0E">
      <w:pPr>
        <w:spacing w:after="0" w:line="240" w:lineRule="auto"/>
        <w:jc w:val="center"/>
        <w:rPr>
          <w:rFonts w:ascii="Times New Roman" w:hAnsi="Times New Roman"/>
          <w:b/>
          <w:sz w:val="24"/>
          <w:szCs w:val="24"/>
          <w:lang w:val="lv-LV"/>
        </w:rPr>
      </w:pPr>
      <w:r w:rsidRPr="009179E5">
        <w:rPr>
          <w:rFonts w:ascii="Times New Roman" w:hAnsi="Times New Roman"/>
          <w:b/>
          <w:sz w:val="24"/>
          <w:szCs w:val="24"/>
          <w:lang w:val="lv-LV"/>
        </w:rPr>
        <w:t xml:space="preserve">AS Latvenergo Energoefektivitātes centrs darbības rezultatīvie rādītāji </w:t>
      </w:r>
    </w:p>
    <w:p w:rsidR="00EA182B" w:rsidRPr="009179E5" w:rsidRDefault="00F7510A" w:rsidP="006A4C0E">
      <w:pPr>
        <w:spacing w:after="0" w:line="240" w:lineRule="auto"/>
        <w:jc w:val="center"/>
        <w:rPr>
          <w:rFonts w:ascii="Times New Roman" w:hAnsi="Times New Roman"/>
          <w:b/>
          <w:sz w:val="20"/>
          <w:szCs w:val="20"/>
          <w:lang w:val="lv-LV"/>
        </w:rPr>
      </w:pPr>
      <w:r w:rsidRPr="009179E5">
        <w:rPr>
          <w:rFonts w:ascii="Times New Roman" w:hAnsi="Times New Roman"/>
          <w:b/>
          <w:sz w:val="24"/>
          <w:szCs w:val="24"/>
          <w:lang w:val="lv-LV"/>
        </w:rPr>
        <w:t>2008.-2010.gadam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276"/>
        <w:gridCol w:w="1276"/>
        <w:gridCol w:w="1184"/>
      </w:tblGrid>
      <w:tr w:rsidR="00EA182B" w:rsidRPr="009179E5" w:rsidTr="00F05BF3">
        <w:trPr>
          <w:jc w:val="center"/>
        </w:trPr>
        <w:tc>
          <w:tcPr>
            <w:tcW w:w="478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Aktivitātes</w:t>
            </w:r>
          </w:p>
        </w:tc>
        <w:tc>
          <w:tcPr>
            <w:tcW w:w="127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2008. gads</w:t>
            </w:r>
          </w:p>
        </w:tc>
        <w:tc>
          <w:tcPr>
            <w:tcW w:w="127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2009. gads</w:t>
            </w:r>
          </w:p>
        </w:tc>
        <w:tc>
          <w:tcPr>
            <w:tcW w:w="1184"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2010. gads</w:t>
            </w:r>
          </w:p>
        </w:tc>
      </w:tr>
      <w:tr w:rsidR="00EA182B" w:rsidRPr="009179E5" w:rsidTr="00F05BF3">
        <w:trPr>
          <w:jc w:val="center"/>
        </w:trPr>
        <w:tc>
          <w:tcPr>
            <w:tcW w:w="478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Individuālās konsultācijas EEC klātienē un pa tālruni</w:t>
            </w:r>
          </w:p>
        </w:tc>
        <w:tc>
          <w:tcPr>
            <w:tcW w:w="127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1408</w:t>
            </w:r>
          </w:p>
        </w:tc>
        <w:tc>
          <w:tcPr>
            <w:tcW w:w="127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1523</w:t>
            </w:r>
          </w:p>
        </w:tc>
        <w:tc>
          <w:tcPr>
            <w:tcW w:w="1184"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1495</w:t>
            </w:r>
          </w:p>
        </w:tc>
      </w:tr>
      <w:tr w:rsidR="00EA182B" w:rsidRPr="009179E5" w:rsidTr="00F05BF3">
        <w:trPr>
          <w:jc w:val="center"/>
        </w:trPr>
        <w:tc>
          <w:tcPr>
            <w:tcW w:w="478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Lekcijas skolēniem un studentiem (grupas)</w:t>
            </w:r>
          </w:p>
        </w:tc>
        <w:tc>
          <w:tcPr>
            <w:tcW w:w="127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73</w:t>
            </w:r>
          </w:p>
        </w:tc>
        <w:tc>
          <w:tcPr>
            <w:tcW w:w="127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71</w:t>
            </w:r>
          </w:p>
        </w:tc>
        <w:tc>
          <w:tcPr>
            <w:tcW w:w="1184"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44</w:t>
            </w:r>
          </w:p>
        </w:tc>
      </w:tr>
      <w:tr w:rsidR="00EA182B" w:rsidRPr="009179E5" w:rsidTr="00F05BF3">
        <w:trPr>
          <w:jc w:val="center"/>
        </w:trPr>
        <w:tc>
          <w:tcPr>
            <w:tcW w:w="4786" w:type="dxa"/>
          </w:tcPr>
          <w:p w:rsidR="00EA182B" w:rsidRPr="009179E5" w:rsidRDefault="006A4C0E"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D</w:t>
            </w:r>
            <w:r w:rsidR="00EA182B" w:rsidRPr="009179E5">
              <w:rPr>
                <w:rFonts w:ascii="Times New Roman" w:hAnsi="Times New Roman"/>
                <w:sz w:val="24"/>
                <w:szCs w:val="24"/>
                <w:lang w:val="lv-LV"/>
              </w:rPr>
              <w:t>alī</w:t>
            </w:r>
            <w:r w:rsidRPr="009179E5">
              <w:rPr>
                <w:rFonts w:ascii="Times New Roman" w:hAnsi="Times New Roman"/>
                <w:sz w:val="24"/>
                <w:szCs w:val="24"/>
                <w:lang w:val="lv-LV"/>
              </w:rPr>
              <w:t>ba</w:t>
            </w:r>
            <w:r w:rsidR="00EA182B" w:rsidRPr="009179E5">
              <w:rPr>
                <w:rFonts w:ascii="Times New Roman" w:hAnsi="Times New Roman"/>
                <w:sz w:val="24"/>
                <w:szCs w:val="24"/>
                <w:lang w:val="lv-LV"/>
              </w:rPr>
              <w:t xml:space="preserve"> </w:t>
            </w:r>
            <w:r w:rsidRPr="009179E5">
              <w:rPr>
                <w:rFonts w:ascii="Times New Roman" w:hAnsi="Times New Roman"/>
                <w:sz w:val="24"/>
                <w:szCs w:val="24"/>
                <w:lang w:val="lv-LV"/>
              </w:rPr>
              <w:t>dažādos citu organizāciju</w:t>
            </w:r>
            <w:r w:rsidR="00EA182B" w:rsidRPr="009179E5">
              <w:rPr>
                <w:rFonts w:ascii="Times New Roman" w:hAnsi="Times New Roman"/>
                <w:sz w:val="24"/>
                <w:szCs w:val="24"/>
                <w:lang w:val="lv-LV"/>
              </w:rPr>
              <w:t xml:space="preserve"> pasākumos</w:t>
            </w:r>
          </w:p>
        </w:tc>
        <w:tc>
          <w:tcPr>
            <w:tcW w:w="127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12</w:t>
            </w:r>
          </w:p>
        </w:tc>
        <w:tc>
          <w:tcPr>
            <w:tcW w:w="127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11</w:t>
            </w:r>
          </w:p>
        </w:tc>
        <w:tc>
          <w:tcPr>
            <w:tcW w:w="1184"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14</w:t>
            </w:r>
          </w:p>
        </w:tc>
      </w:tr>
      <w:tr w:rsidR="00EA182B" w:rsidRPr="009179E5" w:rsidTr="00F05BF3">
        <w:trPr>
          <w:jc w:val="center"/>
        </w:trPr>
        <w:tc>
          <w:tcPr>
            <w:tcW w:w="478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Semināri individuāliem klientiem</w:t>
            </w:r>
          </w:p>
        </w:tc>
        <w:tc>
          <w:tcPr>
            <w:tcW w:w="127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6</w:t>
            </w:r>
          </w:p>
        </w:tc>
        <w:tc>
          <w:tcPr>
            <w:tcW w:w="127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9</w:t>
            </w:r>
          </w:p>
        </w:tc>
        <w:tc>
          <w:tcPr>
            <w:tcW w:w="1184"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15</w:t>
            </w:r>
          </w:p>
        </w:tc>
      </w:tr>
      <w:tr w:rsidR="00EA182B" w:rsidRPr="009179E5" w:rsidTr="00F05BF3">
        <w:trPr>
          <w:jc w:val="center"/>
        </w:trPr>
        <w:tc>
          <w:tcPr>
            <w:tcW w:w="478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Semināri juridiskajiem klientiem</w:t>
            </w:r>
          </w:p>
        </w:tc>
        <w:tc>
          <w:tcPr>
            <w:tcW w:w="127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w:t>
            </w:r>
          </w:p>
        </w:tc>
        <w:tc>
          <w:tcPr>
            <w:tcW w:w="127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3</w:t>
            </w:r>
          </w:p>
        </w:tc>
        <w:tc>
          <w:tcPr>
            <w:tcW w:w="1184"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3</w:t>
            </w:r>
          </w:p>
        </w:tc>
      </w:tr>
      <w:tr w:rsidR="00EA182B" w:rsidRPr="009179E5" w:rsidTr="00F05BF3">
        <w:trPr>
          <w:jc w:val="center"/>
        </w:trPr>
        <w:tc>
          <w:tcPr>
            <w:tcW w:w="478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Publikācijas presē par energoefektivitāti</w:t>
            </w:r>
          </w:p>
        </w:tc>
        <w:tc>
          <w:tcPr>
            <w:tcW w:w="127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6</w:t>
            </w:r>
          </w:p>
        </w:tc>
        <w:tc>
          <w:tcPr>
            <w:tcW w:w="127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11</w:t>
            </w:r>
          </w:p>
        </w:tc>
        <w:tc>
          <w:tcPr>
            <w:tcW w:w="1184"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7</w:t>
            </w:r>
          </w:p>
        </w:tc>
      </w:tr>
      <w:tr w:rsidR="00EA182B" w:rsidRPr="009179E5" w:rsidTr="00F05BF3">
        <w:trPr>
          <w:jc w:val="center"/>
        </w:trPr>
        <w:tc>
          <w:tcPr>
            <w:tcW w:w="478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Sižeti radio un televīzijā</w:t>
            </w:r>
          </w:p>
        </w:tc>
        <w:tc>
          <w:tcPr>
            <w:tcW w:w="127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2</w:t>
            </w:r>
          </w:p>
        </w:tc>
        <w:tc>
          <w:tcPr>
            <w:tcW w:w="1276"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18</w:t>
            </w:r>
          </w:p>
        </w:tc>
        <w:tc>
          <w:tcPr>
            <w:tcW w:w="1184" w:type="dxa"/>
          </w:tcPr>
          <w:p w:rsidR="00EA182B" w:rsidRPr="009179E5" w:rsidRDefault="00EA182B" w:rsidP="006A4C0E">
            <w:pPr>
              <w:spacing w:after="0" w:line="240" w:lineRule="auto"/>
              <w:rPr>
                <w:rFonts w:ascii="Times New Roman" w:hAnsi="Times New Roman"/>
                <w:sz w:val="24"/>
                <w:szCs w:val="24"/>
                <w:lang w:val="lv-LV"/>
              </w:rPr>
            </w:pPr>
            <w:r w:rsidRPr="009179E5">
              <w:rPr>
                <w:rFonts w:ascii="Times New Roman" w:hAnsi="Times New Roman"/>
                <w:sz w:val="24"/>
                <w:szCs w:val="24"/>
                <w:lang w:val="lv-LV"/>
              </w:rPr>
              <w:t>12</w:t>
            </w:r>
          </w:p>
        </w:tc>
      </w:tr>
    </w:tbl>
    <w:p w:rsidR="00EA182B" w:rsidRPr="009179E5" w:rsidRDefault="00EA182B"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Energoefektivitātes centra darbība nākotnē</w:t>
      </w:r>
      <w:r w:rsidR="00061EFD" w:rsidRPr="009179E5">
        <w:rPr>
          <w:rFonts w:ascii="Times New Roman" w:hAnsi="Times New Roman"/>
          <w:sz w:val="28"/>
          <w:szCs w:val="28"/>
          <w:lang w:val="lv-LV"/>
        </w:rPr>
        <w:t xml:space="preserve"> saistīta ar </w:t>
      </w:r>
      <w:r w:rsidR="00061EFD" w:rsidRPr="009179E5">
        <w:rPr>
          <w:rFonts w:ascii="Times New Roman" w:hAnsi="Times New Roman"/>
          <w:sz w:val="28"/>
          <w:szCs w:val="28"/>
          <w:u w:val="single"/>
          <w:lang w:val="lv-LV"/>
        </w:rPr>
        <w:t>p</w:t>
      </w:r>
      <w:r w:rsidRPr="009179E5">
        <w:rPr>
          <w:rFonts w:ascii="Times New Roman" w:hAnsi="Times New Roman"/>
          <w:sz w:val="28"/>
          <w:szCs w:val="28"/>
          <w:u w:val="single"/>
          <w:lang w:val="lv-LV"/>
        </w:rPr>
        <w:t>rivātpersonu informēšan</w:t>
      </w:r>
      <w:r w:rsidR="00061EFD" w:rsidRPr="009179E5">
        <w:rPr>
          <w:rFonts w:ascii="Times New Roman" w:hAnsi="Times New Roman"/>
          <w:sz w:val="28"/>
          <w:szCs w:val="28"/>
          <w:u w:val="single"/>
          <w:lang w:val="lv-LV"/>
        </w:rPr>
        <w:t>u</w:t>
      </w:r>
      <w:r w:rsidRPr="009179E5">
        <w:rPr>
          <w:rFonts w:ascii="Times New Roman" w:hAnsi="Times New Roman"/>
          <w:sz w:val="28"/>
          <w:szCs w:val="28"/>
          <w:u w:val="single"/>
          <w:lang w:val="lv-LV"/>
        </w:rPr>
        <w:t xml:space="preserve"> par energoefektivitātes paaugstināšanas </w:t>
      </w:r>
      <w:r w:rsidR="00174C18" w:rsidRPr="009179E5">
        <w:rPr>
          <w:rFonts w:ascii="Times New Roman" w:hAnsi="Times New Roman"/>
          <w:sz w:val="28"/>
          <w:szCs w:val="28"/>
          <w:u w:val="single"/>
          <w:lang w:val="lv-LV"/>
        </w:rPr>
        <w:t>iespējām.</w:t>
      </w:r>
      <w:r w:rsidR="00174C18" w:rsidRPr="009179E5">
        <w:rPr>
          <w:rFonts w:ascii="Times New Roman" w:hAnsi="Times New Roman"/>
          <w:sz w:val="28"/>
          <w:szCs w:val="28"/>
          <w:lang w:val="lv-LV"/>
        </w:rPr>
        <w:t xml:space="preserve"> Veicamās</w:t>
      </w:r>
      <w:r w:rsidRPr="009179E5">
        <w:rPr>
          <w:rFonts w:ascii="Times New Roman" w:hAnsi="Times New Roman"/>
          <w:sz w:val="28"/>
          <w:szCs w:val="28"/>
          <w:lang w:val="lv-LV"/>
        </w:rPr>
        <w:t xml:space="preserve"> aktivitātes</w:t>
      </w:r>
      <w:r w:rsidR="00061EFD" w:rsidRPr="009179E5">
        <w:rPr>
          <w:rFonts w:ascii="Times New Roman" w:hAnsi="Times New Roman"/>
          <w:sz w:val="28"/>
          <w:szCs w:val="28"/>
          <w:lang w:val="lv-LV"/>
        </w:rPr>
        <w:t xml:space="preserve"> ir šādas</w:t>
      </w:r>
      <w:r w:rsidRPr="009179E5">
        <w:rPr>
          <w:rFonts w:ascii="Times New Roman" w:hAnsi="Times New Roman"/>
          <w:sz w:val="28"/>
          <w:szCs w:val="28"/>
          <w:lang w:val="lv-LV"/>
        </w:rPr>
        <w:t xml:space="preserve">: </w:t>
      </w:r>
    </w:p>
    <w:p w:rsidR="00EA182B" w:rsidRPr="009179E5" w:rsidRDefault="00EA182B" w:rsidP="00061EFD">
      <w:pPr>
        <w:numPr>
          <w:ilvl w:val="0"/>
          <w:numId w:val="36"/>
        </w:num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Klientu individuālo jautājumu risināšana uz vietas Energoefektivitātes centrā, pa tālruni, izmantojot e-pastu, vai sniedzot rekomendācijas </w:t>
      </w:r>
      <w:r w:rsidR="00061EFD" w:rsidRPr="009179E5">
        <w:rPr>
          <w:rFonts w:ascii="Times New Roman" w:hAnsi="Times New Roman"/>
          <w:sz w:val="28"/>
          <w:szCs w:val="28"/>
          <w:lang w:val="lv-LV"/>
        </w:rPr>
        <w:t>pēc klienta objekta apsekošanas;</w:t>
      </w:r>
      <w:r w:rsidRPr="009179E5">
        <w:rPr>
          <w:rFonts w:ascii="Times New Roman" w:hAnsi="Times New Roman"/>
          <w:sz w:val="28"/>
          <w:szCs w:val="28"/>
          <w:lang w:val="lv-LV"/>
        </w:rPr>
        <w:t xml:space="preserve"> </w:t>
      </w:r>
    </w:p>
    <w:p w:rsidR="00EA182B" w:rsidRPr="009179E5" w:rsidRDefault="00EA182B" w:rsidP="00061EFD">
      <w:pPr>
        <w:numPr>
          <w:ilvl w:val="0"/>
          <w:numId w:val="36"/>
        </w:num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Semināru organizēšana, dalība izstādēs. Lietotāju informēšana ar televīzijas, radio, laikrakstu un žurnālu starpniecību, kā arī izmantojo</w:t>
      </w:r>
      <w:r w:rsidR="00061EFD" w:rsidRPr="009179E5">
        <w:rPr>
          <w:rFonts w:ascii="Times New Roman" w:hAnsi="Times New Roman"/>
          <w:sz w:val="28"/>
          <w:szCs w:val="28"/>
          <w:lang w:val="lv-LV"/>
        </w:rPr>
        <w:t>t interneta piedāvātās iespējas;</w:t>
      </w:r>
      <w:r w:rsidRPr="009179E5">
        <w:rPr>
          <w:rFonts w:ascii="Times New Roman" w:hAnsi="Times New Roman"/>
          <w:sz w:val="28"/>
          <w:szCs w:val="28"/>
          <w:lang w:val="lv-LV"/>
        </w:rPr>
        <w:t xml:space="preserve"> </w:t>
      </w:r>
    </w:p>
    <w:p w:rsidR="00EA182B" w:rsidRPr="009179E5" w:rsidRDefault="00EA182B" w:rsidP="00061EFD">
      <w:pPr>
        <w:numPr>
          <w:ilvl w:val="0"/>
          <w:numId w:val="36"/>
        </w:num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Lekciju vadīšana organizētām grupām Energoefektivitātes centrā, kā arī izbraukuma pasākumos skolās, bērnu vasaras nometnēs, interešu grupās. Dalība citu organizāciju pasākumos, kas saistīti ar energoefektivitāti. Mācībspēku izglītošana energoefektivitātes jautājumos. Ar energoefektivitāti saistītu izdales materiālu veidošana</w:t>
      </w:r>
      <w:r w:rsidR="00061EFD" w:rsidRPr="009179E5">
        <w:rPr>
          <w:rFonts w:ascii="Times New Roman" w:hAnsi="Times New Roman"/>
          <w:sz w:val="28"/>
          <w:szCs w:val="28"/>
          <w:lang w:val="lv-LV"/>
        </w:rPr>
        <w:t>.</w:t>
      </w:r>
    </w:p>
    <w:p w:rsidR="00EA182B" w:rsidRPr="009179E5" w:rsidRDefault="00EA182B"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u w:val="single"/>
          <w:lang w:val="lv-LV"/>
        </w:rPr>
        <w:t>Juridisko personu informēšana par energoefektivitātes paaugstināšanas iespējām uzņēmumā</w:t>
      </w:r>
      <w:r w:rsidR="00BA088F" w:rsidRPr="009179E5">
        <w:rPr>
          <w:rFonts w:ascii="Times New Roman" w:hAnsi="Times New Roman"/>
          <w:sz w:val="28"/>
          <w:szCs w:val="28"/>
          <w:u w:val="single"/>
          <w:lang w:val="lv-LV"/>
        </w:rPr>
        <w:t xml:space="preserve"> saistīta ar šādām v</w:t>
      </w:r>
      <w:r w:rsidRPr="009179E5">
        <w:rPr>
          <w:rFonts w:ascii="Times New Roman" w:hAnsi="Times New Roman"/>
          <w:sz w:val="28"/>
          <w:szCs w:val="28"/>
          <w:u w:val="single"/>
          <w:lang w:val="lv-LV"/>
        </w:rPr>
        <w:t>eicamā</w:t>
      </w:r>
      <w:r w:rsidR="00BA088F" w:rsidRPr="009179E5">
        <w:rPr>
          <w:rFonts w:ascii="Times New Roman" w:hAnsi="Times New Roman"/>
          <w:sz w:val="28"/>
          <w:szCs w:val="28"/>
          <w:u w:val="single"/>
          <w:lang w:val="lv-LV"/>
        </w:rPr>
        <w:t>m</w:t>
      </w:r>
      <w:r w:rsidRPr="009179E5">
        <w:rPr>
          <w:rFonts w:ascii="Times New Roman" w:hAnsi="Times New Roman"/>
          <w:sz w:val="28"/>
          <w:szCs w:val="28"/>
          <w:u w:val="single"/>
          <w:lang w:val="lv-LV"/>
        </w:rPr>
        <w:t xml:space="preserve"> aktivitāt</w:t>
      </w:r>
      <w:r w:rsidR="00BA088F" w:rsidRPr="009179E5">
        <w:rPr>
          <w:rFonts w:ascii="Times New Roman" w:hAnsi="Times New Roman"/>
          <w:sz w:val="28"/>
          <w:szCs w:val="28"/>
          <w:u w:val="single"/>
          <w:lang w:val="lv-LV"/>
        </w:rPr>
        <w:t>ēm</w:t>
      </w:r>
      <w:r w:rsidRPr="009179E5">
        <w:rPr>
          <w:rFonts w:ascii="Times New Roman" w:hAnsi="Times New Roman"/>
          <w:sz w:val="28"/>
          <w:szCs w:val="28"/>
          <w:lang w:val="lv-LV"/>
        </w:rPr>
        <w:t>:</w:t>
      </w:r>
    </w:p>
    <w:p w:rsidR="00BA088F" w:rsidRPr="009179E5" w:rsidRDefault="00EA182B" w:rsidP="00BA088F">
      <w:pPr>
        <w:numPr>
          <w:ilvl w:val="0"/>
          <w:numId w:val="37"/>
        </w:num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Semināru organizēšana par energoefektīvām tehnol</w:t>
      </w:r>
      <w:r w:rsidR="00BA088F" w:rsidRPr="009179E5">
        <w:rPr>
          <w:rFonts w:ascii="Times New Roman" w:hAnsi="Times New Roman"/>
          <w:sz w:val="28"/>
          <w:szCs w:val="28"/>
          <w:lang w:val="lv-LV"/>
        </w:rPr>
        <w:t>oģijām, to izmantošanu uzņēmumā;</w:t>
      </w:r>
    </w:p>
    <w:p w:rsidR="00BA088F" w:rsidRPr="009179E5" w:rsidRDefault="00EA182B" w:rsidP="00BA088F">
      <w:pPr>
        <w:numPr>
          <w:ilvl w:val="0"/>
          <w:numId w:val="37"/>
        </w:num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Semināru organizēšana konkrēta uzņēmuma speciālistiem</w:t>
      </w:r>
      <w:r w:rsidR="00BA088F" w:rsidRPr="009179E5">
        <w:rPr>
          <w:rFonts w:ascii="Times New Roman" w:hAnsi="Times New Roman"/>
          <w:sz w:val="28"/>
          <w:szCs w:val="28"/>
          <w:lang w:val="lv-LV"/>
        </w:rPr>
        <w:t>;</w:t>
      </w:r>
      <w:r w:rsidRPr="009179E5">
        <w:rPr>
          <w:rFonts w:ascii="Times New Roman" w:hAnsi="Times New Roman"/>
          <w:sz w:val="28"/>
          <w:szCs w:val="28"/>
          <w:lang w:val="lv-LV"/>
        </w:rPr>
        <w:t xml:space="preserve"> </w:t>
      </w:r>
    </w:p>
    <w:p w:rsidR="00EA182B" w:rsidRPr="009179E5" w:rsidRDefault="00BA088F" w:rsidP="00BA088F">
      <w:pPr>
        <w:numPr>
          <w:ilvl w:val="0"/>
          <w:numId w:val="37"/>
        </w:num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lastRenderedPageBreak/>
        <w:t>I</w:t>
      </w:r>
      <w:r w:rsidR="00EA182B" w:rsidRPr="009179E5">
        <w:rPr>
          <w:rFonts w:ascii="Times New Roman" w:hAnsi="Times New Roman"/>
          <w:sz w:val="28"/>
          <w:szCs w:val="28"/>
          <w:lang w:val="lv-LV"/>
        </w:rPr>
        <w:t xml:space="preserve">ndividuālo, ar energoefektivitāti saistīto jautājumu risināšana, specifiskos gadījumos piesaistot citus nozares speciālistus. </w:t>
      </w:r>
    </w:p>
    <w:p w:rsidR="00EA182B" w:rsidRPr="009179E5" w:rsidRDefault="008E6A2B"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Būtisks priekšnoteikums sabiedrības informēšanā un reālu energoefektivitātes pasākumu ieviešanā ir 4 Latvijas reģionālajām Enerģētikas aģentūrām – Rīgas, Vidzemes, Zemgales un Kurzemes aģentūrai. Par aktīvāko un ar pieredzi bagātāko reģionālo Enerģētikas aģentūru Latvijā var uzskatīt Rīgas p/a “Rīgas Enerģētikas aģentūra”, kas </w:t>
      </w:r>
      <w:r w:rsidR="00174C18" w:rsidRPr="009179E5">
        <w:rPr>
          <w:rFonts w:ascii="Times New Roman" w:hAnsi="Times New Roman"/>
          <w:sz w:val="28"/>
          <w:szCs w:val="28"/>
          <w:lang w:val="lv-LV"/>
        </w:rPr>
        <w:t>nodibināta</w:t>
      </w:r>
      <w:r w:rsidRPr="009179E5">
        <w:rPr>
          <w:rFonts w:ascii="Times New Roman" w:hAnsi="Times New Roman"/>
          <w:sz w:val="28"/>
          <w:szCs w:val="28"/>
          <w:lang w:val="lv-LV"/>
        </w:rPr>
        <w:t xml:space="preserve">, pateicoties ES finansēšanas programmai “Inteliģenta Enerģija Eiropai”, tāpat pozitīvi atzīmējamas Zemgales reģionālās Enerģētikas aģentūras aktivitātes. Īpaši atzīmējams fakts, ka Rīgas, Jelgavas un Jēkabpils pašvaldībām ir izstrādāti savi pilsētas ilgtspējīgas Enerģētikas rīcības plāni 2010.-2020.gadam. Šie pašvaldību plāni ir būtisks nosacījums sabiedrības izpratnes veidošanai un paaugstināšanai par Enerģētikas jautājumiem kopumā dažādos enerģijas galapatēriņa sektoros, ne tikai mājsaimniecībās.     </w:t>
      </w:r>
    </w:p>
    <w:p w:rsidR="00F05BF3" w:rsidRPr="009179E5" w:rsidRDefault="00F05BF3" w:rsidP="00F05BF3">
      <w:pPr>
        <w:spacing w:before="120" w:after="120" w:line="240" w:lineRule="auto"/>
        <w:jc w:val="both"/>
        <w:rPr>
          <w:rFonts w:ascii="Times New Roman" w:hAnsi="Times New Roman"/>
          <w:sz w:val="28"/>
          <w:szCs w:val="28"/>
          <w:lang w:val="lv-LV"/>
        </w:rPr>
      </w:pPr>
    </w:p>
    <w:p w:rsidR="00C7069A" w:rsidRPr="009179E5" w:rsidRDefault="0095197D" w:rsidP="0095197D">
      <w:pPr>
        <w:pStyle w:val="Heading4"/>
        <w:numPr>
          <w:ilvl w:val="0"/>
          <w:numId w:val="0"/>
        </w:numPr>
        <w:spacing w:line="240" w:lineRule="auto"/>
        <w:jc w:val="center"/>
        <w:rPr>
          <w:lang w:val="lv-LV"/>
        </w:rPr>
      </w:pPr>
      <w:bookmarkStart w:id="46" w:name="_Toc300320585"/>
      <w:r w:rsidRPr="009179E5">
        <w:rPr>
          <w:rFonts w:ascii="Times New Roman Bold" w:hAnsi="Times New Roman Bold"/>
          <w:b/>
          <w:i w:val="0"/>
          <w:caps/>
          <w:color w:val="auto"/>
          <w:sz w:val="28"/>
          <w:u w:val="none"/>
          <w:lang w:val="lv-LV"/>
        </w:rPr>
        <w:t>4.10.</w:t>
      </w:r>
      <w:r w:rsidR="00F05BF3" w:rsidRPr="009179E5">
        <w:rPr>
          <w:rFonts w:ascii="Times New Roman Bold" w:hAnsi="Times New Roman Bold"/>
          <w:b/>
          <w:i w:val="0"/>
          <w:caps/>
          <w:color w:val="auto"/>
          <w:sz w:val="28"/>
          <w:u w:val="none"/>
          <w:lang w:val="lv-LV"/>
        </w:rPr>
        <w:t xml:space="preserve"> Stratēģija, </w:t>
      </w:r>
      <w:r w:rsidR="00C7069A" w:rsidRPr="009179E5">
        <w:rPr>
          <w:rFonts w:ascii="Times New Roman Bold" w:hAnsi="Times New Roman Bold"/>
          <w:b/>
          <w:i w:val="0"/>
          <w:caps/>
          <w:color w:val="auto"/>
          <w:sz w:val="28"/>
          <w:u w:val="none"/>
          <w:lang w:val="lv-LV"/>
        </w:rPr>
        <w:t>kā palielināt “nulles” enerģijas patēriņa ēku skaitu</w:t>
      </w:r>
      <w:bookmarkEnd w:id="46"/>
    </w:p>
    <w:p w:rsidR="00BE01EF" w:rsidRPr="009179E5" w:rsidRDefault="00C7069A" w:rsidP="00574AC8">
      <w:pPr>
        <w:shd w:val="clear" w:color="auto" w:fill="FFFFFF"/>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VARAM ar KPFI finansējumu </w:t>
      </w:r>
      <w:r w:rsidR="00F977B9" w:rsidRPr="009179E5">
        <w:rPr>
          <w:rFonts w:ascii="Times New Roman" w:hAnsi="Times New Roman"/>
          <w:sz w:val="28"/>
          <w:szCs w:val="28"/>
          <w:lang w:val="lv-LV"/>
        </w:rPr>
        <w:t xml:space="preserve">2011.gadā </w:t>
      </w:r>
      <w:r w:rsidRPr="009179E5">
        <w:rPr>
          <w:rFonts w:ascii="Times New Roman" w:hAnsi="Times New Roman"/>
          <w:sz w:val="28"/>
          <w:szCs w:val="28"/>
          <w:lang w:val="lv-LV"/>
        </w:rPr>
        <w:t xml:space="preserve">īsteno konkursu “Zema enerģijas patēriņa ēkas”, iegūtie rezultāti tiks izvērtēti un ļaus labāk izstrādāt tālākos plānus “gandrīz </w:t>
      </w:r>
      <w:r w:rsidR="00174C18" w:rsidRPr="009179E5">
        <w:rPr>
          <w:rFonts w:ascii="Times New Roman" w:hAnsi="Times New Roman"/>
          <w:sz w:val="28"/>
          <w:szCs w:val="28"/>
          <w:lang w:val="lv-LV"/>
        </w:rPr>
        <w:t>nulles</w:t>
      </w:r>
      <w:r w:rsidRPr="009179E5">
        <w:rPr>
          <w:rFonts w:ascii="Times New Roman" w:hAnsi="Times New Roman"/>
          <w:sz w:val="28"/>
          <w:szCs w:val="28"/>
          <w:lang w:val="lv-LV"/>
        </w:rPr>
        <w:t>” enerģ</w:t>
      </w:r>
      <w:r w:rsidR="00BE01EF" w:rsidRPr="009179E5">
        <w:rPr>
          <w:rFonts w:ascii="Times New Roman" w:hAnsi="Times New Roman"/>
          <w:sz w:val="28"/>
          <w:szCs w:val="28"/>
          <w:lang w:val="lv-LV"/>
        </w:rPr>
        <w:t>i</w:t>
      </w:r>
      <w:r w:rsidRPr="009179E5">
        <w:rPr>
          <w:rFonts w:ascii="Times New Roman" w:hAnsi="Times New Roman"/>
          <w:sz w:val="28"/>
          <w:szCs w:val="28"/>
          <w:lang w:val="lv-LV"/>
        </w:rPr>
        <w:t>jas ēku būvniecībā.</w:t>
      </w:r>
      <w:r w:rsidR="00BE01EF" w:rsidRPr="009179E5">
        <w:rPr>
          <w:rFonts w:ascii="Times New Roman" w:hAnsi="Times New Roman"/>
          <w:sz w:val="28"/>
          <w:szCs w:val="28"/>
          <w:lang w:val="lv-LV"/>
        </w:rPr>
        <w:t xml:space="preserve"> </w:t>
      </w:r>
    </w:p>
    <w:p w:rsidR="00C7069A" w:rsidRPr="009179E5" w:rsidRDefault="00C7069A" w:rsidP="00574AC8">
      <w:pPr>
        <w:shd w:val="clear" w:color="auto" w:fill="FFFFFF"/>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Normatīvais regulējums “gandrīz nulles” enerģijas patēriņa ēku būvniecībai, t.sk.</w:t>
      </w:r>
      <w:r w:rsidR="00BE01EF" w:rsidRPr="009179E5">
        <w:rPr>
          <w:rFonts w:ascii="Times New Roman" w:hAnsi="Times New Roman"/>
          <w:sz w:val="28"/>
          <w:szCs w:val="28"/>
          <w:lang w:val="lv-LV"/>
        </w:rPr>
        <w:t>,</w:t>
      </w:r>
      <w:r w:rsidRPr="009179E5">
        <w:rPr>
          <w:rFonts w:ascii="Times New Roman" w:hAnsi="Times New Roman"/>
          <w:sz w:val="28"/>
          <w:szCs w:val="28"/>
          <w:lang w:val="lv-LV"/>
        </w:rPr>
        <w:t xml:space="preserve"> konkrētas tehniskās prasības un atjaunojamo resursu izmantošanas prasības, tiks izstrādāts saskaņā ar Ēku energoefektivitātes direktīvas prasībām līdz 2012.g</w:t>
      </w:r>
      <w:r w:rsidR="00BE01EF" w:rsidRPr="009179E5">
        <w:rPr>
          <w:rFonts w:ascii="Times New Roman" w:hAnsi="Times New Roman"/>
          <w:sz w:val="28"/>
          <w:szCs w:val="28"/>
          <w:lang w:val="lv-LV"/>
        </w:rPr>
        <w:t xml:space="preserve">ada </w:t>
      </w:r>
      <w:r w:rsidRPr="009179E5">
        <w:rPr>
          <w:rFonts w:ascii="Times New Roman" w:hAnsi="Times New Roman"/>
          <w:sz w:val="28"/>
          <w:szCs w:val="28"/>
          <w:lang w:val="lv-LV"/>
        </w:rPr>
        <w:t>9.jūlijam.</w:t>
      </w:r>
    </w:p>
    <w:p w:rsidR="00F05BF3" w:rsidRPr="009179E5" w:rsidRDefault="00F05BF3" w:rsidP="00574AC8">
      <w:pPr>
        <w:shd w:val="clear" w:color="auto" w:fill="FFFFFF"/>
        <w:spacing w:before="120" w:after="120" w:line="240" w:lineRule="auto"/>
        <w:jc w:val="both"/>
        <w:rPr>
          <w:rFonts w:ascii="Times New Roman" w:hAnsi="Times New Roman"/>
          <w:sz w:val="28"/>
          <w:szCs w:val="20"/>
          <w:lang w:val="lv-LV"/>
        </w:rPr>
      </w:pPr>
    </w:p>
    <w:p w:rsidR="00C7069A" w:rsidRPr="009179E5" w:rsidRDefault="0095197D" w:rsidP="0095197D">
      <w:pPr>
        <w:pStyle w:val="Heading4"/>
        <w:numPr>
          <w:ilvl w:val="0"/>
          <w:numId w:val="0"/>
        </w:numPr>
        <w:spacing w:line="240" w:lineRule="auto"/>
        <w:jc w:val="center"/>
        <w:rPr>
          <w:lang w:val="lv-LV"/>
        </w:rPr>
      </w:pPr>
      <w:bookmarkStart w:id="47" w:name="_Toc300320586"/>
      <w:r w:rsidRPr="009179E5">
        <w:rPr>
          <w:rFonts w:ascii="Times New Roman Bold" w:hAnsi="Times New Roman Bold"/>
          <w:b/>
          <w:i w:val="0"/>
          <w:caps/>
          <w:color w:val="auto"/>
          <w:sz w:val="28"/>
          <w:u w:val="none"/>
          <w:lang w:val="lv-LV"/>
        </w:rPr>
        <w:t>4.11.</w:t>
      </w:r>
      <w:r w:rsidR="00C7069A" w:rsidRPr="009179E5">
        <w:rPr>
          <w:rFonts w:ascii="Times New Roman Bold" w:hAnsi="Times New Roman Bold"/>
          <w:b/>
          <w:i w:val="0"/>
          <w:caps/>
          <w:color w:val="auto"/>
          <w:sz w:val="28"/>
          <w:u w:val="none"/>
          <w:lang w:val="lv-LV"/>
        </w:rPr>
        <w:t xml:space="preserve"> Alternatīvi pasākumi apkures un gaisa kondicionēšanas sistēmām</w:t>
      </w:r>
      <w:bookmarkEnd w:id="47"/>
    </w:p>
    <w:p w:rsidR="009913A5" w:rsidRPr="009179E5" w:rsidRDefault="001C33A4"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Regulējums apkures katlu un gaisa kondicionēšanas sistēmu pārbaudēm ir noteikts </w:t>
      </w:r>
      <w:r w:rsidR="009913A5" w:rsidRPr="009179E5">
        <w:rPr>
          <w:rFonts w:ascii="Times New Roman" w:hAnsi="Times New Roman"/>
          <w:sz w:val="28"/>
          <w:szCs w:val="28"/>
          <w:lang w:val="lv-LV"/>
        </w:rPr>
        <w:t>Ē</w:t>
      </w:r>
      <w:r w:rsidRPr="009179E5">
        <w:rPr>
          <w:rFonts w:ascii="Times New Roman" w:hAnsi="Times New Roman"/>
          <w:sz w:val="28"/>
          <w:szCs w:val="28"/>
          <w:lang w:val="lv-LV"/>
        </w:rPr>
        <w:t>ku energoefektivitātes likumā. Apkures katlu un gaisa kondicionēšanas sistēmu pārbaude ir obligāta</w:t>
      </w:r>
      <w:r w:rsidR="009913A5" w:rsidRPr="009179E5">
        <w:rPr>
          <w:rFonts w:ascii="Times New Roman" w:hAnsi="Times New Roman"/>
          <w:sz w:val="28"/>
          <w:szCs w:val="28"/>
          <w:lang w:val="lv-LV"/>
        </w:rPr>
        <w:t>,</w:t>
      </w:r>
      <w:r w:rsidRPr="009179E5">
        <w:rPr>
          <w:rFonts w:ascii="Times New Roman" w:hAnsi="Times New Roman"/>
          <w:sz w:val="28"/>
          <w:szCs w:val="28"/>
          <w:lang w:val="lv-LV"/>
        </w:rPr>
        <w:t xml:space="preserve"> veicot ēkas energosertifikāciju, citos gadījumos pārbaude ir brīvprātīga. </w:t>
      </w:r>
    </w:p>
    <w:p w:rsidR="001C33A4" w:rsidRPr="009179E5" w:rsidRDefault="001C33A4"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Ja apkures katla nominālā jauda ir lielāka par 20 kilovatiem vai apkures sistēma ir vecāka par 15 gadiem, novērtē apkures katlu kopā ar apkures sistēmu, sniedz atzinumu par apkures katla efektivitāti un dod ieteikumus par tā nomaiņu vai citām iespējamām attiecīgās ēkas apkures sistēmas izmaiņām un alternatīviem risinājumiem.</w:t>
      </w:r>
    </w:p>
    <w:p w:rsidR="001C33A4" w:rsidRPr="009179E5" w:rsidRDefault="001C33A4"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lastRenderedPageBreak/>
        <w:t>Vairums daudzdzīvokļu ēku un publisko ēku Latvijā tiek apkurinātas</w:t>
      </w:r>
      <w:r w:rsidR="009913A5" w:rsidRPr="009179E5">
        <w:rPr>
          <w:rFonts w:ascii="Times New Roman" w:hAnsi="Times New Roman"/>
          <w:sz w:val="28"/>
          <w:szCs w:val="28"/>
          <w:lang w:val="lv-LV"/>
        </w:rPr>
        <w:t>,</w:t>
      </w:r>
      <w:r w:rsidRPr="009179E5">
        <w:rPr>
          <w:rFonts w:ascii="Times New Roman" w:hAnsi="Times New Roman"/>
          <w:sz w:val="28"/>
          <w:szCs w:val="28"/>
          <w:lang w:val="lv-LV"/>
        </w:rPr>
        <w:t xml:space="preserve"> izmantojot centralizētu siltuma apgādi. Centralizētās siltuma apgādes sistēmas nodrošina vairāk par 70% </w:t>
      </w:r>
      <w:r w:rsidR="009913A5" w:rsidRPr="009179E5">
        <w:rPr>
          <w:rFonts w:ascii="Times New Roman" w:hAnsi="Times New Roman"/>
          <w:sz w:val="28"/>
          <w:szCs w:val="28"/>
          <w:lang w:val="lv-LV"/>
        </w:rPr>
        <w:t xml:space="preserve">no </w:t>
      </w:r>
      <w:r w:rsidRPr="009179E5">
        <w:rPr>
          <w:rFonts w:ascii="Times New Roman" w:hAnsi="Times New Roman"/>
          <w:sz w:val="28"/>
          <w:szCs w:val="28"/>
          <w:lang w:val="lv-LV"/>
        </w:rPr>
        <w:t xml:space="preserve">ēkām nepieciešamā siltuma. </w:t>
      </w:r>
    </w:p>
    <w:p w:rsidR="001C33A4" w:rsidRPr="009179E5" w:rsidRDefault="001C33A4"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Energoefektivitātes prasības siltuma apgādes sistēmām noteiktas Ministru kabineta 2009.gada 20.oktobra</w:t>
      </w:r>
      <w:r w:rsidR="00CA3E0A" w:rsidRPr="009179E5">
        <w:rPr>
          <w:rFonts w:ascii="Times New Roman" w:hAnsi="Times New Roman"/>
          <w:sz w:val="28"/>
          <w:szCs w:val="28"/>
          <w:lang w:val="lv-LV"/>
        </w:rPr>
        <w:t xml:space="preserve"> </w:t>
      </w:r>
      <w:r w:rsidRPr="009179E5">
        <w:rPr>
          <w:rFonts w:ascii="Times New Roman" w:hAnsi="Times New Roman"/>
          <w:sz w:val="28"/>
          <w:szCs w:val="28"/>
          <w:lang w:val="lv-LV"/>
        </w:rPr>
        <w:t>noteikumos Nr.1214 „Noteikumi par energoefektivitātes prasībām licencēta energoapgādes komersanta valdījumā esošām centralizētām siltumapgādes sistēmām un to atbilstības pārbaudes kārtību”. Noteikumos ir noteiktas lietderības koeficientu prasības enerģijas ražošanā izmantojamām iekārtām un pieļaujamās vērtības siltuma zudumiem siltumtīklā.</w:t>
      </w:r>
    </w:p>
    <w:p w:rsidR="001C33A4" w:rsidRPr="009179E5" w:rsidRDefault="001C33A4"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Ēkās, kurām ir sava apkures sistēma, populārākie kurināmie ir koksne un dabas gāze. 2008.gadā dabas gāzi izmantoja 52 tūkstoši klientu, t.sk.</w:t>
      </w:r>
      <w:r w:rsidR="00CA3E0A" w:rsidRPr="009179E5">
        <w:rPr>
          <w:rFonts w:ascii="Times New Roman" w:hAnsi="Times New Roman"/>
          <w:sz w:val="28"/>
          <w:szCs w:val="28"/>
          <w:lang w:val="lv-LV"/>
        </w:rPr>
        <w:t>,</w:t>
      </w:r>
      <w:r w:rsidRPr="009179E5">
        <w:rPr>
          <w:rFonts w:ascii="Times New Roman" w:hAnsi="Times New Roman"/>
          <w:sz w:val="28"/>
          <w:szCs w:val="28"/>
          <w:lang w:val="lv-LV"/>
        </w:rPr>
        <w:t xml:space="preserve"> 46 tūkstoši mājsaimniecību, citu kurināmo (ogles, kūdra) pielietojuma īpatsvars ir niecīgs. </w:t>
      </w:r>
    </w:p>
    <w:p w:rsidR="001C33A4" w:rsidRPr="009179E5" w:rsidRDefault="001C33A4"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Attiecībā uz gaisa kondicionēšanu sistēmu inspicēšanu, jānorāda, ka, ņemot vērā Latvijas klimatiskos apstākļus, normatīvajos aktos nav noteiktas prasības ēku dzesēšanas nodrošināšanai. Latvijā daudzdzīvokļu ēkās nav ierīkotas gaisa kondicionēšanas sistēmas dzesēšanas nodrošināšanai, bet atsevišķās telpās uzstādīto gaisa kondicionēšanas iekārtu jauda parasti nepārsniedz 12 kW. </w:t>
      </w:r>
    </w:p>
    <w:p w:rsidR="00CA3E0A" w:rsidRPr="009179E5" w:rsidRDefault="001C33A4"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Ņemot vērā augstāk minēto, Latvijā nav ieviestas striktas prasības apkures katlu un gaisa kondicionēšanas sistēmu pārbaudēm. Ēku energoefektivitātes likuma 4. panta otrajā daļā Ekonomikas ministrijai ir noteikts uzdevums veikt pasākumus, lai lietotājiem tiktu sniegti ieteikumi attiecībā uz apkures katlu un gaisa kondicionēšanas sistēmu un efektivitātes uzlabošanu. </w:t>
      </w:r>
    </w:p>
    <w:p w:rsidR="001C33A4" w:rsidRPr="009179E5" w:rsidRDefault="001C33A4"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Ekonomikas ministrijas mājas lapā sniegta informācija par apkures katlu un gaisa kondicionēšanas sistēmu pārbaudi</w:t>
      </w:r>
      <w:r w:rsidR="00CA3E0A" w:rsidRPr="009179E5">
        <w:rPr>
          <w:rFonts w:ascii="Times New Roman" w:hAnsi="Times New Roman"/>
          <w:sz w:val="28"/>
          <w:szCs w:val="28"/>
          <w:lang w:val="lv-LV"/>
        </w:rPr>
        <w:t xml:space="preserve"> –</w:t>
      </w:r>
      <w:r w:rsidRPr="009179E5">
        <w:rPr>
          <w:rFonts w:ascii="Times New Roman" w:hAnsi="Times New Roman"/>
          <w:sz w:val="28"/>
          <w:szCs w:val="28"/>
          <w:lang w:val="lv-LV"/>
        </w:rPr>
        <w:t xml:space="preserve"> normatīv</w:t>
      </w:r>
      <w:r w:rsidR="00CA3E0A" w:rsidRPr="009179E5">
        <w:rPr>
          <w:rFonts w:ascii="Times New Roman" w:hAnsi="Times New Roman"/>
          <w:sz w:val="28"/>
          <w:szCs w:val="28"/>
          <w:lang w:val="lv-LV"/>
        </w:rPr>
        <w:t xml:space="preserve">ais </w:t>
      </w:r>
      <w:r w:rsidRPr="009179E5">
        <w:rPr>
          <w:rFonts w:ascii="Times New Roman" w:hAnsi="Times New Roman"/>
          <w:sz w:val="28"/>
          <w:szCs w:val="28"/>
          <w:lang w:val="lv-LV"/>
        </w:rPr>
        <w:t>regulējum</w:t>
      </w:r>
      <w:r w:rsidR="00CA3E0A" w:rsidRPr="009179E5">
        <w:rPr>
          <w:rFonts w:ascii="Times New Roman" w:hAnsi="Times New Roman"/>
          <w:sz w:val="28"/>
          <w:szCs w:val="28"/>
          <w:lang w:val="lv-LV"/>
        </w:rPr>
        <w:t>s</w:t>
      </w:r>
      <w:r w:rsidRPr="009179E5">
        <w:rPr>
          <w:rFonts w:ascii="Times New Roman" w:hAnsi="Times New Roman"/>
          <w:sz w:val="28"/>
          <w:szCs w:val="28"/>
          <w:lang w:val="lv-LV"/>
        </w:rPr>
        <w:t xml:space="preserve">, standarti, speciālisti, </w:t>
      </w:r>
      <w:r w:rsidR="00CA3E0A" w:rsidRPr="009179E5">
        <w:rPr>
          <w:rFonts w:ascii="Times New Roman" w:hAnsi="Times New Roman"/>
          <w:sz w:val="28"/>
          <w:szCs w:val="28"/>
          <w:lang w:val="lv-LV"/>
        </w:rPr>
        <w:t xml:space="preserve">citi </w:t>
      </w:r>
      <w:r w:rsidRPr="009179E5">
        <w:rPr>
          <w:rFonts w:ascii="Times New Roman" w:hAnsi="Times New Roman"/>
          <w:sz w:val="28"/>
          <w:szCs w:val="28"/>
          <w:lang w:val="lv-LV"/>
        </w:rPr>
        <w:t>dokumenti</w:t>
      </w:r>
      <w:r w:rsidR="00CA3E0A" w:rsidRPr="009179E5">
        <w:rPr>
          <w:rFonts w:ascii="Times New Roman" w:hAnsi="Times New Roman"/>
          <w:sz w:val="28"/>
          <w:szCs w:val="28"/>
          <w:lang w:val="lv-LV"/>
        </w:rPr>
        <w:t xml:space="preserve"> un informācija</w:t>
      </w:r>
      <w:r w:rsidRPr="009179E5">
        <w:rPr>
          <w:rFonts w:ascii="Times New Roman" w:hAnsi="Times New Roman"/>
          <w:sz w:val="28"/>
          <w:szCs w:val="28"/>
          <w:lang w:val="lv-LV"/>
        </w:rPr>
        <w:t>.</w:t>
      </w:r>
    </w:p>
    <w:p w:rsidR="002C435E" w:rsidRPr="009179E5" w:rsidRDefault="002C435E" w:rsidP="00574AC8">
      <w:pPr>
        <w:spacing w:before="120" w:after="120" w:line="240" w:lineRule="auto"/>
        <w:jc w:val="both"/>
        <w:rPr>
          <w:lang w:val="lv-LV"/>
        </w:rPr>
      </w:pPr>
      <w:r w:rsidRPr="009179E5">
        <w:rPr>
          <w:rFonts w:ascii="Times New Roman" w:hAnsi="Times New Roman"/>
          <w:sz w:val="28"/>
          <w:szCs w:val="28"/>
          <w:lang w:val="lv-LV"/>
        </w:rPr>
        <w:t xml:space="preserve">Tā kā Rīgas pilsētas pašvaldība ir lielākā pašvaldība Latvijā, kurā dzīvo gandrīz puse no visas Latvijas kopējā </w:t>
      </w:r>
      <w:r w:rsidR="00174C18" w:rsidRPr="009179E5">
        <w:rPr>
          <w:rFonts w:ascii="Times New Roman" w:hAnsi="Times New Roman"/>
          <w:sz w:val="28"/>
          <w:szCs w:val="28"/>
          <w:lang w:val="lv-LV"/>
        </w:rPr>
        <w:t>iedzīvotāju</w:t>
      </w:r>
      <w:r w:rsidRPr="009179E5">
        <w:rPr>
          <w:rFonts w:ascii="Times New Roman" w:hAnsi="Times New Roman"/>
          <w:sz w:val="28"/>
          <w:szCs w:val="28"/>
          <w:lang w:val="lv-LV"/>
        </w:rPr>
        <w:t xml:space="preserve"> skaita, papildus pieminama </w:t>
      </w:r>
      <w:r w:rsidR="00050114" w:rsidRPr="009179E5">
        <w:rPr>
          <w:rFonts w:ascii="Times New Roman" w:hAnsi="Times New Roman"/>
          <w:sz w:val="28"/>
          <w:szCs w:val="28"/>
          <w:lang w:val="lv-LV"/>
        </w:rPr>
        <w:t>Rīgas pašvaldības iniciatīva caur sagatavoto dokumentu „Rīgas pilsētas gaisa kvalitātes uzlabošanas rīcības programma 2011.-2015.gadam”, kas paredz nepieciešamību visas individuālās apkures iekārtas ar ja</w:t>
      </w:r>
      <w:r w:rsidR="00174C18">
        <w:rPr>
          <w:rFonts w:ascii="Times New Roman" w:hAnsi="Times New Roman"/>
          <w:sz w:val="28"/>
          <w:szCs w:val="28"/>
          <w:lang w:val="lv-LV"/>
        </w:rPr>
        <w:t>u</w:t>
      </w:r>
      <w:r w:rsidR="00050114" w:rsidRPr="009179E5">
        <w:rPr>
          <w:rFonts w:ascii="Times New Roman" w:hAnsi="Times New Roman"/>
          <w:sz w:val="28"/>
          <w:szCs w:val="28"/>
          <w:lang w:val="lv-LV"/>
        </w:rPr>
        <w:t>du virs 20 kW reģistrēt pašvaldībā un izveidot energoinspektoru dienestu, paredzot periodisku apkures iekārtu inspicēšanas veikšanu. Šādu aktivitāti ir atbalstījusi arī Vides aizsardzības un reģionālās attīstības ministrija, kas plāno izstrādāt priekšlikumus nepieciešamajiem grozījumiem esošajos tiesību aktos, lai samazinātu individuālajā apkurē izmantojamo iekārtu radīto piesārņojumu.</w:t>
      </w:r>
      <w:r w:rsidR="009476B3" w:rsidRPr="009179E5">
        <w:rPr>
          <w:rFonts w:ascii="Times New Roman" w:hAnsi="Times New Roman"/>
          <w:sz w:val="28"/>
          <w:szCs w:val="28"/>
          <w:lang w:val="lv-LV"/>
        </w:rPr>
        <w:t xml:space="preserve"> Līdzīgas aktivitātes Rīgas pašvaldības aģentūra „Rīgas enerģētikas aģentūra” plāno ieviest attiecībā uz gaisa kondicionēšanas sistēmām.</w:t>
      </w:r>
      <w:r w:rsidR="00050114" w:rsidRPr="009179E5">
        <w:rPr>
          <w:rFonts w:ascii="Times New Roman" w:hAnsi="Times New Roman"/>
          <w:sz w:val="28"/>
          <w:szCs w:val="28"/>
          <w:lang w:val="lv-LV"/>
        </w:rPr>
        <w:t xml:space="preserve">  </w:t>
      </w:r>
    </w:p>
    <w:p w:rsidR="00C7069A" w:rsidRPr="009179E5" w:rsidRDefault="0095197D" w:rsidP="0095197D">
      <w:pPr>
        <w:pStyle w:val="Heading4"/>
        <w:numPr>
          <w:ilvl w:val="0"/>
          <w:numId w:val="0"/>
        </w:numPr>
        <w:spacing w:line="240" w:lineRule="auto"/>
        <w:jc w:val="center"/>
        <w:rPr>
          <w:lang w:val="lv-LV"/>
        </w:rPr>
      </w:pPr>
      <w:bookmarkStart w:id="48" w:name="_Toc300320587"/>
      <w:r w:rsidRPr="009179E5">
        <w:rPr>
          <w:rFonts w:ascii="Times New Roman Bold" w:hAnsi="Times New Roman Bold"/>
          <w:b/>
          <w:i w:val="0"/>
          <w:caps/>
          <w:color w:val="auto"/>
          <w:sz w:val="28"/>
          <w:u w:val="none"/>
          <w:lang w:val="lv-LV"/>
        </w:rPr>
        <w:lastRenderedPageBreak/>
        <w:t>4.12</w:t>
      </w:r>
      <w:r w:rsidR="000E17C9" w:rsidRPr="009179E5">
        <w:rPr>
          <w:rFonts w:ascii="Times New Roman Bold" w:hAnsi="Times New Roman Bold"/>
          <w:b/>
          <w:i w:val="0"/>
          <w:caps/>
          <w:color w:val="auto"/>
          <w:sz w:val="28"/>
          <w:u w:val="none"/>
          <w:lang w:val="lv-LV"/>
        </w:rPr>
        <w:t>.</w:t>
      </w:r>
      <w:r w:rsidR="00C7069A" w:rsidRPr="009179E5">
        <w:rPr>
          <w:rFonts w:ascii="Times New Roman Bold" w:hAnsi="Times New Roman Bold"/>
          <w:b/>
          <w:i w:val="0"/>
          <w:caps/>
          <w:color w:val="auto"/>
          <w:sz w:val="28"/>
          <w:u w:val="none"/>
          <w:lang w:val="lv-LV"/>
        </w:rPr>
        <w:t xml:space="preserve"> Ēku energoefektivitātes direktīvas ieviešanas atbalsta pasākumi</w:t>
      </w:r>
      <w:bookmarkEnd w:id="48"/>
    </w:p>
    <w:p w:rsidR="00C7069A" w:rsidRPr="009179E5" w:rsidRDefault="00C7069A"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Ēku energoefektivitātes veicināšanai būtiskākie finanšu instrumenti ir ES struktūrfondi</w:t>
      </w:r>
      <w:r w:rsidR="00917825" w:rsidRPr="009179E5">
        <w:rPr>
          <w:rFonts w:ascii="Times New Roman" w:hAnsi="Times New Roman"/>
          <w:sz w:val="28"/>
          <w:szCs w:val="28"/>
          <w:lang w:val="lv-LV"/>
        </w:rPr>
        <w:t xml:space="preserve"> (ERAF)</w:t>
      </w:r>
      <w:r w:rsidRPr="009179E5">
        <w:rPr>
          <w:rFonts w:ascii="Times New Roman" w:hAnsi="Times New Roman"/>
          <w:sz w:val="28"/>
          <w:szCs w:val="28"/>
          <w:lang w:val="lv-LV"/>
        </w:rPr>
        <w:t xml:space="preserve"> un KPFI. Pasākumi, kas vecina ēku </w:t>
      </w:r>
      <w:r w:rsidR="00635C58" w:rsidRPr="009179E5">
        <w:rPr>
          <w:rFonts w:ascii="Times New Roman" w:hAnsi="Times New Roman"/>
          <w:sz w:val="28"/>
          <w:szCs w:val="28"/>
          <w:lang w:val="lv-LV"/>
        </w:rPr>
        <w:t xml:space="preserve">sektorā </w:t>
      </w:r>
      <w:r w:rsidRPr="009179E5">
        <w:rPr>
          <w:rFonts w:ascii="Times New Roman" w:hAnsi="Times New Roman"/>
          <w:sz w:val="28"/>
          <w:szCs w:val="28"/>
          <w:lang w:val="lv-LV"/>
        </w:rPr>
        <w:t>energoefektivitāt</w:t>
      </w:r>
      <w:r w:rsidR="00635C58" w:rsidRPr="009179E5">
        <w:rPr>
          <w:rFonts w:ascii="Times New Roman" w:hAnsi="Times New Roman"/>
          <w:sz w:val="28"/>
          <w:szCs w:val="28"/>
          <w:lang w:val="lv-LV"/>
        </w:rPr>
        <w:t>es konktekstā</w:t>
      </w:r>
      <w:r w:rsidRPr="009179E5">
        <w:rPr>
          <w:rFonts w:ascii="Times New Roman" w:hAnsi="Times New Roman"/>
          <w:sz w:val="28"/>
          <w:szCs w:val="28"/>
          <w:lang w:val="lv-LV"/>
        </w:rPr>
        <w:t xml:space="preserve"> iekļauti </w:t>
      </w:r>
      <w:r w:rsidR="00635C58" w:rsidRPr="009179E5">
        <w:rPr>
          <w:rFonts w:ascii="Times New Roman" w:hAnsi="Times New Roman"/>
          <w:sz w:val="28"/>
          <w:szCs w:val="28"/>
          <w:lang w:val="lv-LV"/>
        </w:rPr>
        <w:t xml:space="preserve">plāna </w:t>
      </w:r>
      <w:r w:rsidR="00363286" w:rsidRPr="009179E5">
        <w:rPr>
          <w:rFonts w:ascii="Times New Roman" w:hAnsi="Times New Roman"/>
          <w:sz w:val="28"/>
          <w:szCs w:val="28"/>
          <w:lang w:val="lv-LV"/>
        </w:rPr>
        <w:t>3.4.1., 3.4.3., 3.4.6.nodaļā</w:t>
      </w:r>
      <w:r w:rsidR="00917825" w:rsidRPr="009179E5">
        <w:rPr>
          <w:rFonts w:ascii="Times New Roman" w:hAnsi="Times New Roman"/>
          <w:sz w:val="28"/>
          <w:szCs w:val="28"/>
          <w:lang w:val="lv-LV"/>
        </w:rPr>
        <w:t>.</w:t>
      </w:r>
    </w:p>
    <w:p w:rsidR="00F05BF3" w:rsidRPr="009179E5" w:rsidRDefault="00F05BF3" w:rsidP="00F05BF3">
      <w:pPr>
        <w:spacing w:before="120" w:after="120" w:line="240" w:lineRule="auto"/>
        <w:jc w:val="both"/>
        <w:rPr>
          <w:szCs w:val="28"/>
          <w:lang w:val="lv-LV"/>
        </w:rPr>
      </w:pPr>
    </w:p>
    <w:p w:rsidR="00B16EC2" w:rsidRPr="009179E5" w:rsidRDefault="005C051D" w:rsidP="00F05BF3">
      <w:pPr>
        <w:pStyle w:val="Heading4"/>
        <w:numPr>
          <w:ilvl w:val="0"/>
          <w:numId w:val="45"/>
        </w:numPr>
        <w:spacing w:line="240" w:lineRule="auto"/>
        <w:ind w:left="0" w:firstLine="0"/>
        <w:jc w:val="center"/>
        <w:rPr>
          <w:rFonts w:ascii="Times New Roman Bold" w:hAnsi="Times New Roman Bold"/>
          <w:b/>
          <w:i w:val="0"/>
          <w:caps/>
          <w:color w:val="auto"/>
          <w:sz w:val="28"/>
          <w:u w:val="none"/>
          <w:lang w:val="lv-LV"/>
        </w:rPr>
      </w:pPr>
      <w:bookmarkStart w:id="49" w:name="_Toc274298548"/>
      <w:bookmarkStart w:id="50" w:name="_Toc274304043"/>
      <w:bookmarkStart w:id="51" w:name="_Toc300320588"/>
      <w:r w:rsidRPr="009179E5">
        <w:rPr>
          <w:rFonts w:ascii="Times New Roman Bold" w:hAnsi="Times New Roman Bold"/>
          <w:b/>
          <w:i w:val="0"/>
          <w:caps/>
          <w:color w:val="auto"/>
          <w:sz w:val="28"/>
          <w:u w:val="none"/>
          <w:lang w:val="lv-LV"/>
        </w:rPr>
        <w:t>Kompetento iestāžu un padotības iestāžu izveide</w:t>
      </w:r>
      <w:bookmarkEnd w:id="49"/>
      <w:bookmarkEnd w:id="50"/>
      <w:bookmarkEnd w:id="51"/>
    </w:p>
    <w:p w:rsidR="0081490D" w:rsidRPr="009179E5" w:rsidRDefault="0081490D"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Ekonomikas ministrija ir vadošā valsts pārvaldes iestāde ekonomiskās politikas jomā. Ministrija izstrādā un īsteno tautsaimniecības struktūrpolitiku, rūpniecības politiku, būvniecības politiku, enerģētikas politiku, tūrisma politiku, ārējo ekonomisko politiku, iekšējā tirgus politiku (preces un pakalpojumi), uzņēmējdarbības attīstības politiku, investīciju politiku, patērētāju tiesību aizsardzības politiku un citu politiku normatīvajos aktos noteiktajās jomās.</w:t>
      </w:r>
    </w:p>
    <w:p w:rsidR="0081490D" w:rsidRPr="009179E5" w:rsidRDefault="0081490D"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Saistībā ar E</w:t>
      </w:r>
      <w:r w:rsidR="00EE2396" w:rsidRPr="009179E5">
        <w:rPr>
          <w:rFonts w:ascii="Times New Roman" w:hAnsi="Times New Roman"/>
          <w:sz w:val="28"/>
          <w:szCs w:val="28"/>
          <w:lang w:val="lv-LV"/>
        </w:rPr>
        <w:t>iropas reģionālās attīstības</w:t>
      </w:r>
      <w:r w:rsidRPr="009179E5">
        <w:rPr>
          <w:rFonts w:ascii="Times New Roman" w:hAnsi="Times New Roman"/>
          <w:sz w:val="28"/>
          <w:szCs w:val="28"/>
          <w:lang w:val="lv-LV"/>
        </w:rPr>
        <w:t xml:space="preserve"> fonda finansējuma apguvi tādās energoefektivitātes aktivitātēs kā „Daudzdzīvokļu ēku siltumnoturības pasākumi“ un „Sociālo ēku siltumnoturības pasākumi“ atbildīgā finansējuma apguves un administrējošā (ieviesējiestāde) iestāde ir Latvijas Investīciju un attīstības aģentūra</w:t>
      </w:r>
      <w:r w:rsidR="00F844C3" w:rsidRPr="009179E5">
        <w:rPr>
          <w:rFonts w:ascii="Times New Roman" w:hAnsi="Times New Roman"/>
          <w:sz w:val="28"/>
          <w:szCs w:val="28"/>
          <w:lang w:val="lv-LV"/>
        </w:rPr>
        <w:t>, kas pakļauta Ekonomikas ministrijai</w:t>
      </w:r>
      <w:r w:rsidRPr="009179E5">
        <w:rPr>
          <w:rFonts w:ascii="Times New Roman" w:hAnsi="Times New Roman"/>
          <w:sz w:val="28"/>
          <w:szCs w:val="28"/>
          <w:lang w:val="lv-LV"/>
        </w:rPr>
        <w:t xml:space="preserve">. Arī Kohēzijas fonda atbildīgā finansējuma apguves un administrējošā (ieviesējiestāde) iestāde ir Latvijas Investīciju un attīstības aģentūra. </w:t>
      </w:r>
      <w:r w:rsidR="00B2587D" w:rsidRPr="009179E5">
        <w:rPr>
          <w:rFonts w:ascii="Times New Roman" w:hAnsi="Times New Roman"/>
          <w:sz w:val="28"/>
          <w:szCs w:val="28"/>
          <w:lang w:val="lv-LV"/>
        </w:rPr>
        <w:t>Savukārt Klimata pārmaiņu finanšu instrumenta atbildīgās iestādes ir Vides aizsardzības un reģionālās attīstības ministrija un SIA „Vides investīciju fonds“.</w:t>
      </w:r>
    </w:p>
    <w:p w:rsidR="00D60DD2" w:rsidRPr="009179E5" w:rsidRDefault="00D60DD2" w:rsidP="00574AC8">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 xml:space="preserve">Atbildīgo institūciju uzskaitījums sadalījumā pēc </w:t>
      </w:r>
      <w:r w:rsidR="004C1AD9" w:rsidRPr="009179E5">
        <w:rPr>
          <w:rFonts w:ascii="Times New Roman" w:hAnsi="Times New Roman"/>
          <w:sz w:val="28"/>
          <w:szCs w:val="28"/>
          <w:lang w:val="lv-LV"/>
        </w:rPr>
        <w:t>būtiskākajiem</w:t>
      </w:r>
      <w:r w:rsidRPr="009179E5">
        <w:rPr>
          <w:rFonts w:ascii="Times New Roman" w:hAnsi="Times New Roman"/>
          <w:sz w:val="28"/>
          <w:szCs w:val="28"/>
          <w:lang w:val="lv-LV"/>
        </w:rPr>
        <w:t xml:space="preserve"> uzdevumiem parādīts 3</w:t>
      </w:r>
      <w:r w:rsidR="00293DCE" w:rsidRPr="009179E5">
        <w:rPr>
          <w:rFonts w:ascii="Times New Roman" w:hAnsi="Times New Roman"/>
          <w:sz w:val="28"/>
          <w:szCs w:val="28"/>
          <w:lang w:val="lv-LV"/>
        </w:rPr>
        <w:t>3</w:t>
      </w:r>
      <w:r w:rsidRPr="009179E5">
        <w:rPr>
          <w:rFonts w:ascii="Times New Roman" w:hAnsi="Times New Roman"/>
          <w:sz w:val="28"/>
          <w:szCs w:val="28"/>
          <w:lang w:val="lv-LV"/>
        </w:rPr>
        <w:t>.tabulā.</w:t>
      </w:r>
    </w:p>
    <w:p w:rsidR="002C33A5" w:rsidRPr="009179E5" w:rsidRDefault="00A37E03" w:rsidP="004C1AD9">
      <w:pPr>
        <w:spacing w:after="0" w:line="240" w:lineRule="auto"/>
        <w:jc w:val="right"/>
        <w:rPr>
          <w:rFonts w:ascii="Times New Roman" w:hAnsi="Times New Roman"/>
          <w:b/>
          <w:sz w:val="24"/>
          <w:szCs w:val="24"/>
          <w:lang w:val="lv-LV"/>
        </w:rPr>
      </w:pPr>
      <w:r w:rsidRPr="009179E5">
        <w:rPr>
          <w:rFonts w:ascii="Times New Roman" w:hAnsi="Times New Roman"/>
          <w:b/>
          <w:sz w:val="24"/>
          <w:szCs w:val="24"/>
          <w:lang w:val="lv-LV"/>
        </w:rPr>
        <w:t>3</w:t>
      </w:r>
      <w:r w:rsidR="00D31158">
        <w:rPr>
          <w:rFonts w:ascii="Times New Roman" w:hAnsi="Times New Roman"/>
          <w:b/>
          <w:sz w:val="24"/>
          <w:szCs w:val="24"/>
          <w:lang w:val="lv-LV"/>
        </w:rPr>
        <w:t>3</w:t>
      </w:r>
      <w:r w:rsidR="00B16EC2" w:rsidRPr="009179E5">
        <w:rPr>
          <w:rFonts w:ascii="Times New Roman" w:hAnsi="Times New Roman"/>
          <w:b/>
          <w:sz w:val="24"/>
          <w:szCs w:val="24"/>
          <w:lang w:val="lv-LV"/>
        </w:rPr>
        <w:t>.</w:t>
      </w:r>
      <w:r w:rsidR="002C33A5" w:rsidRPr="009179E5">
        <w:rPr>
          <w:rFonts w:ascii="Times New Roman" w:hAnsi="Times New Roman"/>
          <w:b/>
          <w:sz w:val="24"/>
          <w:szCs w:val="24"/>
          <w:lang w:val="lv-LV"/>
        </w:rPr>
        <w:t>tabula</w:t>
      </w:r>
      <w:r w:rsidR="00B16EC2" w:rsidRPr="009179E5">
        <w:rPr>
          <w:rFonts w:ascii="Times New Roman" w:hAnsi="Times New Roman"/>
          <w:b/>
          <w:sz w:val="24"/>
          <w:szCs w:val="24"/>
          <w:lang w:val="lv-LV"/>
        </w:rPr>
        <w:t xml:space="preserve"> </w:t>
      </w:r>
    </w:p>
    <w:p w:rsidR="00B16EC2" w:rsidRPr="009179E5" w:rsidRDefault="003331C9" w:rsidP="004C1AD9">
      <w:pPr>
        <w:spacing w:after="0" w:line="240" w:lineRule="auto"/>
        <w:jc w:val="center"/>
        <w:rPr>
          <w:rFonts w:ascii="Times New Roman" w:hAnsi="Times New Roman"/>
          <w:b/>
          <w:sz w:val="24"/>
          <w:szCs w:val="24"/>
          <w:lang w:val="lv-LV"/>
        </w:rPr>
      </w:pPr>
      <w:r w:rsidRPr="009179E5">
        <w:rPr>
          <w:rFonts w:ascii="Times New Roman" w:hAnsi="Times New Roman"/>
          <w:b/>
          <w:sz w:val="24"/>
          <w:szCs w:val="24"/>
          <w:lang w:val="lv-LV"/>
        </w:rPr>
        <w:t>Atbildīgās institūcijas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551"/>
        <w:gridCol w:w="2636"/>
      </w:tblGrid>
      <w:tr w:rsidR="00A37E03" w:rsidRPr="009179E5" w:rsidTr="00606211">
        <w:tc>
          <w:tcPr>
            <w:tcW w:w="3828" w:type="dxa"/>
            <w:vAlign w:val="bottom"/>
          </w:tcPr>
          <w:p w:rsidR="00A37E03" w:rsidRPr="009179E5" w:rsidRDefault="00A37E03" w:rsidP="004C1AD9">
            <w:pPr>
              <w:spacing w:after="0" w:line="240" w:lineRule="auto"/>
              <w:jc w:val="both"/>
              <w:rPr>
                <w:rFonts w:ascii="Times New Roman" w:hAnsi="Times New Roman"/>
                <w:b/>
                <w:sz w:val="24"/>
                <w:szCs w:val="24"/>
                <w:lang w:val="lv-LV"/>
              </w:rPr>
            </w:pPr>
            <w:r w:rsidRPr="009179E5">
              <w:rPr>
                <w:rFonts w:ascii="Times New Roman" w:hAnsi="Times New Roman"/>
                <w:b/>
                <w:sz w:val="24"/>
                <w:szCs w:val="24"/>
                <w:lang w:val="lv-LV"/>
              </w:rPr>
              <w:t>Uzdevums</w:t>
            </w:r>
          </w:p>
        </w:tc>
        <w:tc>
          <w:tcPr>
            <w:tcW w:w="2551" w:type="dxa"/>
          </w:tcPr>
          <w:p w:rsidR="00A37E03" w:rsidRPr="009179E5" w:rsidRDefault="00A37E03" w:rsidP="004C1AD9">
            <w:pPr>
              <w:spacing w:after="0" w:line="240" w:lineRule="auto"/>
              <w:jc w:val="both"/>
              <w:rPr>
                <w:rFonts w:ascii="Times New Roman" w:hAnsi="Times New Roman"/>
                <w:b/>
                <w:sz w:val="24"/>
                <w:szCs w:val="24"/>
                <w:lang w:val="lv-LV"/>
              </w:rPr>
            </w:pPr>
            <w:r w:rsidRPr="009179E5">
              <w:rPr>
                <w:rFonts w:ascii="Times New Roman" w:hAnsi="Times New Roman"/>
                <w:b/>
                <w:sz w:val="24"/>
                <w:szCs w:val="24"/>
                <w:lang w:val="lv-LV"/>
              </w:rPr>
              <w:t>Institūcija</w:t>
            </w:r>
            <w:r w:rsidR="00D60DD2" w:rsidRPr="009179E5">
              <w:rPr>
                <w:rFonts w:ascii="Times New Roman" w:hAnsi="Times New Roman"/>
                <w:b/>
                <w:sz w:val="24"/>
                <w:szCs w:val="24"/>
                <w:lang w:val="lv-LV"/>
              </w:rPr>
              <w:t xml:space="preserve"> 1</w:t>
            </w:r>
          </w:p>
        </w:tc>
        <w:tc>
          <w:tcPr>
            <w:tcW w:w="2636" w:type="dxa"/>
          </w:tcPr>
          <w:p w:rsidR="00A37E03" w:rsidRPr="009179E5" w:rsidRDefault="00A37E03" w:rsidP="004C1AD9">
            <w:pPr>
              <w:spacing w:after="0" w:line="240" w:lineRule="auto"/>
              <w:jc w:val="both"/>
              <w:rPr>
                <w:rFonts w:ascii="Times New Roman" w:hAnsi="Times New Roman"/>
                <w:b/>
                <w:sz w:val="24"/>
                <w:szCs w:val="24"/>
                <w:lang w:val="lv-LV"/>
              </w:rPr>
            </w:pPr>
            <w:r w:rsidRPr="009179E5">
              <w:rPr>
                <w:rFonts w:ascii="Times New Roman" w:hAnsi="Times New Roman"/>
                <w:b/>
                <w:sz w:val="24"/>
                <w:szCs w:val="24"/>
                <w:lang w:val="lv-LV"/>
              </w:rPr>
              <w:t>Institūcija</w:t>
            </w:r>
            <w:r w:rsidR="00D60DD2" w:rsidRPr="009179E5">
              <w:rPr>
                <w:rFonts w:ascii="Times New Roman" w:hAnsi="Times New Roman"/>
                <w:b/>
                <w:sz w:val="24"/>
                <w:szCs w:val="24"/>
                <w:lang w:val="lv-LV"/>
              </w:rPr>
              <w:t xml:space="preserve"> 2</w:t>
            </w:r>
          </w:p>
        </w:tc>
      </w:tr>
      <w:tr w:rsidR="00A37E03" w:rsidRPr="009179E5" w:rsidTr="00606211">
        <w:tc>
          <w:tcPr>
            <w:tcW w:w="3828" w:type="dxa"/>
            <w:shd w:val="clear" w:color="auto" w:fill="FFFFFF"/>
          </w:tcPr>
          <w:p w:rsidR="00A37E03" w:rsidRPr="009179E5" w:rsidRDefault="00A41682" w:rsidP="004C1AD9">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ERAF finansējuma apguve enerģētikas aktivitātēs</w:t>
            </w:r>
          </w:p>
        </w:tc>
        <w:tc>
          <w:tcPr>
            <w:tcW w:w="2551" w:type="dxa"/>
            <w:shd w:val="clear" w:color="auto" w:fill="FFFFFF"/>
          </w:tcPr>
          <w:p w:rsidR="00A37E03" w:rsidRPr="009179E5" w:rsidRDefault="00A41682" w:rsidP="004C1AD9">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Ekonomikas ministrija</w:t>
            </w:r>
          </w:p>
        </w:tc>
        <w:tc>
          <w:tcPr>
            <w:tcW w:w="2636" w:type="dxa"/>
            <w:shd w:val="clear" w:color="auto" w:fill="FFFFFF"/>
          </w:tcPr>
          <w:p w:rsidR="00A37E03" w:rsidRPr="009179E5" w:rsidRDefault="00A41682" w:rsidP="004C1AD9">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LIAA</w:t>
            </w:r>
          </w:p>
        </w:tc>
      </w:tr>
      <w:tr w:rsidR="00A37E03" w:rsidRPr="009179E5" w:rsidTr="00606211">
        <w:tc>
          <w:tcPr>
            <w:tcW w:w="3828" w:type="dxa"/>
            <w:shd w:val="clear" w:color="auto" w:fill="FFFFFF"/>
          </w:tcPr>
          <w:p w:rsidR="00A37E03" w:rsidRPr="009179E5" w:rsidRDefault="00A41682" w:rsidP="004C1AD9">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KF finansējuma apguve enerģētikas aktivitātēs</w:t>
            </w:r>
          </w:p>
        </w:tc>
        <w:tc>
          <w:tcPr>
            <w:tcW w:w="2551" w:type="dxa"/>
            <w:shd w:val="clear" w:color="auto" w:fill="FFFFFF"/>
          </w:tcPr>
          <w:p w:rsidR="00A37E03" w:rsidRPr="009179E5" w:rsidRDefault="00A41682" w:rsidP="004C1AD9">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Ekonomikas ministrija</w:t>
            </w:r>
          </w:p>
        </w:tc>
        <w:tc>
          <w:tcPr>
            <w:tcW w:w="2636" w:type="dxa"/>
            <w:shd w:val="clear" w:color="auto" w:fill="FFFFFF"/>
          </w:tcPr>
          <w:p w:rsidR="00A37E03" w:rsidRPr="009179E5" w:rsidRDefault="00A41682" w:rsidP="004C1AD9">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LIAA</w:t>
            </w:r>
          </w:p>
        </w:tc>
      </w:tr>
      <w:tr w:rsidR="00A41682" w:rsidRPr="009179E5" w:rsidTr="00606211">
        <w:tc>
          <w:tcPr>
            <w:tcW w:w="3828" w:type="dxa"/>
            <w:shd w:val="clear" w:color="auto" w:fill="FFFFFF"/>
          </w:tcPr>
          <w:p w:rsidR="00A41682" w:rsidRPr="009179E5" w:rsidRDefault="00A41682" w:rsidP="004C1AD9">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Energopakalpojumu direktīvas mērķa pārraudzīšana</w:t>
            </w:r>
          </w:p>
        </w:tc>
        <w:tc>
          <w:tcPr>
            <w:tcW w:w="2551" w:type="dxa"/>
            <w:shd w:val="clear" w:color="auto" w:fill="FFFFFF"/>
          </w:tcPr>
          <w:p w:rsidR="00A41682" w:rsidRPr="009179E5" w:rsidRDefault="00A41682" w:rsidP="004C1AD9">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Ekonomikas ministrija</w:t>
            </w:r>
          </w:p>
        </w:tc>
        <w:tc>
          <w:tcPr>
            <w:tcW w:w="2636" w:type="dxa"/>
            <w:shd w:val="clear" w:color="auto" w:fill="FFFFFF"/>
          </w:tcPr>
          <w:p w:rsidR="00A41682" w:rsidRPr="009179E5" w:rsidRDefault="00A41682" w:rsidP="004C1AD9">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w:t>
            </w:r>
          </w:p>
        </w:tc>
      </w:tr>
      <w:tr w:rsidR="00A41682" w:rsidRPr="009179E5" w:rsidTr="00606211">
        <w:tc>
          <w:tcPr>
            <w:tcW w:w="3828" w:type="dxa"/>
            <w:shd w:val="clear" w:color="auto" w:fill="FFFFFF"/>
          </w:tcPr>
          <w:p w:rsidR="00A41682" w:rsidRPr="009179E5" w:rsidRDefault="00A41682" w:rsidP="004C1AD9">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 xml:space="preserve">Vienošanās par energoefektivitātes paaugstināšanu </w:t>
            </w:r>
          </w:p>
        </w:tc>
        <w:tc>
          <w:tcPr>
            <w:tcW w:w="2551" w:type="dxa"/>
            <w:shd w:val="clear" w:color="auto" w:fill="FFFFFF"/>
          </w:tcPr>
          <w:p w:rsidR="00A41682" w:rsidRPr="009179E5" w:rsidRDefault="00A41682" w:rsidP="004C1AD9">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Ekonomikas ministrija</w:t>
            </w:r>
          </w:p>
        </w:tc>
        <w:tc>
          <w:tcPr>
            <w:tcW w:w="2636" w:type="dxa"/>
            <w:shd w:val="clear" w:color="auto" w:fill="FFFFFF"/>
          </w:tcPr>
          <w:p w:rsidR="00A41682" w:rsidRPr="009179E5" w:rsidRDefault="00A41682" w:rsidP="004C1AD9">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w:t>
            </w:r>
          </w:p>
        </w:tc>
      </w:tr>
      <w:tr w:rsidR="00A41682" w:rsidRPr="009179E5" w:rsidTr="00606211">
        <w:tc>
          <w:tcPr>
            <w:tcW w:w="3828" w:type="dxa"/>
            <w:shd w:val="clear" w:color="auto" w:fill="FFFFFF"/>
          </w:tcPr>
          <w:p w:rsidR="00A41682" w:rsidRPr="009179E5" w:rsidRDefault="00A41682" w:rsidP="004C1AD9">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Ēku energoefektivitāte</w:t>
            </w:r>
            <w:r w:rsidR="00747BDD" w:rsidRPr="009179E5">
              <w:rPr>
                <w:rFonts w:ascii="Times New Roman" w:hAnsi="Times New Roman"/>
                <w:sz w:val="24"/>
                <w:szCs w:val="24"/>
                <w:lang w:val="lv-LV"/>
              </w:rPr>
              <w:t>s veicināšana</w:t>
            </w:r>
          </w:p>
        </w:tc>
        <w:tc>
          <w:tcPr>
            <w:tcW w:w="2551" w:type="dxa"/>
            <w:shd w:val="clear" w:color="auto" w:fill="FFFFFF"/>
          </w:tcPr>
          <w:p w:rsidR="00A41682" w:rsidRPr="009179E5" w:rsidRDefault="00A41682" w:rsidP="004C1AD9">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Ekonomikas ministrija</w:t>
            </w:r>
          </w:p>
        </w:tc>
        <w:tc>
          <w:tcPr>
            <w:tcW w:w="2636" w:type="dxa"/>
            <w:shd w:val="clear" w:color="auto" w:fill="FFFFFF"/>
          </w:tcPr>
          <w:p w:rsidR="00A41682" w:rsidRPr="009179E5" w:rsidRDefault="00A41682" w:rsidP="004C1AD9">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w:t>
            </w:r>
          </w:p>
        </w:tc>
      </w:tr>
      <w:tr w:rsidR="00A41682" w:rsidRPr="009179E5" w:rsidTr="00606211">
        <w:tc>
          <w:tcPr>
            <w:tcW w:w="3828" w:type="dxa"/>
            <w:shd w:val="clear" w:color="auto" w:fill="FFFFFF"/>
          </w:tcPr>
          <w:p w:rsidR="00A41682" w:rsidRPr="009179E5" w:rsidRDefault="00A41682" w:rsidP="004C1AD9">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KPFI finansējuma apguve</w:t>
            </w:r>
          </w:p>
        </w:tc>
        <w:tc>
          <w:tcPr>
            <w:tcW w:w="2551" w:type="dxa"/>
            <w:shd w:val="clear" w:color="auto" w:fill="FFFFFF"/>
          </w:tcPr>
          <w:p w:rsidR="00A41682" w:rsidRPr="009179E5" w:rsidRDefault="00A41682" w:rsidP="004C1AD9">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VARAM</w:t>
            </w:r>
          </w:p>
        </w:tc>
        <w:tc>
          <w:tcPr>
            <w:tcW w:w="2636" w:type="dxa"/>
            <w:shd w:val="clear" w:color="auto" w:fill="FFFFFF"/>
          </w:tcPr>
          <w:p w:rsidR="00A41682" w:rsidRPr="009179E5" w:rsidRDefault="00A41682" w:rsidP="004C1AD9">
            <w:pPr>
              <w:spacing w:after="0" w:line="240" w:lineRule="auto"/>
              <w:jc w:val="both"/>
              <w:rPr>
                <w:rFonts w:ascii="Times New Roman" w:hAnsi="Times New Roman"/>
                <w:sz w:val="24"/>
                <w:szCs w:val="24"/>
                <w:lang w:val="lv-LV"/>
              </w:rPr>
            </w:pPr>
            <w:r w:rsidRPr="009179E5">
              <w:rPr>
                <w:rFonts w:ascii="Times New Roman" w:hAnsi="Times New Roman"/>
                <w:sz w:val="24"/>
                <w:szCs w:val="24"/>
                <w:lang w:val="lv-LV"/>
              </w:rPr>
              <w:t>SIA „Vides investīciju fonds“</w:t>
            </w:r>
          </w:p>
        </w:tc>
      </w:tr>
    </w:tbl>
    <w:p w:rsidR="00B16EC2" w:rsidRPr="009179E5" w:rsidRDefault="00B16EC2" w:rsidP="00574AC8">
      <w:pPr>
        <w:spacing w:before="120" w:after="120" w:line="240" w:lineRule="auto"/>
        <w:ind w:left="360"/>
        <w:jc w:val="both"/>
        <w:rPr>
          <w:lang w:val="lv-LV"/>
        </w:rPr>
      </w:pPr>
    </w:p>
    <w:p w:rsidR="00DC7E7C" w:rsidRPr="009179E5" w:rsidRDefault="00DC7E7C" w:rsidP="00574AC8">
      <w:pPr>
        <w:spacing w:before="120" w:after="120" w:line="240" w:lineRule="auto"/>
        <w:jc w:val="both"/>
        <w:rPr>
          <w:rFonts w:ascii="Times New Roman" w:hAnsi="Times New Roman"/>
          <w:sz w:val="28"/>
          <w:szCs w:val="28"/>
          <w:lang w:val="lv-LV"/>
        </w:rPr>
      </w:pPr>
    </w:p>
    <w:p w:rsidR="00DC7E7C" w:rsidRPr="009179E5" w:rsidRDefault="00DC7E7C" w:rsidP="00574AC8">
      <w:pPr>
        <w:spacing w:before="120" w:after="120" w:line="240" w:lineRule="auto"/>
        <w:jc w:val="both"/>
        <w:rPr>
          <w:rFonts w:ascii="Times New Roman" w:hAnsi="Times New Roman"/>
          <w:sz w:val="28"/>
          <w:szCs w:val="28"/>
          <w:lang w:val="lv-LV"/>
        </w:rPr>
      </w:pPr>
    </w:p>
    <w:p w:rsidR="003C48E2" w:rsidRPr="009179E5" w:rsidRDefault="003C48E2" w:rsidP="00063A54">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lastRenderedPageBreak/>
        <w:t>Ministru prezidents</w:t>
      </w:r>
      <w:r w:rsidRPr="009179E5">
        <w:rPr>
          <w:rFonts w:ascii="Times New Roman" w:hAnsi="Times New Roman"/>
          <w:sz w:val="28"/>
          <w:szCs w:val="28"/>
          <w:lang w:val="lv-LV"/>
        </w:rPr>
        <w:tab/>
      </w:r>
      <w:r w:rsidRPr="009179E5">
        <w:rPr>
          <w:rFonts w:ascii="Times New Roman" w:hAnsi="Times New Roman"/>
          <w:sz w:val="28"/>
          <w:szCs w:val="28"/>
          <w:lang w:val="lv-LV"/>
        </w:rPr>
        <w:tab/>
      </w:r>
      <w:r w:rsidRPr="009179E5">
        <w:rPr>
          <w:rFonts w:ascii="Times New Roman" w:hAnsi="Times New Roman"/>
          <w:sz w:val="28"/>
          <w:szCs w:val="28"/>
          <w:lang w:val="lv-LV"/>
        </w:rPr>
        <w:tab/>
      </w:r>
      <w:r w:rsidRPr="009179E5">
        <w:rPr>
          <w:rFonts w:ascii="Times New Roman" w:hAnsi="Times New Roman"/>
          <w:sz w:val="28"/>
          <w:szCs w:val="28"/>
          <w:lang w:val="lv-LV"/>
        </w:rPr>
        <w:tab/>
      </w:r>
      <w:r w:rsidRPr="009179E5">
        <w:rPr>
          <w:rFonts w:ascii="Times New Roman" w:hAnsi="Times New Roman"/>
          <w:sz w:val="28"/>
          <w:szCs w:val="28"/>
          <w:lang w:val="lv-LV"/>
        </w:rPr>
        <w:tab/>
      </w:r>
      <w:r w:rsidRPr="009179E5">
        <w:rPr>
          <w:rFonts w:ascii="Times New Roman" w:hAnsi="Times New Roman"/>
          <w:sz w:val="28"/>
          <w:szCs w:val="28"/>
          <w:lang w:val="lv-LV"/>
        </w:rPr>
        <w:tab/>
        <w:t xml:space="preserve"> V.Dombrovskis</w:t>
      </w:r>
    </w:p>
    <w:p w:rsidR="003C48E2" w:rsidRPr="009179E5" w:rsidRDefault="003C48E2" w:rsidP="00063A54">
      <w:pPr>
        <w:spacing w:before="120" w:after="120" w:line="240" w:lineRule="auto"/>
        <w:jc w:val="both"/>
        <w:rPr>
          <w:rFonts w:ascii="Times New Roman" w:hAnsi="Times New Roman"/>
          <w:sz w:val="28"/>
          <w:szCs w:val="28"/>
          <w:lang w:val="lv-LV"/>
        </w:rPr>
      </w:pPr>
    </w:p>
    <w:p w:rsidR="003C48E2" w:rsidRPr="009179E5" w:rsidRDefault="003C48E2" w:rsidP="00063A54">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Ekonomikas ministrs</w:t>
      </w:r>
      <w:r w:rsidRPr="009179E5">
        <w:rPr>
          <w:rFonts w:ascii="Times New Roman" w:hAnsi="Times New Roman"/>
          <w:sz w:val="28"/>
          <w:szCs w:val="28"/>
          <w:lang w:val="lv-LV"/>
        </w:rPr>
        <w:tab/>
      </w:r>
      <w:r w:rsidRPr="009179E5">
        <w:rPr>
          <w:rFonts w:ascii="Times New Roman" w:hAnsi="Times New Roman"/>
          <w:sz w:val="28"/>
          <w:szCs w:val="28"/>
          <w:lang w:val="lv-LV"/>
        </w:rPr>
        <w:tab/>
      </w:r>
      <w:r w:rsidRPr="009179E5">
        <w:rPr>
          <w:rFonts w:ascii="Times New Roman" w:hAnsi="Times New Roman"/>
          <w:sz w:val="28"/>
          <w:szCs w:val="28"/>
          <w:lang w:val="lv-LV"/>
        </w:rPr>
        <w:tab/>
      </w:r>
      <w:r w:rsidRPr="009179E5">
        <w:rPr>
          <w:rFonts w:ascii="Times New Roman" w:hAnsi="Times New Roman"/>
          <w:sz w:val="28"/>
          <w:szCs w:val="28"/>
          <w:lang w:val="lv-LV"/>
        </w:rPr>
        <w:tab/>
      </w:r>
      <w:r w:rsidRPr="009179E5">
        <w:rPr>
          <w:rFonts w:ascii="Times New Roman" w:hAnsi="Times New Roman"/>
          <w:sz w:val="28"/>
          <w:szCs w:val="28"/>
          <w:lang w:val="lv-LV"/>
        </w:rPr>
        <w:tab/>
      </w:r>
      <w:r w:rsidRPr="009179E5">
        <w:rPr>
          <w:rFonts w:ascii="Times New Roman" w:hAnsi="Times New Roman"/>
          <w:sz w:val="28"/>
          <w:szCs w:val="28"/>
          <w:lang w:val="lv-LV"/>
        </w:rPr>
        <w:tab/>
        <w:t xml:space="preserve">     </w:t>
      </w:r>
      <w:r w:rsidR="001D7D71">
        <w:rPr>
          <w:rFonts w:ascii="Times New Roman" w:hAnsi="Times New Roman"/>
          <w:sz w:val="28"/>
          <w:szCs w:val="28"/>
          <w:lang w:val="lv-LV"/>
        </w:rPr>
        <w:t xml:space="preserve"> </w:t>
      </w:r>
      <w:r w:rsidRPr="009179E5">
        <w:rPr>
          <w:rFonts w:ascii="Times New Roman" w:hAnsi="Times New Roman"/>
          <w:sz w:val="28"/>
          <w:szCs w:val="28"/>
          <w:lang w:val="lv-LV"/>
        </w:rPr>
        <w:t xml:space="preserve">  A.Kampars</w:t>
      </w:r>
    </w:p>
    <w:p w:rsidR="003C48E2" w:rsidRPr="009179E5" w:rsidRDefault="003C48E2" w:rsidP="00063A54">
      <w:pPr>
        <w:spacing w:before="120" w:after="120" w:line="240" w:lineRule="auto"/>
        <w:jc w:val="both"/>
        <w:rPr>
          <w:rFonts w:ascii="Times New Roman" w:hAnsi="Times New Roman"/>
          <w:sz w:val="28"/>
          <w:szCs w:val="28"/>
          <w:lang w:val="lv-LV"/>
        </w:rPr>
      </w:pPr>
    </w:p>
    <w:p w:rsidR="003C48E2" w:rsidRPr="009179E5" w:rsidRDefault="003C48E2" w:rsidP="00063A54">
      <w:pPr>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Iesniedzējs:</w:t>
      </w:r>
    </w:p>
    <w:p w:rsidR="003C48E2" w:rsidRPr="009179E5" w:rsidRDefault="003C48E2" w:rsidP="00063A54">
      <w:pPr>
        <w:tabs>
          <w:tab w:val="left" w:pos="6379"/>
          <w:tab w:val="left" w:pos="6957"/>
        </w:tabs>
        <w:spacing w:before="120" w:after="120" w:line="240" w:lineRule="auto"/>
        <w:jc w:val="both"/>
        <w:rPr>
          <w:rFonts w:ascii="Times New Roman" w:hAnsi="Times New Roman"/>
          <w:sz w:val="28"/>
          <w:szCs w:val="28"/>
          <w:lang w:val="lv-LV"/>
        </w:rPr>
      </w:pPr>
      <w:r w:rsidRPr="009179E5">
        <w:rPr>
          <w:rFonts w:ascii="Times New Roman" w:hAnsi="Times New Roman"/>
          <w:sz w:val="28"/>
          <w:szCs w:val="28"/>
          <w:lang w:val="lv-LV"/>
        </w:rPr>
        <w:t>Ekonomikas ministrs</w:t>
      </w:r>
      <w:r w:rsidRPr="009179E5">
        <w:rPr>
          <w:rFonts w:ascii="Times New Roman" w:hAnsi="Times New Roman"/>
          <w:sz w:val="28"/>
          <w:szCs w:val="28"/>
          <w:lang w:val="lv-LV"/>
        </w:rPr>
        <w:tab/>
      </w:r>
      <w:r w:rsidRPr="009179E5">
        <w:rPr>
          <w:rFonts w:ascii="Times New Roman" w:hAnsi="Times New Roman"/>
          <w:sz w:val="28"/>
          <w:szCs w:val="28"/>
          <w:lang w:val="lv-LV"/>
        </w:rPr>
        <w:tab/>
      </w:r>
      <w:r w:rsidR="000D6F81">
        <w:rPr>
          <w:rFonts w:ascii="Times New Roman" w:hAnsi="Times New Roman"/>
          <w:sz w:val="28"/>
          <w:szCs w:val="28"/>
          <w:lang w:val="lv-LV"/>
        </w:rPr>
        <w:t xml:space="preserve"> </w:t>
      </w:r>
      <w:r w:rsidRPr="009179E5">
        <w:rPr>
          <w:rFonts w:ascii="Times New Roman" w:hAnsi="Times New Roman"/>
          <w:sz w:val="28"/>
          <w:szCs w:val="28"/>
          <w:lang w:val="lv-LV"/>
        </w:rPr>
        <w:t>A.Kampars</w:t>
      </w:r>
    </w:p>
    <w:p w:rsidR="003C48E2" w:rsidRPr="009179E5" w:rsidRDefault="003C48E2" w:rsidP="00063A54">
      <w:pPr>
        <w:tabs>
          <w:tab w:val="left" w:pos="7321"/>
        </w:tabs>
        <w:spacing w:before="120" w:after="120" w:line="240" w:lineRule="auto"/>
        <w:ind w:right="45"/>
        <w:jc w:val="both"/>
        <w:rPr>
          <w:rFonts w:ascii="Times New Roman" w:hAnsi="Times New Roman"/>
          <w:sz w:val="28"/>
          <w:szCs w:val="28"/>
          <w:lang w:val="lv-LV"/>
        </w:rPr>
      </w:pPr>
    </w:p>
    <w:p w:rsidR="00F52281" w:rsidRPr="009179E5" w:rsidRDefault="009F6515" w:rsidP="003B66D9">
      <w:pPr>
        <w:tabs>
          <w:tab w:val="left" w:pos="7321"/>
        </w:tabs>
        <w:spacing w:before="120" w:after="120" w:line="240" w:lineRule="auto"/>
        <w:ind w:right="45"/>
        <w:jc w:val="both"/>
        <w:rPr>
          <w:rFonts w:ascii="Times New Roman" w:hAnsi="Times New Roman"/>
          <w:sz w:val="28"/>
          <w:szCs w:val="28"/>
          <w:lang w:val="lv-LV"/>
        </w:rPr>
      </w:pPr>
      <w:r>
        <w:rPr>
          <w:rFonts w:ascii="Times New Roman" w:hAnsi="Times New Roman"/>
          <w:sz w:val="28"/>
          <w:szCs w:val="28"/>
          <w:lang w:val="lv-LV"/>
        </w:rPr>
        <w:t>Vīza: valsts sekretār</w:t>
      </w:r>
      <w:r w:rsidR="003B66D9">
        <w:rPr>
          <w:rFonts w:ascii="Times New Roman" w:hAnsi="Times New Roman"/>
          <w:sz w:val="28"/>
          <w:szCs w:val="28"/>
          <w:lang w:val="lv-LV"/>
        </w:rPr>
        <w:t>s</w:t>
      </w:r>
      <w:r w:rsidR="003C48E2" w:rsidRPr="009179E5">
        <w:rPr>
          <w:rFonts w:ascii="Times New Roman" w:hAnsi="Times New Roman"/>
          <w:sz w:val="28"/>
          <w:szCs w:val="28"/>
          <w:lang w:val="lv-LV"/>
        </w:rPr>
        <w:t xml:space="preserve">                                                    </w:t>
      </w:r>
      <w:r>
        <w:rPr>
          <w:rFonts w:ascii="Times New Roman" w:hAnsi="Times New Roman"/>
          <w:sz w:val="28"/>
          <w:szCs w:val="28"/>
          <w:lang w:val="lv-LV"/>
        </w:rPr>
        <w:t xml:space="preserve"> </w:t>
      </w:r>
      <w:r w:rsidR="000D6F81">
        <w:rPr>
          <w:rFonts w:ascii="Times New Roman" w:hAnsi="Times New Roman"/>
          <w:sz w:val="28"/>
          <w:szCs w:val="28"/>
          <w:lang w:val="lv-LV"/>
        </w:rPr>
        <w:t xml:space="preserve">   </w:t>
      </w:r>
      <w:r>
        <w:rPr>
          <w:rFonts w:ascii="Times New Roman" w:hAnsi="Times New Roman"/>
          <w:sz w:val="28"/>
          <w:szCs w:val="28"/>
          <w:lang w:val="lv-LV"/>
        </w:rPr>
        <w:t xml:space="preserve">  </w:t>
      </w:r>
      <w:r w:rsidR="000D6F81">
        <w:rPr>
          <w:rFonts w:ascii="Times New Roman" w:hAnsi="Times New Roman"/>
          <w:sz w:val="28"/>
          <w:szCs w:val="28"/>
          <w:lang w:val="lv-LV"/>
        </w:rPr>
        <w:t xml:space="preserve"> </w:t>
      </w:r>
      <w:r w:rsidR="001D7D71">
        <w:rPr>
          <w:rFonts w:ascii="Times New Roman" w:hAnsi="Times New Roman"/>
          <w:sz w:val="28"/>
          <w:szCs w:val="28"/>
          <w:lang w:val="lv-LV"/>
        </w:rPr>
        <w:t xml:space="preserve">  </w:t>
      </w:r>
      <w:r w:rsidR="00063A54">
        <w:rPr>
          <w:rFonts w:ascii="Times New Roman" w:hAnsi="Times New Roman"/>
          <w:sz w:val="28"/>
          <w:szCs w:val="28"/>
          <w:lang w:val="lv-LV"/>
        </w:rPr>
        <w:t xml:space="preserve">   </w:t>
      </w:r>
      <w:r w:rsidR="003B66D9">
        <w:rPr>
          <w:rFonts w:ascii="Times New Roman" w:hAnsi="Times New Roman"/>
          <w:sz w:val="28"/>
          <w:szCs w:val="28"/>
          <w:lang w:val="lv-LV"/>
        </w:rPr>
        <w:t xml:space="preserve">     J.Pūce</w:t>
      </w:r>
    </w:p>
    <w:p w:rsidR="003C48E2" w:rsidRPr="009179E5" w:rsidRDefault="003C48E2" w:rsidP="00063A54">
      <w:pPr>
        <w:spacing w:before="120" w:after="120" w:line="240" w:lineRule="auto"/>
        <w:jc w:val="both"/>
        <w:rPr>
          <w:rFonts w:ascii="Times New Roman" w:hAnsi="Times New Roman"/>
          <w:sz w:val="18"/>
          <w:szCs w:val="18"/>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9F6515" w:rsidRDefault="009F6515" w:rsidP="00640FEA">
      <w:pPr>
        <w:spacing w:after="0" w:line="240" w:lineRule="auto"/>
        <w:jc w:val="both"/>
        <w:rPr>
          <w:rFonts w:ascii="Times New Roman" w:hAnsi="Times New Roman"/>
          <w:sz w:val="16"/>
          <w:szCs w:val="16"/>
          <w:lang w:val="lv-LV" w:eastAsia="lv-LV"/>
        </w:rPr>
      </w:pPr>
    </w:p>
    <w:p w:rsidR="000550F6" w:rsidRPr="009179E5" w:rsidRDefault="003B66D9" w:rsidP="00640FEA">
      <w:pPr>
        <w:spacing w:after="0" w:line="240" w:lineRule="auto"/>
        <w:jc w:val="both"/>
        <w:rPr>
          <w:rFonts w:ascii="Times New Roman" w:hAnsi="Times New Roman"/>
          <w:sz w:val="16"/>
          <w:szCs w:val="16"/>
          <w:lang w:val="lv-LV" w:eastAsia="lv-LV"/>
        </w:rPr>
      </w:pPr>
      <w:r>
        <w:rPr>
          <w:rFonts w:ascii="Times New Roman" w:hAnsi="Times New Roman"/>
          <w:sz w:val="16"/>
          <w:szCs w:val="16"/>
          <w:lang w:val="lv-LV" w:eastAsia="lv-LV"/>
        </w:rPr>
        <w:t>10.08</w:t>
      </w:r>
      <w:r w:rsidR="000550F6" w:rsidRPr="009179E5">
        <w:rPr>
          <w:rFonts w:ascii="Times New Roman" w:hAnsi="Times New Roman"/>
          <w:sz w:val="16"/>
          <w:szCs w:val="16"/>
          <w:lang w:val="lv-LV" w:eastAsia="lv-LV"/>
        </w:rPr>
        <w:t xml:space="preserve">.2011. </w:t>
      </w:r>
      <w:r w:rsidR="00310245">
        <w:rPr>
          <w:rFonts w:ascii="Times New Roman" w:hAnsi="Times New Roman"/>
          <w:sz w:val="16"/>
          <w:szCs w:val="16"/>
          <w:lang w:val="lv-LV" w:eastAsia="lv-LV"/>
        </w:rPr>
        <w:t>09</w:t>
      </w:r>
      <w:r w:rsidR="000D6F81">
        <w:rPr>
          <w:rFonts w:ascii="Times New Roman" w:hAnsi="Times New Roman"/>
          <w:sz w:val="16"/>
          <w:szCs w:val="16"/>
          <w:lang w:val="lv-LV" w:eastAsia="lv-LV"/>
        </w:rPr>
        <w:t>:</w:t>
      </w:r>
      <w:r w:rsidR="001D7D71">
        <w:rPr>
          <w:rFonts w:ascii="Times New Roman" w:hAnsi="Times New Roman"/>
          <w:sz w:val="16"/>
          <w:szCs w:val="16"/>
          <w:lang w:val="lv-LV" w:eastAsia="lv-LV"/>
        </w:rPr>
        <w:t>4</w:t>
      </w:r>
      <w:r w:rsidR="00063A54">
        <w:rPr>
          <w:rFonts w:ascii="Times New Roman" w:hAnsi="Times New Roman"/>
          <w:sz w:val="16"/>
          <w:szCs w:val="16"/>
          <w:lang w:val="lv-LV" w:eastAsia="lv-LV"/>
        </w:rPr>
        <w:t>8</w:t>
      </w:r>
    </w:p>
    <w:p w:rsidR="003B66D9" w:rsidRDefault="00613235" w:rsidP="00640FEA">
      <w:pPr>
        <w:spacing w:after="0" w:line="240" w:lineRule="auto"/>
        <w:jc w:val="both"/>
        <w:rPr>
          <w:rFonts w:ascii="Times New Roman" w:hAnsi="Times New Roman"/>
          <w:sz w:val="16"/>
          <w:szCs w:val="16"/>
          <w:lang w:val="lv-LV" w:eastAsia="lv-LV"/>
        </w:rPr>
      </w:pPr>
      <w:r w:rsidRPr="009179E5">
        <w:rPr>
          <w:rFonts w:ascii="Times New Roman" w:hAnsi="Times New Roman"/>
          <w:sz w:val="16"/>
          <w:szCs w:val="16"/>
          <w:lang w:val="lv-LV" w:eastAsia="lv-LV"/>
        </w:rPr>
        <w:t>1</w:t>
      </w:r>
      <w:r w:rsidR="003B66D9">
        <w:rPr>
          <w:rFonts w:ascii="Times New Roman" w:hAnsi="Times New Roman"/>
          <w:sz w:val="16"/>
          <w:szCs w:val="16"/>
          <w:lang w:val="lv-LV" w:eastAsia="lv-LV"/>
        </w:rPr>
        <w:t>8530</w:t>
      </w:r>
    </w:p>
    <w:p w:rsidR="000550F6" w:rsidRPr="009179E5" w:rsidRDefault="000550F6" w:rsidP="00640FEA">
      <w:pPr>
        <w:spacing w:after="0" w:line="240" w:lineRule="auto"/>
        <w:jc w:val="both"/>
        <w:rPr>
          <w:rFonts w:ascii="Times New Roman" w:hAnsi="Times New Roman"/>
          <w:sz w:val="16"/>
          <w:szCs w:val="16"/>
          <w:lang w:val="lv-LV" w:eastAsia="lv-LV"/>
        </w:rPr>
      </w:pPr>
      <w:r w:rsidRPr="009179E5">
        <w:rPr>
          <w:rFonts w:ascii="Times New Roman" w:hAnsi="Times New Roman"/>
          <w:sz w:val="16"/>
          <w:szCs w:val="16"/>
          <w:lang w:val="lv-LV" w:eastAsia="lv-LV"/>
        </w:rPr>
        <w:t>Ozoliņa</w:t>
      </w:r>
    </w:p>
    <w:p w:rsidR="000550F6" w:rsidRPr="009179E5" w:rsidRDefault="000550F6" w:rsidP="00640FEA">
      <w:pPr>
        <w:spacing w:after="0" w:line="240" w:lineRule="auto"/>
        <w:jc w:val="both"/>
        <w:rPr>
          <w:rFonts w:ascii="Times New Roman" w:hAnsi="Times New Roman"/>
          <w:sz w:val="16"/>
          <w:szCs w:val="16"/>
          <w:lang w:val="lv-LV" w:eastAsia="lv-LV"/>
        </w:rPr>
      </w:pPr>
      <w:r w:rsidRPr="009179E5">
        <w:rPr>
          <w:rFonts w:ascii="Times New Roman" w:hAnsi="Times New Roman"/>
          <w:sz w:val="16"/>
          <w:szCs w:val="16"/>
          <w:lang w:val="lv-LV" w:eastAsia="lv-LV"/>
        </w:rPr>
        <w:t>67013175</w:t>
      </w:r>
    </w:p>
    <w:p w:rsidR="00B16EC2" w:rsidRPr="009179E5" w:rsidRDefault="00E86DD9" w:rsidP="00640FEA">
      <w:pPr>
        <w:spacing w:after="0" w:line="240" w:lineRule="auto"/>
        <w:jc w:val="both"/>
        <w:rPr>
          <w:rFonts w:ascii="Times New Roman" w:hAnsi="Times New Roman"/>
          <w:sz w:val="16"/>
          <w:szCs w:val="16"/>
          <w:lang w:val="lv-LV" w:eastAsia="lv-LV"/>
        </w:rPr>
      </w:pPr>
      <w:hyperlink r:id="rId55" w:history="1">
        <w:r w:rsidR="000550F6" w:rsidRPr="009179E5">
          <w:rPr>
            <w:rStyle w:val="Hyperlink"/>
            <w:rFonts w:ascii="Times New Roman" w:hAnsi="Times New Roman"/>
            <w:sz w:val="16"/>
            <w:szCs w:val="16"/>
            <w:lang w:val="lv-LV" w:eastAsia="lv-LV"/>
          </w:rPr>
          <w:t>inguna.ozolina@em.gov.lv</w:t>
        </w:r>
      </w:hyperlink>
    </w:p>
    <w:sectPr w:rsidR="00B16EC2" w:rsidRPr="009179E5" w:rsidSect="004B29E6">
      <w:footerReference w:type="even" r:id="rId56"/>
      <w:footerReference w:type="default" r:id="rId57"/>
      <w:pgSz w:w="11907" w:h="16840" w:code="9"/>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5FA" w:rsidRDefault="001C05FA">
      <w:r>
        <w:separator/>
      </w:r>
    </w:p>
  </w:endnote>
  <w:endnote w:type="continuationSeparator" w:id="0">
    <w:p w:rsidR="001C05FA" w:rsidRDefault="001C05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achetMedium">
    <w:altName w:val="Times New Roman"/>
    <w:panose1 w:val="00000000000000000000"/>
    <w:charset w:val="00"/>
    <w:family w:val="auto"/>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98" w:rsidRDefault="00807598" w:rsidP="003B2D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7598" w:rsidRDefault="00807598" w:rsidP="00433A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598" w:rsidRPr="00F82DFD" w:rsidRDefault="00807598" w:rsidP="008134DC">
    <w:pPr>
      <w:pStyle w:val="Footer"/>
      <w:tabs>
        <w:tab w:val="clear" w:pos="4680"/>
        <w:tab w:val="center" w:pos="9072"/>
      </w:tabs>
      <w:spacing w:after="0" w:line="240" w:lineRule="auto"/>
      <w:ind w:right="-45"/>
      <w:jc w:val="both"/>
      <w:rPr>
        <w:rFonts w:ascii="Times New Roman" w:hAnsi="Times New Roman"/>
        <w:sz w:val="18"/>
        <w:szCs w:val="18"/>
      </w:rPr>
    </w:pPr>
    <w:r w:rsidRPr="00E86DD9">
      <w:rPr>
        <w:rFonts w:ascii="Times New Roman" w:hAnsi="Times New Roman"/>
        <w:noProof/>
        <w:sz w:val="18"/>
        <w:szCs w:val="18"/>
        <w:lang w:val="en-GB" w:eastAsia="en-GB"/>
      </w:rPr>
      <w:pict>
        <v:group id="_x0000_s2049" style="position:absolute;left:0;text-align:left;margin-left:-77pt;margin-top:774pt;width:610.9pt;height:15pt;z-index:251660288;mso-position-horizontal-relative:margin;mso-position-vertical-relative:page" coordorigin=",14970" coordsize="12255,300" o:allowincell="f">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807598" w:rsidRPr="00EE6821" w:rsidRDefault="00807598">
                  <w:pPr>
                    <w:jc w:val="center"/>
                    <w:rPr>
                      <w:rFonts w:ascii="Times New Roman" w:hAnsi="Times New Roman"/>
                    </w:rPr>
                  </w:pPr>
                  <w:r w:rsidRPr="00EE6821">
                    <w:rPr>
                      <w:rFonts w:ascii="Times New Roman" w:hAnsi="Times New Roman"/>
                    </w:rPr>
                    <w:fldChar w:fldCharType="begin"/>
                  </w:r>
                  <w:r w:rsidRPr="00EE6821">
                    <w:rPr>
                      <w:rFonts w:ascii="Times New Roman" w:hAnsi="Times New Roman"/>
                    </w:rPr>
                    <w:instrText xml:space="preserve"> PAGE    \* MERGEFORMAT </w:instrText>
                  </w:r>
                  <w:r w:rsidRPr="00EE6821">
                    <w:rPr>
                      <w:rFonts w:ascii="Times New Roman" w:hAnsi="Times New Roman"/>
                    </w:rPr>
                    <w:fldChar w:fldCharType="separate"/>
                  </w:r>
                  <w:r w:rsidR="00FB72DF" w:rsidRPr="00FB72DF">
                    <w:rPr>
                      <w:rFonts w:ascii="Times New Roman" w:hAnsi="Times New Roman"/>
                      <w:noProof/>
                      <w:color w:val="8C8C8C"/>
                    </w:rPr>
                    <w:t>1</w:t>
                  </w:r>
                  <w:r w:rsidRPr="00EE6821">
                    <w:rPr>
                      <w:rFonts w:ascii="Times New Roman" w:hAnsi="Times New Roman"/>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v:shape id="_x0000_s2053" type="#_x0000_t34" style="position:absolute;left:1252;top:14978;width:10995;height:230;rotation:180" o:connectortype="elbow" adj="20904,-1024457,-24046" strokecolor="#a5a5a5"/>
          </v:group>
          <w10:wrap anchorx="margin" anchory="page"/>
        </v:group>
      </w:pict>
    </w:r>
    <w:r w:rsidRPr="00F82DFD">
      <w:rPr>
        <w:rFonts w:ascii="Times New Roman" w:hAnsi="Times New Roman"/>
        <w:sz w:val="18"/>
        <w:szCs w:val="18"/>
      </w:rPr>
      <w:t>EMPl_</w:t>
    </w:r>
    <w:r>
      <w:rPr>
        <w:rFonts w:ascii="Times New Roman" w:hAnsi="Times New Roman"/>
        <w:sz w:val="18"/>
        <w:szCs w:val="18"/>
      </w:rPr>
      <w:t>1008</w:t>
    </w:r>
    <w:r w:rsidRPr="00F82DFD">
      <w:rPr>
        <w:rFonts w:ascii="Times New Roman" w:hAnsi="Times New Roman"/>
        <w:sz w:val="18"/>
        <w:szCs w:val="18"/>
      </w:rPr>
      <w:t>11_</w:t>
    </w:r>
    <w:r>
      <w:rPr>
        <w:rFonts w:ascii="Times New Roman" w:hAnsi="Times New Roman"/>
        <w:sz w:val="18"/>
        <w:szCs w:val="18"/>
      </w:rPr>
      <w:t>OEERPpro</w:t>
    </w:r>
    <w:r w:rsidRPr="00F82DFD">
      <w:rPr>
        <w:rFonts w:ascii="Times New Roman" w:hAnsi="Times New Roman"/>
        <w:sz w:val="18"/>
        <w:szCs w:val="18"/>
      </w:rPr>
      <w:t xml:space="preserve">; Plāna projekts “Latvijas Republikas Otrais energoefektivitātes rīcības plāns </w:t>
    </w:r>
  </w:p>
  <w:p w:rsidR="00807598" w:rsidRPr="00CF48B8" w:rsidRDefault="00807598" w:rsidP="00F82DFD">
    <w:pPr>
      <w:pStyle w:val="Footer"/>
      <w:spacing w:after="0" w:line="240" w:lineRule="auto"/>
      <w:ind w:right="357"/>
      <w:jc w:val="both"/>
      <w:rPr>
        <w:rFonts w:ascii="Times New Roman" w:hAnsi="Times New Roman"/>
        <w:sz w:val="20"/>
        <w:szCs w:val="20"/>
      </w:rPr>
    </w:pPr>
    <w:r w:rsidRPr="00F82DFD">
      <w:rPr>
        <w:rFonts w:ascii="Times New Roman" w:hAnsi="Times New Roman"/>
        <w:sz w:val="18"/>
        <w:szCs w:val="18"/>
      </w:rPr>
      <w:t>2011</w:t>
    </w:r>
    <w:r>
      <w:rPr>
        <w:rFonts w:ascii="Times New Roman" w:hAnsi="Times New Roman"/>
        <w:sz w:val="18"/>
        <w:szCs w:val="18"/>
      </w:rPr>
      <w:t>.</w:t>
    </w:r>
    <w:r w:rsidRPr="00F82DFD">
      <w:rPr>
        <w:rFonts w:ascii="Times New Roman" w:hAnsi="Times New Roman"/>
        <w:sz w:val="18"/>
        <w:szCs w:val="18"/>
      </w:rPr>
      <w:t>-2013</w:t>
    </w:r>
    <w:r>
      <w:rPr>
        <w:rFonts w:ascii="Times New Roman" w:hAnsi="Times New Roman"/>
        <w:sz w:val="18"/>
        <w:szCs w:val="18"/>
      </w:rPr>
      <w:t>.gadam</w:t>
    </w:r>
    <w:r w:rsidRPr="00F82DFD">
      <w:rPr>
        <w:rFonts w:ascii="Times New Roman" w:hAnsi="Times New Roman"/>
        <w:sz w:val="18"/>
        <w:szCs w:val="18"/>
      </w:rPr>
      <w:t>”</w:t>
    </w:r>
    <w:r w:rsidRPr="00CF48B8">
      <w:rPr>
        <w:rFonts w:ascii="Times New Roman" w:hAnsi="Times New Roman"/>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5FA" w:rsidRDefault="001C05FA">
      <w:r>
        <w:separator/>
      </w:r>
    </w:p>
  </w:footnote>
  <w:footnote w:type="continuationSeparator" w:id="0">
    <w:p w:rsidR="001C05FA" w:rsidRDefault="001C0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F8F"/>
    <w:multiLevelType w:val="hybridMultilevel"/>
    <w:tmpl w:val="48182574"/>
    <w:lvl w:ilvl="0" w:tplc="5B48563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130712"/>
    <w:multiLevelType w:val="hybridMultilevel"/>
    <w:tmpl w:val="E3EE9E7A"/>
    <w:lvl w:ilvl="0" w:tplc="F9DC0634">
      <w:start w:val="1"/>
      <w:numFmt w:val="bullet"/>
      <w:lvlText w:val=""/>
      <w:lvlJc w:val="left"/>
      <w:pPr>
        <w:ind w:left="720" w:hanging="360"/>
      </w:pPr>
      <w:rPr>
        <w:rFonts w:ascii="Symbol" w:hAnsi="Symbol" w:hint="default"/>
      </w:rPr>
    </w:lvl>
    <w:lvl w:ilvl="1" w:tplc="F9DC0634">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4637320"/>
    <w:multiLevelType w:val="hybridMultilevel"/>
    <w:tmpl w:val="6D36477E"/>
    <w:lvl w:ilvl="0" w:tplc="8196C724">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741910"/>
    <w:multiLevelType w:val="multilevel"/>
    <w:tmpl w:val="C6DA3DA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9649"/>
        </w:tabs>
        <w:ind w:left="9649"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
    <w:nsid w:val="0846132F"/>
    <w:multiLevelType w:val="hybridMultilevel"/>
    <w:tmpl w:val="31BE90BE"/>
    <w:lvl w:ilvl="0" w:tplc="8196C724">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8CC28C6"/>
    <w:multiLevelType w:val="hybridMultilevel"/>
    <w:tmpl w:val="F710BA86"/>
    <w:lvl w:ilvl="0" w:tplc="FEDE1E7C">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6">
    <w:nsid w:val="0A522AE6"/>
    <w:multiLevelType w:val="hybridMultilevel"/>
    <w:tmpl w:val="DA0A629A"/>
    <w:lvl w:ilvl="0" w:tplc="5B485638">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E85B23"/>
    <w:multiLevelType w:val="hybridMultilevel"/>
    <w:tmpl w:val="0EA067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C495BD6"/>
    <w:multiLevelType w:val="hybridMultilevel"/>
    <w:tmpl w:val="E536E8A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1C84266F"/>
    <w:multiLevelType w:val="hybridMultilevel"/>
    <w:tmpl w:val="37924F04"/>
    <w:lvl w:ilvl="0" w:tplc="009C99A8">
      <w:start w:val="3"/>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start w:val="1"/>
      <w:numFmt w:val="lowerRoman"/>
      <w:lvlText w:val="%3."/>
      <w:lvlJc w:val="right"/>
      <w:pPr>
        <w:ind w:left="2870" w:hanging="180"/>
      </w:pPr>
    </w:lvl>
    <w:lvl w:ilvl="3" w:tplc="0426000F">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0">
    <w:nsid w:val="1DA3293A"/>
    <w:multiLevelType w:val="hybridMultilevel"/>
    <w:tmpl w:val="F2589AA0"/>
    <w:lvl w:ilvl="0" w:tplc="54944288">
      <w:start w:val="1"/>
      <w:numFmt w:val="decimal"/>
      <w:lvlText w:val="%1."/>
      <w:lvlJc w:val="left"/>
      <w:pPr>
        <w:ind w:left="720" w:hanging="360"/>
      </w:pPr>
      <w:rPr>
        <w:rFonts w:ascii="Times New Roman" w:hAnsi="Times New Roman" w:cs="Times New Roman" w:hint="default"/>
        <w:b w:val="0"/>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E3334F2"/>
    <w:multiLevelType w:val="hybridMultilevel"/>
    <w:tmpl w:val="CDE2D93C"/>
    <w:lvl w:ilvl="0" w:tplc="8196C724">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0436809"/>
    <w:multiLevelType w:val="hybridMultilevel"/>
    <w:tmpl w:val="BBA2A45C"/>
    <w:lvl w:ilvl="0" w:tplc="F9DC0634">
      <w:start w:val="1"/>
      <w:numFmt w:val="bullet"/>
      <w:lvlText w:val=""/>
      <w:lvlJc w:val="left"/>
      <w:pPr>
        <w:ind w:left="720" w:hanging="360"/>
      </w:pPr>
      <w:rPr>
        <w:rFonts w:ascii="Symbol" w:hAnsi="Symbol" w:hint="default"/>
      </w:rPr>
    </w:lvl>
    <w:lvl w:ilvl="1" w:tplc="F9DC0634">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176539E"/>
    <w:multiLevelType w:val="hybridMultilevel"/>
    <w:tmpl w:val="A50EAB10"/>
    <w:lvl w:ilvl="0" w:tplc="F6DCFD44">
      <w:start w:val="5"/>
      <w:numFmt w:val="decimal"/>
      <w:lvlText w:val="%1."/>
      <w:lvlJc w:val="left"/>
      <w:pPr>
        <w:ind w:left="1530" w:hanging="360"/>
      </w:pPr>
      <w:rPr>
        <w:rFonts w:hint="default"/>
      </w:rPr>
    </w:lvl>
    <w:lvl w:ilvl="1" w:tplc="04260019" w:tentative="1">
      <w:start w:val="1"/>
      <w:numFmt w:val="lowerLetter"/>
      <w:lvlText w:val="%2."/>
      <w:lvlJc w:val="left"/>
      <w:pPr>
        <w:ind w:left="2250" w:hanging="360"/>
      </w:pPr>
    </w:lvl>
    <w:lvl w:ilvl="2" w:tplc="0426001B" w:tentative="1">
      <w:start w:val="1"/>
      <w:numFmt w:val="lowerRoman"/>
      <w:lvlText w:val="%3."/>
      <w:lvlJc w:val="right"/>
      <w:pPr>
        <w:ind w:left="2970" w:hanging="180"/>
      </w:pPr>
    </w:lvl>
    <w:lvl w:ilvl="3" w:tplc="0426000F" w:tentative="1">
      <w:start w:val="1"/>
      <w:numFmt w:val="decimal"/>
      <w:lvlText w:val="%4."/>
      <w:lvlJc w:val="left"/>
      <w:pPr>
        <w:ind w:left="3690" w:hanging="360"/>
      </w:pPr>
    </w:lvl>
    <w:lvl w:ilvl="4" w:tplc="04260019" w:tentative="1">
      <w:start w:val="1"/>
      <w:numFmt w:val="lowerLetter"/>
      <w:lvlText w:val="%5."/>
      <w:lvlJc w:val="left"/>
      <w:pPr>
        <w:ind w:left="4410" w:hanging="360"/>
      </w:pPr>
    </w:lvl>
    <w:lvl w:ilvl="5" w:tplc="0426001B" w:tentative="1">
      <w:start w:val="1"/>
      <w:numFmt w:val="lowerRoman"/>
      <w:lvlText w:val="%6."/>
      <w:lvlJc w:val="right"/>
      <w:pPr>
        <w:ind w:left="5130" w:hanging="180"/>
      </w:pPr>
    </w:lvl>
    <w:lvl w:ilvl="6" w:tplc="0426000F" w:tentative="1">
      <w:start w:val="1"/>
      <w:numFmt w:val="decimal"/>
      <w:lvlText w:val="%7."/>
      <w:lvlJc w:val="left"/>
      <w:pPr>
        <w:ind w:left="5850" w:hanging="360"/>
      </w:pPr>
    </w:lvl>
    <w:lvl w:ilvl="7" w:tplc="04260019" w:tentative="1">
      <w:start w:val="1"/>
      <w:numFmt w:val="lowerLetter"/>
      <w:lvlText w:val="%8."/>
      <w:lvlJc w:val="left"/>
      <w:pPr>
        <w:ind w:left="6570" w:hanging="360"/>
      </w:pPr>
    </w:lvl>
    <w:lvl w:ilvl="8" w:tplc="0426001B" w:tentative="1">
      <w:start w:val="1"/>
      <w:numFmt w:val="lowerRoman"/>
      <w:lvlText w:val="%9."/>
      <w:lvlJc w:val="right"/>
      <w:pPr>
        <w:ind w:left="7290" w:hanging="180"/>
      </w:pPr>
    </w:lvl>
  </w:abstractNum>
  <w:abstractNum w:abstractNumId="14">
    <w:nsid w:val="224975B9"/>
    <w:multiLevelType w:val="hybridMultilevel"/>
    <w:tmpl w:val="746CE0D0"/>
    <w:lvl w:ilvl="0" w:tplc="0426000F">
      <w:start w:val="1"/>
      <w:numFmt w:val="decimal"/>
      <w:lvlText w:val="%1."/>
      <w:lvlJc w:val="left"/>
      <w:pPr>
        <w:ind w:left="742" w:hanging="360"/>
      </w:pPr>
      <w:rPr>
        <w:rFonts w:hint="default"/>
      </w:rPr>
    </w:lvl>
    <w:lvl w:ilvl="1" w:tplc="04260019" w:tentative="1">
      <w:start w:val="1"/>
      <w:numFmt w:val="lowerLetter"/>
      <w:lvlText w:val="%2."/>
      <w:lvlJc w:val="left"/>
      <w:pPr>
        <w:ind w:left="1462" w:hanging="360"/>
      </w:pPr>
    </w:lvl>
    <w:lvl w:ilvl="2" w:tplc="0426001B" w:tentative="1">
      <w:start w:val="1"/>
      <w:numFmt w:val="lowerRoman"/>
      <w:lvlText w:val="%3."/>
      <w:lvlJc w:val="right"/>
      <w:pPr>
        <w:ind w:left="2182" w:hanging="180"/>
      </w:pPr>
    </w:lvl>
    <w:lvl w:ilvl="3" w:tplc="0426000F" w:tentative="1">
      <w:start w:val="1"/>
      <w:numFmt w:val="decimal"/>
      <w:lvlText w:val="%4."/>
      <w:lvlJc w:val="left"/>
      <w:pPr>
        <w:ind w:left="2902" w:hanging="360"/>
      </w:pPr>
    </w:lvl>
    <w:lvl w:ilvl="4" w:tplc="04260019" w:tentative="1">
      <w:start w:val="1"/>
      <w:numFmt w:val="lowerLetter"/>
      <w:lvlText w:val="%5."/>
      <w:lvlJc w:val="left"/>
      <w:pPr>
        <w:ind w:left="3622" w:hanging="360"/>
      </w:pPr>
    </w:lvl>
    <w:lvl w:ilvl="5" w:tplc="0426001B" w:tentative="1">
      <w:start w:val="1"/>
      <w:numFmt w:val="lowerRoman"/>
      <w:lvlText w:val="%6."/>
      <w:lvlJc w:val="right"/>
      <w:pPr>
        <w:ind w:left="4342" w:hanging="180"/>
      </w:pPr>
    </w:lvl>
    <w:lvl w:ilvl="6" w:tplc="0426000F" w:tentative="1">
      <w:start w:val="1"/>
      <w:numFmt w:val="decimal"/>
      <w:lvlText w:val="%7."/>
      <w:lvlJc w:val="left"/>
      <w:pPr>
        <w:ind w:left="5062" w:hanging="360"/>
      </w:pPr>
    </w:lvl>
    <w:lvl w:ilvl="7" w:tplc="04260019" w:tentative="1">
      <w:start w:val="1"/>
      <w:numFmt w:val="lowerLetter"/>
      <w:lvlText w:val="%8."/>
      <w:lvlJc w:val="left"/>
      <w:pPr>
        <w:ind w:left="5782" w:hanging="360"/>
      </w:pPr>
    </w:lvl>
    <w:lvl w:ilvl="8" w:tplc="0426001B" w:tentative="1">
      <w:start w:val="1"/>
      <w:numFmt w:val="lowerRoman"/>
      <w:lvlText w:val="%9."/>
      <w:lvlJc w:val="right"/>
      <w:pPr>
        <w:ind w:left="6502" w:hanging="180"/>
      </w:pPr>
    </w:lvl>
  </w:abstractNum>
  <w:abstractNum w:abstractNumId="15">
    <w:nsid w:val="2DD1760E"/>
    <w:multiLevelType w:val="hybridMultilevel"/>
    <w:tmpl w:val="9F10B938"/>
    <w:lvl w:ilvl="0" w:tplc="0DBE92D2">
      <w:start w:val="1"/>
      <w:numFmt w:val="upperRoman"/>
      <w:pStyle w:val="Heading2Annex"/>
      <w:suff w:val="space"/>
      <w:lvlText w:val="Pielikums Nr. %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FF518B7"/>
    <w:multiLevelType w:val="hybridMultilevel"/>
    <w:tmpl w:val="D3C4B62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2D30EB9"/>
    <w:multiLevelType w:val="hybridMultilevel"/>
    <w:tmpl w:val="8F5AED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373117A"/>
    <w:multiLevelType w:val="hybridMultilevel"/>
    <w:tmpl w:val="649C290E"/>
    <w:lvl w:ilvl="0" w:tplc="F9DC0634">
      <w:start w:val="1"/>
      <w:numFmt w:val="bullet"/>
      <w:lvlText w:val=""/>
      <w:lvlJc w:val="left"/>
      <w:pPr>
        <w:ind w:left="1440" w:hanging="360"/>
      </w:pPr>
      <w:rPr>
        <w:rFonts w:ascii="Symbol" w:hAnsi="Symbol" w:hint="default"/>
      </w:rPr>
    </w:lvl>
    <w:lvl w:ilvl="1" w:tplc="F9DC0634">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41AB772F"/>
    <w:multiLevelType w:val="hybridMultilevel"/>
    <w:tmpl w:val="59D22B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3805548"/>
    <w:multiLevelType w:val="hybridMultilevel"/>
    <w:tmpl w:val="C59ED1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7C057DB"/>
    <w:multiLevelType w:val="hybridMultilevel"/>
    <w:tmpl w:val="B9D0F354"/>
    <w:lvl w:ilvl="0" w:tplc="D5387F94">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2">
    <w:nsid w:val="4E2E7188"/>
    <w:multiLevelType w:val="hybridMultilevel"/>
    <w:tmpl w:val="CAD4D14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6996E69"/>
    <w:multiLevelType w:val="multilevel"/>
    <w:tmpl w:val="E1785416"/>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4">
    <w:nsid w:val="61B536EF"/>
    <w:multiLevelType w:val="hybridMultilevel"/>
    <w:tmpl w:val="64F68BF4"/>
    <w:lvl w:ilvl="0" w:tplc="08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5">
    <w:nsid w:val="6FD33EE7"/>
    <w:multiLevelType w:val="multilevel"/>
    <w:tmpl w:val="ACFEFEE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450" w:hanging="45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6">
    <w:nsid w:val="73B6596E"/>
    <w:multiLevelType w:val="hybridMultilevel"/>
    <w:tmpl w:val="ADBEE53E"/>
    <w:lvl w:ilvl="0" w:tplc="FEA23FFA">
      <w:start w:val="3"/>
      <w:numFmt w:val="decimal"/>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27">
    <w:nsid w:val="76B379C2"/>
    <w:multiLevelType w:val="hybridMultilevel"/>
    <w:tmpl w:val="465826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7"/>
  </w:num>
  <w:num w:numId="5">
    <w:abstractNumId w:val="24"/>
  </w:num>
  <w:num w:numId="6">
    <w:abstractNumId w:val="16"/>
  </w:num>
  <w:num w:numId="7">
    <w:abstractNumId w:val="15"/>
    <w:lvlOverride w:ilvl="0">
      <w:lvl w:ilvl="0" w:tplc="0DBE92D2">
        <w:start w:val="1"/>
        <w:numFmt w:val="upperRoman"/>
        <w:pStyle w:val="Heading2Annex"/>
        <w:suff w:val="space"/>
        <w:lvlText w:val="Pielikums Nr. %1 -"/>
        <w:lvlJc w:val="left"/>
        <w:pPr>
          <w:ind w:left="0" w:firstLine="0"/>
        </w:pPr>
        <w:rPr>
          <w:rFonts w:hint="default"/>
        </w:rPr>
      </w:lvl>
    </w:lvlOverride>
    <w:lvlOverride w:ilvl="1">
      <w:lvl w:ilvl="1" w:tplc="04260019" w:tentative="1">
        <w:start w:val="1"/>
        <w:numFmt w:val="lowerLetter"/>
        <w:lvlText w:val="%2."/>
        <w:lvlJc w:val="left"/>
        <w:pPr>
          <w:ind w:left="1440" w:hanging="360"/>
        </w:pPr>
      </w:lvl>
    </w:lvlOverride>
    <w:lvlOverride w:ilvl="2">
      <w:lvl w:ilvl="2" w:tplc="0426001B" w:tentative="1">
        <w:start w:val="1"/>
        <w:numFmt w:val="lowerRoman"/>
        <w:lvlText w:val="%3."/>
        <w:lvlJc w:val="right"/>
        <w:pPr>
          <w:ind w:left="2160" w:hanging="180"/>
        </w:pPr>
      </w:lvl>
    </w:lvlOverride>
    <w:lvlOverride w:ilvl="3">
      <w:lvl w:ilvl="3" w:tplc="0426000F" w:tentative="1">
        <w:start w:val="1"/>
        <w:numFmt w:val="decimal"/>
        <w:lvlText w:val="%4."/>
        <w:lvlJc w:val="left"/>
        <w:pPr>
          <w:ind w:left="2880" w:hanging="360"/>
        </w:pPr>
      </w:lvl>
    </w:lvlOverride>
    <w:lvlOverride w:ilvl="4">
      <w:lvl w:ilvl="4" w:tplc="04260019" w:tentative="1">
        <w:start w:val="1"/>
        <w:numFmt w:val="lowerLetter"/>
        <w:lvlText w:val="%5."/>
        <w:lvlJc w:val="left"/>
        <w:pPr>
          <w:ind w:left="3600" w:hanging="360"/>
        </w:pPr>
      </w:lvl>
    </w:lvlOverride>
    <w:lvlOverride w:ilvl="5">
      <w:lvl w:ilvl="5" w:tplc="0426001B" w:tentative="1">
        <w:start w:val="1"/>
        <w:numFmt w:val="lowerRoman"/>
        <w:lvlText w:val="%6."/>
        <w:lvlJc w:val="right"/>
        <w:pPr>
          <w:ind w:left="4320" w:hanging="180"/>
        </w:pPr>
      </w:lvl>
    </w:lvlOverride>
    <w:lvlOverride w:ilvl="6">
      <w:lvl w:ilvl="6" w:tplc="0426000F" w:tentative="1">
        <w:start w:val="1"/>
        <w:numFmt w:val="decimal"/>
        <w:lvlText w:val="%7."/>
        <w:lvlJc w:val="left"/>
        <w:pPr>
          <w:ind w:left="5040" w:hanging="360"/>
        </w:pPr>
      </w:lvl>
    </w:lvlOverride>
    <w:lvlOverride w:ilvl="7">
      <w:lvl w:ilvl="7" w:tplc="04260019" w:tentative="1">
        <w:start w:val="1"/>
        <w:numFmt w:val="lowerLetter"/>
        <w:lvlText w:val="%8."/>
        <w:lvlJc w:val="left"/>
        <w:pPr>
          <w:ind w:left="5760" w:hanging="360"/>
        </w:pPr>
      </w:lvl>
    </w:lvlOverride>
    <w:lvlOverride w:ilvl="8">
      <w:lvl w:ilvl="8" w:tplc="0426001B" w:tentative="1">
        <w:start w:val="1"/>
        <w:numFmt w:val="lowerRoman"/>
        <w:lvlText w:val="%9."/>
        <w:lvlJc w:val="right"/>
        <w:pPr>
          <w:ind w:left="6480" w:hanging="180"/>
        </w:pPr>
      </w:lvl>
    </w:lvlOverride>
  </w:num>
  <w:num w:numId="8">
    <w:abstractNumId w:val="8"/>
  </w:num>
  <w:num w:numId="9">
    <w:abstractNumId w:val="22"/>
  </w:num>
  <w:num w:numId="10">
    <w:abstractNumId w:val="19"/>
  </w:num>
  <w:num w:numId="11">
    <w:abstractNumId w:val="5"/>
  </w:num>
  <w:num w:numId="12">
    <w:abstractNumId w:val="10"/>
  </w:num>
  <w:num w:numId="13">
    <w:abstractNumId w:val="2"/>
  </w:num>
  <w:num w:numId="14">
    <w:abstractNumId w:val="21"/>
  </w:num>
  <w:num w:numId="15">
    <w:abstractNumId w:val="11"/>
  </w:num>
  <w:num w:numId="16">
    <w:abstractNumId w:val="9"/>
  </w:num>
  <w:num w:numId="17">
    <w:abstractNumId w:val="3"/>
  </w:num>
  <w:num w:numId="18">
    <w:abstractNumId w:val="3"/>
  </w:num>
  <w:num w:numId="19">
    <w:abstractNumId w:val="3"/>
  </w:num>
  <w:num w:numId="20">
    <w:abstractNumId w:val="3"/>
  </w:num>
  <w:num w:numId="21">
    <w:abstractNumId w:val="3"/>
  </w:num>
  <w:num w:numId="22">
    <w:abstractNumId w:val="3"/>
  </w:num>
  <w:num w:numId="23">
    <w:abstractNumId w:val="20"/>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4"/>
  </w:num>
  <w:num w:numId="33">
    <w:abstractNumId w:val="3"/>
  </w:num>
  <w:num w:numId="34">
    <w:abstractNumId w:val="3"/>
  </w:num>
  <w:num w:numId="35">
    <w:abstractNumId w:val="3"/>
  </w:num>
  <w:num w:numId="36">
    <w:abstractNumId w:val="27"/>
  </w:num>
  <w:num w:numId="37">
    <w:abstractNumId w:val="7"/>
  </w:num>
  <w:num w:numId="38">
    <w:abstractNumId w:val="18"/>
  </w:num>
  <w:num w:numId="39">
    <w:abstractNumId w:val="1"/>
  </w:num>
  <w:num w:numId="40">
    <w:abstractNumId w:val="12"/>
  </w:num>
  <w:num w:numId="41">
    <w:abstractNumId w:val="4"/>
  </w:num>
  <w:num w:numId="42">
    <w:abstractNumId w:val="25"/>
  </w:num>
  <w:num w:numId="43">
    <w:abstractNumId w:val="23"/>
  </w:num>
  <w:num w:numId="44">
    <w:abstractNumId w:val="26"/>
  </w:num>
  <w:num w:numId="45">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65538"/>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docVars>
    <w:docVar w:name="LW_DocType" w:val="NORMAL"/>
  </w:docVars>
  <w:rsids>
    <w:rsidRoot w:val="00A14AC1"/>
    <w:rsid w:val="000015B9"/>
    <w:rsid w:val="00002217"/>
    <w:rsid w:val="000038FC"/>
    <w:rsid w:val="00004152"/>
    <w:rsid w:val="00004339"/>
    <w:rsid w:val="00007D39"/>
    <w:rsid w:val="00011228"/>
    <w:rsid w:val="000121D1"/>
    <w:rsid w:val="0001255B"/>
    <w:rsid w:val="0001273E"/>
    <w:rsid w:val="00012F78"/>
    <w:rsid w:val="00013167"/>
    <w:rsid w:val="0001456A"/>
    <w:rsid w:val="000225C7"/>
    <w:rsid w:val="0002300D"/>
    <w:rsid w:val="0002317F"/>
    <w:rsid w:val="0002339B"/>
    <w:rsid w:val="0002392C"/>
    <w:rsid w:val="0002586C"/>
    <w:rsid w:val="000261B5"/>
    <w:rsid w:val="000262A2"/>
    <w:rsid w:val="00026502"/>
    <w:rsid w:val="0002670B"/>
    <w:rsid w:val="00026DAA"/>
    <w:rsid w:val="0002749C"/>
    <w:rsid w:val="000274FB"/>
    <w:rsid w:val="00027D5A"/>
    <w:rsid w:val="000302ED"/>
    <w:rsid w:val="00031C25"/>
    <w:rsid w:val="00032317"/>
    <w:rsid w:val="0003397D"/>
    <w:rsid w:val="000345F5"/>
    <w:rsid w:val="00034800"/>
    <w:rsid w:val="0003509C"/>
    <w:rsid w:val="00035C85"/>
    <w:rsid w:val="0003660E"/>
    <w:rsid w:val="000369AE"/>
    <w:rsid w:val="00040BC0"/>
    <w:rsid w:val="00042073"/>
    <w:rsid w:val="00043720"/>
    <w:rsid w:val="00044012"/>
    <w:rsid w:val="00044CC7"/>
    <w:rsid w:val="00044CFB"/>
    <w:rsid w:val="00047090"/>
    <w:rsid w:val="00047398"/>
    <w:rsid w:val="00050114"/>
    <w:rsid w:val="00051301"/>
    <w:rsid w:val="00051D61"/>
    <w:rsid w:val="00052D8E"/>
    <w:rsid w:val="00054FA7"/>
    <w:rsid w:val="000550F6"/>
    <w:rsid w:val="00055137"/>
    <w:rsid w:val="000563FD"/>
    <w:rsid w:val="00057577"/>
    <w:rsid w:val="00061EFD"/>
    <w:rsid w:val="00063084"/>
    <w:rsid w:val="00063A54"/>
    <w:rsid w:val="00064CC5"/>
    <w:rsid w:val="00065593"/>
    <w:rsid w:val="00067EDA"/>
    <w:rsid w:val="0007045C"/>
    <w:rsid w:val="00071B9B"/>
    <w:rsid w:val="00072AD2"/>
    <w:rsid w:val="0007502F"/>
    <w:rsid w:val="00075DDB"/>
    <w:rsid w:val="00077F82"/>
    <w:rsid w:val="000806AB"/>
    <w:rsid w:val="00080791"/>
    <w:rsid w:val="000820EE"/>
    <w:rsid w:val="0008383D"/>
    <w:rsid w:val="00084B21"/>
    <w:rsid w:val="000852D7"/>
    <w:rsid w:val="00085567"/>
    <w:rsid w:val="00085A3D"/>
    <w:rsid w:val="00085A42"/>
    <w:rsid w:val="00086C20"/>
    <w:rsid w:val="000872E5"/>
    <w:rsid w:val="00091246"/>
    <w:rsid w:val="0009152F"/>
    <w:rsid w:val="00091537"/>
    <w:rsid w:val="00091873"/>
    <w:rsid w:val="000923B6"/>
    <w:rsid w:val="00092420"/>
    <w:rsid w:val="000939B0"/>
    <w:rsid w:val="00093B5B"/>
    <w:rsid w:val="00093D80"/>
    <w:rsid w:val="0009418A"/>
    <w:rsid w:val="00095CB2"/>
    <w:rsid w:val="00097136"/>
    <w:rsid w:val="00097A58"/>
    <w:rsid w:val="00097E8B"/>
    <w:rsid w:val="000A0846"/>
    <w:rsid w:val="000A11EB"/>
    <w:rsid w:val="000A295C"/>
    <w:rsid w:val="000A3885"/>
    <w:rsid w:val="000A3C14"/>
    <w:rsid w:val="000A43EC"/>
    <w:rsid w:val="000A5B0B"/>
    <w:rsid w:val="000A7B0A"/>
    <w:rsid w:val="000A7DA6"/>
    <w:rsid w:val="000B0390"/>
    <w:rsid w:val="000B051C"/>
    <w:rsid w:val="000B1D4E"/>
    <w:rsid w:val="000B2409"/>
    <w:rsid w:val="000B2D09"/>
    <w:rsid w:val="000B3531"/>
    <w:rsid w:val="000B5BB0"/>
    <w:rsid w:val="000C601F"/>
    <w:rsid w:val="000D060C"/>
    <w:rsid w:val="000D0A31"/>
    <w:rsid w:val="000D1E63"/>
    <w:rsid w:val="000D2197"/>
    <w:rsid w:val="000D3446"/>
    <w:rsid w:val="000D38EC"/>
    <w:rsid w:val="000D4665"/>
    <w:rsid w:val="000D69D4"/>
    <w:rsid w:val="000D6F81"/>
    <w:rsid w:val="000E05F4"/>
    <w:rsid w:val="000E06E8"/>
    <w:rsid w:val="000E0F58"/>
    <w:rsid w:val="000E1584"/>
    <w:rsid w:val="000E17C9"/>
    <w:rsid w:val="000E2417"/>
    <w:rsid w:val="000E2678"/>
    <w:rsid w:val="000E34FB"/>
    <w:rsid w:val="000E431C"/>
    <w:rsid w:val="000E7A43"/>
    <w:rsid w:val="000F01F1"/>
    <w:rsid w:val="000F1B8B"/>
    <w:rsid w:val="000F2BE6"/>
    <w:rsid w:val="000F49E7"/>
    <w:rsid w:val="001009B1"/>
    <w:rsid w:val="0010151F"/>
    <w:rsid w:val="00102CE2"/>
    <w:rsid w:val="00103595"/>
    <w:rsid w:val="0010559D"/>
    <w:rsid w:val="001061EE"/>
    <w:rsid w:val="00106E55"/>
    <w:rsid w:val="00110364"/>
    <w:rsid w:val="00110C6B"/>
    <w:rsid w:val="00112E46"/>
    <w:rsid w:val="00114695"/>
    <w:rsid w:val="001171F3"/>
    <w:rsid w:val="001173C6"/>
    <w:rsid w:val="00117558"/>
    <w:rsid w:val="001205F9"/>
    <w:rsid w:val="00122A1A"/>
    <w:rsid w:val="001248F1"/>
    <w:rsid w:val="001254D0"/>
    <w:rsid w:val="00132179"/>
    <w:rsid w:val="001330CA"/>
    <w:rsid w:val="001337EA"/>
    <w:rsid w:val="001346F7"/>
    <w:rsid w:val="00135A4E"/>
    <w:rsid w:val="00135C1A"/>
    <w:rsid w:val="00136044"/>
    <w:rsid w:val="0013766B"/>
    <w:rsid w:val="00137742"/>
    <w:rsid w:val="0014051E"/>
    <w:rsid w:val="00140669"/>
    <w:rsid w:val="001437B4"/>
    <w:rsid w:val="0014389C"/>
    <w:rsid w:val="00144345"/>
    <w:rsid w:val="0014771E"/>
    <w:rsid w:val="00147DE8"/>
    <w:rsid w:val="00152347"/>
    <w:rsid w:val="00152B74"/>
    <w:rsid w:val="00153575"/>
    <w:rsid w:val="00154424"/>
    <w:rsid w:val="001575FF"/>
    <w:rsid w:val="00160584"/>
    <w:rsid w:val="001609F9"/>
    <w:rsid w:val="00160CAC"/>
    <w:rsid w:val="00160ED3"/>
    <w:rsid w:val="001612EF"/>
    <w:rsid w:val="0016150C"/>
    <w:rsid w:val="00161CB2"/>
    <w:rsid w:val="001721CE"/>
    <w:rsid w:val="00172D3F"/>
    <w:rsid w:val="00174C18"/>
    <w:rsid w:val="00175B9C"/>
    <w:rsid w:val="00176FB4"/>
    <w:rsid w:val="00177C02"/>
    <w:rsid w:val="00180CA1"/>
    <w:rsid w:val="00181621"/>
    <w:rsid w:val="00182364"/>
    <w:rsid w:val="001833DD"/>
    <w:rsid w:val="001856BF"/>
    <w:rsid w:val="001866AF"/>
    <w:rsid w:val="00186969"/>
    <w:rsid w:val="00186E3D"/>
    <w:rsid w:val="0018742F"/>
    <w:rsid w:val="001874C2"/>
    <w:rsid w:val="00187DD3"/>
    <w:rsid w:val="00190156"/>
    <w:rsid w:val="00190D8B"/>
    <w:rsid w:val="001914CA"/>
    <w:rsid w:val="00191FA5"/>
    <w:rsid w:val="0019251B"/>
    <w:rsid w:val="0019257B"/>
    <w:rsid w:val="00192771"/>
    <w:rsid w:val="00192E37"/>
    <w:rsid w:val="00193258"/>
    <w:rsid w:val="001959EA"/>
    <w:rsid w:val="00195EA1"/>
    <w:rsid w:val="001960CF"/>
    <w:rsid w:val="001960F7"/>
    <w:rsid w:val="0019673F"/>
    <w:rsid w:val="00196B6A"/>
    <w:rsid w:val="001A0F50"/>
    <w:rsid w:val="001A35B2"/>
    <w:rsid w:val="001A4D59"/>
    <w:rsid w:val="001A7231"/>
    <w:rsid w:val="001B055E"/>
    <w:rsid w:val="001B1A5A"/>
    <w:rsid w:val="001B1E8B"/>
    <w:rsid w:val="001B2FC5"/>
    <w:rsid w:val="001B5037"/>
    <w:rsid w:val="001B58E3"/>
    <w:rsid w:val="001B6586"/>
    <w:rsid w:val="001B6822"/>
    <w:rsid w:val="001B6875"/>
    <w:rsid w:val="001B710F"/>
    <w:rsid w:val="001B77C5"/>
    <w:rsid w:val="001B79D0"/>
    <w:rsid w:val="001B7C61"/>
    <w:rsid w:val="001C035E"/>
    <w:rsid w:val="001C05FA"/>
    <w:rsid w:val="001C13F5"/>
    <w:rsid w:val="001C184A"/>
    <w:rsid w:val="001C1C53"/>
    <w:rsid w:val="001C33A4"/>
    <w:rsid w:val="001C5CF4"/>
    <w:rsid w:val="001C66B7"/>
    <w:rsid w:val="001C6859"/>
    <w:rsid w:val="001D0F9F"/>
    <w:rsid w:val="001D2B41"/>
    <w:rsid w:val="001D3DE0"/>
    <w:rsid w:val="001D48AE"/>
    <w:rsid w:val="001D5133"/>
    <w:rsid w:val="001D546F"/>
    <w:rsid w:val="001D6590"/>
    <w:rsid w:val="001D6ED5"/>
    <w:rsid w:val="001D78D4"/>
    <w:rsid w:val="001D7AF4"/>
    <w:rsid w:val="001D7D71"/>
    <w:rsid w:val="001E08A6"/>
    <w:rsid w:val="001E1515"/>
    <w:rsid w:val="001E19BC"/>
    <w:rsid w:val="001E245B"/>
    <w:rsid w:val="001E2A64"/>
    <w:rsid w:val="001E410E"/>
    <w:rsid w:val="001E41DB"/>
    <w:rsid w:val="001E4968"/>
    <w:rsid w:val="001F0719"/>
    <w:rsid w:val="001F0A70"/>
    <w:rsid w:val="001F0E28"/>
    <w:rsid w:val="001F1C0B"/>
    <w:rsid w:val="001F1DA8"/>
    <w:rsid w:val="001F1DCB"/>
    <w:rsid w:val="001F1F93"/>
    <w:rsid w:val="001F2EDC"/>
    <w:rsid w:val="001F50E9"/>
    <w:rsid w:val="001F576A"/>
    <w:rsid w:val="001F5CD5"/>
    <w:rsid w:val="001F6FB9"/>
    <w:rsid w:val="00200BA6"/>
    <w:rsid w:val="00201710"/>
    <w:rsid w:val="00201BBC"/>
    <w:rsid w:val="002021CC"/>
    <w:rsid w:val="002029A5"/>
    <w:rsid w:val="00202F36"/>
    <w:rsid w:val="002031A9"/>
    <w:rsid w:val="00204970"/>
    <w:rsid w:val="00206F3D"/>
    <w:rsid w:val="002135D1"/>
    <w:rsid w:val="002137BA"/>
    <w:rsid w:val="0021393B"/>
    <w:rsid w:val="00213AA3"/>
    <w:rsid w:val="00213F7C"/>
    <w:rsid w:val="0021422E"/>
    <w:rsid w:val="00215DFC"/>
    <w:rsid w:val="002173E5"/>
    <w:rsid w:val="00217877"/>
    <w:rsid w:val="00217CCE"/>
    <w:rsid w:val="00217F5A"/>
    <w:rsid w:val="00220564"/>
    <w:rsid w:val="002223F5"/>
    <w:rsid w:val="00222B5B"/>
    <w:rsid w:val="002237E3"/>
    <w:rsid w:val="0022401E"/>
    <w:rsid w:val="002260BB"/>
    <w:rsid w:val="00226468"/>
    <w:rsid w:val="00226C59"/>
    <w:rsid w:val="00227278"/>
    <w:rsid w:val="00230775"/>
    <w:rsid w:val="00231BE4"/>
    <w:rsid w:val="002334E7"/>
    <w:rsid w:val="0023374B"/>
    <w:rsid w:val="0023456E"/>
    <w:rsid w:val="002354CA"/>
    <w:rsid w:val="00235673"/>
    <w:rsid w:val="00235B2C"/>
    <w:rsid w:val="002360EF"/>
    <w:rsid w:val="00236741"/>
    <w:rsid w:val="0023783C"/>
    <w:rsid w:val="00237940"/>
    <w:rsid w:val="00237C9D"/>
    <w:rsid w:val="00237F76"/>
    <w:rsid w:val="00241DBB"/>
    <w:rsid w:val="0024230B"/>
    <w:rsid w:val="0024232C"/>
    <w:rsid w:val="002436D2"/>
    <w:rsid w:val="0024374A"/>
    <w:rsid w:val="0024440A"/>
    <w:rsid w:val="0024441B"/>
    <w:rsid w:val="00244985"/>
    <w:rsid w:val="00245E57"/>
    <w:rsid w:val="00251C62"/>
    <w:rsid w:val="00252D41"/>
    <w:rsid w:val="00252E1B"/>
    <w:rsid w:val="00253B04"/>
    <w:rsid w:val="002542BB"/>
    <w:rsid w:val="002547A2"/>
    <w:rsid w:val="0025487E"/>
    <w:rsid w:val="00254E32"/>
    <w:rsid w:val="0025575F"/>
    <w:rsid w:val="00256897"/>
    <w:rsid w:val="00260893"/>
    <w:rsid w:val="00263088"/>
    <w:rsid w:val="00263170"/>
    <w:rsid w:val="00263690"/>
    <w:rsid w:val="00263A5E"/>
    <w:rsid w:val="002644D6"/>
    <w:rsid w:val="00265119"/>
    <w:rsid w:val="00265682"/>
    <w:rsid w:val="00266556"/>
    <w:rsid w:val="00267718"/>
    <w:rsid w:val="00267F4B"/>
    <w:rsid w:val="002708B4"/>
    <w:rsid w:val="00270C3F"/>
    <w:rsid w:val="00272892"/>
    <w:rsid w:val="002778E8"/>
    <w:rsid w:val="00281016"/>
    <w:rsid w:val="00281202"/>
    <w:rsid w:val="00282D08"/>
    <w:rsid w:val="0028357F"/>
    <w:rsid w:val="00283A43"/>
    <w:rsid w:val="00284834"/>
    <w:rsid w:val="00284D48"/>
    <w:rsid w:val="00285F4B"/>
    <w:rsid w:val="00285FB7"/>
    <w:rsid w:val="00285FE3"/>
    <w:rsid w:val="0028627C"/>
    <w:rsid w:val="0028657A"/>
    <w:rsid w:val="0029014A"/>
    <w:rsid w:val="00292293"/>
    <w:rsid w:val="00292FA9"/>
    <w:rsid w:val="00293DCE"/>
    <w:rsid w:val="00294764"/>
    <w:rsid w:val="002965A4"/>
    <w:rsid w:val="00297604"/>
    <w:rsid w:val="002A3906"/>
    <w:rsid w:val="002A47B3"/>
    <w:rsid w:val="002A4F37"/>
    <w:rsid w:val="002A54FE"/>
    <w:rsid w:val="002A5A52"/>
    <w:rsid w:val="002A621E"/>
    <w:rsid w:val="002A7FC4"/>
    <w:rsid w:val="002B16B3"/>
    <w:rsid w:val="002B18FC"/>
    <w:rsid w:val="002B1DC9"/>
    <w:rsid w:val="002B2149"/>
    <w:rsid w:val="002B2386"/>
    <w:rsid w:val="002B2530"/>
    <w:rsid w:val="002B3660"/>
    <w:rsid w:val="002B46CD"/>
    <w:rsid w:val="002B4A29"/>
    <w:rsid w:val="002B5B4A"/>
    <w:rsid w:val="002B5EFA"/>
    <w:rsid w:val="002C267F"/>
    <w:rsid w:val="002C2F81"/>
    <w:rsid w:val="002C33A5"/>
    <w:rsid w:val="002C435E"/>
    <w:rsid w:val="002C43B7"/>
    <w:rsid w:val="002C48A4"/>
    <w:rsid w:val="002C5A7A"/>
    <w:rsid w:val="002C5ABB"/>
    <w:rsid w:val="002C7293"/>
    <w:rsid w:val="002C7AA4"/>
    <w:rsid w:val="002D0164"/>
    <w:rsid w:val="002D094A"/>
    <w:rsid w:val="002D0B0D"/>
    <w:rsid w:val="002D11F0"/>
    <w:rsid w:val="002D1881"/>
    <w:rsid w:val="002D234F"/>
    <w:rsid w:val="002D429D"/>
    <w:rsid w:val="002D5CBF"/>
    <w:rsid w:val="002D7085"/>
    <w:rsid w:val="002D723E"/>
    <w:rsid w:val="002D742B"/>
    <w:rsid w:val="002E01F3"/>
    <w:rsid w:val="002E157D"/>
    <w:rsid w:val="002E1F5C"/>
    <w:rsid w:val="002E2DAA"/>
    <w:rsid w:val="002E2FA1"/>
    <w:rsid w:val="002E3AD4"/>
    <w:rsid w:val="002E5035"/>
    <w:rsid w:val="002E5596"/>
    <w:rsid w:val="002E5CED"/>
    <w:rsid w:val="002E630F"/>
    <w:rsid w:val="002E6388"/>
    <w:rsid w:val="002E78FC"/>
    <w:rsid w:val="002F01C8"/>
    <w:rsid w:val="002F03D7"/>
    <w:rsid w:val="002F1095"/>
    <w:rsid w:val="002F176C"/>
    <w:rsid w:val="002F212B"/>
    <w:rsid w:val="002F3547"/>
    <w:rsid w:val="002F4EAA"/>
    <w:rsid w:val="002F51A8"/>
    <w:rsid w:val="002F6E3A"/>
    <w:rsid w:val="00300FA8"/>
    <w:rsid w:val="00301BF1"/>
    <w:rsid w:val="0030411A"/>
    <w:rsid w:val="0030536E"/>
    <w:rsid w:val="00305985"/>
    <w:rsid w:val="00306035"/>
    <w:rsid w:val="003061C4"/>
    <w:rsid w:val="003071E0"/>
    <w:rsid w:val="00307A39"/>
    <w:rsid w:val="00310245"/>
    <w:rsid w:val="00310459"/>
    <w:rsid w:val="00310919"/>
    <w:rsid w:val="00310AB3"/>
    <w:rsid w:val="0031199B"/>
    <w:rsid w:val="00312702"/>
    <w:rsid w:val="0031321F"/>
    <w:rsid w:val="003176D2"/>
    <w:rsid w:val="00320690"/>
    <w:rsid w:val="00320FCC"/>
    <w:rsid w:val="00321436"/>
    <w:rsid w:val="00321CD9"/>
    <w:rsid w:val="00322B46"/>
    <w:rsid w:val="00322BDC"/>
    <w:rsid w:val="003235C5"/>
    <w:rsid w:val="00324013"/>
    <w:rsid w:val="00326029"/>
    <w:rsid w:val="00327F41"/>
    <w:rsid w:val="00331C48"/>
    <w:rsid w:val="003331C9"/>
    <w:rsid w:val="003335AD"/>
    <w:rsid w:val="00333B6C"/>
    <w:rsid w:val="00333E47"/>
    <w:rsid w:val="00333F7E"/>
    <w:rsid w:val="00335420"/>
    <w:rsid w:val="003358F4"/>
    <w:rsid w:val="0033763D"/>
    <w:rsid w:val="00340303"/>
    <w:rsid w:val="00340800"/>
    <w:rsid w:val="00340E35"/>
    <w:rsid w:val="00340EFE"/>
    <w:rsid w:val="00341A44"/>
    <w:rsid w:val="00341F29"/>
    <w:rsid w:val="003432E3"/>
    <w:rsid w:val="00344CDB"/>
    <w:rsid w:val="003456D0"/>
    <w:rsid w:val="00346883"/>
    <w:rsid w:val="00346B54"/>
    <w:rsid w:val="00351259"/>
    <w:rsid w:val="00351DFC"/>
    <w:rsid w:val="00353383"/>
    <w:rsid w:val="003539DD"/>
    <w:rsid w:val="00353AE0"/>
    <w:rsid w:val="003548DC"/>
    <w:rsid w:val="00355590"/>
    <w:rsid w:val="00355CB4"/>
    <w:rsid w:val="00356035"/>
    <w:rsid w:val="00357954"/>
    <w:rsid w:val="003614B8"/>
    <w:rsid w:val="00361D2C"/>
    <w:rsid w:val="00363286"/>
    <w:rsid w:val="003646F8"/>
    <w:rsid w:val="00364E55"/>
    <w:rsid w:val="00365496"/>
    <w:rsid w:val="00365BBE"/>
    <w:rsid w:val="00371085"/>
    <w:rsid w:val="003716C2"/>
    <w:rsid w:val="00372355"/>
    <w:rsid w:val="00373349"/>
    <w:rsid w:val="00373840"/>
    <w:rsid w:val="00375DE6"/>
    <w:rsid w:val="00380060"/>
    <w:rsid w:val="00381C03"/>
    <w:rsid w:val="00382431"/>
    <w:rsid w:val="00382482"/>
    <w:rsid w:val="00382AF1"/>
    <w:rsid w:val="00382EDE"/>
    <w:rsid w:val="003836B3"/>
    <w:rsid w:val="00383A59"/>
    <w:rsid w:val="00384651"/>
    <w:rsid w:val="003848CD"/>
    <w:rsid w:val="003850D8"/>
    <w:rsid w:val="00386A28"/>
    <w:rsid w:val="00386AE5"/>
    <w:rsid w:val="00387104"/>
    <w:rsid w:val="003925DF"/>
    <w:rsid w:val="00394CB2"/>
    <w:rsid w:val="00395A3D"/>
    <w:rsid w:val="00396CEB"/>
    <w:rsid w:val="003972FE"/>
    <w:rsid w:val="00397A9F"/>
    <w:rsid w:val="00397D34"/>
    <w:rsid w:val="003A05C2"/>
    <w:rsid w:val="003A0D7C"/>
    <w:rsid w:val="003A1DE3"/>
    <w:rsid w:val="003A2166"/>
    <w:rsid w:val="003A3804"/>
    <w:rsid w:val="003A3EED"/>
    <w:rsid w:val="003A7AC0"/>
    <w:rsid w:val="003B1CAD"/>
    <w:rsid w:val="003B1F6A"/>
    <w:rsid w:val="003B2D44"/>
    <w:rsid w:val="003B2DF7"/>
    <w:rsid w:val="003B2E50"/>
    <w:rsid w:val="003B4F5F"/>
    <w:rsid w:val="003B5CF7"/>
    <w:rsid w:val="003B66D9"/>
    <w:rsid w:val="003C03CB"/>
    <w:rsid w:val="003C098C"/>
    <w:rsid w:val="003C0C22"/>
    <w:rsid w:val="003C14EC"/>
    <w:rsid w:val="003C192E"/>
    <w:rsid w:val="003C1D65"/>
    <w:rsid w:val="003C4624"/>
    <w:rsid w:val="003C48E2"/>
    <w:rsid w:val="003C4AC9"/>
    <w:rsid w:val="003C6A46"/>
    <w:rsid w:val="003C6B56"/>
    <w:rsid w:val="003C6B9F"/>
    <w:rsid w:val="003C6C9C"/>
    <w:rsid w:val="003C735C"/>
    <w:rsid w:val="003D08C3"/>
    <w:rsid w:val="003D09EA"/>
    <w:rsid w:val="003D1B48"/>
    <w:rsid w:val="003D3FC8"/>
    <w:rsid w:val="003D4B64"/>
    <w:rsid w:val="003D4FE0"/>
    <w:rsid w:val="003D57F5"/>
    <w:rsid w:val="003D5AC1"/>
    <w:rsid w:val="003D6670"/>
    <w:rsid w:val="003D6895"/>
    <w:rsid w:val="003D73EB"/>
    <w:rsid w:val="003E20B8"/>
    <w:rsid w:val="003E3C7F"/>
    <w:rsid w:val="003E447B"/>
    <w:rsid w:val="003E4D13"/>
    <w:rsid w:val="003E570E"/>
    <w:rsid w:val="003E574C"/>
    <w:rsid w:val="003F071F"/>
    <w:rsid w:val="003F1905"/>
    <w:rsid w:val="003F2674"/>
    <w:rsid w:val="003F2761"/>
    <w:rsid w:val="003F342C"/>
    <w:rsid w:val="003F4C97"/>
    <w:rsid w:val="003F5E6A"/>
    <w:rsid w:val="003F6432"/>
    <w:rsid w:val="003F67CE"/>
    <w:rsid w:val="003F6F03"/>
    <w:rsid w:val="004020A6"/>
    <w:rsid w:val="004028DE"/>
    <w:rsid w:val="00402EDE"/>
    <w:rsid w:val="0040328C"/>
    <w:rsid w:val="0040496A"/>
    <w:rsid w:val="00404F90"/>
    <w:rsid w:val="00405020"/>
    <w:rsid w:val="004050CE"/>
    <w:rsid w:val="00405132"/>
    <w:rsid w:val="0040554E"/>
    <w:rsid w:val="004064BD"/>
    <w:rsid w:val="004066D8"/>
    <w:rsid w:val="004119F1"/>
    <w:rsid w:val="00413609"/>
    <w:rsid w:val="00414E9C"/>
    <w:rsid w:val="00416AB5"/>
    <w:rsid w:val="00417BE8"/>
    <w:rsid w:val="0042001E"/>
    <w:rsid w:val="00420C0E"/>
    <w:rsid w:val="004224E3"/>
    <w:rsid w:val="0042373E"/>
    <w:rsid w:val="00423A01"/>
    <w:rsid w:val="00423B95"/>
    <w:rsid w:val="004255C5"/>
    <w:rsid w:val="00425923"/>
    <w:rsid w:val="00426488"/>
    <w:rsid w:val="00426A64"/>
    <w:rsid w:val="00426B6A"/>
    <w:rsid w:val="00427E86"/>
    <w:rsid w:val="00431196"/>
    <w:rsid w:val="00433AAE"/>
    <w:rsid w:val="00435D45"/>
    <w:rsid w:val="00435D8B"/>
    <w:rsid w:val="0043646F"/>
    <w:rsid w:val="00440193"/>
    <w:rsid w:val="00440AF5"/>
    <w:rsid w:val="00441BC2"/>
    <w:rsid w:val="00441C2C"/>
    <w:rsid w:val="00442287"/>
    <w:rsid w:val="004428A1"/>
    <w:rsid w:val="004443AB"/>
    <w:rsid w:val="00444ECF"/>
    <w:rsid w:val="00444F1D"/>
    <w:rsid w:val="00445CC3"/>
    <w:rsid w:val="00447F6E"/>
    <w:rsid w:val="00450FAC"/>
    <w:rsid w:val="00451C1E"/>
    <w:rsid w:val="004528CC"/>
    <w:rsid w:val="0045297A"/>
    <w:rsid w:val="00453952"/>
    <w:rsid w:val="004551EA"/>
    <w:rsid w:val="004558F5"/>
    <w:rsid w:val="00455C3E"/>
    <w:rsid w:val="00456E87"/>
    <w:rsid w:val="00457105"/>
    <w:rsid w:val="00457540"/>
    <w:rsid w:val="00460326"/>
    <w:rsid w:val="00460454"/>
    <w:rsid w:val="00461220"/>
    <w:rsid w:val="00461511"/>
    <w:rsid w:val="00461583"/>
    <w:rsid w:val="00461D19"/>
    <w:rsid w:val="004638E2"/>
    <w:rsid w:val="004642F7"/>
    <w:rsid w:val="0046489F"/>
    <w:rsid w:val="00465089"/>
    <w:rsid w:val="00467032"/>
    <w:rsid w:val="0046772B"/>
    <w:rsid w:val="00467ABF"/>
    <w:rsid w:val="00471511"/>
    <w:rsid w:val="004722E1"/>
    <w:rsid w:val="00474009"/>
    <w:rsid w:val="004743B7"/>
    <w:rsid w:val="0047448D"/>
    <w:rsid w:val="004748A0"/>
    <w:rsid w:val="00474A5E"/>
    <w:rsid w:val="004800F8"/>
    <w:rsid w:val="0048042E"/>
    <w:rsid w:val="004820C6"/>
    <w:rsid w:val="00484922"/>
    <w:rsid w:val="00485555"/>
    <w:rsid w:val="00485A21"/>
    <w:rsid w:val="00487581"/>
    <w:rsid w:val="004879C8"/>
    <w:rsid w:val="00487A66"/>
    <w:rsid w:val="00487D70"/>
    <w:rsid w:val="0049163E"/>
    <w:rsid w:val="004936F2"/>
    <w:rsid w:val="00495566"/>
    <w:rsid w:val="00497594"/>
    <w:rsid w:val="004A0062"/>
    <w:rsid w:val="004A02EE"/>
    <w:rsid w:val="004A0DD3"/>
    <w:rsid w:val="004A2F06"/>
    <w:rsid w:val="004A4516"/>
    <w:rsid w:val="004A4817"/>
    <w:rsid w:val="004B29E1"/>
    <w:rsid w:val="004B29E6"/>
    <w:rsid w:val="004B2C6C"/>
    <w:rsid w:val="004B2DAA"/>
    <w:rsid w:val="004B4AD0"/>
    <w:rsid w:val="004B4E63"/>
    <w:rsid w:val="004B5152"/>
    <w:rsid w:val="004B594B"/>
    <w:rsid w:val="004B6070"/>
    <w:rsid w:val="004B6716"/>
    <w:rsid w:val="004B7071"/>
    <w:rsid w:val="004B7271"/>
    <w:rsid w:val="004B72AB"/>
    <w:rsid w:val="004C0417"/>
    <w:rsid w:val="004C0425"/>
    <w:rsid w:val="004C106B"/>
    <w:rsid w:val="004C1AD9"/>
    <w:rsid w:val="004C27D8"/>
    <w:rsid w:val="004C31D8"/>
    <w:rsid w:val="004C39E0"/>
    <w:rsid w:val="004C3E39"/>
    <w:rsid w:val="004C5A76"/>
    <w:rsid w:val="004C71FE"/>
    <w:rsid w:val="004C76AA"/>
    <w:rsid w:val="004C7719"/>
    <w:rsid w:val="004C7E92"/>
    <w:rsid w:val="004D0DAE"/>
    <w:rsid w:val="004D0EAD"/>
    <w:rsid w:val="004D1CE6"/>
    <w:rsid w:val="004D2974"/>
    <w:rsid w:val="004D2F48"/>
    <w:rsid w:val="004D4A33"/>
    <w:rsid w:val="004D52DA"/>
    <w:rsid w:val="004D53BF"/>
    <w:rsid w:val="004D6D2F"/>
    <w:rsid w:val="004D7097"/>
    <w:rsid w:val="004D76F3"/>
    <w:rsid w:val="004E1ACA"/>
    <w:rsid w:val="004E214D"/>
    <w:rsid w:val="004E24AC"/>
    <w:rsid w:val="004E3815"/>
    <w:rsid w:val="004E3875"/>
    <w:rsid w:val="004E3A33"/>
    <w:rsid w:val="004E3D27"/>
    <w:rsid w:val="004E43A3"/>
    <w:rsid w:val="004E693C"/>
    <w:rsid w:val="004F0B6B"/>
    <w:rsid w:val="004F1040"/>
    <w:rsid w:val="004F23C0"/>
    <w:rsid w:val="004F2771"/>
    <w:rsid w:val="004F2D00"/>
    <w:rsid w:val="004F3B46"/>
    <w:rsid w:val="004F4264"/>
    <w:rsid w:val="004F542A"/>
    <w:rsid w:val="004F7570"/>
    <w:rsid w:val="004F7F14"/>
    <w:rsid w:val="004F7F9A"/>
    <w:rsid w:val="00500BA4"/>
    <w:rsid w:val="00502F7E"/>
    <w:rsid w:val="005033AF"/>
    <w:rsid w:val="00503419"/>
    <w:rsid w:val="0050444E"/>
    <w:rsid w:val="005045C7"/>
    <w:rsid w:val="00505CB4"/>
    <w:rsid w:val="005108F7"/>
    <w:rsid w:val="00511D36"/>
    <w:rsid w:val="005128A7"/>
    <w:rsid w:val="00513EAC"/>
    <w:rsid w:val="0051417F"/>
    <w:rsid w:val="00515608"/>
    <w:rsid w:val="00515D7D"/>
    <w:rsid w:val="0051736A"/>
    <w:rsid w:val="00517CEE"/>
    <w:rsid w:val="00521E84"/>
    <w:rsid w:val="00522145"/>
    <w:rsid w:val="00523C9B"/>
    <w:rsid w:val="00524E51"/>
    <w:rsid w:val="00525CB1"/>
    <w:rsid w:val="00525EFE"/>
    <w:rsid w:val="0052662C"/>
    <w:rsid w:val="00526EBD"/>
    <w:rsid w:val="005278D2"/>
    <w:rsid w:val="00527F73"/>
    <w:rsid w:val="005303F6"/>
    <w:rsid w:val="00530997"/>
    <w:rsid w:val="0053146D"/>
    <w:rsid w:val="00533E60"/>
    <w:rsid w:val="00534091"/>
    <w:rsid w:val="005364D3"/>
    <w:rsid w:val="00536D18"/>
    <w:rsid w:val="00536EFC"/>
    <w:rsid w:val="00537810"/>
    <w:rsid w:val="005426F6"/>
    <w:rsid w:val="00542D65"/>
    <w:rsid w:val="00543B5B"/>
    <w:rsid w:val="00543CF4"/>
    <w:rsid w:val="005440D8"/>
    <w:rsid w:val="0054528B"/>
    <w:rsid w:val="00545DBB"/>
    <w:rsid w:val="00546AFA"/>
    <w:rsid w:val="00550052"/>
    <w:rsid w:val="00551761"/>
    <w:rsid w:val="00553951"/>
    <w:rsid w:val="00553A5B"/>
    <w:rsid w:val="00555234"/>
    <w:rsid w:val="005557BA"/>
    <w:rsid w:val="00555DCA"/>
    <w:rsid w:val="00556008"/>
    <w:rsid w:val="00557350"/>
    <w:rsid w:val="005601D5"/>
    <w:rsid w:val="00560640"/>
    <w:rsid w:val="00560C5D"/>
    <w:rsid w:val="00563C8F"/>
    <w:rsid w:val="0056439A"/>
    <w:rsid w:val="00565136"/>
    <w:rsid w:val="00566234"/>
    <w:rsid w:val="00566541"/>
    <w:rsid w:val="00566CFC"/>
    <w:rsid w:val="00566E6C"/>
    <w:rsid w:val="005672EE"/>
    <w:rsid w:val="005719CA"/>
    <w:rsid w:val="00572B91"/>
    <w:rsid w:val="00573B32"/>
    <w:rsid w:val="00574811"/>
    <w:rsid w:val="00574AC8"/>
    <w:rsid w:val="00576BA5"/>
    <w:rsid w:val="00577A51"/>
    <w:rsid w:val="00580449"/>
    <w:rsid w:val="00581F9F"/>
    <w:rsid w:val="00582CE5"/>
    <w:rsid w:val="0058360B"/>
    <w:rsid w:val="00584DA0"/>
    <w:rsid w:val="005857E7"/>
    <w:rsid w:val="00586FF0"/>
    <w:rsid w:val="0058758E"/>
    <w:rsid w:val="00591037"/>
    <w:rsid w:val="0059186D"/>
    <w:rsid w:val="00591909"/>
    <w:rsid w:val="00591D5F"/>
    <w:rsid w:val="005923A6"/>
    <w:rsid w:val="00592D4C"/>
    <w:rsid w:val="00593243"/>
    <w:rsid w:val="00593B4A"/>
    <w:rsid w:val="00593B54"/>
    <w:rsid w:val="0059422C"/>
    <w:rsid w:val="00596EAB"/>
    <w:rsid w:val="00596F99"/>
    <w:rsid w:val="005A015A"/>
    <w:rsid w:val="005A067D"/>
    <w:rsid w:val="005A28E1"/>
    <w:rsid w:val="005A3B1A"/>
    <w:rsid w:val="005A4447"/>
    <w:rsid w:val="005B32D7"/>
    <w:rsid w:val="005B4FE4"/>
    <w:rsid w:val="005B5816"/>
    <w:rsid w:val="005B5835"/>
    <w:rsid w:val="005B5A74"/>
    <w:rsid w:val="005B5B53"/>
    <w:rsid w:val="005B5CDD"/>
    <w:rsid w:val="005B703E"/>
    <w:rsid w:val="005C0277"/>
    <w:rsid w:val="005C051D"/>
    <w:rsid w:val="005C0780"/>
    <w:rsid w:val="005C0CFE"/>
    <w:rsid w:val="005C0D38"/>
    <w:rsid w:val="005C0F8F"/>
    <w:rsid w:val="005C1160"/>
    <w:rsid w:val="005C1F0F"/>
    <w:rsid w:val="005C20A4"/>
    <w:rsid w:val="005C31C0"/>
    <w:rsid w:val="005C35A9"/>
    <w:rsid w:val="005C37B8"/>
    <w:rsid w:val="005C38AB"/>
    <w:rsid w:val="005C3ABC"/>
    <w:rsid w:val="005C6BC2"/>
    <w:rsid w:val="005D27B5"/>
    <w:rsid w:val="005D4800"/>
    <w:rsid w:val="005D52D2"/>
    <w:rsid w:val="005D5C68"/>
    <w:rsid w:val="005D75FA"/>
    <w:rsid w:val="005D7712"/>
    <w:rsid w:val="005E1DA7"/>
    <w:rsid w:val="005E513A"/>
    <w:rsid w:val="005E5BD7"/>
    <w:rsid w:val="005E781E"/>
    <w:rsid w:val="005E7BC4"/>
    <w:rsid w:val="005F0C04"/>
    <w:rsid w:val="005F13A6"/>
    <w:rsid w:val="005F2A29"/>
    <w:rsid w:val="005F2ADD"/>
    <w:rsid w:val="005F342A"/>
    <w:rsid w:val="005F7A71"/>
    <w:rsid w:val="00603E13"/>
    <w:rsid w:val="00604A3B"/>
    <w:rsid w:val="00604EFB"/>
    <w:rsid w:val="00605AC3"/>
    <w:rsid w:val="00606211"/>
    <w:rsid w:val="0060665E"/>
    <w:rsid w:val="006117B1"/>
    <w:rsid w:val="0061222E"/>
    <w:rsid w:val="006122C2"/>
    <w:rsid w:val="00613235"/>
    <w:rsid w:val="006140A4"/>
    <w:rsid w:val="00614CB7"/>
    <w:rsid w:val="00615073"/>
    <w:rsid w:val="00615150"/>
    <w:rsid w:val="006156E7"/>
    <w:rsid w:val="0061756D"/>
    <w:rsid w:val="00617D23"/>
    <w:rsid w:val="00617DFD"/>
    <w:rsid w:val="00617F1E"/>
    <w:rsid w:val="00620182"/>
    <w:rsid w:val="00620FA6"/>
    <w:rsid w:val="00621EF9"/>
    <w:rsid w:val="0062553E"/>
    <w:rsid w:val="00626C5F"/>
    <w:rsid w:val="00627314"/>
    <w:rsid w:val="00627EDE"/>
    <w:rsid w:val="006307FE"/>
    <w:rsid w:val="00631381"/>
    <w:rsid w:val="00631992"/>
    <w:rsid w:val="00631EA8"/>
    <w:rsid w:val="00632056"/>
    <w:rsid w:val="006324E9"/>
    <w:rsid w:val="006325FD"/>
    <w:rsid w:val="00632FAB"/>
    <w:rsid w:val="00634D81"/>
    <w:rsid w:val="00635C58"/>
    <w:rsid w:val="00640FEA"/>
    <w:rsid w:val="00642614"/>
    <w:rsid w:val="006426E2"/>
    <w:rsid w:val="00642D5D"/>
    <w:rsid w:val="00642D97"/>
    <w:rsid w:val="00643CDC"/>
    <w:rsid w:val="00644CD2"/>
    <w:rsid w:val="00646FFA"/>
    <w:rsid w:val="00647574"/>
    <w:rsid w:val="00650710"/>
    <w:rsid w:val="00650C99"/>
    <w:rsid w:val="006514A6"/>
    <w:rsid w:val="0065244C"/>
    <w:rsid w:val="006540B2"/>
    <w:rsid w:val="0065751F"/>
    <w:rsid w:val="006575CB"/>
    <w:rsid w:val="006577F7"/>
    <w:rsid w:val="00660C7D"/>
    <w:rsid w:val="006614D7"/>
    <w:rsid w:val="006616A9"/>
    <w:rsid w:val="006632E3"/>
    <w:rsid w:val="00664126"/>
    <w:rsid w:val="006647EC"/>
    <w:rsid w:val="00664941"/>
    <w:rsid w:val="006650C2"/>
    <w:rsid w:val="00665A89"/>
    <w:rsid w:val="00665D6A"/>
    <w:rsid w:val="00665E2C"/>
    <w:rsid w:val="00670AD3"/>
    <w:rsid w:val="00671AF7"/>
    <w:rsid w:val="00672EA0"/>
    <w:rsid w:val="006730B4"/>
    <w:rsid w:val="0067320C"/>
    <w:rsid w:val="006743D4"/>
    <w:rsid w:val="0067536B"/>
    <w:rsid w:val="00675551"/>
    <w:rsid w:val="00675A9C"/>
    <w:rsid w:val="00675BE2"/>
    <w:rsid w:val="006760BF"/>
    <w:rsid w:val="00676AA6"/>
    <w:rsid w:val="00677146"/>
    <w:rsid w:val="006800DD"/>
    <w:rsid w:val="006800F3"/>
    <w:rsid w:val="00680FE3"/>
    <w:rsid w:val="0068219D"/>
    <w:rsid w:val="0068227D"/>
    <w:rsid w:val="0068266C"/>
    <w:rsid w:val="00683BDE"/>
    <w:rsid w:val="00684083"/>
    <w:rsid w:val="00684135"/>
    <w:rsid w:val="00684B7E"/>
    <w:rsid w:val="00685D60"/>
    <w:rsid w:val="00686CCB"/>
    <w:rsid w:val="0069001D"/>
    <w:rsid w:val="00694298"/>
    <w:rsid w:val="00695342"/>
    <w:rsid w:val="006957C5"/>
    <w:rsid w:val="00695E8D"/>
    <w:rsid w:val="00696662"/>
    <w:rsid w:val="0069680C"/>
    <w:rsid w:val="00697B37"/>
    <w:rsid w:val="006A128A"/>
    <w:rsid w:val="006A2506"/>
    <w:rsid w:val="006A29D0"/>
    <w:rsid w:val="006A34CA"/>
    <w:rsid w:val="006A4BD0"/>
    <w:rsid w:val="006A4BF7"/>
    <w:rsid w:val="006A4C0E"/>
    <w:rsid w:val="006A5B4C"/>
    <w:rsid w:val="006B2E9E"/>
    <w:rsid w:val="006B40FE"/>
    <w:rsid w:val="006B4455"/>
    <w:rsid w:val="006B607A"/>
    <w:rsid w:val="006B66F3"/>
    <w:rsid w:val="006C088B"/>
    <w:rsid w:val="006C14B6"/>
    <w:rsid w:val="006C1798"/>
    <w:rsid w:val="006C190A"/>
    <w:rsid w:val="006C20CE"/>
    <w:rsid w:val="006C276F"/>
    <w:rsid w:val="006C57E4"/>
    <w:rsid w:val="006C5B51"/>
    <w:rsid w:val="006D148F"/>
    <w:rsid w:val="006D5E98"/>
    <w:rsid w:val="006D5F45"/>
    <w:rsid w:val="006E2BCF"/>
    <w:rsid w:val="006E3A1D"/>
    <w:rsid w:val="006E4586"/>
    <w:rsid w:val="006E5133"/>
    <w:rsid w:val="006E561B"/>
    <w:rsid w:val="006E67FA"/>
    <w:rsid w:val="006E6D49"/>
    <w:rsid w:val="006E79A6"/>
    <w:rsid w:val="006E7C9A"/>
    <w:rsid w:val="006F1BF8"/>
    <w:rsid w:val="006F25F0"/>
    <w:rsid w:val="006F27F5"/>
    <w:rsid w:val="006F3DC4"/>
    <w:rsid w:val="006F431B"/>
    <w:rsid w:val="006F432D"/>
    <w:rsid w:val="006F5371"/>
    <w:rsid w:val="006F5CEB"/>
    <w:rsid w:val="006F7D12"/>
    <w:rsid w:val="00701A4C"/>
    <w:rsid w:val="00702F3B"/>
    <w:rsid w:val="007035BD"/>
    <w:rsid w:val="00703A05"/>
    <w:rsid w:val="0070522A"/>
    <w:rsid w:val="007055E6"/>
    <w:rsid w:val="00706A49"/>
    <w:rsid w:val="0070725D"/>
    <w:rsid w:val="007078DF"/>
    <w:rsid w:val="007079C2"/>
    <w:rsid w:val="00707E8E"/>
    <w:rsid w:val="00710D7C"/>
    <w:rsid w:val="00711293"/>
    <w:rsid w:val="00711E2C"/>
    <w:rsid w:val="00711F6D"/>
    <w:rsid w:val="007123E6"/>
    <w:rsid w:val="0071267B"/>
    <w:rsid w:val="00712944"/>
    <w:rsid w:val="00712F23"/>
    <w:rsid w:val="00713E6F"/>
    <w:rsid w:val="00714A5B"/>
    <w:rsid w:val="0071529D"/>
    <w:rsid w:val="00715EEA"/>
    <w:rsid w:val="007176CE"/>
    <w:rsid w:val="00717961"/>
    <w:rsid w:val="00717D8E"/>
    <w:rsid w:val="00720DD9"/>
    <w:rsid w:val="0072130D"/>
    <w:rsid w:val="0072141D"/>
    <w:rsid w:val="00722164"/>
    <w:rsid w:val="00722A26"/>
    <w:rsid w:val="00724971"/>
    <w:rsid w:val="00724C15"/>
    <w:rsid w:val="007254F6"/>
    <w:rsid w:val="0072573D"/>
    <w:rsid w:val="00726356"/>
    <w:rsid w:val="0072652C"/>
    <w:rsid w:val="00727FDB"/>
    <w:rsid w:val="007301DA"/>
    <w:rsid w:val="007324DA"/>
    <w:rsid w:val="00734009"/>
    <w:rsid w:val="00736EDF"/>
    <w:rsid w:val="00742141"/>
    <w:rsid w:val="00742285"/>
    <w:rsid w:val="007425DF"/>
    <w:rsid w:val="00742F40"/>
    <w:rsid w:val="00744A2E"/>
    <w:rsid w:val="007461B0"/>
    <w:rsid w:val="00747BDD"/>
    <w:rsid w:val="00747FF2"/>
    <w:rsid w:val="00750141"/>
    <w:rsid w:val="007508F8"/>
    <w:rsid w:val="00751216"/>
    <w:rsid w:val="0075139B"/>
    <w:rsid w:val="00751A60"/>
    <w:rsid w:val="00753BE6"/>
    <w:rsid w:val="00753F7C"/>
    <w:rsid w:val="00760E58"/>
    <w:rsid w:val="007613A1"/>
    <w:rsid w:val="007615FE"/>
    <w:rsid w:val="00763085"/>
    <w:rsid w:val="00763706"/>
    <w:rsid w:val="00765030"/>
    <w:rsid w:val="00766DC8"/>
    <w:rsid w:val="00766FC7"/>
    <w:rsid w:val="00767CCE"/>
    <w:rsid w:val="00770867"/>
    <w:rsid w:val="00772BCC"/>
    <w:rsid w:val="00773376"/>
    <w:rsid w:val="007738EB"/>
    <w:rsid w:val="00773EBA"/>
    <w:rsid w:val="0077664D"/>
    <w:rsid w:val="00781143"/>
    <w:rsid w:val="0078130B"/>
    <w:rsid w:val="0078179A"/>
    <w:rsid w:val="00783187"/>
    <w:rsid w:val="00783D4F"/>
    <w:rsid w:val="00785CD3"/>
    <w:rsid w:val="00790314"/>
    <w:rsid w:val="00791AC7"/>
    <w:rsid w:val="0079475E"/>
    <w:rsid w:val="00794C00"/>
    <w:rsid w:val="00794CA8"/>
    <w:rsid w:val="00796889"/>
    <w:rsid w:val="00796A0B"/>
    <w:rsid w:val="00796B93"/>
    <w:rsid w:val="007971BA"/>
    <w:rsid w:val="00797EF0"/>
    <w:rsid w:val="007A0B76"/>
    <w:rsid w:val="007A1D07"/>
    <w:rsid w:val="007A24C4"/>
    <w:rsid w:val="007A26BB"/>
    <w:rsid w:val="007A2876"/>
    <w:rsid w:val="007A2B82"/>
    <w:rsid w:val="007A3986"/>
    <w:rsid w:val="007A503B"/>
    <w:rsid w:val="007A5D84"/>
    <w:rsid w:val="007A601A"/>
    <w:rsid w:val="007A660A"/>
    <w:rsid w:val="007A6B07"/>
    <w:rsid w:val="007A7887"/>
    <w:rsid w:val="007A7D21"/>
    <w:rsid w:val="007B0E4F"/>
    <w:rsid w:val="007B1683"/>
    <w:rsid w:val="007B18A8"/>
    <w:rsid w:val="007B237B"/>
    <w:rsid w:val="007B3510"/>
    <w:rsid w:val="007B366D"/>
    <w:rsid w:val="007B55B2"/>
    <w:rsid w:val="007B5D6B"/>
    <w:rsid w:val="007B6074"/>
    <w:rsid w:val="007B68DE"/>
    <w:rsid w:val="007B6B27"/>
    <w:rsid w:val="007B78F5"/>
    <w:rsid w:val="007C104A"/>
    <w:rsid w:val="007C1F91"/>
    <w:rsid w:val="007C2DCE"/>
    <w:rsid w:val="007C2DDC"/>
    <w:rsid w:val="007C4BCC"/>
    <w:rsid w:val="007C5374"/>
    <w:rsid w:val="007C5725"/>
    <w:rsid w:val="007C5782"/>
    <w:rsid w:val="007C6539"/>
    <w:rsid w:val="007C67A3"/>
    <w:rsid w:val="007C7999"/>
    <w:rsid w:val="007D0946"/>
    <w:rsid w:val="007D0FB9"/>
    <w:rsid w:val="007D20EB"/>
    <w:rsid w:val="007D2EA1"/>
    <w:rsid w:val="007D34DF"/>
    <w:rsid w:val="007D405C"/>
    <w:rsid w:val="007D58F6"/>
    <w:rsid w:val="007D5953"/>
    <w:rsid w:val="007D6494"/>
    <w:rsid w:val="007D6919"/>
    <w:rsid w:val="007D69BD"/>
    <w:rsid w:val="007D7985"/>
    <w:rsid w:val="007E1404"/>
    <w:rsid w:val="007E2F71"/>
    <w:rsid w:val="007E36DF"/>
    <w:rsid w:val="007E3E02"/>
    <w:rsid w:val="007E431D"/>
    <w:rsid w:val="007E5166"/>
    <w:rsid w:val="007E55D1"/>
    <w:rsid w:val="007E598E"/>
    <w:rsid w:val="007E60EB"/>
    <w:rsid w:val="007E66FD"/>
    <w:rsid w:val="007E748C"/>
    <w:rsid w:val="007E7594"/>
    <w:rsid w:val="007F00E9"/>
    <w:rsid w:val="007F05EC"/>
    <w:rsid w:val="007F2858"/>
    <w:rsid w:val="007F3CAF"/>
    <w:rsid w:val="007F4ACA"/>
    <w:rsid w:val="007F65EC"/>
    <w:rsid w:val="007F6743"/>
    <w:rsid w:val="00800E98"/>
    <w:rsid w:val="00801069"/>
    <w:rsid w:val="00802EE4"/>
    <w:rsid w:val="00803A3A"/>
    <w:rsid w:val="008043E6"/>
    <w:rsid w:val="00805133"/>
    <w:rsid w:val="008055E9"/>
    <w:rsid w:val="0080618E"/>
    <w:rsid w:val="00807598"/>
    <w:rsid w:val="00807CFA"/>
    <w:rsid w:val="00807EDE"/>
    <w:rsid w:val="00810946"/>
    <w:rsid w:val="00810D0B"/>
    <w:rsid w:val="008122B3"/>
    <w:rsid w:val="0081246E"/>
    <w:rsid w:val="00812EBC"/>
    <w:rsid w:val="008134DC"/>
    <w:rsid w:val="0081490D"/>
    <w:rsid w:val="00814C36"/>
    <w:rsid w:val="008151BB"/>
    <w:rsid w:val="008156FC"/>
    <w:rsid w:val="00816C7B"/>
    <w:rsid w:val="00816FC5"/>
    <w:rsid w:val="00817E2A"/>
    <w:rsid w:val="00822A5D"/>
    <w:rsid w:val="00823A3C"/>
    <w:rsid w:val="0082441A"/>
    <w:rsid w:val="008245DF"/>
    <w:rsid w:val="0082559A"/>
    <w:rsid w:val="008263BB"/>
    <w:rsid w:val="008271C7"/>
    <w:rsid w:val="008303D5"/>
    <w:rsid w:val="00830D10"/>
    <w:rsid w:val="00831089"/>
    <w:rsid w:val="008319C1"/>
    <w:rsid w:val="0083248F"/>
    <w:rsid w:val="00832C1D"/>
    <w:rsid w:val="00832C37"/>
    <w:rsid w:val="00834221"/>
    <w:rsid w:val="008349CD"/>
    <w:rsid w:val="00834CB7"/>
    <w:rsid w:val="00834EDB"/>
    <w:rsid w:val="0083528B"/>
    <w:rsid w:val="00841325"/>
    <w:rsid w:val="00842AD6"/>
    <w:rsid w:val="008433EB"/>
    <w:rsid w:val="008436AB"/>
    <w:rsid w:val="00843719"/>
    <w:rsid w:val="00843C59"/>
    <w:rsid w:val="00845083"/>
    <w:rsid w:val="008479D6"/>
    <w:rsid w:val="00847A41"/>
    <w:rsid w:val="00847D3D"/>
    <w:rsid w:val="0085070A"/>
    <w:rsid w:val="008510BC"/>
    <w:rsid w:val="008527E4"/>
    <w:rsid w:val="00852B0D"/>
    <w:rsid w:val="00853283"/>
    <w:rsid w:val="0085614F"/>
    <w:rsid w:val="00856442"/>
    <w:rsid w:val="00856916"/>
    <w:rsid w:val="00857BC7"/>
    <w:rsid w:val="00857FCB"/>
    <w:rsid w:val="008608DD"/>
    <w:rsid w:val="00862B51"/>
    <w:rsid w:val="00862D24"/>
    <w:rsid w:val="00863776"/>
    <w:rsid w:val="008645E7"/>
    <w:rsid w:val="008653F3"/>
    <w:rsid w:val="00865B78"/>
    <w:rsid w:val="00866D75"/>
    <w:rsid w:val="008674EC"/>
    <w:rsid w:val="0086770B"/>
    <w:rsid w:val="008677DD"/>
    <w:rsid w:val="00871938"/>
    <w:rsid w:val="00872AC1"/>
    <w:rsid w:val="00872DAA"/>
    <w:rsid w:val="00872FF0"/>
    <w:rsid w:val="00876830"/>
    <w:rsid w:val="00876AB9"/>
    <w:rsid w:val="0087724B"/>
    <w:rsid w:val="008800C8"/>
    <w:rsid w:val="00882F73"/>
    <w:rsid w:val="00883695"/>
    <w:rsid w:val="00884370"/>
    <w:rsid w:val="00884B79"/>
    <w:rsid w:val="0088580A"/>
    <w:rsid w:val="008864C6"/>
    <w:rsid w:val="00886A32"/>
    <w:rsid w:val="00886E09"/>
    <w:rsid w:val="00886F21"/>
    <w:rsid w:val="00887A3E"/>
    <w:rsid w:val="008910E8"/>
    <w:rsid w:val="00893FF5"/>
    <w:rsid w:val="0089411B"/>
    <w:rsid w:val="0089450E"/>
    <w:rsid w:val="0089535F"/>
    <w:rsid w:val="008956EE"/>
    <w:rsid w:val="00895FC3"/>
    <w:rsid w:val="00896F20"/>
    <w:rsid w:val="00897243"/>
    <w:rsid w:val="00897D84"/>
    <w:rsid w:val="008A01B2"/>
    <w:rsid w:val="008A0211"/>
    <w:rsid w:val="008A0B42"/>
    <w:rsid w:val="008A0B4B"/>
    <w:rsid w:val="008A2625"/>
    <w:rsid w:val="008A2B7C"/>
    <w:rsid w:val="008A3772"/>
    <w:rsid w:val="008A37A7"/>
    <w:rsid w:val="008A398C"/>
    <w:rsid w:val="008A50E4"/>
    <w:rsid w:val="008A512A"/>
    <w:rsid w:val="008A595D"/>
    <w:rsid w:val="008A5D63"/>
    <w:rsid w:val="008A77DC"/>
    <w:rsid w:val="008B06C6"/>
    <w:rsid w:val="008B13BF"/>
    <w:rsid w:val="008B232D"/>
    <w:rsid w:val="008B38F3"/>
    <w:rsid w:val="008B468E"/>
    <w:rsid w:val="008B574A"/>
    <w:rsid w:val="008B5926"/>
    <w:rsid w:val="008B6ED3"/>
    <w:rsid w:val="008B744D"/>
    <w:rsid w:val="008C1D6E"/>
    <w:rsid w:val="008C2057"/>
    <w:rsid w:val="008C3862"/>
    <w:rsid w:val="008C3879"/>
    <w:rsid w:val="008C3D56"/>
    <w:rsid w:val="008C46B1"/>
    <w:rsid w:val="008C4F30"/>
    <w:rsid w:val="008C56AC"/>
    <w:rsid w:val="008C6D03"/>
    <w:rsid w:val="008C6F45"/>
    <w:rsid w:val="008C7848"/>
    <w:rsid w:val="008C7B0F"/>
    <w:rsid w:val="008D0667"/>
    <w:rsid w:val="008D1C59"/>
    <w:rsid w:val="008D1D93"/>
    <w:rsid w:val="008D27F0"/>
    <w:rsid w:val="008D2D03"/>
    <w:rsid w:val="008D317B"/>
    <w:rsid w:val="008D48DD"/>
    <w:rsid w:val="008D5AFA"/>
    <w:rsid w:val="008D63A1"/>
    <w:rsid w:val="008D65AF"/>
    <w:rsid w:val="008E0919"/>
    <w:rsid w:val="008E0C77"/>
    <w:rsid w:val="008E1163"/>
    <w:rsid w:val="008E2946"/>
    <w:rsid w:val="008E3018"/>
    <w:rsid w:val="008E4E5B"/>
    <w:rsid w:val="008E5251"/>
    <w:rsid w:val="008E6A2B"/>
    <w:rsid w:val="008F3470"/>
    <w:rsid w:val="008F40AE"/>
    <w:rsid w:val="008F53AE"/>
    <w:rsid w:val="008F583D"/>
    <w:rsid w:val="008F61F7"/>
    <w:rsid w:val="008F711D"/>
    <w:rsid w:val="008F7B4C"/>
    <w:rsid w:val="009003BA"/>
    <w:rsid w:val="009007BC"/>
    <w:rsid w:val="00902FFE"/>
    <w:rsid w:val="009037CD"/>
    <w:rsid w:val="00903ECA"/>
    <w:rsid w:val="00904404"/>
    <w:rsid w:val="00906A3E"/>
    <w:rsid w:val="00910A9F"/>
    <w:rsid w:val="00910EEC"/>
    <w:rsid w:val="00911228"/>
    <w:rsid w:val="009114B2"/>
    <w:rsid w:val="009146B9"/>
    <w:rsid w:val="00914743"/>
    <w:rsid w:val="00914A86"/>
    <w:rsid w:val="00914B8D"/>
    <w:rsid w:val="00915E0D"/>
    <w:rsid w:val="00917825"/>
    <w:rsid w:val="009179E5"/>
    <w:rsid w:val="00917F65"/>
    <w:rsid w:val="00921E55"/>
    <w:rsid w:val="0092493B"/>
    <w:rsid w:val="00926B92"/>
    <w:rsid w:val="0092782D"/>
    <w:rsid w:val="00931A08"/>
    <w:rsid w:val="00931B4F"/>
    <w:rsid w:val="00932BF1"/>
    <w:rsid w:val="00932D37"/>
    <w:rsid w:val="00932F48"/>
    <w:rsid w:val="00932F95"/>
    <w:rsid w:val="009333C0"/>
    <w:rsid w:val="00933953"/>
    <w:rsid w:val="00933FDE"/>
    <w:rsid w:val="0093544A"/>
    <w:rsid w:val="00935A8D"/>
    <w:rsid w:val="00941D83"/>
    <w:rsid w:val="00942B29"/>
    <w:rsid w:val="0094326E"/>
    <w:rsid w:val="00943850"/>
    <w:rsid w:val="00943C98"/>
    <w:rsid w:val="00944450"/>
    <w:rsid w:val="00946A81"/>
    <w:rsid w:val="009476B3"/>
    <w:rsid w:val="00951671"/>
    <w:rsid w:val="009517B6"/>
    <w:rsid w:val="0095197D"/>
    <w:rsid w:val="00952987"/>
    <w:rsid w:val="00953DF0"/>
    <w:rsid w:val="00954B24"/>
    <w:rsid w:val="00954F55"/>
    <w:rsid w:val="0095559E"/>
    <w:rsid w:val="0095655B"/>
    <w:rsid w:val="00956ECF"/>
    <w:rsid w:val="00960068"/>
    <w:rsid w:val="00960358"/>
    <w:rsid w:val="009608FE"/>
    <w:rsid w:val="00961C07"/>
    <w:rsid w:val="009622AB"/>
    <w:rsid w:val="00962AA3"/>
    <w:rsid w:val="00962C63"/>
    <w:rsid w:val="00963531"/>
    <w:rsid w:val="00965003"/>
    <w:rsid w:val="00965CB2"/>
    <w:rsid w:val="00967D68"/>
    <w:rsid w:val="009718F0"/>
    <w:rsid w:val="009721A2"/>
    <w:rsid w:val="00974117"/>
    <w:rsid w:val="009749D6"/>
    <w:rsid w:val="00976A97"/>
    <w:rsid w:val="009770AD"/>
    <w:rsid w:val="0097757F"/>
    <w:rsid w:val="0097791B"/>
    <w:rsid w:val="00977A66"/>
    <w:rsid w:val="00980A4D"/>
    <w:rsid w:val="009835C4"/>
    <w:rsid w:val="00983621"/>
    <w:rsid w:val="009837F3"/>
    <w:rsid w:val="00984B2F"/>
    <w:rsid w:val="009850D4"/>
    <w:rsid w:val="00986E12"/>
    <w:rsid w:val="00987320"/>
    <w:rsid w:val="009873A9"/>
    <w:rsid w:val="009913A5"/>
    <w:rsid w:val="009925BC"/>
    <w:rsid w:val="00993458"/>
    <w:rsid w:val="009938E4"/>
    <w:rsid w:val="0099415E"/>
    <w:rsid w:val="00995551"/>
    <w:rsid w:val="009955F3"/>
    <w:rsid w:val="009959F1"/>
    <w:rsid w:val="00997E89"/>
    <w:rsid w:val="009A08C0"/>
    <w:rsid w:val="009A3E33"/>
    <w:rsid w:val="009A59F5"/>
    <w:rsid w:val="009A6778"/>
    <w:rsid w:val="009A698E"/>
    <w:rsid w:val="009B01AB"/>
    <w:rsid w:val="009B26F4"/>
    <w:rsid w:val="009B3B92"/>
    <w:rsid w:val="009B416F"/>
    <w:rsid w:val="009B4382"/>
    <w:rsid w:val="009B45B0"/>
    <w:rsid w:val="009B4A80"/>
    <w:rsid w:val="009B4BD2"/>
    <w:rsid w:val="009B650A"/>
    <w:rsid w:val="009B6C98"/>
    <w:rsid w:val="009B7001"/>
    <w:rsid w:val="009C4348"/>
    <w:rsid w:val="009C5ACE"/>
    <w:rsid w:val="009C7044"/>
    <w:rsid w:val="009C711B"/>
    <w:rsid w:val="009C73B3"/>
    <w:rsid w:val="009C7535"/>
    <w:rsid w:val="009D242A"/>
    <w:rsid w:val="009D4721"/>
    <w:rsid w:val="009D4C30"/>
    <w:rsid w:val="009D4C52"/>
    <w:rsid w:val="009D52D5"/>
    <w:rsid w:val="009D53D2"/>
    <w:rsid w:val="009D7931"/>
    <w:rsid w:val="009D7A75"/>
    <w:rsid w:val="009E0CB4"/>
    <w:rsid w:val="009E0D97"/>
    <w:rsid w:val="009E14F2"/>
    <w:rsid w:val="009E634D"/>
    <w:rsid w:val="009F0544"/>
    <w:rsid w:val="009F2053"/>
    <w:rsid w:val="009F2EB2"/>
    <w:rsid w:val="009F3C4D"/>
    <w:rsid w:val="009F4C92"/>
    <w:rsid w:val="009F61FF"/>
    <w:rsid w:val="009F6515"/>
    <w:rsid w:val="009F6BAC"/>
    <w:rsid w:val="009F794F"/>
    <w:rsid w:val="00A028CB"/>
    <w:rsid w:val="00A03A0F"/>
    <w:rsid w:val="00A03B12"/>
    <w:rsid w:val="00A04993"/>
    <w:rsid w:val="00A052F7"/>
    <w:rsid w:val="00A05A7F"/>
    <w:rsid w:val="00A067EB"/>
    <w:rsid w:val="00A071E8"/>
    <w:rsid w:val="00A07323"/>
    <w:rsid w:val="00A101E1"/>
    <w:rsid w:val="00A10DA9"/>
    <w:rsid w:val="00A10DD5"/>
    <w:rsid w:val="00A11694"/>
    <w:rsid w:val="00A11AC0"/>
    <w:rsid w:val="00A12092"/>
    <w:rsid w:val="00A12FCC"/>
    <w:rsid w:val="00A13EA5"/>
    <w:rsid w:val="00A14AC1"/>
    <w:rsid w:val="00A14BE1"/>
    <w:rsid w:val="00A1502B"/>
    <w:rsid w:val="00A1517E"/>
    <w:rsid w:val="00A15ACB"/>
    <w:rsid w:val="00A15C5D"/>
    <w:rsid w:val="00A15CAF"/>
    <w:rsid w:val="00A16A0C"/>
    <w:rsid w:val="00A16C82"/>
    <w:rsid w:val="00A20346"/>
    <w:rsid w:val="00A22C01"/>
    <w:rsid w:val="00A24F7E"/>
    <w:rsid w:val="00A264E2"/>
    <w:rsid w:val="00A30355"/>
    <w:rsid w:val="00A3112A"/>
    <w:rsid w:val="00A31F88"/>
    <w:rsid w:val="00A32238"/>
    <w:rsid w:val="00A32410"/>
    <w:rsid w:val="00A3284F"/>
    <w:rsid w:val="00A33B8C"/>
    <w:rsid w:val="00A34165"/>
    <w:rsid w:val="00A346A6"/>
    <w:rsid w:val="00A34EE8"/>
    <w:rsid w:val="00A36BA0"/>
    <w:rsid w:val="00A37E03"/>
    <w:rsid w:val="00A40CAA"/>
    <w:rsid w:val="00A40EE3"/>
    <w:rsid w:val="00A41682"/>
    <w:rsid w:val="00A4231E"/>
    <w:rsid w:val="00A423B2"/>
    <w:rsid w:val="00A42AEC"/>
    <w:rsid w:val="00A42B19"/>
    <w:rsid w:val="00A42D50"/>
    <w:rsid w:val="00A43B28"/>
    <w:rsid w:val="00A4471A"/>
    <w:rsid w:val="00A44988"/>
    <w:rsid w:val="00A452A3"/>
    <w:rsid w:val="00A46759"/>
    <w:rsid w:val="00A46B6C"/>
    <w:rsid w:val="00A5025A"/>
    <w:rsid w:val="00A513A7"/>
    <w:rsid w:val="00A52636"/>
    <w:rsid w:val="00A53445"/>
    <w:rsid w:val="00A5400B"/>
    <w:rsid w:val="00A55AC6"/>
    <w:rsid w:val="00A55B03"/>
    <w:rsid w:val="00A563CF"/>
    <w:rsid w:val="00A56D09"/>
    <w:rsid w:val="00A60160"/>
    <w:rsid w:val="00A6025C"/>
    <w:rsid w:val="00A60E7A"/>
    <w:rsid w:val="00A62C46"/>
    <w:rsid w:val="00A63CBB"/>
    <w:rsid w:val="00A66E7B"/>
    <w:rsid w:val="00A67E8A"/>
    <w:rsid w:val="00A67FE2"/>
    <w:rsid w:val="00A700D0"/>
    <w:rsid w:val="00A7091B"/>
    <w:rsid w:val="00A71F9B"/>
    <w:rsid w:val="00A74C4F"/>
    <w:rsid w:val="00A7505C"/>
    <w:rsid w:val="00A75D11"/>
    <w:rsid w:val="00A76B06"/>
    <w:rsid w:val="00A76E09"/>
    <w:rsid w:val="00A80DE8"/>
    <w:rsid w:val="00A825E8"/>
    <w:rsid w:val="00A828BA"/>
    <w:rsid w:val="00A83203"/>
    <w:rsid w:val="00A8348A"/>
    <w:rsid w:val="00A83F93"/>
    <w:rsid w:val="00A8442F"/>
    <w:rsid w:val="00A84D3A"/>
    <w:rsid w:val="00A85154"/>
    <w:rsid w:val="00A86C31"/>
    <w:rsid w:val="00A8748F"/>
    <w:rsid w:val="00A874A1"/>
    <w:rsid w:val="00A87CBF"/>
    <w:rsid w:val="00A900DD"/>
    <w:rsid w:val="00A9142E"/>
    <w:rsid w:val="00A92AAE"/>
    <w:rsid w:val="00A94444"/>
    <w:rsid w:val="00A94DAA"/>
    <w:rsid w:val="00A9527E"/>
    <w:rsid w:val="00A95F8A"/>
    <w:rsid w:val="00A96300"/>
    <w:rsid w:val="00A96B0A"/>
    <w:rsid w:val="00A9784E"/>
    <w:rsid w:val="00AA004C"/>
    <w:rsid w:val="00AA0DDA"/>
    <w:rsid w:val="00AA0FB8"/>
    <w:rsid w:val="00AA264A"/>
    <w:rsid w:val="00AA2A08"/>
    <w:rsid w:val="00AA3160"/>
    <w:rsid w:val="00AA3431"/>
    <w:rsid w:val="00AA4D1C"/>
    <w:rsid w:val="00AA4E07"/>
    <w:rsid w:val="00AA565F"/>
    <w:rsid w:val="00AA74F8"/>
    <w:rsid w:val="00AB060D"/>
    <w:rsid w:val="00AB0732"/>
    <w:rsid w:val="00AB1465"/>
    <w:rsid w:val="00AB1D1A"/>
    <w:rsid w:val="00AB370A"/>
    <w:rsid w:val="00AB3C07"/>
    <w:rsid w:val="00AB6AF1"/>
    <w:rsid w:val="00AC011B"/>
    <w:rsid w:val="00AC1DD6"/>
    <w:rsid w:val="00AC1E5B"/>
    <w:rsid w:val="00AC38A9"/>
    <w:rsid w:val="00AC5314"/>
    <w:rsid w:val="00AC5C53"/>
    <w:rsid w:val="00AC618C"/>
    <w:rsid w:val="00AC6412"/>
    <w:rsid w:val="00AC65CB"/>
    <w:rsid w:val="00AC6617"/>
    <w:rsid w:val="00AC7627"/>
    <w:rsid w:val="00AD3127"/>
    <w:rsid w:val="00AD34A5"/>
    <w:rsid w:val="00AD35C8"/>
    <w:rsid w:val="00AD38A4"/>
    <w:rsid w:val="00AD5113"/>
    <w:rsid w:val="00AD5255"/>
    <w:rsid w:val="00AD57B2"/>
    <w:rsid w:val="00AD6541"/>
    <w:rsid w:val="00AD723C"/>
    <w:rsid w:val="00AD7801"/>
    <w:rsid w:val="00AD7D23"/>
    <w:rsid w:val="00AE03A8"/>
    <w:rsid w:val="00AE0967"/>
    <w:rsid w:val="00AE1A26"/>
    <w:rsid w:val="00AE3E2B"/>
    <w:rsid w:val="00AE4122"/>
    <w:rsid w:val="00AE465E"/>
    <w:rsid w:val="00AE47D9"/>
    <w:rsid w:val="00AE4A21"/>
    <w:rsid w:val="00AE6312"/>
    <w:rsid w:val="00AE733F"/>
    <w:rsid w:val="00AE7BBF"/>
    <w:rsid w:val="00AE7EE5"/>
    <w:rsid w:val="00AF0F2B"/>
    <w:rsid w:val="00AF16F9"/>
    <w:rsid w:val="00AF4269"/>
    <w:rsid w:val="00AF4726"/>
    <w:rsid w:val="00AF54EE"/>
    <w:rsid w:val="00AF5E8A"/>
    <w:rsid w:val="00B0060E"/>
    <w:rsid w:val="00B006F7"/>
    <w:rsid w:val="00B02F0A"/>
    <w:rsid w:val="00B07453"/>
    <w:rsid w:val="00B07B14"/>
    <w:rsid w:val="00B10730"/>
    <w:rsid w:val="00B11630"/>
    <w:rsid w:val="00B11D81"/>
    <w:rsid w:val="00B11FB8"/>
    <w:rsid w:val="00B12E56"/>
    <w:rsid w:val="00B1335E"/>
    <w:rsid w:val="00B13700"/>
    <w:rsid w:val="00B1371D"/>
    <w:rsid w:val="00B13AFD"/>
    <w:rsid w:val="00B15ED7"/>
    <w:rsid w:val="00B16CE8"/>
    <w:rsid w:val="00B16EC2"/>
    <w:rsid w:val="00B172BF"/>
    <w:rsid w:val="00B17AB9"/>
    <w:rsid w:val="00B21BD6"/>
    <w:rsid w:val="00B21FDE"/>
    <w:rsid w:val="00B220B3"/>
    <w:rsid w:val="00B23BF1"/>
    <w:rsid w:val="00B244B1"/>
    <w:rsid w:val="00B244CB"/>
    <w:rsid w:val="00B25116"/>
    <w:rsid w:val="00B2587D"/>
    <w:rsid w:val="00B25A65"/>
    <w:rsid w:val="00B25F6F"/>
    <w:rsid w:val="00B26344"/>
    <w:rsid w:val="00B273F9"/>
    <w:rsid w:val="00B31863"/>
    <w:rsid w:val="00B327DF"/>
    <w:rsid w:val="00B33100"/>
    <w:rsid w:val="00B3358B"/>
    <w:rsid w:val="00B34182"/>
    <w:rsid w:val="00B344A5"/>
    <w:rsid w:val="00B35EAA"/>
    <w:rsid w:val="00B4268E"/>
    <w:rsid w:val="00B43819"/>
    <w:rsid w:val="00B440BD"/>
    <w:rsid w:val="00B442DE"/>
    <w:rsid w:val="00B45AAB"/>
    <w:rsid w:val="00B45DBD"/>
    <w:rsid w:val="00B462C9"/>
    <w:rsid w:val="00B471D9"/>
    <w:rsid w:val="00B47855"/>
    <w:rsid w:val="00B5420E"/>
    <w:rsid w:val="00B54D8E"/>
    <w:rsid w:val="00B5574D"/>
    <w:rsid w:val="00B55D9F"/>
    <w:rsid w:val="00B56782"/>
    <w:rsid w:val="00B5739E"/>
    <w:rsid w:val="00B57F1F"/>
    <w:rsid w:val="00B6007C"/>
    <w:rsid w:val="00B61DF1"/>
    <w:rsid w:val="00B623F5"/>
    <w:rsid w:val="00B6254B"/>
    <w:rsid w:val="00B6322F"/>
    <w:rsid w:val="00B63511"/>
    <w:rsid w:val="00B63EFE"/>
    <w:rsid w:val="00B64200"/>
    <w:rsid w:val="00B65539"/>
    <w:rsid w:val="00B7265B"/>
    <w:rsid w:val="00B72913"/>
    <w:rsid w:val="00B7316E"/>
    <w:rsid w:val="00B73BA6"/>
    <w:rsid w:val="00B73DB4"/>
    <w:rsid w:val="00B74127"/>
    <w:rsid w:val="00B75828"/>
    <w:rsid w:val="00B75EAE"/>
    <w:rsid w:val="00B7634D"/>
    <w:rsid w:val="00B768F7"/>
    <w:rsid w:val="00B8069A"/>
    <w:rsid w:val="00B80B06"/>
    <w:rsid w:val="00B81660"/>
    <w:rsid w:val="00B825A0"/>
    <w:rsid w:val="00B82F4A"/>
    <w:rsid w:val="00B83CB3"/>
    <w:rsid w:val="00B93B06"/>
    <w:rsid w:val="00B93D34"/>
    <w:rsid w:val="00B9501B"/>
    <w:rsid w:val="00B960E2"/>
    <w:rsid w:val="00B964AA"/>
    <w:rsid w:val="00B964DE"/>
    <w:rsid w:val="00B97201"/>
    <w:rsid w:val="00B9747D"/>
    <w:rsid w:val="00BA011A"/>
    <w:rsid w:val="00BA088F"/>
    <w:rsid w:val="00BA1C11"/>
    <w:rsid w:val="00BA296E"/>
    <w:rsid w:val="00BA3132"/>
    <w:rsid w:val="00BA395C"/>
    <w:rsid w:val="00BA4388"/>
    <w:rsid w:val="00BA4468"/>
    <w:rsid w:val="00BA76F1"/>
    <w:rsid w:val="00BB256F"/>
    <w:rsid w:val="00BB3163"/>
    <w:rsid w:val="00BB3237"/>
    <w:rsid w:val="00BB337A"/>
    <w:rsid w:val="00BB42D9"/>
    <w:rsid w:val="00BB4FB0"/>
    <w:rsid w:val="00BB525F"/>
    <w:rsid w:val="00BB7B04"/>
    <w:rsid w:val="00BC144C"/>
    <w:rsid w:val="00BC14B2"/>
    <w:rsid w:val="00BC1F62"/>
    <w:rsid w:val="00BC2053"/>
    <w:rsid w:val="00BC3F6A"/>
    <w:rsid w:val="00BC42FC"/>
    <w:rsid w:val="00BC4EC2"/>
    <w:rsid w:val="00BC50D8"/>
    <w:rsid w:val="00BC5AF5"/>
    <w:rsid w:val="00BC5DCB"/>
    <w:rsid w:val="00BC68B9"/>
    <w:rsid w:val="00BC7EC0"/>
    <w:rsid w:val="00BD162A"/>
    <w:rsid w:val="00BD2404"/>
    <w:rsid w:val="00BD25BC"/>
    <w:rsid w:val="00BD35A4"/>
    <w:rsid w:val="00BD3C8F"/>
    <w:rsid w:val="00BD404B"/>
    <w:rsid w:val="00BD45C4"/>
    <w:rsid w:val="00BD5817"/>
    <w:rsid w:val="00BD5E54"/>
    <w:rsid w:val="00BE01EF"/>
    <w:rsid w:val="00BE0CA0"/>
    <w:rsid w:val="00BE2BC9"/>
    <w:rsid w:val="00BE522C"/>
    <w:rsid w:val="00BE57A1"/>
    <w:rsid w:val="00BE6601"/>
    <w:rsid w:val="00BE6C23"/>
    <w:rsid w:val="00BE751E"/>
    <w:rsid w:val="00BF0F90"/>
    <w:rsid w:val="00BF14CA"/>
    <w:rsid w:val="00BF1D9D"/>
    <w:rsid w:val="00BF23DB"/>
    <w:rsid w:val="00BF2846"/>
    <w:rsid w:val="00BF3AFD"/>
    <w:rsid w:val="00BF45E3"/>
    <w:rsid w:val="00BF4659"/>
    <w:rsid w:val="00BF5FB8"/>
    <w:rsid w:val="00C00A3F"/>
    <w:rsid w:val="00C00D9E"/>
    <w:rsid w:val="00C00E08"/>
    <w:rsid w:val="00C0202A"/>
    <w:rsid w:val="00C021F8"/>
    <w:rsid w:val="00C02FFE"/>
    <w:rsid w:val="00C053BB"/>
    <w:rsid w:val="00C0626D"/>
    <w:rsid w:val="00C07ABA"/>
    <w:rsid w:val="00C07B5B"/>
    <w:rsid w:val="00C10D56"/>
    <w:rsid w:val="00C1144A"/>
    <w:rsid w:val="00C126F4"/>
    <w:rsid w:val="00C13243"/>
    <w:rsid w:val="00C13D77"/>
    <w:rsid w:val="00C14E8C"/>
    <w:rsid w:val="00C153F4"/>
    <w:rsid w:val="00C16E8F"/>
    <w:rsid w:val="00C22646"/>
    <w:rsid w:val="00C22824"/>
    <w:rsid w:val="00C233A2"/>
    <w:rsid w:val="00C2372C"/>
    <w:rsid w:val="00C23E08"/>
    <w:rsid w:val="00C24203"/>
    <w:rsid w:val="00C2570D"/>
    <w:rsid w:val="00C26787"/>
    <w:rsid w:val="00C2688D"/>
    <w:rsid w:val="00C27974"/>
    <w:rsid w:val="00C27C9B"/>
    <w:rsid w:val="00C30090"/>
    <w:rsid w:val="00C302B6"/>
    <w:rsid w:val="00C30AA8"/>
    <w:rsid w:val="00C30E72"/>
    <w:rsid w:val="00C31586"/>
    <w:rsid w:val="00C33CFA"/>
    <w:rsid w:val="00C33D32"/>
    <w:rsid w:val="00C34471"/>
    <w:rsid w:val="00C34E16"/>
    <w:rsid w:val="00C354E3"/>
    <w:rsid w:val="00C35FEA"/>
    <w:rsid w:val="00C36139"/>
    <w:rsid w:val="00C36DF7"/>
    <w:rsid w:val="00C40547"/>
    <w:rsid w:val="00C41279"/>
    <w:rsid w:val="00C43CC6"/>
    <w:rsid w:val="00C44805"/>
    <w:rsid w:val="00C458E2"/>
    <w:rsid w:val="00C463BF"/>
    <w:rsid w:val="00C46A61"/>
    <w:rsid w:val="00C46E0F"/>
    <w:rsid w:val="00C47633"/>
    <w:rsid w:val="00C47DF7"/>
    <w:rsid w:val="00C50810"/>
    <w:rsid w:val="00C50EC7"/>
    <w:rsid w:val="00C511DD"/>
    <w:rsid w:val="00C5264E"/>
    <w:rsid w:val="00C534BB"/>
    <w:rsid w:val="00C53991"/>
    <w:rsid w:val="00C54D4C"/>
    <w:rsid w:val="00C54DD6"/>
    <w:rsid w:val="00C56089"/>
    <w:rsid w:val="00C56244"/>
    <w:rsid w:val="00C60186"/>
    <w:rsid w:val="00C60302"/>
    <w:rsid w:val="00C60DBD"/>
    <w:rsid w:val="00C60F7D"/>
    <w:rsid w:val="00C61558"/>
    <w:rsid w:val="00C61B58"/>
    <w:rsid w:val="00C62326"/>
    <w:rsid w:val="00C62F14"/>
    <w:rsid w:val="00C63C07"/>
    <w:rsid w:val="00C63F23"/>
    <w:rsid w:val="00C64D38"/>
    <w:rsid w:val="00C66886"/>
    <w:rsid w:val="00C7069A"/>
    <w:rsid w:val="00C70B48"/>
    <w:rsid w:val="00C73666"/>
    <w:rsid w:val="00C749C2"/>
    <w:rsid w:val="00C75950"/>
    <w:rsid w:val="00C76657"/>
    <w:rsid w:val="00C76E9A"/>
    <w:rsid w:val="00C76FCA"/>
    <w:rsid w:val="00C76FD9"/>
    <w:rsid w:val="00C77AE6"/>
    <w:rsid w:val="00C77C7C"/>
    <w:rsid w:val="00C80029"/>
    <w:rsid w:val="00C8073B"/>
    <w:rsid w:val="00C81AE5"/>
    <w:rsid w:val="00C820E9"/>
    <w:rsid w:val="00C82F02"/>
    <w:rsid w:val="00C832BC"/>
    <w:rsid w:val="00C83406"/>
    <w:rsid w:val="00C83942"/>
    <w:rsid w:val="00C852A1"/>
    <w:rsid w:val="00C85F8B"/>
    <w:rsid w:val="00C86A70"/>
    <w:rsid w:val="00C874DE"/>
    <w:rsid w:val="00C900FF"/>
    <w:rsid w:val="00C901F1"/>
    <w:rsid w:val="00C907E9"/>
    <w:rsid w:val="00C9158B"/>
    <w:rsid w:val="00C915C0"/>
    <w:rsid w:val="00C91766"/>
    <w:rsid w:val="00C92B99"/>
    <w:rsid w:val="00C92FEE"/>
    <w:rsid w:val="00C938E1"/>
    <w:rsid w:val="00C93B32"/>
    <w:rsid w:val="00C93C41"/>
    <w:rsid w:val="00C943C3"/>
    <w:rsid w:val="00C948E5"/>
    <w:rsid w:val="00C94A03"/>
    <w:rsid w:val="00C94A6A"/>
    <w:rsid w:val="00C95140"/>
    <w:rsid w:val="00C95925"/>
    <w:rsid w:val="00C95D9F"/>
    <w:rsid w:val="00C97D58"/>
    <w:rsid w:val="00CA048C"/>
    <w:rsid w:val="00CA0532"/>
    <w:rsid w:val="00CA144A"/>
    <w:rsid w:val="00CA2F6A"/>
    <w:rsid w:val="00CA3CF2"/>
    <w:rsid w:val="00CA3E0A"/>
    <w:rsid w:val="00CA4C6E"/>
    <w:rsid w:val="00CA54B2"/>
    <w:rsid w:val="00CA7966"/>
    <w:rsid w:val="00CB12F6"/>
    <w:rsid w:val="00CB1CAE"/>
    <w:rsid w:val="00CB2C81"/>
    <w:rsid w:val="00CB3535"/>
    <w:rsid w:val="00CB4BDE"/>
    <w:rsid w:val="00CB52D3"/>
    <w:rsid w:val="00CB5A68"/>
    <w:rsid w:val="00CB685C"/>
    <w:rsid w:val="00CB6CC9"/>
    <w:rsid w:val="00CB7764"/>
    <w:rsid w:val="00CC106B"/>
    <w:rsid w:val="00CC2BE7"/>
    <w:rsid w:val="00CC3B0C"/>
    <w:rsid w:val="00CC3C92"/>
    <w:rsid w:val="00CC42C8"/>
    <w:rsid w:val="00CC4A01"/>
    <w:rsid w:val="00CC577F"/>
    <w:rsid w:val="00CC5AD8"/>
    <w:rsid w:val="00CC64B7"/>
    <w:rsid w:val="00CC6DEB"/>
    <w:rsid w:val="00CC75FB"/>
    <w:rsid w:val="00CD0F7F"/>
    <w:rsid w:val="00CD2A2E"/>
    <w:rsid w:val="00CD31F8"/>
    <w:rsid w:val="00CD37F2"/>
    <w:rsid w:val="00CD4230"/>
    <w:rsid w:val="00CD45C0"/>
    <w:rsid w:val="00CD5D6B"/>
    <w:rsid w:val="00CD7D41"/>
    <w:rsid w:val="00CE1203"/>
    <w:rsid w:val="00CE16E1"/>
    <w:rsid w:val="00CE1E54"/>
    <w:rsid w:val="00CE3AB7"/>
    <w:rsid w:val="00CE4901"/>
    <w:rsid w:val="00CE60DD"/>
    <w:rsid w:val="00CE6D47"/>
    <w:rsid w:val="00CE71DD"/>
    <w:rsid w:val="00CE73D7"/>
    <w:rsid w:val="00CE75C6"/>
    <w:rsid w:val="00CE791A"/>
    <w:rsid w:val="00CE7E6E"/>
    <w:rsid w:val="00CF2186"/>
    <w:rsid w:val="00CF3993"/>
    <w:rsid w:val="00CF3FC0"/>
    <w:rsid w:val="00CF48B8"/>
    <w:rsid w:val="00CF4BD7"/>
    <w:rsid w:val="00CF66F0"/>
    <w:rsid w:val="00CF772C"/>
    <w:rsid w:val="00CF7B85"/>
    <w:rsid w:val="00D009C9"/>
    <w:rsid w:val="00D01B71"/>
    <w:rsid w:val="00D026DB"/>
    <w:rsid w:val="00D03CBA"/>
    <w:rsid w:val="00D04D4B"/>
    <w:rsid w:val="00D05AC7"/>
    <w:rsid w:val="00D05F02"/>
    <w:rsid w:val="00D05F23"/>
    <w:rsid w:val="00D079BB"/>
    <w:rsid w:val="00D07C03"/>
    <w:rsid w:val="00D102B9"/>
    <w:rsid w:val="00D10A76"/>
    <w:rsid w:val="00D10C85"/>
    <w:rsid w:val="00D10E61"/>
    <w:rsid w:val="00D11D14"/>
    <w:rsid w:val="00D14FDD"/>
    <w:rsid w:val="00D1521F"/>
    <w:rsid w:val="00D15CDC"/>
    <w:rsid w:val="00D178F4"/>
    <w:rsid w:val="00D17E02"/>
    <w:rsid w:val="00D17EEC"/>
    <w:rsid w:val="00D2007A"/>
    <w:rsid w:val="00D215A0"/>
    <w:rsid w:val="00D21F9D"/>
    <w:rsid w:val="00D22AB5"/>
    <w:rsid w:val="00D246BA"/>
    <w:rsid w:val="00D2486C"/>
    <w:rsid w:val="00D24E6F"/>
    <w:rsid w:val="00D26540"/>
    <w:rsid w:val="00D26B43"/>
    <w:rsid w:val="00D26DC6"/>
    <w:rsid w:val="00D27587"/>
    <w:rsid w:val="00D30FD0"/>
    <w:rsid w:val="00D31158"/>
    <w:rsid w:val="00D31DCB"/>
    <w:rsid w:val="00D31E10"/>
    <w:rsid w:val="00D32B82"/>
    <w:rsid w:val="00D34598"/>
    <w:rsid w:val="00D358AC"/>
    <w:rsid w:val="00D35CB6"/>
    <w:rsid w:val="00D37566"/>
    <w:rsid w:val="00D37C46"/>
    <w:rsid w:val="00D40BC4"/>
    <w:rsid w:val="00D42310"/>
    <w:rsid w:val="00D437BA"/>
    <w:rsid w:val="00D4570C"/>
    <w:rsid w:val="00D45CCD"/>
    <w:rsid w:val="00D46A86"/>
    <w:rsid w:val="00D50DCF"/>
    <w:rsid w:val="00D51751"/>
    <w:rsid w:val="00D51AAA"/>
    <w:rsid w:val="00D51AF7"/>
    <w:rsid w:val="00D51D9B"/>
    <w:rsid w:val="00D526F8"/>
    <w:rsid w:val="00D5459C"/>
    <w:rsid w:val="00D54606"/>
    <w:rsid w:val="00D559BC"/>
    <w:rsid w:val="00D55C4C"/>
    <w:rsid w:val="00D570A0"/>
    <w:rsid w:val="00D57B9B"/>
    <w:rsid w:val="00D60DD2"/>
    <w:rsid w:val="00D61BE1"/>
    <w:rsid w:val="00D62476"/>
    <w:rsid w:val="00D62DA5"/>
    <w:rsid w:val="00D6348A"/>
    <w:rsid w:val="00D63FDB"/>
    <w:rsid w:val="00D64EE1"/>
    <w:rsid w:val="00D65A0D"/>
    <w:rsid w:val="00D666CD"/>
    <w:rsid w:val="00D66FF2"/>
    <w:rsid w:val="00D67B03"/>
    <w:rsid w:val="00D67DD6"/>
    <w:rsid w:val="00D70438"/>
    <w:rsid w:val="00D70FE9"/>
    <w:rsid w:val="00D71E64"/>
    <w:rsid w:val="00D72DAA"/>
    <w:rsid w:val="00D74C91"/>
    <w:rsid w:val="00D74CE0"/>
    <w:rsid w:val="00D76928"/>
    <w:rsid w:val="00D76A57"/>
    <w:rsid w:val="00D76B1C"/>
    <w:rsid w:val="00D76C2B"/>
    <w:rsid w:val="00D80A55"/>
    <w:rsid w:val="00D81F03"/>
    <w:rsid w:val="00D8251B"/>
    <w:rsid w:val="00D82C5E"/>
    <w:rsid w:val="00D83066"/>
    <w:rsid w:val="00D831F3"/>
    <w:rsid w:val="00D85011"/>
    <w:rsid w:val="00D86881"/>
    <w:rsid w:val="00D87784"/>
    <w:rsid w:val="00D879B1"/>
    <w:rsid w:val="00D90A15"/>
    <w:rsid w:val="00D90ADA"/>
    <w:rsid w:val="00D911B4"/>
    <w:rsid w:val="00D925B0"/>
    <w:rsid w:val="00D926E4"/>
    <w:rsid w:val="00D93249"/>
    <w:rsid w:val="00D944BE"/>
    <w:rsid w:val="00DA127A"/>
    <w:rsid w:val="00DA1A05"/>
    <w:rsid w:val="00DA27DE"/>
    <w:rsid w:val="00DA2D64"/>
    <w:rsid w:val="00DA36A0"/>
    <w:rsid w:val="00DA3B3F"/>
    <w:rsid w:val="00DA4CAF"/>
    <w:rsid w:val="00DA6F95"/>
    <w:rsid w:val="00DA7682"/>
    <w:rsid w:val="00DB0035"/>
    <w:rsid w:val="00DB1A11"/>
    <w:rsid w:val="00DB2689"/>
    <w:rsid w:val="00DB3A7F"/>
    <w:rsid w:val="00DB48CD"/>
    <w:rsid w:val="00DB4F5F"/>
    <w:rsid w:val="00DB512A"/>
    <w:rsid w:val="00DB6BF2"/>
    <w:rsid w:val="00DB7061"/>
    <w:rsid w:val="00DC14A9"/>
    <w:rsid w:val="00DC15E6"/>
    <w:rsid w:val="00DC211C"/>
    <w:rsid w:val="00DC2FB2"/>
    <w:rsid w:val="00DC3149"/>
    <w:rsid w:val="00DC3946"/>
    <w:rsid w:val="00DC617A"/>
    <w:rsid w:val="00DC672F"/>
    <w:rsid w:val="00DC7E7C"/>
    <w:rsid w:val="00DD0CDA"/>
    <w:rsid w:val="00DD117A"/>
    <w:rsid w:val="00DD12D6"/>
    <w:rsid w:val="00DD210E"/>
    <w:rsid w:val="00DD2D9B"/>
    <w:rsid w:val="00DD3131"/>
    <w:rsid w:val="00DD3869"/>
    <w:rsid w:val="00DD3D33"/>
    <w:rsid w:val="00DD5783"/>
    <w:rsid w:val="00DD6A3D"/>
    <w:rsid w:val="00DD6DC9"/>
    <w:rsid w:val="00DD711A"/>
    <w:rsid w:val="00DD7F07"/>
    <w:rsid w:val="00DE0D97"/>
    <w:rsid w:val="00DE15FA"/>
    <w:rsid w:val="00DE2191"/>
    <w:rsid w:val="00DE21EE"/>
    <w:rsid w:val="00DE25F2"/>
    <w:rsid w:val="00DE2CBA"/>
    <w:rsid w:val="00DE3629"/>
    <w:rsid w:val="00DE42B5"/>
    <w:rsid w:val="00DE49D6"/>
    <w:rsid w:val="00DE4B09"/>
    <w:rsid w:val="00DE55B8"/>
    <w:rsid w:val="00DE795E"/>
    <w:rsid w:val="00DF0EA1"/>
    <w:rsid w:val="00DF2527"/>
    <w:rsid w:val="00DF3C15"/>
    <w:rsid w:val="00DF3C88"/>
    <w:rsid w:val="00DF3C9A"/>
    <w:rsid w:val="00DF47E1"/>
    <w:rsid w:val="00DF718E"/>
    <w:rsid w:val="00E005C1"/>
    <w:rsid w:val="00E010E8"/>
    <w:rsid w:val="00E01C28"/>
    <w:rsid w:val="00E03EF1"/>
    <w:rsid w:val="00E03FA3"/>
    <w:rsid w:val="00E0440C"/>
    <w:rsid w:val="00E047FF"/>
    <w:rsid w:val="00E04A96"/>
    <w:rsid w:val="00E05685"/>
    <w:rsid w:val="00E07D18"/>
    <w:rsid w:val="00E11253"/>
    <w:rsid w:val="00E12BF4"/>
    <w:rsid w:val="00E13206"/>
    <w:rsid w:val="00E1549C"/>
    <w:rsid w:val="00E16ABB"/>
    <w:rsid w:val="00E17192"/>
    <w:rsid w:val="00E203A8"/>
    <w:rsid w:val="00E20DA0"/>
    <w:rsid w:val="00E20ED6"/>
    <w:rsid w:val="00E22561"/>
    <w:rsid w:val="00E2260B"/>
    <w:rsid w:val="00E23E73"/>
    <w:rsid w:val="00E24910"/>
    <w:rsid w:val="00E2511E"/>
    <w:rsid w:val="00E25694"/>
    <w:rsid w:val="00E2570C"/>
    <w:rsid w:val="00E2592E"/>
    <w:rsid w:val="00E25D05"/>
    <w:rsid w:val="00E30368"/>
    <w:rsid w:val="00E3081B"/>
    <w:rsid w:val="00E32288"/>
    <w:rsid w:val="00E327BC"/>
    <w:rsid w:val="00E32EA5"/>
    <w:rsid w:val="00E33FFD"/>
    <w:rsid w:val="00E346B3"/>
    <w:rsid w:val="00E34770"/>
    <w:rsid w:val="00E36BD5"/>
    <w:rsid w:val="00E36FB5"/>
    <w:rsid w:val="00E37211"/>
    <w:rsid w:val="00E37B02"/>
    <w:rsid w:val="00E41B22"/>
    <w:rsid w:val="00E42289"/>
    <w:rsid w:val="00E427D3"/>
    <w:rsid w:val="00E42846"/>
    <w:rsid w:val="00E43560"/>
    <w:rsid w:val="00E43877"/>
    <w:rsid w:val="00E4538F"/>
    <w:rsid w:val="00E45657"/>
    <w:rsid w:val="00E46CFA"/>
    <w:rsid w:val="00E50A3C"/>
    <w:rsid w:val="00E512AB"/>
    <w:rsid w:val="00E5280C"/>
    <w:rsid w:val="00E54609"/>
    <w:rsid w:val="00E5570B"/>
    <w:rsid w:val="00E572DB"/>
    <w:rsid w:val="00E602B2"/>
    <w:rsid w:val="00E6136E"/>
    <w:rsid w:val="00E61CA5"/>
    <w:rsid w:val="00E63248"/>
    <w:rsid w:val="00E63C16"/>
    <w:rsid w:val="00E6594E"/>
    <w:rsid w:val="00E662BD"/>
    <w:rsid w:val="00E66F7D"/>
    <w:rsid w:val="00E672D9"/>
    <w:rsid w:val="00E70641"/>
    <w:rsid w:val="00E710B6"/>
    <w:rsid w:val="00E712D4"/>
    <w:rsid w:val="00E71DD1"/>
    <w:rsid w:val="00E743FA"/>
    <w:rsid w:val="00E75551"/>
    <w:rsid w:val="00E76C5D"/>
    <w:rsid w:val="00E76CEE"/>
    <w:rsid w:val="00E7708E"/>
    <w:rsid w:val="00E81099"/>
    <w:rsid w:val="00E8146E"/>
    <w:rsid w:val="00E816D1"/>
    <w:rsid w:val="00E85E36"/>
    <w:rsid w:val="00E86AB0"/>
    <w:rsid w:val="00E86DD9"/>
    <w:rsid w:val="00E922C3"/>
    <w:rsid w:val="00E932F7"/>
    <w:rsid w:val="00E93C5B"/>
    <w:rsid w:val="00E94A0C"/>
    <w:rsid w:val="00E95564"/>
    <w:rsid w:val="00E95593"/>
    <w:rsid w:val="00E9567F"/>
    <w:rsid w:val="00E96D1C"/>
    <w:rsid w:val="00E96E5A"/>
    <w:rsid w:val="00EA0055"/>
    <w:rsid w:val="00EA182B"/>
    <w:rsid w:val="00EA2B33"/>
    <w:rsid w:val="00EA378B"/>
    <w:rsid w:val="00EA42C0"/>
    <w:rsid w:val="00EA53BB"/>
    <w:rsid w:val="00EA5E42"/>
    <w:rsid w:val="00EA73A0"/>
    <w:rsid w:val="00EB1939"/>
    <w:rsid w:val="00EB1A8B"/>
    <w:rsid w:val="00EB1C50"/>
    <w:rsid w:val="00EB5102"/>
    <w:rsid w:val="00EB650B"/>
    <w:rsid w:val="00EB6ED6"/>
    <w:rsid w:val="00EB7C29"/>
    <w:rsid w:val="00EC047A"/>
    <w:rsid w:val="00EC06FA"/>
    <w:rsid w:val="00EC0CB4"/>
    <w:rsid w:val="00EC1261"/>
    <w:rsid w:val="00EC2D70"/>
    <w:rsid w:val="00EC34A8"/>
    <w:rsid w:val="00EC4A61"/>
    <w:rsid w:val="00EC5507"/>
    <w:rsid w:val="00ED131F"/>
    <w:rsid w:val="00ED1388"/>
    <w:rsid w:val="00ED1D31"/>
    <w:rsid w:val="00ED2B58"/>
    <w:rsid w:val="00ED2DE0"/>
    <w:rsid w:val="00ED33A5"/>
    <w:rsid w:val="00ED43AD"/>
    <w:rsid w:val="00ED466E"/>
    <w:rsid w:val="00ED5C88"/>
    <w:rsid w:val="00ED5FE4"/>
    <w:rsid w:val="00ED63D4"/>
    <w:rsid w:val="00EE0015"/>
    <w:rsid w:val="00EE01C3"/>
    <w:rsid w:val="00EE0771"/>
    <w:rsid w:val="00EE2396"/>
    <w:rsid w:val="00EE298B"/>
    <w:rsid w:val="00EE3B50"/>
    <w:rsid w:val="00EE4207"/>
    <w:rsid w:val="00EE4C2A"/>
    <w:rsid w:val="00EE4FE1"/>
    <w:rsid w:val="00EE5494"/>
    <w:rsid w:val="00EE575E"/>
    <w:rsid w:val="00EE633C"/>
    <w:rsid w:val="00EE6821"/>
    <w:rsid w:val="00EE6967"/>
    <w:rsid w:val="00EE7E09"/>
    <w:rsid w:val="00EF00ED"/>
    <w:rsid w:val="00EF0257"/>
    <w:rsid w:val="00EF02AB"/>
    <w:rsid w:val="00EF0DA7"/>
    <w:rsid w:val="00EF1E8A"/>
    <w:rsid w:val="00EF3410"/>
    <w:rsid w:val="00EF406A"/>
    <w:rsid w:val="00EF4C2A"/>
    <w:rsid w:val="00EF518D"/>
    <w:rsid w:val="00EF5CFA"/>
    <w:rsid w:val="00EF66F2"/>
    <w:rsid w:val="00EF67D6"/>
    <w:rsid w:val="00EF6A19"/>
    <w:rsid w:val="00F00A05"/>
    <w:rsid w:val="00F00FA8"/>
    <w:rsid w:val="00F01499"/>
    <w:rsid w:val="00F02F4A"/>
    <w:rsid w:val="00F04810"/>
    <w:rsid w:val="00F05591"/>
    <w:rsid w:val="00F05BF3"/>
    <w:rsid w:val="00F06D80"/>
    <w:rsid w:val="00F11679"/>
    <w:rsid w:val="00F120F0"/>
    <w:rsid w:val="00F1310D"/>
    <w:rsid w:val="00F1420A"/>
    <w:rsid w:val="00F1484E"/>
    <w:rsid w:val="00F15FFB"/>
    <w:rsid w:val="00F177AA"/>
    <w:rsid w:val="00F17D2B"/>
    <w:rsid w:val="00F21CBE"/>
    <w:rsid w:val="00F21DB1"/>
    <w:rsid w:val="00F2310C"/>
    <w:rsid w:val="00F23946"/>
    <w:rsid w:val="00F2415D"/>
    <w:rsid w:val="00F2533B"/>
    <w:rsid w:val="00F27188"/>
    <w:rsid w:val="00F27C86"/>
    <w:rsid w:val="00F30149"/>
    <w:rsid w:val="00F30210"/>
    <w:rsid w:val="00F30B00"/>
    <w:rsid w:val="00F30D26"/>
    <w:rsid w:val="00F3173B"/>
    <w:rsid w:val="00F31B3A"/>
    <w:rsid w:val="00F32584"/>
    <w:rsid w:val="00F32598"/>
    <w:rsid w:val="00F3291B"/>
    <w:rsid w:val="00F331C8"/>
    <w:rsid w:val="00F3366B"/>
    <w:rsid w:val="00F342E5"/>
    <w:rsid w:val="00F358E9"/>
    <w:rsid w:val="00F35F29"/>
    <w:rsid w:val="00F369C4"/>
    <w:rsid w:val="00F369E1"/>
    <w:rsid w:val="00F36F91"/>
    <w:rsid w:val="00F40C2E"/>
    <w:rsid w:val="00F4233F"/>
    <w:rsid w:val="00F451B0"/>
    <w:rsid w:val="00F453B4"/>
    <w:rsid w:val="00F4548E"/>
    <w:rsid w:val="00F469D8"/>
    <w:rsid w:val="00F475C3"/>
    <w:rsid w:val="00F47EAD"/>
    <w:rsid w:val="00F51836"/>
    <w:rsid w:val="00F52123"/>
    <w:rsid w:val="00F52281"/>
    <w:rsid w:val="00F52312"/>
    <w:rsid w:val="00F549A9"/>
    <w:rsid w:val="00F5714B"/>
    <w:rsid w:val="00F57198"/>
    <w:rsid w:val="00F57365"/>
    <w:rsid w:val="00F60DE0"/>
    <w:rsid w:val="00F62555"/>
    <w:rsid w:val="00F63576"/>
    <w:rsid w:val="00F64B7A"/>
    <w:rsid w:val="00F668CC"/>
    <w:rsid w:val="00F67296"/>
    <w:rsid w:val="00F672EA"/>
    <w:rsid w:val="00F71E64"/>
    <w:rsid w:val="00F72615"/>
    <w:rsid w:val="00F726D5"/>
    <w:rsid w:val="00F7291E"/>
    <w:rsid w:val="00F73A6D"/>
    <w:rsid w:val="00F7482C"/>
    <w:rsid w:val="00F74951"/>
    <w:rsid w:val="00F7510A"/>
    <w:rsid w:val="00F75204"/>
    <w:rsid w:val="00F75B1E"/>
    <w:rsid w:val="00F77595"/>
    <w:rsid w:val="00F777E0"/>
    <w:rsid w:val="00F77ABB"/>
    <w:rsid w:val="00F806BD"/>
    <w:rsid w:val="00F809B8"/>
    <w:rsid w:val="00F80F75"/>
    <w:rsid w:val="00F816CC"/>
    <w:rsid w:val="00F82DFD"/>
    <w:rsid w:val="00F83F07"/>
    <w:rsid w:val="00F84382"/>
    <w:rsid w:val="00F844C3"/>
    <w:rsid w:val="00F8573F"/>
    <w:rsid w:val="00F85829"/>
    <w:rsid w:val="00F873FF"/>
    <w:rsid w:val="00F87554"/>
    <w:rsid w:val="00F9330E"/>
    <w:rsid w:val="00F94F57"/>
    <w:rsid w:val="00F956F7"/>
    <w:rsid w:val="00F95EB2"/>
    <w:rsid w:val="00F96A31"/>
    <w:rsid w:val="00F977B9"/>
    <w:rsid w:val="00F97984"/>
    <w:rsid w:val="00FA036E"/>
    <w:rsid w:val="00FA2131"/>
    <w:rsid w:val="00FA335F"/>
    <w:rsid w:val="00FA3DA5"/>
    <w:rsid w:val="00FA46F6"/>
    <w:rsid w:val="00FA4D1B"/>
    <w:rsid w:val="00FA5366"/>
    <w:rsid w:val="00FA5456"/>
    <w:rsid w:val="00FB0959"/>
    <w:rsid w:val="00FB1392"/>
    <w:rsid w:val="00FB1E5A"/>
    <w:rsid w:val="00FB2850"/>
    <w:rsid w:val="00FB29EF"/>
    <w:rsid w:val="00FB2BAE"/>
    <w:rsid w:val="00FB4526"/>
    <w:rsid w:val="00FB4B15"/>
    <w:rsid w:val="00FB64C6"/>
    <w:rsid w:val="00FB72DF"/>
    <w:rsid w:val="00FB786C"/>
    <w:rsid w:val="00FB7BD1"/>
    <w:rsid w:val="00FB7D63"/>
    <w:rsid w:val="00FC10A6"/>
    <w:rsid w:val="00FC1E1C"/>
    <w:rsid w:val="00FC1EC9"/>
    <w:rsid w:val="00FC3183"/>
    <w:rsid w:val="00FC3390"/>
    <w:rsid w:val="00FC3AF1"/>
    <w:rsid w:val="00FC530A"/>
    <w:rsid w:val="00FC5C11"/>
    <w:rsid w:val="00FC6130"/>
    <w:rsid w:val="00FC66C5"/>
    <w:rsid w:val="00FC7786"/>
    <w:rsid w:val="00FD06A2"/>
    <w:rsid w:val="00FD2780"/>
    <w:rsid w:val="00FD6617"/>
    <w:rsid w:val="00FD6FA3"/>
    <w:rsid w:val="00FD798A"/>
    <w:rsid w:val="00FE0908"/>
    <w:rsid w:val="00FE112C"/>
    <w:rsid w:val="00FE117A"/>
    <w:rsid w:val="00FE12E8"/>
    <w:rsid w:val="00FE1870"/>
    <w:rsid w:val="00FE2630"/>
    <w:rsid w:val="00FE3DB9"/>
    <w:rsid w:val="00FE46D9"/>
    <w:rsid w:val="00FE4DC1"/>
    <w:rsid w:val="00FF02C9"/>
    <w:rsid w:val="00FF03E3"/>
    <w:rsid w:val="00FF0507"/>
    <w:rsid w:val="00FF0A1B"/>
    <w:rsid w:val="00FF409E"/>
    <w:rsid w:val="00FF6239"/>
    <w:rsid w:val="00FF73EF"/>
    <w:rsid w:val="00FF74A9"/>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currency"/>
  <w:smartTagType w:namespaceuri="schemas-tilde-lv/tildestengine" w:name="veidne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Normal Indent" w:locked="1"/>
    <w:lsdException w:name="footnote text" w:locked="1"/>
    <w:lsdException w:name="annotation text" w:locked="1" w:uiPriority="99"/>
    <w:lsdException w:name="header" w:locked="1" w:uiPriority="99"/>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uiPriority="22"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2AB"/>
    <w:pPr>
      <w:spacing w:after="200" w:line="276" w:lineRule="auto"/>
    </w:pPr>
    <w:rPr>
      <w:rFonts w:eastAsia="Times New Roman"/>
      <w:sz w:val="22"/>
      <w:szCs w:val="22"/>
      <w:lang w:val="en-US" w:eastAsia="en-US"/>
    </w:rPr>
  </w:style>
  <w:style w:type="paragraph" w:styleId="Heading1">
    <w:name w:val="heading 1"/>
    <w:aliases w:val="E Ü 1,Title 1"/>
    <w:basedOn w:val="Normal"/>
    <w:next w:val="Normal"/>
    <w:link w:val="Heading1Char"/>
    <w:qFormat/>
    <w:rsid w:val="008653F3"/>
    <w:pPr>
      <w:keepNext/>
      <w:keepLines/>
      <w:numPr>
        <w:numId w:val="3"/>
      </w:numPr>
      <w:spacing w:before="480" w:after="0"/>
      <w:outlineLvl w:val="0"/>
    </w:pPr>
    <w:rPr>
      <w:rFonts w:ascii="Cambria" w:eastAsia="Calibri" w:hAnsi="Cambria"/>
      <w:b/>
      <w:bCs/>
      <w:smallCaps/>
      <w:color w:val="365F91"/>
      <w:sz w:val="20"/>
      <w:szCs w:val="28"/>
      <w:lang w:val="en-GB"/>
    </w:rPr>
  </w:style>
  <w:style w:type="paragraph" w:styleId="Heading2">
    <w:name w:val="heading 2"/>
    <w:aliases w:val="E Ü 2,Title 2"/>
    <w:basedOn w:val="Normal"/>
    <w:next w:val="Normal"/>
    <w:link w:val="Heading2Char"/>
    <w:qFormat/>
    <w:locked/>
    <w:rsid w:val="00373840"/>
    <w:pPr>
      <w:keepNext/>
      <w:numPr>
        <w:ilvl w:val="1"/>
        <w:numId w:val="3"/>
      </w:numPr>
      <w:spacing w:before="240" w:after="60"/>
      <w:outlineLvl w:val="1"/>
    </w:pPr>
    <w:rPr>
      <w:rFonts w:ascii="Cambria" w:hAnsi="Cambria" w:cs="Arial"/>
      <w:b/>
      <w:bCs/>
      <w:i/>
      <w:iCs/>
      <w:color w:val="375F91"/>
      <w:sz w:val="20"/>
      <w:szCs w:val="28"/>
    </w:rPr>
  </w:style>
  <w:style w:type="paragraph" w:styleId="Heading3">
    <w:name w:val="heading 3"/>
    <w:aliases w:val="E Ü 3,Title 3"/>
    <w:basedOn w:val="Heading2"/>
    <w:next w:val="Normal"/>
    <w:link w:val="Heading3Char"/>
    <w:qFormat/>
    <w:locked/>
    <w:rsid w:val="00555DCA"/>
    <w:pPr>
      <w:keepLines/>
      <w:numPr>
        <w:ilvl w:val="2"/>
      </w:numPr>
      <w:tabs>
        <w:tab w:val="right" w:pos="8504"/>
      </w:tabs>
      <w:spacing w:before="120" w:after="120" w:line="280" w:lineRule="exact"/>
      <w:jc w:val="both"/>
      <w:outlineLvl w:val="2"/>
    </w:pPr>
    <w:rPr>
      <w:rFonts w:cs="Times New Roman"/>
      <w:bCs w:val="0"/>
      <w:iCs w:val="0"/>
      <w:szCs w:val="20"/>
      <w:lang w:val="en-GB" w:eastAsia="de-DE"/>
    </w:rPr>
  </w:style>
  <w:style w:type="paragraph" w:styleId="Heading4">
    <w:name w:val="heading 4"/>
    <w:basedOn w:val="Normal"/>
    <w:next w:val="Normal"/>
    <w:link w:val="Heading4Char"/>
    <w:qFormat/>
    <w:locked/>
    <w:rsid w:val="00487A66"/>
    <w:pPr>
      <w:keepNext/>
      <w:numPr>
        <w:ilvl w:val="3"/>
        <w:numId w:val="3"/>
      </w:numPr>
      <w:spacing w:before="480" w:after="120"/>
      <w:ind w:left="862" w:hanging="862"/>
      <w:outlineLvl w:val="3"/>
    </w:pPr>
    <w:rPr>
      <w:rFonts w:ascii="Cambria" w:hAnsi="Cambria"/>
      <w:bCs/>
      <w:i/>
      <w:color w:val="375F91"/>
      <w:sz w:val="20"/>
      <w:szCs w:val="28"/>
      <w:u w:val="single"/>
    </w:rPr>
  </w:style>
  <w:style w:type="paragraph" w:styleId="Heading5">
    <w:name w:val="heading 5"/>
    <w:basedOn w:val="Normal"/>
    <w:next w:val="Normal"/>
    <w:link w:val="Heading5Char"/>
    <w:qFormat/>
    <w:locked/>
    <w:rsid w:val="00710D7C"/>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locked/>
    <w:rsid w:val="00710D7C"/>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qFormat/>
    <w:locked/>
    <w:rsid w:val="00710D7C"/>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locked/>
    <w:rsid w:val="00710D7C"/>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locked/>
    <w:rsid w:val="00710D7C"/>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E5133"/>
    <w:rPr>
      <w:rFonts w:ascii="Tahoma" w:hAnsi="Tahoma" w:cs="Tahoma"/>
      <w:sz w:val="16"/>
      <w:szCs w:val="16"/>
    </w:rPr>
  </w:style>
  <w:style w:type="character" w:customStyle="1" w:styleId="Heading1Char">
    <w:name w:val="Heading 1 Char"/>
    <w:aliases w:val="E Ü 1 Char,Title 1 Char"/>
    <w:basedOn w:val="DefaultParagraphFont"/>
    <w:link w:val="Heading1"/>
    <w:locked/>
    <w:rsid w:val="008653F3"/>
    <w:rPr>
      <w:rFonts w:ascii="Cambria" w:hAnsi="Cambria"/>
      <w:b/>
      <w:bCs/>
      <w:smallCaps/>
      <w:color w:val="365F91"/>
      <w:szCs w:val="28"/>
      <w:lang w:val="en-GB" w:eastAsia="en-US"/>
    </w:rPr>
  </w:style>
  <w:style w:type="character" w:customStyle="1" w:styleId="Heading2Char">
    <w:name w:val="Heading 2 Char"/>
    <w:aliases w:val="E Ü 2 Char,Title 2 Char"/>
    <w:basedOn w:val="DefaultParagraphFont"/>
    <w:link w:val="Heading2"/>
    <w:locked/>
    <w:rsid w:val="00373840"/>
    <w:rPr>
      <w:rFonts w:ascii="Cambria" w:eastAsia="Times New Roman" w:hAnsi="Cambria" w:cs="Arial"/>
      <w:b/>
      <w:bCs/>
      <w:i/>
      <w:iCs/>
      <w:color w:val="375F91"/>
      <w:szCs w:val="28"/>
      <w:lang w:val="en-US" w:eastAsia="en-US"/>
    </w:rPr>
  </w:style>
  <w:style w:type="character" w:customStyle="1" w:styleId="Heading3Char">
    <w:name w:val="Heading 3 Char"/>
    <w:aliases w:val="E Ü 3 Char,Title 3 Char"/>
    <w:basedOn w:val="DefaultParagraphFont"/>
    <w:link w:val="Heading3"/>
    <w:locked/>
    <w:rsid w:val="00555DCA"/>
    <w:rPr>
      <w:rFonts w:ascii="Cambria" w:eastAsia="Times New Roman" w:hAnsi="Cambria"/>
      <w:b/>
      <w:i/>
      <w:color w:val="375F91"/>
      <w:lang w:val="en-GB" w:eastAsia="de-DE"/>
    </w:rPr>
  </w:style>
  <w:style w:type="character" w:customStyle="1" w:styleId="Heading4Char">
    <w:name w:val="Heading 4 Char"/>
    <w:basedOn w:val="DefaultParagraphFont"/>
    <w:link w:val="Heading4"/>
    <w:locked/>
    <w:rsid w:val="00487A66"/>
    <w:rPr>
      <w:rFonts w:ascii="Cambria" w:eastAsia="Times New Roman" w:hAnsi="Cambria"/>
      <w:bCs/>
      <w:i/>
      <w:color w:val="375F91"/>
      <w:szCs w:val="28"/>
      <w:u w:val="single"/>
      <w:lang w:val="en-US" w:eastAsia="en-US"/>
    </w:rPr>
  </w:style>
  <w:style w:type="character" w:customStyle="1" w:styleId="Heading5Char">
    <w:name w:val="Heading 5 Char"/>
    <w:basedOn w:val="DefaultParagraphFont"/>
    <w:link w:val="Heading5"/>
    <w:locked/>
    <w:rsid w:val="007D58F6"/>
    <w:rPr>
      <w:rFonts w:eastAsia="Times New Roman"/>
      <w:b/>
      <w:bCs/>
      <w:i/>
      <w:iCs/>
      <w:sz w:val="26"/>
      <w:szCs w:val="26"/>
      <w:lang w:val="en-US" w:eastAsia="en-US"/>
    </w:rPr>
  </w:style>
  <w:style w:type="character" w:customStyle="1" w:styleId="Heading6Char">
    <w:name w:val="Heading 6 Char"/>
    <w:basedOn w:val="DefaultParagraphFont"/>
    <w:link w:val="Heading6"/>
    <w:locked/>
    <w:rsid w:val="007D58F6"/>
    <w:rPr>
      <w:rFonts w:ascii="Times New Roman" w:eastAsia="Times New Roman" w:hAnsi="Times New Roman"/>
      <w:b/>
      <w:bCs/>
      <w:sz w:val="22"/>
      <w:szCs w:val="22"/>
      <w:lang w:val="en-US" w:eastAsia="en-US"/>
    </w:rPr>
  </w:style>
  <w:style w:type="character" w:customStyle="1" w:styleId="Heading7Char">
    <w:name w:val="Heading 7 Char"/>
    <w:basedOn w:val="DefaultParagraphFont"/>
    <w:link w:val="Heading7"/>
    <w:locked/>
    <w:rsid w:val="007D58F6"/>
    <w:rPr>
      <w:rFonts w:ascii="Times New Roman" w:eastAsia="Times New Roman" w:hAnsi="Times New Roman"/>
      <w:sz w:val="24"/>
      <w:szCs w:val="24"/>
      <w:lang w:val="en-US" w:eastAsia="en-US"/>
    </w:rPr>
  </w:style>
  <w:style w:type="character" w:customStyle="1" w:styleId="Heading8Char">
    <w:name w:val="Heading 8 Char"/>
    <w:basedOn w:val="DefaultParagraphFont"/>
    <w:link w:val="Heading8"/>
    <w:locked/>
    <w:rsid w:val="007D58F6"/>
    <w:rPr>
      <w:rFonts w:ascii="Times New Roman" w:eastAsia="Times New Roman" w:hAnsi="Times New Roman"/>
      <w:i/>
      <w:iCs/>
      <w:sz w:val="24"/>
      <w:szCs w:val="24"/>
      <w:lang w:val="en-US" w:eastAsia="en-US"/>
    </w:rPr>
  </w:style>
  <w:style w:type="character" w:customStyle="1" w:styleId="Heading9Char">
    <w:name w:val="Heading 9 Char"/>
    <w:basedOn w:val="DefaultParagraphFont"/>
    <w:link w:val="Heading9"/>
    <w:locked/>
    <w:rsid w:val="007D58F6"/>
    <w:rPr>
      <w:rFonts w:ascii="Arial" w:eastAsia="Times New Roman" w:hAnsi="Arial" w:cs="Arial"/>
      <w:sz w:val="22"/>
      <w:szCs w:val="22"/>
      <w:lang w:val="en-US" w:eastAsia="en-US"/>
    </w:rPr>
  </w:style>
  <w:style w:type="character" w:customStyle="1" w:styleId="BalloonTextChar">
    <w:name w:val="Balloon Text Char"/>
    <w:basedOn w:val="DefaultParagraphFont"/>
    <w:link w:val="BalloonText"/>
    <w:semiHidden/>
    <w:locked/>
    <w:rsid w:val="00200BA6"/>
    <w:rPr>
      <w:rFonts w:ascii="Times New Roman" w:hAnsi="Times New Roman" w:cs="Times New Roman"/>
      <w:sz w:val="2"/>
      <w:lang w:val="en-US" w:eastAsia="en-US"/>
    </w:rPr>
  </w:style>
  <w:style w:type="paragraph" w:styleId="Title">
    <w:name w:val="Title"/>
    <w:basedOn w:val="Normal"/>
    <w:next w:val="Normal"/>
    <w:link w:val="TitleChar"/>
    <w:qFormat/>
    <w:rsid w:val="003F342C"/>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3F342C"/>
    <w:rPr>
      <w:rFonts w:ascii="Cambria" w:hAnsi="Cambria" w:cs="Times New Roman"/>
      <w:color w:val="17365D"/>
      <w:spacing w:val="5"/>
      <w:kern w:val="28"/>
      <w:sz w:val="52"/>
      <w:szCs w:val="52"/>
    </w:rPr>
  </w:style>
  <w:style w:type="table" w:styleId="TableGrid">
    <w:name w:val="Table Grid"/>
    <w:basedOn w:val="TableNormal"/>
    <w:uiPriority w:val="59"/>
    <w:locked/>
    <w:rsid w:val="006E5133"/>
    <w:pPr>
      <w:spacing w:after="200" w:line="276"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E5133"/>
    <w:rPr>
      <w:rFonts w:cs="Times New Roman"/>
      <w:sz w:val="16"/>
      <w:szCs w:val="16"/>
    </w:rPr>
  </w:style>
  <w:style w:type="paragraph" w:styleId="CommentText">
    <w:name w:val="annotation text"/>
    <w:basedOn w:val="Normal"/>
    <w:link w:val="CommentTextChar"/>
    <w:uiPriority w:val="99"/>
    <w:semiHidden/>
    <w:rsid w:val="006E5133"/>
    <w:rPr>
      <w:sz w:val="20"/>
      <w:szCs w:val="20"/>
    </w:rPr>
  </w:style>
  <w:style w:type="character" w:customStyle="1" w:styleId="CommentTextChar">
    <w:name w:val="Comment Text Char"/>
    <w:basedOn w:val="DefaultParagraphFont"/>
    <w:link w:val="CommentText"/>
    <w:uiPriority w:val="99"/>
    <w:semiHidden/>
    <w:locked/>
    <w:rsid w:val="00200BA6"/>
    <w:rPr>
      <w:rFonts w:cs="Times New Roman"/>
      <w:sz w:val="20"/>
      <w:szCs w:val="20"/>
      <w:lang w:val="en-US" w:eastAsia="en-US"/>
    </w:rPr>
  </w:style>
  <w:style w:type="paragraph" w:styleId="CommentSubject">
    <w:name w:val="annotation subject"/>
    <w:basedOn w:val="CommentText"/>
    <w:next w:val="CommentText"/>
    <w:link w:val="CommentSubjectChar"/>
    <w:semiHidden/>
    <w:rsid w:val="006E5133"/>
    <w:rPr>
      <w:b/>
      <w:bCs/>
    </w:rPr>
  </w:style>
  <w:style w:type="character" w:customStyle="1" w:styleId="CommentSubjectChar">
    <w:name w:val="Comment Subject Char"/>
    <w:basedOn w:val="CommentTextChar"/>
    <w:link w:val="CommentSubject"/>
    <w:semiHidden/>
    <w:locked/>
    <w:rsid w:val="00200BA6"/>
    <w:rPr>
      <w:b/>
      <w:bCs/>
    </w:rPr>
  </w:style>
  <w:style w:type="paragraph" w:styleId="FootnoteText">
    <w:name w:val="footnote text"/>
    <w:aliases w:val="Footnote,Fußnote"/>
    <w:basedOn w:val="Normal"/>
    <w:link w:val="FootnoteTextChar"/>
    <w:rsid w:val="0068219D"/>
    <w:rPr>
      <w:sz w:val="20"/>
      <w:szCs w:val="20"/>
    </w:rPr>
  </w:style>
  <w:style w:type="character" w:customStyle="1" w:styleId="FootnoteTextChar">
    <w:name w:val="Footnote Text Char"/>
    <w:aliases w:val="Footnote Char,Fußnote Char"/>
    <w:basedOn w:val="DefaultParagraphFont"/>
    <w:link w:val="FootnoteText"/>
    <w:locked/>
    <w:rsid w:val="008156FC"/>
    <w:rPr>
      <w:rFonts w:cs="Times New Roman"/>
      <w:sz w:val="20"/>
      <w:szCs w:val="20"/>
      <w:lang w:val="en-US" w:eastAsia="en-US"/>
    </w:rPr>
  </w:style>
  <w:style w:type="character" w:styleId="FootnoteReference">
    <w:name w:val="footnote reference"/>
    <w:basedOn w:val="DefaultParagraphFont"/>
    <w:semiHidden/>
    <w:rsid w:val="0068219D"/>
    <w:rPr>
      <w:rFonts w:cs="Times New Roman"/>
      <w:vertAlign w:val="superscript"/>
    </w:rPr>
  </w:style>
  <w:style w:type="character" w:styleId="Hyperlink">
    <w:name w:val="Hyperlink"/>
    <w:basedOn w:val="DefaultParagraphFont"/>
    <w:uiPriority w:val="99"/>
    <w:rsid w:val="0068219D"/>
    <w:rPr>
      <w:rFonts w:cs="Times New Roman"/>
      <w:color w:val="0000FF"/>
      <w:u w:val="single"/>
    </w:rPr>
  </w:style>
  <w:style w:type="paragraph" w:customStyle="1" w:styleId="Tabletext">
    <w:name w:val="Table text"/>
    <w:basedOn w:val="Normal"/>
    <w:rsid w:val="00A74C4F"/>
    <w:pPr>
      <w:tabs>
        <w:tab w:val="right" w:pos="8504"/>
      </w:tabs>
      <w:spacing w:before="40" w:after="40" w:line="288" w:lineRule="auto"/>
      <w:jc w:val="both"/>
    </w:pPr>
    <w:rPr>
      <w:rFonts w:ascii="Arial" w:hAnsi="Arial"/>
      <w:sz w:val="18"/>
      <w:szCs w:val="20"/>
      <w:lang w:val="de-DE" w:eastAsia="de-DE"/>
    </w:rPr>
  </w:style>
  <w:style w:type="paragraph" w:styleId="Caption">
    <w:name w:val="caption"/>
    <w:basedOn w:val="Normal"/>
    <w:next w:val="Normal"/>
    <w:qFormat/>
    <w:locked/>
    <w:rsid w:val="005D27B5"/>
    <w:rPr>
      <w:b/>
      <w:bCs/>
      <w:sz w:val="20"/>
      <w:szCs w:val="20"/>
    </w:rPr>
  </w:style>
  <w:style w:type="paragraph" w:styleId="Header">
    <w:name w:val="header"/>
    <w:basedOn w:val="Normal"/>
    <w:link w:val="HeaderChar"/>
    <w:uiPriority w:val="99"/>
    <w:rsid w:val="00C44805"/>
    <w:pPr>
      <w:tabs>
        <w:tab w:val="center" w:pos="4680"/>
        <w:tab w:val="right" w:pos="9360"/>
      </w:tabs>
    </w:pPr>
  </w:style>
  <w:style w:type="character" w:customStyle="1" w:styleId="HeaderChar">
    <w:name w:val="Header Char"/>
    <w:basedOn w:val="DefaultParagraphFont"/>
    <w:link w:val="Header"/>
    <w:uiPriority w:val="99"/>
    <w:locked/>
    <w:rsid w:val="00C44805"/>
    <w:rPr>
      <w:rFonts w:cs="Times New Roman"/>
      <w:lang w:val="en-US" w:eastAsia="en-US"/>
    </w:rPr>
  </w:style>
  <w:style w:type="paragraph" w:styleId="Footer">
    <w:name w:val="footer"/>
    <w:basedOn w:val="Normal"/>
    <w:link w:val="FooterChar"/>
    <w:semiHidden/>
    <w:rsid w:val="00C44805"/>
    <w:pPr>
      <w:tabs>
        <w:tab w:val="center" w:pos="4680"/>
        <w:tab w:val="right" w:pos="9360"/>
      </w:tabs>
    </w:pPr>
  </w:style>
  <w:style w:type="character" w:customStyle="1" w:styleId="FooterChar">
    <w:name w:val="Footer Char"/>
    <w:basedOn w:val="DefaultParagraphFont"/>
    <w:link w:val="Footer"/>
    <w:semiHidden/>
    <w:locked/>
    <w:rsid w:val="00C44805"/>
    <w:rPr>
      <w:rFonts w:cs="Times New Roman"/>
      <w:lang w:val="en-US" w:eastAsia="en-US"/>
    </w:rPr>
  </w:style>
  <w:style w:type="character" w:styleId="FollowedHyperlink">
    <w:name w:val="FollowedHyperlink"/>
    <w:basedOn w:val="DefaultParagraphFont"/>
    <w:rsid w:val="005364D3"/>
    <w:rPr>
      <w:rFonts w:cs="Times New Roman"/>
      <w:color w:val="800080"/>
      <w:u w:val="single"/>
    </w:rPr>
  </w:style>
  <w:style w:type="character" w:styleId="PageNumber">
    <w:name w:val="page number"/>
    <w:basedOn w:val="DefaultParagraphFont"/>
    <w:rsid w:val="00245E57"/>
    <w:rPr>
      <w:rFonts w:cs="Times New Roman"/>
    </w:rPr>
  </w:style>
  <w:style w:type="paragraph" w:styleId="List5">
    <w:name w:val="List 5"/>
    <w:basedOn w:val="Normal"/>
    <w:rsid w:val="008263BB"/>
    <w:pPr>
      <w:tabs>
        <w:tab w:val="right" w:pos="8504"/>
      </w:tabs>
      <w:spacing w:after="120" w:line="288" w:lineRule="auto"/>
      <w:ind w:left="1800" w:hanging="360"/>
      <w:jc w:val="both"/>
    </w:pPr>
    <w:rPr>
      <w:rFonts w:ascii="CachetMedium" w:eastAsia="Calibri" w:hAnsi="CachetMedium"/>
      <w:sz w:val="20"/>
      <w:szCs w:val="20"/>
      <w:lang w:val="de-DE" w:eastAsia="de-DE"/>
    </w:rPr>
  </w:style>
  <w:style w:type="paragraph" w:styleId="TOC1">
    <w:name w:val="toc 1"/>
    <w:basedOn w:val="Normal"/>
    <w:next w:val="Normal"/>
    <w:autoRedefine/>
    <w:uiPriority w:val="39"/>
    <w:locked/>
    <w:rsid w:val="004722E1"/>
    <w:pPr>
      <w:tabs>
        <w:tab w:val="right" w:leader="dot" w:pos="9350"/>
      </w:tabs>
      <w:jc w:val="center"/>
    </w:pPr>
    <w:rPr>
      <w:rFonts w:ascii="Times New Roman" w:hAnsi="Times New Roman"/>
      <w:sz w:val="24"/>
    </w:rPr>
  </w:style>
  <w:style w:type="paragraph" w:styleId="TOC2">
    <w:name w:val="toc 2"/>
    <w:basedOn w:val="Normal"/>
    <w:next w:val="Normal"/>
    <w:autoRedefine/>
    <w:uiPriority w:val="39"/>
    <w:locked/>
    <w:rsid w:val="00932F48"/>
    <w:pPr>
      <w:ind w:left="220"/>
    </w:pPr>
  </w:style>
  <w:style w:type="paragraph" w:styleId="TOC3">
    <w:name w:val="toc 3"/>
    <w:basedOn w:val="Normal"/>
    <w:next w:val="Normal"/>
    <w:autoRedefine/>
    <w:uiPriority w:val="39"/>
    <w:locked/>
    <w:rsid w:val="00FD798A"/>
    <w:pPr>
      <w:ind w:left="440"/>
    </w:pPr>
  </w:style>
  <w:style w:type="paragraph" w:styleId="Revision">
    <w:name w:val="Revision"/>
    <w:hidden/>
    <w:semiHidden/>
    <w:rsid w:val="00C63F23"/>
    <w:rPr>
      <w:rFonts w:eastAsia="Times New Roman"/>
      <w:sz w:val="22"/>
      <w:szCs w:val="22"/>
      <w:lang w:val="en-US" w:eastAsia="en-US"/>
    </w:rPr>
  </w:style>
  <w:style w:type="paragraph" w:styleId="ListParagraph">
    <w:name w:val="List Paragraph"/>
    <w:basedOn w:val="Normal"/>
    <w:uiPriority w:val="34"/>
    <w:qFormat/>
    <w:rsid w:val="008319C1"/>
    <w:pPr>
      <w:ind w:left="720"/>
      <w:contextualSpacing/>
    </w:pPr>
  </w:style>
  <w:style w:type="paragraph" w:styleId="DocumentMap">
    <w:name w:val="Document Map"/>
    <w:basedOn w:val="Normal"/>
    <w:link w:val="DocumentMapChar"/>
    <w:semiHidden/>
    <w:locked/>
    <w:rsid w:val="004558F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7D58F6"/>
    <w:rPr>
      <w:rFonts w:ascii="Times New Roman" w:hAnsi="Times New Roman" w:cs="Times New Roman"/>
      <w:sz w:val="2"/>
      <w:lang w:val="en-US" w:eastAsia="en-US"/>
    </w:rPr>
  </w:style>
  <w:style w:type="paragraph" w:customStyle="1" w:styleId="astandardp9">
    <w:name w:val="a_standard_p9"/>
    <w:basedOn w:val="Normal"/>
    <w:rsid w:val="00F31B3A"/>
    <w:pPr>
      <w:spacing w:after="120" w:line="240" w:lineRule="auto"/>
      <w:jc w:val="both"/>
    </w:pPr>
    <w:rPr>
      <w:rFonts w:ascii="Times New Roman" w:hAnsi="Times New Roman"/>
      <w:sz w:val="24"/>
      <w:szCs w:val="24"/>
      <w:lang w:val="en-GB" w:eastAsia="en-GB"/>
    </w:rPr>
  </w:style>
  <w:style w:type="paragraph" w:styleId="TOC4">
    <w:name w:val="toc 4"/>
    <w:basedOn w:val="Normal"/>
    <w:next w:val="Normal"/>
    <w:autoRedefine/>
    <w:uiPriority w:val="39"/>
    <w:rsid w:val="004722E1"/>
    <w:pPr>
      <w:tabs>
        <w:tab w:val="left" w:pos="350"/>
        <w:tab w:val="right" w:leader="dot" w:pos="9072"/>
      </w:tabs>
      <w:ind w:right="-45"/>
      <w:jc w:val="both"/>
    </w:pPr>
    <w:rPr>
      <w:rFonts w:ascii="Times New Roman" w:hAnsi="Times New Roman"/>
      <w:sz w:val="24"/>
    </w:rPr>
  </w:style>
  <w:style w:type="paragraph" w:styleId="NormalWeb">
    <w:name w:val="Normal (Web)"/>
    <w:basedOn w:val="Normal"/>
    <w:uiPriority w:val="99"/>
    <w:unhideWhenUsed/>
    <w:locked/>
    <w:rsid w:val="00D90A15"/>
    <w:pPr>
      <w:spacing w:before="100" w:beforeAutospacing="1" w:after="100" w:afterAutospacing="1" w:line="240" w:lineRule="auto"/>
    </w:pPr>
    <w:rPr>
      <w:rFonts w:ascii="Times New Roman" w:hAnsi="Times New Roman"/>
      <w:sz w:val="20"/>
      <w:szCs w:val="20"/>
      <w:lang w:val="lv-LV" w:eastAsia="lv-LV"/>
    </w:rPr>
  </w:style>
  <w:style w:type="character" w:styleId="Strong">
    <w:name w:val="Strong"/>
    <w:basedOn w:val="DefaultParagraphFont"/>
    <w:uiPriority w:val="22"/>
    <w:qFormat/>
    <w:rsid w:val="00D90A15"/>
    <w:rPr>
      <w:b/>
      <w:bCs/>
    </w:rPr>
  </w:style>
  <w:style w:type="paragraph" w:styleId="ListBullet">
    <w:name w:val="List Bullet"/>
    <w:basedOn w:val="Normal"/>
    <w:autoRedefine/>
    <w:locked/>
    <w:rsid w:val="00974117"/>
    <w:pPr>
      <w:spacing w:before="240" w:after="0" w:line="240" w:lineRule="auto"/>
      <w:jc w:val="both"/>
    </w:pPr>
    <w:rPr>
      <w:rFonts w:ascii="Times New Roman" w:hAnsi="Times New Roman"/>
      <w:sz w:val="28"/>
      <w:szCs w:val="28"/>
      <w:u w:val="single"/>
      <w:lang w:val="lv-LV"/>
    </w:rPr>
  </w:style>
  <w:style w:type="paragraph" w:customStyle="1" w:styleId="H4">
    <w:name w:val="H4"/>
    <w:basedOn w:val="Normal"/>
    <w:rsid w:val="00D90A15"/>
    <w:pPr>
      <w:spacing w:after="120" w:line="240" w:lineRule="auto"/>
      <w:jc w:val="center"/>
    </w:pPr>
    <w:rPr>
      <w:rFonts w:ascii="Times New Roman" w:hAnsi="Times New Roman"/>
      <w:b/>
      <w:sz w:val="28"/>
      <w:szCs w:val="28"/>
      <w:lang w:val="lv-LV" w:eastAsia="lv-LV"/>
    </w:rPr>
  </w:style>
  <w:style w:type="paragraph" w:customStyle="1" w:styleId="naispant">
    <w:name w:val="naispant"/>
    <w:basedOn w:val="Normal"/>
    <w:rsid w:val="00D90A15"/>
    <w:pPr>
      <w:spacing w:before="100" w:beforeAutospacing="1" w:after="100" w:afterAutospacing="1" w:line="240" w:lineRule="auto"/>
    </w:pPr>
    <w:rPr>
      <w:rFonts w:ascii="Times New Roman" w:hAnsi="Times New Roman"/>
      <w:sz w:val="24"/>
      <w:szCs w:val="24"/>
      <w:lang w:val="lv-LV" w:eastAsia="lv-LV"/>
    </w:rPr>
  </w:style>
  <w:style w:type="paragraph" w:customStyle="1" w:styleId="Default">
    <w:name w:val="Default"/>
    <w:rsid w:val="00D90A15"/>
    <w:pPr>
      <w:autoSpaceDE w:val="0"/>
      <w:autoSpaceDN w:val="0"/>
      <w:adjustRightInd w:val="0"/>
    </w:pPr>
    <w:rPr>
      <w:rFonts w:ascii="Times New Roman" w:hAnsi="Times New Roman"/>
      <w:color w:val="000000"/>
      <w:sz w:val="24"/>
      <w:szCs w:val="24"/>
    </w:rPr>
  </w:style>
  <w:style w:type="paragraph" w:customStyle="1" w:styleId="BodyTEXT">
    <w:name w:val="BodyTEXT"/>
    <w:basedOn w:val="Normal"/>
    <w:autoRedefine/>
    <w:qFormat/>
    <w:rsid w:val="004B7071"/>
    <w:pPr>
      <w:spacing w:before="120" w:after="120" w:line="240" w:lineRule="auto"/>
      <w:jc w:val="both"/>
    </w:pPr>
    <w:rPr>
      <w:rFonts w:ascii="Times New Roman" w:hAnsi="Times New Roman"/>
      <w:sz w:val="28"/>
      <w:szCs w:val="28"/>
      <w:lang w:val="lv-LV" w:bidi="en-US"/>
    </w:rPr>
  </w:style>
  <w:style w:type="paragraph" w:styleId="BodyText0">
    <w:name w:val="Body Text"/>
    <w:aliases w:val=" Rakstz."/>
    <w:basedOn w:val="Normal"/>
    <w:link w:val="BodyTextChar"/>
    <w:locked/>
    <w:rsid w:val="00DB1A11"/>
    <w:pPr>
      <w:spacing w:after="120" w:line="240" w:lineRule="auto"/>
    </w:pPr>
    <w:rPr>
      <w:rFonts w:ascii="Times New Roman" w:hAnsi="Times New Roman"/>
      <w:sz w:val="24"/>
      <w:szCs w:val="24"/>
      <w:lang w:val="lv-LV"/>
    </w:rPr>
  </w:style>
  <w:style w:type="character" w:customStyle="1" w:styleId="BodyTextChar">
    <w:name w:val="Body Text Char"/>
    <w:aliases w:val=" Rakstz. Char"/>
    <w:basedOn w:val="DefaultParagraphFont"/>
    <w:link w:val="BodyText0"/>
    <w:rsid w:val="00DB1A11"/>
    <w:rPr>
      <w:rFonts w:ascii="Times New Roman" w:eastAsia="Times New Roman" w:hAnsi="Times New Roman"/>
      <w:sz w:val="24"/>
      <w:szCs w:val="24"/>
      <w:lang w:eastAsia="en-US"/>
    </w:rPr>
  </w:style>
  <w:style w:type="paragraph" w:customStyle="1" w:styleId="RakstzCharCharRakstzCharCharRakstz">
    <w:name w:val="Rakstz. Char Char Rakstz. Char Char Rakstz."/>
    <w:basedOn w:val="Normal"/>
    <w:rsid w:val="00AA4D1C"/>
    <w:pPr>
      <w:spacing w:after="160" w:line="240" w:lineRule="exact"/>
    </w:pPr>
    <w:rPr>
      <w:rFonts w:ascii="Tahoma" w:hAnsi="Tahoma"/>
      <w:sz w:val="20"/>
      <w:szCs w:val="20"/>
    </w:rPr>
  </w:style>
  <w:style w:type="paragraph" w:customStyle="1" w:styleId="Heading2Annex">
    <w:name w:val="Heading 2 Annex"/>
    <w:basedOn w:val="Heading2"/>
    <w:qFormat/>
    <w:rsid w:val="00834221"/>
    <w:pPr>
      <w:keepNext w:val="0"/>
      <w:numPr>
        <w:ilvl w:val="0"/>
        <w:numId w:val="7"/>
      </w:numPr>
      <w:pBdr>
        <w:top w:val="single" w:sz="24" w:space="0" w:color="DBE5F1"/>
        <w:left w:val="single" w:sz="24" w:space="0" w:color="DBE5F1"/>
        <w:bottom w:val="single" w:sz="24" w:space="0" w:color="DBE5F1"/>
        <w:right w:val="single" w:sz="24" w:space="0" w:color="DBE5F1"/>
      </w:pBdr>
      <w:shd w:val="clear" w:color="auto" w:fill="DBE5F1"/>
      <w:spacing w:before="120" w:after="0"/>
    </w:pPr>
    <w:rPr>
      <w:rFonts w:ascii="Calibri" w:hAnsi="Calibri" w:cs="Times New Roman"/>
      <w:b w:val="0"/>
      <w:bCs w:val="0"/>
      <w:i w:val="0"/>
      <w:iCs w:val="0"/>
      <w:caps/>
      <w:color w:val="auto"/>
      <w:spacing w:val="15"/>
      <w:sz w:val="22"/>
      <w:szCs w:val="22"/>
      <w:lang w:val="lv-LV" w:bidi="en-US"/>
    </w:rPr>
  </w:style>
  <w:style w:type="character" w:styleId="Emphasis">
    <w:name w:val="Emphasis"/>
    <w:basedOn w:val="DefaultParagraphFont"/>
    <w:qFormat/>
    <w:rsid w:val="00DC672F"/>
    <w:rPr>
      <w:i/>
      <w:iCs/>
    </w:rPr>
  </w:style>
  <w:style w:type="paragraph" w:customStyle="1" w:styleId="StyleBodyText14ptJustified">
    <w:name w:val="Style Body Text + 14 pt Justified"/>
    <w:basedOn w:val="BodyText0"/>
    <w:rsid w:val="006F432D"/>
    <w:pPr>
      <w:spacing w:before="100" w:beforeAutospacing="1" w:after="100" w:afterAutospacing="1"/>
      <w:ind w:firstLine="567"/>
      <w:jc w:val="both"/>
    </w:pPr>
    <w:rPr>
      <w:sz w:val="28"/>
      <w:szCs w:val="20"/>
      <w:lang w:eastAsia="lv-LV"/>
    </w:rPr>
  </w:style>
  <w:style w:type="character" w:customStyle="1" w:styleId="apple-style-span">
    <w:name w:val="apple-style-span"/>
    <w:basedOn w:val="DefaultParagraphFont"/>
    <w:rsid w:val="00485555"/>
  </w:style>
  <w:style w:type="paragraph" w:customStyle="1" w:styleId="bodytext1">
    <w:name w:val="bodytext"/>
    <w:basedOn w:val="Normal"/>
    <w:rsid w:val="0072652C"/>
    <w:pPr>
      <w:spacing w:before="100" w:beforeAutospacing="1" w:after="100" w:afterAutospacing="1" w:line="240" w:lineRule="auto"/>
    </w:pPr>
    <w:rPr>
      <w:rFonts w:ascii="Times New Roman" w:eastAsia="Calibri" w:hAnsi="Times New Roman"/>
      <w:sz w:val="24"/>
      <w:szCs w:val="24"/>
      <w:lang w:val="lv-LV" w:eastAsia="lv-LV"/>
    </w:rPr>
  </w:style>
  <w:style w:type="paragraph" w:customStyle="1" w:styleId="Parastais">
    <w:name w:val="Parastais"/>
    <w:basedOn w:val="Default"/>
    <w:next w:val="Default"/>
    <w:uiPriority w:val="99"/>
    <w:rsid w:val="008510BC"/>
    <w:rPr>
      <w:color w:val="auto"/>
    </w:rPr>
  </w:style>
</w:styles>
</file>

<file path=word/webSettings.xml><?xml version="1.0" encoding="utf-8"?>
<w:webSettings xmlns:r="http://schemas.openxmlformats.org/officeDocument/2006/relationships" xmlns:w="http://schemas.openxmlformats.org/wordprocessingml/2006/main">
  <w:divs>
    <w:div w:id="587734961">
      <w:bodyDiv w:val="1"/>
      <w:marLeft w:val="0"/>
      <w:marRight w:val="0"/>
      <w:marTop w:val="0"/>
      <w:marBottom w:val="0"/>
      <w:divBdr>
        <w:top w:val="none" w:sz="0" w:space="0" w:color="auto"/>
        <w:left w:val="none" w:sz="0" w:space="0" w:color="auto"/>
        <w:bottom w:val="none" w:sz="0" w:space="0" w:color="auto"/>
        <w:right w:val="none" w:sz="0" w:space="0" w:color="auto"/>
      </w:divBdr>
    </w:div>
    <w:div w:id="612371426">
      <w:bodyDiv w:val="1"/>
      <w:marLeft w:val="0"/>
      <w:marRight w:val="0"/>
      <w:marTop w:val="0"/>
      <w:marBottom w:val="0"/>
      <w:divBdr>
        <w:top w:val="none" w:sz="0" w:space="0" w:color="auto"/>
        <w:left w:val="none" w:sz="0" w:space="0" w:color="auto"/>
        <w:bottom w:val="none" w:sz="0" w:space="0" w:color="auto"/>
        <w:right w:val="none" w:sz="0" w:space="0" w:color="auto"/>
      </w:divBdr>
      <w:divsChild>
        <w:div w:id="940262172">
          <w:marLeft w:val="0"/>
          <w:marRight w:val="0"/>
          <w:marTop w:val="0"/>
          <w:marBottom w:val="0"/>
          <w:divBdr>
            <w:top w:val="none" w:sz="0" w:space="0" w:color="auto"/>
            <w:left w:val="single" w:sz="12" w:space="4" w:color="FFFFFF"/>
            <w:bottom w:val="none" w:sz="0" w:space="0" w:color="auto"/>
            <w:right w:val="single" w:sz="12" w:space="4" w:color="FFFFFF"/>
          </w:divBdr>
          <w:divsChild>
            <w:div w:id="2110927447">
              <w:marLeft w:val="250"/>
              <w:marRight w:val="188"/>
              <w:marTop w:val="0"/>
              <w:marBottom w:val="0"/>
              <w:divBdr>
                <w:top w:val="none" w:sz="0" w:space="0" w:color="auto"/>
                <w:left w:val="none" w:sz="0" w:space="0" w:color="auto"/>
                <w:bottom w:val="none" w:sz="0" w:space="0" w:color="auto"/>
                <w:right w:val="none" w:sz="0" w:space="0" w:color="auto"/>
              </w:divBdr>
              <w:divsChild>
                <w:div w:id="1976637545">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679815567">
      <w:bodyDiv w:val="1"/>
      <w:marLeft w:val="0"/>
      <w:marRight w:val="0"/>
      <w:marTop w:val="0"/>
      <w:marBottom w:val="0"/>
      <w:divBdr>
        <w:top w:val="none" w:sz="0" w:space="0" w:color="auto"/>
        <w:left w:val="none" w:sz="0" w:space="0" w:color="auto"/>
        <w:bottom w:val="none" w:sz="0" w:space="0" w:color="auto"/>
        <w:right w:val="none" w:sz="0" w:space="0" w:color="auto"/>
      </w:divBdr>
    </w:div>
    <w:div w:id="828207517">
      <w:bodyDiv w:val="1"/>
      <w:marLeft w:val="0"/>
      <w:marRight w:val="0"/>
      <w:marTop w:val="0"/>
      <w:marBottom w:val="0"/>
      <w:divBdr>
        <w:top w:val="none" w:sz="0" w:space="0" w:color="auto"/>
        <w:left w:val="none" w:sz="0" w:space="0" w:color="auto"/>
        <w:bottom w:val="none" w:sz="0" w:space="0" w:color="auto"/>
        <w:right w:val="none" w:sz="0" w:space="0" w:color="auto"/>
      </w:divBdr>
    </w:div>
    <w:div w:id="14486195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www.latvenergo.lv" TargetMode="External"/><Relationship Id="rId26" Type="http://schemas.openxmlformats.org/officeDocument/2006/relationships/image" Target="media/image9.wmf"/><Relationship Id="rId39" Type="http://schemas.openxmlformats.org/officeDocument/2006/relationships/image" Target="media/image17.emf"/><Relationship Id="rId21" Type="http://schemas.openxmlformats.org/officeDocument/2006/relationships/image" Target="media/image6.wmf"/><Relationship Id="rId34" Type="http://schemas.openxmlformats.org/officeDocument/2006/relationships/oleObject" Target="embeddings/oleObject7.bin"/><Relationship Id="rId42" Type="http://schemas.openxmlformats.org/officeDocument/2006/relationships/image" Target="media/image19.emf"/><Relationship Id="rId47" Type="http://schemas.openxmlformats.org/officeDocument/2006/relationships/hyperlink" Target="http://www.vidm.gov.lv/lat/darbibas_veidi/KPFI/projekti/?doc=10465" TargetMode="External"/><Relationship Id="rId50" Type="http://schemas.openxmlformats.org/officeDocument/2006/relationships/hyperlink" Target="http://www.vidm.gov.lv/lat/darbibas_veidi/KPFI/projekti/?doc=10210" TargetMode="External"/><Relationship Id="rId55" Type="http://schemas.openxmlformats.org/officeDocument/2006/relationships/hyperlink" Target="mailto:inguna.ozolina@em.gov.lv" TargetMode="External"/><Relationship Id="rId7" Type="http://schemas.openxmlformats.org/officeDocument/2006/relationships/endnotes" Target="endnotes.xml"/><Relationship Id="rId12" Type="http://schemas.openxmlformats.org/officeDocument/2006/relationships/hyperlink" Target="http://www.latvenergo.lv" TargetMode="External"/><Relationship Id="rId17" Type="http://schemas.openxmlformats.org/officeDocument/2006/relationships/chart" Target="charts/chart5.xml"/><Relationship Id="rId25" Type="http://schemas.openxmlformats.org/officeDocument/2006/relationships/image" Target="media/image8.emf"/><Relationship Id="rId33" Type="http://schemas.openxmlformats.org/officeDocument/2006/relationships/image" Target="media/image13.wmf"/><Relationship Id="rId38" Type="http://schemas.openxmlformats.org/officeDocument/2006/relationships/image" Target="media/image16.emf"/><Relationship Id="rId46" Type="http://schemas.openxmlformats.org/officeDocument/2006/relationships/hyperlink" Target="http://www.vidm.gov.lv/lat/darbibas_veidi/KPFI/projekti/?doc=10137"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oleObject" Target="embeddings/oleObject1.bin"/><Relationship Id="rId29" Type="http://schemas.openxmlformats.org/officeDocument/2006/relationships/oleObject" Target="embeddings/oleObject5.bin"/><Relationship Id="rId41" Type="http://schemas.openxmlformats.org/officeDocument/2006/relationships/image" Target="media/image18.emf"/><Relationship Id="rId54" Type="http://schemas.openxmlformats.org/officeDocument/2006/relationships/hyperlink" Target="http://www.em.gov.lv/em/2nd/?cat=301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oleObject" Target="embeddings/oleObject3.bin"/><Relationship Id="rId32" Type="http://schemas.openxmlformats.org/officeDocument/2006/relationships/oleObject" Target="embeddings/oleObject6.bin"/><Relationship Id="rId37" Type="http://schemas.openxmlformats.org/officeDocument/2006/relationships/oleObject" Target="embeddings/oleObject8.bin"/><Relationship Id="rId40" Type="http://schemas.openxmlformats.org/officeDocument/2006/relationships/chart" Target="charts/chart6.xml"/><Relationship Id="rId45" Type="http://schemas.openxmlformats.org/officeDocument/2006/relationships/hyperlink" Target="http://www.vidm.gov.lv/lat/darbibas_veidi/KPFI/projekti/?doc=10137" TargetMode="External"/><Relationship Id="rId53" Type="http://schemas.openxmlformats.org/officeDocument/2006/relationships/hyperlink" Target="http://www.vidm.gov.lv/lat/darbibas_veidi/KPFI/projekti/?doc=10465"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7.wmf"/><Relationship Id="rId28" Type="http://schemas.openxmlformats.org/officeDocument/2006/relationships/image" Target="media/image10.wmf"/><Relationship Id="rId36" Type="http://schemas.openxmlformats.org/officeDocument/2006/relationships/image" Target="media/image15.wmf"/><Relationship Id="rId49" Type="http://schemas.openxmlformats.org/officeDocument/2006/relationships/hyperlink" Target="http://www.vidm.gov.lv/lat/darbibas_veidi/KPFI/projekti/?doc=10210" TargetMode="External"/><Relationship Id="rId57"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image" Target="media/image5.wmf"/><Relationship Id="rId31" Type="http://schemas.openxmlformats.org/officeDocument/2006/relationships/image" Target="media/image12.wmf"/><Relationship Id="rId44" Type="http://schemas.openxmlformats.org/officeDocument/2006/relationships/hyperlink" Target="http://www.vidm.gov.lv/lat/darbibas_veidi/KPFI/projekti/?doc=10465" TargetMode="External"/><Relationship Id="rId52" Type="http://schemas.openxmlformats.org/officeDocument/2006/relationships/hyperlink" Target="http://www.vidm.gov.lv/lat/darbibas_veidi/KPFI/projekti/?doc=10137"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emf"/><Relationship Id="rId22" Type="http://schemas.openxmlformats.org/officeDocument/2006/relationships/oleObject" Target="embeddings/oleObject2.bin"/><Relationship Id="rId27" Type="http://schemas.openxmlformats.org/officeDocument/2006/relationships/oleObject" Target="embeddings/oleObject4.bin"/><Relationship Id="rId30" Type="http://schemas.openxmlformats.org/officeDocument/2006/relationships/image" Target="media/image11.emf"/><Relationship Id="rId35" Type="http://schemas.openxmlformats.org/officeDocument/2006/relationships/image" Target="media/image14.emf"/><Relationship Id="rId43" Type="http://schemas.openxmlformats.org/officeDocument/2006/relationships/hyperlink" Target="http://www.vidm.gov.lv/lat/darbibas_veidi/KPFI/projekti/?doc=10137" TargetMode="External"/><Relationship Id="rId48" Type="http://schemas.openxmlformats.org/officeDocument/2006/relationships/hyperlink" Target="http://www.vidm.gov.lv/lat/darbibas_veidi/KPFI/projekti/?doc=10465" TargetMode="External"/><Relationship Id="rId56"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hyperlink" Target="http://www.vidm.gov.lv/lat/darbibas_veidi/KPFI/projekti/?doc=11775"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Downloads\Paligfail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ozolinaIn\Desktop\Paligfails%20no%20Jan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ozolinaIn\My%20Documents\otrais%20En%20Ef%20R&#299;c&#299;bas%20pl&#257;ns\pl&#257;ns\Paligfails%20ar%20merv.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LeiteA\Desktop\Copy%20of%20Raditaji_0408201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LeiteA\Desktop\Copy%20of%20Raditaji_04082011.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GrasmanisD\Desktop\energijas%20ietaupijuma%20potenciala%20apreki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plotArea>
      <c:layout/>
      <c:barChart>
        <c:barDir val="col"/>
        <c:grouping val="stacked"/>
        <c:ser>
          <c:idx val="2"/>
          <c:order val="0"/>
          <c:tx>
            <c:strRef>
              <c:f>fig!$A$5</c:f>
              <c:strCache>
                <c:ptCount val="1"/>
                <c:pt idx="0">
                  <c:v>Mājsaimniecības</c:v>
                </c:pt>
              </c:strCache>
            </c:strRef>
          </c:tx>
          <c:cat>
            <c:numRef>
              <c:f>fig!$B$3:$V$3</c:f>
              <c:numCache>
                <c:formatCode>General</c:formatCode>
                <c:ptCount val="5"/>
                <c:pt idx="0">
                  <c:v>2000</c:v>
                </c:pt>
                <c:pt idx="1">
                  <c:v>2005</c:v>
                </c:pt>
                <c:pt idx="2">
                  <c:v>2010</c:v>
                </c:pt>
                <c:pt idx="3">
                  <c:v>2015</c:v>
                </c:pt>
                <c:pt idx="4">
                  <c:v>2020</c:v>
                </c:pt>
              </c:numCache>
            </c:numRef>
          </c:cat>
          <c:val>
            <c:numRef>
              <c:f>fig!$B$5:$V$5</c:f>
              <c:numCache>
                <c:formatCode>0</c:formatCode>
                <c:ptCount val="5"/>
                <c:pt idx="0">
                  <c:v>15428.61111111123</c:v>
                </c:pt>
                <c:pt idx="1">
                  <c:v>17490.777777777756</c:v>
                </c:pt>
                <c:pt idx="2">
                  <c:v>15668.52678222223</c:v>
                </c:pt>
                <c:pt idx="3">
                  <c:v>16826.292397660825</c:v>
                </c:pt>
                <c:pt idx="4">
                  <c:v>17640.467836257321</c:v>
                </c:pt>
              </c:numCache>
            </c:numRef>
          </c:val>
        </c:ser>
        <c:ser>
          <c:idx val="5"/>
          <c:order val="1"/>
          <c:tx>
            <c:strRef>
              <c:f>fig!$A$6</c:f>
              <c:strCache>
                <c:ptCount val="1"/>
                <c:pt idx="0">
                  <c:v>Transports</c:v>
                </c:pt>
              </c:strCache>
            </c:strRef>
          </c:tx>
          <c:cat>
            <c:numRef>
              <c:f>fig!$B$3:$V$3</c:f>
              <c:numCache>
                <c:formatCode>General</c:formatCode>
                <c:ptCount val="5"/>
                <c:pt idx="0">
                  <c:v>2000</c:v>
                </c:pt>
                <c:pt idx="1">
                  <c:v>2005</c:v>
                </c:pt>
                <c:pt idx="2">
                  <c:v>2010</c:v>
                </c:pt>
                <c:pt idx="3">
                  <c:v>2015</c:v>
                </c:pt>
                <c:pt idx="4">
                  <c:v>2020</c:v>
                </c:pt>
              </c:numCache>
            </c:numRef>
          </c:cat>
          <c:val>
            <c:numRef>
              <c:f>fig!$B$6:$V$6</c:f>
              <c:numCache>
                <c:formatCode>0</c:formatCode>
                <c:ptCount val="5"/>
                <c:pt idx="0">
                  <c:v>8711.1666666665351</c:v>
                </c:pt>
                <c:pt idx="1">
                  <c:v>12404.833333333327</c:v>
                </c:pt>
                <c:pt idx="2">
                  <c:v>14020.980904888758</c:v>
                </c:pt>
                <c:pt idx="3">
                  <c:v>15364.897421473685</c:v>
                </c:pt>
                <c:pt idx="4">
                  <c:v>16851.653419789476</c:v>
                </c:pt>
              </c:numCache>
            </c:numRef>
          </c:val>
        </c:ser>
        <c:ser>
          <c:idx val="1"/>
          <c:order val="2"/>
          <c:tx>
            <c:strRef>
              <c:f>fig!$A$7</c:f>
              <c:strCache>
                <c:ptCount val="1"/>
                <c:pt idx="0">
                  <c:v>Rūpniecība</c:v>
                </c:pt>
              </c:strCache>
            </c:strRef>
          </c:tx>
          <c:cat>
            <c:numRef>
              <c:f>fig!$B$3:$V$3</c:f>
              <c:numCache>
                <c:formatCode>General</c:formatCode>
                <c:ptCount val="5"/>
                <c:pt idx="0">
                  <c:v>2000</c:v>
                </c:pt>
                <c:pt idx="1">
                  <c:v>2005</c:v>
                </c:pt>
                <c:pt idx="2">
                  <c:v>2010</c:v>
                </c:pt>
                <c:pt idx="3">
                  <c:v>2015</c:v>
                </c:pt>
                <c:pt idx="4">
                  <c:v>2020</c:v>
                </c:pt>
              </c:numCache>
            </c:numRef>
          </c:cat>
          <c:val>
            <c:numRef>
              <c:f>fig!$B$7:$V$7</c:f>
              <c:numCache>
                <c:formatCode>0</c:formatCode>
                <c:ptCount val="5"/>
                <c:pt idx="0">
                  <c:v>6433.1388888888887</c:v>
                </c:pt>
                <c:pt idx="1">
                  <c:v>7723.5277777777774</c:v>
                </c:pt>
                <c:pt idx="2">
                  <c:v>6940.0843600000017</c:v>
                </c:pt>
                <c:pt idx="3">
                  <c:v>7634.0927960000054</c:v>
                </c:pt>
                <c:pt idx="4">
                  <c:v>9160.9113552000035</c:v>
                </c:pt>
              </c:numCache>
            </c:numRef>
          </c:val>
        </c:ser>
        <c:ser>
          <c:idx val="3"/>
          <c:order val="3"/>
          <c:tx>
            <c:strRef>
              <c:f>fig!$A$8</c:f>
              <c:strCache>
                <c:ptCount val="1"/>
                <c:pt idx="0">
                  <c:v>Pakalpojumi</c:v>
                </c:pt>
              </c:strCache>
            </c:strRef>
          </c:tx>
          <c:cat>
            <c:numRef>
              <c:f>fig!$B$3:$V$3</c:f>
              <c:numCache>
                <c:formatCode>General</c:formatCode>
                <c:ptCount val="5"/>
                <c:pt idx="0">
                  <c:v>2000</c:v>
                </c:pt>
                <c:pt idx="1">
                  <c:v>2005</c:v>
                </c:pt>
                <c:pt idx="2">
                  <c:v>2010</c:v>
                </c:pt>
                <c:pt idx="3">
                  <c:v>2015</c:v>
                </c:pt>
                <c:pt idx="4">
                  <c:v>2020</c:v>
                </c:pt>
              </c:numCache>
            </c:numRef>
          </c:cat>
          <c:val>
            <c:numRef>
              <c:f>fig!$B$8:$V$8</c:f>
              <c:numCache>
                <c:formatCode>0</c:formatCode>
                <c:ptCount val="5"/>
                <c:pt idx="0">
                  <c:v>5673.5000000000009</c:v>
                </c:pt>
                <c:pt idx="1">
                  <c:v>7275.305555555623</c:v>
                </c:pt>
                <c:pt idx="2">
                  <c:v>6943.6938711111134</c:v>
                </c:pt>
                <c:pt idx="3">
                  <c:v>7638.0632582222215</c:v>
                </c:pt>
                <c:pt idx="4">
                  <c:v>8405.5241597660843</c:v>
                </c:pt>
              </c:numCache>
            </c:numRef>
          </c:val>
        </c:ser>
        <c:ser>
          <c:idx val="4"/>
          <c:order val="4"/>
          <c:tx>
            <c:strRef>
              <c:f>fig!$A$9</c:f>
              <c:strCache>
                <c:ptCount val="1"/>
                <c:pt idx="0">
                  <c:v>Lauksaimniecība</c:v>
                </c:pt>
              </c:strCache>
            </c:strRef>
          </c:tx>
          <c:cat>
            <c:numRef>
              <c:f>fig!$B$3:$V$3</c:f>
              <c:numCache>
                <c:formatCode>General</c:formatCode>
                <c:ptCount val="5"/>
                <c:pt idx="0">
                  <c:v>2000</c:v>
                </c:pt>
                <c:pt idx="1">
                  <c:v>2005</c:v>
                </c:pt>
                <c:pt idx="2">
                  <c:v>2010</c:v>
                </c:pt>
                <c:pt idx="3">
                  <c:v>2015</c:v>
                </c:pt>
                <c:pt idx="4">
                  <c:v>2020</c:v>
                </c:pt>
              </c:numCache>
            </c:numRef>
          </c:cat>
          <c:val>
            <c:numRef>
              <c:f>fig!$B$9:$V$9</c:f>
              <c:numCache>
                <c:formatCode>0</c:formatCode>
                <c:ptCount val="5"/>
                <c:pt idx="0">
                  <c:v>1507.8333333333089</c:v>
                </c:pt>
                <c:pt idx="1">
                  <c:v>1771.75</c:v>
                </c:pt>
                <c:pt idx="2">
                  <c:v>1426.6850488888708</c:v>
                </c:pt>
                <c:pt idx="3">
                  <c:v>1569.3535537777811</c:v>
                </c:pt>
                <c:pt idx="4">
                  <c:v>1802.1284828070011</c:v>
                </c:pt>
              </c:numCache>
            </c:numRef>
          </c:val>
        </c:ser>
        <c:gapWidth val="30"/>
        <c:overlap val="100"/>
        <c:axId val="108689664"/>
        <c:axId val="122855424"/>
      </c:barChart>
      <c:catAx>
        <c:axId val="108689664"/>
        <c:scaling>
          <c:orientation val="minMax"/>
        </c:scaling>
        <c:axPos val="b"/>
        <c:numFmt formatCode="General" sourceLinked="1"/>
        <c:tickLblPos val="nextTo"/>
        <c:txPr>
          <a:bodyPr/>
          <a:lstStyle/>
          <a:p>
            <a:pPr>
              <a:defRPr lang="en-US"/>
            </a:pPr>
            <a:endParaRPr lang="lv-LV"/>
          </a:p>
        </c:txPr>
        <c:crossAx val="122855424"/>
        <c:crosses val="autoZero"/>
        <c:auto val="1"/>
        <c:lblAlgn val="ctr"/>
        <c:lblOffset val="100"/>
      </c:catAx>
      <c:valAx>
        <c:axId val="122855424"/>
        <c:scaling>
          <c:orientation val="minMax"/>
        </c:scaling>
        <c:axPos val="l"/>
        <c:majorGridlines/>
        <c:numFmt formatCode="0" sourceLinked="1"/>
        <c:tickLblPos val="nextTo"/>
        <c:txPr>
          <a:bodyPr/>
          <a:lstStyle/>
          <a:p>
            <a:pPr>
              <a:defRPr lang="en-US"/>
            </a:pPr>
            <a:endParaRPr lang="lv-LV"/>
          </a:p>
        </c:txPr>
        <c:crossAx val="108689664"/>
        <c:crosses val="autoZero"/>
        <c:crossBetween val="between"/>
      </c:valAx>
    </c:plotArea>
    <c:legend>
      <c:legendPos val="r"/>
      <c:txPr>
        <a:bodyPr/>
        <a:lstStyle/>
        <a:p>
          <a:pPr>
            <a:defRPr lang="en-US"/>
          </a:pPr>
          <a:endParaRPr lang="lv-LV"/>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9.0509967320263229E-2"/>
          <c:y val="3.9167222222222221E-2"/>
          <c:w val="0.63677303921569572"/>
          <c:h val="0.92166555555555563"/>
        </c:manualLayout>
      </c:layout>
      <c:barChart>
        <c:barDir val="col"/>
        <c:grouping val="stacked"/>
        <c:ser>
          <c:idx val="6"/>
          <c:order val="0"/>
          <c:tx>
            <c:strRef>
              <c:f>fig!$A$36</c:f>
              <c:strCache>
                <c:ptCount val="1"/>
                <c:pt idx="0">
                  <c:v>Neenerģētiskās vajadzības</c:v>
                </c:pt>
              </c:strCache>
            </c:strRef>
          </c:tx>
          <c:cat>
            <c:numRef>
              <c:f>fig!$B$3:$V$3</c:f>
              <c:numCache>
                <c:formatCode>General</c:formatCode>
                <c:ptCount val="5"/>
                <c:pt idx="0">
                  <c:v>2000</c:v>
                </c:pt>
                <c:pt idx="1">
                  <c:v>2005</c:v>
                </c:pt>
                <c:pt idx="2">
                  <c:v>2010</c:v>
                </c:pt>
                <c:pt idx="3">
                  <c:v>2015</c:v>
                </c:pt>
                <c:pt idx="4">
                  <c:v>2020</c:v>
                </c:pt>
              </c:numCache>
            </c:numRef>
          </c:cat>
          <c:val>
            <c:numRef>
              <c:f>fig!$B$36:$V$36</c:f>
              <c:numCache>
                <c:formatCode>0</c:formatCode>
                <c:ptCount val="5"/>
                <c:pt idx="0">
                  <c:v>872.11111111111109</c:v>
                </c:pt>
                <c:pt idx="1">
                  <c:v>1127.9166666666804</c:v>
                </c:pt>
                <c:pt idx="2">
                  <c:v>1372.0833333333196</c:v>
                </c:pt>
                <c:pt idx="3">
                  <c:v>1372.0833333333196</c:v>
                </c:pt>
                <c:pt idx="4">
                  <c:v>1372.0833333333196</c:v>
                </c:pt>
              </c:numCache>
            </c:numRef>
          </c:val>
        </c:ser>
        <c:ser>
          <c:idx val="5"/>
          <c:order val="1"/>
          <c:tx>
            <c:strRef>
              <c:f>fig!$A$37</c:f>
              <c:strCache>
                <c:ptCount val="1"/>
                <c:pt idx="0">
                  <c:v>Enerģijas gala patēriņš (neieskaitot EL&amp;CS)</c:v>
                </c:pt>
              </c:strCache>
            </c:strRef>
          </c:tx>
          <c:cat>
            <c:numRef>
              <c:f>fig!$B$3:$V$3</c:f>
              <c:numCache>
                <c:formatCode>General</c:formatCode>
                <c:ptCount val="5"/>
                <c:pt idx="0">
                  <c:v>2000</c:v>
                </c:pt>
                <c:pt idx="1">
                  <c:v>2005</c:v>
                </c:pt>
                <c:pt idx="2">
                  <c:v>2010</c:v>
                </c:pt>
                <c:pt idx="3">
                  <c:v>2015</c:v>
                </c:pt>
                <c:pt idx="4">
                  <c:v>2020</c:v>
                </c:pt>
              </c:numCache>
            </c:numRef>
          </c:cat>
          <c:val>
            <c:numRef>
              <c:f>fig!$B$37:$V$37</c:f>
              <c:numCache>
                <c:formatCode>0</c:formatCode>
                <c:ptCount val="5"/>
                <c:pt idx="0">
                  <c:v>26414.194444444449</c:v>
                </c:pt>
                <c:pt idx="1">
                  <c:v>33987.194444444453</c:v>
                </c:pt>
                <c:pt idx="2">
                  <c:v>33349.682764631209</c:v>
                </c:pt>
                <c:pt idx="3">
                  <c:v>36138.980240701756</c:v>
                </c:pt>
                <c:pt idx="4">
                  <c:v>39137.230506439133</c:v>
                </c:pt>
              </c:numCache>
            </c:numRef>
          </c:val>
        </c:ser>
        <c:ser>
          <c:idx val="0"/>
          <c:order val="2"/>
          <c:tx>
            <c:strRef>
              <c:f>fig!$A$38</c:f>
              <c:strCache>
                <c:ptCount val="1"/>
                <c:pt idx="0">
                  <c:v>Energoresursi elektroenerģjas ražošanai (t.sk., ELimp&amp;HES&amp;VES)</c:v>
                </c:pt>
              </c:strCache>
            </c:strRef>
          </c:tx>
          <c:cat>
            <c:numRef>
              <c:f>fig!$B$3:$V$3</c:f>
              <c:numCache>
                <c:formatCode>General</c:formatCode>
                <c:ptCount val="5"/>
                <c:pt idx="0">
                  <c:v>2000</c:v>
                </c:pt>
                <c:pt idx="1">
                  <c:v>2005</c:v>
                </c:pt>
                <c:pt idx="2">
                  <c:v>2010</c:v>
                </c:pt>
                <c:pt idx="3">
                  <c:v>2015</c:v>
                </c:pt>
                <c:pt idx="4">
                  <c:v>2020</c:v>
                </c:pt>
              </c:numCache>
            </c:numRef>
          </c:cat>
          <c:val>
            <c:numRef>
              <c:f>fig!$B$38:$V$38</c:f>
              <c:numCache>
                <c:formatCode>0</c:formatCode>
                <c:ptCount val="5"/>
                <c:pt idx="0">
                  <c:v>6301.1992041199137</c:v>
                </c:pt>
                <c:pt idx="1">
                  <c:v>7352.6810523095292</c:v>
                </c:pt>
                <c:pt idx="2">
                  <c:v>7480.7153899280165</c:v>
                </c:pt>
                <c:pt idx="3">
                  <c:v>8434.0804489896309</c:v>
                </c:pt>
                <c:pt idx="4">
                  <c:v>10046.263888242072</c:v>
                </c:pt>
              </c:numCache>
            </c:numRef>
          </c:val>
        </c:ser>
        <c:ser>
          <c:idx val="1"/>
          <c:order val="3"/>
          <c:tx>
            <c:strRef>
              <c:f>fig!$A$39</c:f>
              <c:strCache>
                <c:ptCount val="1"/>
                <c:pt idx="0">
                  <c:v>Energoresursi centralizētās siltumenerģijas ražošanai</c:v>
                </c:pt>
              </c:strCache>
            </c:strRef>
          </c:tx>
          <c:cat>
            <c:numRef>
              <c:f>fig!$B$3:$V$3</c:f>
              <c:numCache>
                <c:formatCode>General</c:formatCode>
                <c:ptCount val="5"/>
                <c:pt idx="0">
                  <c:v>2000</c:v>
                </c:pt>
                <c:pt idx="1">
                  <c:v>2005</c:v>
                </c:pt>
                <c:pt idx="2">
                  <c:v>2010</c:v>
                </c:pt>
                <c:pt idx="3">
                  <c:v>2015</c:v>
                </c:pt>
                <c:pt idx="4">
                  <c:v>2020</c:v>
                </c:pt>
              </c:numCache>
            </c:numRef>
          </c:cat>
          <c:val>
            <c:numRef>
              <c:f>fig!$B$39:$V$39</c:f>
              <c:numCache>
                <c:formatCode>0</c:formatCode>
                <c:ptCount val="5"/>
                <c:pt idx="0">
                  <c:v>10776.495240324593</c:v>
                </c:pt>
                <c:pt idx="1">
                  <c:v>10362.48561435706</c:v>
                </c:pt>
                <c:pt idx="2">
                  <c:v>8234.6869603046071</c:v>
                </c:pt>
                <c:pt idx="3">
                  <c:v>8807.7868657571671</c:v>
                </c:pt>
                <c:pt idx="4">
                  <c:v>9423.5027579695579</c:v>
                </c:pt>
              </c:numCache>
            </c:numRef>
          </c:val>
        </c:ser>
        <c:ser>
          <c:idx val="2"/>
          <c:order val="4"/>
          <c:tx>
            <c:strRef>
              <c:f>fig!$A$40</c:f>
              <c:strCache>
                <c:ptCount val="1"/>
                <c:pt idx="0">
                  <c:v>Pārējais transformācijas sektors</c:v>
                </c:pt>
              </c:strCache>
            </c:strRef>
          </c:tx>
          <c:cat>
            <c:numRef>
              <c:f>fig!$B$3:$V$3</c:f>
              <c:numCache>
                <c:formatCode>General</c:formatCode>
                <c:ptCount val="5"/>
                <c:pt idx="0">
                  <c:v>2000</c:v>
                </c:pt>
                <c:pt idx="1">
                  <c:v>2005</c:v>
                </c:pt>
                <c:pt idx="2">
                  <c:v>2010</c:v>
                </c:pt>
                <c:pt idx="3">
                  <c:v>2015</c:v>
                </c:pt>
                <c:pt idx="4">
                  <c:v>2020</c:v>
                </c:pt>
              </c:numCache>
            </c:numRef>
          </c:cat>
          <c:val>
            <c:numRef>
              <c:f>fig!$B$40:$V$40</c:f>
              <c:numCache>
                <c:formatCode>0</c:formatCode>
                <c:ptCount val="5"/>
                <c:pt idx="0">
                  <c:v>2.5555555555555554</c:v>
                </c:pt>
                <c:pt idx="1">
                  <c:v>67.222222222222229</c:v>
                </c:pt>
                <c:pt idx="2">
                  <c:v>75.833333333333258</c:v>
                </c:pt>
                <c:pt idx="3">
                  <c:v>75.833333333333258</c:v>
                </c:pt>
                <c:pt idx="4">
                  <c:v>75.833333333333258</c:v>
                </c:pt>
              </c:numCache>
            </c:numRef>
          </c:val>
        </c:ser>
        <c:ser>
          <c:idx val="3"/>
          <c:order val="5"/>
          <c:tx>
            <c:strRef>
              <c:f>fig!$A$41</c:f>
              <c:strCache>
                <c:ptCount val="1"/>
                <c:pt idx="0">
                  <c:v>Enerģētikas sektors (neieskaitot EL&amp;CS)</c:v>
                </c:pt>
              </c:strCache>
            </c:strRef>
          </c:tx>
          <c:cat>
            <c:numRef>
              <c:f>fig!$B$3:$V$3</c:f>
              <c:numCache>
                <c:formatCode>General</c:formatCode>
                <c:ptCount val="5"/>
                <c:pt idx="0">
                  <c:v>2000</c:v>
                </c:pt>
                <c:pt idx="1">
                  <c:v>2005</c:v>
                </c:pt>
                <c:pt idx="2">
                  <c:v>2010</c:v>
                </c:pt>
                <c:pt idx="3">
                  <c:v>2015</c:v>
                </c:pt>
                <c:pt idx="4">
                  <c:v>2020</c:v>
                </c:pt>
              </c:numCache>
            </c:numRef>
          </c:cat>
          <c:val>
            <c:numRef>
              <c:f>fig!$B$41:$V$41</c:f>
              <c:numCache>
                <c:formatCode>0</c:formatCode>
                <c:ptCount val="5"/>
                <c:pt idx="0">
                  <c:v>895.30555555555543</c:v>
                </c:pt>
                <c:pt idx="1">
                  <c:v>346.80555555555543</c:v>
                </c:pt>
                <c:pt idx="2">
                  <c:v>334.16666666666708</c:v>
                </c:pt>
                <c:pt idx="3">
                  <c:v>334.16666666666708</c:v>
                </c:pt>
                <c:pt idx="4">
                  <c:v>334.16666666666708</c:v>
                </c:pt>
              </c:numCache>
            </c:numRef>
          </c:val>
        </c:ser>
        <c:ser>
          <c:idx val="4"/>
          <c:order val="6"/>
          <c:tx>
            <c:strRef>
              <c:f>fig!$A$42</c:f>
              <c:strCache>
                <c:ptCount val="1"/>
                <c:pt idx="0">
                  <c:v>Zudumi (neieskaitot EL&amp;CS)</c:v>
                </c:pt>
              </c:strCache>
            </c:strRef>
          </c:tx>
          <c:cat>
            <c:numRef>
              <c:f>fig!$B$3:$V$3</c:f>
              <c:numCache>
                <c:formatCode>General</c:formatCode>
                <c:ptCount val="5"/>
                <c:pt idx="0">
                  <c:v>2000</c:v>
                </c:pt>
                <c:pt idx="1">
                  <c:v>2005</c:v>
                </c:pt>
                <c:pt idx="2">
                  <c:v>2010</c:v>
                </c:pt>
                <c:pt idx="3">
                  <c:v>2015</c:v>
                </c:pt>
                <c:pt idx="4">
                  <c:v>2020</c:v>
                </c:pt>
              </c:numCache>
            </c:numRef>
          </c:cat>
          <c:val>
            <c:numRef>
              <c:f>fig!$B$42:$V$42</c:f>
              <c:numCache>
                <c:formatCode>0</c:formatCode>
                <c:ptCount val="5"/>
                <c:pt idx="0">
                  <c:v>251.77777777777752</c:v>
                </c:pt>
                <c:pt idx="1">
                  <c:v>56.583333333333186</c:v>
                </c:pt>
                <c:pt idx="2">
                  <c:v>111.5</c:v>
                </c:pt>
                <c:pt idx="3">
                  <c:v>111.5</c:v>
                </c:pt>
                <c:pt idx="4">
                  <c:v>111.5</c:v>
                </c:pt>
              </c:numCache>
            </c:numRef>
          </c:val>
        </c:ser>
        <c:gapWidth val="30"/>
        <c:overlap val="100"/>
        <c:axId val="130991616"/>
        <c:axId val="130993152"/>
      </c:barChart>
      <c:catAx>
        <c:axId val="130991616"/>
        <c:scaling>
          <c:orientation val="minMax"/>
        </c:scaling>
        <c:axPos val="b"/>
        <c:numFmt formatCode="General" sourceLinked="1"/>
        <c:tickLblPos val="nextTo"/>
        <c:crossAx val="130993152"/>
        <c:crosses val="autoZero"/>
        <c:auto val="1"/>
        <c:lblAlgn val="ctr"/>
        <c:lblOffset val="100"/>
      </c:catAx>
      <c:valAx>
        <c:axId val="130993152"/>
        <c:scaling>
          <c:orientation val="minMax"/>
        </c:scaling>
        <c:axPos val="l"/>
        <c:majorGridlines/>
        <c:numFmt formatCode="0" sourceLinked="1"/>
        <c:tickLblPos val="nextTo"/>
        <c:crossAx val="130991616"/>
        <c:crosses val="autoZero"/>
        <c:crossBetween val="between"/>
      </c:valAx>
    </c:plotArea>
    <c:legend>
      <c:legendPos val="r"/>
      <c:layout>
        <c:manualLayout>
          <c:xMode val="edge"/>
          <c:yMode val="edge"/>
          <c:x val="0.73558366013071896"/>
          <c:y val="1.7882222222222223E-2"/>
          <c:w val="0.26234117647058824"/>
          <c:h val="0.98187444444444461"/>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9.0509967320264229E-2"/>
          <c:y val="3.9167222222222235E-2"/>
          <c:w val="0.63677303921570061"/>
          <c:h val="0.92166555555555563"/>
        </c:manualLayout>
      </c:layout>
      <c:barChart>
        <c:barDir val="col"/>
        <c:grouping val="stacked"/>
        <c:ser>
          <c:idx val="6"/>
          <c:order val="0"/>
          <c:tx>
            <c:strRef>
              <c:f>fig!$A$36</c:f>
              <c:strCache>
                <c:ptCount val="1"/>
                <c:pt idx="0">
                  <c:v>Neenerģētiskās vajadzības</c:v>
                </c:pt>
              </c:strCache>
            </c:strRef>
          </c:tx>
          <c:cat>
            <c:numRef>
              <c:f>fig!$B$3:$V$3</c:f>
              <c:numCache>
                <c:formatCode>General</c:formatCode>
                <c:ptCount val="5"/>
                <c:pt idx="0">
                  <c:v>2000</c:v>
                </c:pt>
                <c:pt idx="1">
                  <c:v>2005</c:v>
                </c:pt>
                <c:pt idx="2">
                  <c:v>2010</c:v>
                </c:pt>
                <c:pt idx="3">
                  <c:v>2015</c:v>
                </c:pt>
                <c:pt idx="4">
                  <c:v>2020</c:v>
                </c:pt>
              </c:numCache>
            </c:numRef>
          </c:cat>
          <c:val>
            <c:numRef>
              <c:f>fig!$B$36:$V$36</c:f>
              <c:numCache>
                <c:formatCode>0</c:formatCode>
                <c:ptCount val="5"/>
                <c:pt idx="0">
                  <c:v>872.11111111111109</c:v>
                </c:pt>
                <c:pt idx="1">
                  <c:v>1127.9166666666918</c:v>
                </c:pt>
                <c:pt idx="2">
                  <c:v>1372.0833333333085</c:v>
                </c:pt>
                <c:pt idx="3">
                  <c:v>1372.0833333333085</c:v>
                </c:pt>
                <c:pt idx="4">
                  <c:v>1372.0833333333085</c:v>
                </c:pt>
              </c:numCache>
            </c:numRef>
          </c:val>
        </c:ser>
        <c:ser>
          <c:idx val="5"/>
          <c:order val="1"/>
          <c:tx>
            <c:strRef>
              <c:f>fig!$A$37</c:f>
              <c:strCache>
                <c:ptCount val="1"/>
                <c:pt idx="0">
                  <c:v>Enerģijas gala patēriņš (neieskaitot El. un Cs.)</c:v>
                </c:pt>
              </c:strCache>
            </c:strRef>
          </c:tx>
          <c:cat>
            <c:numRef>
              <c:f>fig!$B$3:$V$3</c:f>
              <c:numCache>
                <c:formatCode>General</c:formatCode>
                <c:ptCount val="5"/>
                <c:pt idx="0">
                  <c:v>2000</c:v>
                </c:pt>
                <c:pt idx="1">
                  <c:v>2005</c:v>
                </c:pt>
                <c:pt idx="2">
                  <c:v>2010</c:v>
                </c:pt>
                <c:pt idx="3">
                  <c:v>2015</c:v>
                </c:pt>
                <c:pt idx="4">
                  <c:v>2020</c:v>
                </c:pt>
              </c:numCache>
            </c:numRef>
          </c:cat>
          <c:val>
            <c:numRef>
              <c:f>fig!$B$37:$V$37</c:f>
              <c:numCache>
                <c:formatCode>0</c:formatCode>
                <c:ptCount val="5"/>
                <c:pt idx="0">
                  <c:v>26414.194444444449</c:v>
                </c:pt>
                <c:pt idx="1">
                  <c:v>33987.194444444453</c:v>
                </c:pt>
                <c:pt idx="2">
                  <c:v>33349.682764630976</c:v>
                </c:pt>
                <c:pt idx="3">
                  <c:v>36138.980240701756</c:v>
                </c:pt>
                <c:pt idx="4">
                  <c:v>39137.230506439133</c:v>
                </c:pt>
              </c:numCache>
            </c:numRef>
          </c:val>
        </c:ser>
        <c:ser>
          <c:idx val="0"/>
          <c:order val="2"/>
          <c:tx>
            <c:strRef>
              <c:f>fig!$A$38</c:f>
              <c:strCache>
                <c:ptCount val="1"/>
                <c:pt idx="0">
                  <c:v>Energoresursi elektroenerģijas ražošanai (t.sk., El. imp., HES un VES)</c:v>
                </c:pt>
              </c:strCache>
            </c:strRef>
          </c:tx>
          <c:cat>
            <c:numRef>
              <c:f>fig!$B$3:$V$3</c:f>
              <c:numCache>
                <c:formatCode>General</c:formatCode>
                <c:ptCount val="5"/>
                <c:pt idx="0">
                  <c:v>2000</c:v>
                </c:pt>
                <c:pt idx="1">
                  <c:v>2005</c:v>
                </c:pt>
                <c:pt idx="2">
                  <c:v>2010</c:v>
                </c:pt>
                <c:pt idx="3">
                  <c:v>2015</c:v>
                </c:pt>
                <c:pt idx="4">
                  <c:v>2020</c:v>
                </c:pt>
              </c:numCache>
            </c:numRef>
          </c:cat>
          <c:val>
            <c:numRef>
              <c:f>fig!$B$38:$V$38</c:f>
              <c:numCache>
                <c:formatCode>0</c:formatCode>
                <c:ptCount val="5"/>
                <c:pt idx="0">
                  <c:v>6301.1992041199692</c:v>
                </c:pt>
                <c:pt idx="1">
                  <c:v>7352.6810523095292</c:v>
                </c:pt>
                <c:pt idx="2">
                  <c:v>7480.7153899280165</c:v>
                </c:pt>
                <c:pt idx="3">
                  <c:v>8434.0804489896309</c:v>
                </c:pt>
                <c:pt idx="4">
                  <c:v>10046.263888242072</c:v>
                </c:pt>
              </c:numCache>
            </c:numRef>
          </c:val>
        </c:ser>
        <c:ser>
          <c:idx val="1"/>
          <c:order val="3"/>
          <c:tx>
            <c:strRef>
              <c:f>fig!$A$39</c:f>
              <c:strCache>
                <c:ptCount val="1"/>
                <c:pt idx="0">
                  <c:v>Energoresursi centralizētā siltumenerģija ražošanai</c:v>
                </c:pt>
              </c:strCache>
            </c:strRef>
          </c:tx>
          <c:cat>
            <c:numRef>
              <c:f>fig!$B$3:$V$3</c:f>
              <c:numCache>
                <c:formatCode>General</c:formatCode>
                <c:ptCount val="5"/>
                <c:pt idx="0">
                  <c:v>2000</c:v>
                </c:pt>
                <c:pt idx="1">
                  <c:v>2005</c:v>
                </c:pt>
                <c:pt idx="2">
                  <c:v>2010</c:v>
                </c:pt>
                <c:pt idx="3">
                  <c:v>2015</c:v>
                </c:pt>
                <c:pt idx="4">
                  <c:v>2020</c:v>
                </c:pt>
              </c:numCache>
            </c:numRef>
          </c:cat>
          <c:val>
            <c:numRef>
              <c:f>fig!$B$39:$V$39</c:f>
              <c:numCache>
                <c:formatCode>0</c:formatCode>
                <c:ptCount val="5"/>
                <c:pt idx="0">
                  <c:v>10776.495240324593</c:v>
                </c:pt>
                <c:pt idx="1">
                  <c:v>10362.48561435699</c:v>
                </c:pt>
                <c:pt idx="2">
                  <c:v>8234.6869603046071</c:v>
                </c:pt>
                <c:pt idx="3">
                  <c:v>8807.7868657571671</c:v>
                </c:pt>
                <c:pt idx="4">
                  <c:v>9423.5027579695579</c:v>
                </c:pt>
              </c:numCache>
            </c:numRef>
          </c:val>
        </c:ser>
        <c:ser>
          <c:idx val="2"/>
          <c:order val="4"/>
          <c:tx>
            <c:strRef>
              <c:f>fig!$A$40</c:f>
              <c:strCache>
                <c:ptCount val="1"/>
                <c:pt idx="0">
                  <c:v>Pārējais transformācijas sektors</c:v>
                </c:pt>
              </c:strCache>
            </c:strRef>
          </c:tx>
          <c:cat>
            <c:numRef>
              <c:f>fig!$B$3:$V$3</c:f>
              <c:numCache>
                <c:formatCode>General</c:formatCode>
                <c:ptCount val="5"/>
                <c:pt idx="0">
                  <c:v>2000</c:v>
                </c:pt>
                <c:pt idx="1">
                  <c:v>2005</c:v>
                </c:pt>
                <c:pt idx="2">
                  <c:v>2010</c:v>
                </c:pt>
                <c:pt idx="3">
                  <c:v>2015</c:v>
                </c:pt>
                <c:pt idx="4">
                  <c:v>2020</c:v>
                </c:pt>
              </c:numCache>
            </c:numRef>
          </c:cat>
          <c:val>
            <c:numRef>
              <c:f>fig!$B$40:$V$40</c:f>
              <c:numCache>
                <c:formatCode>0</c:formatCode>
                <c:ptCount val="5"/>
                <c:pt idx="0">
                  <c:v>2.5555555555555554</c:v>
                </c:pt>
                <c:pt idx="1">
                  <c:v>67.222222222222229</c:v>
                </c:pt>
                <c:pt idx="2">
                  <c:v>75.833333333333258</c:v>
                </c:pt>
                <c:pt idx="3">
                  <c:v>75.833333333333258</c:v>
                </c:pt>
                <c:pt idx="4">
                  <c:v>75.833333333333258</c:v>
                </c:pt>
              </c:numCache>
            </c:numRef>
          </c:val>
        </c:ser>
        <c:ser>
          <c:idx val="3"/>
          <c:order val="5"/>
          <c:tx>
            <c:strRef>
              <c:f>fig!$A$41</c:f>
              <c:strCache>
                <c:ptCount val="1"/>
                <c:pt idx="0">
                  <c:v>Enerģētikas sektors (neieskaitot El. un Cs.)</c:v>
                </c:pt>
              </c:strCache>
            </c:strRef>
          </c:tx>
          <c:cat>
            <c:numRef>
              <c:f>fig!$B$3:$V$3</c:f>
              <c:numCache>
                <c:formatCode>General</c:formatCode>
                <c:ptCount val="5"/>
                <c:pt idx="0">
                  <c:v>2000</c:v>
                </c:pt>
                <c:pt idx="1">
                  <c:v>2005</c:v>
                </c:pt>
                <c:pt idx="2">
                  <c:v>2010</c:v>
                </c:pt>
                <c:pt idx="3">
                  <c:v>2015</c:v>
                </c:pt>
                <c:pt idx="4">
                  <c:v>2020</c:v>
                </c:pt>
              </c:numCache>
            </c:numRef>
          </c:cat>
          <c:val>
            <c:numRef>
              <c:f>fig!$B$41:$V$41</c:f>
              <c:numCache>
                <c:formatCode>0</c:formatCode>
                <c:ptCount val="5"/>
                <c:pt idx="0">
                  <c:v>895.30555555555543</c:v>
                </c:pt>
                <c:pt idx="1">
                  <c:v>346.80555555555543</c:v>
                </c:pt>
                <c:pt idx="2">
                  <c:v>334.16666666666708</c:v>
                </c:pt>
                <c:pt idx="3">
                  <c:v>334.16666666666708</c:v>
                </c:pt>
                <c:pt idx="4">
                  <c:v>334.16666666666708</c:v>
                </c:pt>
              </c:numCache>
            </c:numRef>
          </c:val>
        </c:ser>
        <c:ser>
          <c:idx val="4"/>
          <c:order val="6"/>
          <c:tx>
            <c:strRef>
              <c:f>fig!$A$42</c:f>
              <c:strCache>
                <c:ptCount val="1"/>
                <c:pt idx="0">
                  <c:v>Zudumi (neieskaitot El. un Cs.)</c:v>
                </c:pt>
              </c:strCache>
            </c:strRef>
          </c:tx>
          <c:cat>
            <c:numRef>
              <c:f>fig!$B$3:$V$3</c:f>
              <c:numCache>
                <c:formatCode>General</c:formatCode>
                <c:ptCount val="5"/>
                <c:pt idx="0">
                  <c:v>2000</c:v>
                </c:pt>
                <c:pt idx="1">
                  <c:v>2005</c:v>
                </c:pt>
                <c:pt idx="2">
                  <c:v>2010</c:v>
                </c:pt>
                <c:pt idx="3">
                  <c:v>2015</c:v>
                </c:pt>
                <c:pt idx="4">
                  <c:v>2020</c:v>
                </c:pt>
              </c:numCache>
            </c:numRef>
          </c:cat>
          <c:val>
            <c:numRef>
              <c:f>fig!$B$42:$V$42</c:f>
              <c:numCache>
                <c:formatCode>0</c:formatCode>
                <c:ptCount val="5"/>
                <c:pt idx="0">
                  <c:v>251.77777777777752</c:v>
                </c:pt>
                <c:pt idx="1">
                  <c:v>56.583333333333186</c:v>
                </c:pt>
                <c:pt idx="2">
                  <c:v>111.5</c:v>
                </c:pt>
                <c:pt idx="3">
                  <c:v>111.5</c:v>
                </c:pt>
                <c:pt idx="4">
                  <c:v>111.5</c:v>
                </c:pt>
              </c:numCache>
            </c:numRef>
          </c:val>
        </c:ser>
        <c:gapWidth val="30"/>
        <c:overlap val="100"/>
        <c:axId val="105585664"/>
        <c:axId val="106066688"/>
      </c:barChart>
      <c:catAx>
        <c:axId val="105585664"/>
        <c:scaling>
          <c:orientation val="minMax"/>
        </c:scaling>
        <c:axPos val="b"/>
        <c:numFmt formatCode="General" sourceLinked="1"/>
        <c:tickLblPos val="nextTo"/>
        <c:crossAx val="106066688"/>
        <c:crosses val="autoZero"/>
        <c:auto val="1"/>
        <c:lblAlgn val="ctr"/>
        <c:lblOffset val="100"/>
      </c:catAx>
      <c:valAx>
        <c:axId val="106066688"/>
        <c:scaling>
          <c:orientation val="minMax"/>
        </c:scaling>
        <c:axPos val="l"/>
        <c:majorGridlines/>
        <c:numFmt formatCode="0" sourceLinked="1"/>
        <c:tickLblPos val="nextTo"/>
        <c:crossAx val="105585664"/>
        <c:crosses val="autoZero"/>
        <c:crossBetween val="between"/>
      </c:valAx>
    </c:plotArea>
    <c:legend>
      <c:legendPos val="r"/>
      <c:layout>
        <c:manualLayout>
          <c:xMode val="edge"/>
          <c:yMode val="edge"/>
          <c:x val="0.73558366013071896"/>
          <c:y val="1.7882222222222226E-2"/>
          <c:w val="0.26234117647058824"/>
          <c:h val="0.98187444444444461"/>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hart>
    <c:autoTitleDeleted val="1"/>
    <c:plotArea>
      <c:layout/>
      <c:lineChart>
        <c:grouping val="stacked"/>
        <c:ser>
          <c:idx val="0"/>
          <c:order val="0"/>
          <c:tx>
            <c:strRef>
              <c:f>Sheet1!$B$11</c:f>
              <c:strCache>
                <c:ptCount val="1"/>
                <c:pt idx="0">
                  <c:v>Enerģijas intensitāte (toe/000 2000 EUR)</c:v>
                </c:pt>
              </c:strCache>
            </c:strRef>
          </c:tx>
          <c:spPr>
            <a:ln>
              <a:solidFill>
                <a:srgbClr val="0070C0"/>
              </a:solidFill>
            </a:ln>
          </c:spPr>
          <c:marker>
            <c:symbol val="diamond"/>
            <c:size val="8"/>
            <c:spPr>
              <a:solidFill>
                <a:srgbClr val="0070C0"/>
              </a:solidFill>
              <a:ln>
                <a:solidFill>
                  <a:srgbClr val="0070C0"/>
                </a:solidFill>
              </a:ln>
            </c:spPr>
          </c:marker>
          <c:dLbls>
            <c:txPr>
              <a:bodyPr/>
              <a:lstStyle/>
              <a:p>
                <a:pPr>
                  <a:defRPr sz="1000" b="1" i="0" u="none" strike="noStrike" baseline="0">
                    <a:solidFill>
                      <a:srgbClr val="000000"/>
                    </a:solidFill>
                    <a:latin typeface="Arial"/>
                    <a:ea typeface="Arial"/>
                    <a:cs typeface="Arial"/>
                  </a:defRPr>
                </a:pPr>
                <a:endParaRPr lang="lv-LV"/>
              </a:p>
            </c:txPr>
            <c:dLblPos val="t"/>
            <c:showVal val="1"/>
          </c:dLbls>
          <c:cat>
            <c:numRef>
              <c:f>Sheet1!$C$10:$I$10</c:f>
              <c:numCache>
                <c:formatCode>General</c:formatCode>
                <c:ptCount val="7"/>
                <c:pt idx="0">
                  <c:v>2004</c:v>
                </c:pt>
                <c:pt idx="1">
                  <c:v>2005</c:v>
                </c:pt>
                <c:pt idx="2">
                  <c:v>2006</c:v>
                </c:pt>
                <c:pt idx="3">
                  <c:v>2007</c:v>
                </c:pt>
                <c:pt idx="4">
                  <c:v>2008</c:v>
                </c:pt>
                <c:pt idx="5">
                  <c:v>2009</c:v>
                </c:pt>
                <c:pt idx="6">
                  <c:v>2010</c:v>
                </c:pt>
              </c:numCache>
            </c:numRef>
          </c:cat>
          <c:val>
            <c:numRef>
              <c:f>Sheet1!$C$11:$I$11</c:f>
              <c:numCache>
                <c:formatCode>0.00</c:formatCode>
                <c:ptCount val="7"/>
                <c:pt idx="0">
                  <c:v>0.39570462682607388</c:v>
                </c:pt>
                <c:pt idx="1">
                  <c:v>0.36447998172553264</c:v>
                </c:pt>
                <c:pt idx="2">
                  <c:v>0.33686335075787766</c:v>
                </c:pt>
                <c:pt idx="3">
                  <c:v>0.31486085872498676</c:v>
                </c:pt>
                <c:pt idx="4">
                  <c:v>0.31581257295849591</c:v>
                </c:pt>
                <c:pt idx="5">
                  <c:v>0.35908065303724795</c:v>
                </c:pt>
                <c:pt idx="6">
                  <c:v>0.39000000000000107</c:v>
                </c:pt>
              </c:numCache>
            </c:numRef>
          </c:val>
        </c:ser>
        <c:marker val="1"/>
        <c:axId val="106108416"/>
        <c:axId val="106109952"/>
      </c:lineChart>
      <c:catAx>
        <c:axId val="106108416"/>
        <c:scaling>
          <c:orientation val="minMax"/>
        </c:scaling>
        <c:axPos val="b"/>
        <c:numFmt formatCode="General" sourceLinked="1"/>
        <c:tickLblPos val="nextTo"/>
        <c:txPr>
          <a:bodyPr rot="0" vert="horz"/>
          <a:lstStyle/>
          <a:p>
            <a:pPr>
              <a:defRPr sz="1200" b="0" i="0" u="none" strike="noStrike" baseline="0">
                <a:solidFill>
                  <a:srgbClr val="000000"/>
                </a:solidFill>
                <a:latin typeface="Arial"/>
                <a:ea typeface="Arial"/>
                <a:cs typeface="Arial"/>
              </a:defRPr>
            </a:pPr>
            <a:endParaRPr lang="lv-LV"/>
          </a:p>
        </c:txPr>
        <c:crossAx val="106109952"/>
        <c:crosses val="autoZero"/>
        <c:auto val="1"/>
        <c:lblAlgn val="ctr"/>
        <c:lblOffset val="100"/>
      </c:catAx>
      <c:valAx>
        <c:axId val="106109952"/>
        <c:scaling>
          <c:orientation val="minMax"/>
          <c:max val="0.5"/>
        </c:scaling>
        <c:axPos val="l"/>
        <c:majorGridlines/>
        <c:title>
          <c:tx>
            <c:rich>
              <a:bodyPr/>
              <a:lstStyle/>
              <a:p>
                <a:pPr>
                  <a:defRPr sz="1200" b="1" i="0" u="none" strike="noStrike" baseline="0">
                    <a:solidFill>
                      <a:srgbClr val="000000"/>
                    </a:solidFill>
                    <a:latin typeface="Arial"/>
                    <a:ea typeface="Arial"/>
                    <a:cs typeface="Arial"/>
                  </a:defRPr>
                </a:pPr>
                <a:r>
                  <a:rPr lang="lv-LV"/>
                  <a:t>toe/000 2000 EUR</a:t>
                </a:r>
              </a:p>
            </c:rich>
          </c:tx>
        </c:title>
        <c:numFmt formatCode="0.0" sourceLinked="0"/>
        <c:tickLblPos val="nextTo"/>
        <c:txPr>
          <a:bodyPr rot="0" vert="horz"/>
          <a:lstStyle/>
          <a:p>
            <a:pPr>
              <a:defRPr sz="1200" b="0" i="0" u="none" strike="noStrike" baseline="0">
                <a:solidFill>
                  <a:srgbClr val="000000"/>
                </a:solidFill>
                <a:latin typeface="Arial"/>
                <a:ea typeface="Arial"/>
                <a:cs typeface="Arial"/>
              </a:defRPr>
            </a:pPr>
            <a:endParaRPr lang="lv-LV"/>
          </a:p>
        </c:txPr>
        <c:crossAx val="106108416"/>
        <c:crosses val="autoZero"/>
        <c:crossBetween val="between"/>
        <c:majorUnit val="0.1"/>
      </c:valAx>
    </c:plotArea>
    <c:plotVisOnly val="1"/>
    <c:dispBlanksAs val="zero"/>
  </c:chart>
  <c:txPr>
    <a:bodyPr/>
    <a:lstStyle/>
    <a:p>
      <a:pPr algn="just">
        <a:defRPr sz="1000" b="0" i="0" u="none" strike="noStrike" baseline="0">
          <a:solidFill>
            <a:srgbClr val="000000"/>
          </a:solidFill>
          <a:latin typeface="Calibri"/>
          <a:ea typeface="Calibri"/>
          <a:cs typeface="Calibri"/>
        </a:defRPr>
      </a:pPr>
      <a:endParaRPr lang="lv-LV"/>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chart>
    <c:plotArea>
      <c:layout/>
      <c:lineChart>
        <c:grouping val="standard"/>
        <c:ser>
          <c:idx val="0"/>
          <c:order val="0"/>
          <c:tx>
            <c:v>Vidējo siltumenerģijas zudumu līmenis siltumenerģijas pārvades un sadales tīklos</c:v>
          </c:tx>
          <c:spPr>
            <a:ln>
              <a:solidFill>
                <a:srgbClr val="FF0000"/>
              </a:solidFill>
            </a:ln>
          </c:spPr>
          <c:marker>
            <c:symbol val="circle"/>
            <c:size val="7"/>
            <c:spPr>
              <a:solidFill>
                <a:srgbClr val="FF0000"/>
              </a:solidFill>
              <a:ln>
                <a:solidFill>
                  <a:srgbClr val="FF0000"/>
                </a:solidFill>
              </a:ln>
            </c:spPr>
          </c:marker>
          <c:dLbls>
            <c:txPr>
              <a:bodyPr/>
              <a:lstStyle/>
              <a:p>
                <a:pPr>
                  <a:defRPr sz="1000" b="1" i="0" u="none" strike="noStrike" baseline="0">
                    <a:solidFill>
                      <a:srgbClr val="000000"/>
                    </a:solidFill>
                    <a:latin typeface="Arial"/>
                    <a:ea typeface="Arial"/>
                    <a:cs typeface="Arial"/>
                  </a:defRPr>
                </a:pPr>
                <a:endParaRPr lang="lv-LV"/>
              </a:p>
            </c:txPr>
            <c:dLblPos val="t"/>
            <c:showVal val="1"/>
          </c:dLbls>
          <c:cat>
            <c:numRef>
              <c:f>Sheet1!$C$10:$I$10</c:f>
              <c:numCache>
                <c:formatCode>General</c:formatCode>
                <c:ptCount val="7"/>
                <c:pt idx="0">
                  <c:v>2004</c:v>
                </c:pt>
                <c:pt idx="1">
                  <c:v>2005</c:v>
                </c:pt>
                <c:pt idx="2">
                  <c:v>2006</c:v>
                </c:pt>
                <c:pt idx="3">
                  <c:v>2007</c:v>
                </c:pt>
                <c:pt idx="4">
                  <c:v>2008</c:v>
                </c:pt>
                <c:pt idx="5">
                  <c:v>2009</c:v>
                </c:pt>
                <c:pt idx="6">
                  <c:v>2010</c:v>
                </c:pt>
              </c:numCache>
            </c:numRef>
          </c:cat>
          <c:val>
            <c:numRef>
              <c:f>Sheet1!$C$12:$I$12</c:f>
              <c:numCache>
                <c:formatCode>0.0</c:formatCode>
                <c:ptCount val="7"/>
                <c:pt idx="0">
                  <c:v>17.100311967323826</c:v>
                </c:pt>
                <c:pt idx="1">
                  <c:v>16.160416131518112</c:v>
                </c:pt>
                <c:pt idx="2">
                  <c:v>15.607532605802502</c:v>
                </c:pt>
                <c:pt idx="3">
                  <c:v>15.450583928882736</c:v>
                </c:pt>
                <c:pt idx="4">
                  <c:v>13.961063555791227</c:v>
                </c:pt>
                <c:pt idx="5">
                  <c:v>14.121179869241294</c:v>
                </c:pt>
                <c:pt idx="6">
                  <c:v>13.501632755589076</c:v>
                </c:pt>
              </c:numCache>
            </c:numRef>
          </c:val>
        </c:ser>
        <c:ser>
          <c:idx val="1"/>
          <c:order val="1"/>
          <c:tx>
            <c:v>Siltumenerģijas ražošanas iekārtu vidējais efektivitātes līmenis</c:v>
          </c:tx>
          <c:spPr>
            <a:ln>
              <a:solidFill>
                <a:srgbClr val="00B050"/>
              </a:solidFill>
            </a:ln>
          </c:spPr>
          <c:marker>
            <c:spPr>
              <a:solidFill>
                <a:srgbClr val="00B050"/>
              </a:solidFill>
              <a:ln>
                <a:solidFill>
                  <a:srgbClr val="00B050"/>
                </a:solidFill>
              </a:ln>
            </c:spPr>
          </c:marker>
          <c:dLbls>
            <c:txPr>
              <a:bodyPr/>
              <a:lstStyle/>
              <a:p>
                <a:pPr>
                  <a:defRPr b="1">
                    <a:latin typeface="Arial" pitchFamily="34" charset="0"/>
                    <a:cs typeface="Arial" pitchFamily="34" charset="0"/>
                  </a:defRPr>
                </a:pPr>
                <a:endParaRPr lang="lv-LV"/>
              </a:p>
            </c:txPr>
            <c:dLblPos val="t"/>
            <c:showVal val="1"/>
          </c:dLbls>
          <c:val>
            <c:numRef>
              <c:f>Sheet1!$C$13:$I$13</c:f>
              <c:numCache>
                <c:formatCode>0.0</c:formatCode>
                <c:ptCount val="7"/>
                <c:pt idx="0">
                  <c:v>82.101995545517227</c:v>
                </c:pt>
                <c:pt idx="1">
                  <c:v>83.264512553546183</c:v>
                </c:pt>
                <c:pt idx="2">
                  <c:v>83.928503999271427</c:v>
                </c:pt>
                <c:pt idx="3">
                  <c:v>83.665286544627449</c:v>
                </c:pt>
                <c:pt idx="4">
                  <c:v>81.410628111926314</c:v>
                </c:pt>
                <c:pt idx="5">
                  <c:v>83.411004581119897</c:v>
                </c:pt>
                <c:pt idx="6">
                  <c:v>81.830567252910583</c:v>
                </c:pt>
              </c:numCache>
            </c:numRef>
          </c:val>
        </c:ser>
        <c:marker val="1"/>
        <c:axId val="106143744"/>
        <c:axId val="106145280"/>
      </c:lineChart>
      <c:catAx>
        <c:axId val="106143744"/>
        <c:scaling>
          <c:orientation val="minMax"/>
        </c:scaling>
        <c:axPos val="b"/>
        <c:numFmt formatCode="General" sourceLinked="1"/>
        <c:tickLblPos val="nextTo"/>
        <c:txPr>
          <a:bodyPr rot="0" vert="horz"/>
          <a:lstStyle/>
          <a:p>
            <a:pPr>
              <a:defRPr sz="1200" b="0" i="0" u="none" strike="noStrike" baseline="0">
                <a:solidFill>
                  <a:srgbClr val="000000"/>
                </a:solidFill>
                <a:latin typeface="Arial"/>
                <a:ea typeface="Arial"/>
                <a:cs typeface="Arial"/>
              </a:defRPr>
            </a:pPr>
            <a:endParaRPr lang="lv-LV"/>
          </a:p>
        </c:txPr>
        <c:crossAx val="106145280"/>
        <c:crosses val="autoZero"/>
        <c:auto val="1"/>
        <c:lblAlgn val="ctr"/>
        <c:lblOffset val="100"/>
      </c:catAx>
      <c:valAx>
        <c:axId val="106145280"/>
        <c:scaling>
          <c:orientation val="minMax"/>
          <c:max val="90"/>
          <c:min val="0"/>
        </c:scaling>
        <c:axPos val="l"/>
        <c:majorGridlines/>
        <c:title>
          <c:tx>
            <c:rich>
              <a:bodyPr/>
              <a:lstStyle/>
              <a:p>
                <a:pPr>
                  <a:defRPr sz="1200" b="1" i="0" u="none" strike="noStrike" baseline="0">
                    <a:solidFill>
                      <a:srgbClr val="000000"/>
                    </a:solidFill>
                    <a:latin typeface="Arial"/>
                    <a:ea typeface="Arial"/>
                    <a:cs typeface="Arial"/>
                  </a:defRPr>
                </a:pPr>
                <a:r>
                  <a:rPr lang="lv-LV"/>
                  <a:t>%</a:t>
                </a:r>
              </a:p>
            </c:rich>
          </c:tx>
        </c:title>
        <c:numFmt formatCode="0" sourceLinked="0"/>
        <c:tickLblPos val="nextTo"/>
        <c:txPr>
          <a:bodyPr rot="0" vert="horz"/>
          <a:lstStyle/>
          <a:p>
            <a:pPr>
              <a:defRPr sz="1200" b="0" i="0" u="none" strike="noStrike" baseline="0">
                <a:solidFill>
                  <a:srgbClr val="000000"/>
                </a:solidFill>
                <a:latin typeface="Arial"/>
                <a:ea typeface="Arial"/>
                <a:cs typeface="Arial"/>
              </a:defRPr>
            </a:pPr>
            <a:endParaRPr lang="lv-LV"/>
          </a:p>
        </c:txPr>
        <c:crossAx val="106143744"/>
        <c:crosses val="autoZero"/>
        <c:crossBetween val="between"/>
        <c:majorUnit val="10"/>
      </c:valAx>
    </c:plotArea>
    <c:legend>
      <c:legendPos val="b"/>
      <c:txPr>
        <a:bodyPr/>
        <a:lstStyle/>
        <a:p>
          <a:pPr>
            <a:defRPr sz="1100">
              <a:latin typeface="Arial" pitchFamily="34" charset="0"/>
              <a:cs typeface="Arial" pitchFamily="34" charset="0"/>
            </a:defRPr>
          </a:pPr>
          <a:endParaRPr lang="lv-LV"/>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lv-LV"/>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a:pPr>
            <a:r>
              <a:rPr lang="en-US"/>
              <a:t>Dzīvojam</a:t>
            </a:r>
            <a:r>
              <a:rPr lang="lv-LV"/>
              <a:t>ā</a:t>
            </a:r>
            <a:r>
              <a:rPr lang="en-US"/>
              <a:t> fond</a:t>
            </a:r>
            <a:r>
              <a:rPr lang="lv-LV"/>
              <a:t>a izmaiņas</a:t>
            </a:r>
            <a:r>
              <a:rPr lang="en-US"/>
              <a:t> (milj. m²)</a:t>
            </a:r>
          </a:p>
        </c:rich>
      </c:tx>
    </c:title>
    <c:view3D>
      <c:rAngAx val="1"/>
    </c:view3D>
    <c:plotArea>
      <c:layout/>
      <c:bar3DChart>
        <c:barDir val="col"/>
        <c:grouping val="clustered"/>
        <c:ser>
          <c:idx val="0"/>
          <c:order val="0"/>
          <c:tx>
            <c:strRef>
              <c:f>Dziv_fonds!$A$3</c:f>
              <c:strCache>
                <c:ptCount val="1"/>
                <c:pt idx="0">
                  <c:v>Dzīvojamais fonds (milj. m²)</c:v>
                </c:pt>
              </c:strCache>
            </c:strRef>
          </c:tx>
          <c:cat>
            <c:numRef>
              <c:f>Dziv_fonds!$B$2:$U$2</c:f>
              <c:numCache>
                <c:formatCode>General</c:formatCode>
                <c:ptCount val="2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numCache>
            </c:numRef>
          </c:cat>
          <c:val>
            <c:numRef>
              <c:f>Dziv_fonds!$B$3:$U$3</c:f>
              <c:numCache>
                <c:formatCode>General</c:formatCode>
                <c:ptCount val="20"/>
                <c:pt idx="0">
                  <c:v>52.9</c:v>
                </c:pt>
                <c:pt idx="1">
                  <c:v>53.1</c:v>
                </c:pt>
                <c:pt idx="2">
                  <c:v>53.2</c:v>
                </c:pt>
                <c:pt idx="3">
                  <c:v>53.1</c:v>
                </c:pt>
                <c:pt idx="4">
                  <c:v>52.8</c:v>
                </c:pt>
                <c:pt idx="5">
                  <c:v>52.7</c:v>
                </c:pt>
                <c:pt idx="6">
                  <c:v>52.8</c:v>
                </c:pt>
                <c:pt idx="7">
                  <c:v>53</c:v>
                </c:pt>
                <c:pt idx="8">
                  <c:v>53.2</c:v>
                </c:pt>
                <c:pt idx="9">
                  <c:v>53.4</c:v>
                </c:pt>
                <c:pt idx="10">
                  <c:v>53.5</c:v>
                </c:pt>
                <c:pt idx="11">
                  <c:v>53.5</c:v>
                </c:pt>
                <c:pt idx="12">
                  <c:v>55</c:v>
                </c:pt>
                <c:pt idx="13">
                  <c:v>55.4</c:v>
                </c:pt>
                <c:pt idx="14">
                  <c:v>56.1</c:v>
                </c:pt>
                <c:pt idx="15">
                  <c:v>57</c:v>
                </c:pt>
                <c:pt idx="16">
                  <c:v>58.7</c:v>
                </c:pt>
                <c:pt idx="17">
                  <c:v>60.1</c:v>
                </c:pt>
                <c:pt idx="18">
                  <c:v>61</c:v>
                </c:pt>
                <c:pt idx="19">
                  <c:v>61.1</c:v>
                </c:pt>
              </c:numCache>
            </c:numRef>
          </c:val>
        </c:ser>
        <c:shape val="box"/>
        <c:axId val="106656128"/>
        <c:axId val="106657664"/>
        <c:axId val="0"/>
      </c:bar3DChart>
      <c:catAx>
        <c:axId val="106656128"/>
        <c:scaling>
          <c:orientation val="minMax"/>
        </c:scaling>
        <c:axPos val="b"/>
        <c:numFmt formatCode="General" sourceLinked="1"/>
        <c:tickLblPos val="nextTo"/>
        <c:crossAx val="106657664"/>
        <c:crosses val="autoZero"/>
        <c:auto val="1"/>
        <c:lblAlgn val="ctr"/>
        <c:lblOffset val="100"/>
      </c:catAx>
      <c:valAx>
        <c:axId val="106657664"/>
        <c:scaling>
          <c:orientation val="minMax"/>
        </c:scaling>
        <c:axPos val="l"/>
        <c:majorGridlines/>
        <c:numFmt formatCode="General" sourceLinked="1"/>
        <c:tickLblPos val="nextTo"/>
        <c:crossAx val="106656128"/>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0.09421</cdr:x>
      <cdr:y>0.32986</cdr:y>
    </cdr:from>
    <cdr:to>
      <cdr:x>0.57201</cdr:x>
      <cdr:y>0.55903</cdr:y>
    </cdr:to>
    <cdr:sp macro="" textlink="">
      <cdr:nvSpPr>
        <cdr:cNvPr id="2" name="Left Brace 1"/>
        <cdr:cNvSpPr/>
      </cdr:nvSpPr>
      <cdr:spPr>
        <a:xfrm xmlns:a="http://schemas.openxmlformats.org/drawingml/2006/main" rot="5400000" flipV="1">
          <a:off x="2043115" y="-471489"/>
          <a:ext cx="628650" cy="3381377"/>
        </a:xfrm>
        <a:prstGeom xmlns:a="http://schemas.openxmlformats.org/drawingml/2006/main" prst="leftBrace">
          <a:avLst/>
        </a:prstGeom>
        <a:ln xmlns:a="http://schemas.openxmlformats.org/drawingml/2006/main" w="190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lv-LV"/>
        </a:p>
      </cdr:txBody>
    </cdr:sp>
  </cdr:relSizeAnchor>
  <cdr:relSizeAnchor xmlns:cdr="http://schemas.openxmlformats.org/drawingml/2006/chartDrawing">
    <cdr:from>
      <cdr:x>0.5747</cdr:x>
      <cdr:y>0.26389</cdr:y>
    </cdr:from>
    <cdr:to>
      <cdr:x>0.87752</cdr:x>
      <cdr:y>0.51389</cdr:y>
    </cdr:to>
    <cdr:sp macro="" textlink="">
      <cdr:nvSpPr>
        <cdr:cNvPr id="3" name="Left Brace 2"/>
        <cdr:cNvSpPr/>
      </cdr:nvSpPr>
      <cdr:spPr>
        <a:xfrm xmlns:a="http://schemas.openxmlformats.org/drawingml/2006/main" rot="5400000" flipV="1">
          <a:off x="4795842" y="-4761"/>
          <a:ext cx="685795" cy="2143127"/>
        </a:xfrm>
        <a:prstGeom xmlns:a="http://schemas.openxmlformats.org/drawingml/2006/main" prst="leftBrace">
          <a:avLst/>
        </a:prstGeom>
        <a:ln xmlns:a="http://schemas.openxmlformats.org/drawingml/2006/main" w="1905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lv-LV"/>
        </a:p>
      </cdr:txBody>
    </cdr:sp>
  </cdr:relSizeAnchor>
  <cdr:relSizeAnchor xmlns:cdr="http://schemas.openxmlformats.org/drawingml/2006/chartDrawing">
    <cdr:from>
      <cdr:x>0.11575</cdr:x>
      <cdr:y>0.23264</cdr:y>
    </cdr:from>
    <cdr:to>
      <cdr:x>0.49826</cdr:x>
      <cdr:y>0.31801</cdr:y>
    </cdr:to>
    <cdr:sp macro="" textlink="">
      <cdr:nvSpPr>
        <cdr:cNvPr id="4" name="TextBox 3"/>
        <cdr:cNvSpPr txBox="1"/>
      </cdr:nvSpPr>
      <cdr:spPr>
        <a:xfrm xmlns:a="http://schemas.openxmlformats.org/drawingml/2006/main">
          <a:off x="635051" y="494736"/>
          <a:ext cx="2098624" cy="1815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t>Vidējais pieaugums</a:t>
          </a:r>
          <a:r>
            <a:rPr lang="lv-LV" sz="1100" baseline="0"/>
            <a:t> 0,1% gadā</a:t>
          </a:r>
          <a:endParaRPr lang="lv-LV" sz="1100"/>
        </a:p>
      </cdr:txBody>
    </cdr:sp>
  </cdr:relSizeAnchor>
  <cdr:relSizeAnchor xmlns:cdr="http://schemas.openxmlformats.org/drawingml/2006/chartDrawing">
    <cdr:from>
      <cdr:x>0.54167</cdr:x>
      <cdr:y>0.1875</cdr:y>
    </cdr:from>
    <cdr:to>
      <cdr:x>0.91252</cdr:x>
      <cdr:y>0.31353</cdr:y>
    </cdr:to>
    <cdr:sp macro="" textlink="">
      <cdr:nvSpPr>
        <cdr:cNvPr id="5" name="TextBox 4"/>
        <cdr:cNvSpPr txBox="1"/>
      </cdr:nvSpPr>
      <cdr:spPr>
        <a:xfrm xmlns:a="http://schemas.openxmlformats.org/drawingml/2006/main">
          <a:off x="2971801" y="398740"/>
          <a:ext cx="2034650" cy="2680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t>Vidējais pieaugums</a:t>
          </a:r>
          <a:r>
            <a:rPr lang="lv-LV" sz="1100" baseline="0"/>
            <a:t> 1,9% gadā</a:t>
          </a:r>
          <a:endParaRPr lang="lv-LV"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2D77-B791-46D0-AF58-C3D1E7E8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106044</Words>
  <Characters>60446</Characters>
  <Application>Microsoft Office Word</Application>
  <DocSecurity>0</DocSecurity>
  <Lines>503</Lines>
  <Paragraphs>332</Paragraphs>
  <ScaleCrop>false</ScaleCrop>
  <HeadingPairs>
    <vt:vector size="2" baseType="variant">
      <vt:variant>
        <vt:lpstr>Title</vt:lpstr>
      </vt:variant>
      <vt:variant>
        <vt:i4>1</vt:i4>
      </vt:variant>
    </vt:vector>
  </HeadingPairs>
  <TitlesOfParts>
    <vt:vector size="1" baseType="lpstr">
      <vt:lpstr>Latvijas Republikas Otrais energoefektivitātes rīcības plāns 2011 - 2013</vt:lpstr>
    </vt:vector>
  </TitlesOfParts>
  <Company>Home</Company>
  <LinksUpToDate>false</LinksUpToDate>
  <CharactersWithSpaces>166158</CharactersWithSpaces>
  <SharedDoc>false</SharedDoc>
  <HLinks>
    <vt:vector size="294" baseType="variant">
      <vt:variant>
        <vt:i4>262194</vt:i4>
      </vt:variant>
      <vt:variant>
        <vt:i4>267</vt:i4>
      </vt:variant>
      <vt:variant>
        <vt:i4>0</vt:i4>
      </vt:variant>
      <vt:variant>
        <vt:i4>5</vt:i4>
      </vt:variant>
      <vt:variant>
        <vt:lpwstr>mailto:inguna.ozolina@em.gov.lv</vt:lpwstr>
      </vt:variant>
      <vt:variant>
        <vt:lpwstr/>
      </vt:variant>
      <vt:variant>
        <vt:i4>7667839</vt:i4>
      </vt:variant>
      <vt:variant>
        <vt:i4>264</vt:i4>
      </vt:variant>
      <vt:variant>
        <vt:i4>0</vt:i4>
      </vt:variant>
      <vt:variant>
        <vt:i4>5</vt:i4>
      </vt:variant>
      <vt:variant>
        <vt:lpwstr>http://www.rea.riga.lv/</vt:lpwstr>
      </vt:variant>
      <vt:variant>
        <vt:lpwstr/>
      </vt:variant>
      <vt:variant>
        <vt:i4>1638473</vt:i4>
      </vt:variant>
      <vt:variant>
        <vt:i4>261</vt:i4>
      </vt:variant>
      <vt:variant>
        <vt:i4>0</vt:i4>
      </vt:variant>
      <vt:variant>
        <vt:i4>5</vt:i4>
      </vt:variant>
      <vt:variant>
        <vt:lpwstr>http://www.likumi.lv/</vt:lpwstr>
      </vt:variant>
      <vt:variant>
        <vt:lpwstr/>
      </vt:variant>
      <vt:variant>
        <vt:i4>7995440</vt:i4>
      </vt:variant>
      <vt:variant>
        <vt:i4>258</vt:i4>
      </vt:variant>
      <vt:variant>
        <vt:i4>0</vt:i4>
      </vt:variant>
      <vt:variant>
        <vt:i4>5</vt:i4>
      </vt:variant>
      <vt:variant>
        <vt:lpwstr>http://www.em.gov.lv/em/2nd/?cat=30173</vt:lpwstr>
      </vt:variant>
      <vt:variant>
        <vt:lpwstr/>
      </vt:variant>
      <vt:variant>
        <vt:i4>5767295</vt:i4>
      </vt:variant>
      <vt:variant>
        <vt:i4>255</vt:i4>
      </vt:variant>
      <vt:variant>
        <vt:i4>0</vt:i4>
      </vt:variant>
      <vt:variant>
        <vt:i4>5</vt:i4>
      </vt:variant>
      <vt:variant>
        <vt:lpwstr>http://www.vidm.gov.lv/lat/darbibas_veidi/KPFI/projekti/?doc=10465</vt:lpwstr>
      </vt:variant>
      <vt:variant>
        <vt:lpwstr/>
      </vt:variant>
      <vt:variant>
        <vt:i4>6226042</vt:i4>
      </vt:variant>
      <vt:variant>
        <vt:i4>252</vt:i4>
      </vt:variant>
      <vt:variant>
        <vt:i4>0</vt:i4>
      </vt:variant>
      <vt:variant>
        <vt:i4>5</vt:i4>
      </vt:variant>
      <vt:variant>
        <vt:lpwstr>http://www.vidm.gov.lv/lat/darbibas_veidi/KPFI/projekti/?doc=10137</vt:lpwstr>
      </vt:variant>
      <vt:variant>
        <vt:lpwstr/>
      </vt:variant>
      <vt:variant>
        <vt:i4>5963903</vt:i4>
      </vt:variant>
      <vt:variant>
        <vt:i4>249</vt:i4>
      </vt:variant>
      <vt:variant>
        <vt:i4>0</vt:i4>
      </vt:variant>
      <vt:variant>
        <vt:i4>5</vt:i4>
      </vt:variant>
      <vt:variant>
        <vt:lpwstr>http://www.vidm.gov.lv/lat/darbibas_veidi/KPFI/projekti/?doc=11775</vt:lpwstr>
      </vt:variant>
      <vt:variant>
        <vt:lpwstr/>
      </vt:variant>
      <vt:variant>
        <vt:i4>5963896</vt:i4>
      </vt:variant>
      <vt:variant>
        <vt:i4>246</vt:i4>
      </vt:variant>
      <vt:variant>
        <vt:i4>0</vt:i4>
      </vt:variant>
      <vt:variant>
        <vt:i4>5</vt:i4>
      </vt:variant>
      <vt:variant>
        <vt:lpwstr>http://www.vidm.gov.lv/lat/darbibas_veidi/KPFI/projekti/?doc=10210</vt:lpwstr>
      </vt:variant>
      <vt:variant>
        <vt:lpwstr/>
      </vt:variant>
      <vt:variant>
        <vt:i4>5963896</vt:i4>
      </vt:variant>
      <vt:variant>
        <vt:i4>243</vt:i4>
      </vt:variant>
      <vt:variant>
        <vt:i4>0</vt:i4>
      </vt:variant>
      <vt:variant>
        <vt:i4>5</vt:i4>
      </vt:variant>
      <vt:variant>
        <vt:lpwstr>http://www.vidm.gov.lv/lat/darbibas_veidi/KPFI/projekti/?doc=10210</vt:lpwstr>
      </vt:variant>
      <vt:variant>
        <vt:lpwstr/>
      </vt:variant>
      <vt:variant>
        <vt:i4>5767295</vt:i4>
      </vt:variant>
      <vt:variant>
        <vt:i4>240</vt:i4>
      </vt:variant>
      <vt:variant>
        <vt:i4>0</vt:i4>
      </vt:variant>
      <vt:variant>
        <vt:i4>5</vt:i4>
      </vt:variant>
      <vt:variant>
        <vt:lpwstr>http://www.vidm.gov.lv/lat/darbibas_veidi/KPFI/projekti/?doc=10465</vt:lpwstr>
      </vt:variant>
      <vt:variant>
        <vt:lpwstr/>
      </vt:variant>
      <vt:variant>
        <vt:i4>5767295</vt:i4>
      </vt:variant>
      <vt:variant>
        <vt:i4>237</vt:i4>
      </vt:variant>
      <vt:variant>
        <vt:i4>0</vt:i4>
      </vt:variant>
      <vt:variant>
        <vt:i4>5</vt:i4>
      </vt:variant>
      <vt:variant>
        <vt:lpwstr>http://www.vidm.gov.lv/lat/darbibas_veidi/KPFI/projekti/?doc=10465</vt:lpwstr>
      </vt:variant>
      <vt:variant>
        <vt:lpwstr/>
      </vt:variant>
      <vt:variant>
        <vt:i4>6226042</vt:i4>
      </vt:variant>
      <vt:variant>
        <vt:i4>234</vt:i4>
      </vt:variant>
      <vt:variant>
        <vt:i4>0</vt:i4>
      </vt:variant>
      <vt:variant>
        <vt:i4>5</vt:i4>
      </vt:variant>
      <vt:variant>
        <vt:lpwstr>http://www.vidm.gov.lv/lat/darbibas_veidi/KPFI/projekti/?doc=10137</vt:lpwstr>
      </vt:variant>
      <vt:variant>
        <vt:lpwstr/>
      </vt:variant>
      <vt:variant>
        <vt:i4>6226042</vt:i4>
      </vt:variant>
      <vt:variant>
        <vt:i4>231</vt:i4>
      </vt:variant>
      <vt:variant>
        <vt:i4>0</vt:i4>
      </vt:variant>
      <vt:variant>
        <vt:i4>5</vt:i4>
      </vt:variant>
      <vt:variant>
        <vt:lpwstr>http://www.vidm.gov.lv/lat/darbibas_veidi/KPFI/projekti/?doc=10137</vt:lpwstr>
      </vt:variant>
      <vt:variant>
        <vt:lpwstr/>
      </vt:variant>
      <vt:variant>
        <vt:i4>5767295</vt:i4>
      </vt:variant>
      <vt:variant>
        <vt:i4>228</vt:i4>
      </vt:variant>
      <vt:variant>
        <vt:i4>0</vt:i4>
      </vt:variant>
      <vt:variant>
        <vt:i4>5</vt:i4>
      </vt:variant>
      <vt:variant>
        <vt:lpwstr>http://www.vidm.gov.lv/lat/darbibas_veidi/KPFI/projekti/?doc=10465</vt:lpwstr>
      </vt:variant>
      <vt:variant>
        <vt:lpwstr/>
      </vt:variant>
      <vt:variant>
        <vt:i4>6226042</vt:i4>
      </vt:variant>
      <vt:variant>
        <vt:i4>225</vt:i4>
      </vt:variant>
      <vt:variant>
        <vt:i4>0</vt:i4>
      </vt:variant>
      <vt:variant>
        <vt:i4>5</vt:i4>
      </vt:variant>
      <vt:variant>
        <vt:lpwstr>http://www.vidm.gov.lv/lat/darbibas_veidi/KPFI/projekti/?doc=10137</vt:lpwstr>
      </vt:variant>
      <vt:variant>
        <vt:lpwstr/>
      </vt:variant>
      <vt:variant>
        <vt:i4>786520</vt:i4>
      </vt:variant>
      <vt:variant>
        <vt:i4>198</vt:i4>
      </vt:variant>
      <vt:variant>
        <vt:i4>0</vt:i4>
      </vt:variant>
      <vt:variant>
        <vt:i4>5</vt:i4>
      </vt:variant>
      <vt:variant>
        <vt:lpwstr>http://www.latvenergo.lv/</vt:lpwstr>
      </vt:variant>
      <vt:variant>
        <vt:lpwstr/>
      </vt:variant>
      <vt:variant>
        <vt:i4>1114162</vt:i4>
      </vt:variant>
      <vt:variant>
        <vt:i4>188</vt:i4>
      </vt:variant>
      <vt:variant>
        <vt:i4>0</vt:i4>
      </vt:variant>
      <vt:variant>
        <vt:i4>5</vt:i4>
      </vt:variant>
      <vt:variant>
        <vt:lpwstr/>
      </vt:variant>
      <vt:variant>
        <vt:lpwstr>_Toc293926103</vt:lpwstr>
      </vt:variant>
      <vt:variant>
        <vt:i4>1114162</vt:i4>
      </vt:variant>
      <vt:variant>
        <vt:i4>182</vt:i4>
      </vt:variant>
      <vt:variant>
        <vt:i4>0</vt:i4>
      </vt:variant>
      <vt:variant>
        <vt:i4>5</vt:i4>
      </vt:variant>
      <vt:variant>
        <vt:lpwstr/>
      </vt:variant>
      <vt:variant>
        <vt:lpwstr>_Toc293926102</vt:lpwstr>
      </vt:variant>
      <vt:variant>
        <vt:i4>1114162</vt:i4>
      </vt:variant>
      <vt:variant>
        <vt:i4>176</vt:i4>
      </vt:variant>
      <vt:variant>
        <vt:i4>0</vt:i4>
      </vt:variant>
      <vt:variant>
        <vt:i4>5</vt:i4>
      </vt:variant>
      <vt:variant>
        <vt:lpwstr/>
      </vt:variant>
      <vt:variant>
        <vt:lpwstr>_Toc293926101</vt:lpwstr>
      </vt:variant>
      <vt:variant>
        <vt:i4>1114162</vt:i4>
      </vt:variant>
      <vt:variant>
        <vt:i4>170</vt:i4>
      </vt:variant>
      <vt:variant>
        <vt:i4>0</vt:i4>
      </vt:variant>
      <vt:variant>
        <vt:i4>5</vt:i4>
      </vt:variant>
      <vt:variant>
        <vt:lpwstr/>
      </vt:variant>
      <vt:variant>
        <vt:lpwstr>_Toc293926100</vt:lpwstr>
      </vt:variant>
      <vt:variant>
        <vt:i4>1572915</vt:i4>
      </vt:variant>
      <vt:variant>
        <vt:i4>164</vt:i4>
      </vt:variant>
      <vt:variant>
        <vt:i4>0</vt:i4>
      </vt:variant>
      <vt:variant>
        <vt:i4>5</vt:i4>
      </vt:variant>
      <vt:variant>
        <vt:lpwstr/>
      </vt:variant>
      <vt:variant>
        <vt:lpwstr>_Toc293926099</vt:lpwstr>
      </vt:variant>
      <vt:variant>
        <vt:i4>1572915</vt:i4>
      </vt:variant>
      <vt:variant>
        <vt:i4>158</vt:i4>
      </vt:variant>
      <vt:variant>
        <vt:i4>0</vt:i4>
      </vt:variant>
      <vt:variant>
        <vt:i4>5</vt:i4>
      </vt:variant>
      <vt:variant>
        <vt:lpwstr/>
      </vt:variant>
      <vt:variant>
        <vt:lpwstr>_Toc293926098</vt:lpwstr>
      </vt:variant>
      <vt:variant>
        <vt:i4>1572915</vt:i4>
      </vt:variant>
      <vt:variant>
        <vt:i4>152</vt:i4>
      </vt:variant>
      <vt:variant>
        <vt:i4>0</vt:i4>
      </vt:variant>
      <vt:variant>
        <vt:i4>5</vt:i4>
      </vt:variant>
      <vt:variant>
        <vt:lpwstr/>
      </vt:variant>
      <vt:variant>
        <vt:lpwstr>_Toc293926097</vt:lpwstr>
      </vt:variant>
      <vt:variant>
        <vt:i4>1572915</vt:i4>
      </vt:variant>
      <vt:variant>
        <vt:i4>146</vt:i4>
      </vt:variant>
      <vt:variant>
        <vt:i4>0</vt:i4>
      </vt:variant>
      <vt:variant>
        <vt:i4>5</vt:i4>
      </vt:variant>
      <vt:variant>
        <vt:lpwstr/>
      </vt:variant>
      <vt:variant>
        <vt:lpwstr>_Toc293926096</vt:lpwstr>
      </vt:variant>
      <vt:variant>
        <vt:i4>1572915</vt:i4>
      </vt:variant>
      <vt:variant>
        <vt:i4>140</vt:i4>
      </vt:variant>
      <vt:variant>
        <vt:i4>0</vt:i4>
      </vt:variant>
      <vt:variant>
        <vt:i4>5</vt:i4>
      </vt:variant>
      <vt:variant>
        <vt:lpwstr/>
      </vt:variant>
      <vt:variant>
        <vt:lpwstr>_Toc293926095</vt:lpwstr>
      </vt:variant>
      <vt:variant>
        <vt:i4>1572915</vt:i4>
      </vt:variant>
      <vt:variant>
        <vt:i4>134</vt:i4>
      </vt:variant>
      <vt:variant>
        <vt:i4>0</vt:i4>
      </vt:variant>
      <vt:variant>
        <vt:i4>5</vt:i4>
      </vt:variant>
      <vt:variant>
        <vt:lpwstr/>
      </vt:variant>
      <vt:variant>
        <vt:lpwstr>_Toc293926094</vt:lpwstr>
      </vt:variant>
      <vt:variant>
        <vt:i4>1572915</vt:i4>
      </vt:variant>
      <vt:variant>
        <vt:i4>128</vt:i4>
      </vt:variant>
      <vt:variant>
        <vt:i4>0</vt:i4>
      </vt:variant>
      <vt:variant>
        <vt:i4>5</vt:i4>
      </vt:variant>
      <vt:variant>
        <vt:lpwstr/>
      </vt:variant>
      <vt:variant>
        <vt:lpwstr>_Toc293926093</vt:lpwstr>
      </vt:variant>
      <vt:variant>
        <vt:i4>1572915</vt:i4>
      </vt:variant>
      <vt:variant>
        <vt:i4>122</vt:i4>
      </vt:variant>
      <vt:variant>
        <vt:i4>0</vt:i4>
      </vt:variant>
      <vt:variant>
        <vt:i4>5</vt:i4>
      </vt:variant>
      <vt:variant>
        <vt:lpwstr/>
      </vt:variant>
      <vt:variant>
        <vt:lpwstr>_Toc293926092</vt:lpwstr>
      </vt:variant>
      <vt:variant>
        <vt:i4>1572915</vt:i4>
      </vt:variant>
      <vt:variant>
        <vt:i4>116</vt:i4>
      </vt:variant>
      <vt:variant>
        <vt:i4>0</vt:i4>
      </vt:variant>
      <vt:variant>
        <vt:i4>5</vt:i4>
      </vt:variant>
      <vt:variant>
        <vt:lpwstr/>
      </vt:variant>
      <vt:variant>
        <vt:lpwstr>_Toc293926091</vt:lpwstr>
      </vt:variant>
      <vt:variant>
        <vt:i4>1572915</vt:i4>
      </vt:variant>
      <vt:variant>
        <vt:i4>110</vt:i4>
      </vt:variant>
      <vt:variant>
        <vt:i4>0</vt:i4>
      </vt:variant>
      <vt:variant>
        <vt:i4>5</vt:i4>
      </vt:variant>
      <vt:variant>
        <vt:lpwstr/>
      </vt:variant>
      <vt:variant>
        <vt:lpwstr>_Toc293926090</vt:lpwstr>
      </vt:variant>
      <vt:variant>
        <vt:i4>1638451</vt:i4>
      </vt:variant>
      <vt:variant>
        <vt:i4>104</vt:i4>
      </vt:variant>
      <vt:variant>
        <vt:i4>0</vt:i4>
      </vt:variant>
      <vt:variant>
        <vt:i4>5</vt:i4>
      </vt:variant>
      <vt:variant>
        <vt:lpwstr/>
      </vt:variant>
      <vt:variant>
        <vt:lpwstr>_Toc293926089</vt:lpwstr>
      </vt:variant>
      <vt:variant>
        <vt:i4>1638451</vt:i4>
      </vt:variant>
      <vt:variant>
        <vt:i4>98</vt:i4>
      </vt:variant>
      <vt:variant>
        <vt:i4>0</vt:i4>
      </vt:variant>
      <vt:variant>
        <vt:i4>5</vt:i4>
      </vt:variant>
      <vt:variant>
        <vt:lpwstr/>
      </vt:variant>
      <vt:variant>
        <vt:lpwstr>_Toc293926088</vt:lpwstr>
      </vt:variant>
      <vt:variant>
        <vt:i4>1638451</vt:i4>
      </vt:variant>
      <vt:variant>
        <vt:i4>92</vt:i4>
      </vt:variant>
      <vt:variant>
        <vt:i4>0</vt:i4>
      </vt:variant>
      <vt:variant>
        <vt:i4>5</vt:i4>
      </vt:variant>
      <vt:variant>
        <vt:lpwstr/>
      </vt:variant>
      <vt:variant>
        <vt:lpwstr>_Toc293926087</vt:lpwstr>
      </vt:variant>
      <vt:variant>
        <vt:i4>1638451</vt:i4>
      </vt:variant>
      <vt:variant>
        <vt:i4>86</vt:i4>
      </vt:variant>
      <vt:variant>
        <vt:i4>0</vt:i4>
      </vt:variant>
      <vt:variant>
        <vt:i4>5</vt:i4>
      </vt:variant>
      <vt:variant>
        <vt:lpwstr/>
      </vt:variant>
      <vt:variant>
        <vt:lpwstr>_Toc293926086</vt:lpwstr>
      </vt:variant>
      <vt:variant>
        <vt:i4>1638451</vt:i4>
      </vt:variant>
      <vt:variant>
        <vt:i4>80</vt:i4>
      </vt:variant>
      <vt:variant>
        <vt:i4>0</vt:i4>
      </vt:variant>
      <vt:variant>
        <vt:i4>5</vt:i4>
      </vt:variant>
      <vt:variant>
        <vt:lpwstr/>
      </vt:variant>
      <vt:variant>
        <vt:lpwstr>_Toc293926085</vt:lpwstr>
      </vt:variant>
      <vt:variant>
        <vt:i4>1638451</vt:i4>
      </vt:variant>
      <vt:variant>
        <vt:i4>74</vt:i4>
      </vt:variant>
      <vt:variant>
        <vt:i4>0</vt:i4>
      </vt:variant>
      <vt:variant>
        <vt:i4>5</vt:i4>
      </vt:variant>
      <vt:variant>
        <vt:lpwstr/>
      </vt:variant>
      <vt:variant>
        <vt:lpwstr>_Toc293926084</vt:lpwstr>
      </vt:variant>
      <vt:variant>
        <vt:i4>1638451</vt:i4>
      </vt:variant>
      <vt:variant>
        <vt:i4>68</vt:i4>
      </vt:variant>
      <vt:variant>
        <vt:i4>0</vt:i4>
      </vt:variant>
      <vt:variant>
        <vt:i4>5</vt:i4>
      </vt:variant>
      <vt:variant>
        <vt:lpwstr/>
      </vt:variant>
      <vt:variant>
        <vt:lpwstr>_Toc293926083</vt:lpwstr>
      </vt:variant>
      <vt:variant>
        <vt:i4>1638451</vt:i4>
      </vt:variant>
      <vt:variant>
        <vt:i4>62</vt:i4>
      </vt:variant>
      <vt:variant>
        <vt:i4>0</vt:i4>
      </vt:variant>
      <vt:variant>
        <vt:i4>5</vt:i4>
      </vt:variant>
      <vt:variant>
        <vt:lpwstr/>
      </vt:variant>
      <vt:variant>
        <vt:lpwstr>_Toc293926082</vt:lpwstr>
      </vt:variant>
      <vt:variant>
        <vt:i4>1638451</vt:i4>
      </vt:variant>
      <vt:variant>
        <vt:i4>56</vt:i4>
      </vt:variant>
      <vt:variant>
        <vt:i4>0</vt:i4>
      </vt:variant>
      <vt:variant>
        <vt:i4>5</vt:i4>
      </vt:variant>
      <vt:variant>
        <vt:lpwstr/>
      </vt:variant>
      <vt:variant>
        <vt:lpwstr>_Toc293926081</vt:lpwstr>
      </vt:variant>
      <vt:variant>
        <vt:i4>1638451</vt:i4>
      </vt:variant>
      <vt:variant>
        <vt:i4>50</vt:i4>
      </vt:variant>
      <vt:variant>
        <vt:i4>0</vt:i4>
      </vt:variant>
      <vt:variant>
        <vt:i4>5</vt:i4>
      </vt:variant>
      <vt:variant>
        <vt:lpwstr/>
      </vt:variant>
      <vt:variant>
        <vt:lpwstr>_Toc293926080</vt:lpwstr>
      </vt:variant>
      <vt:variant>
        <vt:i4>1441843</vt:i4>
      </vt:variant>
      <vt:variant>
        <vt:i4>44</vt:i4>
      </vt:variant>
      <vt:variant>
        <vt:i4>0</vt:i4>
      </vt:variant>
      <vt:variant>
        <vt:i4>5</vt:i4>
      </vt:variant>
      <vt:variant>
        <vt:lpwstr/>
      </vt:variant>
      <vt:variant>
        <vt:lpwstr>_Toc293926079</vt:lpwstr>
      </vt:variant>
      <vt:variant>
        <vt:i4>1441843</vt:i4>
      </vt:variant>
      <vt:variant>
        <vt:i4>38</vt:i4>
      </vt:variant>
      <vt:variant>
        <vt:i4>0</vt:i4>
      </vt:variant>
      <vt:variant>
        <vt:i4>5</vt:i4>
      </vt:variant>
      <vt:variant>
        <vt:lpwstr/>
      </vt:variant>
      <vt:variant>
        <vt:lpwstr>_Toc293926078</vt:lpwstr>
      </vt:variant>
      <vt:variant>
        <vt:i4>1441843</vt:i4>
      </vt:variant>
      <vt:variant>
        <vt:i4>32</vt:i4>
      </vt:variant>
      <vt:variant>
        <vt:i4>0</vt:i4>
      </vt:variant>
      <vt:variant>
        <vt:i4>5</vt:i4>
      </vt:variant>
      <vt:variant>
        <vt:lpwstr/>
      </vt:variant>
      <vt:variant>
        <vt:lpwstr>_Toc293926077</vt:lpwstr>
      </vt:variant>
      <vt:variant>
        <vt:i4>1441843</vt:i4>
      </vt:variant>
      <vt:variant>
        <vt:i4>26</vt:i4>
      </vt:variant>
      <vt:variant>
        <vt:i4>0</vt:i4>
      </vt:variant>
      <vt:variant>
        <vt:i4>5</vt:i4>
      </vt:variant>
      <vt:variant>
        <vt:lpwstr/>
      </vt:variant>
      <vt:variant>
        <vt:lpwstr>_Toc293926076</vt:lpwstr>
      </vt:variant>
      <vt:variant>
        <vt:i4>1441843</vt:i4>
      </vt:variant>
      <vt:variant>
        <vt:i4>20</vt:i4>
      </vt:variant>
      <vt:variant>
        <vt:i4>0</vt:i4>
      </vt:variant>
      <vt:variant>
        <vt:i4>5</vt:i4>
      </vt:variant>
      <vt:variant>
        <vt:lpwstr/>
      </vt:variant>
      <vt:variant>
        <vt:lpwstr>_Toc293926075</vt:lpwstr>
      </vt:variant>
      <vt:variant>
        <vt:i4>1441843</vt:i4>
      </vt:variant>
      <vt:variant>
        <vt:i4>14</vt:i4>
      </vt:variant>
      <vt:variant>
        <vt:i4>0</vt:i4>
      </vt:variant>
      <vt:variant>
        <vt:i4>5</vt:i4>
      </vt:variant>
      <vt:variant>
        <vt:lpwstr/>
      </vt:variant>
      <vt:variant>
        <vt:lpwstr>_Toc293926074</vt:lpwstr>
      </vt:variant>
      <vt:variant>
        <vt:i4>1441843</vt:i4>
      </vt:variant>
      <vt:variant>
        <vt:i4>8</vt:i4>
      </vt:variant>
      <vt:variant>
        <vt:i4>0</vt:i4>
      </vt:variant>
      <vt:variant>
        <vt:i4>5</vt:i4>
      </vt:variant>
      <vt:variant>
        <vt:lpwstr/>
      </vt:variant>
      <vt:variant>
        <vt:lpwstr>_Toc293926073</vt:lpwstr>
      </vt:variant>
      <vt:variant>
        <vt:i4>1441843</vt:i4>
      </vt:variant>
      <vt:variant>
        <vt:i4>2</vt:i4>
      </vt:variant>
      <vt:variant>
        <vt:i4>0</vt:i4>
      </vt:variant>
      <vt:variant>
        <vt:i4>5</vt:i4>
      </vt:variant>
      <vt:variant>
        <vt:lpwstr/>
      </vt:variant>
      <vt:variant>
        <vt:lpwstr>_Toc293926072</vt:lpwstr>
      </vt:variant>
      <vt:variant>
        <vt:i4>7274591</vt:i4>
      </vt:variant>
      <vt:variant>
        <vt:i4>32464</vt:i4>
      </vt:variant>
      <vt:variant>
        <vt:i4>1026</vt:i4>
      </vt:variant>
      <vt:variant>
        <vt:i4>1</vt:i4>
      </vt:variant>
      <vt:variant>
        <vt:lpwstr>cid:image003.png@01CC0FE0.75D906B0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Otrais energoefektivitātes rīcības plāns 2011 - 2013</dc:title>
  <dc:subject>Plāns</dc:subject>
  <dc:creator>Inguna Ozoliņa</dc:creator>
  <cp:keywords>EMPl_100811_OEERP</cp:keywords>
  <dc:description>I.Ozoliņa
67013175
inguna.ozolina@em.gov.lv</dc:description>
  <cp:lastModifiedBy>Inguna Ozoliņa</cp:lastModifiedBy>
  <cp:revision>6</cp:revision>
  <cp:lastPrinted>2011-08-19T12:27:00Z</cp:lastPrinted>
  <dcterms:created xsi:type="dcterms:W3CDTF">2011-08-19T11:46:00Z</dcterms:created>
  <dcterms:modified xsi:type="dcterms:W3CDTF">2011-08-19T12:51:00Z</dcterms:modified>
</cp:coreProperties>
</file>