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0" w:rsidRPr="00082D79" w:rsidRDefault="002805B0" w:rsidP="002805B0">
      <w:pPr>
        <w:pStyle w:val="Heading3"/>
        <w:rPr>
          <w:b w:val="0"/>
        </w:rPr>
      </w:pPr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/>
      </w:tblPr>
      <w:tblGrid>
        <w:gridCol w:w="3096"/>
        <w:gridCol w:w="2824"/>
        <w:gridCol w:w="3368"/>
      </w:tblGrid>
      <w:tr w:rsidR="002805B0" w:rsidTr="006D7A8B">
        <w:tc>
          <w:tcPr>
            <w:tcW w:w="3096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2805B0" w:rsidRDefault="002805B0" w:rsidP="00B003E8">
            <w:pPr>
              <w:rPr>
                <w:b/>
                <w:sz w:val="28"/>
              </w:rPr>
            </w:pPr>
            <w:r>
              <w:rPr>
                <w:sz w:val="28"/>
              </w:rPr>
              <w:t>20</w:t>
            </w:r>
            <w:r w:rsidR="00B003E8">
              <w:rPr>
                <w:sz w:val="28"/>
              </w:rPr>
              <w:t>12</w:t>
            </w:r>
            <w:r>
              <w:rPr>
                <w:sz w:val="28"/>
              </w:rPr>
              <w:t>.gada</w:t>
            </w:r>
            <w:r w:rsidR="002A63A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.  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2805B0" w:rsidRDefault="00BE78B5" w:rsidP="00646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9358D" w:rsidRPr="00E95CCE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 ziņojums</w:t>
      </w:r>
      <w:r w:rsidR="000077D1" w:rsidRPr="00E95CCE">
        <w:rPr>
          <w:b/>
          <w:sz w:val="28"/>
          <w:szCs w:val="28"/>
        </w:rPr>
        <w:t xml:space="preserve"> </w:t>
      </w:r>
      <w:r w:rsidR="00B003E8" w:rsidRPr="00E95CCE">
        <w:rPr>
          <w:b/>
          <w:sz w:val="28"/>
          <w:szCs w:val="28"/>
        </w:rPr>
        <w:t xml:space="preserve">par </w:t>
      </w:r>
      <w:r w:rsidR="00E95CCE" w:rsidRPr="00E95CCE">
        <w:rPr>
          <w:b/>
          <w:sz w:val="28"/>
          <w:szCs w:val="28"/>
        </w:rPr>
        <w:t>vadlīnijām būvniecības izmaksu indeksācijai</w:t>
      </w:r>
    </w:p>
    <w:p w:rsidR="008F3424" w:rsidRPr="00E95CCE" w:rsidRDefault="008F3424" w:rsidP="006465DE">
      <w:pPr>
        <w:jc w:val="center"/>
        <w:rPr>
          <w:b/>
          <w:sz w:val="28"/>
          <w:szCs w:val="28"/>
        </w:rPr>
      </w:pPr>
    </w:p>
    <w:p w:rsidR="000077D1" w:rsidRPr="00E95CCE" w:rsidRDefault="000077D1" w:rsidP="004E1D0A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B003E8">
        <w:rPr>
          <w:sz w:val="28"/>
          <w:szCs w:val="28"/>
        </w:rPr>
        <w:t xml:space="preserve">Pieņemt zināšanai </w:t>
      </w:r>
      <w:r w:rsidR="00DB0266" w:rsidRPr="00B003E8">
        <w:rPr>
          <w:sz w:val="28"/>
          <w:szCs w:val="28"/>
        </w:rPr>
        <w:t>ekonomikas</w:t>
      </w:r>
      <w:r w:rsidRPr="00B003E8">
        <w:rPr>
          <w:sz w:val="28"/>
          <w:szCs w:val="28"/>
        </w:rPr>
        <w:t xml:space="preserve"> ministra </w:t>
      </w:r>
      <w:r w:rsidR="00FE2123" w:rsidRPr="00B003E8">
        <w:rPr>
          <w:sz w:val="28"/>
          <w:szCs w:val="28"/>
        </w:rPr>
        <w:t xml:space="preserve">iesniegto informatīvo ziņojumu </w:t>
      </w:r>
      <w:r w:rsidR="00B003E8" w:rsidRPr="00B003E8">
        <w:rPr>
          <w:sz w:val="28"/>
          <w:szCs w:val="28"/>
        </w:rPr>
        <w:t xml:space="preserve">par </w:t>
      </w:r>
      <w:r w:rsidR="00E95CCE" w:rsidRPr="00E95CCE">
        <w:rPr>
          <w:sz w:val="28"/>
          <w:szCs w:val="28"/>
        </w:rPr>
        <w:t>vadlīnijām būvniecības izmaksu indeksācijai</w:t>
      </w:r>
      <w:r w:rsidR="00E105E6" w:rsidRPr="00E95CCE">
        <w:rPr>
          <w:sz w:val="28"/>
          <w:szCs w:val="28"/>
        </w:rPr>
        <w:t>.</w:t>
      </w:r>
    </w:p>
    <w:p w:rsidR="00530528" w:rsidRDefault="00A06919" w:rsidP="00530528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9D7644">
        <w:rPr>
          <w:sz w:val="28"/>
          <w:szCs w:val="28"/>
        </w:rPr>
        <w:t xml:space="preserve">Slēdzot </w:t>
      </w:r>
      <w:r w:rsidRPr="00447D58">
        <w:rPr>
          <w:sz w:val="28"/>
          <w:szCs w:val="28"/>
        </w:rPr>
        <w:t>publiski finansē</w:t>
      </w:r>
      <w:r>
        <w:rPr>
          <w:sz w:val="28"/>
          <w:szCs w:val="28"/>
        </w:rPr>
        <w:t>tus</w:t>
      </w:r>
      <w:r w:rsidRPr="00447D58">
        <w:rPr>
          <w:sz w:val="28"/>
          <w:szCs w:val="28"/>
        </w:rPr>
        <w:t xml:space="preserve"> </w:t>
      </w:r>
      <w:r w:rsidRPr="009D7644">
        <w:rPr>
          <w:sz w:val="28"/>
          <w:szCs w:val="28"/>
        </w:rPr>
        <w:t>būvniecības līgumus</w:t>
      </w:r>
      <w:r w:rsidR="00530528" w:rsidRPr="00447D58">
        <w:rPr>
          <w:sz w:val="28"/>
          <w:szCs w:val="28"/>
        </w:rPr>
        <w:t xml:space="preserve">, </w:t>
      </w:r>
      <w:r w:rsidR="00530528">
        <w:rPr>
          <w:sz w:val="28"/>
          <w:szCs w:val="28"/>
        </w:rPr>
        <w:t>n</w:t>
      </w:r>
      <w:r w:rsidR="00530528" w:rsidRPr="00447D58">
        <w:rPr>
          <w:sz w:val="28"/>
          <w:szCs w:val="28"/>
        </w:rPr>
        <w:t>odrošin</w:t>
      </w:r>
      <w:r w:rsidR="00530528">
        <w:rPr>
          <w:sz w:val="28"/>
          <w:szCs w:val="28"/>
        </w:rPr>
        <w:t>āt</w:t>
      </w:r>
      <w:r w:rsidR="00530528" w:rsidRPr="00447D58">
        <w:rPr>
          <w:sz w:val="28"/>
          <w:szCs w:val="28"/>
        </w:rPr>
        <w:t xml:space="preserve"> būvniecības līgumu nosacījumu atbilstīb</w:t>
      </w:r>
      <w:r w:rsidR="00530528">
        <w:rPr>
          <w:sz w:val="28"/>
          <w:szCs w:val="28"/>
        </w:rPr>
        <w:t>u</w:t>
      </w:r>
      <w:r w:rsidR="00530528" w:rsidRPr="00447D58">
        <w:rPr>
          <w:sz w:val="28"/>
          <w:szCs w:val="28"/>
        </w:rPr>
        <w:t xml:space="preserve"> informatīvajam ziņojumam</w:t>
      </w:r>
      <w:r w:rsidR="00530528" w:rsidRPr="004E1D0A">
        <w:rPr>
          <w:sz w:val="28"/>
          <w:szCs w:val="28"/>
        </w:rPr>
        <w:t>.</w:t>
      </w:r>
    </w:p>
    <w:p w:rsidR="00530528" w:rsidRPr="004E1D0A" w:rsidRDefault="00530528" w:rsidP="00530528">
      <w:pPr>
        <w:numPr>
          <w:ilvl w:val="0"/>
          <w:numId w:val="4"/>
        </w:numPr>
        <w:tabs>
          <w:tab w:val="left" w:pos="426"/>
        </w:tabs>
        <w:spacing w:after="120"/>
        <w:ind w:left="0" w:right="-143" w:firstLine="0"/>
        <w:jc w:val="both"/>
        <w:rPr>
          <w:sz w:val="28"/>
          <w:szCs w:val="28"/>
        </w:rPr>
      </w:pPr>
      <w:r w:rsidRPr="001A698B">
        <w:rPr>
          <w:sz w:val="28"/>
          <w:szCs w:val="28"/>
        </w:rPr>
        <w:t>M</w:t>
      </w:r>
      <w:r>
        <w:rPr>
          <w:sz w:val="28"/>
          <w:szCs w:val="28"/>
        </w:rPr>
        <w:t>inistrijām Ministru kabineta</w:t>
      </w:r>
      <w:r w:rsidRPr="001A698B">
        <w:rPr>
          <w:sz w:val="28"/>
          <w:szCs w:val="28"/>
        </w:rPr>
        <w:t xml:space="preserve"> </w:t>
      </w:r>
      <w:r>
        <w:rPr>
          <w:sz w:val="28"/>
          <w:szCs w:val="28"/>
        </w:rPr>
        <w:t>noteikumu, kas attiecas uz</w:t>
      </w:r>
      <w:r w:rsidRPr="001A698B">
        <w:rPr>
          <w:sz w:val="28"/>
          <w:szCs w:val="28"/>
        </w:rPr>
        <w:t xml:space="preserve"> ES fondu aktivitāšu īstenošanu</w:t>
      </w:r>
      <w:r>
        <w:rPr>
          <w:sz w:val="28"/>
          <w:szCs w:val="28"/>
        </w:rPr>
        <w:t>, izstrādē turpmāk ievērot</w:t>
      </w:r>
      <w:r w:rsidRPr="001A698B">
        <w:rPr>
          <w:sz w:val="28"/>
          <w:szCs w:val="28"/>
        </w:rPr>
        <w:t xml:space="preserve"> informatīvaj</w:t>
      </w:r>
      <w:r>
        <w:rPr>
          <w:sz w:val="28"/>
          <w:szCs w:val="28"/>
        </w:rPr>
        <w:t>ā ziņojumā iekļautos nosacījumus</w:t>
      </w:r>
      <w:r w:rsidRPr="001A698B">
        <w:rPr>
          <w:sz w:val="28"/>
          <w:szCs w:val="28"/>
        </w:rPr>
        <w:t>.</w:t>
      </w:r>
    </w:p>
    <w:p w:rsidR="009D7644" w:rsidRDefault="009D7644" w:rsidP="004E1D0A">
      <w:pPr>
        <w:numPr>
          <w:ilvl w:val="0"/>
          <w:numId w:val="4"/>
        </w:numPr>
        <w:tabs>
          <w:tab w:val="left" w:pos="426"/>
        </w:tabs>
        <w:spacing w:after="120"/>
        <w:ind w:left="0" w:right="-143" w:firstLine="0"/>
        <w:jc w:val="both"/>
        <w:rPr>
          <w:sz w:val="28"/>
          <w:szCs w:val="28"/>
        </w:rPr>
      </w:pPr>
      <w:r w:rsidRPr="009D7644">
        <w:rPr>
          <w:sz w:val="28"/>
          <w:szCs w:val="28"/>
        </w:rPr>
        <w:t>Ekonomikas ministrijai sadarbībā ar Finanšu ministriju katru gadu līdz 30.</w:t>
      </w:r>
      <w:r w:rsidR="004E1D0A">
        <w:rPr>
          <w:sz w:val="28"/>
          <w:szCs w:val="28"/>
        </w:rPr>
        <w:t>nov</w:t>
      </w:r>
      <w:r w:rsidRPr="009D7644">
        <w:rPr>
          <w:sz w:val="28"/>
          <w:szCs w:val="28"/>
        </w:rPr>
        <w:t xml:space="preserve">embrim noteikt indeksēšanas slieksni </w:t>
      </w:r>
      <w:proofErr w:type="spellStart"/>
      <w:r w:rsidRPr="009D7644">
        <w:rPr>
          <w:sz w:val="28"/>
          <w:szCs w:val="28"/>
        </w:rPr>
        <w:t>būvizmaksu</w:t>
      </w:r>
      <w:proofErr w:type="spellEnd"/>
      <w:r w:rsidRPr="009D7644">
        <w:rPr>
          <w:sz w:val="28"/>
          <w:szCs w:val="28"/>
        </w:rPr>
        <w:t xml:space="preserve"> indeksiem, k</w:t>
      </w:r>
      <w:r>
        <w:rPr>
          <w:sz w:val="28"/>
          <w:szCs w:val="28"/>
        </w:rPr>
        <w:t xml:space="preserve">urus </w:t>
      </w:r>
      <w:r w:rsidRPr="009B7018">
        <w:rPr>
          <w:sz w:val="28"/>
          <w:szCs w:val="28"/>
        </w:rPr>
        <w:t xml:space="preserve">piemēro </w:t>
      </w:r>
      <w:r w:rsidR="004E1D0A" w:rsidRPr="001D08EC">
        <w:rPr>
          <w:sz w:val="28"/>
          <w:szCs w:val="28"/>
        </w:rPr>
        <w:t>nākošā gadā izsludinātiem konkursiem</w:t>
      </w:r>
      <w:r w:rsidR="004E1D0A">
        <w:rPr>
          <w:sz w:val="28"/>
          <w:szCs w:val="28"/>
        </w:rPr>
        <w:t xml:space="preserve"> un atbilstoši </w:t>
      </w:r>
      <w:r w:rsidR="004E1D0A" w:rsidRPr="001D08EC">
        <w:rPr>
          <w:sz w:val="28"/>
          <w:szCs w:val="28"/>
        </w:rPr>
        <w:t>noslēgtiem līgumiem.</w:t>
      </w:r>
    </w:p>
    <w:p w:rsidR="004E1D0A" w:rsidRPr="009B7018" w:rsidRDefault="004E1D0A" w:rsidP="004E1D0A">
      <w:pPr>
        <w:numPr>
          <w:ilvl w:val="0"/>
          <w:numId w:val="4"/>
        </w:numPr>
        <w:tabs>
          <w:tab w:val="left" w:pos="426"/>
        </w:tabs>
        <w:spacing w:after="120"/>
        <w:ind w:left="0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Centrālajai statistikas pārvaldei nodrošināt visu </w:t>
      </w:r>
      <w:proofErr w:type="spellStart"/>
      <w:r w:rsidRPr="009D7644">
        <w:rPr>
          <w:sz w:val="28"/>
          <w:szCs w:val="28"/>
        </w:rPr>
        <w:t>būvizmaksu</w:t>
      </w:r>
      <w:proofErr w:type="spellEnd"/>
      <w:r w:rsidRPr="009D7644">
        <w:rPr>
          <w:sz w:val="28"/>
          <w:szCs w:val="28"/>
        </w:rPr>
        <w:t xml:space="preserve"> indeks</w:t>
      </w:r>
      <w:r>
        <w:rPr>
          <w:sz w:val="28"/>
          <w:szCs w:val="28"/>
        </w:rPr>
        <w:t>u publicēšanu Centrālās statistikas pārvaldes tīmekļa vietnē.</w:t>
      </w:r>
    </w:p>
    <w:p w:rsidR="00385CF9" w:rsidRPr="009D7644" w:rsidRDefault="00385CF9" w:rsidP="004E1D0A">
      <w:pPr>
        <w:numPr>
          <w:ilvl w:val="0"/>
          <w:numId w:val="4"/>
        </w:numPr>
        <w:tabs>
          <w:tab w:val="left" w:pos="426"/>
        </w:tabs>
        <w:ind w:left="0" w:right="-143" w:firstLine="0"/>
        <w:jc w:val="both"/>
        <w:rPr>
          <w:sz w:val="28"/>
          <w:szCs w:val="28"/>
        </w:rPr>
      </w:pPr>
      <w:r w:rsidRPr="008C3F0D">
        <w:rPr>
          <w:sz w:val="28"/>
          <w:szCs w:val="28"/>
        </w:rPr>
        <w:t xml:space="preserve">Ņemot vērā sniegto informāciju, Ministru kabineta 2011.gada 28.jūnija sēdes </w:t>
      </w:r>
      <w:proofErr w:type="spellStart"/>
      <w:r w:rsidRPr="008C3F0D">
        <w:rPr>
          <w:sz w:val="28"/>
          <w:szCs w:val="28"/>
        </w:rPr>
        <w:t>protokollēmuma</w:t>
      </w:r>
      <w:proofErr w:type="spellEnd"/>
      <w:r w:rsidRPr="008C3F0D">
        <w:rPr>
          <w:sz w:val="28"/>
          <w:szCs w:val="28"/>
        </w:rPr>
        <w:t xml:space="preserve"> (prot.Nr.40, 43.§) „Informatīvais ziņojums „Par izmaksu pieaugumu Eiropas Savienības fondu līdzfinansēto projektu ietvaros”” 2. un 5. punktu atzīt par aktualitāti zaudējušu.</w:t>
      </w:r>
    </w:p>
    <w:p w:rsidR="009D6FC2" w:rsidRDefault="009D6FC2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Default="00082D79" w:rsidP="002805B0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</w:rPr>
        <w:t xml:space="preserve">Ministru prezidents </w:t>
      </w:r>
      <w:r>
        <w:rPr>
          <w:sz w:val="28"/>
        </w:rPr>
        <w:tab/>
      </w:r>
      <w:r w:rsidR="000077D1">
        <w:rPr>
          <w:sz w:val="28"/>
        </w:rPr>
        <w:t>V.Dombrovskis</w:t>
      </w:r>
    </w:p>
    <w:p w:rsidR="002805B0" w:rsidRDefault="002805B0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Default="002805B0" w:rsidP="0077696C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</w:rPr>
        <w:t>Valsts kanceleja</w:t>
      </w:r>
      <w:r w:rsidR="000C64E4">
        <w:rPr>
          <w:sz w:val="28"/>
        </w:rPr>
        <w:t xml:space="preserve">s direktore </w:t>
      </w:r>
      <w:r w:rsidR="000C64E4">
        <w:rPr>
          <w:sz w:val="28"/>
        </w:rPr>
        <w:tab/>
      </w:r>
      <w:r w:rsidR="00B003E8">
        <w:rPr>
          <w:sz w:val="28"/>
        </w:rPr>
        <w:t>E.Dreimane</w:t>
      </w:r>
    </w:p>
    <w:p w:rsidR="00C25BA2" w:rsidRDefault="00C25BA2" w:rsidP="0077696C">
      <w:pPr>
        <w:tabs>
          <w:tab w:val="left" w:pos="6804"/>
        </w:tabs>
        <w:ind w:right="-143"/>
        <w:jc w:val="both"/>
        <w:rPr>
          <w:sz w:val="28"/>
        </w:rPr>
      </w:pPr>
    </w:p>
    <w:p w:rsidR="009B7018" w:rsidRDefault="009B7018" w:rsidP="009B7018">
      <w:pPr>
        <w:tabs>
          <w:tab w:val="left" w:pos="6804"/>
        </w:tabs>
        <w:ind w:right="-143"/>
        <w:jc w:val="both"/>
        <w:rPr>
          <w:sz w:val="28"/>
        </w:rPr>
      </w:pPr>
      <w:r w:rsidRPr="00004628">
        <w:rPr>
          <w:bCs/>
          <w:color w:val="000000"/>
          <w:sz w:val="28"/>
          <w:szCs w:val="28"/>
        </w:rPr>
        <w:t>Iesniedzējs:</w:t>
      </w:r>
      <w:r w:rsidR="00CA2533">
        <w:rPr>
          <w:bCs/>
          <w:color w:val="000000"/>
          <w:sz w:val="28"/>
          <w:szCs w:val="28"/>
        </w:rPr>
        <w:t xml:space="preserve"> </w:t>
      </w:r>
      <w:r w:rsidRPr="00004628">
        <w:rPr>
          <w:bCs/>
          <w:color w:val="000000"/>
          <w:sz w:val="28"/>
          <w:szCs w:val="28"/>
        </w:rPr>
        <w:t>Ekonomikas ministrs</w:t>
      </w:r>
      <w:r>
        <w:rPr>
          <w:sz w:val="28"/>
        </w:rPr>
        <w:tab/>
      </w:r>
      <w:r>
        <w:rPr>
          <w:bCs/>
          <w:color w:val="000000"/>
          <w:sz w:val="28"/>
          <w:szCs w:val="28"/>
        </w:rPr>
        <w:t>D.Pavļuts</w:t>
      </w:r>
    </w:p>
    <w:p w:rsidR="009B7018" w:rsidRPr="00004628" w:rsidRDefault="009B7018" w:rsidP="009B7018">
      <w:pPr>
        <w:jc w:val="both"/>
        <w:rPr>
          <w:sz w:val="28"/>
          <w:szCs w:val="28"/>
        </w:rPr>
      </w:pPr>
    </w:p>
    <w:p w:rsidR="009B7018" w:rsidRDefault="009B7018" w:rsidP="009B7018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  <w:szCs w:val="28"/>
        </w:rPr>
        <w:t>Vīza: Valsts sekretārs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  <w:szCs w:val="28"/>
        </w:rPr>
        <w:t>J.Pūce</w:t>
      </w:r>
    </w:p>
    <w:p w:rsidR="00CA2533" w:rsidRPr="00CA2533" w:rsidRDefault="00245F4A" w:rsidP="00CA2533">
      <w:pPr>
        <w:pStyle w:val="Subtitle"/>
        <w:widowControl/>
        <w:rPr>
          <w:b w:val="0"/>
          <w:bCs/>
          <w:sz w:val="20"/>
        </w:rPr>
      </w:pPr>
      <w:r>
        <w:rPr>
          <w:b w:val="0"/>
          <w:bCs/>
          <w:sz w:val="20"/>
          <w:lang w:val="lv-LV"/>
        </w:rPr>
        <w:t>02.02.2012</w:t>
      </w:r>
      <w:r w:rsidR="00CA2533" w:rsidRPr="00640A20">
        <w:rPr>
          <w:b w:val="0"/>
          <w:bCs/>
          <w:sz w:val="20"/>
          <w:lang w:val="lv-LV"/>
        </w:rPr>
        <w:br/>
      </w:r>
      <w:fldSimple w:instr=" NUMWORDS   \* MERGEFORMAT ">
        <w:r w:rsidR="000034E3" w:rsidRPr="000034E3">
          <w:rPr>
            <w:b w:val="0"/>
            <w:bCs/>
            <w:noProof/>
            <w:sz w:val="20"/>
            <w:lang w:val="lv-LV"/>
          </w:rPr>
          <w:t>154</w:t>
        </w:r>
      </w:fldSimple>
      <w:r w:rsidR="00CA2533" w:rsidRPr="00640A20">
        <w:rPr>
          <w:b w:val="0"/>
          <w:bCs/>
          <w:sz w:val="20"/>
          <w:lang w:val="lv-LV"/>
        </w:rPr>
        <w:br/>
        <w:t>Ušpelis</w:t>
      </w:r>
      <w:r w:rsidR="00CA2533" w:rsidRPr="00640A20">
        <w:rPr>
          <w:b w:val="0"/>
          <w:bCs/>
          <w:sz w:val="20"/>
          <w:lang w:val="lv-LV"/>
        </w:rPr>
        <w:br/>
        <w:t xml:space="preserve">67013164, </w:t>
      </w:r>
      <w:hyperlink r:id="rId7" w:history="1">
        <w:r w:rsidR="00CA2533" w:rsidRPr="00640A20">
          <w:rPr>
            <w:rStyle w:val="Hyperlink"/>
            <w:b w:val="0"/>
            <w:bCs/>
            <w:sz w:val="20"/>
            <w:lang w:val="lv-LV"/>
          </w:rPr>
          <w:t>Janis.Uspelis@em.gov.lv</w:t>
        </w:r>
      </w:hyperlink>
    </w:p>
    <w:sectPr w:rsidR="00CA2533" w:rsidRPr="00CA2533" w:rsidSect="00F82CF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22" w:rsidRDefault="005F7622" w:rsidP="002805B0">
      <w:r>
        <w:separator/>
      </w:r>
    </w:p>
  </w:endnote>
  <w:endnote w:type="continuationSeparator" w:id="0">
    <w:p w:rsidR="005F7622" w:rsidRDefault="005F7622" w:rsidP="0028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Pr="00135862" w:rsidRDefault="005B36D2" w:rsidP="00DB7524">
    <w:pPr>
      <w:spacing w:after="120"/>
      <w:jc w:val="both"/>
      <w:rPr>
        <w:sz w:val="20"/>
        <w:szCs w:val="20"/>
      </w:rPr>
    </w:pPr>
    <w:r w:rsidRPr="002A63A5">
      <w:rPr>
        <w:sz w:val="20"/>
        <w:szCs w:val="20"/>
      </w:rPr>
      <w:t>FMProt_</w:t>
    </w:r>
    <w:r>
      <w:rPr>
        <w:sz w:val="20"/>
        <w:szCs w:val="20"/>
      </w:rPr>
      <w:t>260209</w:t>
    </w:r>
    <w:r w:rsidRPr="002A63A5">
      <w:rPr>
        <w:sz w:val="20"/>
        <w:szCs w:val="20"/>
      </w:rPr>
      <w:t>_</w:t>
    </w:r>
    <w:r>
      <w:rPr>
        <w:sz w:val="20"/>
        <w:szCs w:val="20"/>
      </w:rPr>
      <w:t>konv</w:t>
    </w:r>
    <w:r w:rsidRPr="002A63A5">
      <w:rPr>
        <w:sz w:val="20"/>
        <w:szCs w:val="20"/>
      </w:rPr>
      <w:t xml:space="preserve">; Ministru Kabineta sēdes </w:t>
    </w:r>
    <w:proofErr w:type="spellStart"/>
    <w:r w:rsidRPr="00135862">
      <w:rPr>
        <w:sz w:val="20"/>
        <w:szCs w:val="20"/>
      </w:rPr>
      <w:t>protokollēmuma</w:t>
    </w:r>
    <w:proofErr w:type="spellEnd"/>
    <w:r w:rsidRPr="00135862">
      <w:rPr>
        <w:sz w:val="20"/>
        <w:szCs w:val="20"/>
      </w:rPr>
      <w:t xml:space="preserve"> „</w:t>
    </w:r>
    <w:r w:rsidRPr="00135862">
      <w:rPr>
        <w:rStyle w:val="Strong"/>
        <w:b w:val="0"/>
        <w:sz w:val="20"/>
        <w:szCs w:val="20"/>
      </w:rPr>
      <w:t>Par konvenciju par</w:t>
    </w:r>
    <w:r w:rsidRPr="00EC5944">
      <w:rPr>
        <w:rStyle w:val="Strong"/>
        <w:szCs w:val="28"/>
      </w:rPr>
      <w:t xml:space="preserve"> </w:t>
    </w:r>
    <w:r w:rsidRPr="00135862">
      <w:rPr>
        <w:rStyle w:val="Strong"/>
        <w:b w:val="0"/>
        <w:sz w:val="20"/>
        <w:szCs w:val="20"/>
      </w:rPr>
      <w:t>centralizētu muitošanu attiecībā uz tādu valsts iekasēšanas izmaksu piešķiršanu, ko patur, nododot tradicionālos pašu resursus ES budžetā</w:t>
    </w:r>
    <w:r w:rsidRPr="00135862">
      <w:rPr>
        <w:sz w:val="20"/>
        <w:szCs w:val="20"/>
      </w:rPr>
      <w:t>” 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Pr="00BE78B5" w:rsidRDefault="00874FCC" w:rsidP="00BE78B5">
    <w:pPr>
      <w:rPr>
        <w:sz w:val="20"/>
        <w:szCs w:val="20"/>
      </w:rPr>
    </w:pPr>
    <w:r w:rsidRPr="00BE78B5">
      <w:rPr>
        <w:sz w:val="20"/>
        <w:szCs w:val="20"/>
      </w:rPr>
      <w:fldChar w:fldCharType="begin"/>
    </w:r>
    <w:r w:rsidR="009D7644" w:rsidRPr="00BE78B5">
      <w:rPr>
        <w:sz w:val="20"/>
        <w:szCs w:val="20"/>
      </w:rPr>
      <w:instrText xml:space="preserve"> FILENAME  </w:instrText>
    </w:r>
    <w:r w:rsidRPr="00BE78B5">
      <w:rPr>
        <w:sz w:val="20"/>
        <w:szCs w:val="20"/>
      </w:rPr>
      <w:fldChar w:fldCharType="separate"/>
    </w:r>
    <w:r w:rsidR="0086424E">
      <w:rPr>
        <w:noProof/>
        <w:sz w:val="20"/>
        <w:szCs w:val="20"/>
      </w:rPr>
      <w:t>EMProt_020212_BII</w:t>
    </w:r>
    <w:r w:rsidRPr="00BE78B5">
      <w:rPr>
        <w:sz w:val="20"/>
        <w:szCs w:val="20"/>
      </w:rPr>
      <w:fldChar w:fldCharType="end"/>
    </w:r>
    <w:r w:rsidR="005B36D2" w:rsidRPr="00BE78B5">
      <w:rPr>
        <w:sz w:val="20"/>
        <w:szCs w:val="20"/>
      </w:rPr>
      <w:t xml:space="preserve">; </w:t>
    </w:r>
    <w:r w:rsidR="00BE78B5" w:rsidRPr="00BE78B5">
      <w:rPr>
        <w:sz w:val="20"/>
        <w:szCs w:val="20"/>
      </w:rPr>
      <w:t>Informatīvais ziņojums par vadlīnijām būvniecības izmaksu indeksācijai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22" w:rsidRDefault="005F7622" w:rsidP="002805B0">
      <w:r>
        <w:separator/>
      </w:r>
    </w:p>
  </w:footnote>
  <w:footnote w:type="continuationSeparator" w:id="0">
    <w:p w:rsidR="005F7622" w:rsidRDefault="005F7622" w:rsidP="0028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Default="0087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Default="0087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919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E30"/>
    <w:multiLevelType w:val="multilevel"/>
    <w:tmpl w:val="E19C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657EAD"/>
    <w:multiLevelType w:val="hybridMultilevel"/>
    <w:tmpl w:val="93827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6F0"/>
    <w:multiLevelType w:val="hybridMultilevel"/>
    <w:tmpl w:val="3E80396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5B0"/>
    <w:rsid w:val="00001396"/>
    <w:rsid w:val="000034E3"/>
    <w:rsid w:val="00005C2B"/>
    <w:rsid w:val="000077D1"/>
    <w:rsid w:val="00035BC1"/>
    <w:rsid w:val="00082D79"/>
    <w:rsid w:val="000878FC"/>
    <w:rsid w:val="000A03B9"/>
    <w:rsid w:val="000C30D4"/>
    <w:rsid w:val="000C64E4"/>
    <w:rsid w:val="000D7A4F"/>
    <w:rsid w:val="000E6939"/>
    <w:rsid w:val="0012018E"/>
    <w:rsid w:val="00126922"/>
    <w:rsid w:val="00135862"/>
    <w:rsid w:val="00152D73"/>
    <w:rsid w:val="001B16CB"/>
    <w:rsid w:val="001F3895"/>
    <w:rsid w:val="00207C1F"/>
    <w:rsid w:val="002120B8"/>
    <w:rsid w:val="002374D7"/>
    <w:rsid w:val="00243D96"/>
    <w:rsid w:val="00245F4A"/>
    <w:rsid w:val="00247AD6"/>
    <w:rsid w:val="002547FA"/>
    <w:rsid w:val="0026355F"/>
    <w:rsid w:val="002805B0"/>
    <w:rsid w:val="00285804"/>
    <w:rsid w:val="00296FA2"/>
    <w:rsid w:val="002A63A5"/>
    <w:rsid w:val="002C5112"/>
    <w:rsid w:val="002E7675"/>
    <w:rsid w:val="002F7A2E"/>
    <w:rsid w:val="003068F2"/>
    <w:rsid w:val="00314F8A"/>
    <w:rsid w:val="00323128"/>
    <w:rsid w:val="003258F9"/>
    <w:rsid w:val="00350354"/>
    <w:rsid w:val="0037171E"/>
    <w:rsid w:val="00383442"/>
    <w:rsid w:val="00385CF9"/>
    <w:rsid w:val="003A064E"/>
    <w:rsid w:val="003B7633"/>
    <w:rsid w:val="003F47B2"/>
    <w:rsid w:val="00400A3C"/>
    <w:rsid w:val="00414304"/>
    <w:rsid w:val="00431710"/>
    <w:rsid w:val="0043218F"/>
    <w:rsid w:val="00455623"/>
    <w:rsid w:val="00476D40"/>
    <w:rsid w:val="00490ABB"/>
    <w:rsid w:val="004A44E8"/>
    <w:rsid w:val="004B180A"/>
    <w:rsid w:val="004C3D2A"/>
    <w:rsid w:val="004E1D0A"/>
    <w:rsid w:val="004E6C3B"/>
    <w:rsid w:val="00502A84"/>
    <w:rsid w:val="005113B8"/>
    <w:rsid w:val="00530528"/>
    <w:rsid w:val="0053770E"/>
    <w:rsid w:val="00550505"/>
    <w:rsid w:val="00566E04"/>
    <w:rsid w:val="00570BE7"/>
    <w:rsid w:val="00592A52"/>
    <w:rsid w:val="0059455B"/>
    <w:rsid w:val="005A17CE"/>
    <w:rsid w:val="005B36D2"/>
    <w:rsid w:val="005C4676"/>
    <w:rsid w:val="005D4029"/>
    <w:rsid w:val="005D7CA8"/>
    <w:rsid w:val="005E61E8"/>
    <w:rsid w:val="005F1340"/>
    <w:rsid w:val="005F7622"/>
    <w:rsid w:val="00604B50"/>
    <w:rsid w:val="00607F25"/>
    <w:rsid w:val="00611091"/>
    <w:rsid w:val="006465DE"/>
    <w:rsid w:val="006802A7"/>
    <w:rsid w:val="006A6FF1"/>
    <w:rsid w:val="006C3C14"/>
    <w:rsid w:val="006C3D60"/>
    <w:rsid w:val="006D7A8B"/>
    <w:rsid w:val="00705C3E"/>
    <w:rsid w:val="0072573F"/>
    <w:rsid w:val="00747173"/>
    <w:rsid w:val="00754ADE"/>
    <w:rsid w:val="007606AB"/>
    <w:rsid w:val="00774A0A"/>
    <w:rsid w:val="0077696C"/>
    <w:rsid w:val="007825E6"/>
    <w:rsid w:val="007B1F5A"/>
    <w:rsid w:val="007C55B1"/>
    <w:rsid w:val="0080503A"/>
    <w:rsid w:val="0086424E"/>
    <w:rsid w:val="00874FCC"/>
    <w:rsid w:val="0088239C"/>
    <w:rsid w:val="00883D68"/>
    <w:rsid w:val="0089090F"/>
    <w:rsid w:val="008A2AA4"/>
    <w:rsid w:val="008A3CBB"/>
    <w:rsid w:val="008B6B52"/>
    <w:rsid w:val="008E782E"/>
    <w:rsid w:val="008F3424"/>
    <w:rsid w:val="008F419D"/>
    <w:rsid w:val="009054F1"/>
    <w:rsid w:val="00912CF8"/>
    <w:rsid w:val="00916D64"/>
    <w:rsid w:val="009733BF"/>
    <w:rsid w:val="00976513"/>
    <w:rsid w:val="0098539D"/>
    <w:rsid w:val="009B7018"/>
    <w:rsid w:val="009D6FC2"/>
    <w:rsid w:val="009D7644"/>
    <w:rsid w:val="00A06919"/>
    <w:rsid w:val="00A448EA"/>
    <w:rsid w:val="00A474B7"/>
    <w:rsid w:val="00A927EC"/>
    <w:rsid w:val="00A934AC"/>
    <w:rsid w:val="00A939AC"/>
    <w:rsid w:val="00AD215C"/>
    <w:rsid w:val="00AF7965"/>
    <w:rsid w:val="00B003E8"/>
    <w:rsid w:val="00B00424"/>
    <w:rsid w:val="00B075FE"/>
    <w:rsid w:val="00B16731"/>
    <w:rsid w:val="00B21AC8"/>
    <w:rsid w:val="00B62E5D"/>
    <w:rsid w:val="00B818DA"/>
    <w:rsid w:val="00B91319"/>
    <w:rsid w:val="00B9358D"/>
    <w:rsid w:val="00BA4DB3"/>
    <w:rsid w:val="00BE09F0"/>
    <w:rsid w:val="00BE78B5"/>
    <w:rsid w:val="00C07F82"/>
    <w:rsid w:val="00C117A8"/>
    <w:rsid w:val="00C16EBE"/>
    <w:rsid w:val="00C230FB"/>
    <w:rsid w:val="00C25BA2"/>
    <w:rsid w:val="00C40A01"/>
    <w:rsid w:val="00C47F1C"/>
    <w:rsid w:val="00C55C0C"/>
    <w:rsid w:val="00C60115"/>
    <w:rsid w:val="00C82687"/>
    <w:rsid w:val="00C91E2C"/>
    <w:rsid w:val="00CA1F1B"/>
    <w:rsid w:val="00CA2533"/>
    <w:rsid w:val="00CF2677"/>
    <w:rsid w:val="00D021B5"/>
    <w:rsid w:val="00D27174"/>
    <w:rsid w:val="00D43562"/>
    <w:rsid w:val="00D55FCA"/>
    <w:rsid w:val="00D72B30"/>
    <w:rsid w:val="00D83361"/>
    <w:rsid w:val="00D83480"/>
    <w:rsid w:val="00D83EAE"/>
    <w:rsid w:val="00D84D01"/>
    <w:rsid w:val="00D875AD"/>
    <w:rsid w:val="00D93B37"/>
    <w:rsid w:val="00DA1007"/>
    <w:rsid w:val="00DB0266"/>
    <w:rsid w:val="00DB47C7"/>
    <w:rsid w:val="00DB7524"/>
    <w:rsid w:val="00DC14A5"/>
    <w:rsid w:val="00DD2BA3"/>
    <w:rsid w:val="00E105E6"/>
    <w:rsid w:val="00E31B1B"/>
    <w:rsid w:val="00E37BB8"/>
    <w:rsid w:val="00E51240"/>
    <w:rsid w:val="00E609F3"/>
    <w:rsid w:val="00E63242"/>
    <w:rsid w:val="00E85CB6"/>
    <w:rsid w:val="00E95CCE"/>
    <w:rsid w:val="00EB678C"/>
    <w:rsid w:val="00EF7EDD"/>
    <w:rsid w:val="00F22A2E"/>
    <w:rsid w:val="00F431DE"/>
    <w:rsid w:val="00F5298E"/>
    <w:rsid w:val="00F62DCD"/>
    <w:rsid w:val="00F81BC7"/>
    <w:rsid w:val="00F82CF0"/>
    <w:rsid w:val="00FA6D98"/>
    <w:rsid w:val="00FC5AED"/>
    <w:rsid w:val="00FD023C"/>
    <w:rsid w:val="00FD02C6"/>
    <w:rsid w:val="00FD3883"/>
    <w:rsid w:val="00FD4FA9"/>
    <w:rsid w:val="00FD6756"/>
    <w:rsid w:val="00FE2123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basedOn w:val="DefaultParagraphFont"/>
    <w:unhideWhenUsed/>
    <w:rsid w:val="0028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733BF"/>
    <w:rPr>
      <w:b/>
      <w:bCs/>
    </w:rPr>
  </w:style>
  <w:style w:type="paragraph" w:styleId="BodyTextIndent">
    <w:name w:val="Body Text Indent"/>
    <w:basedOn w:val="Normal"/>
    <w:link w:val="BodyTextIndentChar"/>
    <w:rsid w:val="00007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77D1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A2533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A2533"/>
    <w:rPr>
      <w:rFonts w:ascii="Times New Roman" w:eastAsia="Times New Roman" w:hAnsi="Times New Roman"/>
      <w:b/>
      <w:sz w:val="2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is.Uspelis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</Words>
  <Characters>1297</Characters>
  <Application>Microsoft Office Word</Application>
  <DocSecurity>0</DocSecurity>
  <Lines>43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vadlīnijām būvniecības izmaksu indeksācijai</vt:lpstr>
      <vt:lpstr>Par konvenciju par centralizētu muitošanu attiecībā uz tādu valsts iekasēšanas izmaksu piešķiršanu, ko patur, nododot tradicionālos pašu resursus Eiropas Savienības budžetā</vt:lpstr>
    </vt:vector>
  </TitlesOfParts>
  <Manager/>
  <Company>Ekonomikas ministrija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vadlīnijām būvniecības izmaksu indeksācijai</dc:title>
  <dc:subject>Ministru kabineta sēdes protokola projekts</dc:subject>
  <dc:creator>Jānis Ušpelis</dc:creator>
  <cp:keywords/>
  <dc:description>67013164_x000d_
Janis.Uspelis@em.gov.lv    </dc:description>
  <cp:lastModifiedBy>Jānis Ušpelis</cp:lastModifiedBy>
  <cp:revision>18</cp:revision>
  <cp:lastPrinted>2012-02-03T07:08:00Z</cp:lastPrinted>
  <dcterms:created xsi:type="dcterms:W3CDTF">2012-02-01T09:12:00Z</dcterms:created>
  <dcterms:modified xsi:type="dcterms:W3CDTF">2012-02-03T08:56:00Z</dcterms:modified>
</cp:coreProperties>
</file>