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13" w:rsidRDefault="00BC0713">
      <w:pPr>
        <w:jc w:val="right"/>
        <w:rPr>
          <w:szCs w:val="28"/>
          <w:lang w:val="lv-LV"/>
        </w:rPr>
      </w:pPr>
      <w:r w:rsidRPr="00DA294C">
        <w:rPr>
          <w:szCs w:val="28"/>
          <w:lang w:val="lv-LV"/>
        </w:rPr>
        <w:t>Projekts</w:t>
      </w:r>
    </w:p>
    <w:p w:rsidR="00DA294C" w:rsidRDefault="00DA294C">
      <w:pPr>
        <w:jc w:val="right"/>
        <w:rPr>
          <w:szCs w:val="28"/>
          <w:lang w:val="lv-LV"/>
        </w:rPr>
      </w:pPr>
    </w:p>
    <w:p w:rsidR="00EA70E4" w:rsidRPr="00DA294C" w:rsidRDefault="00EA70E4">
      <w:pPr>
        <w:jc w:val="right"/>
        <w:rPr>
          <w:szCs w:val="28"/>
          <w:lang w:val="lv-LV"/>
        </w:rPr>
      </w:pPr>
    </w:p>
    <w:p w:rsidR="006A6B80" w:rsidRPr="003F0CB1" w:rsidRDefault="006A6B80" w:rsidP="006A6B80">
      <w:pPr>
        <w:pStyle w:val="Heading2"/>
        <w:jc w:val="center"/>
        <w:rPr>
          <w:rFonts w:ascii="Times New Roman" w:hAnsi="Times New Roman" w:cs="Times New Roman"/>
          <w:b w:val="0"/>
          <w:i w:val="0"/>
          <w:lang w:val="lv-LV"/>
        </w:rPr>
      </w:pPr>
      <w:r w:rsidRPr="003F0CB1">
        <w:rPr>
          <w:rFonts w:ascii="Times New Roman" w:hAnsi="Times New Roman" w:cs="Times New Roman"/>
          <w:b w:val="0"/>
          <w:i w:val="0"/>
          <w:lang w:val="lv-LV"/>
        </w:rPr>
        <w:t>LATVIJAS REPUBLIKAS MINISTRU KABINETA</w:t>
      </w:r>
    </w:p>
    <w:p w:rsidR="006A6B80" w:rsidRPr="003F0CB1" w:rsidRDefault="006A6B80" w:rsidP="006A6B80">
      <w:pPr>
        <w:pBdr>
          <w:bottom w:val="single" w:sz="12" w:space="1" w:color="auto"/>
        </w:pBdr>
        <w:ind w:firstLine="720"/>
        <w:jc w:val="center"/>
        <w:rPr>
          <w:lang w:val="lv-LV"/>
        </w:rPr>
      </w:pPr>
      <w:r w:rsidRPr="003F0CB1">
        <w:rPr>
          <w:lang w:val="lv-LV"/>
        </w:rPr>
        <w:t>SĒDES PROTOKOLLĒMUMS</w:t>
      </w:r>
    </w:p>
    <w:p w:rsidR="006A6B80" w:rsidRPr="003F0CB1" w:rsidRDefault="006A6B80" w:rsidP="006A6B80">
      <w:pPr>
        <w:pStyle w:val="Header"/>
        <w:tabs>
          <w:tab w:val="clear" w:pos="8306"/>
          <w:tab w:val="right" w:pos="9000"/>
        </w:tabs>
        <w:rPr>
          <w:lang w:val="lv-LV"/>
        </w:rPr>
      </w:pPr>
    </w:p>
    <w:p w:rsidR="006A6B80" w:rsidRPr="003F0CB1" w:rsidRDefault="00897691" w:rsidP="006A6B80">
      <w:pPr>
        <w:pStyle w:val="Header"/>
        <w:tabs>
          <w:tab w:val="clear" w:pos="8306"/>
          <w:tab w:val="right" w:pos="9000"/>
        </w:tabs>
        <w:rPr>
          <w:lang w:val="lv-LV"/>
        </w:rPr>
      </w:pPr>
      <w:r>
        <w:rPr>
          <w:lang w:val="lv-LV"/>
        </w:rPr>
        <w:t>Rīgā</w:t>
      </w:r>
      <w:r>
        <w:rPr>
          <w:lang w:val="lv-LV"/>
        </w:rPr>
        <w:tab/>
        <w:t xml:space="preserve">     Nr. </w:t>
      </w:r>
      <w:r>
        <w:rPr>
          <w:lang w:val="lv-LV"/>
        </w:rPr>
        <w:tab/>
        <w:t>2011</w:t>
      </w:r>
      <w:r w:rsidR="006A6B80" w:rsidRPr="003F0CB1">
        <w:rPr>
          <w:lang w:val="lv-LV"/>
        </w:rPr>
        <w:t>.gada __ .___________</w:t>
      </w:r>
    </w:p>
    <w:p w:rsidR="006A6B80" w:rsidRDefault="006A6B80" w:rsidP="006A6B80">
      <w:pPr>
        <w:pStyle w:val="Header"/>
        <w:rPr>
          <w:sz w:val="24"/>
          <w:lang w:val="lv-LV"/>
        </w:rPr>
      </w:pPr>
    </w:p>
    <w:p w:rsidR="00DA294C" w:rsidRDefault="00DA294C" w:rsidP="006A6B80">
      <w:pPr>
        <w:pStyle w:val="Header"/>
        <w:rPr>
          <w:sz w:val="24"/>
          <w:lang w:val="lv-LV"/>
        </w:rPr>
      </w:pPr>
    </w:p>
    <w:p w:rsidR="00DA294C" w:rsidRPr="003F0CB1" w:rsidRDefault="00DA294C" w:rsidP="006A6B80">
      <w:pPr>
        <w:pStyle w:val="Header"/>
        <w:rPr>
          <w:sz w:val="24"/>
          <w:lang w:val="lv-LV"/>
        </w:rPr>
      </w:pPr>
    </w:p>
    <w:p w:rsidR="006A6B80" w:rsidRPr="003F0CB1" w:rsidRDefault="006A6B80" w:rsidP="006A6B80">
      <w:pPr>
        <w:rPr>
          <w:lang w:val="lv-LV"/>
        </w:rPr>
      </w:pPr>
      <w:r w:rsidRPr="003F0CB1">
        <w:rPr>
          <w:lang w:val="lv-LV"/>
        </w:rPr>
        <w:tab/>
      </w:r>
      <w:r w:rsidRPr="003F0CB1">
        <w:rPr>
          <w:lang w:val="lv-LV"/>
        </w:rPr>
        <w:tab/>
      </w:r>
      <w:r w:rsidRPr="003F0CB1">
        <w:rPr>
          <w:lang w:val="lv-LV"/>
        </w:rPr>
        <w:tab/>
      </w:r>
      <w:r w:rsidRPr="003F0CB1">
        <w:rPr>
          <w:lang w:val="lv-LV"/>
        </w:rPr>
        <w:tab/>
      </w:r>
      <w:r w:rsidRPr="003F0CB1">
        <w:rPr>
          <w:lang w:val="lv-LV"/>
        </w:rPr>
        <w:tab/>
        <w:t xml:space="preserve">       __.§</w:t>
      </w:r>
    </w:p>
    <w:p w:rsidR="006A6B80" w:rsidRPr="003F0CB1" w:rsidRDefault="006A6B80" w:rsidP="006A6B80">
      <w:pPr>
        <w:rPr>
          <w:lang w:val="lv-LV"/>
        </w:rPr>
      </w:pPr>
    </w:p>
    <w:p w:rsidR="006E4492" w:rsidRPr="000E18C0" w:rsidRDefault="006A6B80" w:rsidP="00E31018">
      <w:pPr>
        <w:jc w:val="center"/>
        <w:rPr>
          <w:b/>
          <w:szCs w:val="28"/>
          <w:lang w:val="lv-LV"/>
        </w:rPr>
      </w:pPr>
      <w:bookmarkStart w:id="0" w:name="OLE_LINK1"/>
      <w:bookmarkStart w:id="1" w:name="OLE_LINK2"/>
      <w:r w:rsidRPr="000E18C0">
        <w:rPr>
          <w:b/>
          <w:szCs w:val="28"/>
          <w:lang w:val="lv-LV"/>
        </w:rPr>
        <w:t xml:space="preserve">Par </w:t>
      </w:r>
      <w:r w:rsidR="00E044E6" w:rsidRPr="000E18C0">
        <w:rPr>
          <w:b/>
          <w:szCs w:val="28"/>
          <w:lang w:val="lv-LV"/>
        </w:rPr>
        <w:t xml:space="preserve">Ministru kabineta 2010.gada 20.jūlija sēdes </w:t>
      </w:r>
      <w:proofErr w:type="spellStart"/>
      <w:r w:rsidR="00E044E6" w:rsidRPr="000E18C0">
        <w:rPr>
          <w:b/>
          <w:szCs w:val="28"/>
          <w:lang w:val="lv-LV"/>
        </w:rPr>
        <w:t>protokollēmuma</w:t>
      </w:r>
      <w:proofErr w:type="spellEnd"/>
      <w:r w:rsidR="00E044E6" w:rsidRPr="000E18C0">
        <w:rPr>
          <w:b/>
          <w:szCs w:val="28"/>
          <w:lang w:val="lv-LV"/>
        </w:rPr>
        <w:t xml:space="preserve"> </w:t>
      </w:r>
    </w:p>
    <w:p w:rsidR="00E044E6" w:rsidRPr="000E18C0" w:rsidRDefault="00E044E6" w:rsidP="000E18C0">
      <w:pPr>
        <w:jc w:val="center"/>
        <w:rPr>
          <w:b/>
          <w:szCs w:val="28"/>
          <w:lang w:val="lv-LV"/>
        </w:rPr>
      </w:pPr>
      <w:r w:rsidRPr="000E18C0">
        <w:rPr>
          <w:b/>
          <w:szCs w:val="28"/>
          <w:lang w:val="lv-LV"/>
        </w:rPr>
        <w:t>(prot. Nr.37</w:t>
      </w:r>
      <w:r w:rsidR="00E31018" w:rsidRPr="000E18C0">
        <w:rPr>
          <w:b/>
          <w:szCs w:val="28"/>
          <w:lang w:val="lv-LV"/>
        </w:rPr>
        <w:t>,</w:t>
      </w:r>
      <w:r w:rsidRPr="000E18C0">
        <w:rPr>
          <w:b/>
          <w:szCs w:val="28"/>
          <w:lang w:val="lv-LV"/>
        </w:rPr>
        <w:t xml:space="preserve"> 68.§) </w:t>
      </w:r>
      <w:r w:rsidR="000E18C0">
        <w:rPr>
          <w:b/>
          <w:szCs w:val="28"/>
          <w:lang w:val="lv-LV"/>
        </w:rPr>
        <w:t>„</w:t>
      </w:r>
      <w:r w:rsidR="000E18C0" w:rsidRPr="000E18C0">
        <w:rPr>
          <w:b/>
          <w:szCs w:val="28"/>
          <w:lang w:val="lv-LV"/>
        </w:rPr>
        <w:t>Par Administratīvās rajona tiesas 2010.gada 2.jūlija spriedumu</w:t>
      </w:r>
      <w:r w:rsidR="00A11448" w:rsidRPr="00A11448">
        <w:rPr>
          <w:b/>
          <w:szCs w:val="28"/>
          <w:lang w:val="lv-LV"/>
        </w:rPr>
        <w:t>”</w:t>
      </w:r>
      <w:r w:rsidR="000E18C0" w:rsidRPr="000E18C0">
        <w:rPr>
          <w:b/>
          <w:szCs w:val="28"/>
          <w:lang w:val="lv-LV"/>
        </w:rPr>
        <w:t xml:space="preserve"> </w:t>
      </w:r>
      <w:r w:rsidR="00725E62">
        <w:rPr>
          <w:b/>
          <w:szCs w:val="28"/>
          <w:lang w:val="lv-LV"/>
        </w:rPr>
        <w:t xml:space="preserve">2.2.apakšpunta </w:t>
      </w:r>
      <w:r w:rsidR="000E18C0" w:rsidRPr="000E18C0">
        <w:rPr>
          <w:b/>
          <w:szCs w:val="28"/>
          <w:lang w:val="lv-LV"/>
        </w:rPr>
        <w:t xml:space="preserve">izpildi </w:t>
      </w:r>
    </w:p>
    <w:bookmarkEnd w:id="0"/>
    <w:bookmarkEnd w:id="1"/>
    <w:p w:rsidR="006A6B80" w:rsidRPr="003F0CB1" w:rsidRDefault="006A6B80" w:rsidP="006A6B80">
      <w:pPr>
        <w:jc w:val="center"/>
        <w:rPr>
          <w:b/>
          <w:lang w:val="lv-LV"/>
        </w:rPr>
      </w:pPr>
      <w:r w:rsidRPr="003F0CB1">
        <w:rPr>
          <w:b/>
          <w:lang w:val="lv-LV"/>
        </w:rPr>
        <w:t>___________________________________________________________</w:t>
      </w:r>
    </w:p>
    <w:p w:rsidR="006A6B80" w:rsidRPr="003F0CB1" w:rsidRDefault="006A6B80" w:rsidP="006A6B80">
      <w:pPr>
        <w:jc w:val="center"/>
        <w:rPr>
          <w:szCs w:val="28"/>
          <w:lang w:val="lv-LV"/>
        </w:rPr>
      </w:pPr>
      <w:r w:rsidRPr="003F0CB1">
        <w:rPr>
          <w:szCs w:val="28"/>
          <w:lang w:val="lv-LV"/>
        </w:rPr>
        <w:t>(…)</w:t>
      </w:r>
    </w:p>
    <w:p w:rsidR="004A1301" w:rsidRPr="003F0CB1" w:rsidRDefault="004A1301" w:rsidP="004A1301">
      <w:pPr>
        <w:jc w:val="center"/>
        <w:rPr>
          <w:b/>
          <w:lang w:val="lv-LV"/>
        </w:rPr>
      </w:pPr>
    </w:p>
    <w:p w:rsidR="00E21875" w:rsidRPr="00EB3FEE" w:rsidRDefault="00E21875" w:rsidP="00E31018">
      <w:pPr>
        <w:ind w:firstLine="720"/>
        <w:jc w:val="both"/>
        <w:rPr>
          <w:bCs/>
          <w:szCs w:val="28"/>
          <w:lang w:val="lv-LV"/>
        </w:rPr>
      </w:pPr>
      <w:r w:rsidRPr="00EB3FEE">
        <w:rPr>
          <w:szCs w:val="28"/>
          <w:lang w:val="lv-LV"/>
        </w:rPr>
        <w:t xml:space="preserve">Ņemot vērā </w:t>
      </w:r>
      <w:r w:rsidR="00E31018" w:rsidRPr="00EB3FEE">
        <w:rPr>
          <w:szCs w:val="28"/>
          <w:lang w:val="lv-LV"/>
        </w:rPr>
        <w:t>Ekonomikas ministrijas</w:t>
      </w:r>
      <w:r w:rsidRPr="00EB3FEE">
        <w:rPr>
          <w:szCs w:val="28"/>
          <w:lang w:val="lv-LV"/>
        </w:rPr>
        <w:t xml:space="preserve"> iesniegto informāciju par Ministru kabineta sēdes </w:t>
      </w:r>
      <w:r w:rsidR="00E31018" w:rsidRPr="00EB3FEE">
        <w:rPr>
          <w:szCs w:val="28"/>
          <w:lang w:val="lv-LV"/>
        </w:rPr>
        <w:t xml:space="preserve">2010.gada 20.jūlija sēdes </w:t>
      </w:r>
      <w:proofErr w:type="spellStart"/>
      <w:r w:rsidR="00E31018" w:rsidRPr="00EB3FEE">
        <w:rPr>
          <w:szCs w:val="28"/>
          <w:lang w:val="lv-LV"/>
        </w:rPr>
        <w:t>protokollēmuma</w:t>
      </w:r>
      <w:proofErr w:type="spellEnd"/>
      <w:r w:rsidR="00E31018" w:rsidRPr="00EB3FEE">
        <w:rPr>
          <w:szCs w:val="28"/>
          <w:lang w:val="lv-LV"/>
        </w:rPr>
        <w:t xml:space="preserve"> (prot. Nr.37, 68.§) </w:t>
      </w:r>
      <w:r w:rsidR="000E18C0" w:rsidRPr="00EB3FEE">
        <w:rPr>
          <w:szCs w:val="28"/>
          <w:lang w:val="lv-LV"/>
        </w:rPr>
        <w:t xml:space="preserve">„Par Administratīvās rajona tiesas 2010.gada 2.jūlija spriedumu”” </w:t>
      </w:r>
      <w:r w:rsidR="00A11448">
        <w:rPr>
          <w:szCs w:val="28"/>
          <w:lang w:val="lv-LV"/>
        </w:rPr>
        <w:t xml:space="preserve">2.2.apakšpunktā dotā uzdevuma </w:t>
      </w:r>
      <w:r w:rsidR="000E18C0" w:rsidRPr="00EB3FEE">
        <w:rPr>
          <w:szCs w:val="28"/>
          <w:lang w:val="lv-LV"/>
        </w:rPr>
        <w:t xml:space="preserve">izpildi, </w:t>
      </w:r>
      <w:r w:rsidR="00A11448">
        <w:rPr>
          <w:szCs w:val="28"/>
          <w:lang w:val="lv-LV"/>
        </w:rPr>
        <w:t>pagarināt tā izpildes termiņu l</w:t>
      </w:r>
      <w:r w:rsidR="00AF59FC" w:rsidRPr="00EB3FEE">
        <w:rPr>
          <w:szCs w:val="28"/>
          <w:lang w:val="lv-LV"/>
        </w:rPr>
        <w:t>īdz 201</w:t>
      </w:r>
      <w:r w:rsidR="003A2095">
        <w:rPr>
          <w:szCs w:val="28"/>
          <w:lang w:val="lv-LV"/>
        </w:rPr>
        <w:t>2</w:t>
      </w:r>
      <w:r w:rsidR="00AF59FC" w:rsidRPr="00EB3FEE">
        <w:rPr>
          <w:szCs w:val="28"/>
          <w:lang w:val="lv-LV"/>
        </w:rPr>
        <w:t>.gada 1.</w:t>
      </w:r>
      <w:r w:rsidR="003A2095">
        <w:rPr>
          <w:szCs w:val="28"/>
          <w:lang w:val="lv-LV"/>
        </w:rPr>
        <w:t>janvārim</w:t>
      </w:r>
      <w:r w:rsidRPr="00EB3FEE">
        <w:rPr>
          <w:szCs w:val="28"/>
          <w:lang w:val="lv-LV"/>
        </w:rPr>
        <w:t>.</w:t>
      </w:r>
    </w:p>
    <w:p w:rsidR="00DA294C" w:rsidRPr="00EB3FEE" w:rsidRDefault="00DA294C" w:rsidP="001D1312">
      <w:pPr>
        <w:jc w:val="both"/>
        <w:rPr>
          <w:lang w:val="lv-LV"/>
        </w:rPr>
      </w:pPr>
    </w:p>
    <w:p w:rsidR="00E044E6" w:rsidRPr="003F0CB1" w:rsidRDefault="00E044E6" w:rsidP="001D1312">
      <w:pPr>
        <w:jc w:val="both"/>
        <w:rPr>
          <w:lang w:val="lv-LV"/>
        </w:rPr>
      </w:pPr>
    </w:p>
    <w:p w:rsidR="00452A73" w:rsidRPr="00452A73" w:rsidRDefault="00897691" w:rsidP="00452A73">
      <w:pPr>
        <w:tabs>
          <w:tab w:val="left" w:pos="2000"/>
          <w:tab w:val="left" w:pos="6800"/>
        </w:tabs>
        <w:ind w:left="2100" w:hanging="2100"/>
        <w:rPr>
          <w:szCs w:val="28"/>
          <w:lang w:val="lv-LV"/>
        </w:rPr>
      </w:pPr>
      <w:r>
        <w:rPr>
          <w:szCs w:val="28"/>
          <w:lang w:val="lv-LV"/>
        </w:rPr>
        <w:t>Ministru prezidents</w:t>
      </w:r>
      <w:r w:rsidR="00C76A8F">
        <w:rPr>
          <w:szCs w:val="28"/>
          <w:lang w:val="lv-LV"/>
        </w:rPr>
        <w:t xml:space="preserve"> </w:t>
      </w:r>
      <w:r w:rsidR="00452A73" w:rsidRPr="00452A73">
        <w:rPr>
          <w:szCs w:val="28"/>
          <w:lang w:val="lv-LV"/>
        </w:rPr>
        <w:t xml:space="preserve"> </w:t>
      </w:r>
      <w:r w:rsidR="00C76A8F">
        <w:rPr>
          <w:szCs w:val="28"/>
          <w:lang w:val="lv-LV"/>
        </w:rPr>
        <w:tab/>
      </w:r>
      <w:r w:rsidR="00C76A8F">
        <w:rPr>
          <w:szCs w:val="28"/>
          <w:lang w:val="lv-LV"/>
        </w:rPr>
        <w:tab/>
        <w:t xml:space="preserve"> </w:t>
      </w:r>
      <w:proofErr w:type="spellStart"/>
      <w:r w:rsidR="00C76A8F">
        <w:rPr>
          <w:szCs w:val="28"/>
          <w:lang w:val="lv-LV"/>
        </w:rPr>
        <w:t>V.Dombrovskis</w:t>
      </w:r>
      <w:proofErr w:type="spellEnd"/>
      <w:r w:rsidR="00C76A8F">
        <w:rPr>
          <w:szCs w:val="28"/>
          <w:lang w:val="lv-LV"/>
        </w:rPr>
        <w:tab/>
      </w:r>
      <w:r w:rsidR="00C76A8F">
        <w:rPr>
          <w:szCs w:val="28"/>
          <w:lang w:val="lv-LV"/>
        </w:rPr>
        <w:tab/>
        <w:t xml:space="preserve">        </w:t>
      </w:r>
    </w:p>
    <w:p w:rsidR="00452A73" w:rsidRPr="00C76A8F" w:rsidRDefault="00452A73" w:rsidP="00C76A8F">
      <w:pPr>
        <w:tabs>
          <w:tab w:val="left" w:pos="142"/>
          <w:tab w:val="left" w:pos="6800"/>
        </w:tabs>
        <w:rPr>
          <w:szCs w:val="28"/>
          <w:lang w:val="lv-LV"/>
        </w:rPr>
      </w:pPr>
      <w:r w:rsidRPr="00452A73">
        <w:rPr>
          <w:szCs w:val="28"/>
          <w:lang w:val="lv-LV"/>
        </w:rPr>
        <w:tab/>
      </w:r>
      <w:r w:rsidRPr="00452A73">
        <w:rPr>
          <w:szCs w:val="28"/>
          <w:lang w:val="lv-LV"/>
        </w:rPr>
        <w:tab/>
        <w:t xml:space="preserve">        </w:t>
      </w:r>
    </w:p>
    <w:tbl>
      <w:tblPr>
        <w:tblW w:w="9648" w:type="dxa"/>
        <w:tblLook w:val="0000"/>
      </w:tblPr>
      <w:tblGrid>
        <w:gridCol w:w="4428"/>
        <w:gridCol w:w="2340"/>
        <w:gridCol w:w="2880"/>
      </w:tblGrid>
      <w:tr w:rsidR="00452A73" w:rsidRPr="00452A73" w:rsidTr="00452A73">
        <w:tc>
          <w:tcPr>
            <w:tcW w:w="4428" w:type="dxa"/>
          </w:tcPr>
          <w:p w:rsidR="00452A73" w:rsidRPr="00452A73" w:rsidRDefault="00452A73" w:rsidP="00452A73">
            <w:pPr>
              <w:rPr>
                <w:szCs w:val="28"/>
                <w:lang w:val="lv-LV"/>
              </w:rPr>
            </w:pPr>
            <w:r w:rsidRPr="00452A73">
              <w:rPr>
                <w:szCs w:val="28"/>
                <w:lang w:val="lv-LV"/>
              </w:rPr>
              <w:t>Valsts kancelejas direktore</w:t>
            </w:r>
          </w:p>
        </w:tc>
        <w:tc>
          <w:tcPr>
            <w:tcW w:w="2340" w:type="dxa"/>
          </w:tcPr>
          <w:p w:rsidR="00452A73" w:rsidRPr="00452A73" w:rsidRDefault="00452A73" w:rsidP="00452A73">
            <w:pPr>
              <w:rPr>
                <w:szCs w:val="28"/>
                <w:lang w:val="lv-LV"/>
              </w:rPr>
            </w:pPr>
            <w:r w:rsidRPr="00452A73">
              <w:rPr>
                <w:szCs w:val="28"/>
                <w:lang w:val="lv-LV"/>
              </w:rPr>
              <w:t>  </w:t>
            </w:r>
          </w:p>
        </w:tc>
        <w:tc>
          <w:tcPr>
            <w:tcW w:w="2880" w:type="dxa"/>
          </w:tcPr>
          <w:p w:rsidR="00452A73" w:rsidRPr="00452A73" w:rsidRDefault="00452A73" w:rsidP="00897691">
            <w:pPr>
              <w:rPr>
                <w:szCs w:val="28"/>
                <w:lang w:val="lv-LV"/>
              </w:rPr>
            </w:pPr>
            <w:r w:rsidRPr="00452A73">
              <w:rPr>
                <w:szCs w:val="28"/>
                <w:lang w:val="lv-LV"/>
              </w:rPr>
              <w:t xml:space="preserve">             </w:t>
            </w:r>
            <w:proofErr w:type="spellStart"/>
            <w:r w:rsidR="00897691">
              <w:rPr>
                <w:szCs w:val="28"/>
                <w:lang w:val="lv-LV"/>
              </w:rPr>
              <w:t>E</w:t>
            </w:r>
            <w:r w:rsidRPr="00452A73">
              <w:rPr>
                <w:szCs w:val="28"/>
                <w:lang w:val="lv-LV"/>
              </w:rPr>
              <w:t>.</w:t>
            </w:r>
            <w:r w:rsidR="00897691">
              <w:rPr>
                <w:szCs w:val="28"/>
                <w:lang w:val="lv-LV"/>
              </w:rPr>
              <w:t>Dreimane</w:t>
            </w:r>
            <w:proofErr w:type="spellEnd"/>
          </w:p>
        </w:tc>
      </w:tr>
    </w:tbl>
    <w:p w:rsidR="00452A73" w:rsidRPr="00452A73" w:rsidRDefault="00452A73" w:rsidP="00452A73">
      <w:pPr>
        <w:spacing w:after="120"/>
        <w:rPr>
          <w:szCs w:val="28"/>
          <w:lang w:val="lv-LV"/>
        </w:rPr>
      </w:pPr>
    </w:p>
    <w:p w:rsidR="00452A73" w:rsidRPr="00452A73" w:rsidRDefault="00452A73" w:rsidP="00452A73">
      <w:pPr>
        <w:rPr>
          <w:bCs/>
          <w:szCs w:val="28"/>
          <w:lang w:val="lv-LV"/>
        </w:rPr>
      </w:pPr>
      <w:r w:rsidRPr="00452A73">
        <w:rPr>
          <w:bCs/>
          <w:szCs w:val="28"/>
          <w:lang w:val="lv-LV"/>
        </w:rPr>
        <w:t>Iesniedzējs:</w:t>
      </w:r>
    </w:p>
    <w:p w:rsidR="00452A73" w:rsidRPr="00452A73" w:rsidRDefault="00452A73" w:rsidP="00452A73">
      <w:pPr>
        <w:rPr>
          <w:bCs/>
          <w:szCs w:val="28"/>
          <w:lang w:val="lv-LV"/>
        </w:rPr>
      </w:pPr>
      <w:r w:rsidRPr="00452A73">
        <w:rPr>
          <w:bCs/>
          <w:szCs w:val="28"/>
          <w:lang w:val="lv-LV"/>
        </w:rPr>
        <w:t>Ekonomikas ministrs</w:t>
      </w:r>
      <w:r w:rsidRPr="00452A73">
        <w:rPr>
          <w:bCs/>
          <w:szCs w:val="28"/>
          <w:lang w:val="lv-LV"/>
        </w:rPr>
        <w:tab/>
      </w:r>
      <w:r w:rsidRPr="00452A73">
        <w:rPr>
          <w:bCs/>
          <w:szCs w:val="28"/>
          <w:lang w:val="lv-LV"/>
        </w:rPr>
        <w:tab/>
      </w:r>
      <w:r w:rsidRPr="00452A73">
        <w:rPr>
          <w:bCs/>
          <w:szCs w:val="28"/>
          <w:lang w:val="lv-LV"/>
        </w:rPr>
        <w:tab/>
      </w:r>
      <w:r w:rsidRPr="00452A73">
        <w:rPr>
          <w:bCs/>
          <w:szCs w:val="28"/>
          <w:lang w:val="lv-LV"/>
        </w:rPr>
        <w:tab/>
      </w:r>
      <w:r w:rsidRPr="00452A73">
        <w:rPr>
          <w:bCs/>
          <w:szCs w:val="28"/>
          <w:lang w:val="lv-LV"/>
        </w:rPr>
        <w:tab/>
      </w:r>
      <w:r w:rsidRPr="00452A73">
        <w:rPr>
          <w:bCs/>
          <w:szCs w:val="28"/>
          <w:lang w:val="lv-LV"/>
        </w:rPr>
        <w:tab/>
      </w:r>
      <w:r w:rsidRPr="00452A73">
        <w:rPr>
          <w:bCs/>
          <w:szCs w:val="28"/>
          <w:lang w:val="lv-LV"/>
        </w:rPr>
        <w:tab/>
        <w:t xml:space="preserve">        A.Kampars</w:t>
      </w:r>
    </w:p>
    <w:p w:rsidR="00452A73" w:rsidRPr="00452A73" w:rsidRDefault="00452A73" w:rsidP="00452A73">
      <w:pPr>
        <w:tabs>
          <w:tab w:val="left" w:pos="7655"/>
        </w:tabs>
        <w:rPr>
          <w:szCs w:val="28"/>
          <w:lang w:val="lv-LV"/>
        </w:rPr>
      </w:pPr>
    </w:p>
    <w:p w:rsidR="00E31018" w:rsidRPr="00452A73" w:rsidRDefault="00452A73" w:rsidP="00021B81">
      <w:pPr>
        <w:tabs>
          <w:tab w:val="left" w:pos="8055"/>
        </w:tabs>
        <w:rPr>
          <w:sz w:val="20"/>
          <w:lang w:val="lv-LV"/>
        </w:rPr>
      </w:pPr>
      <w:r w:rsidRPr="00452A73">
        <w:rPr>
          <w:szCs w:val="28"/>
          <w:lang w:val="lv-LV"/>
        </w:rPr>
        <w:t xml:space="preserve">Vīza: </w:t>
      </w:r>
      <w:r w:rsidR="00021B81">
        <w:rPr>
          <w:szCs w:val="28"/>
          <w:lang w:val="lv-LV"/>
        </w:rPr>
        <w:t xml:space="preserve">Valsts sekretārs </w:t>
      </w:r>
      <w:r w:rsidR="00021B81">
        <w:rPr>
          <w:szCs w:val="28"/>
          <w:lang w:val="lv-LV"/>
        </w:rPr>
        <w:tab/>
        <w:t xml:space="preserve">   J. Pūce</w:t>
      </w:r>
    </w:p>
    <w:p w:rsidR="00E31018" w:rsidRDefault="00E31018" w:rsidP="00C2083D">
      <w:pPr>
        <w:rPr>
          <w:sz w:val="20"/>
          <w:lang w:val="lv-LV"/>
        </w:rPr>
      </w:pPr>
    </w:p>
    <w:p w:rsidR="00C76A8F" w:rsidRDefault="00C76A8F" w:rsidP="00C2083D">
      <w:pPr>
        <w:rPr>
          <w:sz w:val="20"/>
          <w:lang w:val="lv-LV"/>
        </w:rPr>
      </w:pPr>
    </w:p>
    <w:p w:rsidR="00C76A8F" w:rsidRPr="00452A73" w:rsidRDefault="00C76A8F" w:rsidP="00C2083D">
      <w:pPr>
        <w:rPr>
          <w:sz w:val="20"/>
          <w:lang w:val="lv-LV"/>
        </w:rPr>
      </w:pPr>
    </w:p>
    <w:p w:rsidR="00452A73" w:rsidRPr="00452A73" w:rsidRDefault="00452A73" w:rsidP="00C2083D">
      <w:pPr>
        <w:rPr>
          <w:sz w:val="20"/>
          <w:lang w:val="lv-LV"/>
        </w:rPr>
      </w:pPr>
    </w:p>
    <w:p w:rsidR="00E31018" w:rsidRPr="00DB7A7E" w:rsidRDefault="00897691" w:rsidP="00E31018">
      <w:pPr>
        <w:rPr>
          <w:sz w:val="20"/>
          <w:lang w:val="lv-LV"/>
        </w:rPr>
      </w:pPr>
      <w:r>
        <w:rPr>
          <w:sz w:val="20"/>
          <w:lang w:val="lv-LV"/>
        </w:rPr>
        <w:t>16.02.2011</w:t>
      </w:r>
      <w:r w:rsidR="00E31018" w:rsidRPr="00DB7A7E">
        <w:rPr>
          <w:sz w:val="20"/>
          <w:lang w:val="lv-LV"/>
        </w:rPr>
        <w:t xml:space="preserve">. </w:t>
      </w:r>
      <w:r w:rsidR="003A2095">
        <w:rPr>
          <w:sz w:val="20"/>
          <w:lang w:val="lv-LV"/>
        </w:rPr>
        <w:t>15</w:t>
      </w:r>
      <w:r w:rsidR="00E31018" w:rsidRPr="00DB7A7E">
        <w:rPr>
          <w:sz w:val="20"/>
          <w:lang w:val="lv-LV"/>
        </w:rPr>
        <w:t>:</w:t>
      </w:r>
      <w:r w:rsidR="00D67511">
        <w:rPr>
          <w:sz w:val="20"/>
          <w:lang w:val="lv-LV"/>
        </w:rPr>
        <w:t>18</w:t>
      </w:r>
    </w:p>
    <w:p w:rsidR="00E31018" w:rsidRPr="00DB7A7E" w:rsidRDefault="00897691" w:rsidP="00E31018">
      <w:pPr>
        <w:rPr>
          <w:sz w:val="20"/>
          <w:lang w:val="lv-LV"/>
        </w:rPr>
      </w:pPr>
      <w:r>
        <w:rPr>
          <w:sz w:val="20"/>
          <w:lang w:val="lv-LV"/>
        </w:rPr>
        <w:t>91</w:t>
      </w:r>
    </w:p>
    <w:p w:rsidR="00E31018" w:rsidRPr="00DB7A7E" w:rsidRDefault="00E31018" w:rsidP="00E31018">
      <w:pPr>
        <w:rPr>
          <w:sz w:val="20"/>
          <w:lang w:val="lv-LV"/>
        </w:rPr>
      </w:pPr>
      <w:r w:rsidRPr="00DB7A7E">
        <w:rPr>
          <w:sz w:val="20"/>
          <w:lang w:val="lv-LV"/>
        </w:rPr>
        <w:t>Bunka</w:t>
      </w:r>
    </w:p>
    <w:p w:rsidR="002B2BA9" w:rsidRPr="00A11448" w:rsidRDefault="00E31018" w:rsidP="00A11448">
      <w:pPr>
        <w:rPr>
          <w:sz w:val="20"/>
          <w:lang w:val="lv-LV"/>
        </w:rPr>
      </w:pPr>
      <w:r w:rsidRPr="00DB7A7E">
        <w:rPr>
          <w:sz w:val="20"/>
          <w:lang w:val="lv-LV"/>
        </w:rPr>
        <w:t xml:space="preserve">67013242, </w:t>
      </w:r>
      <w:hyperlink r:id="rId8" w:history="1">
        <w:r w:rsidRPr="00DB7A7E">
          <w:rPr>
            <w:rStyle w:val="Hyperlink"/>
            <w:sz w:val="20"/>
            <w:lang w:val="lv-LV"/>
          </w:rPr>
          <w:t>mara.bunka@em.gov.lv</w:t>
        </w:r>
      </w:hyperlink>
    </w:p>
    <w:sectPr w:rsidR="002B2BA9" w:rsidRPr="00A11448" w:rsidSect="000462E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81" w:rsidRDefault="00021B81">
      <w:r>
        <w:separator/>
      </w:r>
    </w:p>
  </w:endnote>
  <w:endnote w:type="continuationSeparator" w:id="0">
    <w:p w:rsidR="00021B81" w:rsidRDefault="0002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1" w:rsidRDefault="00021B81">
    <w:pPr>
      <w:pStyle w:val="Footer"/>
      <w:jc w:val="both"/>
      <w:rPr>
        <w:sz w:val="20"/>
      </w:rPr>
    </w:pPr>
    <w:r>
      <w:rPr>
        <w:sz w:val="20"/>
        <w:lang w:val="lv-LV"/>
      </w:rPr>
      <w:t xml:space="preserve">FMProt_180805_NINDZ; Ministru kabineta sēdes </w:t>
    </w:r>
    <w:proofErr w:type="spellStart"/>
    <w:r>
      <w:rPr>
        <w:sz w:val="20"/>
        <w:lang w:val="lv-LV"/>
      </w:rPr>
      <w:t>protokollēmuma</w:t>
    </w:r>
    <w:proofErr w:type="spellEnd"/>
    <w:r>
      <w:rPr>
        <w:sz w:val="20"/>
        <w:lang w:val="lv-LV"/>
      </w:rPr>
      <w:t xml:space="preserve"> projekts “Par tiesību aktu, kuri regulē nekustamā īpašuma nodokļa aprēķināšanu dzīvojamo ēku telpu grupām (arī dzīvokļa īpašumam), pilnveidošanas nepieciešamību”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1" w:rsidRPr="00A11448" w:rsidRDefault="00897691" w:rsidP="00A11448">
    <w:pPr>
      <w:jc w:val="both"/>
      <w:rPr>
        <w:sz w:val="24"/>
        <w:lang w:val="lv-LV"/>
      </w:rPr>
    </w:pPr>
    <w:r>
      <w:rPr>
        <w:sz w:val="24"/>
        <w:lang w:val="lv-LV"/>
      </w:rPr>
      <w:t>EMProt_160211</w:t>
    </w:r>
    <w:r w:rsidR="00021B81" w:rsidRPr="00A11448">
      <w:rPr>
        <w:sz w:val="24"/>
        <w:lang w:val="lv-LV"/>
      </w:rPr>
      <w:t xml:space="preserve">_MKpl; Ministru kabineta sēdes </w:t>
    </w:r>
    <w:proofErr w:type="spellStart"/>
    <w:r w:rsidR="00021B81" w:rsidRPr="00A11448">
      <w:rPr>
        <w:sz w:val="24"/>
        <w:lang w:val="lv-LV"/>
      </w:rPr>
      <w:t>protokollēmuma</w:t>
    </w:r>
    <w:proofErr w:type="spellEnd"/>
    <w:r w:rsidR="00021B81" w:rsidRPr="00A11448">
      <w:rPr>
        <w:sz w:val="24"/>
        <w:lang w:val="lv-LV"/>
      </w:rPr>
      <w:t xml:space="preserve"> projekts “Par Ministru kabineta 2010.gada 20.jūlija sēdes </w:t>
    </w:r>
    <w:proofErr w:type="spellStart"/>
    <w:r w:rsidR="00021B81" w:rsidRPr="00A11448">
      <w:rPr>
        <w:sz w:val="24"/>
        <w:lang w:val="lv-LV"/>
      </w:rPr>
      <w:t>protokollēmuma</w:t>
    </w:r>
    <w:proofErr w:type="spellEnd"/>
    <w:r w:rsidR="00021B81" w:rsidRPr="00A11448">
      <w:rPr>
        <w:sz w:val="24"/>
        <w:lang w:val="lv-LV"/>
      </w:rPr>
      <w:t xml:space="preserve"> (prot. Nr.37, 68.§) „Par Administratīvās rajona tiesas 2010.gada 2.jūlija spriedumu” 2.2.ap</w:t>
    </w:r>
    <w:r w:rsidR="00021B81">
      <w:rPr>
        <w:sz w:val="24"/>
        <w:lang w:val="lv-LV"/>
      </w:rPr>
      <w:t>akšpunkta izpildi”</w:t>
    </w:r>
    <w:r w:rsidR="00021B81" w:rsidRPr="00A11448">
      <w:rPr>
        <w:sz w:val="24"/>
        <w:lang w:val="lv-LV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81" w:rsidRDefault="00021B81">
      <w:r>
        <w:separator/>
      </w:r>
    </w:p>
  </w:footnote>
  <w:footnote w:type="continuationSeparator" w:id="0">
    <w:p w:rsidR="00021B81" w:rsidRDefault="00021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1" w:rsidRDefault="005A05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1B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B81" w:rsidRDefault="00021B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1" w:rsidRDefault="005A0586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21B81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21B8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B81" w:rsidRDefault="00021B81">
    <w:pPr>
      <w:pStyle w:val="Header"/>
      <w:jc w:val="cent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7BB"/>
    <w:multiLevelType w:val="hybridMultilevel"/>
    <w:tmpl w:val="8984F7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D1FE0"/>
    <w:multiLevelType w:val="hybridMultilevel"/>
    <w:tmpl w:val="AE5A3BCC"/>
    <w:lvl w:ilvl="0" w:tplc="867EF44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75E1BDE">
      <w:numFmt w:val="none"/>
      <w:lvlText w:val=""/>
      <w:lvlJc w:val="left"/>
      <w:pPr>
        <w:tabs>
          <w:tab w:val="num" w:pos="360"/>
        </w:tabs>
      </w:pPr>
    </w:lvl>
    <w:lvl w:ilvl="2" w:tplc="6DA6E5FE">
      <w:numFmt w:val="none"/>
      <w:lvlText w:val=""/>
      <w:lvlJc w:val="left"/>
      <w:pPr>
        <w:tabs>
          <w:tab w:val="num" w:pos="360"/>
        </w:tabs>
      </w:pPr>
    </w:lvl>
    <w:lvl w:ilvl="3" w:tplc="C8CCBD12">
      <w:numFmt w:val="none"/>
      <w:lvlText w:val=""/>
      <w:lvlJc w:val="left"/>
      <w:pPr>
        <w:tabs>
          <w:tab w:val="num" w:pos="360"/>
        </w:tabs>
      </w:pPr>
    </w:lvl>
    <w:lvl w:ilvl="4" w:tplc="D96A4650">
      <w:numFmt w:val="none"/>
      <w:lvlText w:val=""/>
      <w:lvlJc w:val="left"/>
      <w:pPr>
        <w:tabs>
          <w:tab w:val="num" w:pos="360"/>
        </w:tabs>
      </w:pPr>
    </w:lvl>
    <w:lvl w:ilvl="5" w:tplc="EFAC2784">
      <w:numFmt w:val="none"/>
      <w:lvlText w:val=""/>
      <w:lvlJc w:val="left"/>
      <w:pPr>
        <w:tabs>
          <w:tab w:val="num" w:pos="360"/>
        </w:tabs>
      </w:pPr>
    </w:lvl>
    <w:lvl w:ilvl="6" w:tplc="6ADE1DBE">
      <w:numFmt w:val="none"/>
      <w:lvlText w:val=""/>
      <w:lvlJc w:val="left"/>
      <w:pPr>
        <w:tabs>
          <w:tab w:val="num" w:pos="360"/>
        </w:tabs>
      </w:pPr>
    </w:lvl>
    <w:lvl w:ilvl="7" w:tplc="65167428">
      <w:numFmt w:val="none"/>
      <w:lvlText w:val=""/>
      <w:lvlJc w:val="left"/>
      <w:pPr>
        <w:tabs>
          <w:tab w:val="num" w:pos="360"/>
        </w:tabs>
      </w:pPr>
    </w:lvl>
    <w:lvl w:ilvl="8" w:tplc="BC1041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CA51488"/>
    <w:multiLevelType w:val="hybridMultilevel"/>
    <w:tmpl w:val="257C7A5C"/>
    <w:lvl w:ilvl="0" w:tplc="D8E67EB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1AC4"/>
    <w:rsid w:val="00020B51"/>
    <w:rsid w:val="00021B81"/>
    <w:rsid w:val="000443E0"/>
    <w:rsid w:val="000462E4"/>
    <w:rsid w:val="00047DD5"/>
    <w:rsid w:val="000650C3"/>
    <w:rsid w:val="00065FD8"/>
    <w:rsid w:val="00081A6A"/>
    <w:rsid w:val="00082E39"/>
    <w:rsid w:val="000866EB"/>
    <w:rsid w:val="000A1DE7"/>
    <w:rsid w:val="000B3DF1"/>
    <w:rsid w:val="000B3EF8"/>
    <w:rsid w:val="000B7306"/>
    <w:rsid w:val="000D05E9"/>
    <w:rsid w:val="000E07E3"/>
    <w:rsid w:val="000E18C0"/>
    <w:rsid w:val="000E2DC8"/>
    <w:rsid w:val="000E3F8D"/>
    <w:rsid w:val="000E6923"/>
    <w:rsid w:val="000F4648"/>
    <w:rsid w:val="000F4BF7"/>
    <w:rsid w:val="001101DD"/>
    <w:rsid w:val="00113B62"/>
    <w:rsid w:val="00126078"/>
    <w:rsid w:val="00154882"/>
    <w:rsid w:val="00154ED8"/>
    <w:rsid w:val="00170C29"/>
    <w:rsid w:val="00177655"/>
    <w:rsid w:val="00180C9C"/>
    <w:rsid w:val="001A08D3"/>
    <w:rsid w:val="001A7B15"/>
    <w:rsid w:val="001D1312"/>
    <w:rsid w:val="001F481C"/>
    <w:rsid w:val="00213F30"/>
    <w:rsid w:val="00273C23"/>
    <w:rsid w:val="00277C3E"/>
    <w:rsid w:val="0028095B"/>
    <w:rsid w:val="002B2BA9"/>
    <w:rsid w:val="002E66AF"/>
    <w:rsid w:val="002F5672"/>
    <w:rsid w:val="00300FEA"/>
    <w:rsid w:val="00322AC1"/>
    <w:rsid w:val="00333931"/>
    <w:rsid w:val="00354C33"/>
    <w:rsid w:val="00360F03"/>
    <w:rsid w:val="00364F3B"/>
    <w:rsid w:val="00372EC0"/>
    <w:rsid w:val="00381B2E"/>
    <w:rsid w:val="00390E1C"/>
    <w:rsid w:val="0039217D"/>
    <w:rsid w:val="00393E14"/>
    <w:rsid w:val="003962B0"/>
    <w:rsid w:val="00397367"/>
    <w:rsid w:val="003A2095"/>
    <w:rsid w:val="003B4C68"/>
    <w:rsid w:val="003B5C56"/>
    <w:rsid w:val="003D1304"/>
    <w:rsid w:val="003F0CB1"/>
    <w:rsid w:val="003F1AC4"/>
    <w:rsid w:val="00404B7F"/>
    <w:rsid w:val="00410AEF"/>
    <w:rsid w:val="00414667"/>
    <w:rsid w:val="0041758D"/>
    <w:rsid w:val="00425014"/>
    <w:rsid w:val="00434178"/>
    <w:rsid w:val="00442044"/>
    <w:rsid w:val="00452A73"/>
    <w:rsid w:val="004803F1"/>
    <w:rsid w:val="00481668"/>
    <w:rsid w:val="00481832"/>
    <w:rsid w:val="004A1301"/>
    <w:rsid w:val="004A3040"/>
    <w:rsid w:val="004A3E5C"/>
    <w:rsid w:val="004B0C74"/>
    <w:rsid w:val="004C25DA"/>
    <w:rsid w:val="004D6BBA"/>
    <w:rsid w:val="004E681A"/>
    <w:rsid w:val="00546325"/>
    <w:rsid w:val="00550F20"/>
    <w:rsid w:val="0057685A"/>
    <w:rsid w:val="005A0586"/>
    <w:rsid w:val="005A44A6"/>
    <w:rsid w:val="005C373B"/>
    <w:rsid w:val="005D0FEA"/>
    <w:rsid w:val="005F3BB1"/>
    <w:rsid w:val="0062021D"/>
    <w:rsid w:val="00627794"/>
    <w:rsid w:val="006309AF"/>
    <w:rsid w:val="00652A9B"/>
    <w:rsid w:val="00663702"/>
    <w:rsid w:val="00663ADD"/>
    <w:rsid w:val="00676774"/>
    <w:rsid w:val="006A037E"/>
    <w:rsid w:val="006A0A75"/>
    <w:rsid w:val="006A4B35"/>
    <w:rsid w:val="006A6B80"/>
    <w:rsid w:val="006C1B93"/>
    <w:rsid w:val="006D2FBD"/>
    <w:rsid w:val="006E4492"/>
    <w:rsid w:val="00725E62"/>
    <w:rsid w:val="00730421"/>
    <w:rsid w:val="007310EA"/>
    <w:rsid w:val="00733936"/>
    <w:rsid w:val="0075044C"/>
    <w:rsid w:val="00763C2A"/>
    <w:rsid w:val="00770416"/>
    <w:rsid w:val="00780C16"/>
    <w:rsid w:val="0078271E"/>
    <w:rsid w:val="007A794E"/>
    <w:rsid w:val="007B01F4"/>
    <w:rsid w:val="007B5AE6"/>
    <w:rsid w:val="007C5A57"/>
    <w:rsid w:val="007C70E0"/>
    <w:rsid w:val="007D5880"/>
    <w:rsid w:val="00802D79"/>
    <w:rsid w:val="00813498"/>
    <w:rsid w:val="00814133"/>
    <w:rsid w:val="0083181B"/>
    <w:rsid w:val="0083478D"/>
    <w:rsid w:val="00847A19"/>
    <w:rsid w:val="008534D3"/>
    <w:rsid w:val="008741B1"/>
    <w:rsid w:val="00885BBD"/>
    <w:rsid w:val="0088671F"/>
    <w:rsid w:val="008903FF"/>
    <w:rsid w:val="00897691"/>
    <w:rsid w:val="008A3E45"/>
    <w:rsid w:val="008A5E54"/>
    <w:rsid w:val="008B0D69"/>
    <w:rsid w:val="008E1AD3"/>
    <w:rsid w:val="008F2F1D"/>
    <w:rsid w:val="00905998"/>
    <w:rsid w:val="00923832"/>
    <w:rsid w:val="00935402"/>
    <w:rsid w:val="00941DEA"/>
    <w:rsid w:val="009452B1"/>
    <w:rsid w:val="00974544"/>
    <w:rsid w:val="009752BC"/>
    <w:rsid w:val="00991F95"/>
    <w:rsid w:val="00995DB2"/>
    <w:rsid w:val="009C3435"/>
    <w:rsid w:val="009E2D46"/>
    <w:rsid w:val="009E5A89"/>
    <w:rsid w:val="009F0756"/>
    <w:rsid w:val="00A11448"/>
    <w:rsid w:val="00A24116"/>
    <w:rsid w:val="00A30B84"/>
    <w:rsid w:val="00A36D34"/>
    <w:rsid w:val="00A36DC8"/>
    <w:rsid w:val="00A40591"/>
    <w:rsid w:val="00A61A0D"/>
    <w:rsid w:val="00A82189"/>
    <w:rsid w:val="00A83A32"/>
    <w:rsid w:val="00A844B0"/>
    <w:rsid w:val="00A87FF8"/>
    <w:rsid w:val="00A93EAE"/>
    <w:rsid w:val="00AC1889"/>
    <w:rsid w:val="00AC27EB"/>
    <w:rsid w:val="00AF59FC"/>
    <w:rsid w:val="00B17B01"/>
    <w:rsid w:val="00B21E5C"/>
    <w:rsid w:val="00B23DE7"/>
    <w:rsid w:val="00B44429"/>
    <w:rsid w:val="00B73186"/>
    <w:rsid w:val="00B84A45"/>
    <w:rsid w:val="00BC0713"/>
    <w:rsid w:val="00BD2248"/>
    <w:rsid w:val="00BD4C32"/>
    <w:rsid w:val="00C069B2"/>
    <w:rsid w:val="00C13331"/>
    <w:rsid w:val="00C16458"/>
    <w:rsid w:val="00C2083D"/>
    <w:rsid w:val="00C429AF"/>
    <w:rsid w:val="00C47714"/>
    <w:rsid w:val="00C5200D"/>
    <w:rsid w:val="00C5202B"/>
    <w:rsid w:val="00C705E9"/>
    <w:rsid w:val="00C716B4"/>
    <w:rsid w:val="00C76A8F"/>
    <w:rsid w:val="00C77462"/>
    <w:rsid w:val="00C87D24"/>
    <w:rsid w:val="00C90B47"/>
    <w:rsid w:val="00CC01C4"/>
    <w:rsid w:val="00CC47BB"/>
    <w:rsid w:val="00CC765D"/>
    <w:rsid w:val="00CD49BE"/>
    <w:rsid w:val="00CE37CA"/>
    <w:rsid w:val="00D04C28"/>
    <w:rsid w:val="00D504B5"/>
    <w:rsid w:val="00D67511"/>
    <w:rsid w:val="00D7472C"/>
    <w:rsid w:val="00D82DDC"/>
    <w:rsid w:val="00D946F6"/>
    <w:rsid w:val="00DA294C"/>
    <w:rsid w:val="00DB25F7"/>
    <w:rsid w:val="00DC49FD"/>
    <w:rsid w:val="00DC7CFF"/>
    <w:rsid w:val="00DF4EBE"/>
    <w:rsid w:val="00E013E8"/>
    <w:rsid w:val="00E0158F"/>
    <w:rsid w:val="00E044E6"/>
    <w:rsid w:val="00E04AD4"/>
    <w:rsid w:val="00E07A49"/>
    <w:rsid w:val="00E1733A"/>
    <w:rsid w:val="00E21875"/>
    <w:rsid w:val="00E25BF8"/>
    <w:rsid w:val="00E31018"/>
    <w:rsid w:val="00E66CA8"/>
    <w:rsid w:val="00E77071"/>
    <w:rsid w:val="00E91406"/>
    <w:rsid w:val="00E92DAF"/>
    <w:rsid w:val="00E95FA9"/>
    <w:rsid w:val="00EA57F1"/>
    <w:rsid w:val="00EA70E4"/>
    <w:rsid w:val="00EB3FEE"/>
    <w:rsid w:val="00EB665A"/>
    <w:rsid w:val="00EC150C"/>
    <w:rsid w:val="00EC154E"/>
    <w:rsid w:val="00EE63D1"/>
    <w:rsid w:val="00EF4B74"/>
    <w:rsid w:val="00EF64E4"/>
    <w:rsid w:val="00F021B1"/>
    <w:rsid w:val="00F13753"/>
    <w:rsid w:val="00F50DD6"/>
    <w:rsid w:val="00F72D94"/>
    <w:rsid w:val="00F80584"/>
    <w:rsid w:val="00F86EFE"/>
    <w:rsid w:val="00FA514C"/>
    <w:rsid w:val="00FB45A6"/>
    <w:rsid w:val="00FC349D"/>
    <w:rsid w:val="00FC7776"/>
    <w:rsid w:val="00FE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E4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62E4"/>
    <w:pPr>
      <w:keepNext/>
      <w:jc w:val="center"/>
      <w:outlineLvl w:val="0"/>
    </w:pPr>
    <w:rPr>
      <w:b/>
      <w:bCs/>
      <w:sz w:val="24"/>
      <w:lang w:val="lv-LV"/>
    </w:rPr>
  </w:style>
  <w:style w:type="paragraph" w:styleId="Heading2">
    <w:name w:val="heading 2"/>
    <w:basedOn w:val="Normal"/>
    <w:next w:val="Normal"/>
    <w:qFormat/>
    <w:rsid w:val="006A6B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62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62E4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0462E4"/>
    <w:pPr>
      <w:ind w:firstLine="720"/>
      <w:jc w:val="both"/>
    </w:pPr>
    <w:rPr>
      <w:b/>
      <w:bCs/>
      <w:szCs w:val="28"/>
      <w:lang w:val="lv-LV" w:eastAsia="lv-LV"/>
    </w:rPr>
  </w:style>
  <w:style w:type="character" w:styleId="Hyperlink">
    <w:name w:val="Hyperlink"/>
    <w:basedOn w:val="DefaultParagraphFont"/>
    <w:rsid w:val="000462E4"/>
    <w:rPr>
      <w:color w:val="0000FF"/>
      <w:u w:val="single"/>
    </w:rPr>
  </w:style>
  <w:style w:type="character" w:styleId="PageNumber">
    <w:name w:val="page number"/>
    <w:basedOn w:val="DefaultParagraphFont"/>
    <w:rsid w:val="000462E4"/>
  </w:style>
  <w:style w:type="paragraph" w:styleId="BodyTextIndent3">
    <w:name w:val="Body Text Indent 3"/>
    <w:basedOn w:val="Normal"/>
    <w:rsid w:val="000462E4"/>
    <w:pPr>
      <w:ind w:left="900" w:hanging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9E2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34D3"/>
    <w:pPr>
      <w:spacing w:after="120"/>
    </w:pPr>
  </w:style>
  <w:style w:type="paragraph" w:customStyle="1" w:styleId="CharCharCharRakstz">
    <w:name w:val="Char Char Char Rakstz."/>
    <w:basedOn w:val="Normal"/>
    <w:next w:val="BlockText"/>
    <w:rsid w:val="006A6B8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6A6B80"/>
    <w:pPr>
      <w:spacing w:after="120"/>
      <w:ind w:left="1440" w:right="1440"/>
    </w:pPr>
  </w:style>
  <w:style w:type="paragraph" w:styleId="BodyTextIndent">
    <w:name w:val="Body Text Indent"/>
    <w:basedOn w:val="Normal"/>
    <w:rsid w:val="002B2BA9"/>
    <w:pPr>
      <w:spacing w:after="120"/>
      <w:ind w:left="283"/>
    </w:pPr>
  </w:style>
  <w:style w:type="paragraph" w:customStyle="1" w:styleId="CharChar">
    <w:name w:val="Char Char"/>
    <w:basedOn w:val="Normal"/>
    <w:rsid w:val="002B2B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2A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.bunka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4E80-2CAD-48EB-A343-A11F9982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Ministru kabineta sēdes protokollēmuma projekts “Par Ministru kabineta 2010.gada 20.jūlija sēdes protokollēmuma (prot. Nr.37, 68.§) „Par Administratīvās rajona tiesas 2010.gada 2.jūlija spriedumu” 2.2.apakšpunkta izpildi”      </vt:lpstr>
      <vt:lpstr>    LATVIJAS REPUBLIKAS MINISTRU KABINETA</vt:lpstr>
    </vt:vector>
  </TitlesOfParts>
  <Company>Ekonomikas ministrija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“Par Ministru kabineta 2010.gada 20.jūlija sēdes protokollēmuma (prot. Nr.37, 68.§) „Par Administratīvās rajona tiesas 2010.gada 2.jūlija spriedumu” 2.2.apakšpunkta izpildi”      </dc:title>
  <dc:subject>Ministru kabineta sēdes protokollēmuma projekts</dc:subject>
  <dc:creator>M.Bunka</dc:creator>
  <cp:keywords/>
  <dc:description>mara.bunka@em.gov.lv_x000d_
tālr. 67013242</dc:description>
  <cp:lastModifiedBy>Māra Bunka</cp:lastModifiedBy>
  <cp:revision>23</cp:revision>
  <cp:lastPrinted>2010-06-30T13:35:00Z</cp:lastPrinted>
  <dcterms:created xsi:type="dcterms:W3CDTF">2010-07-15T12:59:00Z</dcterms:created>
  <dcterms:modified xsi:type="dcterms:W3CDTF">2011-02-16T13:18:00Z</dcterms:modified>
</cp:coreProperties>
</file>