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BB" w:rsidRPr="003D7165" w:rsidRDefault="00EA16BB" w:rsidP="00EA16BB">
      <w:pPr>
        <w:pStyle w:val="NormalWeb"/>
        <w:jc w:val="right"/>
        <w:rPr>
          <w:rFonts w:ascii="Times New Roman" w:hAnsi="Times New Roman" w:cs="Times New Roman"/>
          <w:bCs/>
          <w:i/>
          <w:sz w:val="28"/>
          <w:lang w:val="lv-LV"/>
        </w:rPr>
      </w:pPr>
      <w:r w:rsidRPr="003D7165">
        <w:rPr>
          <w:rFonts w:ascii="Times New Roman" w:hAnsi="Times New Roman" w:cs="Times New Roman"/>
          <w:bCs/>
          <w:i/>
          <w:sz w:val="28"/>
          <w:lang w:val="lv-LV"/>
        </w:rPr>
        <w:t>Projekts</w:t>
      </w:r>
    </w:p>
    <w:p w:rsidR="00EA16BB" w:rsidRDefault="00EA16BB" w:rsidP="00EA16BB">
      <w:pPr>
        <w:pStyle w:val="NormalWeb"/>
        <w:jc w:val="center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lang w:val="lv-LV"/>
        </w:rPr>
        <w:t>LATVIJAS REPUBLIKAS MINISTRU KABINETA SĒDES PROTOKOLLĒMUMS</w:t>
      </w:r>
    </w:p>
    <w:p w:rsidR="00EA16BB" w:rsidRDefault="00EA16BB" w:rsidP="00EA16BB">
      <w:pPr>
        <w:pStyle w:val="NormalWeb"/>
        <w:jc w:val="center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890"/>
        <w:gridCol w:w="880"/>
        <w:gridCol w:w="4301"/>
      </w:tblGrid>
      <w:tr w:rsidR="00EA16BB" w:rsidTr="0040140F">
        <w:trPr>
          <w:tblCellSpacing w:w="0" w:type="dxa"/>
        </w:trPr>
        <w:tc>
          <w:tcPr>
            <w:tcW w:w="3960" w:type="dxa"/>
          </w:tcPr>
          <w:p w:rsidR="00EA16BB" w:rsidRDefault="00EA16BB" w:rsidP="0040140F">
            <w:pPr>
              <w:pStyle w:val="NormalWeb"/>
              <w:rPr>
                <w:rFonts w:ascii="Times New Roman" w:hAnsi="Times New Roman" w:cs="Times New Roman"/>
                <w:sz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lang w:val="lv-LV"/>
              </w:rPr>
              <w:t>Rīgā</w:t>
            </w:r>
          </w:p>
        </w:tc>
        <w:tc>
          <w:tcPr>
            <w:tcW w:w="885" w:type="dxa"/>
          </w:tcPr>
          <w:p w:rsidR="00EA16BB" w:rsidRDefault="00EA16BB" w:rsidP="0040140F">
            <w:pPr>
              <w:pStyle w:val="NormalWeb"/>
              <w:rPr>
                <w:rFonts w:ascii="Times New Roman" w:hAnsi="Times New Roman" w:cs="Times New Roman"/>
                <w:sz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lang w:val="lv-LV"/>
              </w:rPr>
              <w:t>Nr.__</w:t>
            </w:r>
          </w:p>
        </w:tc>
        <w:tc>
          <w:tcPr>
            <w:tcW w:w="4365" w:type="dxa"/>
          </w:tcPr>
          <w:p w:rsidR="00EA16BB" w:rsidRDefault="00A62784" w:rsidP="0038601A">
            <w:pPr>
              <w:pStyle w:val="NormalWeb"/>
              <w:jc w:val="right"/>
              <w:rPr>
                <w:rFonts w:ascii="Times New Roman" w:hAnsi="Times New Roman" w:cs="Times New Roman"/>
                <w:sz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lang w:val="lv-LV"/>
              </w:rPr>
              <w:t>2011</w:t>
            </w:r>
            <w:r w:rsidR="00EA16BB">
              <w:rPr>
                <w:rFonts w:ascii="Times New Roman" w:hAnsi="Times New Roman" w:cs="Times New Roman"/>
                <w:sz w:val="28"/>
                <w:lang w:val="lv-LV"/>
              </w:rPr>
              <w:t>.gada __.______</w:t>
            </w:r>
          </w:p>
        </w:tc>
      </w:tr>
    </w:tbl>
    <w:p w:rsidR="008C0639" w:rsidRPr="0036244F" w:rsidRDefault="008C0639" w:rsidP="008C0639">
      <w:pPr>
        <w:jc w:val="center"/>
        <w:rPr>
          <w:sz w:val="28"/>
          <w:szCs w:val="28"/>
        </w:rPr>
      </w:pPr>
    </w:p>
    <w:p w:rsidR="008C0639" w:rsidRPr="0036244F" w:rsidRDefault="008C0639" w:rsidP="008C0639">
      <w:pPr>
        <w:jc w:val="center"/>
        <w:rPr>
          <w:b/>
          <w:sz w:val="28"/>
          <w:szCs w:val="28"/>
        </w:rPr>
      </w:pPr>
      <w:r w:rsidRPr="0036244F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36244F">
          <w:rPr>
            <w:b/>
            <w:sz w:val="28"/>
            <w:szCs w:val="28"/>
          </w:rPr>
          <w:t>ziņojums</w:t>
        </w:r>
      </w:smartTag>
      <w:r w:rsidRPr="0036244F">
        <w:rPr>
          <w:b/>
          <w:sz w:val="28"/>
          <w:szCs w:val="28"/>
        </w:rPr>
        <w:t xml:space="preserve"> </w:t>
      </w:r>
      <w:r w:rsidR="00B2643A">
        <w:rPr>
          <w:b/>
          <w:sz w:val="28"/>
          <w:szCs w:val="28"/>
        </w:rPr>
        <w:t>par 2011. gada tautas skaitīšanu</w:t>
      </w:r>
    </w:p>
    <w:p w:rsidR="008C0639" w:rsidRPr="0036244F" w:rsidRDefault="008C0639" w:rsidP="008C0639">
      <w:pPr>
        <w:rPr>
          <w:sz w:val="28"/>
          <w:szCs w:val="28"/>
        </w:rPr>
      </w:pPr>
    </w:p>
    <w:p w:rsidR="008C0639" w:rsidRPr="0036244F" w:rsidRDefault="008C0639" w:rsidP="008C0639">
      <w:pPr>
        <w:ind w:firstLine="720"/>
        <w:jc w:val="both"/>
        <w:rPr>
          <w:sz w:val="28"/>
          <w:szCs w:val="28"/>
        </w:rPr>
      </w:pPr>
      <w:r w:rsidRPr="0036244F">
        <w:rPr>
          <w:sz w:val="28"/>
          <w:szCs w:val="28"/>
        </w:rPr>
        <w:t>1. Pieņemt zināšanai iesniegto informatīvo ziņojumu.</w:t>
      </w:r>
    </w:p>
    <w:p w:rsidR="008C0639" w:rsidRPr="0036244F" w:rsidRDefault="008C0639" w:rsidP="008C0639">
      <w:pPr>
        <w:ind w:firstLine="720"/>
        <w:jc w:val="both"/>
        <w:rPr>
          <w:sz w:val="28"/>
          <w:szCs w:val="28"/>
        </w:rPr>
      </w:pPr>
      <w:r w:rsidRPr="0036244F">
        <w:rPr>
          <w:sz w:val="28"/>
          <w:szCs w:val="28"/>
        </w:rPr>
        <w:t xml:space="preserve">2. Ekonomikas ministrijai </w:t>
      </w:r>
      <w:r w:rsidR="00EA16BB" w:rsidRPr="0036244F">
        <w:rPr>
          <w:sz w:val="28"/>
          <w:szCs w:val="28"/>
        </w:rPr>
        <w:t xml:space="preserve">sagatavot un </w:t>
      </w:r>
      <w:r w:rsidRPr="0036244F">
        <w:rPr>
          <w:sz w:val="28"/>
          <w:szCs w:val="28"/>
        </w:rPr>
        <w:t xml:space="preserve">iesniegt Ministru kabinetā </w:t>
      </w:r>
      <w:r w:rsidR="00EA16BB" w:rsidRPr="0036244F">
        <w:rPr>
          <w:sz w:val="28"/>
          <w:szCs w:val="28"/>
        </w:rPr>
        <w:t>līdz 2011.gada 1</w:t>
      </w:r>
      <w:r w:rsidR="001E0983">
        <w:rPr>
          <w:sz w:val="28"/>
          <w:szCs w:val="28"/>
        </w:rPr>
        <w:t>4</w:t>
      </w:r>
      <w:r w:rsidR="00EA16BB" w:rsidRPr="0036244F">
        <w:rPr>
          <w:sz w:val="28"/>
          <w:szCs w:val="28"/>
        </w:rPr>
        <w:t xml:space="preserve">.janvārim </w:t>
      </w:r>
      <w:r w:rsidR="00831038">
        <w:rPr>
          <w:sz w:val="28"/>
          <w:szCs w:val="28"/>
        </w:rPr>
        <w:t xml:space="preserve">kā Ministru kabineta lietu </w:t>
      </w:r>
      <w:r w:rsidR="00EA16BB" w:rsidRPr="0036244F">
        <w:rPr>
          <w:sz w:val="28"/>
          <w:szCs w:val="28"/>
        </w:rPr>
        <w:t>grozījumus Ministru kabineta 2008.gada 2.jūnija noteikumos Nr. 384 „Noteikumi par 2011. gada tautas skaitīšanas programmu”</w:t>
      </w:r>
      <w:r w:rsidR="0036244F" w:rsidRPr="0036244F">
        <w:rPr>
          <w:sz w:val="28"/>
          <w:szCs w:val="28"/>
        </w:rPr>
        <w:t>,</w:t>
      </w:r>
      <w:r w:rsidR="00EA16BB" w:rsidRPr="0036244F">
        <w:rPr>
          <w:sz w:val="28"/>
          <w:szCs w:val="28"/>
        </w:rPr>
        <w:t xml:space="preserve"> </w:t>
      </w:r>
      <w:r w:rsidRPr="0036244F">
        <w:rPr>
          <w:sz w:val="28"/>
          <w:szCs w:val="28"/>
        </w:rPr>
        <w:t>precizē</w:t>
      </w:r>
      <w:r w:rsidR="0036244F" w:rsidRPr="0036244F">
        <w:rPr>
          <w:sz w:val="28"/>
          <w:szCs w:val="28"/>
        </w:rPr>
        <w:t>jot</w:t>
      </w:r>
      <w:r w:rsidRPr="0036244F">
        <w:rPr>
          <w:sz w:val="28"/>
          <w:szCs w:val="28"/>
        </w:rPr>
        <w:t xml:space="preserve"> 2011.gada tautas skaitīšanas programmu</w:t>
      </w:r>
      <w:r w:rsidR="0036244F" w:rsidRPr="0036244F">
        <w:rPr>
          <w:sz w:val="28"/>
          <w:szCs w:val="28"/>
        </w:rPr>
        <w:t xml:space="preserve"> atbilstoši</w:t>
      </w:r>
      <w:r w:rsidRPr="0036244F">
        <w:rPr>
          <w:sz w:val="28"/>
          <w:szCs w:val="28"/>
        </w:rPr>
        <w:t xml:space="preserve"> informatīvajā ziņojumā norādīt</w:t>
      </w:r>
      <w:r w:rsidR="0036244F" w:rsidRPr="0036244F">
        <w:rPr>
          <w:sz w:val="28"/>
          <w:szCs w:val="28"/>
        </w:rPr>
        <w:t>aja</w:t>
      </w:r>
      <w:r w:rsidR="00D04706">
        <w:rPr>
          <w:sz w:val="28"/>
          <w:szCs w:val="28"/>
        </w:rPr>
        <w:t>i redakcijai</w:t>
      </w:r>
      <w:r w:rsidR="0036244F" w:rsidRPr="0036244F">
        <w:rPr>
          <w:sz w:val="28"/>
          <w:szCs w:val="28"/>
        </w:rPr>
        <w:t xml:space="preserve">, un grozījumus </w:t>
      </w:r>
      <w:r w:rsidR="001E649F">
        <w:rPr>
          <w:sz w:val="28"/>
          <w:szCs w:val="28"/>
        </w:rPr>
        <w:t>Ministru kabineta 2006. gada 6.</w:t>
      </w:r>
      <w:r w:rsidR="0036244F" w:rsidRPr="0036244F">
        <w:rPr>
          <w:sz w:val="28"/>
          <w:szCs w:val="28"/>
        </w:rPr>
        <w:t>novembra noteikumos Nr. 922 “Valsts statistikas pārskatu un anketu veidlapu paraugu apstiprināšanas noteikumi”, apstiprinot</w:t>
      </w:r>
      <w:r w:rsidRPr="0036244F">
        <w:rPr>
          <w:sz w:val="28"/>
          <w:szCs w:val="28"/>
        </w:rPr>
        <w:t xml:space="preserve"> 2011.ga</w:t>
      </w:r>
      <w:r w:rsidR="00831038">
        <w:rPr>
          <w:sz w:val="28"/>
          <w:szCs w:val="28"/>
        </w:rPr>
        <w:t>da tautas skaitīšanas veidlapas.</w:t>
      </w:r>
    </w:p>
    <w:p w:rsidR="008C0639" w:rsidRPr="00B2643A" w:rsidRDefault="00B2643A" w:rsidP="008C06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0639" w:rsidRPr="00B2643A">
        <w:rPr>
          <w:color w:val="000000"/>
          <w:sz w:val="28"/>
          <w:szCs w:val="28"/>
        </w:rPr>
        <w:t>. I</w:t>
      </w:r>
      <w:r w:rsidR="008C0639" w:rsidRPr="00B2643A">
        <w:rPr>
          <w:sz w:val="28"/>
          <w:szCs w:val="28"/>
        </w:rPr>
        <w:t xml:space="preserve">eteikt visiem valsts un pašvaldību iestādēs strādājošajiem izmantot iespēju aizpildīt 2011.gada tautas skaitīšanas anketas par sevi un saviem ģimenes locekļiem internetā, tādējādi racionalizējot tautas skaitītāju darbu, nodrošinot augstāku </w:t>
      </w:r>
      <w:proofErr w:type="spellStart"/>
      <w:r w:rsidR="008C0639" w:rsidRPr="00B2643A">
        <w:rPr>
          <w:sz w:val="28"/>
          <w:szCs w:val="28"/>
        </w:rPr>
        <w:t>atbildētības</w:t>
      </w:r>
      <w:proofErr w:type="spellEnd"/>
      <w:r w:rsidR="008C0639" w:rsidRPr="00B2643A">
        <w:rPr>
          <w:sz w:val="28"/>
          <w:szCs w:val="28"/>
        </w:rPr>
        <w:t xml:space="preserve"> līmeni un augstāku iegūto datu kvalitāti.</w:t>
      </w:r>
    </w:p>
    <w:p w:rsidR="008C0639" w:rsidRDefault="008C0639" w:rsidP="008C0639">
      <w:pPr>
        <w:jc w:val="both"/>
      </w:pPr>
    </w:p>
    <w:p w:rsidR="008C0639" w:rsidRDefault="008C0639" w:rsidP="008C0639"/>
    <w:p w:rsidR="00EA16BB" w:rsidRPr="000A1B67" w:rsidRDefault="00EA16BB" w:rsidP="00EA16BB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0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784">
        <w:rPr>
          <w:sz w:val="28"/>
          <w:szCs w:val="28"/>
        </w:rPr>
        <w:tab/>
      </w:r>
      <w:r w:rsidRPr="000A1B67">
        <w:rPr>
          <w:sz w:val="28"/>
          <w:szCs w:val="28"/>
        </w:rPr>
        <w:t xml:space="preserve">V. </w:t>
      </w:r>
      <w:proofErr w:type="spellStart"/>
      <w:r w:rsidRPr="000A1B67">
        <w:rPr>
          <w:sz w:val="28"/>
          <w:szCs w:val="28"/>
        </w:rPr>
        <w:t>Dombrovskis</w:t>
      </w:r>
      <w:proofErr w:type="spellEnd"/>
    </w:p>
    <w:p w:rsidR="00EA16BB" w:rsidRPr="000A1B67" w:rsidRDefault="00EA16BB" w:rsidP="00EA16BB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EA16BB" w:rsidRPr="000A1B67" w:rsidRDefault="00EA16BB" w:rsidP="00EA16BB">
      <w:pPr>
        <w:pStyle w:val="NormalWeb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0A1B67">
        <w:rPr>
          <w:rFonts w:ascii="Times New Roman" w:hAnsi="Times New Roman" w:cs="Times New Roman"/>
          <w:sz w:val="28"/>
          <w:szCs w:val="28"/>
          <w:lang w:val="lv-LV"/>
        </w:rPr>
        <w:t xml:space="preserve">Ekonomikas </w:t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>ministrs</w:t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A62784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0A1B67">
        <w:rPr>
          <w:rFonts w:ascii="Times New Roman" w:eastAsia="Calibri" w:hAnsi="Times New Roman" w:cs="Times New Roman"/>
          <w:sz w:val="28"/>
          <w:szCs w:val="28"/>
          <w:lang w:val="lv-LV"/>
        </w:rPr>
        <w:t>A. Kampars</w:t>
      </w:r>
    </w:p>
    <w:p w:rsidR="00EA16BB" w:rsidRDefault="00EA16BB" w:rsidP="00EA16BB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9F00CE" w:rsidRPr="000A1B67" w:rsidRDefault="009F00CE" w:rsidP="00EA16BB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EA16BB" w:rsidRPr="000A1B67" w:rsidRDefault="00EA16BB" w:rsidP="00EA16BB">
      <w:pPr>
        <w:rPr>
          <w:sz w:val="28"/>
          <w:szCs w:val="28"/>
        </w:rPr>
      </w:pPr>
      <w:r w:rsidRPr="000A1B67">
        <w:rPr>
          <w:sz w:val="28"/>
          <w:szCs w:val="28"/>
        </w:rPr>
        <w:t>Iesniedzējs: Ekonomikas ministrs</w:t>
      </w:r>
      <w:r w:rsidRPr="000A1B67">
        <w:rPr>
          <w:sz w:val="28"/>
          <w:szCs w:val="28"/>
        </w:rPr>
        <w:tab/>
      </w:r>
      <w:r w:rsidRPr="000A1B67">
        <w:rPr>
          <w:sz w:val="28"/>
          <w:szCs w:val="28"/>
        </w:rPr>
        <w:tab/>
      </w:r>
      <w:r w:rsidRPr="000A1B67">
        <w:rPr>
          <w:sz w:val="28"/>
          <w:szCs w:val="28"/>
        </w:rPr>
        <w:tab/>
      </w:r>
      <w:r w:rsidRPr="000A1B67">
        <w:rPr>
          <w:sz w:val="28"/>
          <w:szCs w:val="28"/>
        </w:rPr>
        <w:tab/>
      </w:r>
      <w:r w:rsidR="00A62784">
        <w:rPr>
          <w:sz w:val="28"/>
          <w:szCs w:val="28"/>
        </w:rPr>
        <w:tab/>
      </w:r>
      <w:r w:rsidRPr="000A1B67">
        <w:rPr>
          <w:sz w:val="28"/>
          <w:szCs w:val="28"/>
        </w:rPr>
        <w:t>A. Kampars</w:t>
      </w:r>
    </w:p>
    <w:p w:rsidR="00EA16BB" w:rsidRDefault="00EA16BB" w:rsidP="00EA16BB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9F00CE" w:rsidRPr="000A1B67" w:rsidRDefault="009F00CE" w:rsidP="00EA16BB">
      <w:pPr>
        <w:pStyle w:val="BalloonText"/>
        <w:rPr>
          <w:rFonts w:ascii="Times New Roman" w:hAnsi="Times New Roman" w:cs="Times New Roman"/>
          <w:sz w:val="28"/>
          <w:szCs w:val="28"/>
        </w:rPr>
      </w:pPr>
    </w:p>
    <w:p w:rsidR="00BB49D9" w:rsidRDefault="00BB49D9" w:rsidP="00BB49D9">
      <w:pPr>
        <w:jc w:val="both"/>
        <w:rPr>
          <w:sz w:val="28"/>
          <w:szCs w:val="28"/>
        </w:rPr>
      </w:pPr>
      <w:r w:rsidRPr="00500917">
        <w:rPr>
          <w:sz w:val="28"/>
          <w:szCs w:val="28"/>
        </w:rPr>
        <w:t xml:space="preserve">Vīza: </w:t>
      </w:r>
      <w:r>
        <w:rPr>
          <w:sz w:val="28"/>
          <w:szCs w:val="28"/>
        </w:rPr>
        <w:t>Valsts sekretāra vietā</w:t>
      </w:r>
    </w:p>
    <w:p w:rsidR="00BB49D9" w:rsidRPr="00500917" w:rsidRDefault="00BB49D9" w:rsidP="00BB49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valsts sekretāra vietnieks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BC6">
        <w:rPr>
          <w:sz w:val="28"/>
          <w:szCs w:val="28"/>
        </w:rPr>
        <w:t>G.Ābele</w:t>
      </w:r>
    </w:p>
    <w:p w:rsidR="00A41AA0" w:rsidRPr="00691427" w:rsidRDefault="002D64BB" w:rsidP="00A41AA0">
      <w:pPr>
        <w:pStyle w:val="Subtitle"/>
        <w:widowControl/>
        <w:spacing w:after="0"/>
        <w:rPr>
          <w:lang w:val="lv-LV"/>
        </w:rPr>
      </w:pPr>
      <w:r w:rsidRPr="00691427">
        <w:rPr>
          <w:b w:val="0"/>
          <w:bCs/>
          <w:sz w:val="20"/>
          <w:lang w:val="lv-LV"/>
        </w:rPr>
        <w:fldChar w:fldCharType="begin"/>
      </w:r>
      <w:r w:rsidR="00A41AA0" w:rsidRPr="00691427">
        <w:rPr>
          <w:b w:val="0"/>
          <w:bCs/>
          <w:sz w:val="20"/>
          <w:lang w:val="lv-LV"/>
        </w:rPr>
        <w:instrText xml:space="preserve"> SAVEDATE  \@ "dd.MM.yyyy HH:mm"  \* MERGEFORMAT </w:instrText>
      </w:r>
      <w:r w:rsidRPr="00691427">
        <w:rPr>
          <w:b w:val="0"/>
          <w:bCs/>
          <w:sz w:val="20"/>
          <w:lang w:val="lv-LV"/>
        </w:rPr>
        <w:fldChar w:fldCharType="separate"/>
      </w:r>
      <w:r w:rsidR="00E5737E">
        <w:rPr>
          <w:b w:val="0"/>
          <w:bCs/>
          <w:noProof/>
          <w:sz w:val="20"/>
          <w:lang w:val="lv-LV"/>
        </w:rPr>
        <w:t>29.12.2010 08:51</w:t>
      </w:r>
      <w:r w:rsidRPr="00691427">
        <w:rPr>
          <w:b w:val="0"/>
          <w:bCs/>
          <w:sz w:val="20"/>
          <w:lang w:val="lv-LV"/>
        </w:rPr>
        <w:fldChar w:fldCharType="end"/>
      </w:r>
      <w:r w:rsidR="00A41AA0" w:rsidRPr="00691427">
        <w:rPr>
          <w:b w:val="0"/>
          <w:bCs/>
          <w:sz w:val="20"/>
          <w:lang w:val="lv-LV"/>
        </w:rPr>
        <w:br/>
      </w:r>
      <w:fldSimple w:instr=" NUMWORDS   \* MERGEFORMAT ">
        <w:r w:rsidR="005923CF" w:rsidRPr="005923CF">
          <w:rPr>
            <w:b w:val="0"/>
            <w:bCs/>
            <w:noProof/>
            <w:sz w:val="20"/>
            <w:lang w:val="lv-LV"/>
          </w:rPr>
          <w:t>151</w:t>
        </w:r>
      </w:fldSimple>
      <w:r w:rsidR="00A41AA0" w:rsidRPr="00691427">
        <w:rPr>
          <w:b w:val="0"/>
          <w:bCs/>
          <w:sz w:val="20"/>
          <w:lang w:val="lv-LV"/>
        </w:rPr>
        <w:br/>
        <w:t>Ušpelis</w:t>
      </w:r>
      <w:r w:rsidR="00A41AA0" w:rsidRPr="00691427">
        <w:rPr>
          <w:b w:val="0"/>
          <w:bCs/>
          <w:sz w:val="20"/>
          <w:lang w:val="lv-LV"/>
        </w:rPr>
        <w:br/>
        <w:t xml:space="preserve">67013164, </w:t>
      </w:r>
      <w:hyperlink r:id="rId7" w:history="1">
        <w:r w:rsidR="00A41AA0" w:rsidRPr="00691427">
          <w:rPr>
            <w:rStyle w:val="Hyperlink"/>
            <w:b w:val="0"/>
            <w:bCs/>
            <w:sz w:val="20"/>
            <w:lang w:val="lv-LV"/>
          </w:rPr>
          <w:t>Janis.Uspelis@em.gov.lv</w:t>
        </w:r>
      </w:hyperlink>
    </w:p>
    <w:p w:rsidR="00A41AA0" w:rsidRDefault="00A41AA0"/>
    <w:sectPr w:rsidR="00A41AA0" w:rsidSect="00A13490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2A" w:rsidRDefault="00DC532A">
      <w:r>
        <w:separator/>
      </w:r>
    </w:p>
  </w:endnote>
  <w:endnote w:type="continuationSeparator" w:id="0">
    <w:p w:rsidR="00DC532A" w:rsidRDefault="00DC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43A" w:rsidRPr="00B2643A" w:rsidRDefault="002D64BB" w:rsidP="00B2643A">
    <w:pPr>
      <w:rPr>
        <w:sz w:val="20"/>
        <w:szCs w:val="20"/>
      </w:rPr>
    </w:pPr>
    <w:r w:rsidRPr="00B2643A">
      <w:rPr>
        <w:sz w:val="20"/>
        <w:szCs w:val="20"/>
      </w:rPr>
      <w:fldChar w:fldCharType="begin"/>
    </w:r>
    <w:r w:rsidR="000C2C66" w:rsidRPr="00B2643A">
      <w:rPr>
        <w:sz w:val="20"/>
        <w:szCs w:val="20"/>
      </w:rPr>
      <w:instrText xml:space="preserve"> FILENAME </w:instrText>
    </w:r>
    <w:r w:rsidRPr="00B2643A">
      <w:rPr>
        <w:sz w:val="20"/>
        <w:szCs w:val="20"/>
      </w:rPr>
      <w:fldChar w:fldCharType="separate"/>
    </w:r>
    <w:r w:rsidR="00E5737E">
      <w:rPr>
        <w:noProof/>
        <w:sz w:val="20"/>
        <w:szCs w:val="20"/>
      </w:rPr>
      <w:t>EMProt_291210_TSZin</w:t>
    </w:r>
    <w:r w:rsidRPr="00B2643A">
      <w:rPr>
        <w:sz w:val="20"/>
        <w:szCs w:val="20"/>
      </w:rPr>
      <w:fldChar w:fldCharType="end"/>
    </w:r>
    <w:r w:rsidR="00B2643A" w:rsidRPr="00B2643A">
      <w:rPr>
        <w:sz w:val="20"/>
        <w:szCs w:val="20"/>
      </w:rPr>
      <w:t xml:space="preserve">; Informatīvais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B2643A" w:rsidRPr="00B2643A">
        <w:rPr>
          <w:sz w:val="20"/>
          <w:szCs w:val="20"/>
        </w:rPr>
        <w:t>ziņojums</w:t>
      </w:r>
    </w:smartTag>
    <w:r w:rsidR="00B2643A" w:rsidRPr="00B2643A">
      <w:rPr>
        <w:sz w:val="20"/>
        <w:szCs w:val="20"/>
      </w:rPr>
      <w:t xml:space="preserve"> par 2011. gada tautas skaitīšanu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2A" w:rsidRDefault="00DC532A">
      <w:r>
        <w:separator/>
      </w:r>
    </w:p>
  </w:footnote>
  <w:footnote w:type="continuationSeparator" w:id="0">
    <w:p w:rsidR="00DC532A" w:rsidRDefault="00DC5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853F6"/>
    <w:multiLevelType w:val="hybridMultilevel"/>
    <w:tmpl w:val="34E0CD62"/>
    <w:lvl w:ilvl="0" w:tplc="7E7025A6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39"/>
    <w:rsid w:val="000C2C66"/>
    <w:rsid w:val="001B1623"/>
    <w:rsid w:val="001E0983"/>
    <w:rsid w:val="001E649F"/>
    <w:rsid w:val="002D64BB"/>
    <w:rsid w:val="00324A89"/>
    <w:rsid w:val="0036244F"/>
    <w:rsid w:val="003764F0"/>
    <w:rsid w:val="0038601A"/>
    <w:rsid w:val="0040140F"/>
    <w:rsid w:val="00410F16"/>
    <w:rsid w:val="004B166A"/>
    <w:rsid w:val="004F6780"/>
    <w:rsid w:val="00555BC6"/>
    <w:rsid w:val="005923CF"/>
    <w:rsid w:val="00654EEC"/>
    <w:rsid w:val="006F0D87"/>
    <w:rsid w:val="007F20F8"/>
    <w:rsid w:val="00830734"/>
    <w:rsid w:val="00831038"/>
    <w:rsid w:val="0087426D"/>
    <w:rsid w:val="008C0639"/>
    <w:rsid w:val="00926A54"/>
    <w:rsid w:val="00963508"/>
    <w:rsid w:val="009F00CE"/>
    <w:rsid w:val="00A13490"/>
    <w:rsid w:val="00A41AA0"/>
    <w:rsid w:val="00A62784"/>
    <w:rsid w:val="00B2643A"/>
    <w:rsid w:val="00BB49D9"/>
    <w:rsid w:val="00C704F6"/>
    <w:rsid w:val="00C70A06"/>
    <w:rsid w:val="00D04706"/>
    <w:rsid w:val="00D23187"/>
    <w:rsid w:val="00DC532A"/>
    <w:rsid w:val="00E5737E"/>
    <w:rsid w:val="00E73FC6"/>
    <w:rsid w:val="00E753CB"/>
    <w:rsid w:val="00EA16BB"/>
    <w:rsid w:val="00F3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063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C063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41AA0"/>
    <w:rPr>
      <w:rFonts w:ascii="Times New Roman" w:hAnsi="Times New Roman" w:cs="Times New Roman"/>
      <w:color w:val="0000FF"/>
      <w:u w:val="single"/>
    </w:rPr>
  </w:style>
  <w:style w:type="paragraph" w:styleId="Subtitle">
    <w:name w:val="Subtitle"/>
    <w:basedOn w:val="Normal"/>
    <w:next w:val="Normal"/>
    <w:qFormat/>
    <w:rsid w:val="00A41AA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styleId="NormalWeb">
    <w:name w:val="Normal (Web)"/>
    <w:basedOn w:val="Normal"/>
    <w:rsid w:val="00EA16B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EA16BB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A16B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is.Uspeli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1299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2011. gada tautas skaitīšanu</vt:lpstr>
    </vt:vector>
  </TitlesOfParts>
  <Company>Ekonomikas ministrija</Company>
  <LinksUpToDate>false</LinksUpToDate>
  <CharactersWithSpaces>1449</CharactersWithSpaces>
  <SharedDoc>false</SharedDoc>
  <HLinks>
    <vt:vector size="6" baseType="variant">
      <vt:variant>
        <vt:i4>7536707</vt:i4>
      </vt:variant>
      <vt:variant>
        <vt:i4>6</vt:i4>
      </vt:variant>
      <vt:variant>
        <vt:i4>0</vt:i4>
      </vt:variant>
      <vt:variant>
        <vt:i4>5</vt:i4>
      </vt:variant>
      <vt:variant>
        <vt:lpwstr>mailto:Janis.Uspelis@em.gov.lv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2011. gada tautas skaitīšanu</dc:title>
  <dc:subject>Protokollēmums</dc:subject>
  <dc:creator>Jānis Ušpelis</dc:creator>
  <cp:keywords/>
  <dc:description>67013164,Janis.Uspelis@em.gov.lv</dc:description>
  <cp:lastModifiedBy>Jānis Ušpelis</cp:lastModifiedBy>
  <cp:revision>6</cp:revision>
  <cp:lastPrinted>2010-12-16T13:50:00Z</cp:lastPrinted>
  <dcterms:created xsi:type="dcterms:W3CDTF">2010-12-28T14:44:00Z</dcterms:created>
  <dcterms:modified xsi:type="dcterms:W3CDTF">2010-12-29T06:51:00Z</dcterms:modified>
</cp:coreProperties>
</file>