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E" w:rsidRDefault="0087684E" w:rsidP="00971082">
      <w:pPr>
        <w:spacing w:after="120"/>
        <w:jc w:val="right"/>
        <w:rPr>
          <w:rFonts w:ascii="Times New Roman BaltRim" w:hAnsi="Times New Roman BaltRim"/>
          <w:sz w:val="28"/>
          <w:szCs w:val="28"/>
        </w:rPr>
      </w:pPr>
      <w:r w:rsidRPr="001B42A9">
        <w:rPr>
          <w:rFonts w:ascii="Times New Roman BaltRim" w:hAnsi="Times New Roman BaltRim"/>
          <w:sz w:val="28"/>
          <w:szCs w:val="28"/>
        </w:rPr>
        <w:t>Projekts</w:t>
      </w:r>
    </w:p>
    <w:p w:rsidR="00971082" w:rsidRPr="001B42A9" w:rsidRDefault="00971082" w:rsidP="00971082">
      <w:pPr>
        <w:spacing w:after="120"/>
        <w:jc w:val="right"/>
        <w:rPr>
          <w:rFonts w:ascii="Times New Roman BaltRim" w:hAnsi="Times New Roman BaltRim"/>
          <w:sz w:val="28"/>
          <w:szCs w:val="28"/>
        </w:rPr>
      </w:pPr>
    </w:p>
    <w:p w:rsidR="0087684E" w:rsidRDefault="0087684E" w:rsidP="0087684E">
      <w:pPr>
        <w:spacing w:after="120"/>
        <w:jc w:val="center"/>
        <w:rPr>
          <w:rFonts w:ascii="Times New Roman BaltRim" w:hAnsi="Times New Roman BaltRim"/>
          <w:sz w:val="28"/>
          <w:szCs w:val="28"/>
        </w:rPr>
      </w:pPr>
      <w:r w:rsidRPr="001B42A9">
        <w:rPr>
          <w:rFonts w:ascii="Times New Roman BaltRim" w:hAnsi="Times New Roman BaltRim"/>
          <w:sz w:val="28"/>
          <w:szCs w:val="28"/>
        </w:rPr>
        <w:t>LATVIJAS REPUBLIKAS MINISTRU KABINETS</w:t>
      </w:r>
    </w:p>
    <w:p w:rsidR="00971082" w:rsidRPr="001B42A9" w:rsidRDefault="00971082" w:rsidP="0087684E">
      <w:pPr>
        <w:spacing w:after="120"/>
        <w:jc w:val="center"/>
        <w:rPr>
          <w:rFonts w:ascii="Times New Roman BaltRim" w:hAnsi="Times New Roman BaltRim"/>
          <w:sz w:val="28"/>
          <w:szCs w:val="28"/>
        </w:rPr>
      </w:pPr>
    </w:p>
    <w:p w:rsidR="0087684E" w:rsidRDefault="0087684E" w:rsidP="0087684E">
      <w:pPr>
        <w:tabs>
          <w:tab w:val="left" w:pos="6663"/>
        </w:tabs>
        <w:jc w:val="both"/>
        <w:rPr>
          <w:rFonts w:ascii="Times New Roman BaltRim" w:hAnsi="Times New Roman BaltRim"/>
          <w:sz w:val="28"/>
          <w:szCs w:val="28"/>
        </w:rPr>
      </w:pPr>
      <w:r>
        <w:rPr>
          <w:rFonts w:ascii="Times New Roman BaltRim" w:hAnsi="Times New Roman BaltRim"/>
          <w:sz w:val="28"/>
          <w:szCs w:val="28"/>
        </w:rPr>
        <w:t>2012</w:t>
      </w:r>
      <w:r w:rsidRPr="001B42A9">
        <w:rPr>
          <w:rFonts w:ascii="Times New Roman BaltRim" w:hAnsi="Times New Roman BaltRim"/>
          <w:sz w:val="28"/>
          <w:szCs w:val="28"/>
        </w:rPr>
        <w:t>.gada</w:t>
      </w:r>
      <w:r w:rsidRPr="001B42A9">
        <w:rPr>
          <w:rFonts w:ascii="Times New Roman BaltRim" w:hAnsi="Times New Roman BaltRim"/>
          <w:sz w:val="28"/>
          <w:szCs w:val="28"/>
        </w:rPr>
        <w:tab/>
        <w:t>Rīkojums Nr.______</w:t>
      </w:r>
    </w:p>
    <w:p w:rsidR="00971082" w:rsidRPr="001B42A9" w:rsidRDefault="00971082" w:rsidP="0087684E">
      <w:pPr>
        <w:tabs>
          <w:tab w:val="left" w:pos="6663"/>
        </w:tabs>
        <w:jc w:val="both"/>
        <w:rPr>
          <w:rFonts w:ascii="Times New Roman BaltRim" w:hAnsi="Times New Roman BaltRim"/>
          <w:sz w:val="28"/>
          <w:szCs w:val="28"/>
        </w:rPr>
      </w:pPr>
    </w:p>
    <w:p w:rsidR="0087684E" w:rsidRDefault="0087684E" w:rsidP="00971082">
      <w:pPr>
        <w:tabs>
          <w:tab w:val="left" w:pos="7230"/>
        </w:tabs>
        <w:jc w:val="both"/>
        <w:rPr>
          <w:rFonts w:ascii="Times New Roman BaltRim" w:hAnsi="Times New Roman BaltRim"/>
          <w:sz w:val="28"/>
          <w:szCs w:val="28"/>
        </w:rPr>
      </w:pPr>
      <w:r>
        <w:rPr>
          <w:rFonts w:ascii="Times New Roman BaltRim" w:hAnsi="Times New Roman BaltRim"/>
          <w:sz w:val="28"/>
          <w:szCs w:val="28"/>
        </w:rPr>
        <w:t>Rīgā</w:t>
      </w:r>
      <w:r>
        <w:rPr>
          <w:rFonts w:ascii="Times New Roman BaltRim" w:hAnsi="Times New Roman BaltRim"/>
          <w:sz w:val="28"/>
          <w:szCs w:val="28"/>
        </w:rPr>
        <w:tab/>
        <w:t>(prot.Nr.____</w:t>
      </w:r>
      <w:r w:rsidRPr="001B42A9">
        <w:rPr>
          <w:rFonts w:ascii="Times New Roman BaltRim" w:hAnsi="Times New Roman BaltRim"/>
          <w:sz w:val="28"/>
          <w:szCs w:val="28"/>
        </w:rPr>
        <w:t>_)</w:t>
      </w:r>
    </w:p>
    <w:p w:rsidR="00971082" w:rsidRDefault="00971082" w:rsidP="00971082">
      <w:pPr>
        <w:tabs>
          <w:tab w:val="left" w:pos="7230"/>
        </w:tabs>
        <w:jc w:val="both"/>
        <w:rPr>
          <w:rFonts w:ascii="Times New Roman BaltRim" w:hAnsi="Times New Roman BaltRim"/>
          <w:sz w:val="28"/>
          <w:szCs w:val="28"/>
        </w:rPr>
      </w:pPr>
    </w:p>
    <w:p w:rsidR="00971082" w:rsidRDefault="00971082" w:rsidP="00971082">
      <w:pPr>
        <w:tabs>
          <w:tab w:val="left" w:pos="7230"/>
        </w:tabs>
        <w:jc w:val="both"/>
        <w:rPr>
          <w:rFonts w:ascii="Times New Roman BaltRim" w:hAnsi="Times New Roman BaltRim"/>
          <w:sz w:val="28"/>
          <w:szCs w:val="28"/>
        </w:rPr>
      </w:pPr>
    </w:p>
    <w:p w:rsidR="00971082" w:rsidRPr="001B42A9" w:rsidRDefault="00971082" w:rsidP="00971082">
      <w:pPr>
        <w:tabs>
          <w:tab w:val="left" w:pos="7230"/>
        </w:tabs>
        <w:jc w:val="both"/>
        <w:rPr>
          <w:rFonts w:ascii="Times New Roman BaltRim" w:hAnsi="Times New Roman BaltRim"/>
          <w:sz w:val="28"/>
          <w:szCs w:val="28"/>
        </w:rPr>
      </w:pPr>
    </w:p>
    <w:p w:rsidR="00965A60" w:rsidRDefault="00965A60" w:rsidP="00FA4359">
      <w:r>
        <w:t xml:space="preserve"> </w:t>
      </w:r>
    </w:p>
    <w:p w:rsidR="00965A60" w:rsidRDefault="00965A60" w:rsidP="00FA4359">
      <w:pPr>
        <w:pStyle w:val="BodyText2"/>
      </w:pPr>
      <w:r>
        <w:t>Par pretendentu un ierēdņu vērtēšanas komisiju</w:t>
      </w:r>
    </w:p>
    <w:p w:rsidR="00971082" w:rsidRDefault="00971082" w:rsidP="00FA4359">
      <w:pPr>
        <w:pStyle w:val="BodyText2"/>
      </w:pPr>
    </w:p>
    <w:p w:rsidR="00965A60" w:rsidRPr="00785CA4" w:rsidRDefault="00965A60" w:rsidP="00FA4359">
      <w:pPr>
        <w:pStyle w:val="BodyText2"/>
        <w:rPr>
          <w:b w:val="0"/>
        </w:rPr>
      </w:pPr>
    </w:p>
    <w:p w:rsidR="004306CC" w:rsidRDefault="00965A60" w:rsidP="0087684E">
      <w:pPr>
        <w:pStyle w:val="BodyText"/>
        <w:spacing w:before="0" w:after="120"/>
        <w:ind w:firstLine="720"/>
      </w:pPr>
      <w:r>
        <w:t xml:space="preserve">1. Lai saskaņā ar Valsts civildienesta likuma 9.panta pirmās daļas 1.punktu izvērtētu pretendentu atbilstību </w:t>
      </w:r>
      <w:r w:rsidR="00B65BA0">
        <w:t xml:space="preserve">Ekonomikas </w:t>
      </w:r>
      <w:r>
        <w:t xml:space="preserve">ministrijas valsts sekretāra amatam un </w:t>
      </w:r>
      <w:r w:rsidR="00B65BA0" w:rsidRPr="00B65BA0">
        <w:t>Ekonomikas</w:t>
      </w:r>
      <w:r>
        <w:t xml:space="preserve"> ministrijas padotībā esošo iestāžu vadītāju amatiem, kā arī saskaņā ar Valsts civildienesta likuma 35.panta otro daļu novērtētu </w:t>
      </w:r>
      <w:r w:rsidR="00B65BA0" w:rsidRPr="00B65BA0">
        <w:t>Ekonomikas</w:t>
      </w:r>
      <w:r>
        <w:t xml:space="preserve"> ministrijas valsts sekretāra un </w:t>
      </w:r>
      <w:r w:rsidR="00B65BA0" w:rsidRPr="00B65BA0">
        <w:t xml:space="preserve">Ekonomikas </w:t>
      </w:r>
      <w:r>
        <w:t xml:space="preserve">ministrijas padotībā esošo iestāžu vadītāju darbību un tās rezultātus, pēc </w:t>
      </w:r>
      <w:r w:rsidR="00B65BA0">
        <w:t>ekonomikas</w:t>
      </w:r>
      <w:r>
        <w:t xml:space="preserve"> ministra ieteikuma apstiprināt to personu sarakstu, kuras var iekļaut pretendentu un ierēdņu vērtēšanas komisijā: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I.Antāne</w:t>
      </w:r>
      <w:r w:rsidRPr="004306CC">
        <w:rPr>
          <w:sz w:val="28"/>
          <w:szCs w:val="20"/>
        </w:rPr>
        <w:tab/>
        <w:t xml:space="preserve">– Vides aizsardzības un reģionālās attīstības ministrijas Ministra padomniece juridiskajos jautājumos 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I.Apsīte</w:t>
      </w:r>
      <w:r w:rsidRPr="004306CC">
        <w:rPr>
          <w:sz w:val="28"/>
          <w:szCs w:val="20"/>
        </w:rPr>
        <w:tab/>
        <w:t>– Ekonomikas ministrijas Iekšējā tirgus departamenta direktore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G.Ābele</w:t>
      </w:r>
      <w:r w:rsidRPr="004306CC">
        <w:rPr>
          <w:sz w:val="28"/>
          <w:szCs w:val="20"/>
        </w:rPr>
        <w:tab/>
        <w:t>– Ekonomikas ministrijas valsts sekretāra vietnieks</w:t>
      </w:r>
    </w:p>
    <w:p w:rsidR="005A4EDA" w:rsidRDefault="005A4EDA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5A4EDA">
        <w:rPr>
          <w:sz w:val="28"/>
          <w:szCs w:val="20"/>
        </w:rPr>
        <w:t>O.Barānovs</w:t>
      </w:r>
      <w:r>
        <w:rPr>
          <w:sz w:val="28"/>
          <w:szCs w:val="20"/>
        </w:rPr>
        <w:t xml:space="preserve">            </w:t>
      </w:r>
      <w:r w:rsidRPr="005A4EDA">
        <w:rPr>
          <w:sz w:val="28"/>
          <w:szCs w:val="20"/>
        </w:rPr>
        <w:t xml:space="preserve"> – Ekonomikas ministrijas Tautsaimniecības struktūrpolitikas departamenta direktors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S.Bajāre</w:t>
      </w:r>
      <w:r w:rsidRPr="004306CC">
        <w:rPr>
          <w:sz w:val="28"/>
          <w:szCs w:val="20"/>
        </w:rPr>
        <w:tab/>
        <w:t>– Finanšu ministrijas valsts sekretāre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I.Beināre</w:t>
      </w:r>
      <w:r w:rsidRPr="004306CC">
        <w:rPr>
          <w:sz w:val="28"/>
          <w:szCs w:val="20"/>
        </w:rPr>
        <w:tab/>
        <w:t>– Ekonomikas ministrijas Uzņēmējdarbības konkurētspējas departamenta direktore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N.Bergs</w:t>
      </w:r>
      <w:r w:rsidRPr="004306CC">
        <w:rPr>
          <w:sz w:val="28"/>
          <w:szCs w:val="20"/>
        </w:rPr>
        <w:tab/>
        <w:t>– Latvijas Elektrotehnikas un elektronikas rūpniecības asociācijas valdes loceklis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M.Bičevskis</w:t>
      </w:r>
      <w:r w:rsidRPr="004306CC">
        <w:rPr>
          <w:sz w:val="28"/>
          <w:szCs w:val="20"/>
        </w:rPr>
        <w:tab/>
        <w:t xml:space="preserve"> – Latvijas Komercbanku asociācijas prezidents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E.Dreimane</w:t>
      </w:r>
      <w:r w:rsidRPr="004306CC">
        <w:rPr>
          <w:sz w:val="28"/>
          <w:szCs w:val="20"/>
        </w:rPr>
        <w:tab/>
        <w:t>– Valsts kancelejas direktore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I.Druviete</w:t>
      </w:r>
      <w:r w:rsidRPr="004306CC">
        <w:rPr>
          <w:sz w:val="28"/>
          <w:szCs w:val="20"/>
        </w:rPr>
        <w:tab/>
        <w:t>– Ekonomikas ministra padomniece juridiskajos jautājumos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lastRenderedPageBreak/>
        <w:t>A.Eberhards</w:t>
      </w:r>
      <w:r w:rsidRPr="004306CC">
        <w:rPr>
          <w:sz w:val="28"/>
          <w:szCs w:val="20"/>
        </w:rPr>
        <w:tab/>
        <w:t>– Finanšu ministrijas valsts sekretāra vietnieks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J.Endziņš</w:t>
      </w:r>
      <w:r w:rsidRPr="004306CC">
        <w:rPr>
          <w:sz w:val="28"/>
          <w:szCs w:val="20"/>
        </w:rPr>
        <w:tab/>
        <w:t>– Latvijas Tirdzniecības un rūpniecības kameras valdes priekšsēdētājs</w:t>
      </w:r>
    </w:p>
    <w:p w:rsidR="005A4EDA" w:rsidRDefault="005A4EDA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5A4EDA">
        <w:rPr>
          <w:sz w:val="28"/>
          <w:szCs w:val="20"/>
        </w:rPr>
        <w:t>V.Feodorova          – Ekonomikas ministrijas Stratēģiskās plānošanas un resursu vadības departamenta direktore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Ģ.Greiškalns</w:t>
      </w:r>
      <w:r w:rsidRPr="004306CC">
        <w:rPr>
          <w:sz w:val="28"/>
          <w:szCs w:val="20"/>
        </w:rPr>
        <w:tab/>
        <w:t xml:space="preserve">– biedrības „Ārvalstu investoru padomes Latvijā” izpilddirektors </w:t>
      </w:r>
    </w:p>
    <w:p w:rsidR="005A4EDA" w:rsidRDefault="005A4EDA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5A4EDA">
        <w:rPr>
          <w:sz w:val="28"/>
          <w:szCs w:val="20"/>
        </w:rPr>
        <w:t>I.Jaunzeme</w:t>
      </w:r>
      <w:r>
        <w:rPr>
          <w:sz w:val="28"/>
          <w:szCs w:val="20"/>
        </w:rPr>
        <w:t xml:space="preserve">             </w:t>
      </w:r>
      <w:r w:rsidRPr="005A4EDA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Pr="005A4EDA">
        <w:rPr>
          <w:sz w:val="28"/>
          <w:szCs w:val="20"/>
        </w:rPr>
        <w:t>Labklājības ministrija</w:t>
      </w:r>
      <w:r>
        <w:rPr>
          <w:sz w:val="28"/>
          <w:szCs w:val="20"/>
        </w:rPr>
        <w:t xml:space="preserve">s valsts </w:t>
      </w:r>
      <w:r w:rsidRPr="005A4EDA">
        <w:rPr>
          <w:sz w:val="28"/>
          <w:szCs w:val="20"/>
        </w:rPr>
        <w:t>sekretāre</w:t>
      </w:r>
    </w:p>
    <w:p w:rsidR="00636CB0" w:rsidRDefault="00636CB0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636CB0">
        <w:rPr>
          <w:sz w:val="28"/>
          <w:szCs w:val="20"/>
        </w:rPr>
        <w:t>Z.Kalniņa-Lukaševica</w:t>
      </w:r>
      <w:r w:rsidRPr="00636CB0">
        <w:rPr>
          <w:sz w:val="28"/>
          <w:szCs w:val="20"/>
        </w:rPr>
        <w:tab/>
        <w:t xml:space="preserve">– Saeimas deputāte </w:t>
      </w:r>
      <w:bookmarkStart w:id="0" w:name="_GoBack"/>
      <w:bookmarkEnd w:id="0"/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K.Klauss</w:t>
      </w:r>
      <w:r w:rsidRPr="004306CC">
        <w:rPr>
          <w:sz w:val="28"/>
          <w:szCs w:val="20"/>
        </w:rPr>
        <w:tab/>
        <w:t>– biedrības "Latvijas Kokrūpniecības federācija" izpilddirektors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M.Krieviņš</w:t>
      </w:r>
      <w:r w:rsidRPr="004306CC">
        <w:rPr>
          <w:sz w:val="28"/>
          <w:szCs w:val="20"/>
        </w:rPr>
        <w:tab/>
        <w:t>– Pārresoru koordinācijas centra vadītājs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M.Lazdovskis</w:t>
      </w:r>
      <w:r w:rsidRPr="004306CC">
        <w:rPr>
          <w:sz w:val="28"/>
          <w:szCs w:val="20"/>
        </w:rPr>
        <w:tab/>
        <w:t>– Tieslietu ministrijas valsts sekretārs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Z.Liepiņa</w:t>
      </w:r>
      <w:r w:rsidRPr="004306CC">
        <w:rPr>
          <w:sz w:val="28"/>
          <w:szCs w:val="20"/>
        </w:rPr>
        <w:tab/>
        <w:t>– Ekonomikas ministrijas valsts sekretāra vietniece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A.Liepiņš</w:t>
      </w:r>
      <w:r w:rsidRPr="004306CC">
        <w:rPr>
          <w:sz w:val="28"/>
          <w:szCs w:val="20"/>
        </w:rPr>
        <w:tab/>
        <w:t>– Ekonomikas ministrijas valsts sekretāra vietnieks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D.Lucaua</w:t>
      </w:r>
      <w:r w:rsidRPr="004306CC">
        <w:rPr>
          <w:sz w:val="28"/>
          <w:szCs w:val="20"/>
        </w:rPr>
        <w:tab/>
        <w:t>– Zemkopības ministrijas valsts sekretāre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L.Meņģelsone</w:t>
      </w:r>
      <w:r w:rsidRPr="004306CC">
        <w:rPr>
          <w:sz w:val="28"/>
          <w:szCs w:val="20"/>
        </w:rPr>
        <w:tab/>
        <w:t xml:space="preserve">– Darba devēju konfederācijas ģenerāldirektore 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D.Merirands</w:t>
      </w:r>
      <w:r w:rsidRPr="004306CC">
        <w:rPr>
          <w:sz w:val="28"/>
          <w:szCs w:val="20"/>
        </w:rPr>
        <w:tab/>
        <w:t>– Ekonomikas ministrijas Enerģētikas departamenta direktors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I.Oša</w:t>
      </w:r>
      <w:r w:rsidRPr="004306CC">
        <w:rPr>
          <w:sz w:val="28"/>
          <w:szCs w:val="20"/>
        </w:rPr>
        <w:tab/>
        <w:t>– Ekonomikas ministrijas Būvniecības un mājokļu politikas departamenta direktore</w:t>
      </w:r>
    </w:p>
    <w:p w:rsidR="005A4EDA" w:rsidRDefault="005A4EDA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>
        <w:rPr>
          <w:sz w:val="28"/>
          <w:szCs w:val="20"/>
        </w:rPr>
        <w:t>D.Pavļuts</w:t>
      </w:r>
      <w:r w:rsidRPr="005A4EDA">
        <w:rPr>
          <w:sz w:val="28"/>
          <w:szCs w:val="20"/>
        </w:rPr>
        <w:tab/>
        <w:t xml:space="preserve">– </w:t>
      </w:r>
      <w:r>
        <w:rPr>
          <w:sz w:val="28"/>
          <w:szCs w:val="20"/>
        </w:rPr>
        <w:t>ekonomikas ministrs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J.Pūce</w:t>
      </w:r>
      <w:r w:rsidRPr="004306CC">
        <w:rPr>
          <w:sz w:val="28"/>
          <w:szCs w:val="20"/>
        </w:rPr>
        <w:tab/>
        <w:t>– Ekonomikas ministrijas valsts sekretārs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V.Rantiņš</w:t>
      </w:r>
      <w:r w:rsidRPr="004306CC">
        <w:rPr>
          <w:sz w:val="28"/>
          <w:szCs w:val="20"/>
        </w:rPr>
        <w:tab/>
        <w:t xml:space="preserve"> – Mašīnbūves un metālapstrādes rūpniecības Asociācijas valdes priekšsēdētājs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V.Skrīvelis</w:t>
      </w:r>
      <w:r w:rsidRPr="004306CC">
        <w:rPr>
          <w:sz w:val="28"/>
          <w:szCs w:val="20"/>
        </w:rPr>
        <w:tab/>
        <w:t>– Latvijas ķīmijas un farmācijas asociācijas valdes priekšsēdētājs</w:t>
      </w:r>
    </w:p>
    <w:p w:rsidR="004306CC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A.Slokenbergs</w:t>
      </w:r>
      <w:r w:rsidRPr="004306CC">
        <w:rPr>
          <w:sz w:val="28"/>
          <w:szCs w:val="20"/>
        </w:rPr>
        <w:tab/>
        <w:t>– Tūrisma attīstības valsts aģentūras direktors</w:t>
      </w:r>
    </w:p>
    <w:p w:rsidR="009967E5" w:rsidRDefault="004306CC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4306CC">
        <w:rPr>
          <w:sz w:val="28"/>
          <w:szCs w:val="20"/>
        </w:rPr>
        <w:t>E.Valantis</w:t>
      </w:r>
      <w:r w:rsidRPr="004306CC">
        <w:rPr>
          <w:sz w:val="28"/>
          <w:szCs w:val="20"/>
        </w:rPr>
        <w:tab/>
        <w:t>–Ekonomikas ministrijas Eiropas Savienības fondu ieviešanas departamenta direktors</w:t>
      </w:r>
    </w:p>
    <w:p w:rsidR="005A4EDA" w:rsidRDefault="005A4EDA" w:rsidP="0087684E">
      <w:pPr>
        <w:tabs>
          <w:tab w:val="left" w:pos="2835"/>
        </w:tabs>
        <w:spacing w:after="120"/>
        <w:ind w:firstLine="720"/>
        <w:rPr>
          <w:sz w:val="28"/>
          <w:szCs w:val="20"/>
        </w:rPr>
      </w:pPr>
      <w:r w:rsidRPr="005A4EDA">
        <w:rPr>
          <w:sz w:val="28"/>
          <w:szCs w:val="20"/>
        </w:rPr>
        <w:t xml:space="preserve">I.Zalpētere </w:t>
      </w:r>
      <w:r>
        <w:rPr>
          <w:sz w:val="28"/>
          <w:szCs w:val="20"/>
        </w:rPr>
        <w:t xml:space="preserve">         </w:t>
      </w:r>
      <w:r w:rsidRPr="005A4EDA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Pr="005A4EDA">
        <w:rPr>
          <w:sz w:val="28"/>
          <w:szCs w:val="20"/>
        </w:rPr>
        <w:t xml:space="preserve">valsts akciju sabiedrības "Privatizācijas aģentūra" valdes </w:t>
      </w:r>
      <w:r>
        <w:rPr>
          <w:sz w:val="28"/>
          <w:szCs w:val="20"/>
        </w:rPr>
        <w:t xml:space="preserve">priekšsēdētāja </w:t>
      </w:r>
    </w:p>
    <w:p w:rsidR="00965A60" w:rsidRDefault="005A4EDA" w:rsidP="0087684E">
      <w:pPr>
        <w:spacing w:after="12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A.</w:t>
      </w:r>
      <w:r w:rsidRPr="005A4EDA">
        <w:rPr>
          <w:sz w:val="28"/>
          <w:szCs w:val="20"/>
        </w:rPr>
        <w:t>Žīgure</w:t>
      </w:r>
      <w:r w:rsidRPr="005A4EDA">
        <w:rPr>
          <w:sz w:val="28"/>
          <w:szCs w:val="20"/>
        </w:rPr>
        <w:tab/>
      </w:r>
      <w:r>
        <w:rPr>
          <w:sz w:val="28"/>
          <w:szCs w:val="20"/>
        </w:rPr>
        <w:t xml:space="preserve">        </w:t>
      </w:r>
      <w:r w:rsidRPr="005A4EDA">
        <w:rPr>
          <w:sz w:val="28"/>
          <w:szCs w:val="20"/>
        </w:rPr>
        <w:t>– Centrālās statistikas pārvalde</w:t>
      </w:r>
      <w:r>
        <w:rPr>
          <w:sz w:val="28"/>
          <w:szCs w:val="20"/>
        </w:rPr>
        <w:t>s</w:t>
      </w:r>
      <w:r w:rsidRPr="005A4ED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priekšniece </w:t>
      </w:r>
    </w:p>
    <w:p w:rsidR="00965A60" w:rsidRDefault="00965A60" w:rsidP="0087684E">
      <w:pPr>
        <w:pStyle w:val="BodyText"/>
        <w:spacing w:before="0" w:after="120"/>
        <w:ind w:firstLine="720"/>
      </w:pPr>
      <w:r>
        <w:lastRenderedPageBreak/>
        <w:t xml:space="preserve">2. Atzīt par spēku zaudējušu </w:t>
      </w:r>
      <w:r w:rsidR="00B65BA0" w:rsidRPr="00B65BA0">
        <w:t>Ministru kabineta 2010.gada 1.aprīļa rīkojum</w:t>
      </w:r>
      <w:r w:rsidR="00B65BA0">
        <w:t>s</w:t>
      </w:r>
      <w:r w:rsidR="00B65BA0" w:rsidRPr="00B65BA0">
        <w:t xml:space="preserve"> Nr.185</w:t>
      </w:r>
      <w:r>
        <w:t xml:space="preserve"> "Par pretendentu un ierēdņu vērtēšanas kom</w:t>
      </w:r>
      <w:r w:rsidR="00B65BA0">
        <w:t>isiju" (Latvijas Vēstnesis, 2010</w:t>
      </w:r>
      <w:r>
        <w:t xml:space="preserve">, </w:t>
      </w:r>
      <w:r w:rsidR="00A24E41">
        <w:t>55</w:t>
      </w:r>
      <w:r>
        <w:t>.nr.).</w:t>
      </w:r>
    </w:p>
    <w:p w:rsidR="00965A60" w:rsidRPr="00785CA4" w:rsidRDefault="00965A60" w:rsidP="00785CA4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79"/>
      </w:tblGrid>
      <w:tr w:rsidR="0087684E" w:rsidTr="0087684E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  <w:r w:rsidRPr="001B42A9">
              <w:rPr>
                <w:rFonts w:ascii="Times New Roman BaltRim" w:hAnsi="Times New Roman BaltRim"/>
                <w:b/>
                <w:sz w:val="28"/>
                <w:szCs w:val="28"/>
              </w:rPr>
              <w:t>Ministru prezidents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  <w:r w:rsidRPr="001B42A9">
              <w:rPr>
                <w:rFonts w:ascii="Times New Roman BaltRim" w:hAnsi="Times New Roman BaltRim"/>
                <w:b/>
                <w:sz w:val="28"/>
                <w:szCs w:val="28"/>
              </w:rPr>
              <w:t>V.Dombrovskis</w:t>
            </w:r>
          </w:p>
        </w:tc>
      </w:tr>
      <w:tr w:rsidR="0087684E" w:rsidTr="0087684E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</w:tc>
      </w:tr>
      <w:tr w:rsidR="0087684E" w:rsidTr="0087684E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  <w:r w:rsidRPr="001B42A9">
              <w:rPr>
                <w:rFonts w:ascii="Times New Roman BaltRim" w:hAnsi="Times New Roman BaltRim"/>
                <w:b/>
                <w:sz w:val="28"/>
                <w:szCs w:val="28"/>
              </w:rPr>
              <w:t>Ekonomikas ministrs</w:t>
            </w: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  <w:r w:rsidRPr="001B42A9">
              <w:rPr>
                <w:rFonts w:ascii="Times New Roman BaltRim" w:hAnsi="Times New Roman BaltRim"/>
                <w:b/>
                <w:sz w:val="28"/>
                <w:szCs w:val="28"/>
              </w:rPr>
              <w:t>Iesniedzējs:</w:t>
            </w: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  <w:r w:rsidRPr="001B42A9">
              <w:rPr>
                <w:rFonts w:ascii="Times New Roman BaltRim" w:hAnsi="Times New Roman BaltRim"/>
                <w:b/>
                <w:sz w:val="28"/>
                <w:szCs w:val="28"/>
              </w:rPr>
              <w:t>Ekonomikas ministrs</w:t>
            </w: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both"/>
              <w:rPr>
                <w:rFonts w:ascii="Times New Roman BaltRim" w:hAnsi="Times New Roman BaltRim"/>
                <w:b/>
                <w:sz w:val="28"/>
                <w:szCs w:val="28"/>
              </w:rPr>
            </w:pPr>
            <w:r w:rsidRPr="001B42A9">
              <w:rPr>
                <w:rFonts w:ascii="Times New Roman BaltRim" w:hAnsi="Times New Roman BaltRim"/>
                <w:b/>
                <w:sz w:val="28"/>
                <w:szCs w:val="28"/>
              </w:rPr>
              <w:t>Vīza: valsts sekretārs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  <w:r>
              <w:rPr>
                <w:rFonts w:ascii="Times New Roman BaltRim" w:hAnsi="Times New Roman BaltRim"/>
                <w:b/>
                <w:sz w:val="28"/>
                <w:szCs w:val="28"/>
              </w:rPr>
              <w:t>D.Pavļuts</w:t>
            </w:r>
          </w:p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  <w:r>
              <w:rPr>
                <w:rFonts w:ascii="Times New Roman BaltRim" w:hAnsi="Times New Roman BaltRim"/>
                <w:b/>
                <w:sz w:val="28"/>
                <w:szCs w:val="28"/>
              </w:rPr>
              <w:t>D.Pavļuts</w:t>
            </w:r>
            <w:r w:rsidRPr="001B42A9">
              <w:rPr>
                <w:rFonts w:ascii="Times New Roman BaltRim" w:hAnsi="Times New Roman BaltRim"/>
                <w:b/>
                <w:sz w:val="28"/>
                <w:szCs w:val="28"/>
              </w:rPr>
              <w:t xml:space="preserve"> </w:t>
            </w:r>
          </w:p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</w:p>
          <w:p w:rsidR="0087684E" w:rsidRPr="001B42A9" w:rsidRDefault="0087684E" w:rsidP="0087684E">
            <w:pPr>
              <w:jc w:val="right"/>
              <w:rPr>
                <w:rFonts w:ascii="Times New Roman BaltRim" w:hAnsi="Times New Roman BaltRim"/>
                <w:b/>
                <w:sz w:val="28"/>
                <w:szCs w:val="28"/>
              </w:rPr>
            </w:pPr>
            <w:r>
              <w:rPr>
                <w:rFonts w:ascii="Times New Roman BaltRim" w:hAnsi="Times New Roman BaltRim"/>
                <w:b/>
                <w:sz w:val="28"/>
                <w:szCs w:val="28"/>
              </w:rPr>
              <w:t>J.Pūce</w:t>
            </w:r>
          </w:p>
        </w:tc>
      </w:tr>
    </w:tbl>
    <w:p w:rsidR="00971082" w:rsidRDefault="00971082" w:rsidP="0087684E"/>
    <w:p w:rsidR="00971082" w:rsidRDefault="00971082" w:rsidP="0087684E"/>
    <w:p w:rsidR="00971082" w:rsidRDefault="00971082" w:rsidP="0087684E"/>
    <w:p w:rsidR="00971082" w:rsidRDefault="00971082" w:rsidP="0087684E"/>
    <w:p w:rsidR="00A24E41" w:rsidRPr="00303277" w:rsidRDefault="00A24E41" w:rsidP="00A24E41">
      <w:pPr>
        <w:tabs>
          <w:tab w:val="left" w:pos="7513"/>
        </w:tabs>
        <w:spacing w:before="600"/>
        <w:rPr>
          <w:b/>
        </w:rPr>
      </w:pPr>
      <w:r>
        <w:t>16.04</w:t>
      </w:r>
      <w:r w:rsidRPr="00303277">
        <w:t>.2012. 1</w:t>
      </w:r>
      <w:r>
        <w:t>4:06</w:t>
      </w:r>
    </w:p>
    <w:p w:rsidR="00A24E41" w:rsidRPr="00303277" w:rsidRDefault="00A24E41" w:rsidP="00A24E41">
      <w:pPr>
        <w:tabs>
          <w:tab w:val="left" w:pos="7513"/>
        </w:tabs>
        <w:rPr>
          <w:b/>
        </w:rPr>
      </w:pPr>
      <w:r>
        <w:t>337</w:t>
      </w:r>
    </w:p>
    <w:p w:rsidR="00A24E41" w:rsidRDefault="00A24E41" w:rsidP="00A24E41">
      <w:r w:rsidRPr="0046450A">
        <w:t>Stinkeviča</w:t>
      </w:r>
    </w:p>
    <w:p w:rsidR="00965A60" w:rsidRPr="00A24E41" w:rsidRDefault="00A24E41" w:rsidP="00A24E41">
      <w:pPr>
        <w:rPr>
          <w:sz w:val="28"/>
          <w:szCs w:val="28"/>
          <w:lang w:eastAsia="lv-LV"/>
        </w:rPr>
      </w:pPr>
      <w:bookmarkStart w:id="1" w:name="OLE_LINK7"/>
      <w:bookmarkStart w:id="2" w:name="OLE_LINK8"/>
      <w:r w:rsidRPr="00303277">
        <w:t>670</w:t>
      </w:r>
      <w:r>
        <w:t>13125</w:t>
      </w:r>
      <w:r w:rsidRPr="00303277">
        <w:t xml:space="preserve">, </w:t>
      </w:r>
      <w:r w:rsidRPr="0046450A">
        <w:t xml:space="preserve">Anna.Stinkevica@em.gov.lv  </w:t>
      </w:r>
      <w:r w:rsidRPr="002A21A9">
        <w:rPr>
          <w:sz w:val="28"/>
          <w:szCs w:val="28"/>
          <w:lang w:eastAsia="lv-LV"/>
        </w:rPr>
        <w:t xml:space="preserve"> </w:t>
      </w:r>
      <w:bookmarkEnd w:id="1"/>
      <w:bookmarkEnd w:id="2"/>
    </w:p>
    <w:sectPr w:rsidR="00965A60" w:rsidRPr="00A24E41" w:rsidSect="0097108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4E" w:rsidRDefault="0087684E" w:rsidP="00A13940">
      <w:r>
        <w:separator/>
      </w:r>
    </w:p>
  </w:endnote>
  <w:endnote w:type="continuationSeparator" w:id="0">
    <w:p w:rsidR="0087684E" w:rsidRDefault="0087684E" w:rsidP="00A1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E" w:rsidRPr="0087684E" w:rsidRDefault="0087684E" w:rsidP="0087684E">
    <w:pPr>
      <w:pStyle w:val="Footer"/>
      <w:jc w:val="both"/>
    </w:pPr>
    <w:r w:rsidRPr="001746DB">
      <w:t>EMRik_</w:t>
    </w:r>
    <w:r>
      <w:t>160412_ieredni</w:t>
    </w:r>
    <w:r w:rsidRPr="001746DB">
      <w:t xml:space="preserve">; </w:t>
    </w:r>
    <w:bookmarkStart w:id="3" w:name="OLE_LINK9"/>
    <w:bookmarkStart w:id="4" w:name="OLE_LINK10"/>
    <w:bookmarkStart w:id="5" w:name="_Hlk322348514"/>
    <w:r>
      <w:t>Ministru kabineta rīkojuma projekts „</w:t>
    </w:r>
    <w:r w:rsidRPr="0087684E">
      <w:t>Par pretendentu un ierēdņu vērtēšanas komisiju</w:t>
    </w:r>
    <w:r>
      <w:t>”</w:t>
    </w:r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E" w:rsidRDefault="0087684E" w:rsidP="0087684E">
    <w:pPr>
      <w:pStyle w:val="Footer"/>
      <w:jc w:val="both"/>
    </w:pPr>
    <w:r w:rsidRPr="001746DB">
      <w:t>EMRik_</w:t>
    </w:r>
    <w:r>
      <w:t>160412_ieredni</w:t>
    </w:r>
    <w:r w:rsidRPr="001746DB">
      <w:t xml:space="preserve">; </w:t>
    </w:r>
    <w:bookmarkStart w:id="6" w:name="OLE_LINK3"/>
    <w:bookmarkStart w:id="7" w:name="OLE_LINK4"/>
    <w:bookmarkStart w:id="8" w:name="_Hlk319054085"/>
    <w:bookmarkStart w:id="9" w:name="OLE_LINK5"/>
    <w:bookmarkStart w:id="10" w:name="OLE_LINK6"/>
    <w:bookmarkStart w:id="11" w:name="_Hlk319055989"/>
    <w:bookmarkStart w:id="12" w:name="OLE_LINK1"/>
    <w:bookmarkStart w:id="13" w:name="OLE_LINK2"/>
    <w:bookmarkStart w:id="14" w:name="_Hlk302555576"/>
    <w:r>
      <w:t>Ministru kabineta rīkojuma projekts „</w:t>
    </w:r>
    <w:bookmarkEnd w:id="12"/>
    <w:bookmarkEnd w:id="13"/>
    <w:bookmarkEnd w:id="14"/>
    <w:r w:rsidRPr="0087684E">
      <w:t>Par pretendentu un ierēdņu vērtēšanas komisiju</w:t>
    </w:r>
    <w:r>
      <w:t>”</w:t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4E" w:rsidRDefault="0087684E" w:rsidP="00A13940">
      <w:r>
        <w:separator/>
      </w:r>
    </w:p>
  </w:footnote>
  <w:footnote w:type="continuationSeparator" w:id="0">
    <w:p w:rsidR="0087684E" w:rsidRDefault="0087684E" w:rsidP="00A1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E" w:rsidRDefault="0087684E" w:rsidP="00971082">
    <w:pPr>
      <w:pStyle w:val="Header"/>
      <w:jc w:val="center"/>
    </w:pPr>
    <w:fldSimple w:instr=" PAGE   \* MERGEFORMAT ">
      <w:r w:rsidR="00A24E41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E" w:rsidRDefault="0087684E" w:rsidP="00FA435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6319B"/>
    <w:rsid w:val="00030739"/>
    <w:rsid w:val="000E6953"/>
    <w:rsid w:val="00111E0E"/>
    <w:rsid w:val="00117302"/>
    <w:rsid w:val="0015598B"/>
    <w:rsid w:val="0016778F"/>
    <w:rsid w:val="001B35E1"/>
    <w:rsid w:val="001D68E0"/>
    <w:rsid w:val="00217B01"/>
    <w:rsid w:val="00230EEC"/>
    <w:rsid w:val="00317154"/>
    <w:rsid w:val="003A5B86"/>
    <w:rsid w:val="00426635"/>
    <w:rsid w:val="004306CC"/>
    <w:rsid w:val="00451B49"/>
    <w:rsid w:val="00452917"/>
    <w:rsid w:val="0046319B"/>
    <w:rsid w:val="004856A5"/>
    <w:rsid w:val="004E6557"/>
    <w:rsid w:val="004E6770"/>
    <w:rsid w:val="00532B63"/>
    <w:rsid w:val="005567BC"/>
    <w:rsid w:val="005A4EDA"/>
    <w:rsid w:val="00636CB0"/>
    <w:rsid w:val="006824B0"/>
    <w:rsid w:val="00690B28"/>
    <w:rsid w:val="007439C0"/>
    <w:rsid w:val="0076572F"/>
    <w:rsid w:val="00783263"/>
    <w:rsid w:val="00785CA4"/>
    <w:rsid w:val="00792BA4"/>
    <w:rsid w:val="008120D0"/>
    <w:rsid w:val="0087684E"/>
    <w:rsid w:val="008B739A"/>
    <w:rsid w:val="008D04E9"/>
    <w:rsid w:val="0094562B"/>
    <w:rsid w:val="00965A60"/>
    <w:rsid w:val="00971082"/>
    <w:rsid w:val="00976E5C"/>
    <w:rsid w:val="009967E5"/>
    <w:rsid w:val="009B3B67"/>
    <w:rsid w:val="009C2596"/>
    <w:rsid w:val="009D1660"/>
    <w:rsid w:val="00A13940"/>
    <w:rsid w:val="00A24E41"/>
    <w:rsid w:val="00AD132F"/>
    <w:rsid w:val="00B2087B"/>
    <w:rsid w:val="00B516E6"/>
    <w:rsid w:val="00B63009"/>
    <w:rsid w:val="00B65BA0"/>
    <w:rsid w:val="00B92886"/>
    <w:rsid w:val="00BD3464"/>
    <w:rsid w:val="00C33BFC"/>
    <w:rsid w:val="00C35A66"/>
    <w:rsid w:val="00C60448"/>
    <w:rsid w:val="00C6494C"/>
    <w:rsid w:val="00C81B04"/>
    <w:rsid w:val="00CA206F"/>
    <w:rsid w:val="00CB1C68"/>
    <w:rsid w:val="00D424DE"/>
    <w:rsid w:val="00DB1EAB"/>
    <w:rsid w:val="00E6125A"/>
    <w:rsid w:val="00E704DA"/>
    <w:rsid w:val="00E80CB4"/>
    <w:rsid w:val="00EB725B"/>
    <w:rsid w:val="00F00677"/>
    <w:rsid w:val="00F749CD"/>
    <w:rsid w:val="00F75122"/>
    <w:rsid w:val="00FA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pretendentu un ierēdņu vērtēšanas komisiju”</dc:title>
  <dc:subject>Rīkojuma projekts</dc:subject>
  <dc:creator>Anna Stinkevica</dc:creator>
  <cp:keywords/>
  <dc:description>67013125, Anna.Stinkevica@em.gov.lv   </dc:description>
  <cp:lastModifiedBy>Kristīne Volfa</cp:lastModifiedBy>
  <cp:revision>9</cp:revision>
  <cp:lastPrinted>2012-03-14T08:46:00Z</cp:lastPrinted>
  <dcterms:created xsi:type="dcterms:W3CDTF">2012-04-04T10:31:00Z</dcterms:created>
  <dcterms:modified xsi:type="dcterms:W3CDTF">2012-04-16T11:06:00Z</dcterms:modified>
</cp:coreProperties>
</file>