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25" w:rsidRDefault="001A7725" w:rsidP="00E74E16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1A7725" w:rsidRPr="00F970F3" w:rsidRDefault="001A7725" w:rsidP="001A772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970F3">
        <w:rPr>
          <w:rFonts w:ascii="Times New Roman" w:hAnsi="Times New Roman"/>
          <w:bCs/>
          <w:sz w:val="20"/>
          <w:szCs w:val="20"/>
        </w:rPr>
        <w:t xml:space="preserve">Pielikuma </w:t>
      </w:r>
      <w:r>
        <w:rPr>
          <w:rFonts w:ascii="Times New Roman" w:hAnsi="Times New Roman"/>
          <w:bCs/>
          <w:sz w:val="20"/>
          <w:szCs w:val="20"/>
        </w:rPr>
        <w:t>12</w:t>
      </w:r>
      <w:r w:rsidRPr="00F970F3">
        <w:rPr>
          <w:rFonts w:ascii="Times New Roman" w:hAnsi="Times New Roman"/>
          <w:bCs/>
          <w:sz w:val="20"/>
          <w:szCs w:val="20"/>
        </w:rPr>
        <w:t>.pielikums</w:t>
      </w:r>
    </w:p>
    <w:p w:rsidR="001A7725" w:rsidRPr="00F970F3" w:rsidRDefault="001A7725" w:rsidP="001A772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970F3">
        <w:rPr>
          <w:rFonts w:ascii="Times New Roman" w:hAnsi="Times New Roman"/>
          <w:bCs/>
          <w:sz w:val="20"/>
          <w:szCs w:val="20"/>
        </w:rPr>
        <w:t>Ministru kabineta</w:t>
      </w:r>
    </w:p>
    <w:p w:rsidR="001A7725" w:rsidRPr="00F970F3" w:rsidRDefault="001A7725" w:rsidP="001A772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970F3">
        <w:rPr>
          <w:rFonts w:ascii="Times New Roman" w:hAnsi="Times New Roman"/>
          <w:bCs/>
          <w:sz w:val="20"/>
          <w:szCs w:val="20"/>
        </w:rPr>
        <w:t>201</w:t>
      </w:r>
      <w:r>
        <w:rPr>
          <w:rFonts w:ascii="Times New Roman" w:hAnsi="Times New Roman"/>
          <w:bCs/>
          <w:sz w:val="20"/>
          <w:szCs w:val="20"/>
        </w:rPr>
        <w:t>2</w:t>
      </w:r>
      <w:r w:rsidRPr="00F970F3">
        <w:rPr>
          <w:rFonts w:ascii="Times New Roman" w:hAnsi="Times New Roman"/>
          <w:bCs/>
          <w:sz w:val="20"/>
          <w:szCs w:val="20"/>
        </w:rPr>
        <w:t>. gada ..................</w:t>
      </w:r>
    </w:p>
    <w:p w:rsidR="001A7725" w:rsidRPr="00F970F3" w:rsidRDefault="001A7725" w:rsidP="001A7725">
      <w:pPr>
        <w:jc w:val="right"/>
        <w:rPr>
          <w:rFonts w:ascii="Times New Roman" w:hAnsi="Times New Roman"/>
          <w:bCs/>
          <w:sz w:val="20"/>
          <w:szCs w:val="20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F970F3">
          <w:rPr>
            <w:rFonts w:ascii="Times New Roman" w:hAnsi="Times New Roman"/>
            <w:bCs/>
            <w:sz w:val="20"/>
            <w:szCs w:val="20"/>
          </w:rPr>
          <w:t>rīkojumam</w:t>
        </w:r>
      </w:smartTag>
      <w:r w:rsidRPr="00F970F3">
        <w:rPr>
          <w:rFonts w:ascii="Times New Roman" w:hAnsi="Times New Roman"/>
          <w:bCs/>
          <w:sz w:val="20"/>
          <w:szCs w:val="20"/>
        </w:rPr>
        <w:t xml:space="preserve"> Nr. ...........</w:t>
      </w:r>
    </w:p>
    <w:p w:rsidR="00E74E16" w:rsidRPr="00BD7457" w:rsidRDefault="007B38D2" w:rsidP="00E74E16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Laika g</w:t>
      </w:r>
      <w:r w:rsidR="00BD7457" w:rsidRPr="00BD7457">
        <w:rPr>
          <w:rFonts w:ascii="Times New Roman" w:hAnsi="Times New Roman"/>
          <w:b/>
          <w:sz w:val="24"/>
          <w:szCs w:val="24"/>
          <w:lang w:val="lv-LV"/>
        </w:rPr>
        <w:t>rafiks</w:t>
      </w:r>
    </w:p>
    <w:p w:rsidR="006B5A9B" w:rsidRPr="00BD7457" w:rsidRDefault="00BD7457" w:rsidP="0036339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BD7457">
        <w:rPr>
          <w:rFonts w:ascii="Times New Roman" w:hAnsi="Times New Roman"/>
          <w:sz w:val="24"/>
          <w:szCs w:val="24"/>
          <w:lang w:val="lv-LV"/>
        </w:rPr>
        <w:t>Programma tiks uzsākta 2012.</w:t>
      </w:r>
      <w:r w:rsidR="008064C4">
        <w:rPr>
          <w:rFonts w:ascii="Times New Roman" w:hAnsi="Times New Roman"/>
          <w:sz w:val="24"/>
          <w:szCs w:val="24"/>
          <w:lang w:val="lv-LV"/>
        </w:rPr>
        <w:t> </w:t>
      </w:r>
      <w:r w:rsidRPr="00BD7457">
        <w:rPr>
          <w:rFonts w:ascii="Times New Roman" w:hAnsi="Times New Roman"/>
          <w:sz w:val="24"/>
          <w:szCs w:val="24"/>
          <w:lang w:val="lv-LV"/>
        </w:rPr>
        <w:t xml:space="preserve">gada </w:t>
      </w:r>
      <w:r>
        <w:rPr>
          <w:rFonts w:ascii="Times New Roman" w:hAnsi="Times New Roman"/>
          <w:sz w:val="24"/>
          <w:szCs w:val="24"/>
          <w:lang w:val="lv-LV"/>
        </w:rPr>
        <w:t xml:space="preserve">otrajā pusē, </w:t>
      </w:r>
      <w:r w:rsidR="007B38D2">
        <w:rPr>
          <w:rFonts w:ascii="Times New Roman" w:hAnsi="Times New Roman"/>
          <w:sz w:val="24"/>
          <w:szCs w:val="24"/>
          <w:lang w:val="lv-LV"/>
        </w:rPr>
        <w:t>kad ir paredzams, ka</w:t>
      </w:r>
      <w:r>
        <w:rPr>
          <w:rFonts w:ascii="Times New Roman" w:hAnsi="Times New Roman"/>
          <w:sz w:val="24"/>
          <w:szCs w:val="24"/>
          <w:lang w:val="lv-LV"/>
        </w:rPr>
        <w:t xml:space="preserve"> tiks saņemts Norvēģijas Karalistes Ārlietu ministrijas apstiprinājums. </w:t>
      </w:r>
      <w:r w:rsidR="007B38D2">
        <w:rPr>
          <w:rFonts w:ascii="Times New Roman" w:hAnsi="Times New Roman"/>
          <w:sz w:val="24"/>
          <w:szCs w:val="24"/>
          <w:lang w:val="lv-LV"/>
        </w:rPr>
        <w:t>Laika g</w:t>
      </w:r>
      <w:r>
        <w:rPr>
          <w:rFonts w:ascii="Times New Roman" w:hAnsi="Times New Roman"/>
          <w:sz w:val="24"/>
          <w:szCs w:val="24"/>
          <w:lang w:val="lv-LV"/>
        </w:rPr>
        <w:t xml:space="preserve">rafiks ir sagatavots pamatojoties uz </w:t>
      </w:r>
      <w:r w:rsidR="007B38D2">
        <w:rPr>
          <w:rFonts w:ascii="Times New Roman" w:hAnsi="Times New Roman"/>
          <w:sz w:val="24"/>
          <w:szCs w:val="24"/>
          <w:lang w:val="lv-LV"/>
        </w:rPr>
        <w:t>pieņēmumiem</w:t>
      </w:r>
      <w:r>
        <w:rPr>
          <w:rFonts w:ascii="Times New Roman" w:hAnsi="Times New Roman"/>
          <w:sz w:val="24"/>
          <w:szCs w:val="24"/>
          <w:lang w:val="lv-LV"/>
        </w:rPr>
        <w:t xml:space="preserve">, ka </w:t>
      </w:r>
      <w:r w:rsidR="007B38D2">
        <w:rPr>
          <w:rFonts w:ascii="Times New Roman" w:hAnsi="Times New Roman"/>
          <w:sz w:val="24"/>
          <w:szCs w:val="24"/>
          <w:lang w:val="lv-LV"/>
        </w:rPr>
        <w:t xml:space="preserve">Programmas </w:t>
      </w:r>
      <w:r w:rsidR="00A3081E">
        <w:rPr>
          <w:rFonts w:ascii="Times New Roman" w:hAnsi="Times New Roman"/>
          <w:sz w:val="24"/>
          <w:szCs w:val="24"/>
          <w:lang w:val="lv-LV"/>
        </w:rPr>
        <w:t>i</w:t>
      </w:r>
      <w:r w:rsidR="007B38D2">
        <w:rPr>
          <w:rFonts w:ascii="Times New Roman" w:hAnsi="Times New Roman"/>
          <w:sz w:val="24"/>
          <w:szCs w:val="24"/>
          <w:lang w:val="lv-LV"/>
        </w:rPr>
        <w:t xml:space="preserve">esnieguma </w:t>
      </w:r>
      <w:r>
        <w:rPr>
          <w:rFonts w:ascii="Times New Roman" w:hAnsi="Times New Roman"/>
          <w:sz w:val="24"/>
          <w:szCs w:val="24"/>
          <w:lang w:val="lv-LV"/>
        </w:rPr>
        <w:t xml:space="preserve">apstiprinājums tiks saņemts jūlijā.  </w:t>
      </w:r>
    </w:p>
    <w:p w:rsidR="007B38D2" w:rsidRDefault="007B38D2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Indikatīvs Programmas uzsākšanas datums – 2012.gada august</w:t>
      </w:r>
      <w:r w:rsidR="00421AEE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6B5A9B" w:rsidRPr="00BD7457" w:rsidRDefault="00BD7457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2012.</w:t>
      </w:r>
      <w:r w:rsidR="00BC2A33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septembrī: </w:t>
      </w:r>
      <w:r w:rsidR="007B38D2">
        <w:rPr>
          <w:rFonts w:ascii="Times New Roman" w:hAnsi="Times New Roman"/>
          <w:sz w:val="24"/>
          <w:szCs w:val="24"/>
          <w:lang w:val="lv-LV"/>
        </w:rPr>
        <w:t>Programmas Noteikumi tiek apstiprināti Ministru kabinetā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7B38D2">
        <w:rPr>
          <w:rFonts w:ascii="Times New Roman" w:hAnsi="Times New Roman"/>
          <w:sz w:val="24"/>
          <w:szCs w:val="24"/>
          <w:lang w:val="lv-LV"/>
        </w:rPr>
        <w:t>tiek nosūtīts uzaicinājums iesniegt projekta iesniegumu iepriekš noteiktā projekta konkursam</w:t>
      </w:r>
      <w:r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:rsidR="00150852" w:rsidRPr="00BD7457" w:rsidRDefault="00871685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2012.</w:t>
      </w:r>
      <w:r w:rsidR="00BC2A33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novembrī: </w:t>
      </w:r>
      <w:r w:rsidR="007B38D2">
        <w:rPr>
          <w:rFonts w:ascii="Times New Roman" w:hAnsi="Times New Roman"/>
          <w:sz w:val="24"/>
          <w:szCs w:val="24"/>
          <w:lang w:val="lv-LV"/>
        </w:rPr>
        <w:t>Ir izvērtēta</w:t>
      </w:r>
      <w:r w:rsidR="007A713A">
        <w:rPr>
          <w:rFonts w:ascii="Times New Roman" w:hAnsi="Times New Roman"/>
          <w:sz w:val="24"/>
          <w:szCs w:val="24"/>
          <w:lang w:val="lv-LV"/>
        </w:rPr>
        <w:t xml:space="preserve"> iepriekš noteiktā projekta </w:t>
      </w:r>
      <w:r w:rsidR="007B38D2">
        <w:rPr>
          <w:rFonts w:ascii="Times New Roman" w:hAnsi="Times New Roman"/>
          <w:sz w:val="24"/>
          <w:szCs w:val="24"/>
          <w:lang w:val="lv-LV"/>
        </w:rPr>
        <w:t>iesniegums</w:t>
      </w:r>
      <w:r w:rsidR="007A713A"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:rsidR="006B5A9B" w:rsidRPr="00BD7457" w:rsidRDefault="007A713A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2012.</w:t>
      </w:r>
      <w:r w:rsidR="00BC2A33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7B38D2">
        <w:rPr>
          <w:rFonts w:ascii="Times New Roman" w:hAnsi="Times New Roman"/>
          <w:sz w:val="24"/>
          <w:szCs w:val="24"/>
          <w:lang w:val="lv-LV"/>
        </w:rPr>
        <w:t>novembrī</w:t>
      </w:r>
      <w:r>
        <w:rPr>
          <w:rFonts w:ascii="Times New Roman" w:hAnsi="Times New Roman"/>
          <w:sz w:val="24"/>
          <w:szCs w:val="24"/>
          <w:lang w:val="lv-LV"/>
        </w:rPr>
        <w:t xml:space="preserve">: Ar Tehnoloģiju inkubatora </w:t>
      </w:r>
      <w:r w:rsidR="00324073">
        <w:rPr>
          <w:rFonts w:ascii="Times New Roman" w:hAnsi="Times New Roman"/>
          <w:sz w:val="24"/>
          <w:szCs w:val="24"/>
          <w:lang w:val="lv-LV"/>
        </w:rPr>
        <w:t>operatoru</w:t>
      </w:r>
      <w:r>
        <w:rPr>
          <w:rFonts w:ascii="Times New Roman" w:hAnsi="Times New Roman"/>
          <w:sz w:val="24"/>
          <w:szCs w:val="24"/>
          <w:lang w:val="lv-LV"/>
        </w:rPr>
        <w:t xml:space="preserve"> tiek parakstīts līgums; </w:t>
      </w:r>
    </w:p>
    <w:p w:rsidR="006B5A9B" w:rsidRPr="00BD7457" w:rsidRDefault="00705C6E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Šajā laikā tiks uzsākta informācijas </w:t>
      </w:r>
      <w:r w:rsidR="00BC2A33">
        <w:rPr>
          <w:rFonts w:ascii="Times New Roman" w:hAnsi="Times New Roman"/>
          <w:sz w:val="24"/>
          <w:szCs w:val="24"/>
          <w:lang w:val="lv-LV"/>
        </w:rPr>
        <w:t>izplatīšana</w:t>
      </w:r>
      <w:r>
        <w:rPr>
          <w:rFonts w:ascii="Times New Roman" w:hAnsi="Times New Roman"/>
          <w:sz w:val="24"/>
          <w:szCs w:val="24"/>
          <w:lang w:val="lv-LV"/>
        </w:rPr>
        <w:t>, lai iespējamos dalībniekus informētu par šo Programmu. Pie tam, 2012. gada beigās i</w:t>
      </w:r>
      <w:r w:rsidR="007B38D2">
        <w:rPr>
          <w:rFonts w:ascii="Times New Roman" w:hAnsi="Times New Roman"/>
          <w:sz w:val="24"/>
          <w:szCs w:val="24"/>
          <w:lang w:val="lv-LV"/>
        </w:rPr>
        <w:t>r plānots organizēt informatīvu</w:t>
      </w:r>
      <w:r>
        <w:rPr>
          <w:rFonts w:ascii="Times New Roman" w:hAnsi="Times New Roman"/>
          <w:sz w:val="24"/>
          <w:szCs w:val="24"/>
          <w:lang w:val="lv-LV"/>
        </w:rPr>
        <w:t xml:space="preserve"> seminārus, lai informētu iespējamos pretendentus</w:t>
      </w:r>
      <w:r w:rsidR="007B38D2">
        <w:rPr>
          <w:rFonts w:ascii="Times New Roman" w:hAnsi="Times New Roman"/>
          <w:sz w:val="24"/>
          <w:szCs w:val="24"/>
          <w:lang w:val="lv-LV"/>
        </w:rPr>
        <w:t xml:space="preserve"> par dalību Programmā</w:t>
      </w:r>
      <w:r w:rsidR="006B5A9B" w:rsidRPr="00BD7457">
        <w:rPr>
          <w:rFonts w:ascii="Times New Roman" w:hAnsi="Times New Roman"/>
          <w:sz w:val="24"/>
          <w:szCs w:val="24"/>
          <w:lang w:val="lv-LV"/>
        </w:rPr>
        <w:t>;</w:t>
      </w:r>
    </w:p>
    <w:p w:rsidR="00150852" w:rsidRPr="00BD7457" w:rsidRDefault="00705C6E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</w:t>
      </w:r>
      <w:r w:rsidR="007B38D2">
        <w:rPr>
          <w:rFonts w:ascii="Times New Roman" w:hAnsi="Times New Roman"/>
          <w:sz w:val="24"/>
          <w:szCs w:val="24"/>
          <w:lang w:val="lv-LV"/>
        </w:rPr>
        <w:t>2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BC2A33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7B38D2">
        <w:rPr>
          <w:rFonts w:ascii="Times New Roman" w:hAnsi="Times New Roman"/>
          <w:sz w:val="24"/>
          <w:szCs w:val="24"/>
          <w:lang w:val="lv-LV"/>
        </w:rPr>
        <w:t>decembrī</w:t>
      </w:r>
      <w:r>
        <w:rPr>
          <w:rFonts w:ascii="Times New Roman" w:hAnsi="Times New Roman"/>
          <w:sz w:val="24"/>
          <w:szCs w:val="24"/>
          <w:lang w:val="lv-LV"/>
        </w:rPr>
        <w:t>:</w:t>
      </w:r>
      <w:r w:rsidR="00150852" w:rsidRPr="00BD745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Tiks atklāta neliela </w:t>
      </w:r>
      <w:r w:rsidR="00632236">
        <w:rPr>
          <w:rFonts w:ascii="Times New Roman" w:hAnsi="Times New Roman"/>
          <w:sz w:val="24"/>
          <w:szCs w:val="24"/>
          <w:lang w:val="lv-LV"/>
        </w:rPr>
        <w:t>grantu shēma</w:t>
      </w:r>
      <w:r w:rsidR="001240E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32236">
        <w:rPr>
          <w:rFonts w:ascii="Times New Roman" w:hAnsi="Times New Roman"/>
          <w:sz w:val="24"/>
          <w:szCs w:val="24"/>
          <w:lang w:val="lv-LV"/>
        </w:rPr>
        <w:t>ar iespēju</w:t>
      </w:r>
      <w:r w:rsidR="001240E8">
        <w:rPr>
          <w:rFonts w:ascii="Times New Roman" w:hAnsi="Times New Roman"/>
          <w:sz w:val="24"/>
          <w:szCs w:val="24"/>
          <w:lang w:val="lv-LV"/>
        </w:rPr>
        <w:t xml:space="preserve"> pieteikties pirms</w:t>
      </w:r>
      <w:r w:rsidR="007B38D2">
        <w:rPr>
          <w:rFonts w:ascii="Times New Roman" w:hAnsi="Times New Roman"/>
          <w:sz w:val="24"/>
          <w:szCs w:val="24"/>
          <w:lang w:val="lv-LV"/>
        </w:rPr>
        <w:t>-</w:t>
      </w:r>
      <w:r w:rsidR="001240E8">
        <w:rPr>
          <w:rFonts w:ascii="Times New Roman" w:hAnsi="Times New Roman"/>
          <w:sz w:val="24"/>
          <w:szCs w:val="24"/>
          <w:lang w:val="lv-LV"/>
        </w:rPr>
        <w:t>inkubācijas un inkubācijas atbalstam</w:t>
      </w:r>
      <w:r w:rsidR="00632236">
        <w:rPr>
          <w:rFonts w:ascii="Times New Roman" w:hAnsi="Times New Roman"/>
          <w:sz w:val="24"/>
          <w:szCs w:val="24"/>
          <w:lang w:val="lv-LV"/>
        </w:rPr>
        <w:t>, kā arī</w:t>
      </w:r>
      <w:r w:rsidR="001240E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C2A33">
        <w:rPr>
          <w:rFonts w:ascii="Times New Roman" w:hAnsi="Times New Roman"/>
          <w:sz w:val="24"/>
          <w:szCs w:val="24"/>
          <w:lang w:val="lv-LV"/>
        </w:rPr>
        <w:t>būs iespēja pieteikties</w:t>
      </w:r>
      <w:r w:rsidR="001240E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38D2">
        <w:rPr>
          <w:rFonts w:ascii="Times New Roman" w:hAnsi="Times New Roman"/>
          <w:sz w:val="24"/>
          <w:szCs w:val="24"/>
          <w:lang w:val="lv-LV"/>
        </w:rPr>
        <w:t>Atklātajam konkursam</w:t>
      </w:r>
      <w:r w:rsidR="00150852" w:rsidRPr="00BD7457">
        <w:rPr>
          <w:rFonts w:ascii="Times New Roman" w:hAnsi="Times New Roman"/>
          <w:sz w:val="24"/>
          <w:szCs w:val="24"/>
          <w:lang w:val="lv-LV"/>
        </w:rPr>
        <w:t>;</w:t>
      </w:r>
      <w:r w:rsidR="00E16115" w:rsidRPr="00BD7457">
        <w:rPr>
          <w:rStyle w:val="FootnoteReference"/>
          <w:rFonts w:ascii="Times New Roman" w:hAnsi="Times New Roman"/>
          <w:sz w:val="24"/>
          <w:szCs w:val="24"/>
          <w:lang w:val="lv-LV"/>
        </w:rPr>
        <w:footnoteReference w:id="1"/>
      </w:r>
    </w:p>
    <w:p w:rsidR="00150852" w:rsidRPr="00BD7457" w:rsidRDefault="00632236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2013.</w:t>
      </w:r>
      <w:r w:rsidR="00BC2A33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6F4433">
        <w:rPr>
          <w:rFonts w:ascii="Times New Roman" w:hAnsi="Times New Roman"/>
          <w:sz w:val="24"/>
          <w:szCs w:val="24"/>
          <w:lang w:val="lv-LV"/>
        </w:rPr>
        <w:t>februārī</w:t>
      </w:r>
      <w:r>
        <w:rPr>
          <w:rFonts w:ascii="Times New Roman" w:hAnsi="Times New Roman"/>
          <w:sz w:val="24"/>
          <w:szCs w:val="24"/>
          <w:lang w:val="lv-LV"/>
        </w:rPr>
        <w:t>: Tiks atlasīti pirmie pretendenti, kas saņems pirms</w:t>
      </w:r>
      <w:r w:rsidR="007B38D2">
        <w:rPr>
          <w:rFonts w:ascii="Times New Roman" w:hAnsi="Times New Roman"/>
          <w:sz w:val="24"/>
          <w:szCs w:val="24"/>
          <w:lang w:val="lv-LV"/>
        </w:rPr>
        <w:t>-</w:t>
      </w:r>
      <w:r>
        <w:rPr>
          <w:rFonts w:ascii="Times New Roman" w:hAnsi="Times New Roman"/>
          <w:sz w:val="24"/>
          <w:szCs w:val="24"/>
          <w:lang w:val="lv-LV"/>
        </w:rPr>
        <w:t xml:space="preserve">inkubācijas un inkubācijas atbalstu; </w:t>
      </w:r>
    </w:p>
    <w:p w:rsidR="00150852" w:rsidRPr="00BD7457" w:rsidRDefault="00632236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2013.</w:t>
      </w:r>
      <w:r w:rsidR="00BC2A33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6F4433">
        <w:rPr>
          <w:rFonts w:ascii="Times New Roman" w:hAnsi="Times New Roman"/>
          <w:sz w:val="24"/>
          <w:szCs w:val="24"/>
          <w:lang w:val="lv-LV"/>
        </w:rPr>
        <w:t>maijā</w:t>
      </w:r>
      <w:r>
        <w:rPr>
          <w:rFonts w:ascii="Times New Roman" w:hAnsi="Times New Roman"/>
          <w:sz w:val="24"/>
          <w:szCs w:val="24"/>
          <w:lang w:val="lv-LV"/>
        </w:rPr>
        <w:t xml:space="preserve">: Noslēgsies pirmie </w:t>
      </w:r>
      <w:r w:rsidR="00451AA9">
        <w:rPr>
          <w:rFonts w:ascii="Times New Roman" w:hAnsi="Times New Roman"/>
          <w:sz w:val="24"/>
          <w:szCs w:val="24"/>
          <w:lang w:val="lv-LV"/>
        </w:rPr>
        <w:t>pirms</w:t>
      </w:r>
      <w:r w:rsidR="007B38D2">
        <w:rPr>
          <w:rFonts w:ascii="Times New Roman" w:hAnsi="Times New Roman"/>
          <w:sz w:val="24"/>
          <w:szCs w:val="24"/>
          <w:lang w:val="lv-LV"/>
        </w:rPr>
        <w:t>-</w:t>
      </w:r>
      <w:r w:rsidR="00451AA9">
        <w:rPr>
          <w:rFonts w:ascii="Times New Roman" w:hAnsi="Times New Roman"/>
          <w:sz w:val="24"/>
          <w:szCs w:val="24"/>
          <w:lang w:val="lv-LV"/>
        </w:rPr>
        <w:t xml:space="preserve">inkubācijas projekti; </w:t>
      </w:r>
    </w:p>
    <w:p w:rsidR="006B5A9B" w:rsidRPr="00BD7457" w:rsidRDefault="00451AA9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2013.</w:t>
      </w:r>
      <w:r w:rsidR="00BC2A33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7B38D2">
        <w:rPr>
          <w:rFonts w:ascii="Times New Roman" w:hAnsi="Times New Roman"/>
          <w:sz w:val="24"/>
          <w:szCs w:val="24"/>
          <w:lang w:val="lv-LV"/>
        </w:rPr>
        <w:t>jū</w:t>
      </w:r>
      <w:r w:rsidR="006F4433">
        <w:rPr>
          <w:rFonts w:ascii="Times New Roman" w:hAnsi="Times New Roman"/>
          <w:sz w:val="24"/>
          <w:szCs w:val="24"/>
          <w:lang w:val="lv-LV"/>
        </w:rPr>
        <w:t>nijā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  <w:r w:rsidR="007B38D2">
        <w:rPr>
          <w:rFonts w:ascii="Times New Roman" w:hAnsi="Times New Roman"/>
          <w:sz w:val="24"/>
          <w:szCs w:val="24"/>
          <w:lang w:val="lv-LV"/>
        </w:rPr>
        <w:t>tiks atlasīti pirmie projekti Atklātā konkursa ietvaros</w:t>
      </w:r>
      <w:r w:rsidR="006B5A9B" w:rsidRPr="00BD7457">
        <w:rPr>
          <w:rFonts w:ascii="Times New Roman" w:hAnsi="Times New Roman"/>
          <w:sz w:val="24"/>
          <w:szCs w:val="24"/>
          <w:lang w:val="lv-LV"/>
        </w:rPr>
        <w:t>;</w:t>
      </w:r>
    </w:p>
    <w:p w:rsidR="002D11DE" w:rsidRPr="00BD7457" w:rsidRDefault="00451AA9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2014.</w:t>
      </w:r>
      <w:r w:rsidR="00A96731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7B38D2">
        <w:rPr>
          <w:rFonts w:ascii="Times New Roman" w:hAnsi="Times New Roman"/>
          <w:sz w:val="24"/>
          <w:szCs w:val="24"/>
          <w:lang w:val="lv-LV"/>
        </w:rPr>
        <w:t>sākumā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  <w:r w:rsidR="00152222">
        <w:rPr>
          <w:rFonts w:ascii="Times New Roman" w:hAnsi="Times New Roman"/>
          <w:sz w:val="24"/>
          <w:szCs w:val="24"/>
          <w:lang w:val="lv-LV"/>
        </w:rPr>
        <w:t xml:space="preserve">Atkarībā no pieejamā finansējuma ir </w:t>
      </w:r>
      <w:r w:rsidR="007B38D2">
        <w:rPr>
          <w:rFonts w:ascii="Times New Roman" w:hAnsi="Times New Roman"/>
          <w:sz w:val="24"/>
          <w:szCs w:val="24"/>
          <w:lang w:val="lv-LV"/>
        </w:rPr>
        <w:t xml:space="preserve">plānots rīkot projektu iesniegumu atlases </w:t>
      </w:r>
      <w:r w:rsidR="00421AEE">
        <w:rPr>
          <w:rFonts w:ascii="Times New Roman" w:hAnsi="Times New Roman"/>
          <w:sz w:val="24"/>
          <w:szCs w:val="24"/>
          <w:lang w:val="lv-LV"/>
        </w:rPr>
        <w:t xml:space="preserve">otro </w:t>
      </w:r>
      <w:r w:rsidR="007B38D2">
        <w:rPr>
          <w:rFonts w:ascii="Times New Roman" w:hAnsi="Times New Roman"/>
          <w:sz w:val="24"/>
          <w:szCs w:val="24"/>
          <w:lang w:val="lv-LV"/>
        </w:rPr>
        <w:t>kārtu Atklātā konkursa ietvaros</w:t>
      </w:r>
      <w:r w:rsidR="00152222">
        <w:rPr>
          <w:rFonts w:ascii="Times New Roman" w:hAnsi="Times New Roman"/>
          <w:sz w:val="24"/>
          <w:szCs w:val="24"/>
          <w:lang w:val="lv-LV"/>
        </w:rPr>
        <w:t xml:space="preserve">; </w:t>
      </w:r>
      <w:r w:rsidR="00152222" w:rsidRPr="00BD745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6F22FF" w:rsidRPr="00BD7457" w:rsidRDefault="00152222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Līdz 2014.</w:t>
      </w:r>
      <w:r w:rsidR="00A96731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beigām: </w:t>
      </w:r>
      <w:r w:rsidR="007B38D2">
        <w:rPr>
          <w:rFonts w:ascii="Times New Roman" w:hAnsi="Times New Roman"/>
          <w:sz w:val="24"/>
          <w:szCs w:val="24"/>
          <w:lang w:val="lv-LV"/>
        </w:rPr>
        <w:t>tiks pabeigti pirmie projekti Atklātā konkursa ietvaros</w:t>
      </w:r>
      <w:r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:rsidR="00310CFC" w:rsidRPr="00BD7457" w:rsidRDefault="00152222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Līdz 2015.</w:t>
      </w:r>
      <w:r w:rsidR="00A96731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gada marta beigām: Tiks pieņemti projekti pirms</w:t>
      </w:r>
      <w:r w:rsidR="007B38D2">
        <w:rPr>
          <w:rFonts w:ascii="Times New Roman" w:hAnsi="Times New Roman"/>
          <w:sz w:val="24"/>
          <w:szCs w:val="24"/>
          <w:lang w:val="lv-LV"/>
        </w:rPr>
        <w:t>-</w:t>
      </w:r>
      <w:r>
        <w:rPr>
          <w:rFonts w:ascii="Times New Roman" w:hAnsi="Times New Roman"/>
          <w:sz w:val="24"/>
          <w:szCs w:val="24"/>
          <w:lang w:val="lv-LV"/>
        </w:rPr>
        <w:t xml:space="preserve">inkubācijas </w:t>
      </w:r>
      <w:r w:rsidR="007B38D2">
        <w:rPr>
          <w:rFonts w:ascii="Times New Roman" w:hAnsi="Times New Roman"/>
          <w:sz w:val="24"/>
          <w:szCs w:val="24"/>
          <w:lang w:val="lv-LV"/>
        </w:rPr>
        <w:t>pasākuma ietvaros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2608B1" w:rsidRPr="00BD7457" w:rsidRDefault="00152222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Līdz 2015.</w:t>
      </w:r>
      <w:r w:rsidR="00A96731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6F4433">
        <w:rPr>
          <w:rFonts w:ascii="Times New Roman" w:hAnsi="Times New Roman"/>
          <w:sz w:val="24"/>
          <w:szCs w:val="24"/>
          <w:lang w:val="lv-LV"/>
        </w:rPr>
        <w:t>jūlija</w:t>
      </w:r>
      <w:r>
        <w:rPr>
          <w:rFonts w:ascii="Times New Roman" w:hAnsi="Times New Roman"/>
          <w:sz w:val="24"/>
          <w:szCs w:val="24"/>
          <w:lang w:val="lv-LV"/>
        </w:rPr>
        <w:t xml:space="preserve"> beigām: </w:t>
      </w:r>
      <w:r w:rsidR="00E64E62">
        <w:rPr>
          <w:rFonts w:ascii="Times New Roman" w:hAnsi="Times New Roman"/>
          <w:sz w:val="24"/>
          <w:szCs w:val="24"/>
          <w:lang w:val="lv-LV"/>
        </w:rPr>
        <w:t>Pirms</w:t>
      </w:r>
      <w:r w:rsidR="007B38D2">
        <w:rPr>
          <w:rFonts w:ascii="Times New Roman" w:hAnsi="Times New Roman"/>
          <w:sz w:val="24"/>
          <w:szCs w:val="24"/>
          <w:lang w:val="lv-LV"/>
        </w:rPr>
        <w:t>-</w:t>
      </w:r>
      <w:r w:rsidR="00E64E62">
        <w:rPr>
          <w:rFonts w:ascii="Times New Roman" w:hAnsi="Times New Roman"/>
          <w:sz w:val="24"/>
          <w:szCs w:val="24"/>
          <w:lang w:val="lv-LV"/>
        </w:rPr>
        <w:t xml:space="preserve">inkubācijas </w:t>
      </w:r>
      <w:r w:rsidR="007B38D2">
        <w:rPr>
          <w:rFonts w:ascii="Times New Roman" w:hAnsi="Times New Roman"/>
          <w:sz w:val="24"/>
          <w:szCs w:val="24"/>
          <w:lang w:val="lv-LV"/>
        </w:rPr>
        <w:t>pasākuma īstenošanas</w:t>
      </w:r>
      <w:r w:rsidR="00E64E62">
        <w:rPr>
          <w:rFonts w:ascii="Times New Roman" w:hAnsi="Times New Roman"/>
          <w:sz w:val="24"/>
          <w:szCs w:val="24"/>
          <w:lang w:val="lv-LV"/>
        </w:rPr>
        <w:t xml:space="preserve"> pabeigšana</w:t>
      </w:r>
      <w:r w:rsidR="00310CFC" w:rsidRPr="00BD7457"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:rsidR="00310CFC" w:rsidRPr="00BD7457" w:rsidRDefault="00152222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Līdz 2015.</w:t>
      </w:r>
      <w:r w:rsidR="00A96731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7B38D2">
        <w:rPr>
          <w:rFonts w:ascii="Times New Roman" w:hAnsi="Times New Roman"/>
          <w:sz w:val="24"/>
          <w:szCs w:val="24"/>
          <w:lang w:val="lv-LV"/>
        </w:rPr>
        <w:t>augusta</w:t>
      </w:r>
      <w:r>
        <w:rPr>
          <w:rFonts w:ascii="Times New Roman" w:hAnsi="Times New Roman"/>
          <w:sz w:val="24"/>
          <w:szCs w:val="24"/>
          <w:lang w:val="lv-LV"/>
        </w:rPr>
        <w:t xml:space="preserve"> beigām: </w:t>
      </w:r>
      <w:r w:rsidR="00E64E62">
        <w:rPr>
          <w:rFonts w:ascii="Times New Roman" w:hAnsi="Times New Roman"/>
          <w:sz w:val="24"/>
          <w:szCs w:val="24"/>
          <w:lang w:val="lv-LV"/>
        </w:rPr>
        <w:t xml:space="preserve">Tiks pieņemti projekti inkubācijas </w:t>
      </w:r>
      <w:r w:rsidR="007B38D2">
        <w:rPr>
          <w:rFonts w:ascii="Times New Roman" w:hAnsi="Times New Roman"/>
          <w:sz w:val="24"/>
          <w:szCs w:val="24"/>
          <w:lang w:val="lv-LV"/>
        </w:rPr>
        <w:t>pasākuma ietvaros</w:t>
      </w:r>
      <w:r w:rsidR="00E64E62"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:rsidR="006B5A9B" w:rsidRPr="00BD7457" w:rsidRDefault="0094252C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Līdz 2015.</w:t>
      </w:r>
      <w:r w:rsidR="00A96731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decembrim: Pirmie </w:t>
      </w:r>
      <w:r w:rsidR="00A3081E">
        <w:rPr>
          <w:rFonts w:ascii="Times New Roman" w:hAnsi="Times New Roman"/>
          <w:sz w:val="24"/>
          <w:szCs w:val="24"/>
          <w:lang w:val="lv-LV"/>
        </w:rPr>
        <w:t>komersanti</w:t>
      </w:r>
      <w:r>
        <w:rPr>
          <w:rFonts w:ascii="Times New Roman" w:hAnsi="Times New Roman"/>
          <w:sz w:val="24"/>
          <w:szCs w:val="24"/>
          <w:lang w:val="lv-LV"/>
        </w:rPr>
        <w:t xml:space="preserve"> ir veiksmīgi inkubējušies un pamet Tehnoloģiju inkubatoru; </w:t>
      </w:r>
    </w:p>
    <w:p w:rsidR="007B38D2" w:rsidRDefault="007B38D2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Līdz 2016.gada martam: Inkubācijas pasākuma</w:t>
      </w:r>
      <w:r w:rsidR="0088483D">
        <w:rPr>
          <w:rFonts w:ascii="Times New Roman" w:hAnsi="Times New Roman"/>
          <w:sz w:val="24"/>
          <w:szCs w:val="24"/>
          <w:lang w:val="lv-LV"/>
        </w:rPr>
        <w:t xml:space="preserve"> un Atklātā konkursa</w:t>
      </w:r>
      <w:r>
        <w:rPr>
          <w:rFonts w:ascii="Times New Roman" w:hAnsi="Times New Roman"/>
          <w:sz w:val="24"/>
          <w:szCs w:val="24"/>
          <w:lang w:val="lv-LV"/>
        </w:rPr>
        <w:t xml:space="preserve"> īstenošanas pabeigšana;</w:t>
      </w:r>
    </w:p>
    <w:p w:rsidR="006B5A9B" w:rsidRPr="00BD7457" w:rsidRDefault="00843496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Līdz </w:t>
      </w:r>
      <w:r w:rsidR="0094252C">
        <w:rPr>
          <w:rFonts w:ascii="Times New Roman" w:hAnsi="Times New Roman"/>
          <w:sz w:val="24"/>
          <w:szCs w:val="24"/>
          <w:lang w:val="lv-LV"/>
        </w:rPr>
        <w:t>2016.</w:t>
      </w:r>
      <w:r w:rsidR="00A96731">
        <w:rPr>
          <w:rFonts w:ascii="Times New Roman" w:hAnsi="Times New Roman"/>
          <w:sz w:val="24"/>
          <w:szCs w:val="24"/>
          <w:lang w:val="lv-LV"/>
        </w:rPr>
        <w:t> </w:t>
      </w:r>
      <w:r w:rsidR="0094252C">
        <w:rPr>
          <w:rFonts w:ascii="Times New Roman" w:hAnsi="Times New Roman"/>
          <w:sz w:val="24"/>
          <w:szCs w:val="24"/>
          <w:lang w:val="lv-LV"/>
        </w:rPr>
        <w:t>gada aprīļa bei</w:t>
      </w:r>
      <w:r w:rsidR="006F4433">
        <w:rPr>
          <w:rFonts w:ascii="Times New Roman" w:hAnsi="Times New Roman"/>
          <w:sz w:val="24"/>
          <w:szCs w:val="24"/>
          <w:lang w:val="lv-LV"/>
        </w:rPr>
        <w:t>gām: Iepriekš noteiktā projekta</w:t>
      </w:r>
      <w:r w:rsidR="0094252C">
        <w:rPr>
          <w:rFonts w:ascii="Times New Roman" w:hAnsi="Times New Roman"/>
          <w:sz w:val="24"/>
          <w:szCs w:val="24"/>
          <w:lang w:val="lv-LV"/>
        </w:rPr>
        <w:t>;</w:t>
      </w:r>
    </w:p>
    <w:p w:rsidR="006B5A9B" w:rsidRPr="00BD7457" w:rsidRDefault="0094252C" w:rsidP="007B38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2017.</w:t>
      </w:r>
      <w:r w:rsidR="00ED1385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gada janvāris vai februāris: Tiks rīkoti informatīv</w:t>
      </w:r>
      <w:r w:rsidR="007B38D2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 xml:space="preserve"> pasākum</w:t>
      </w:r>
      <w:r w:rsidR="007B38D2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 xml:space="preserve">, lai </w:t>
      </w:r>
      <w:r w:rsidR="007B38D2">
        <w:rPr>
          <w:rFonts w:ascii="Times New Roman" w:hAnsi="Times New Roman"/>
          <w:sz w:val="24"/>
          <w:szCs w:val="24"/>
          <w:lang w:val="lv-LV"/>
        </w:rPr>
        <w:t xml:space="preserve">informēt </w:t>
      </w:r>
      <w:r>
        <w:rPr>
          <w:rFonts w:ascii="Times New Roman" w:hAnsi="Times New Roman"/>
          <w:sz w:val="24"/>
          <w:szCs w:val="24"/>
          <w:lang w:val="lv-LV"/>
        </w:rPr>
        <w:t xml:space="preserve">par Programmas ietvaros sasniegtajiem rezultātiem; </w:t>
      </w:r>
    </w:p>
    <w:p w:rsidR="007F27F6" w:rsidRPr="00BD7457" w:rsidRDefault="0094252C" w:rsidP="007B38D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2017.</w:t>
      </w:r>
      <w:r w:rsidR="00ED1385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 xml:space="preserve">gada februāris: Programmas pabeigšana; </w:t>
      </w:r>
    </w:p>
    <w:p w:rsidR="00363398" w:rsidRPr="00BD7457" w:rsidRDefault="0094252C" w:rsidP="007B38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Starp EM, LIAA, SIVA un Norvēģijas Inovāciju aģentūru tiks rīkotas regulāras sanāksmes</w:t>
      </w:r>
      <w:r w:rsidR="005C6C61">
        <w:rPr>
          <w:rFonts w:ascii="Times New Roman" w:hAnsi="Times New Roman"/>
          <w:sz w:val="24"/>
          <w:szCs w:val="24"/>
          <w:lang w:val="lv-LV"/>
        </w:rPr>
        <w:t xml:space="preserve">, lai novērtētu progresu un veiktu kādas izmaiņas, ja nepieciešams. </w:t>
      </w:r>
    </w:p>
    <w:p w:rsidR="006B5A9B" w:rsidRDefault="006B5A9B">
      <w:pPr>
        <w:spacing w:after="200" w:line="276" w:lineRule="auto"/>
        <w:rPr>
          <w:rFonts w:ascii="Times New Roman" w:hAnsi="Times New Roman"/>
          <w:sz w:val="24"/>
          <w:szCs w:val="24"/>
          <w:lang w:val="lv-LV"/>
        </w:rPr>
      </w:pPr>
    </w:p>
    <w:p w:rsidR="00F563D5" w:rsidRPr="00BD7457" w:rsidRDefault="00F563D5">
      <w:pPr>
        <w:spacing w:after="200" w:line="276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pPr w:leftFromText="180" w:rightFromText="180" w:vertAnchor="text" w:horzAnchor="margin" w:tblpXSpec="center" w:tblpY="498"/>
        <w:tblW w:w="1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2"/>
        <w:gridCol w:w="419"/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A6506" w:rsidRPr="00BD7457" w:rsidTr="00F563D5">
        <w:trPr>
          <w:trHeight w:val="274"/>
        </w:trPr>
        <w:tc>
          <w:tcPr>
            <w:tcW w:w="3412" w:type="dxa"/>
          </w:tcPr>
          <w:p w:rsidR="003A6506" w:rsidRPr="0072602A" w:rsidRDefault="003A6506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2517" w:type="dxa"/>
            <w:gridSpan w:val="6"/>
          </w:tcPr>
          <w:p w:rsidR="003A6506" w:rsidRPr="0072602A" w:rsidRDefault="003A6506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2012.</w:t>
            </w:r>
          </w:p>
        </w:tc>
        <w:tc>
          <w:tcPr>
            <w:tcW w:w="5040" w:type="dxa"/>
            <w:gridSpan w:val="12"/>
          </w:tcPr>
          <w:p w:rsidR="003A6506" w:rsidRPr="0072602A" w:rsidRDefault="003A6506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2013.</w:t>
            </w:r>
          </w:p>
        </w:tc>
        <w:tc>
          <w:tcPr>
            <w:tcW w:w="5040" w:type="dxa"/>
            <w:gridSpan w:val="12"/>
          </w:tcPr>
          <w:p w:rsidR="003A6506" w:rsidRPr="0072602A" w:rsidRDefault="003A6506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2014.</w:t>
            </w:r>
          </w:p>
        </w:tc>
      </w:tr>
      <w:tr w:rsidR="002C7C2D" w:rsidRPr="00BD7457" w:rsidTr="00F563D5">
        <w:trPr>
          <w:trHeight w:val="234"/>
        </w:trPr>
        <w:tc>
          <w:tcPr>
            <w:tcW w:w="3412" w:type="dxa"/>
          </w:tcPr>
          <w:p w:rsidR="002C7C2D" w:rsidRPr="0072602A" w:rsidRDefault="002C7C2D" w:rsidP="00F563D5">
            <w:pPr>
              <w:spacing w:after="0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07</w:t>
            </w: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08</w:t>
            </w: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09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10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11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12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01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02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03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04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05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06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07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08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09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10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11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12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01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02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03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04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05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06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07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08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09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10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11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12</w:t>
            </w:r>
          </w:p>
        </w:tc>
      </w:tr>
      <w:tr w:rsidR="002C7C2D" w:rsidRPr="00BD7457" w:rsidTr="00F563D5">
        <w:trPr>
          <w:trHeight w:val="452"/>
        </w:trPr>
        <w:tc>
          <w:tcPr>
            <w:tcW w:w="3412" w:type="dxa"/>
            <w:vAlign w:val="center"/>
          </w:tcPr>
          <w:p w:rsidR="002C7C2D" w:rsidRPr="0072602A" w:rsidRDefault="002C7C2D" w:rsidP="00F563D5">
            <w:pPr>
              <w:spacing w:after="0"/>
              <w:jc w:val="both"/>
              <w:rPr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1. </w:t>
            </w:r>
            <w:r w:rsidR="00FA3413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Apstiprinājums no Norvēģijas Karalistes Ārlietu ministrijas </w:t>
            </w: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</w:tr>
      <w:tr w:rsidR="002C7C2D" w:rsidRPr="00BD7457" w:rsidTr="00F563D5">
        <w:tc>
          <w:tcPr>
            <w:tcW w:w="3412" w:type="dxa"/>
            <w:vAlign w:val="center"/>
          </w:tcPr>
          <w:p w:rsidR="002C7C2D" w:rsidRPr="0072602A" w:rsidRDefault="002C7C2D" w:rsidP="00F563D5">
            <w:pPr>
              <w:spacing w:after="0"/>
              <w:jc w:val="both"/>
              <w:rPr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2. </w:t>
            </w:r>
            <w:r w:rsidR="007B38D2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Programmas </w:t>
            </w:r>
            <w:r w:rsidR="00FA3413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Ministru kabineta noteikumi </w:t>
            </w:r>
            <w:r w:rsidR="007B38D2" w:rsidRPr="0072602A">
              <w:rPr>
                <w:rFonts w:ascii="Times New Roman" w:hAnsi="Times New Roman"/>
                <w:sz w:val="18"/>
                <w:szCs w:val="18"/>
                <w:lang w:val="lv-LV"/>
              </w:rPr>
              <w:t>ir izstrādāti un apstiprināti</w:t>
            </w:r>
          </w:p>
        </w:tc>
        <w:tc>
          <w:tcPr>
            <w:tcW w:w="419" w:type="dxa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</w:tr>
      <w:tr w:rsidR="002C7C2D" w:rsidRPr="00BD7457" w:rsidTr="00F563D5">
        <w:tc>
          <w:tcPr>
            <w:tcW w:w="3412" w:type="dxa"/>
            <w:vAlign w:val="center"/>
          </w:tcPr>
          <w:p w:rsidR="002C7C2D" w:rsidRPr="0072602A" w:rsidRDefault="002C7C2D" w:rsidP="00F563D5">
            <w:pPr>
              <w:spacing w:after="0"/>
              <w:jc w:val="both"/>
              <w:rPr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3. </w:t>
            </w:r>
            <w:r w:rsidR="00FA3413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Projekta iesniegšana, izvērtēšana, līguma parakstīšana ar Tehnoloģiju inkubatora </w:t>
            </w:r>
            <w:r w:rsidR="00324073">
              <w:rPr>
                <w:rFonts w:ascii="Times New Roman" w:hAnsi="Times New Roman"/>
                <w:sz w:val="18"/>
                <w:szCs w:val="18"/>
                <w:lang w:val="lv-LV"/>
              </w:rPr>
              <w:t>operatoru</w:t>
            </w:r>
          </w:p>
        </w:tc>
        <w:tc>
          <w:tcPr>
            <w:tcW w:w="419" w:type="dxa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</w:tr>
      <w:tr w:rsidR="002C7C2D" w:rsidRPr="00BD7457" w:rsidTr="00F563D5">
        <w:tc>
          <w:tcPr>
            <w:tcW w:w="3412" w:type="dxa"/>
            <w:vAlign w:val="center"/>
          </w:tcPr>
          <w:p w:rsidR="002C7C2D" w:rsidRPr="0072602A" w:rsidRDefault="002C7C2D" w:rsidP="00F563D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4. </w:t>
            </w:r>
            <w:r w:rsidR="00FA3413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Tehnoloģiju inkubatora aktivitātes </w:t>
            </w:r>
          </w:p>
        </w:tc>
        <w:tc>
          <w:tcPr>
            <w:tcW w:w="419" w:type="dxa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7B38D2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41F3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</w:tr>
      <w:tr w:rsidR="002C7C2D" w:rsidRPr="00BD7457" w:rsidTr="00F563D5">
        <w:tc>
          <w:tcPr>
            <w:tcW w:w="3412" w:type="dxa"/>
            <w:vAlign w:val="center"/>
          </w:tcPr>
          <w:p w:rsidR="002C7C2D" w:rsidRPr="0072602A" w:rsidRDefault="002C7C2D" w:rsidP="00F563D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5. </w:t>
            </w:r>
            <w:r w:rsidR="00FA3413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Neliela </w:t>
            </w:r>
            <w:r w:rsidR="007B38D2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apjoma </w:t>
            </w:r>
            <w:r w:rsidR="00FA3413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granta shēma </w:t>
            </w:r>
            <w:r w:rsidR="007B38D2" w:rsidRPr="0072602A">
              <w:rPr>
                <w:rFonts w:ascii="Times New Roman" w:hAnsi="Times New Roman"/>
                <w:sz w:val="18"/>
                <w:szCs w:val="18"/>
                <w:lang w:val="lv-LV"/>
              </w:rPr>
              <w:t>pirms-inkubācijas pasākuma projektu atlase, līgumu slēgšana un projektu ieviešana</w:t>
            </w:r>
            <w:r w:rsidR="00FA3413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19" w:type="dxa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7B38D2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</w:tr>
      <w:tr w:rsidR="002C7C2D" w:rsidRPr="00BD7457" w:rsidTr="00F563D5">
        <w:trPr>
          <w:trHeight w:val="335"/>
        </w:trPr>
        <w:tc>
          <w:tcPr>
            <w:tcW w:w="3412" w:type="dxa"/>
            <w:vAlign w:val="center"/>
          </w:tcPr>
          <w:p w:rsidR="002C7C2D" w:rsidRPr="0072602A" w:rsidRDefault="002C7C2D" w:rsidP="00F563D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6. </w:t>
            </w:r>
            <w:r w:rsidR="00FA3413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Neliela granta shēma </w:t>
            </w:r>
            <w:r w:rsidR="007B38D2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inkubācijas pasākuma projektu atlase, līgumu slēgšana un projektu ieviešana</w:t>
            </w:r>
          </w:p>
        </w:tc>
        <w:tc>
          <w:tcPr>
            <w:tcW w:w="419" w:type="dxa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2C7C2D" w:rsidRPr="0072602A" w:rsidRDefault="007B38D2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2C7C2D" w:rsidRPr="0072602A" w:rsidRDefault="002C7C2D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</w:tr>
      <w:tr w:rsidR="006F22FF" w:rsidRPr="00BD7457" w:rsidTr="00F563D5">
        <w:tc>
          <w:tcPr>
            <w:tcW w:w="3412" w:type="dxa"/>
            <w:vAlign w:val="center"/>
          </w:tcPr>
          <w:p w:rsidR="006F22FF" w:rsidRPr="0072602A" w:rsidRDefault="006F22FF" w:rsidP="00F563D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7. </w:t>
            </w:r>
            <w:r w:rsidR="001770B6" w:rsidRPr="0072602A">
              <w:rPr>
                <w:rFonts w:ascii="Times New Roman" w:hAnsi="Times New Roman"/>
                <w:sz w:val="18"/>
                <w:szCs w:val="18"/>
                <w:lang w:val="lv-LV"/>
              </w:rPr>
              <w:t>A</w:t>
            </w:r>
            <w:r w:rsidR="00FA3413" w:rsidRPr="0072602A">
              <w:rPr>
                <w:rFonts w:ascii="Times New Roman" w:hAnsi="Times New Roman"/>
                <w:sz w:val="18"/>
                <w:szCs w:val="18"/>
                <w:lang w:val="lv-LV"/>
              </w:rPr>
              <w:t>tklāt</w:t>
            </w:r>
            <w:r w:rsidR="00ED1385" w:rsidRPr="0072602A">
              <w:rPr>
                <w:rFonts w:ascii="Times New Roman" w:hAnsi="Times New Roman"/>
                <w:sz w:val="18"/>
                <w:szCs w:val="18"/>
                <w:lang w:val="lv-LV"/>
              </w:rPr>
              <w:t>a</w:t>
            </w:r>
            <w:r w:rsidR="00FA3413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</w:t>
            </w:r>
            <w:r w:rsidR="007B38D2"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konkursa </w:t>
            </w:r>
            <w:r w:rsidR="00ED1385" w:rsidRPr="0072602A">
              <w:rPr>
                <w:rFonts w:ascii="Times New Roman" w:hAnsi="Times New Roman"/>
                <w:sz w:val="18"/>
                <w:szCs w:val="18"/>
                <w:lang w:val="lv-LV"/>
              </w:rPr>
              <w:t>īstenošana</w:t>
            </w:r>
            <w:r w:rsidR="007B38D2" w:rsidRPr="0072602A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419" w:type="dxa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6F22FF" w:rsidRPr="0072602A" w:rsidRDefault="006F22FF" w:rsidP="00F563D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</w:tr>
      <w:tr w:rsidR="007B38D2" w:rsidRPr="00BD7457" w:rsidTr="00F563D5">
        <w:tc>
          <w:tcPr>
            <w:tcW w:w="3412" w:type="dxa"/>
            <w:vAlign w:val="center"/>
          </w:tcPr>
          <w:p w:rsidR="007B38D2" w:rsidRPr="0072602A" w:rsidRDefault="007B38D2" w:rsidP="00F563D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8. Informatīvi semināri </w:t>
            </w:r>
          </w:p>
        </w:tc>
        <w:tc>
          <w:tcPr>
            <w:tcW w:w="419" w:type="dxa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19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18"/>
                <w:szCs w:val="18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7B38D2" w:rsidRPr="0072602A" w:rsidRDefault="007B38D2" w:rsidP="00F563D5">
            <w:pPr>
              <w:spacing w:after="0"/>
              <w:jc w:val="center"/>
              <w:rPr>
                <w:sz w:val="18"/>
                <w:szCs w:val="18"/>
                <w:lang w:val="lv-LV"/>
              </w:rPr>
            </w:pPr>
          </w:p>
        </w:tc>
      </w:tr>
    </w:tbl>
    <w:p w:rsidR="00CA60C4" w:rsidRDefault="00CA60C4" w:rsidP="00373F4B">
      <w:pPr>
        <w:spacing w:after="0"/>
        <w:rPr>
          <w:lang w:val="lv-LV"/>
        </w:rPr>
      </w:pPr>
    </w:p>
    <w:p w:rsidR="008D4310" w:rsidRDefault="008D4310" w:rsidP="00373F4B">
      <w:pPr>
        <w:spacing w:after="0"/>
        <w:rPr>
          <w:lang w:val="lv-LV"/>
        </w:rPr>
      </w:pPr>
    </w:p>
    <w:p w:rsidR="008D4310" w:rsidRDefault="008D4310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Default="00F563D5" w:rsidP="00373F4B">
      <w:pPr>
        <w:spacing w:after="0"/>
        <w:rPr>
          <w:lang w:val="lv-LV"/>
        </w:rPr>
      </w:pPr>
    </w:p>
    <w:p w:rsidR="00F563D5" w:rsidRPr="00CA60C4" w:rsidRDefault="00F563D5" w:rsidP="00373F4B">
      <w:pPr>
        <w:spacing w:after="0"/>
        <w:rPr>
          <w:lang w:val="lv-LV"/>
        </w:rPr>
      </w:pPr>
    </w:p>
    <w:tbl>
      <w:tblPr>
        <w:tblpPr w:leftFromText="180" w:rightFromText="180" w:vertAnchor="text" w:horzAnchor="margin" w:tblpXSpec="center" w:tblpY="376"/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6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A60C4" w:rsidRPr="00BD7457" w:rsidTr="00F563D5">
        <w:trPr>
          <w:trHeight w:val="271"/>
        </w:trPr>
        <w:tc>
          <w:tcPr>
            <w:tcW w:w="3906" w:type="dxa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5040" w:type="dxa"/>
            <w:gridSpan w:val="12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2015.</w:t>
            </w:r>
          </w:p>
        </w:tc>
        <w:tc>
          <w:tcPr>
            <w:tcW w:w="5040" w:type="dxa"/>
            <w:gridSpan w:val="12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2016.</w:t>
            </w:r>
          </w:p>
        </w:tc>
        <w:tc>
          <w:tcPr>
            <w:tcW w:w="1680" w:type="dxa"/>
            <w:gridSpan w:val="4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2017.</w:t>
            </w:r>
          </w:p>
        </w:tc>
      </w:tr>
      <w:tr w:rsidR="00CA60C4" w:rsidRPr="00BD7457" w:rsidTr="00F563D5">
        <w:trPr>
          <w:trHeight w:val="234"/>
        </w:trPr>
        <w:tc>
          <w:tcPr>
            <w:tcW w:w="3906" w:type="dxa"/>
          </w:tcPr>
          <w:p w:rsidR="00CA60C4" w:rsidRPr="0072602A" w:rsidRDefault="00CA60C4" w:rsidP="00F563D5">
            <w:pPr>
              <w:spacing w:after="0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01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02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03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04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05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06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07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08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09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10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11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12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01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02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03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04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05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06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07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08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09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10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11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12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01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02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03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04</w:t>
            </w:r>
          </w:p>
        </w:tc>
      </w:tr>
      <w:tr w:rsidR="00CA60C4" w:rsidRPr="00BD7457" w:rsidTr="00F563D5">
        <w:trPr>
          <w:trHeight w:val="452"/>
        </w:trPr>
        <w:tc>
          <w:tcPr>
            <w:tcW w:w="3906" w:type="dxa"/>
            <w:vAlign w:val="center"/>
          </w:tcPr>
          <w:p w:rsidR="00CA60C4" w:rsidRPr="0072602A" w:rsidRDefault="00CA60C4" w:rsidP="00F563D5">
            <w:pPr>
              <w:spacing w:after="0"/>
              <w:jc w:val="both"/>
              <w:rPr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1. Apstiprinājums no Norvēģijas Karalistes Ārlietu ministrijas 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CA60C4" w:rsidRPr="00BD7457" w:rsidTr="00F563D5">
        <w:tc>
          <w:tcPr>
            <w:tcW w:w="3906" w:type="dxa"/>
            <w:vAlign w:val="center"/>
          </w:tcPr>
          <w:p w:rsidR="00CA60C4" w:rsidRPr="0072602A" w:rsidRDefault="00CA60C4" w:rsidP="00F563D5">
            <w:pPr>
              <w:spacing w:after="0"/>
              <w:jc w:val="both"/>
              <w:rPr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sz w:val="20"/>
                <w:szCs w:val="20"/>
                <w:lang w:val="lv-LV"/>
              </w:rPr>
              <w:t>2. Programmas Ministru kabineta noteikumi ir izstrādāti un apstiprināti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CA60C4" w:rsidRPr="00BD7457" w:rsidTr="00F563D5">
        <w:tc>
          <w:tcPr>
            <w:tcW w:w="3906" w:type="dxa"/>
            <w:vAlign w:val="center"/>
          </w:tcPr>
          <w:p w:rsidR="00CA60C4" w:rsidRPr="0072602A" w:rsidRDefault="00CA60C4" w:rsidP="00F563D5">
            <w:pPr>
              <w:spacing w:after="0"/>
              <w:jc w:val="both"/>
              <w:rPr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3. Projekta iesniegšana, izvērtēšana, līguma parakstīšana ar Tehnoloģiju inkubatora </w:t>
            </w:r>
            <w:r w:rsidR="00324073">
              <w:rPr>
                <w:rFonts w:ascii="Times New Roman" w:hAnsi="Times New Roman"/>
                <w:sz w:val="20"/>
                <w:szCs w:val="20"/>
                <w:lang w:val="lv-LV"/>
              </w:rPr>
              <w:t>operatoru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CA60C4" w:rsidRPr="00BD7457" w:rsidTr="00F563D5">
        <w:tc>
          <w:tcPr>
            <w:tcW w:w="3906" w:type="dxa"/>
            <w:vAlign w:val="center"/>
          </w:tcPr>
          <w:p w:rsidR="00CA60C4" w:rsidRPr="0072602A" w:rsidRDefault="00CA60C4" w:rsidP="00F563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4. Tehnoloģiju inkubatora aktivitātes 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CA60C4" w:rsidRPr="00BD7457" w:rsidTr="00F563D5">
        <w:tc>
          <w:tcPr>
            <w:tcW w:w="3906" w:type="dxa"/>
            <w:vAlign w:val="center"/>
          </w:tcPr>
          <w:p w:rsidR="00CA60C4" w:rsidRPr="0072602A" w:rsidRDefault="00CA60C4" w:rsidP="00F563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5. Neliela apjoma granta shēma pirms-inkubācijas pasākuma projektu atlase, līgumu slēgšana un projektu ieviešana 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6F4433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CA60C4" w:rsidRPr="00BD7457" w:rsidTr="00F563D5">
        <w:trPr>
          <w:trHeight w:val="335"/>
        </w:trPr>
        <w:tc>
          <w:tcPr>
            <w:tcW w:w="3906" w:type="dxa"/>
            <w:vAlign w:val="center"/>
          </w:tcPr>
          <w:p w:rsidR="00CA60C4" w:rsidRPr="0072602A" w:rsidRDefault="00CA60C4" w:rsidP="00F563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sz w:val="20"/>
                <w:szCs w:val="20"/>
                <w:lang w:val="lv-LV"/>
              </w:rPr>
              <w:t>6. Neliela granta shēma  inkubācijas pasākuma projektu atlase, līgumu slēgšana un projektu ieviešana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CA60C4" w:rsidRPr="00BD7457" w:rsidTr="00F563D5">
        <w:tc>
          <w:tcPr>
            <w:tcW w:w="3906" w:type="dxa"/>
            <w:vAlign w:val="center"/>
          </w:tcPr>
          <w:p w:rsidR="00CA60C4" w:rsidRPr="0072602A" w:rsidRDefault="00CA60C4" w:rsidP="00F563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sz w:val="20"/>
                <w:szCs w:val="20"/>
                <w:lang w:val="lv-LV"/>
              </w:rPr>
              <w:t>7. Atklāta konkursa īstenošana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CA60C4" w:rsidRPr="00BD7457" w:rsidTr="00F563D5">
        <w:tc>
          <w:tcPr>
            <w:tcW w:w="3906" w:type="dxa"/>
            <w:vAlign w:val="center"/>
          </w:tcPr>
          <w:p w:rsidR="00CA60C4" w:rsidRPr="0072602A" w:rsidRDefault="00CA60C4" w:rsidP="00F563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8. Informatīvi semināri 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72602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0" w:type="dxa"/>
            <w:vAlign w:val="center"/>
          </w:tcPr>
          <w:p w:rsidR="00CA60C4" w:rsidRPr="0072602A" w:rsidRDefault="00CA60C4" w:rsidP="00F563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</w:tbl>
    <w:p w:rsidR="004A40BB" w:rsidRDefault="004A40BB" w:rsidP="00373F4B">
      <w:pPr>
        <w:rPr>
          <w:lang w:val="lv-LV"/>
        </w:rPr>
      </w:pPr>
    </w:p>
    <w:p w:rsidR="008D4310" w:rsidRPr="005279AC" w:rsidRDefault="008D4310" w:rsidP="008D431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Ekonomikas</w:t>
      </w:r>
      <w:r w:rsidRPr="005279AC">
        <w:rPr>
          <w:rFonts w:ascii="Times New Roman" w:hAnsi="Times New Roman"/>
        </w:rPr>
        <w:t xml:space="preserve"> ministrs</w:t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D.Pavļuts</w:t>
      </w:r>
    </w:p>
    <w:p w:rsidR="008D4310" w:rsidRPr="005279AC" w:rsidRDefault="008D4310" w:rsidP="008D4310">
      <w:pPr>
        <w:jc w:val="both"/>
        <w:rPr>
          <w:rFonts w:ascii="Times New Roman" w:hAnsi="Times New Roman"/>
        </w:rPr>
      </w:pPr>
    </w:p>
    <w:p w:rsidR="008D4310" w:rsidRPr="005279AC" w:rsidRDefault="008D4310" w:rsidP="008D4310">
      <w:pPr>
        <w:ind w:firstLine="720"/>
        <w:jc w:val="both"/>
        <w:rPr>
          <w:rFonts w:ascii="Times New Roman" w:hAnsi="Times New Roman"/>
        </w:rPr>
      </w:pPr>
      <w:r w:rsidRPr="005279AC">
        <w:rPr>
          <w:rFonts w:ascii="Times New Roman" w:hAnsi="Times New Roman"/>
        </w:rPr>
        <w:t xml:space="preserve">Iesniedzējs: </w:t>
      </w:r>
      <w:r>
        <w:rPr>
          <w:rFonts w:ascii="Times New Roman" w:hAnsi="Times New Roman"/>
        </w:rPr>
        <w:t>Ekonomikas ministrs</w:t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D.Pavļuts</w:t>
      </w:r>
    </w:p>
    <w:p w:rsidR="008D4310" w:rsidRPr="005279AC" w:rsidRDefault="008D4310" w:rsidP="008D4310">
      <w:pPr>
        <w:jc w:val="both"/>
        <w:rPr>
          <w:rFonts w:ascii="Times New Roman" w:hAnsi="Times New Roman"/>
        </w:rPr>
      </w:pPr>
    </w:p>
    <w:p w:rsidR="008D4310" w:rsidRPr="005279AC" w:rsidRDefault="002C1874" w:rsidP="008D431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Vīza</w:t>
      </w:r>
      <w:r w:rsidR="008D4310" w:rsidRPr="005279AC">
        <w:rPr>
          <w:rFonts w:ascii="Times New Roman" w:hAnsi="Times New Roman"/>
        </w:rPr>
        <w:t xml:space="preserve">: </w:t>
      </w:r>
      <w:r w:rsidR="008D4310">
        <w:rPr>
          <w:rFonts w:ascii="Times New Roman" w:hAnsi="Times New Roman"/>
        </w:rPr>
        <w:t>Ekonomikas</w:t>
      </w:r>
      <w:r w:rsidR="008D4310" w:rsidRPr="005279AC">
        <w:rPr>
          <w:rFonts w:ascii="Times New Roman" w:hAnsi="Times New Roman"/>
        </w:rPr>
        <w:t xml:space="preserve"> ministrijas valsts sekretārs</w:t>
      </w:r>
      <w:r w:rsidR="008D4310" w:rsidRPr="005279AC">
        <w:rPr>
          <w:rFonts w:ascii="Times New Roman" w:hAnsi="Times New Roman"/>
        </w:rPr>
        <w:tab/>
      </w:r>
      <w:r w:rsidR="008D4310" w:rsidRPr="005279AC">
        <w:rPr>
          <w:rFonts w:ascii="Times New Roman" w:hAnsi="Times New Roman"/>
        </w:rPr>
        <w:tab/>
      </w:r>
      <w:r w:rsidR="008D4310" w:rsidRPr="005279AC">
        <w:rPr>
          <w:rFonts w:ascii="Times New Roman" w:hAnsi="Times New Roman"/>
        </w:rPr>
        <w:tab/>
      </w:r>
      <w:r w:rsidR="008D4310" w:rsidRPr="005279AC">
        <w:rPr>
          <w:rFonts w:ascii="Times New Roman" w:hAnsi="Times New Roman"/>
        </w:rPr>
        <w:tab/>
      </w:r>
      <w:r w:rsidR="008D4310">
        <w:rPr>
          <w:rFonts w:ascii="Times New Roman" w:hAnsi="Times New Roman"/>
        </w:rPr>
        <w:tab/>
      </w:r>
      <w:r w:rsidR="008D4310">
        <w:rPr>
          <w:rFonts w:ascii="Times New Roman" w:hAnsi="Times New Roman"/>
        </w:rPr>
        <w:tab/>
      </w:r>
      <w:r w:rsidR="008D4310">
        <w:rPr>
          <w:rFonts w:ascii="Times New Roman" w:hAnsi="Times New Roman"/>
        </w:rPr>
        <w:tab/>
        <w:t>J.Pūce</w:t>
      </w:r>
    </w:p>
    <w:p w:rsidR="008D4310" w:rsidRDefault="008D4310" w:rsidP="008D4310">
      <w:pPr>
        <w:rPr>
          <w:rFonts w:ascii="Times New Roman" w:hAnsi="Times New Roman"/>
          <w:lang w:val="lv-LV"/>
        </w:rPr>
      </w:pPr>
    </w:p>
    <w:p w:rsidR="00CA308B" w:rsidRDefault="009C1261" w:rsidP="008D43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22.02.2012 19:09</w:t>
      </w:r>
    </w:p>
    <w:p w:rsidR="008D4310" w:rsidRPr="009C195A" w:rsidRDefault="009E178D" w:rsidP="008D4310">
      <w:pPr>
        <w:spacing w:after="0"/>
        <w:rPr>
          <w:rFonts w:ascii="Times New Roman" w:hAnsi="Times New Roman"/>
          <w:sz w:val="18"/>
          <w:szCs w:val="18"/>
        </w:rPr>
      </w:pPr>
      <w:fldSimple w:instr=" NUMWORDS   \* MERGEFORMAT ">
        <w:r w:rsidR="009C1261" w:rsidRPr="009C1261">
          <w:rPr>
            <w:rFonts w:ascii="Times New Roman" w:hAnsi="Times New Roman"/>
            <w:noProof/>
            <w:sz w:val="18"/>
            <w:szCs w:val="18"/>
          </w:rPr>
          <w:t>696</w:t>
        </w:r>
      </w:fldSimple>
    </w:p>
    <w:p w:rsidR="008D4310" w:rsidRPr="009C195A" w:rsidRDefault="001A3A23" w:rsidP="008D43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Una Vanaga</w:t>
      </w:r>
    </w:p>
    <w:p w:rsidR="008D4310" w:rsidRPr="00CA308B" w:rsidRDefault="008D4310" w:rsidP="00CA308B">
      <w:pPr>
        <w:spacing w:after="0"/>
        <w:rPr>
          <w:rFonts w:ascii="Times New Roman" w:hAnsi="Times New Roman"/>
          <w:sz w:val="18"/>
          <w:szCs w:val="18"/>
          <w:lang w:val="lv-LV"/>
        </w:rPr>
      </w:pPr>
      <w:r w:rsidRPr="009C195A">
        <w:rPr>
          <w:rFonts w:ascii="Times New Roman" w:hAnsi="Times New Roman"/>
          <w:sz w:val="18"/>
          <w:szCs w:val="18"/>
        </w:rPr>
        <w:t>Tālr. 67013</w:t>
      </w:r>
      <w:r w:rsidR="001A3A23">
        <w:rPr>
          <w:rFonts w:ascii="Times New Roman" w:hAnsi="Times New Roman"/>
          <w:sz w:val="18"/>
          <w:szCs w:val="18"/>
        </w:rPr>
        <w:t>129</w:t>
      </w:r>
      <w:r w:rsidRPr="009C195A">
        <w:rPr>
          <w:rFonts w:ascii="Times New Roman" w:hAnsi="Times New Roman"/>
          <w:sz w:val="18"/>
          <w:szCs w:val="18"/>
        </w:rPr>
        <w:t xml:space="preserve">; </w:t>
      </w:r>
      <w:hyperlink r:id="rId8" w:history="1">
        <w:r w:rsidR="00115172" w:rsidRPr="0086453F">
          <w:rPr>
            <w:rStyle w:val="Hyperlink"/>
            <w:rFonts w:ascii="Times New Roman" w:hAnsi="Times New Roman"/>
            <w:sz w:val="18"/>
            <w:szCs w:val="18"/>
          </w:rPr>
          <w:t>Una.Vanaga@em.gov.lv</w:t>
        </w:r>
      </w:hyperlink>
    </w:p>
    <w:sectPr w:rsidR="008D4310" w:rsidRPr="00CA308B" w:rsidSect="00CA60C4">
      <w:headerReference w:type="default" r:id="rId9"/>
      <w:footerReference w:type="default" r:id="rId10"/>
      <w:footerReference w:type="first" r:id="rId11"/>
      <w:pgSz w:w="16838" w:h="11906" w:orient="landscape"/>
      <w:pgMar w:top="709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E1" w:rsidRDefault="009E6AE1" w:rsidP="00E16115">
      <w:pPr>
        <w:spacing w:after="0"/>
      </w:pPr>
      <w:r>
        <w:separator/>
      </w:r>
    </w:p>
  </w:endnote>
  <w:endnote w:type="continuationSeparator" w:id="0">
    <w:p w:rsidR="009E6AE1" w:rsidRDefault="009E6AE1" w:rsidP="00E161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1A" w:rsidRPr="00632236" w:rsidRDefault="001A7725" w:rsidP="00AF221A">
    <w:pPr>
      <w:pStyle w:val="Footer"/>
      <w:rPr>
        <w:sz w:val="20"/>
        <w:szCs w:val="20"/>
        <w:lang w:val="lv-LV"/>
      </w:rPr>
    </w:pPr>
    <w:r w:rsidRPr="00F970F3">
      <w:rPr>
        <w:rFonts w:ascii="Times New Roman" w:hAnsi="Times New Roman"/>
        <w:sz w:val="20"/>
        <w:szCs w:val="20"/>
      </w:rPr>
      <w:t>EMRikp_</w:t>
    </w:r>
    <w:r>
      <w:rPr>
        <w:rFonts w:ascii="Times New Roman" w:hAnsi="Times New Roman"/>
        <w:sz w:val="20"/>
        <w:szCs w:val="20"/>
      </w:rPr>
      <w:t>12</w:t>
    </w:r>
    <w:r w:rsidRPr="00F970F3">
      <w:rPr>
        <w:rFonts w:ascii="Times New Roman" w:hAnsi="Times New Roman"/>
        <w:sz w:val="20"/>
        <w:szCs w:val="20"/>
      </w:rPr>
      <w:t>_</w:t>
    </w:r>
    <w:r w:rsidR="00830399">
      <w:rPr>
        <w:rFonts w:ascii="Times New Roman" w:hAnsi="Times New Roman"/>
        <w:sz w:val="20"/>
        <w:szCs w:val="20"/>
      </w:rPr>
      <w:t>2</w:t>
    </w:r>
    <w:r w:rsidR="001A3A23">
      <w:rPr>
        <w:rFonts w:ascii="Times New Roman" w:hAnsi="Times New Roman"/>
        <w:sz w:val="20"/>
        <w:szCs w:val="20"/>
      </w:rPr>
      <w:t>2</w:t>
    </w:r>
    <w:r w:rsidR="00FD3499" w:rsidRPr="00F970F3">
      <w:rPr>
        <w:rFonts w:ascii="Times New Roman" w:hAnsi="Times New Roman"/>
        <w:sz w:val="20"/>
        <w:szCs w:val="20"/>
      </w:rPr>
      <w:t>0212</w:t>
    </w:r>
    <w:r w:rsidRPr="00F970F3">
      <w:rPr>
        <w:rFonts w:ascii="Times New Roman" w:hAnsi="Times New Roman"/>
        <w:sz w:val="20"/>
        <w:szCs w:val="20"/>
      </w:rPr>
      <w:t>_NFI_LV21</w:t>
    </w:r>
    <w:r w:rsidR="009F651D">
      <w:rPr>
        <w:rFonts w:ascii="Times New Roman" w:hAnsi="Times New Roman"/>
        <w:sz w:val="20"/>
        <w:szCs w:val="20"/>
      </w:rPr>
      <w:t>_LG</w:t>
    </w:r>
    <w:r w:rsidRPr="00F970F3">
      <w:rPr>
        <w:rFonts w:ascii="Times New Roman" w:hAnsi="Times New Roman"/>
        <w:sz w:val="20"/>
        <w:szCs w:val="20"/>
      </w:rPr>
      <w:t xml:space="preserve">; </w:t>
    </w:r>
    <w:bookmarkStart w:id="0" w:name="OLE_LINK1"/>
    <w:bookmarkStart w:id="1" w:name="OLE_LINK2"/>
    <w:r w:rsidRPr="00F970F3">
      <w:rPr>
        <w:rFonts w:ascii="Times New Roman" w:hAnsi="Times New Roman"/>
        <w:sz w:val="20"/>
        <w:szCs w:val="20"/>
      </w:rPr>
      <w:t xml:space="preserve">Pielikuma </w:t>
    </w:r>
    <w:r>
      <w:rPr>
        <w:rFonts w:ascii="Times New Roman" w:hAnsi="Times New Roman"/>
        <w:sz w:val="20"/>
        <w:szCs w:val="20"/>
      </w:rPr>
      <w:t>12</w:t>
    </w:r>
    <w:r w:rsidRPr="00F970F3">
      <w:rPr>
        <w:rFonts w:ascii="Times New Roman" w:hAnsi="Times New Roman"/>
        <w:sz w:val="20"/>
        <w:szCs w:val="20"/>
      </w:rPr>
      <w:t xml:space="preserve">.pielikums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F970F3">
        <w:rPr>
          <w:rFonts w:ascii="Times New Roman" w:hAnsi="Times New Roman"/>
          <w:sz w:val="20"/>
          <w:szCs w:val="20"/>
        </w:rPr>
        <w:t>rīkojuma</w:t>
      </w:r>
    </w:smartTag>
    <w:r w:rsidRPr="00F970F3">
      <w:rPr>
        <w:rFonts w:ascii="Times New Roman" w:hAnsi="Times New Roman"/>
        <w:sz w:val="20"/>
        <w:szCs w:val="20"/>
      </w:rPr>
      <w:t xml:space="preserve"> projektam </w:t>
    </w:r>
    <w:r w:rsidRPr="00F970F3">
      <w:rPr>
        <w:rFonts w:ascii="Times New Roman" w:hAnsi="Times New Roman"/>
        <w:sz w:val="20"/>
      </w:rPr>
      <w:t>„Par Norvēģijas finanšu instrumenta līdzfinansētās programmas „Inovācijas „zaļās” ražošanas jomā” iesnieguma projekt</w:t>
    </w:r>
    <w:r w:rsidR="00040403">
      <w:rPr>
        <w:rFonts w:ascii="Times New Roman" w:hAnsi="Times New Roman"/>
        <w:sz w:val="20"/>
      </w:rPr>
      <w:t>u</w:t>
    </w:r>
    <w:r w:rsidRPr="00F970F3">
      <w:rPr>
        <w:rFonts w:ascii="Times New Roman" w:hAnsi="Times New Roman"/>
        <w:sz w:val="20"/>
      </w:rPr>
      <w:t>”</w:t>
    </w:r>
    <w:bookmarkEnd w:id="0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25" w:rsidRPr="001A7725" w:rsidRDefault="00171BB4">
    <w:pPr>
      <w:pStyle w:val="Footer"/>
      <w:rPr>
        <w:sz w:val="20"/>
        <w:szCs w:val="20"/>
        <w:lang w:val="lv-LV"/>
      </w:rPr>
    </w:pPr>
    <w:r>
      <w:rPr>
        <w:rFonts w:ascii="Times New Roman" w:hAnsi="Times New Roman"/>
        <w:sz w:val="20"/>
        <w:szCs w:val="20"/>
      </w:rPr>
      <w:t>EMRikp</w:t>
    </w:r>
    <w:r w:rsidR="001A7725">
      <w:rPr>
        <w:rFonts w:ascii="Times New Roman" w:hAnsi="Times New Roman"/>
        <w:sz w:val="20"/>
        <w:szCs w:val="20"/>
      </w:rPr>
      <w:t>12</w:t>
    </w:r>
    <w:r w:rsidR="001A7725" w:rsidRPr="00F970F3">
      <w:rPr>
        <w:rFonts w:ascii="Times New Roman" w:hAnsi="Times New Roman"/>
        <w:sz w:val="20"/>
        <w:szCs w:val="20"/>
      </w:rPr>
      <w:t>_</w:t>
    </w:r>
    <w:r w:rsidR="00830399">
      <w:rPr>
        <w:rFonts w:ascii="Times New Roman" w:hAnsi="Times New Roman"/>
        <w:sz w:val="20"/>
        <w:szCs w:val="20"/>
      </w:rPr>
      <w:t>2</w:t>
    </w:r>
    <w:r w:rsidR="001A3A23">
      <w:rPr>
        <w:rFonts w:ascii="Times New Roman" w:hAnsi="Times New Roman"/>
        <w:sz w:val="20"/>
        <w:szCs w:val="20"/>
      </w:rPr>
      <w:t>2</w:t>
    </w:r>
    <w:r w:rsidR="00FD3499" w:rsidRPr="00F970F3">
      <w:rPr>
        <w:rFonts w:ascii="Times New Roman" w:hAnsi="Times New Roman"/>
        <w:sz w:val="20"/>
        <w:szCs w:val="20"/>
      </w:rPr>
      <w:t>0212</w:t>
    </w:r>
    <w:r w:rsidR="001A7725" w:rsidRPr="00F970F3">
      <w:rPr>
        <w:rFonts w:ascii="Times New Roman" w:hAnsi="Times New Roman"/>
        <w:sz w:val="20"/>
        <w:szCs w:val="20"/>
      </w:rPr>
      <w:t xml:space="preserve">_NFI_LV21; </w:t>
    </w:r>
    <w:bookmarkStart w:id="2" w:name="OLE_LINK15"/>
    <w:bookmarkStart w:id="3" w:name="OLE_LINK16"/>
    <w:r w:rsidR="001A7725" w:rsidRPr="00F970F3">
      <w:rPr>
        <w:rFonts w:ascii="Times New Roman" w:hAnsi="Times New Roman"/>
        <w:sz w:val="20"/>
        <w:szCs w:val="20"/>
      </w:rPr>
      <w:t xml:space="preserve">Pielikuma </w:t>
    </w:r>
    <w:r w:rsidR="001A7725">
      <w:rPr>
        <w:rFonts w:ascii="Times New Roman" w:hAnsi="Times New Roman"/>
        <w:sz w:val="20"/>
        <w:szCs w:val="20"/>
      </w:rPr>
      <w:t>12</w:t>
    </w:r>
    <w:r w:rsidR="001A7725" w:rsidRPr="00F970F3">
      <w:rPr>
        <w:rFonts w:ascii="Times New Roman" w:hAnsi="Times New Roman"/>
        <w:sz w:val="20"/>
        <w:szCs w:val="20"/>
      </w:rPr>
      <w:t xml:space="preserve">.pielikums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1A7725" w:rsidRPr="00F970F3">
        <w:rPr>
          <w:rFonts w:ascii="Times New Roman" w:hAnsi="Times New Roman"/>
          <w:sz w:val="20"/>
          <w:szCs w:val="20"/>
        </w:rPr>
        <w:t>rīkojuma</w:t>
      </w:r>
    </w:smartTag>
    <w:r w:rsidR="001A7725" w:rsidRPr="00F970F3">
      <w:rPr>
        <w:rFonts w:ascii="Times New Roman" w:hAnsi="Times New Roman"/>
        <w:sz w:val="20"/>
        <w:szCs w:val="20"/>
      </w:rPr>
      <w:t xml:space="preserve"> projektam </w:t>
    </w:r>
    <w:r w:rsidR="001A7725" w:rsidRPr="00F970F3">
      <w:rPr>
        <w:rFonts w:ascii="Times New Roman" w:hAnsi="Times New Roman"/>
        <w:sz w:val="20"/>
      </w:rPr>
      <w:t>„Par Norvēģijas finanšu instrumenta līdzfinansētās programmas „Inovācijas „zaļās” ražošanas jomā” iesnieguma projekt</w:t>
    </w:r>
    <w:r w:rsidR="00040403">
      <w:rPr>
        <w:rFonts w:ascii="Times New Roman" w:hAnsi="Times New Roman"/>
        <w:sz w:val="20"/>
      </w:rPr>
      <w:t>u</w:t>
    </w:r>
    <w:r w:rsidR="001A7725" w:rsidRPr="00F970F3">
      <w:rPr>
        <w:rFonts w:ascii="Times New Roman" w:hAnsi="Times New Roman"/>
        <w:sz w:val="20"/>
      </w:rPr>
      <w:t>”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E1" w:rsidRDefault="009E6AE1" w:rsidP="00E16115">
      <w:pPr>
        <w:spacing w:after="0"/>
      </w:pPr>
      <w:r>
        <w:separator/>
      </w:r>
    </w:p>
  </w:footnote>
  <w:footnote w:type="continuationSeparator" w:id="0">
    <w:p w:rsidR="009E6AE1" w:rsidRDefault="009E6AE1" w:rsidP="00E16115">
      <w:pPr>
        <w:spacing w:after="0"/>
      </w:pPr>
      <w:r>
        <w:continuationSeparator/>
      </w:r>
    </w:p>
  </w:footnote>
  <w:footnote w:id="1">
    <w:p w:rsidR="00E16115" w:rsidRPr="00E16115" w:rsidRDefault="00E16115">
      <w:pPr>
        <w:pStyle w:val="FootnoteText"/>
        <w:rPr>
          <w:rFonts w:ascii="Times New Roman" w:hAnsi="Times New Roman"/>
          <w:lang w:val="lv-LV"/>
        </w:rPr>
      </w:pPr>
      <w:r w:rsidRPr="00E16115">
        <w:rPr>
          <w:rStyle w:val="FootnoteReference"/>
          <w:rFonts w:ascii="Times New Roman" w:hAnsi="Times New Roman"/>
        </w:rPr>
        <w:footnoteRef/>
      </w:r>
      <w:r w:rsidRPr="00E16115">
        <w:rPr>
          <w:rFonts w:ascii="Times New Roman" w:hAnsi="Times New Roman"/>
        </w:rPr>
        <w:t xml:space="preserve"> </w:t>
      </w:r>
      <w:r w:rsidR="00632236">
        <w:rPr>
          <w:rFonts w:ascii="Times New Roman" w:hAnsi="Times New Roman"/>
        </w:rPr>
        <w:t xml:space="preserve">Sīkāku informāciju par plānotajiem </w:t>
      </w:r>
      <w:r w:rsidR="00D10C65">
        <w:rPr>
          <w:rFonts w:ascii="Times New Roman" w:hAnsi="Times New Roman"/>
        </w:rPr>
        <w:t>konkusiem</w:t>
      </w:r>
      <w:r w:rsidR="00632236">
        <w:rPr>
          <w:rFonts w:ascii="Times New Roman" w:hAnsi="Times New Roman"/>
        </w:rPr>
        <w:t xml:space="preserve">, to ilgumu varat iegūt </w:t>
      </w:r>
      <w:r w:rsidR="001A7725">
        <w:rPr>
          <w:rFonts w:ascii="Times New Roman" w:hAnsi="Times New Roman"/>
        </w:rPr>
        <w:t>Pielikuma 13.pielikumā</w:t>
      </w:r>
      <w:r w:rsidR="00632236">
        <w:rPr>
          <w:rFonts w:ascii="Times New Roman" w:hAnsi="Times New Roman"/>
        </w:rPr>
        <w:t xml:space="preserve">. </w:t>
      </w:r>
    </w:p>
  </w:footnote>
  <w:footnote w:id="2">
    <w:p w:rsidR="007B38D2" w:rsidRPr="00E0775A" w:rsidRDefault="007B38D2" w:rsidP="007B38D2">
      <w:pPr>
        <w:pStyle w:val="FootnoteText"/>
        <w:rPr>
          <w:rFonts w:ascii="Times New Roman" w:hAnsi="Times New Roman"/>
          <w:lang w:val="lv-LV"/>
        </w:rPr>
      </w:pPr>
      <w:r w:rsidRPr="00E0775A">
        <w:rPr>
          <w:rStyle w:val="FootnoteReference"/>
          <w:rFonts w:ascii="Times New Roman" w:hAnsi="Times New Roman"/>
        </w:rPr>
        <w:footnoteRef/>
      </w:r>
      <w:r w:rsidRPr="00E07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Tiek pieņemts, ka tiks īstenotas divas projektu iesniegumu atlases kārtas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7950"/>
      <w:docPartObj>
        <w:docPartGallery w:val="Page Numbers (Top of Page)"/>
        <w:docPartUnique/>
      </w:docPartObj>
    </w:sdtPr>
    <w:sdtContent>
      <w:p w:rsidR="001A7725" w:rsidRDefault="009E178D">
        <w:pPr>
          <w:pStyle w:val="Header"/>
          <w:jc w:val="center"/>
        </w:pPr>
        <w:r>
          <w:fldChar w:fldCharType="begin"/>
        </w:r>
        <w:r w:rsidR="00D46D53">
          <w:instrText xml:space="preserve"> PAGE   \* MERGEFORMAT </w:instrText>
        </w:r>
        <w:r>
          <w:fldChar w:fldCharType="separate"/>
        </w:r>
        <w:r w:rsidR="00115172">
          <w:rPr>
            <w:noProof/>
          </w:rPr>
          <w:t>3</w:t>
        </w:r>
        <w:r>
          <w:fldChar w:fldCharType="end"/>
        </w:r>
      </w:p>
    </w:sdtContent>
  </w:sdt>
  <w:p w:rsidR="001A7725" w:rsidRDefault="001A77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45A"/>
    <w:multiLevelType w:val="hybridMultilevel"/>
    <w:tmpl w:val="FAC4D49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5566F"/>
    <w:multiLevelType w:val="hybridMultilevel"/>
    <w:tmpl w:val="CD921A52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6B5A9B"/>
    <w:rsid w:val="000079B4"/>
    <w:rsid w:val="00036E9D"/>
    <w:rsid w:val="00040403"/>
    <w:rsid w:val="000479EE"/>
    <w:rsid w:val="00055C4B"/>
    <w:rsid w:val="00076E07"/>
    <w:rsid w:val="00093513"/>
    <w:rsid w:val="00115172"/>
    <w:rsid w:val="001240E8"/>
    <w:rsid w:val="00150852"/>
    <w:rsid w:val="00152222"/>
    <w:rsid w:val="00156E07"/>
    <w:rsid w:val="00162CB6"/>
    <w:rsid w:val="00170F86"/>
    <w:rsid w:val="00171BB4"/>
    <w:rsid w:val="001770B6"/>
    <w:rsid w:val="001A3A23"/>
    <w:rsid w:val="001A7725"/>
    <w:rsid w:val="001C149F"/>
    <w:rsid w:val="00215AA3"/>
    <w:rsid w:val="002319BE"/>
    <w:rsid w:val="0024153E"/>
    <w:rsid w:val="00246365"/>
    <w:rsid w:val="002608B1"/>
    <w:rsid w:val="002738D8"/>
    <w:rsid w:val="002C1874"/>
    <w:rsid w:val="002C2129"/>
    <w:rsid w:val="002C41F3"/>
    <w:rsid w:val="002C7C2D"/>
    <w:rsid w:val="002D11DE"/>
    <w:rsid w:val="002F16C7"/>
    <w:rsid w:val="0030017A"/>
    <w:rsid w:val="00310CFC"/>
    <w:rsid w:val="00324073"/>
    <w:rsid w:val="00347DCE"/>
    <w:rsid w:val="003553F1"/>
    <w:rsid w:val="00363398"/>
    <w:rsid w:val="00373F4B"/>
    <w:rsid w:val="00375029"/>
    <w:rsid w:val="00386F40"/>
    <w:rsid w:val="003A602D"/>
    <w:rsid w:val="003A6506"/>
    <w:rsid w:val="003A7C3F"/>
    <w:rsid w:val="00421AEE"/>
    <w:rsid w:val="00451AA9"/>
    <w:rsid w:val="00452DB9"/>
    <w:rsid w:val="004805B4"/>
    <w:rsid w:val="004A29A3"/>
    <w:rsid w:val="004A40BB"/>
    <w:rsid w:val="004B206A"/>
    <w:rsid w:val="005307FD"/>
    <w:rsid w:val="005316D7"/>
    <w:rsid w:val="00543299"/>
    <w:rsid w:val="005675DC"/>
    <w:rsid w:val="00580774"/>
    <w:rsid w:val="005A0864"/>
    <w:rsid w:val="005B6B92"/>
    <w:rsid w:val="005C6C61"/>
    <w:rsid w:val="0062135B"/>
    <w:rsid w:val="00632236"/>
    <w:rsid w:val="00646AED"/>
    <w:rsid w:val="00671B5C"/>
    <w:rsid w:val="006757DE"/>
    <w:rsid w:val="006837FA"/>
    <w:rsid w:val="006B5A9B"/>
    <w:rsid w:val="006B7C71"/>
    <w:rsid w:val="006C454E"/>
    <w:rsid w:val="006F22FF"/>
    <w:rsid w:val="006F4433"/>
    <w:rsid w:val="00705C6E"/>
    <w:rsid w:val="00706723"/>
    <w:rsid w:val="0072602A"/>
    <w:rsid w:val="0074761F"/>
    <w:rsid w:val="007517F0"/>
    <w:rsid w:val="00760BC9"/>
    <w:rsid w:val="00774662"/>
    <w:rsid w:val="00781EBE"/>
    <w:rsid w:val="00786980"/>
    <w:rsid w:val="0079140C"/>
    <w:rsid w:val="007A713A"/>
    <w:rsid w:val="007B38D2"/>
    <w:rsid w:val="007F27F6"/>
    <w:rsid w:val="008064C4"/>
    <w:rsid w:val="00827320"/>
    <w:rsid w:val="00830399"/>
    <w:rsid w:val="0083093C"/>
    <w:rsid w:val="0084139A"/>
    <w:rsid w:val="00843496"/>
    <w:rsid w:val="00850C78"/>
    <w:rsid w:val="00871685"/>
    <w:rsid w:val="00876EB4"/>
    <w:rsid w:val="0088483D"/>
    <w:rsid w:val="008B5043"/>
    <w:rsid w:val="008B7A04"/>
    <w:rsid w:val="008C1548"/>
    <w:rsid w:val="008D4310"/>
    <w:rsid w:val="009038C9"/>
    <w:rsid w:val="009119C5"/>
    <w:rsid w:val="0091726E"/>
    <w:rsid w:val="0094252C"/>
    <w:rsid w:val="00943FAE"/>
    <w:rsid w:val="009A659B"/>
    <w:rsid w:val="009B6465"/>
    <w:rsid w:val="009C1261"/>
    <w:rsid w:val="009D0904"/>
    <w:rsid w:val="009E178D"/>
    <w:rsid w:val="009E6AE1"/>
    <w:rsid w:val="009F651D"/>
    <w:rsid w:val="009F7A2A"/>
    <w:rsid w:val="00A104DE"/>
    <w:rsid w:val="00A15DAC"/>
    <w:rsid w:val="00A3081E"/>
    <w:rsid w:val="00A52A1A"/>
    <w:rsid w:val="00A73AB7"/>
    <w:rsid w:val="00A96731"/>
    <w:rsid w:val="00AA4FBD"/>
    <w:rsid w:val="00AF221A"/>
    <w:rsid w:val="00AF7C13"/>
    <w:rsid w:val="00B33343"/>
    <w:rsid w:val="00B37936"/>
    <w:rsid w:val="00B56E4D"/>
    <w:rsid w:val="00BA401C"/>
    <w:rsid w:val="00BC2A33"/>
    <w:rsid w:val="00BD7457"/>
    <w:rsid w:val="00BF145B"/>
    <w:rsid w:val="00C55F70"/>
    <w:rsid w:val="00C614EC"/>
    <w:rsid w:val="00CA308B"/>
    <w:rsid w:val="00CA60C4"/>
    <w:rsid w:val="00CD3433"/>
    <w:rsid w:val="00CE433F"/>
    <w:rsid w:val="00CE74B8"/>
    <w:rsid w:val="00D05B67"/>
    <w:rsid w:val="00D05E57"/>
    <w:rsid w:val="00D06082"/>
    <w:rsid w:val="00D10C65"/>
    <w:rsid w:val="00D26D68"/>
    <w:rsid w:val="00D46D53"/>
    <w:rsid w:val="00D70DC1"/>
    <w:rsid w:val="00DB3498"/>
    <w:rsid w:val="00DD3402"/>
    <w:rsid w:val="00E15827"/>
    <w:rsid w:val="00E16115"/>
    <w:rsid w:val="00E16688"/>
    <w:rsid w:val="00E266A8"/>
    <w:rsid w:val="00E64E62"/>
    <w:rsid w:val="00E74E16"/>
    <w:rsid w:val="00ED1385"/>
    <w:rsid w:val="00EF3F83"/>
    <w:rsid w:val="00F563D5"/>
    <w:rsid w:val="00FA3413"/>
    <w:rsid w:val="00FD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9B"/>
    <w:pPr>
      <w:spacing w:after="120"/>
    </w:pPr>
    <w:rPr>
      <w:rFonts w:eastAsia="Times New Roman"/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B5A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5A9B"/>
    <w:pPr>
      <w:jc w:val="both"/>
    </w:pPr>
    <w:rPr>
      <w:rFonts w:ascii="Garamond" w:eastAsia="Calibri" w:hAnsi="Garamond" w:cs="Garamond"/>
      <w:sz w:val="20"/>
      <w:szCs w:val="20"/>
      <w:lang w:eastAsia="da-DK"/>
    </w:rPr>
  </w:style>
  <w:style w:type="character" w:customStyle="1" w:styleId="CommentTextChar">
    <w:name w:val="Comment Text Char"/>
    <w:basedOn w:val="DefaultParagraphFont"/>
    <w:link w:val="CommentText"/>
    <w:semiHidden/>
    <w:rsid w:val="006B5A9B"/>
    <w:rPr>
      <w:rFonts w:ascii="Garamond" w:eastAsia="Calibri" w:hAnsi="Garamond" w:cs="Garamond"/>
      <w:sz w:val="20"/>
      <w:szCs w:val="20"/>
      <w:lang w:val="nb-NO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9B"/>
    <w:rPr>
      <w:rFonts w:ascii="Tahoma" w:eastAsia="Times New Roman" w:hAnsi="Tahoma" w:cs="Tahoma"/>
      <w:sz w:val="16"/>
      <w:szCs w:val="16"/>
      <w:lang w:val="nb-NO"/>
    </w:rPr>
  </w:style>
  <w:style w:type="table" w:styleId="TableGrid">
    <w:name w:val="Table Grid"/>
    <w:basedOn w:val="TableNormal"/>
    <w:uiPriority w:val="59"/>
    <w:rsid w:val="006B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F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61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115"/>
    <w:rPr>
      <w:rFonts w:ascii="Calibri" w:eastAsia="Times New Roman" w:hAnsi="Calibri" w:cs="Times New Roman"/>
      <w:sz w:val="20"/>
      <w:szCs w:val="20"/>
      <w:lang w:val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E161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221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221A"/>
    <w:rPr>
      <w:rFonts w:ascii="Calibri" w:eastAsia="Times New Roman" w:hAnsi="Calibri" w:cs="Times New Roman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AF221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221A"/>
    <w:rPr>
      <w:rFonts w:ascii="Calibri" w:eastAsia="Times New Roman" w:hAnsi="Calibri" w:cs="Times New Roman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43"/>
    <w:pPr>
      <w:jc w:val="left"/>
    </w:pPr>
    <w:rPr>
      <w:rFonts w:ascii="Calibri" w:eastAsia="Times New Roman" w:hAnsi="Calibr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43"/>
    <w:rPr>
      <w:rFonts w:ascii="Calibri" w:eastAsia="Times New Roman" w:hAnsi="Calibri" w:cs="Times New Roman"/>
      <w:b/>
      <w:bCs/>
    </w:rPr>
  </w:style>
  <w:style w:type="character" w:styleId="Hyperlink">
    <w:name w:val="Hyperlink"/>
    <w:rsid w:val="008D4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.Vanaga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379C2-CAA4-410A-BE61-BC2C1EF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Pielikuma 12.pielikums Ministru kabineta rīkojuma projektam „Par Norvēģijas finanšu instrumenta līdzfinansētās programmas „Inovācijas „zaļās” ražošanas jomā” iesnieguma projekta”</dc:title>
  <dc:subject>Pielikuma 12.pielikums</dc:subject>
  <dc:creator>Una Vanaga</dc:creator>
  <cp:keywords/>
  <dc:description>Una.Vanaga@em.gov.lv, 67013129</dc:description>
  <cp:lastModifiedBy>Māris Krūmiņš</cp:lastModifiedBy>
  <cp:revision>30</cp:revision>
  <cp:lastPrinted>2011-12-30T07:31:00Z</cp:lastPrinted>
  <dcterms:created xsi:type="dcterms:W3CDTF">2012-02-11T19:34:00Z</dcterms:created>
  <dcterms:modified xsi:type="dcterms:W3CDTF">2012-02-23T07:37:00Z</dcterms:modified>
</cp:coreProperties>
</file>